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4.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3.xml" ContentType="application/vnd.openxmlformats-officedocument.wordprocessingml.header+xml"/>
  <Override PartName="/word/header5.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2B1A95" w:rsidRDefault="00DA186E" w:rsidP="00B05CF4">
      <w:pPr>
        <w:rPr>
          <w:sz w:val="28"/>
        </w:rPr>
      </w:pPr>
      <w:r w:rsidRPr="002B1A95">
        <w:rPr>
          <w:noProof/>
          <w:lang w:eastAsia="en-AU"/>
        </w:rPr>
        <w:drawing>
          <wp:inline distT="0" distB="0" distL="0" distR="0" wp14:anchorId="31EB1E17" wp14:editId="23EE239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529"/>
      </w:tblGrid>
      <w:tr w:rsidR="00411C46" w:rsidTr="00411C46">
        <w:tc>
          <w:tcPr>
            <w:tcW w:w="5000" w:type="pct"/>
            <w:shd w:val="clear" w:color="auto" w:fill="auto"/>
          </w:tcPr>
          <w:p w:rsidR="00411C46" w:rsidRDefault="00411C46" w:rsidP="00411C46">
            <w:pPr>
              <w:jc w:val="center"/>
              <w:rPr>
                <w:b/>
                <w:sz w:val="26"/>
              </w:rPr>
            </w:pPr>
            <w:r>
              <w:rPr>
                <w:b/>
                <w:sz w:val="26"/>
              </w:rPr>
              <w:t>EXPOSURE DRAFT</w:t>
            </w:r>
          </w:p>
          <w:p w:rsidR="00411C46" w:rsidRPr="00411C46" w:rsidRDefault="00411C46" w:rsidP="00411C46">
            <w:pPr>
              <w:rPr>
                <w:b/>
                <w:sz w:val="20"/>
              </w:rPr>
            </w:pPr>
          </w:p>
        </w:tc>
      </w:tr>
    </w:tbl>
    <w:p w:rsidR="00715914" w:rsidRDefault="00715914" w:rsidP="00715914">
      <w:pPr>
        <w:rPr>
          <w:sz w:val="19"/>
        </w:rPr>
      </w:pPr>
    </w:p>
    <w:p w:rsidR="00411C46" w:rsidRPr="002B1A95" w:rsidRDefault="00411C46" w:rsidP="00715914">
      <w:pPr>
        <w:rPr>
          <w:sz w:val="19"/>
        </w:rPr>
      </w:pPr>
    </w:p>
    <w:p w:rsidR="001F6CD4" w:rsidRPr="002B1A95" w:rsidRDefault="005F7EBE" w:rsidP="0001201E">
      <w:pPr>
        <w:pStyle w:val="ShortT"/>
      </w:pPr>
      <w:r w:rsidRPr="002B1A95">
        <w:t xml:space="preserve">Income Tax </w:t>
      </w:r>
      <w:r w:rsidR="00971C21" w:rsidRPr="002B1A95">
        <w:t>A</w:t>
      </w:r>
      <w:r w:rsidR="00A433F1" w:rsidRPr="002B1A95">
        <w:t>ssessment</w:t>
      </w:r>
      <w:r w:rsidR="00275D91" w:rsidRPr="002B1A95">
        <w:t xml:space="preserve"> </w:t>
      </w:r>
      <w:r w:rsidRPr="002B1A95">
        <w:t>Regulations</w:t>
      </w:r>
      <w:r w:rsidR="002B1A95" w:rsidRPr="002B1A95">
        <w:t> </w:t>
      </w:r>
      <w:r w:rsidR="003C671B" w:rsidRPr="002B1A95">
        <w:t>20</w:t>
      </w:r>
      <w:r w:rsidR="004C43A3" w:rsidRPr="002B1A95">
        <w:t>20</w:t>
      </w:r>
    </w:p>
    <w:p w:rsidR="009F135A" w:rsidRPr="002B1A95" w:rsidRDefault="009F135A" w:rsidP="005B63A2">
      <w:pPr>
        <w:pStyle w:val="SignCoverPageStart"/>
        <w:spacing w:before="240"/>
        <w:rPr>
          <w:szCs w:val="22"/>
        </w:rPr>
      </w:pPr>
      <w:r w:rsidRPr="002B1A95">
        <w:rPr>
          <w:szCs w:val="22"/>
        </w:rPr>
        <w:t>I, General the Honourable David Hurley AC DSC (Retd), Governor</w:t>
      </w:r>
      <w:r w:rsidR="00782250">
        <w:rPr>
          <w:szCs w:val="22"/>
        </w:rPr>
        <w:noBreakHyphen/>
      </w:r>
      <w:r w:rsidRPr="002B1A95">
        <w:rPr>
          <w:szCs w:val="22"/>
        </w:rPr>
        <w:t>General of the Commonwealth of Australia, acting with the advice of the Federal Executive Council, make the following regulations.</w:t>
      </w:r>
    </w:p>
    <w:p w:rsidR="009F135A" w:rsidRPr="002B1A95" w:rsidRDefault="009F135A" w:rsidP="005B63A2">
      <w:pPr>
        <w:keepNext/>
        <w:spacing w:before="720" w:line="240" w:lineRule="atLeast"/>
        <w:ind w:right="397"/>
        <w:jc w:val="both"/>
        <w:rPr>
          <w:szCs w:val="22"/>
        </w:rPr>
      </w:pPr>
      <w:r w:rsidRPr="002B1A95">
        <w:rPr>
          <w:szCs w:val="22"/>
        </w:rPr>
        <w:t xml:space="preserve">Dated </w:t>
      </w:r>
      <w:r w:rsidRPr="002B1A95">
        <w:rPr>
          <w:szCs w:val="22"/>
        </w:rPr>
        <w:tab/>
      </w:r>
      <w:r w:rsidRPr="002B1A95">
        <w:rPr>
          <w:szCs w:val="22"/>
        </w:rPr>
        <w:tab/>
      </w:r>
      <w:r w:rsidRPr="002B1A95">
        <w:rPr>
          <w:szCs w:val="22"/>
        </w:rPr>
        <w:tab/>
      </w:r>
      <w:r w:rsidRPr="002B1A95">
        <w:rPr>
          <w:szCs w:val="22"/>
        </w:rPr>
        <w:tab/>
      </w:r>
      <w:r w:rsidRPr="002B1A95">
        <w:rPr>
          <w:szCs w:val="22"/>
        </w:rPr>
        <w:fldChar w:fldCharType="begin"/>
      </w:r>
      <w:r w:rsidRPr="002B1A95">
        <w:rPr>
          <w:szCs w:val="22"/>
        </w:rPr>
        <w:instrText xml:space="preserve"> DOCPROPERTY  DateMade </w:instrText>
      </w:r>
      <w:r w:rsidRPr="002B1A95">
        <w:rPr>
          <w:szCs w:val="22"/>
        </w:rPr>
        <w:fldChar w:fldCharType="separate"/>
      </w:r>
      <w:r w:rsidR="00F54F75">
        <w:rPr>
          <w:szCs w:val="22"/>
        </w:rPr>
        <w:t>2020</w:t>
      </w:r>
      <w:r w:rsidRPr="002B1A95">
        <w:rPr>
          <w:szCs w:val="22"/>
        </w:rPr>
        <w:fldChar w:fldCharType="end"/>
      </w:r>
    </w:p>
    <w:p w:rsidR="009F135A" w:rsidRPr="002B1A95" w:rsidRDefault="009F135A" w:rsidP="005B63A2">
      <w:pPr>
        <w:keepNext/>
        <w:tabs>
          <w:tab w:val="left" w:pos="3402"/>
        </w:tabs>
        <w:spacing w:before="1080" w:line="300" w:lineRule="atLeast"/>
        <w:ind w:left="397" w:right="397"/>
        <w:jc w:val="right"/>
        <w:rPr>
          <w:szCs w:val="22"/>
        </w:rPr>
      </w:pPr>
      <w:r w:rsidRPr="002B1A95">
        <w:rPr>
          <w:szCs w:val="22"/>
        </w:rPr>
        <w:t>David Hurley</w:t>
      </w:r>
    </w:p>
    <w:p w:rsidR="009F135A" w:rsidRPr="002B1A95" w:rsidRDefault="009F135A" w:rsidP="005B63A2">
      <w:pPr>
        <w:keepNext/>
        <w:tabs>
          <w:tab w:val="left" w:pos="3402"/>
        </w:tabs>
        <w:spacing w:line="300" w:lineRule="atLeast"/>
        <w:ind w:left="397" w:right="397"/>
        <w:jc w:val="right"/>
        <w:rPr>
          <w:szCs w:val="22"/>
        </w:rPr>
      </w:pPr>
      <w:r w:rsidRPr="002B1A95">
        <w:rPr>
          <w:szCs w:val="22"/>
        </w:rPr>
        <w:t>Governor</w:t>
      </w:r>
      <w:r w:rsidR="00782250">
        <w:rPr>
          <w:szCs w:val="22"/>
        </w:rPr>
        <w:noBreakHyphen/>
      </w:r>
      <w:r w:rsidRPr="002B1A95">
        <w:rPr>
          <w:szCs w:val="22"/>
        </w:rPr>
        <w:t>General</w:t>
      </w:r>
    </w:p>
    <w:p w:rsidR="009F135A" w:rsidRPr="002B1A95" w:rsidRDefault="009F135A" w:rsidP="005B63A2">
      <w:pPr>
        <w:keepNext/>
        <w:tabs>
          <w:tab w:val="left" w:pos="3402"/>
        </w:tabs>
        <w:spacing w:before="840" w:after="1080" w:line="300" w:lineRule="atLeast"/>
        <w:ind w:right="397"/>
        <w:rPr>
          <w:szCs w:val="22"/>
        </w:rPr>
      </w:pPr>
      <w:r w:rsidRPr="002B1A95">
        <w:rPr>
          <w:szCs w:val="22"/>
        </w:rPr>
        <w:t>By His Excellency’s Command</w:t>
      </w:r>
    </w:p>
    <w:p w:rsidR="009F135A" w:rsidRPr="002B1A95" w:rsidRDefault="009F135A" w:rsidP="005B63A2">
      <w:pPr>
        <w:keepNext/>
        <w:tabs>
          <w:tab w:val="left" w:pos="3402"/>
        </w:tabs>
        <w:spacing w:before="480" w:line="300" w:lineRule="atLeast"/>
        <w:ind w:right="397"/>
        <w:rPr>
          <w:szCs w:val="22"/>
        </w:rPr>
      </w:pPr>
      <w:r w:rsidRPr="002B1A95">
        <w:rPr>
          <w:szCs w:val="22"/>
        </w:rPr>
        <w:t>Michael Sukkar</w:t>
      </w:r>
      <w:r w:rsidRPr="002B1A95">
        <w:t xml:space="preserve"> </w:t>
      </w:r>
      <w:r w:rsidRPr="002B1A95">
        <w:rPr>
          <w:b/>
          <w:szCs w:val="22"/>
        </w:rPr>
        <w:t>[DRAFT ONLY—NOT FOR SIGNATURE]</w:t>
      </w:r>
    </w:p>
    <w:p w:rsidR="009F135A" w:rsidRPr="002B1A95" w:rsidRDefault="009F135A" w:rsidP="005B63A2">
      <w:pPr>
        <w:pStyle w:val="SignCoverPageEnd"/>
        <w:rPr>
          <w:szCs w:val="22"/>
        </w:rPr>
      </w:pPr>
      <w:r w:rsidRPr="002B1A95">
        <w:rPr>
          <w:szCs w:val="22"/>
        </w:rPr>
        <w:t>Minister for Housing and Assistant Treasurer</w:t>
      </w:r>
    </w:p>
    <w:p w:rsidR="009F135A" w:rsidRPr="002B1A95" w:rsidRDefault="009F135A" w:rsidP="005B63A2"/>
    <w:p w:rsidR="009F135A" w:rsidRPr="002B1A95" w:rsidRDefault="009F135A" w:rsidP="005B63A2"/>
    <w:p w:rsidR="009F135A" w:rsidRPr="002B1A95" w:rsidRDefault="009F135A" w:rsidP="005B63A2"/>
    <w:p w:rsidR="002364B4" w:rsidRPr="00411C46" w:rsidRDefault="002364B4" w:rsidP="002364B4">
      <w:pPr>
        <w:pStyle w:val="Header"/>
        <w:tabs>
          <w:tab w:val="clear" w:pos="4150"/>
          <w:tab w:val="clear" w:pos="8307"/>
        </w:tabs>
      </w:pPr>
      <w:r w:rsidRPr="00411C46">
        <w:rPr>
          <w:rStyle w:val="CharChapNo"/>
        </w:rPr>
        <w:t xml:space="preserve"> </w:t>
      </w:r>
      <w:r w:rsidRPr="00411C46">
        <w:rPr>
          <w:rStyle w:val="CharChapText"/>
        </w:rPr>
        <w:t xml:space="preserve"> </w:t>
      </w:r>
    </w:p>
    <w:p w:rsidR="002364B4" w:rsidRPr="00411C46" w:rsidRDefault="002364B4" w:rsidP="002364B4">
      <w:pPr>
        <w:pStyle w:val="Header"/>
        <w:tabs>
          <w:tab w:val="clear" w:pos="4150"/>
          <w:tab w:val="clear" w:pos="8307"/>
        </w:tabs>
      </w:pPr>
      <w:r w:rsidRPr="00411C46">
        <w:rPr>
          <w:rStyle w:val="CharPartNo"/>
        </w:rPr>
        <w:t xml:space="preserve"> </w:t>
      </w:r>
      <w:r w:rsidRPr="00411C46">
        <w:rPr>
          <w:rStyle w:val="CharPartText"/>
        </w:rPr>
        <w:t xml:space="preserve"> </w:t>
      </w:r>
    </w:p>
    <w:p w:rsidR="002364B4" w:rsidRPr="00411C46" w:rsidRDefault="002364B4" w:rsidP="002364B4">
      <w:pPr>
        <w:pStyle w:val="Header"/>
        <w:tabs>
          <w:tab w:val="clear" w:pos="4150"/>
          <w:tab w:val="clear" w:pos="8307"/>
        </w:tabs>
      </w:pPr>
      <w:r w:rsidRPr="00411C46">
        <w:rPr>
          <w:rStyle w:val="CharDivNo"/>
        </w:rPr>
        <w:t xml:space="preserve"> </w:t>
      </w:r>
      <w:r w:rsidRPr="00411C46">
        <w:rPr>
          <w:rStyle w:val="CharDivText"/>
        </w:rPr>
        <w:t xml:space="preserve"> </w:t>
      </w:r>
    </w:p>
    <w:p w:rsidR="002364B4" w:rsidRPr="002B1A95" w:rsidRDefault="002364B4" w:rsidP="002364B4">
      <w:pPr>
        <w:sectPr w:rsidR="002364B4" w:rsidRPr="002B1A95" w:rsidSect="003104D0">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2B1A95" w:rsidRDefault="00715914" w:rsidP="006B11B1">
      <w:pPr>
        <w:rPr>
          <w:sz w:val="36"/>
        </w:rPr>
      </w:pPr>
      <w:r w:rsidRPr="002B1A95">
        <w:rPr>
          <w:sz w:val="36"/>
        </w:rPr>
        <w:lastRenderedPageBreak/>
        <w:t>Contents</w:t>
      </w:r>
    </w:p>
    <w:p w:rsidR="00411C46" w:rsidRDefault="00411C46">
      <w:pPr>
        <w:pStyle w:val="TOC1"/>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Chapter 1—Introduction and core provisions</w:t>
      </w:r>
      <w:r w:rsidRPr="00411C46">
        <w:rPr>
          <w:b w:val="0"/>
          <w:noProof/>
          <w:sz w:val="18"/>
        </w:rPr>
        <w:tab/>
      </w:r>
      <w:r w:rsidRPr="00411C46">
        <w:rPr>
          <w:b w:val="0"/>
          <w:noProof/>
          <w:sz w:val="18"/>
        </w:rPr>
        <w:fldChar w:fldCharType="begin"/>
      </w:r>
      <w:r w:rsidRPr="00411C46">
        <w:rPr>
          <w:b w:val="0"/>
          <w:noProof/>
          <w:sz w:val="18"/>
        </w:rPr>
        <w:instrText xml:space="preserve"> PAGEREF _Toc49765180 \h </w:instrText>
      </w:r>
      <w:r w:rsidRPr="00411C46">
        <w:rPr>
          <w:b w:val="0"/>
          <w:noProof/>
          <w:sz w:val="18"/>
        </w:rPr>
      </w:r>
      <w:r w:rsidRPr="00411C46">
        <w:rPr>
          <w:b w:val="0"/>
          <w:noProof/>
          <w:sz w:val="18"/>
        </w:rPr>
        <w:fldChar w:fldCharType="separate"/>
      </w:r>
      <w:r w:rsidR="00F54F75">
        <w:rPr>
          <w:b w:val="0"/>
          <w:noProof/>
          <w:sz w:val="18"/>
        </w:rPr>
        <w:t>1</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1</w:t>
      </w:r>
      <w:r>
        <w:rPr>
          <w:noProof/>
        </w:rPr>
        <w:tab/>
        <w:t>Name</w:t>
      </w:r>
      <w:r w:rsidRPr="00411C46">
        <w:rPr>
          <w:noProof/>
        </w:rPr>
        <w:tab/>
      </w:r>
      <w:r w:rsidRPr="00411C46">
        <w:rPr>
          <w:noProof/>
        </w:rPr>
        <w:fldChar w:fldCharType="begin"/>
      </w:r>
      <w:r w:rsidRPr="00411C46">
        <w:rPr>
          <w:noProof/>
        </w:rPr>
        <w:instrText xml:space="preserve"> PAGEREF _Toc49765181 \h </w:instrText>
      </w:r>
      <w:r w:rsidRPr="00411C46">
        <w:rPr>
          <w:noProof/>
        </w:rPr>
      </w:r>
      <w:r w:rsidRPr="00411C46">
        <w:rPr>
          <w:noProof/>
        </w:rPr>
        <w:fldChar w:fldCharType="separate"/>
      </w:r>
      <w:r w:rsidR="00F54F75">
        <w:rPr>
          <w:noProof/>
        </w:rPr>
        <w:t>1</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2</w:t>
      </w:r>
      <w:r>
        <w:rPr>
          <w:noProof/>
        </w:rPr>
        <w:tab/>
        <w:t>Commencement</w:t>
      </w:r>
      <w:r w:rsidRPr="00411C46">
        <w:rPr>
          <w:noProof/>
        </w:rPr>
        <w:tab/>
      </w:r>
      <w:r w:rsidRPr="00411C46">
        <w:rPr>
          <w:noProof/>
        </w:rPr>
        <w:fldChar w:fldCharType="begin"/>
      </w:r>
      <w:r w:rsidRPr="00411C46">
        <w:rPr>
          <w:noProof/>
        </w:rPr>
        <w:instrText xml:space="preserve"> PAGEREF _Toc49765182 \h </w:instrText>
      </w:r>
      <w:r w:rsidRPr="00411C46">
        <w:rPr>
          <w:noProof/>
        </w:rPr>
      </w:r>
      <w:r w:rsidRPr="00411C46">
        <w:rPr>
          <w:noProof/>
        </w:rPr>
        <w:fldChar w:fldCharType="separate"/>
      </w:r>
      <w:r w:rsidR="00F54F75">
        <w:rPr>
          <w:noProof/>
        </w:rPr>
        <w:t>1</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w:t>
      </w:r>
      <w:r>
        <w:rPr>
          <w:noProof/>
        </w:rPr>
        <w:tab/>
        <w:t>Authority</w:t>
      </w:r>
      <w:r w:rsidRPr="00411C46">
        <w:rPr>
          <w:noProof/>
        </w:rPr>
        <w:tab/>
      </w:r>
      <w:r w:rsidRPr="00411C46">
        <w:rPr>
          <w:noProof/>
        </w:rPr>
        <w:fldChar w:fldCharType="begin"/>
      </w:r>
      <w:r w:rsidRPr="00411C46">
        <w:rPr>
          <w:noProof/>
        </w:rPr>
        <w:instrText xml:space="preserve"> PAGEREF _Toc49765183 \h </w:instrText>
      </w:r>
      <w:r w:rsidRPr="00411C46">
        <w:rPr>
          <w:noProof/>
        </w:rPr>
      </w:r>
      <w:r w:rsidRPr="00411C46">
        <w:rPr>
          <w:noProof/>
        </w:rPr>
        <w:fldChar w:fldCharType="separate"/>
      </w:r>
      <w:r w:rsidR="00F54F75">
        <w:rPr>
          <w:noProof/>
        </w:rPr>
        <w:t>1</w:t>
      </w:r>
      <w:r w:rsidRPr="00411C46">
        <w:rPr>
          <w:noProof/>
        </w:rPr>
        <w:fldChar w:fldCharType="end"/>
      </w:r>
    </w:p>
    <w:p w:rsidR="00411C46" w:rsidRDefault="00411C46">
      <w:pPr>
        <w:pStyle w:val="TOC1"/>
        <w:rPr>
          <w:rFonts w:asciiTheme="minorHAnsi" w:eastAsiaTheme="minorEastAsia" w:hAnsiTheme="minorHAnsi" w:cstheme="minorBidi"/>
          <w:b w:val="0"/>
          <w:noProof/>
          <w:kern w:val="0"/>
          <w:sz w:val="22"/>
          <w:szCs w:val="22"/>
        </w:rPr>
      </w:pPr>
      <w:r>
        <w:rPr>
          <w:noProof/>
        </w:rPr>
        <w:t>Chapter 2—Liability rules of general application</w:t>
      </w:r>
      <w:r w:rsidRPr="00411C46">
        <w:rPr>
          <w:b w:val="0"/>
          <w:noProof/>
          <w:sz w:val="18"/>
        </w:rPr>
        <w:tab/>
      </w:r>
      <w:r w:rsidRPr="00411C46">
        <w:rPr>
          <w:b w:val="0"/>
          <w:noProof/>
          <w:sz w:val="18"/>
        </w:rPr>
        <w:fldChar w:fldCharType="begin"/>
      </w:r>
      <w:r w:rsidRPr="00411C46">
        <w:rPr>
          <w:b w:val="0"/>
          <w:noProof/>
          <w:sz w:val="18"/>
        </w:rPr>
        <w:instrText xml:space="preserve"> PAGEREF _Toc49765184 \h </w:instrText>
      </w:r>
      <w:r w:rsidRPr="00411C46">
        <w:rPr>
          <w:b w:val="0"/>
          <w:noProof/>
          <w:sz w:val="18"/>
        </w:rPr>
      </w:r>
      <w:r w:rsidRPr="00411C46">
        <w:rPr>
          <w:b w:val="0"/>
          <w:noProof/>
          <w:sz w:val="18"/>
        </w:rPr>
        <w:fldChar w:fldCharType="separate"/>
      </w:r>
      <w:r w:rsidR="00F54F75">
        <w:rPr>
          <w:b w:val="0"/>
          <w:noProof/>
          <w:sz w:val="18"/>
        </w:rPr>
        <w:t>2</w:t>
      </w:r>
      <w:r w:rsidRPr="00411C46">
        <w:rPr>
          <w:b w:val="0"/>
          <w:noProof/>
          <w:sz w:val="18"/>
        </w:rPr>
        <w:fldChar w:fldCharType="end"/>
      </w:r>
    </w:p>
    <w:p w:rsidR="00411C46" w:rsidRDefault="00411C46">
      <w:pPr>
        <w:pStyle w:val="TOC2"/>
        <w:rPr>
          <w:rFonts w:asciiTheme="minorHAnsi" w:eastAsiaTheme="minorEastAsia" w:hAnsiTheme="minorHAnsi" w:cstheme="minorBidi"/>
          <w:b w:val="0"/>
          <w:noProof/>
          <w:kern w:val="0"/>
          <w:sz w:val="22"/>
          <w:szCs w:val="22"/>
        </w:rPr>
      </w:pPr>
      <w:r>
        <w:rPr>
          <w:noProof/>
        </w:rPr>
        <w:t>Part 2</w:t>
      </w:r>
      <w:r>
        <w:rPr>
          <w:noProof/>
        </w:rPr>
        <w:noBreakHyphen/>
        <w:t>5—Rules about deductibility of particular kinds of amounts</w:t>
      </w:r>
      <w:r w:rsidRPr="00411C46">
        <w:rPr>
          <w:b w:val="0"/>
          <w:noProof/>
          <w:sz w:val="18"/>
        </w:rPr>
        <w:tab/>
      </w:r>
      <w:r w:rsidRPr="00411C46">
        <w:rPr>
          <w:b w:val="0"/>
          <w:noProof/>
          <w:sz w:val="18"/>
        </w:rPr>
        <w:fldChar w:fldCharType="begin"/>
      </w:r>
      <w:r w:rsidRPr="00411C46">
        <w:rPr>
          <w:b w:val="0"/>
          <w:noProof/>
          <w:sz w:val="18"/>
        </w:rPr>
        <w:instrText xml:space="preserve"> PAGEREF _Toc49765185 \h </w:instrText>
      </w:r>
      <w:r w:rsidRPr="00411C46">
        <w:rPr>
          <w:b w:val="0"/>
          <w:noProof/>
          <w:sz w:val="18"/>
        </w:rPr>
      </w:r>
      <w:r w:rsidRPr="00411C46">
        <w:rPr>
          <w:b w:val="0"/>
          <w:noProof/>
          <w:sz w:val="18"/>
        </w:rPr>
        <w:fldChar w:fldCharType="separate"/>
      </w:r>
      <w:r w:rsidR="00F54F75">
        <w:rPr>
          <w:b w:val="0"/>
          <w:noProof/>
          <w:sz w:val="18"/>
        </w:rPr>
        <w:t>2</w:t>
      </w:r>
      <w:r w:rsidRPr="00411C46">
        <w:rPr>
          <w:b w:val="0"/>
          <w:noProof/>
          <w:sz w:val="18"/>
        </w:rPr>
        <w:fldChar w:fldCharType="end"/>
      </w:r>
    </w:p>
    <w:p w:rsidR="00411C46" w:rsidRDefault="00411C46">
      <w:pPr>
        <w:pStyle w:val="TOC3"/>
        <w:rPr>
          <w:rFonts w:asciiTheme="minorHAnsi" w:eastAsiaTheme="minorEastAsia" w:hAnsiTheme="minorHAnsi" w:cstheme="minorBidi"/>
          <w:b w:val="0"/>
          <w:noProof/>
          <w:kern w:val="0"/>
          <w:szCs w:val="22"/>
        </w:rPr>
      </w:pPr>
      <w:r>
        <w:rPr>
          <w:noProof/>
        </w:rPr>
        <w:t>Division 26—Some amounts you cannot deduct, or cannot deduct in full</w:t>
      </w:r>
      <w:r w:rsidRPr="00411C46">
        <w:rPr>
          <w:b w:val="0"/>
          <w:noProof/>
          <w:sz w:val="18"/>
        </w:rPr>
        <w:tab/>
      </w:r>
      <w:r w:rsidRPr="00411C46">
        <w:rPr>
          <w:b w:val="0"/>
          <w:noProof/>
          <w:sz w:val="18"/>
        </w:rPr>
        <w:fldChar w:fldCharType="begin"/>
      </w:r>
      <w:r w:rsidRPr="00411C46">
        <w:rPr>
          <w:b w:val="0"/>
          <w:noProof/>
          <w:sz w:val="18"/>
        </w:rPr>
        <w:instrText xml:space="preserve"> PAGEREF _Toc49765186 \h </w:instrText>
      </w:r>
      <w:r w:rsidRPr="00411C46">
        <w:rPr>
          <w:b w:val="0"/>
          <w:noProof/>
          <w:sz w:val="18"/>
        </w:rPr>
      </w:r>
      <w:r w:rsidRPr="00411C46">
        <w:rPr>
          <w:b w:val="0"/>
          <w:noProof/>
          <w:sz w:val="18"/>
        </w:rPr>
        <w:fldChar w:fldCharType="separate"/>
      </w:r>
      <w:r w:rsidR="00F54F75">
        <w:rPr>
          <w:b w:val="0"/>
          <w:noProof/>
          <w:sz w:val="18"/>
        </w:rPr>
        <w:t>2</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26</w:t>
      </w:r>
      <w:r>
        <w:rPr>
          <w:noProof/>
        </w:rPr>
        <w:noBreakHyphen/>
        <w:t>85.01</w:t>
      </w:r>
      <w:r>
        <w:rPr>
          <w:noProof/>
        </w:rPr>
        <w:tab/>
        <w:t>Borrowing costs on loans to pay life insurance premiums—term insurance policy etc.</w:t>
      </w:r>
      <w:r w:rsidRPr="00411C46">
        <w:rPr>
          <w:noProof/>
        </w:rPr>
        <w:tab/>
      </w:r>
      <w:r w:rsidRPr="00411C46">
        <w:rPr>
          <w:noProof/>
        </w:rPr>
        <w:fldChar w:fldCharType="begin"/>
      </w:r>
      <w:r w:rsidRPr="00411C46">
        <w:rPr>
          <w:noProof/>
        </w:rPr>
        <w:instrText xml:space="preserve"> PAGEREF _Toc49765187 \h </w:instrText>
      </w:r>
      <w:r w:rsidRPr="00411C46">
        <w:rPr>
          <w:noProof/>
        </w:rPr>
      </w:r>
      <w:r w:rsidRPr="00411C46">
        <w:rPr>
          <w:noProof/>
        </w:rPr>
        <w:fldChar w:fldCharType="separate"/>
      </w:r>
      <w:r w:rsidR="00F54F75">
        <w:rPr>
          <w:noProof/>
        </w:rPr>
        <w:t>2</w:t>
      </w:r>
      <w:r w:rsidRPr="00411C46">
        <w:rPr>
          <w:noProof/>
        </w:rPr>
        <w:fldChar w:fldCharType="end"/>
      </w:r>
    </w:p>
    <w:p w:rsidR="00411C46" w:rsidRDefault="00411C46">
      <w:pPr>
        <w:pStyle w:val="TOC3"/>
        <w:rPr>
          <w:rFonts w:asciiTheme="minorHAnsi" w:eastAsiaTheme="minorEastAsia" w:hAnsiTheme="minorHAnsi" w:cstheme="minorBidi"/>
          <w:b w:val="0"/>
          <w:noProof/>
          <w:kern w:val="0"/>
          <w:szCs w:val="22"/>
        </w:rPr>
      </w:pPr>
      <w:r>
        <w:rPr>
          <w:noProof/>
        </w:rPr>
        <w:t>Division 30—Gifts or contributions</w:t>
      </w:r>
      <w:r w:rsidRPr="00411C46">
        <w:rPr>
          <w:b w:val="0"/>
          <w:noProof/>
          <w:sz w:val="18"/>
        </w:rPr>
        <w:tab/>
      </w:r>
      <w:r w:rsidRPr="00411C46">
        <w:rPr>
          <w:b w:val="0"/>
          <w:noProof/>
          <w:sz w:val="18"/>
        </w:rPr>
        <w:fldChar w:fldCharType="begin"/>
      </w:r>
      <w:r w:rsidRPr="00411C46">
        <w:rPr>
          <w:b w:val="0"/>
          <w:noProof/>
          <w:sz w:val="18"/>
        </w:rPr>
        <w:instrText xml:space="preserve"> PAGEREF _Toc49765188 \h </w:instrText>
      </w:r>
      <w:r w:rsidRPr="00411C46">
        <w:rPr>
          <w:b w:val="0"/>
          <w:noProof/>
          <w:sz w:val="18"/>
        </w:rPr>
      </w:r>
      <w:r w:rsidRPr="00411C46">
        <w:rPr>
          <w:b w:val="0"/>
          <w:noProof/>
          <w:sz w:val="18"/>
        </w:rPr>
        <w:fldChar w:fldCharType="separate"/>
      </w:r>
      <w:r w:rsidR="00F54F75">
        <w:rPr>
          <w:b w:val="0"/>
          <w:noProof/>
          <w:sz w:val="18"/>
        </w:rPr>
        <w:t>3</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30</w:t>
      </w:r>
      <w:r>
        <w:rPr>
          <w:noProof/>
        </w:rPr>
        <w:noBreakHyphen/>
        <w:t>212.01</w:t>
      </w:r>
      <w:r>
        <w:rPr>
          <w:noProof/>
        </w:rPr>
        <w:tab/>
        <w:t>Valuation of gifts</w:t>
      </w:r>
      <w:r w:rsidRPr="00411C46">
        <w:rPr>
          <w:noProof/>
        </w:rPr>
        <w:tab/>
      </w:r>
      <w:r w:rsidRPr="00411C46">
        <w:rPr>
          <w:noProof/>
        </w:rPr>
        <w:fldChar w:fldCharType="begin"/>
      </w:r>
      <w:r w:rsidRPr="00411C46">
        <w:rPr>
          <w:noProof/>
        </w:rPr>
        <w:instrText xml:space="preserve"> PAGEREF _Toc49765189 \h </w:instrText>
      </w:r>
      <w:r w:rsidRPr="00411C46">
        <w:rPr>
          <w:noProof/>
        </w:rPr>
      </w:r>
      <w:r w:rsidRPr="00411C46">
        <w:rPr>
          <w:noProof/>
        </w:rPr>
        <w:fldChar w:fldCharType="separate"/>
      </w:r>
      <w:r w:rsidR="00F54F75">
        <w:rPr>
          <w:noProof/>
        </w:rPr>
        <w:t>3</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30</w:t>
      </w:r>
      <w:r>
        <w:rPr>
          <w:noProof/>
        </w:rPr>
        <w:noBreakHyphen/>
        <w:t>212.02</w:t>
      </w:r>
      <w:r>
        <w:rPr>
          <w:noProof/>
        </w:rPr>
        <w:tab/>
        <w:t>Application for valuation</w:t>
      </w:r>
      <w:r w:rsidRPr="00411C46">
        <w:rPr>
          <w:noProof/>
        </w:rPr>
        <w:tab/>
      </w:r>
      <w:r w:rsidRPr="00411C46">
        <w:rPr>
          <w:noProof/>
        </w:rPr>
        <w:fldChar w:fldCharType="begin"/>
      </w:r>
      <w:r w:rsidRPr="00411C46">
        <w:rPr>
          <w:noProof/>
        </w:rPr>
        <w:instrText xml:space="preserve"> PAGEREF _Toc49765190 \h </w:instrText>
      </w:r>
      <w:r w:rsidRPr="00411C46">
        <w:rPr>
          <w:noProof/>
        </w:rPr>
      </w:r>
      <w:r w:rsidRPr="00411C46">
        <w:rPr>
          <w:noProof/>
        </w:rPr>
        <w:fldChar w:fldCharType="separate"/>
      </w:r>
      <w:r w:rsidR="00F54F75">
        <w:rPr>
          <w:noProof/>
        </w:rPr>
        <w:t>3</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30</w:t>
      </w:r>
      <w:r>
        <w:rPr>
          <w:noProof/>
        </w:rPr>
        <w:noBreakHyphen/>
        <w:t>212.03</w:t>
      </w:r>
      <w:r>
        <w:rPr>
          <w:noProof/>
        </w:rPr>
        <w:tab/>
        <w:t>Charge for making valuation</w:t>
      </w:r>
      <w:r w:rsidRPr="00411C46">
        <w:rPr>
          <w:noProof/>
        </w:rPr>
        <w:tab/>
      </w:r>
      <w:r w:rsidRPr="00411C46">
        <w:rPr>
          <w:noProof/>
        </w:rPr>
        <w:fldChar w:fldCharType="begin"/>
      </w:r>
      <w:r w:rsidRPr="00411C46">
        <w:rPr>
          <w:noProof/>
        </w:rPr>
        <w:instrText xml:space="preserve"> PAGEREF _Toc49765191 \h </w:instrText>
      </w:r>
      <w:r w:rsidRPr="00411C46">
        <w:rPr>
          <w:noProof/>
        </w:rPr>
      </w:r>
      <w:r w:rsidRPr="00411C46">
        <w:rPr>
          <w:noProof/>
        </w:rPr>
        <w:fldChar w:fldCharType="separate"/>
      </w:r>
      <w:r w:rsidR="00F54F75">
        <w:rPr>
          <w:noProof/>
        </w:rPr>
        <w:t>3</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30</w:t>
      </w:r>
      <w:r>
        <w:rPr>
          <w:noProof/>
        </w:rPr>
        <w:noBreakHyphen/>
        <w:t>212.04</w:t>
      </w:r>
      <w:r>
        <w:rPr>
          <w:noProof/>
        </w:rPr>
        <w:tab/>
        <w:t>Advance payment of charge</w:t>
      </w:r>
      <w:r w:rsidRPr="00411C46">
        <w:rPr>
          <w:noProof/>
        </w:rPr>
        <w:tab/>
      </w:r>
      <w:r w:rsidRPr="00411C46">
        <w:rPr>
          <w:noProof/>
        </w:rPr>
        <w:fldChar w:fldCharType="begin"/>
      </w:r>
      <w:r w:rsidRPr="00411C46">
        <w:rPr>
          <w:noProof/>
        </w:rPr>
        <w:instrText xml:space="preserve"> PAGEREF _Toc49765192 \h </w:instrText>
      </w:r>
      <w:r w:rsidRPr="00411C46">
        <w:rPr>
          <w:noProof/>
        </w:rPr>
      </w:r>
      <w:r w:rsidRPr="00411C46">
        <w:rPr>
          <w:noProof/>
        </w:rPr>
        <w:fldChar w:fldCharType="separate"/>
      </w:r>
      <w:r w:rsidR="00F54F75">
        <w:rPr>
          <w:noProof/>
        </w:rPr>
        <w:t>3</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30</w:t>
      </w:r>
      <w:r>
        <w:rPr>
          <w:noProof/>
        </w:rPr>
        <w:noBreakHyphen/>
        <w:t>212.05</w:t>
      </w:r>
      <w:r>
        <w:rPr>
          <w:noProof/>
        </w:rPr>
        <w:tab/>
        <w:t>Commissioner not required to consider application until advance payment is paid</w:t>
      </w:r>
      <w:r w:rsidRPr="00411C46">
        <w:rPr>
          <w:noProof/>
        </w:rPr>
        <w:tab/>
      </w:r>
      <w:r w:rsidRPr="00411C46">
        <w:rPr>
          <w:noProof/>
        </w:rPr>
        <w:fldChar w:fldCharType="begin"/>
      </w:r>
      <w:r w:rsidRPr="00411C46">
        <w:rPr>
          <w:noProof/>
        </w:rPr>
        <w:instrText xml:space="preserve"> PAGEREF _Toc49765193 \h </w:instrText>
      </w:r>
      <w:r w:rsidRPr="00411C46">
        <w:rPr>
          <w:noProof/>
        </w:rPr>
      </w:r>
      <w:r w:rsidRPr="00411C46">
        <w:rPr>
          <w:noProof/>
        </w:rPr>
        <w:fldChar w:fldCharType="separate"/>
      </w:r>
      <w:r w:rsidR="00F54F75">
        <w:rPr>
          <w:noProof/>
        </w:rPr>
        <w:t>4</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30</w:t>
      </w:r>
      <w:r>
        <w:rPr>
          <w:noProof/>
        </w:rPr>
        <w:noBreakHyphen/>
        <w:t>212.06</w:t>
      </w:r>
      <w:r>
        <w:rPr>
          <w:noProof/>
        </w:rPr>
        <w:tab/>
        <w:t>Applications treated as having no effect</w:t>
      </w:r>
      <w:r w:rsidRPr="00411C46">
        <w:rPr>
          <w:noProof/>
        </w:rPr>
        <w:tab/>
      </w:r>
      <w:r w:rsidRPr="00411C46">
        <w:rPr>
          <w:noProof/>
        </w:rPr>
        <w:fldChar w:fldCharType="begin"/>
      </w:r>
      <w:r w:rsidRPr="00411C46">
        <w:rPr>
          <w:noProof/>
        </w:rPr>
        <w:instrText xml:space="preserve"> PAGEREF _Toc49765194 \h </w:instrText>
      </w:r>
      <w:r w:rsidRPr="00411C46">
        <w:rPr>
          <w:noProof/>
        </w:rPr>
      </w:r>
      <w:r w:rsidRPr="00411C46">
        <w:rPr>
          <w:noProof/>
        </w:rPr>
        <w:fldChar w:fldCharType="separate"/>
      </w:r>
      <w:r w:rsidR="00F54F75">
        <w:rPr>
          <w:noProof/>
        </w:rPr>
        <w:t>4</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30</w:t>
      </w:r>
      <w:r>
        <w:rPr>
          <w:noProof/>
        </w:rPr>
        <w:noBreakHyphen/>
        <w:t>212.07</w:t>
      </w:r>
      <w:r>
        <w:rPr>
          <w:noProof/>
        </w:rPr>
        <w:tab/>
        <w:t>Crediting and repaying valuation charges</w:t>
      </w:r>
      <w:r w:rsidRPr="00411C46">
        <w:rPr>
          <w:noProof/>
        </w:rPr>
        <w:tab/>
      </w:r>
      <w:r w:rsidRPr="00411C46">
        <w:rPr>
          <w:noProof/>
        </w:rPr>
        <w:fldChar w:fldCharType="begin"/>
      </w:r>
      <w:r w:rsidRPr="00411C46">
        <w:rPr>
          <w:noProof/>
        </w:rPr>
        <w:instrText xml:space="preserve"> PAGEREF _Toc49765195 \h </w:instrText>
      </w:r>
      <w:r w:rsidRPr="00411C46">
        <w:rPr>
          <w:noProof/>
        </w:rPr>
      </w:r>
      <w:r w:rsidRPr="00411C46">
        <w:rPr>
          <w:noProof/>
        </w:rPr>
        <w:fldChar w:fldCharType="separate"/>
      </w:r>
      <w:r w:rsidR="00F54F75">
        <w:rPr>
          <w:noProof/>
        </w:rPr>
        <w:t>4</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30</w:t>
      </w:r>
      <w:r>
        <w:rPr>
          <w:noProof/>
        </w:rPr>
        <w:noBreakHyphen/>
        <w:t>212.08</w:t>
      </w:r>
      <w:r>
        <w:rPr>
          <w:noProof/>
        </w:rPr>
        <w:tab/>
        <w:t>Valuation certificates</w:t>
      </w:r>
      <w:r w:rsidRPr="00411C46">
        <w:rPr>
          <w:noProof/>
        </w:rPr>
        <w:tab/>
      </w:r>
      <w:r w:rsidRPr="00411C46">
        <w:rPr>
          <w:noProof/>
        </w:rPr>
        <w:fldChar w:fldCharType="begin"/>
      </w:r>
      <w:r w:rsidRPr="00411C46">
        <w:rPr>
          <w:noProof/>
        </w:rPr>
        <w:instrText xml:space="preserve"> PAGEREF _Toc49765196 \h </w:instrText>
      </w:r>
      <w:r w:rsidRPr="00411C46">
        <w:rPr>
          <w:noProof/>
        </w:rPr>
      </w:r>
      <w:r w:rsidRPr="00411C46">
        <w:rPr>
          <w:noProof/>
        </w:rPr>
        <w:fldChar w:fldCharType="separate"/>
      </w:r>
      <w:r w:rsidR="00F54F75">
        <w:rPr>
          <w:noProof/>
        </w:rPr>
        <w:t>4</w:t>
      </w:r>
      <w:r w:rsidRPr="00411C46">
        <w:rPr>
          <w:noProof/>
        </w:rPr>
        <w:fldChar w:fldCharType="end"/>
      </w:r>
    </w:p>
    <w:p w:rsidR="00411C46" w:rsidRDefault="00411C46">
      <w:pPr>
        <w:pStyle w:val="TOC3"/>
        <w:rPr>
          <w:rFonts w:asciiTheme="minorHAnsi" w:eastAsiaTheme="minorEastAsia" w:hAnsiTheme="minorHAnsi" w:cstheme="minorBidi"/>
          <w:b w:val="0"/>
          <w:noProof/>
          <w:kern w:val="0"/>
          <w:szCs w:val="22"/>
        </w:rPr>
      </w:pPr>
      <w:r>
        <w:rPr>
          <w:noProof/>
        </w:rPr>
        <w:t>Division 31—Conservation covenants</w:t>
      </w:r>
      <w:r w:rsidRPr="00411C46">
        <w:rPr>
          <w:b w:val="0"/>
          <w:noProof/>
          <w:sz w:val="18"/>
        </w:rPr>
        <w:tab/>
      </w:r>
      <w:r w:rsidRPr="00411C46">
        <w:rPr>
          <w:b w:val="0"/>
          <w:noProof/>
          <w:sz w:val="18"/>
        </w:rPr>
        <w:fldChar w:fldCharType="begin"/>
      </w:r>
      <w:r w:rsidRPr="00411C46">
        <w:rPr>
          <w:b w:val="0"/>
          <w:noProof/>
          <w:sz w:val="18"/>
        </w:rPr>
        <w:instrText xml:space="preserve"> PAGEREF _Toc49765197 \h </w:instrText>
      </w:r>
      <w:r w:rsidRPr="00411C46">
        <w:rPr>
          <w:b w:val="0"/>
          <w:noProof/>
          <w:sz w:val="18"/>
        </w:rPr>
      </w:r>
      <w:r w:rsidRPr="00411C46">
        <w:rPr>
          <w:b w:val="0"/>
          <w:noProof/>
          <w:sz w:val="18"/>
        </w:rPr>
        <w:fldChar w:fldCharType="separate"/>
      </w:r>
      <w:r w:rsidR="00F54F75">
        <w:rPr>
          <w:b w:val="0"/>
          <w:noProof/>
          <w:sz w:val="18"/>
        </w:rPr>
        <w:t>6</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31</w:t>
      </w:r>
      <w:r>
        <w:rPr>
          <w:noProof/>
        </w:rPr>
        <w:noBreakHyphen/>
        <w:t>15.01</w:t>
      </w:r>
      <w:r>
        <w:rPr>
          <w:noProof/>
        </w:rPr>
        <w:tab/>
        <w:t>Valuation of land</w:t>
      </w:r>
      <w:r w:rsidRPr="00411C46">
        <w:rPr>
          <w:noProof/>
        </w:rPr>
        <w:tab/>
      </w:r>
      <w:r w:rsidRPr="00411C46">
        <w:rPr>
          <w:noProof/>
        </w:rPr>
        <w:fldChar w:fldCharType="begin"/>
      </w:r>
      <w:r w:rsidRPr="00411C46">
        <w:rPr>
          <w:noProof/>
        </w:rPr>
        <w:instrText xml:space="preserve"> PAGEREF _Toc49765198 \h </w:instrText>
      </w:r>
      <w:r w:rsidRPr="00411C46">
        <w:rPr>
          <w:noProof/>
        </w:rPr>
      </w:r>
      <w:r w:rsidRPr="00411C46">
        <w:rPr>
          <w:noProof/>
        </w:rPr>
        <w:fldChar w:fldCharType="separate"/>
      </w:r>
      <w:r w:rsidR="00F54F75">
        <w:rPr>
          <w:noProof/>
        </w:rPr>
        <w:t>6</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31</w:t>
      </w:r>
      <w:r>
        <w:rPr>
          <w:noProof/>
        </w:rPr>
        <w:noBreakHyphen/>
        <w:t>15.02</w:t>
      </w:r>
      <w:r>
        <w:rPr>
          <w:noProof/>
        </w:rPr>
        <w:tab/>
        <w:t>Application for valuation</w:t>
      </w:r>
      <w:r w:rsidRPr="00411C46">
        <w:rPr>
          <w:noProof/>
        </w:rPr>
        <w:tab/>
      </w:r>
      <w:r w:rsidRPr="00411C46">
        <w:rPr>
          <w:noProof/>
        </w:rPr>
        <w:fldChar w:fldCharType="begin"/>
      </w:r>
      <w:r w:rsidRPr="00411C46">
        <w:rPr>
          <w:noProof/>
        </w:rPr>
        <w:instrText xml:space="preserve"> PAGEREF _Toc49765199 \h </w:instrText>
      </w:r>
      <w:r w:rsidRPr="00411C46">
        <w:rPr>
          <w:noProof/>
        </w:rPr>
      </w:r>
      <w:r w:rsidRPr="00411C46">
        <w:rPr>
          <w:noProof/>
        </w:rPr>
        <w:fldChar w:fldCharType="separate"/>
      </w:r>
      <w:r w:rsidR="00F54F75">
        <w:rPr>
          <w:noProof/>
        </w:rPr>
        <w:t>6</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31</w:t>
      </w:r>
      <w:r>
        <w:rPr>
          <w:noProof/>
        </w:rPr>
        <w:noBreakHyphen/>
        <w:t>15.03</w:t>
      </w:r>
      <w:r>
        <w:rPr>
          <w:noProof/>
        </w:rPr>
        <w:tab/>
        <w:t>Charge for making valuation</w:t>
      </w:r>
      <w:r w:rsidRPr="00411C46">
        <w:rPr>
          <w:noProof/>
        </w:rPr>
        <w:tab/>
      </w:r>
      <w:r w:rsidRPr="00411C46">
        <w:rPr>
          <w:noProof/>
        </w:rPr>
        <w:fldChar w:fldCharType="begin"/>
      </w:r>
      <w:r w:rsidRPr="00411C46">
        <w:rPr>
          <w:noProof/>
        </w:rPr>
        <w:instrText xml:space="preserve"> PAGEREF _Toc49765200 \h </w:instrText>
      </w:r>
      <w:r w:rsidRPr="00411C46">
        <w:rPr>
          <w:noProof/>
        </w:rPr>
      </w:r>
      <w:r w:rsidRPr="00411C46">
        <w:rPr>
          <w:noProof/>
        </w:rPr>
        <w:fldChar w:fldCharType="separate"/>
      </w:r>
      <w:r w:rsidR="00F54F75">
        <w:rPr>
          <w:noProof/>
        </w:rPr>
        <w:t>6</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31</w:t>
      </w:r>
      <w:r>
        <w:rPr>
          <w:noProof/>
        </w:rPr>
        <w:noBreakHyphen/>
        <w:t>15.04</w:t>
      </w:r>
      <w:r>
        <w:rPr>
          <w:noProof/>
        </w:rPr>
        <w:tab/>
        <w:t>Advance payment of charge</w:t>
      </w:r>
      <w:r w:rsidRPr="00411C46">
        <w:rPr>
          <w:noProof/>
        </w:rPr>
        <w:tab/>
      </w:r>
      <w:r w:rsidRPr="00411C46">
        <w:rPr>
          <w:noProof/>
        </w:rPr>
        <w:fldChar w:fldCharType="begin"/>
      </w:r>
      <w:r w:rsidRPr="00411C46">
        <w:rPr>
          <w:noProof/>
        </w:rPr>
        <w:instrText xml:space="preserve"> PAGEREF _Toc49765201 \h </w:instrText>
      </w:r>
      <w:r w:rsidRPr="00411C46">
        <w:rPr>
          <w:noProof/>
        </w:rPr>
      </w:r>
      <w:r w:rsidRPr="00411C46">
        <w:rPr>
          <w:noProof/>
        </w:rPr>
        <w:fldChar w:fldCharType="separate"/>
      </w:r>
      <w:r w:rsidR="00F54F75">
        <w:rPr>
          <w:noProof/>
        </w:rPr>
        <w:t>6</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31</w:t>
      </w:r>
      <w:r>
        <w:rPr>
          <w:noProof/>
        </w:rPr>
        <w:noBreakHyphen/>
        <w:t>15.05</w:t>
      </w:r>
      <w:r>
        <w:rPr>
          <w:noProof/>
        </w:rPr>
        <w:tab/>
        <w:t>Commissioner not required to consider application until advance payment is paid</w:t>
      </w:r>
      <w:r w:rsidRPr="00411C46">
        <w:rPr>
          <w:noProof/>
        </w:rPr>
        <w:tab/>
      </w:r>
      <w:r w:rsidRPr="00411C46">
        <w:rPr>
          <w:noProof/>
        </w:rPr>
        <w:fldChar w:fldCharType="begin"/>
      </w:r>
      <w:r w:rsidRPr="00411C46">
        <w:rPr>
          <w:noProof/>
        </w:rPr>
        <w:instrText xml:space="preserve"> PAGEREF _Toc49765202 \h </w:instrText>
      </w:r>
      <w:r w:rsidRPr="00411C46">
        <w:rPr>
          <w:noProof/>
        </w:rPr>
      </w:r>
      <w:r w:rsidRPr="00411C46">
        <w:rPr>
          <w:noProof/>
        </w:rPr>
        <w:fldChar w:fldCharType="separate"/>
      </w:r>
      <w:r w:rsidR="00F54F75">
        <w:rPr>
          <w:noProof/>
        </w:rPr>
        <w:t>7</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31</w:t>
      </w:r>
      <w:r>
        <w:rPr>
          <w:noProof/>
        </w:rPr>
        <w:noBreakHyphen/>
        <w:t>15.06</w:t>
      </w:r>
      <w:r>
        <w:rPr>
          <w:noProof/>
        </w:rPr>
        <w:tab/>
        <w:t>Applications treated as having no effect</w:t>
      </w:r>
      <w:r w:rsidRPr="00411C46">
        <w:rPr>
          <w:noProof/>
        </w:rPr>
        <w:tab/>
      </w:r>
      <w:r w:rsidRPr="00411C46">
        <w:rPr>
          <w:noProof/>
        </w:rPr>
        <w:fldChar w:fldCharType="begin"/>
      </w:r>
      <w:r w:rsidRPr="00411C46">
        <w:rPr>
          <w:noProof/>
        </w:rPr>
        <w:instrText xml:space="preserve"> PAGEREF _Toc49765203 \h </w:instrText>
      </w:r>
      <w:r w:rsidRPr="00411C46">
        <w:rPr>
          <w:noProof/>
        </w:rPr>
      </w:r>
      <w:r w:rsidRPr="00411C46">
        <w:rPr>
          <w:noProof/>
        </w:rPr>
        <w:fldChar w:fldCharType="separate"/>
      </w:r>
      <w:r w:rsidR="00F54F75">
        <w:rPr>
          <w:noProof/>
        </w:rPr>
        <w:t>7</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31</w:t>
      </w:r>
      <w:r>
        <w:rPr>
          <w:noProof/>
        </w:rPr>
        <w:noBreakHyphen/>
        <w:t>15.07</w:t>
      </w:r>
      <w:r>
        <w:rPr>
          <w:noProof/>
        </w:rPr>
        <w:tab/>
        <w:t>Crediting and repaying valuation charges</w:t>
      </w:r>
      <w:r w:rsidRPr="00411C46">
        <w:rPr>
          <w:noProof/>
        </w:rPr>
        <w:tab/>
      </w:r>
      <w:r w:rsidRPr="00411C46">
        <w:rPr>
          <w:noProof/>
        </w:rPr>
        <w:fldChar w:fldCharType="begin"/>
      </w:r>
      <w:r w:rsidRPr="00411C46">
        <w:rPr>
          <w:noProof/>
        </w:rPr>
        <w:instrText xml:space="preserve"> PAGEREF _Toc49765204 \h </w:instrText>
      </w:r>
      <w:r w:rsidRPr="00411C46">
        <w:rPr>
          <w:noProof/>
        </w:rPr>
      </w:r>
      <w:r w:rsidRPr="00411C46">
        <w:rPr>
          <w:noProof/>
        </w:rPr>
        <w:fldChar w:fldCharType="separate"/>
      </w:r>
      <w:r w:rsidR="00F54F75">
        <w:rPr>
          <w:noProof/>
        </w:rPr>
        <w:t>7</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31</w:t>
      </w:r>
      <w:r>
        <w:rPr>
          <w:noProof/>
        </w:rPr>
        <w:noBreakHyphen/>
        <w:t>15.08</w:t>
      </w:r>
      <w:r>
        <w:rPr>
          <w:noProof/>
        </w:rPr>
        <w:tab/>
        <w:t>Valuation certificates</w:t>
      </w:r>
      <w:r w:rsidRPr="00411C46">
        <w:rPr>
          <w:noProof/>
        </w:rPr>
        <w:tab/>
      </w:r>
      <w:r w:rsidRPr="00411C46">
        <w:rPr>
          <w:noProof/>
        </w:rPr>
        <w:fldChar w:fldCharType="begin"/>
      </w:r>
      <w:r w:rsidRPr="00411C46">
        <w:rPr>
          <w:noProof/>
        </w:rPr>
        <w:instrText xml:space="preserve"> PAGEREF _Toc49765205 \h </w:instrText>
      </w:r>
      <w:r w:rsidRPr="00411C46">
        <w:rPr>
          <w:noProof/>
        </w:rPr>
      </w:r>
      <w:r w:rsidRPr="00411C46">
        <w:rPr>
          <w:noProof/>
        </w:rPr>
        <w:fldChar w:fldCharType="separate"/>
      </w:r>
      <w:r w:rsidR="00F54F75">
        <w:rPr>
          <w:noProof/>
        </w:rPr>
        <w:t>7</w:t>
      </w:r>
      <w:r w:rsidRPr="00411C46">
        <w:rPr>
          <w:noProof/>
        </w:rPr>
        <w:fldChar w:fldCharType="end"/>
      </w:r>
    </w:p>
    <w:p w:rsidR="00411C46" w:rsidRDefault="00411C46">
      <w:pPr>
        <w:pStyle w:val="TOC2"/>
        <w:rPr>
          <w:rFonts w:asciiTheme="minorHAnsi" w:eastAsiaTheme="minorEastAsia" w:hAnsiTheme="minorHAnsi" w:cstheme="minorBidi"/>
          <w:b w:val="0"/>
          <w:noProof/>
          <w:kern w:val="0"/>
          <w:sz w:val="22"/>
          <w:szCs w:val="22"/>
        </w:rPr>
      </w:pPr>
      <w:r>
        <w:rPr>
          <w:noProof/>
        </w:rPr>
        <w:t>Part 2</w:t>
      </w:r>
      <w:r>
        <w:rPr>
          <w:noProof/>
        </w:rPr>
        <w:noBreakHyphen/>
        <w:t>15—Non</w:t>
      </w:r>
      <w:r>
        <w:rPr>
          <w:noProof/>
        </w:rPr>
        <w:noBreakHyphen/>
        <w:t>assessable income</w:t>
      </w:r>
      <w:r w:rsidRPr="00411C46">
        <w:rPr>
          <w:b w:val="0"/>
          <w:noProof/>
          <w:sz w:val="18"/>
        </w:rPr>
        <w:tab/>
      </w:r>
      <w:r w:rsidRPr="00411C46">
        <w:rPr>
          <w:b w:val="0"/>
          <w:noProof/>
          <w:sz w:val="18"/>
        </w:rPr>
        <w:fldChar w:fldCharType="begin"/>
      </w:r>
      <w:r w:rsidRPr="00411C46">
        <w:rPr>
          <w:b w:val="0"/>
          <w:noProof/>
          <w:sz w:val="18"/>
        </w:rPr>
        <w:instrText xml:space="preserve"> PAGEREF _Toc49765206 \h </w:instrText>
      </w:r>
      <w:r w:rsidRPr="00411C46">
        <w:rPr>
          <w:b w:val="0"/>
          <w:noProof/>
          <w:sz w:val="18"/>
        </w:rPr>
      </w:r>
      <w:r w:rsidRPr="00411C46">
        <w:rPr>
          <w:b w:val="0"/>
          <w:noProof/>
          <w:sz w:val="18"/>
        </w:rPr>
        <w:fldChar w:fldCharType="separate"/>
      </w:r>
      <w:r w:rsidR="00F54F75">
        <w:rPr>
          <w:b w:val="0"/>
          <w:noProof/>
          <w:sz w:val="18"/>
        </w:rPr>
        <w:t>9</w:t>
      </w:r>
      <w:r w:rsidRPr="00411C46">
        <w:rPr>
          <w:b w:val="0"/>
          <w:noProof/>
          <w:sz w:val="18"/>
        </w:rPr>
        <w:fldChar w:fldCharType="end"/>
      </w:r>
    </w:p>
    <w:p w:rsidR="00411C46" w:rsidRDefault="00411C46">
      <w:pPr>
        <w:pStyle w:val="TOC3"/>
        <w:rPr>
          <w:rFonts w:asciiTheme="minorHAnsi" w:eastAsiaTheme="minorEastAsia" w:hAnsiTheme="minorHAnsi" w:cstheme="minorBidi"/>
          <w:b w:val="0"/>
          <w:noProof/>
          <w:kern w:val="0"/>
          <w:szCs w:val="22"/>
        </w:rPr>
      </w:pPr>
      <w:r>
        <w:rPr>
          <w:noProof/>
        </w:rPr>
        <w:t>Division 50—Exempt entities</w:t>
      </w:r>
      <w:r w:rsidRPr="00411C46">
        <w:rPr>
          <w:b w:val="0"/>
          <w:noProof/>
          <w:sz w:val="18"/>
        </w:rPr>
        <w:tab/>
      </w:r>
      <w:r w:rsidRPr="00411C46">
        <w:rPr>
          <w:b w:val="0"/>
          <w:noProof/>
          <w:sz w:val="18"/>
        </w:rPr>
        <w:fldChar w:fldCharType="begin"/>
      </w:r>
      <w:r w:rsidRPr="00411C46">
        <w:rPr>
          <w:b w:val="0"/>
          <w:noProof/>
          <w:sz w:val="18"/>
        </w:rPr>
        <w:instrText xml:space="preserve"> PAGEREF _Toc49765207 \h </w:instrText>
      </w:r>
      <w:r w:rsidRPr="00411C46">
        <w:rPr>
          <w:b w:val="0"/>
          <w:noProof/>
          <w:sz w:val="18"/>
        </w:rPr>
      </w:r>
      <w:r w:rsidRPr="00411C46">
        <w:rPr>
          <w:b w:val="0"/>
          <w:noProof/>
          <w:sz w:val="18"/>
        </w:rPr>
        <w:fldChar w:fldCharType="separate"/>
      </w:r>
      <w:r w:rsidR="00F54F75">
        <w:rPr>
          <w:b w:val="0"/>
          <w:noProof/>
          <w:sz w:val="18"/>
        </w:rPr>
        <w:t>9</w:t>
      </w:r>
      <w:r w:rsidRPr="00411C46">
        <w:rPr>
          <w:b w:val="0"/>
          <w:noProof/>
          <w:sz w:val="18"/>
        </w:rPr>
        <w:fldChar w:fldCharType="end"/>
      </w:r>
    </w:p>
    <w:p w:rsidR="00411C46" w:rsidRDefault="00411C46">
      <w:pPr>
        <w:pStyle w:val="TOC4"/>
        <w:rPr>
          <w:rFonts w:asciiTheme="minorHAnsi" w:eastAsiaTheme="minorEastAsia" w:hAnsiTheme="minorHAnsi" w:cstheme="minorBidi"/>
          <w:b w:val="0"/>
          <w:noProof/>
          <w:kern w:val="0"/>
          <w:sz w:val="22"/>
          <w:szCs w:val="22"/>
        </w:rPr>
      </w:pPr>
      <w:r>
        <w:rPr>
          <w:noProof/>
        </w:rPr>
        <w:t>Subdivision 50</w:t>
      </w:r>
      <w:r>
        <w:rPr>
          <w:noProof/>
        </w:rPr>
        <w:noBreakHyphen/>
        <w:t>A—Various exempt entities</w:t>
      </w:r>
      <w:r w:rsidRPr="00411C46">
        <w:rPr>
          <w:b w:val="0"/>
          <w:noProof/>
          <w:sz w:val="18"/>
        </w:rPr>
        <w:tab/>
      </w:r>
      <w:r w:rsidRPr="00411C46">
        <w:rPr>
          <w:b w:val="0"/>
          <w:noProof/>
          <w:sz w:val="18"/>
        </w:rPr>
        <w:fldChar w:fldCharType="begin"/>
      </w:r>
      <w:r w:rsidRPr="00411C46">
        <w:rPr>
          <w:b w:val="0"/>
          <w:noProof/>
          <w:sz w:val="18"/>
        </w:rPr>
        <w:instrText xml:space="preserve"> PAGEREF _Toc49765208 \h </w:instrText>
      </w:r>
      <w:r w:rsidRPr="00411C46">
        <w:rPr>
          <w:b w:val="0"/>
          <w:noProof/>
          <w:sz w:val="18"/>
        </w:rPr>
      </w:r>
      <w:r w:rsidRPr="00411C46">
        <w:rPr>
          <w:b w:val="0"/>
          <w:noProof/>
          <w:sz w:val="18"/>
        </w:rPr>
        <w:fldChar w:fldCharType="separate"/>
      </w:r>
      <w:r w:rsidR="00F54F75">
        <w:rPr>
          <w:b w:val="0"/>
          <w:noProof/>
          <w:sz w:val="18"/>
        </w:rPr>
        <w:t>9</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50</w:t>
      </w:r>
      <w:r>
        <w:rPr>
          <w:noProof/>
        </w:rPr>
        <w:noBreakHyphen/>
        <w:t>50.01</w:t>
      </w:r>
      <w:r>
        <w:rPr>
          <w:noProof/>
        </w:rPr>
        <w:tab/>
        <w:t>Prescribed institutions located outside Australia</w:t>
      </w:r>
      <w:r w:rsidRPr="00411C46">
        <w:rPr>
          <w:noProof/>
        </w:rPr>
        <w:tab/>
      </w:r>
      <w:r w:rsidRPr="00411C46">
        <w:rPr>
          <w:noProof/>
        </w:rPr>
        <w:fldChar w:fldCharType="begin"/>
      </w:r>
      <w:r w:rsidRPr="00411C46">
        <w:rPr>
          <w:noProof/>
        </w:rPr>
        <w:instrText xml:space="preserve"> PAGEREF _Toc49765209 \h </w:instrText>
      </w:r>
      <w:r w:rsidRPr="00411C46">
        <w:rPr>
          <w:noProof/>
        </w:rPr>
      </w:r>
      <w:r w:rsidRPr="00411C46">
        <w:rPr>
          <w:noProof/>
        </w:rPr>
        <w:fldChar w:fldCharType="separate"/>
      </w:r>
      <w:r w:rsidR="00F54F75">
        <w:rPr>
          <w:noProof/>
        </w:rPr>
        <w:t>9</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50</w:t>
      </w:r>
      <w:r>
        <w:rPr>
          <w:noProof/>
        </w:rPr>
        <w:noBreakHyphen/>
        <w:t>50.02</w:t>
      </w:r>
      <w:r>
        <w:rPr>
          <w:noProof/>
        </w:rPr>
        <w:tab/>
        <w:t>Prescribed institutions pursuing objectives principally outside Australia</w:t>
      </w:r>
      <w:r w:rsidRPr="00411C46">
        <w:rPr>
          <w:noProof/>
        </w:rPr>
        <w:tab/>
      </w:r>
      <w:r w:rsidRPr="00411C46">
        <w:rPr>
          <w:noProof/>
        </w:rPr>
        <w:fldChar w:fldCharType="begin"/>
      </w:r>
      <w:r w:rsidRPr="00411C46">
        <w:rPr>
          <w:noProof/>
        </w:rPr>
        <w:instrText xml:space="preserve"> PAGEREF _Toc49765210 \h </w:instrText>
      </w:r>
      <w:r w:rsidRPr="00411C46">
        <w:rPr>
          <w:noProof/>
        </w:rPr>
      </w:r>
      <w:r w:rsidRPr="00411C46">
        <w:rPr>
          <w:noProof/>
        </w:rPr>
        <w:fldChar w:fldCharType="separate"/>
      </w:r>
      <w:r w:rsidR="00F54F75">
        <w:rPr>
          <w:noProof/>
        </w:rPr>
        <w:t>9</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50</w:t>
      </w:r>
      <w:r>
        <w:rPr>
          <w:noProof/>
        </w:rPr>
        <w:noBreakHyphen/>
        <w:t>55.01</w:t>
      </w:r>
      <w:r>
        <w:rPr>
          <w:noProof/>
        </w:rPr>
        <w:tab/>
        <w:t>Prescribed institutions for items 1.3, 1.4, 6.1 and 6.2 in Division 50</w:t>
      </w:r>
      <w:r w:rsidRPr="00411C46">
        <w:rPr>
          <w:noProof/>
        </w:rPr>
        <w:tab/>
      </w:r>
      <w:r w:rsidRPr="00411C46">
        <w:rPr>
          <w:noProof/>
        </w:rPr>
        <w:fldChar w:fldCharType="begin"/>
      </w:r>
      <w:r w:rsidRPr="00411C46">
        <w:rPr>
          <w:noProof/>
        </w:rPr>
        <w:instrText xml:space="preserve"> PAGEREF _Toc49765211 \h </w:instrText>
      </w:r>
      <w:r w:rsidRPr="00411C46">
        <w:rPr>
          <w:noProof/>
        </w:rPr>
      </w:r>
      <w:r w:rsidRPr="00411C46">
        <w:rPr>
          <w:noProof/>
        </w:rPr>
        <w:fldChar w:fldCharType="separate"/>
      </w:r>
      <w:r w:rsidR="00F54F75">
        <w:rPr>
          <w:noProof/>
        </w:rPr>
        <w:t>10</w:t>
      </w:r>
      <w:r w:rsidRPr="00411C46">
        <w:rPr>
          <w:noProof/>
        </w:rPr>
        <w:fldChar w:fldCharType="end"/>
      </w:r>
    </w:p>
    <w:p w:rsidR="00411C46" w:rsidRDefault="00411C46">
      <w:pPr>
        <w:pStyle w:val="TOC3"/>
        <w:rPr>
          <w:rFonts w:asciiTheme="minorHAnsi" w:eastAsiaTheme="minorEastAsia" w:hAnsiTheme="minorHAnsi" w:cstheme="minorBidi"/>
          <w:b w:val="0"/>
          <w:noProof/>
          <w:kern w:val="0"/>
          <w:szCs w:val="22"/>
        </w:rPr>
      </w:pPr>
      <w:r>
        <w:rPr>
          <w:noProof/>
        </w:rPr>
        <w:t>Division 51—Exempt amounts</w:t>
      </w:r>
      <w:r w:rsidRPr="00411C46">
        <w:rPr>
          <w:b w:val="0"/>
          <w:noProof/>
          <w:sz w:val="18"/>
        </w:rPr>
        <w:tab/>
      </w:r>
      <w:r w:rsidRPr="00411C46">
        <w:rPr>
          <w:b w:val="0"/>
          <w:noProof/>
          <w:sz w:val="18"/>
        </w:rPr>
        <w:fldChar w:fldCharType="begin"/>
      </w:r>
      <w:r w:rsidRPr="00411C46">
        <w:rPr>
          <w:b w:val="0"/>
          <w:noProof/>
          <w:sz w:val="18"/>
        </w:rPr>
        <w:instrText xml:space="preserve"> PAGEREF _Toc49765212 \h </w:instrText>
      </w:r>
      <w:r w:rsidRPr="00411C46">
        <w:rPr>
          <w:b w:val="0"/>
          <w:noProof/>
          <w:sz w:val="18"/>
        </w:rPr>
      </w:r>
      <w:r w:rsidRPr="00411C46">
        <w:rPr>
          <w:b w:val="0"/>
          <w:noProof/>
          <w:sz w:val="18"/>
        </w:rPr>
        <w:fldChar w:fldCharType="separate"/>
      </w:r>
      <w:r w:rsidR="00F54F75">
        <w:rPr>
          <w:b w:val="0"/>
          <w:noProof/>
          <w:sz w:val="18"/>
        </w:rPr>
        <w:t>11</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51</w:t>
      </w:r>
      <w:r>
        <w:rPr>
          <w:noProof/>
        </w:rPr>
        <w:noBreakHyphen/>
        <w:t>5.01</w:t>
      </w:r>
      <w:r>
        <w:rPr>
          <w:noProof/>
        </w:rPr>
        <w:tab/>
        <w:t>Defence allowances</w:t>
      </w:r>
      <w:r w:rsidRPr="00411C46">
        <w:rPr>
          <w:noProof/>
        </w:rPr>
        <w:tab/>
      </w:r>
      <w:r w:rsidRPr="00411C46">
        <w:rPr>
          <w:noProof/>
        </w:rPr>
        <w:fldChar w:fldCharType="begin"/>
      </w:r>
      <w:r w:rsidRPr="00411C46">
        <w:rPr>
          <w:noProof/>
        </w:rPr>
        <w:instrText xml:space="preserve"> PAGEREF _Toc49765213 \h </w:instrText>
      </w:r>
      <w:r w:rsidRPr="00411C46">
        <w:rPr>
          <w:noProof/>
        </w:rPr>
      </w:r>
      <w:r w:rsidRPr="00411C46">
        <w:rPr>
          <w:noProof/>
        </w:rPr>
        <w:fldChar w:fldCharType="separate"/>
      </w:r>
      <w:r w:rsidR="00F54F75">
        <w:rPr>
          <w:noProof/>
        </w:rPr>
        <w:t>11</w:t>
      </w:r>
      <w:r w:rsidRPr="00411C46">
        <w:rPr>
          <w:noProof/>
        </w:rPr>
        <w:fldChar w:fldCharType="end"/>
      </w:r>
    </w:p>
    <w:p w:rsidR="00411C46" w:rsidRDefault="00411C46">
      <w:pPr>
        <w:pStyle w:val="TOC2"/>
        <w:rPr>
          <w:rFonts w:asciiTheme="minorHAnsi" w:eastAsiaTheme="minorEastAsia" w:hAnsiTheme="minorHAnsi" w:cstheme="minorBidi"/>
          <w:b w:val="0"/>
          <w:noProof/>
          <w:kern w:val="0"/>
          <w:sz w:val="22"/>
          <w:szCs w:val="22"/>
        </w:rPr>
      </w:pPr>
      <w:r>
        <w:rPr>
          <w:noProof/>
        </w:rPr>
        <w:t>Part 2</w:t>
      </w:r>
      <w:r>
        <w:rPr>
          <w:noProof/>
        </w:rPr>
        <w:noBreakHyphen/>
        <w:t>20—Tax offsets</w:t>
      </w:r>
      <w:r w:rsidRPr="00411C46">
        <w:rPr>
          <w:b w:val="0"/>
          <w:noProof/>
          <w:sz w:val="18"/>
        </w:rPr>
        <w:tab/>
      </w:r>
      <w:r w:rsidRPr="00411C46">
        <w:rPr>
          <w:b w:val="0"/>
          <w:noProof/>
          <w:sz w:val="18"/>
        </w:rPr>
        <w:fldChar w:fldCharType="begin"/>
      </w:r>
      <w:r w:rsidRPr="00411C46">
        <w:rPr>
          <w:b w:val="0"/>
          <w:noProof/>
          <w:sz w:val="18"/>
        </w:rPr>
        <w:instrText xml:space="preserve"> PAGEREF _Toc49765214 \h </w:instrText>
      </w:r>
      <w:r w:rsidRPr="00411C46">
        <w:rPr>
          <w:b w:val="0"/>
          <w:noProof/>
          <w:sz w:val="18"/>
        </w:rPr>
      </w:r>
      <w:r w:rsidRPr="00411C46">
        <w:rPr>
          <w:b w:val="0"/>
          <w:noProof/>
          <w:sz w:val="18"/>
        </w:rPr>
        <w:fldChar w:fldCharType="separate"/>
      </w:r>
      <w:r w:rsidR="00F54F75">
        <w:rPr>
          <w:b w:val="0"/>
          <w:noProof/>
          <w:sz w:val="18"/>
        </w:rPr>
        <w:t>12</w:t>
      </w:r>
      <w:r w:rsidRPr="00411C46">
        <w:rPr>
          <w:b w:val="0"/>
          <w:noProof/>
          <w:sz w:val="18"/>
        </w:rPr>
        <w:fldChar w:fldCharType="end"/>
      </w:r>
    </w:p>
    <w:p w:rsidR="00411C46" w:rsidRDefault="00411C46">
      <w:pPr>
        <w:pStyle w:val="TOC3"/>
        <w:rPr>
          <w:rFonts w:asciiTheme="minorHAnsi" w:eastAsiaTheme="minorEastAsia" w:hAnsiTheme="minorHAnsi" w:cstheme="minorBidi"/>
          <w:b w:val="0"/>
          <w:noProof/>
          <w:kern w:val="0"/>
          <w:szCs w:val="22"/>
        </w:rPr>
      </w:pPr>
      <w:r>
        <w:rPr>
          <w:noProof/>
        </w:rPr>
        <w:t>Division 61—Generally applicable tax offsets</w:t>
      </w:r>
      <w:r w:rsidRPr="00411C46">
        <w:rPr>
          <w:b w:val="0"/>
          <w:noProof/>
          <w:sz w:val="18"/>
        </w:rPr>
        <w:tab/>
      </w:r>
      <w:r w:rsidRPr="00411C46">
        <w:rPr>
          <w:b w:val="0"/>
          <w:noProof/>
          <w:sz w:val="18"/>
        </w:rPr>
        <w:fldChar w:fldCharType="begin"/>
      </w:r>
      <w:r w:rsidRPr="00411C46">
        <w:rPr>
          <w:b w:val="0"/>
          <w:noProof/>
          <w:sz w:val="18"/>
        </w:rPr>
        <w:instrText xml:space="preserve"> PAGEREF _Toc49765215 \h </w:instrText>
      </w:r>
      <w:r w:rsidRPr="00411C46">
        <w:rPr>
          <w:b w:val="0"/>
          <w:noProof/>
          <w:sz w:val="18"/>
        </w:rPr>
      </w:r>
      <w:r w:rsidRPr="00411C46">
        <w:rPr>
          <w:b w:val="0"/>
          <w:noProof/>
          <w:sz w:val="18"/>
        </w:rPr>
        <w:fldChar w:fldCharType="separate"/>
      </w:r>
      <w:r w:rsidR="00F54F75">
        <w:rPr>
          <w:b w:val="0"/>
          <w:noProof/>
          <w:sz w:val="18"/>
        </w:rPr>
        <w:t>12</w:t>
      </w:r>
      <w:r w:rsidRPr="00411C46">
        <w:rPr>
          <w:b w:val="0"/>
          <w:noProof/>
          <w:sz w:val="18"/>
        </w:rPr>
        <w:fldChar w:fldCharType="end"/>
      </w:r>
    </w:p>
    <w:p w:rsidR="00411C46" w:rsidRDefault="00411C46">
      <w:pPr>
        <w:pStyle w:val="TOC4"/>
        <w:rPr>
          <w:rFonts w:asciiTheme="minorHAnsi" w:eastAsiaTheme="minorEastAsia" w:hAnsiTheme="minorHAnsi" w:cstheme="minorBidi"/>
          <w:b w:val="0"/>
          <w:noProof/>
          <w:kern w:val="0"/>
          <w:sz w:val="22"/>
          <w:szCs w:val="22"/>
        </w:rPr>
      </w:pPr>
      <w:r w:rsidRPr="00DC60FC">
        <w:rPr>
          <w:rFonts w:eastAsiaTheme="majorEastAsia"/>
          <w:noProof/>
        </w:rPr>
        <w:t>Subdivision 61</w:t>
      </w:r>
      <w:r w:rsidRPr="00DC60FC">
        <w:rPr>
          <w:rFonts w:eastAsiaTheme="majorEastAsia"/>
          <w:noProof/>
        </w:rPr>
        <w:noBreakHyphen/>
        <w:t>G</w:t>
      </w:r>
      <w:r>
        <w:rPr>
          <w:noProof/>
        </w:rPr>
        <w:t>—</w:t>
      </w:r>
      <w:r w:rsidRPr="00DC60FC">
        <w:rPr>
          <w:rFonts w:eastAsiaTheme="majorEastAsia"/>
          <w:noProof/>
        </w:rPr>
        <w:t>Private health insurance offset complementary to Part 2</w:t>
      </w:r>
      <w:r w:rsidRPr="00DC60FC">
        <w:rPr>
          <w:rFonts w:eastAsiaTheme="majorEastAsia"/>
          <w:noProof/>
        </w:rPr>
        <w:noBreakHyphen/>
        <w:t>2 of the Private Health Insurance Act 2007</w:t>
      </w:r>
      <w:r w:rsidRPr="00411C46">
        <w:rPr>
          <w:b w:val="0"/>
          <w:noProof/>
          <w:sz w:val="18"/>
        </w:rPr>
        <w:tab/>
      </w:r>
      <w:r w:rsidRPr="00411C46">
        <w:rPr>
          <w:b w:val="0"/>
          <w:noProof/>
          <w:sz w:val="18"/>
        </w:rPr>
        <w:fldChar w:fldCharType="begin"/>
      </w:r>
      <w:r w:rsidRPr="00411C46">
        <w:rPr>
          <w:b w:val="0"/>
          <w:noProof/>
          <w:sz w:val="18"/>
        </w:rPr>
        <w:instrText xml:space="preserve"> PAGEREF _Toc49765216 \h </w:instrText>
      </w:r>
      <w:r w:rsidRPr="00411C46">
        <w:rPr>
          <w:b w:val="0"/>
          <w:noProof/>
          <w:sz w:val="18"/>
        </w:rPr>
      </w:r>
      <w:r w:rsidRPr="00411C46">
        <w:rPr>
          <w:b w:val="0"/>
          <w:noProof/>
          <w:sz w:val="18"/>
        </w:rPr>
        <w:fldChar w:fldCharType="separate"/>
      </w:r>
      <w:r w:rsidR="00F54F75">
        <w:rPr>
          <w:b w:val="0"/>
          <w:noProof/>
          <w:sz w:val="18"/>
        </w:rPr>
        <w:t>12</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61</w:t>
      </w:r>
      <w:r>
        <w:rPr>
          <w:noProof/>
        </w:rPr>
        <w:noBreakHyphen/>
        <w:t>220.01</w:t>
      </w:r>
      <w:r>
        <w:rPr>
          <w:noProof/>
        </w:rPr>
        <w:tab/>
        <w:t>Private health insurer to provide annual statement to PHIIB if requested</w:t>
      </w:r>
      <w:r w:rsidRPr="00411C46">
        <w:rPr>
          <w:noProof/>
        </w:rPr>
        <w:tab/>
      </w:r>
      <w:r w:rsidRPr="00411C46">
        <w:rPr>
          <w:noProof/>
        </w:rPr>
        <w:fldChar w:fldCharType="begin"/>
      </w:r>
      <w:r w:rsidRPr="00411C46">
        <w:rPr>
          <w:noProof/>
        </w:rPr>
        <w:instrText xml:space="preserve"> PAGEREF _Toc49765217 \h </w:instrText>
      </w:r>
      <w:r w:rsidRPr="00411C46">
        <w:rPr>
          <w:noProof/>
        </w:rPr>
      </w:r>
      <w:r w:rsidRPr="00411C46">
        <w:rPr>
          <w:noProof/>
        </w:rPr>
        <w:fldChar w:fldCharType="separate"/>
      </w:r>
      <w:r w:rsidR="00F54F75">
        <w:rPr>
          <w:noProof/>
        </w:rPr>
        <w:t>12</w:t>
      </w:r>
      <w:r w:rsidRPr="00411C46">
        <w:rPr>
          <w:noProof/>
        </w:rPr>
        <w:fldChar w:fldCharType="end"/>
      </w:r>
    </w:p>
    <w:p w:rsidR="00411C46" w:rsidRDefault="00411C46">
      <w:pPr>
        <w:pStyle w:val="TOC2"/>
        <w:rPr>
          <w:rFonts w:asciiTheme="minorHAnsi" w:eastAsiaTheme="minorEastAsia" w:hAnsiTheme="minorHAnsi" w:cstheme="minorBidi"/>
          <w:b w:val="0"/>
          <w:noProof/>
          <w:kern w:val="0"/>
          <w:sz w:val="22"/>
          <w:szCs w:val="22"/>
        </w:rPr>
      </w:pPr>
      <w:r>
        <w:rPr>
          <w:noProof/>
        </w:rPr>
        <w:lastRenderedPageBreak/>
        <w:t>Part 2</w:t>
      </w:r>
      <w:r>
        <w:rPr>
          <w:noProof/>
        </w:rPr>
        <w:noBreakHyphen/>
        <w:t>25—Trading stock</w:t>
      </w:r>
      <w:r w:rsidRPr="00411C46">
        <w:rPr>
          <w:b w:val="0"/>
          <w:noProof/>
          <w:sz w:val="18"/>
        </w:rPr>
        <w:tab/>
      </w:r>
      <w:r w:rsidRPr="00411C46">
        <w:rPr>
          <w:b w:val="0"/>
          <w:noProof/>
          <w:sz w:val="18"/>
        </w:rPr>
        <w:fldChar w:fldCharType="begin"/>
      </w:r>
      <w:r w:rsidRPr="00411C46">
        <w:rPr>
          <w:b w:val="0"/>
          <w:noProof/>
          <w:sz w:val="18"/>
        </w:rPr>
        <w:instrText xml:space="preserve"> PAGEREF _Toc49765218 \h </w:instrText>
      </w:r>
      <w:r w:rsidRPr="00411C46">
        <w:rPr>
          <w:b w:val="0"/>
          <w:noProof/>
          <w:sz w:val="18"/>
        </w:rPr>
      </w:r>
      <w:r w:rsidRPr="00411C46">
        <w:rPr>
          <w:b w:val="0"/>
          <w:noProof/>
          <w:sz w:val="18"/>
        </w:rPr>
        <w:fldChar w:fldCharType="separate"/>
      </w:r>
      <w:r w:rsidR="00F54F75">
        <w:rPr>
          <w:b w:val="0"/>
          <w:noProof/>
          <w:sz w:val="18"/>
        </w:rPr>
        <w:t>13</w:t>
      </w:r>
      <w:r w:rsidRPr="00411C46">
        <w:rPr>
          <w:b w:val="0"/>
          <w:noProof/>
          <w:sz w:val="18"/>
        </w:rPr>
        <w:fldChar w:fldCharType="end"/>
      </w:r>
    </w:p>
    <w:p w:rsidR="00411C46" w:rsidRDefault="00411C46">
      <w:pPr>
        <w:pStyle w:val="TOC3"/>
        <w:rPr>
          <w:rFonts w:asciiTheme="minorHAnsi" w:eastAsiaTheme="minorEastAsia" w:hAnsiTheme="minorHAnsi" w:cstheme="minorBidi"/>
          <w:b w:val="0"/>
          <w:noProof/>
          <w:kern w:val="0"/>
          <w:szCs w:val="22"/>
        </w:rPr>
      </w:pPr>
      <w:r>
        <w:rPr>
          <w:noProof/>
        </w:rPr>
        <w:t>Division 70—Trading stock</w:t>
      </w:r>
      <w:r w:rsidRPr="00411C46">
        <w:rPr>
          <w:b w:val="0"/>
          <w:noProof/>
          <w:sz w:val="18"/>
        </w:rPr>
        <w:tab/>
      </w:r>
      <w:r w:rsidRPr="00411C46">
        <w:rPr>
          <w:b w:val="0"/>
          <w:noProof/>
          <w:sz w:val="18"/>
        </w:rPr>
        <w:fldChar w:fldCharType="begin"/>
      </w:r>
      <w:r w:rsidRPr="00411C46">
        <w:rPr>
          <w:b w:val="0"/>
          <w:noProof/>
          <w:sz w:val="18"/>
        </w:rPr>
        <w:instrText xml:space="preserve"> PAGEREF _Toc49765219 \h </w:instrText>
      </w:r>
      <w:r w:rsidRPr="00411C46">
        <w:rPr>
          <w:b w:val="0"/>
          <w:noProof/>
          <w:sz w:val="18"/>
        </w:rPr>
      </w:r>
      <w:r w:rsidRPr="00411C46">
        <w:rPr>
          <w:b w:val="0"/>
          <w:noProof/>
          <w:sz w:val="18"/>
        </w:rPr>
        <w:fldChar w:fldCharType="separate"/>
      </w:r>
      <w:r w:rsidR="00F54F75">
        <w:rPr>
          <w:b w:val="0"/>
          <w:noProof/>
          <w:sz w:val="18"/>
        </w:rPr>
        <w:t>13</w:t>
      </w:r>
      <w:r w:rsidRPr="00411C46">
        <w:rPr>
          <w:b w:val="0"/>
          <w:noProof/>
          <w:sz w:val="18"/>
        </w:rPr>
        <w:fldChar w:fldCharType="end"/>
      </w:r>
    </w:p>
    <w:p w:rsidR="00411C46" w:rsidRDefault="00411C46">
      <w:pPr>
        <w:pStyle w:val="TOC4"/>
        <w:rPr>
          <w:rFonts w:asciiTheme="minorHAnsi" w:eastAsiaTheme="minorEastAsia" w:hAnsiTheme="minorHAnsi" w:cstheme="minorBidi"/>
          <w:b w:val="0"/>
          <w:noProof/>
          <w:kern w:val="0"/>
          <w:sz w:val="22"/>
          <w:szCs w:val="22"/>
        </w:rPr>
      </w:pPr>
      <w:r>
        <w:rPr>
          <w:noProof/>
        </w:rPr>
        <w:t>Subdivision 70</w:t>
      </w:r>
      <w:r>
        <w:rPr>
          <w:noProof/>
        </w:rPr>
        <w:noBreakHyphen/>
        <w:t>C—Accounting for trading stock you hold at the start or end of the income year</w:t>
      </w:r>
      <w:r w:rsidRPr="00411C46">
        <w:rPr>
          <w:b w:val="0"/>
          <w:noProof/>
          <w:sz w:val="18"/>
        </w:rPr>
        <w:tab/>
      </w:r>
      <w:r w:rsidRPr="00411C46">
        <w:rPr>
          <w:b w:val="0"/>
          <w:noProof/>
          <w:sz w:val="18"/>
        </w:rPr>
        <w:fldChar w:fldCharType="begin"/>
      </w:r>
      <w:r w:rsidRPr="00411C46">
        <w:rPr>
          <w:b w:val="0"/>
          <w:noProof/>
          <w:sz w:val="18"/>
        </w:rPr>
        <w:instrText xml:space="preserve"> PAGEREF _Toc49765220 \h </w:instrText>
      </w:r>
      <w:r w:rsidRPr="00411C46">
        <w:rPr>
          <w:b w:val="0"/>
          <w:noProof/>
          <w:sz w:val="18"/>
        </w:rPr>
      </w:r>
      <w:r w:rsidRPr="00411C46">
        <w:rPr>
          <w:b w:val="0"/>
          <w:noProof/>
          <w:sz w:val="18"/>
        </w:rPr>
        <w:fldChar w:fldCharType="separate"/>
      </w:r>
      <w:r w:rsidR="00F54F75">
        <w:rPr>
          <w:b w:val="0"/>
          <w:noProof/>
          <w:sz w:val="18"/>
        </w:rPr>
        <w:t>13</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70</w:t>
      </w:r>
      <w:r>
        <w:rPr>
          <w:noProof/>
        </w:rPr>
        <w:noBreakHyphen/>
        <w:t>55.01</w:t>
      </w:r>
      <w:r>
        <w:rPr>
          <w:noProof/>
        </w:rPr>
        <w:tab/>
        <w:t>Cost of natural increase of live stock</w:t>
      </w:r>
      <w:r w:rsidRPr="00411C46">
        <w:rPr>
          <w:noProof/>
        </w:rPr>
        <w:tab/>
      </w:r>
      <w:r w:rsidRPr="00411C46">
        <w:rPr>
          <w:noProof/>
        </w:rPr>
        <w:fldChar w:fldCharType="begin"/>
      </w:r>
      <w:r w:rsidRPr="00411C46">
        <w:rPr>
          <w:noProof/>
        </w:rPr>
        <w:instrText xml:space="preserve"> PAGEREF _Toc49765221 \h </w:instrText>
      </w:r>
      <w:r w:rsidRPr="00411C46">
        <w:rPr>
          <w:noProof/>
        </w:rPr>
      </w:r>
      <w:r w:rsidRPr="00411C46">
        <w:rPr>
          <w:noProof/>
        </w:rPr>
        <w:fldChar w:fldCharType="separate"/>
      </w:r>
      <w:r w:rsidR="00F54F75">
        <w:rPr>
          <w:noProof/>
        </w:rPr>
        <w:t>13</w:t>
      </w:r>
      <w:r w:rsidRPr="00411C46">
        <w:rPr>
          <w:noProof/>
        </w:rPr>
        <w:fldChar w:fldCharType="end"/>
      </w:r>
    </w:p>
    <w:p w:rsidR="00411C46" w:rsidRDefault="00411C46">
      <w:pPr>
        <w:pStyle w:val="TOC2"/>
        <w:rPr>
          <w:rFonts w:asciiTheme="minorHAnsi" w:eastAsiaTheme="minorEastAsia" w:hAnsiTheme="minorHAnsi" w:cstheme="minorBidi"/>
          <w:b w:val="0"/>
          <w:noProof/>
          <w:kern w:val="0"/>
          <w:sz w:val="22"/>
          <w:szCs w:val="22"/>
        </w:rPr>
      </w:pPr>
      <w:r>
        <w:rPr>
          <w:noProof/>
        </w:rPr>
        <w:t>Part 2</w:t>
      </w:r>
      <w:r>
        <w:rPr>
          <w:noProof/>
        </w:rPr>
        <w:noBreakHyphen/>
        <w:t>40—Rules affecting employees and other taxpayers receiving PAYG withholding payments</w:t>
      </w:r>
      <w:r w:rsidRPr="00411C46">
        <w:rPr>
          <w:b w:val="0"/>
          <w:noProof/>
          <w:sz w:val="18"/>
        </w:rPr>
        <w:tab/>
      </w:r>
      <w:r w:rsidRPr="00411C46">
        <w:rPr>
          <w:b w:val="0"/>
          <w:noProof/>
          <w:sz w:val="18"/>
        </w:rPr>
        <w:fldChar w:fldCharType="begin"/>
      </w:r>
      <w:r w:rsidRPr="00411C46">
        <w:rPr>
          <w:b w:val="0"/>
          <w:noProof/>
          <w:sz w:val="18"/>
        </w:rPr>
        <w:instrText xml:space="preserve"> PAGEREF _Toc49765222 \h </w:instrText>
      </w:r>
      <w:r w:rsidRPr="00411C46">
        <w:rPr>
          <w:b w:val="0"/>
          <w:noProof/>
          <w:sz w:val="18"/>
        </w:rPr>
      </w:r>
      <w:r w:rsidRPr="00411C46">
        <w:rPr>
          <w:b w:val="0"/>
          <w:noProof/>
          <w:sz w:val="18"/>
        </w:rPr>
        <w:fldChar w:fldCharType="separate"/>
      </w:r>
      <w:r w:rsidR="00F54F75">
        <w:rPr>
          <w:b w:val="0"/>
          <w:noProof/>
          <w:sz w:val="18"/>
        </w:rPr>
        <w:t>14</w:t>
      </w:r>
      <w:r w:rsidRPr="00411C46">
        <w:rPr>
          <w:b w:val="0"/>
          <w:noProof/>
          <w:sz w:val="18"/>
        </w:rPr>
        <w:fldChar w:fldCharType="end"/>
      </w:r>
    </w:p>
    <w:p w:rsidR="00411C46" w:rsidRDefault="00411C46">
      <w:pPr>
        <w:pStyle w:val="TOC3"/>
        <w:rPr>
          <w:rFonts w:asciiTheme="minorHAnsi" w:eastAsiaTheme="minorEastAsia" w:hAnsiTheme="minorHAnsi" w:cstheme="minorBidi"/>
          <w:b w:val="0"/>
          <w:noProof/>
          <w:kern w:val="0"/>
          <w:szCs w:val="22"/>
        </w:rPr>
      </w:pPr>
      <w:r>
        <w:rPr>
          <w:noProof/>
        </w:rPr>
        <w:t>Division 83A—Employee share schemes</w:t>
      </w:r>
      <w:r w:rsidRPr="00411C46">
        <w:rPr>
          <w:b w:val="0"/>
          <w:noProof/>
          <w:sz w:val="18"/>
        </w:rPr>
        <w:tab/>
      </w:r>
      <w:r w:rsidRPr="00411C46">
        <w:rPr>
          <w:b w:val="0"/>
          <w:noProof/>
          <w:sz w:val="18"/>
        </w:rPr>
        <w:fldChar w:fldCharType="begin"/>
      </w:r>
      <w:r w:rsidRPr="00411C46">
        <w:rPr>
          <w:b w:val="0"/>
          <w:noProof/>
          <w:sz w:val="18"/>
        </w:rPr>
        <w:instrText xml:space="preserve"> PAGEREF _Toc49765223 \h </w:instrText>
      </w:r>
      <w:r w:rsidRPr="00411C46">
        <w:rPr>
          <w:b w:val="0"/>
          <w:noProof/>
          <w:sz w:val="18"/>
        </w:rPr>
      </w:r>
      <w:r w:rsidRPr="00411C46">
        <w:rPr>
          <w:b w:val="0"/>
          <w:noProof/>
          <w:sz w:val="18"/>
        </w:rPr>
        <w:fldChar w:fldCharType="separate"/>
      </w:r>
      <w:r w:rsidR="00F54F75">
        <w:rPr>
          <w:b w:val="0"/>
          <w:noProof/>
          <w:sz w:val="18"/>
        </w:rPr>
        <w:t>14</w:t>
      </w:r>
      <w:r w:rsidRPr="00411C46">
        <w:rPr>
          <w:b w:val="0"/>
          <w:noProof/>
          <w:sz w:val="18"/>
        </w:rPr>
        <w:fldChar w:fldCharType="end"/>
      </w:r>
    </w:p>
    <w:p w:rsidR="00411C46" w:rsidRDefault="00411C46">
      <w:pPr>
        <w:pStyle w:val="TOC4"/>
        <w:rPr>
          <w:rFonts w:asciiTheme="minorHAnsi" w:eastAsiaTheme="minorEastAsia" w:hAnsiTheme="minorHAnsi" w:cstheme="minorBidi"/>
          <w:b w:val="0"/>
          <w:noProof/>
          <w:kern w:val="0"/>
          <w:sz w:val="22"/>
          <w:szCs w:val="22"/>
        </w:rPr>
      </w:pPr>
      <w:r>
        <w:rPr>
          <w:noProof/>
        </w:rPr>
        <w:t>Subdivision 83A</w:t>
      </w:r>
      <w:r>
        <w:rPr>
          <w:noProof/>
        </w:rPr>
        <w:noBreakHyphen/>
        <w:t>A—Objects of Division and key concepts</w:t>
      </w:r>
      <w:r w:rsidRPr="00411C46">
        <w:rPr>
          <w:b w:val="0"/>
          <w:noProof/>
          <w:sz w:val="18"/>
        </w:rPr>
        <w:tab/>
      </w:r>
      <w:r w:rsidRPr="00411C46">
        <w:rPr>
          <w:b w:val="0"/>
          <w:noProof/>
          <w:sz w:val="18"/>
        </w:rPr>
        <w:fldChar w:fldCharType="begin"/>
      </w:r>
      <w:r w:rsidRPr="00411C46">
        <w:rPr>
          <w:b w:val="0"/>
          <w:noProof/>
          <w:sz w:val="18"/>
        </w:rPr>
        <w:instrText xml:space="preserve"> PAGEREF _Toc49765224 \h </w:instrText>
      </w:r>
      <w:r w:rsidRPr="00411C46">
        <w:rPr>
          <w:b w:val="0"/>
          <w:noProof/>
          <w:sz w:val="18"/>
        </w:rPr>
      </w:r>
      <w:r w:rsidRPr="00411C46">
        <w:rPr>
          <w:b w:val="0"/>
          <w:noProof/>
          <w:sz w:val="18"/>
        </w:rPr>
        <w:fldChar w:fldCharType="separate"/>
      </w:r>
      <w:r w:rsidR="00F54F75">
        <w:rPr>
          <w:b w:val="0"/>
          <w:noProof/>
          <w:sz w:val="18"/>
        </w:rPr>
        <w:t>14</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83A</w:t>
      </w:r>
      <w:r>
        <w:rPr>
          <w:noProof/>
        </w:rPr>
        <w:noBreakHyphen/>
        <w:t>5.01</w:t>
      </w:r>
      <w:r>
        <w:rPr>
          <w:noProof/>
        </w:rPr>
        <w:tab/>
        <w:t>Object of Division 83A</w:t>
      </w:r>
      <w:r w:rsidRPr="00411C46">
        <w:rPr>
          <w:noProof/>
        </w:rPr>
        <w:tab/>
      </w:r>
      <w:r w:rsidRPr="00411C46">
        <w:rPr>
          <w:noProof/>
        </w:rPr>
        <w:fldChar w:fldCharType="begin"/>
      </w:r>
      <w:r w:rsidRPr="00411C46">
        <w:rPr>
          <w:noProof/>
        </w:rPr>
        <w:instrText xml:space="preserve"> PAGEREF _Toc49765225 \h </w:instrText>
      </w:r>
      <w:r w:rsidRPr="00411C46">
        <w:rPr>
          <w:noProof/>
        </w:rPr>
      </w:r>
      <w:r w:rsidRPr="00411C46">
        <w:rPr>
          <w:noProof/>
        </w:rPr>
        <w:fldChar w:fldCharType="separate"/>
      </w:r>
      <w:r w:rsidR="00F54F75">
        <w:rPr>
          <w:noProof/>
        </w:rPr>
        <w:t>14</w:t>
      </w:r>
      <w:r w:rsidRPr="00411C46">
        <w:rPr>
          <w:noProof/>
        </w:rPr>
        <w:fldChar w:fldCharType="end"/>
      </w:r>
    </w:p>
    <w:p w:rsidR="00411C46" w:rsidRDefault="00411C46">
      <w:pPr>
        <w:pStyle w:val="TOC4"/>
        <w:rPr>
          <w:rFonts w:asciiTheme="minorHAnsi" w:eastAsiaTheme="minorEastAsia" w:hAnsiTheme="minorHAnsi" w:cstheme="minorBidi"/>
          <w:b w:val="0"/>
          <w:noProof/>
          <w:kern w:val="0"/>
          <w:sz w:val="22"/>
          <w:szCs w:val="22"/>
        </w:rPr>
      </w:pPr>
      <w:r>
        <w:rPr>
          <w:noProof/>
        </w:rPr>
        <w:t>Subdivision 83A</w:t>
      </w:r>
      <w:r>
        <w:rPr>
          <w:noProof/>
        </w:rPr>
        <w:noBreakHyphen/>
        <w:t>E—Miscellaneous</w:t>
      </w:r>
      <w:r w:rsidRPr="00411C46">
        <w:rPr>
          <w:b w:val="0"/>
          <w:noProof/>
          <w:sz w:val="18"/>
        </w:rPr>
        <w:tab/>
      </w:r>
      <w:r w:rsidRPr="00411C46">
        <w:rPr>
          <w:b w:val="0"/>
          <w:noProof/>
          <w:sz w:val="18"/>
        </w:rPr>
        <w:fldChar w:fldCharType="begin"/>
      </w:r>
      <w:r w:rsidRPr="00411C46">
        <w:rPr>
          <w:b w:val="0"/>
          <w:noProof/>
          <w:sz w:val="18"/>
        </w:rPr>
        <w:instrText xml:space="preserve"> PAGEREF _Toc49765226 \h </w:instrText>
      </w:r>
      <w:r w:rsidRPr="00411C46">
        <w:rPr>
          <w:b w:val="0"/>
          <w:noProof/>
          <w:sz w:val="18"/>
        </w:rPr>
      </w:r>
      <w:r w:rsidRPr="00411C46">
        <w:rPr>
          <w:b w:val="0"/>
          <w:noProof/>
          <w:sz w:val="18"/>
        </w:rPr>
        <w:fldChar w:fldCharType="separate"/>
      </w:r>
      <w:r w:rsidR="00F54F75">
        <w:rPr>
          <w:b w:val="0"/>
          <w:noProof/>
          <w:sz w:val="18"/>
        </w:rPr>
        <w:t>14</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83A</w:t>
      </w:r>
      <w:r>
        <w:rPr>
          <w:noProof/>
        </w:rPr>
        <w:noBreakHyphen/>
        <w:t>315.01</w:t>
      </w:r>
      <w:r>
        <w:rPr>
          <w:noProof/>
        </w:rPr>
        <w:tab/>
        <w:t>Value of certain ESS interests</w:t>
      </w:r>
      <w:r w:rsidRPr="00411C46">
        <w:rPr>
          <w:noProof/>
        </w:rPr>
        <w:tab/>
      </w:r>
      <w:r w:rsidRPr="00411C46">
        <w:rPr>
          <w:noProof/>
        </w:rPr>
        <w:fldChar w:fldCharType="begin"/>
      </w:r>
      <w:r w:rsidRPr="00411C46">
        <w:rPr>
          <w:noProof/>
        </w:rPr>
        <w:instrText xml:space="preserve"> PAGEREF _Toc49765227 \h </w:instrText>
      </w:r>
      <w:r w:rsidRPr="00411C46">
        <w:rPr>
          <w:noProof/>
        </w:rPr>
      </w:r>
      <w:r w:rsidRPr="00411C46">
        <w:rPr>
          <w:noProof/>
        </w:rPr>
        <w:fldChar w:fldCharType="separate"/>
      </w:r>
      <w:r w:rsidR="00F54F75">
        <w:rPr>
          <w:noProof/>
        </w:rPr>
        <w:t>14</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83A</w:t>
      </w:r>
      <w:r>
        <w:rPr>
          <w:noProof/>
        </w:rPr>
        <w:noBreakHyphen/>
        <w:t>315.02</w:t>
      </w:r>
      <w:r>
        <w:rPr>
          <w:noProof/>
        </w:rPr>
        <w:tab/>
        <w:t>Valuing unlisted rights</w:t>
      </w:r>
      <w:r w:rsidRPr="00411C46">
        <w:rPr>
          <w:noProof/>
        </w:rPr>
        <w:tab/>
      </w:r>
      <w:r w:rsidRPr="00411C46">
        <w:rPr>
          <w:noProof/>
        </w:rPr>
        <w:fldChar w:fldCharType="begin"/>
      </w:r>
      <w:r w:rsidRPr="00411C46">
        <w:rPr>
          <w:noProof/>
        </w:rPr>
        <w:instrText xml:space="preserve"> PAGEREF _Toc49765228 \h </w:instrText>
      </w:r>
      <w:r w:rsidRPr="00411C46">
        <w:rPr>
          <w:noProof/>
        </w:rPr>
      </w:r>
      <w:r w:rsidRPr="00411C46">
        <w:rPr>
          <w:noProof/>
        </w:rPr>
        <w:fldChar w:fldCharType="separate"/>
      </w:r>
      <w:r w:rsidR="00F54F75">
        <w:rPr>
          <w:noProof/>
        </w:rPr>
        <w:t>14</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83A</w:t>
      </w:r>
      <w:r>
        <w:rPr>
          <w:noProof/>
        </w:rPr>
        <w:noBreakHyphen/>
        <w:t>315.03</w:t>
      </w:r>
      <w:r>
        <w:rPr>
          <w:noProof/>
        </w:rPr>
        <w:tab/>
        <w:t>Exercise price of right nil or cannot be determined</w:t>
      </w:r>
      <w:r w:rsidRPr="00411C46">
        <w:rPr>
          <w:noProof/>
        </w:rPr>
        <w:tab/>
      </w:r>
      <w:r w:rsidRPr="00411C46">
        <w:rPr>
          <w:noProof/>
        </w:rPr>
        <w:fldChar w:fldCharType="begin"/>
      </w:r>
      <w:r w:rsidRPr="00411C46">
        <w:rPr>
          <w:noProof/>
        </w:rPr>
        <w:instrText xml:space="preserve"> PAGEREF _Toc49765229 \h </w:instrText>
      </w:r>
      <w:r w:rsidRPr="00411C46">
        <w:rPr>
          <w:noProof/>
        </w:rPr>
      </w:r>
      <w:r w:rsidRPr="00411C46">
        <w:rPr>
          <w:noProof/>
        </w:rPr>
        <w:fldChar w:fldCharType="separate"/>
      </w:r>
      <w:r w:rsidR="00F54F75">
        <w:rPr>
          <w:noProof/>
        </w:rPr>
        <w:t>15</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83A</w:t>
      </w:r>
      <w:r>
        <w:rPr>
          <w:noProof/>
        </w:rPr>
        <w:noBreakHyphen/>
        <w:t>315.04</w:t>
      </w:r>
      <w:r>
        <w:rPr>
          <w:noProof/>
        </w:rPr>
        <w:tab/>
        <w:t>Value of beneficial interests</w:t>
      </w:r>
      <w:r w:rsidRPr="00411C46">
        <w:rPr>
          <w:noProof/>
        </w:rPr>
        <w:tab/>
      </w:r>
      <w:r w:rsidRPr="00411C46">
        <w:rPr>
          <w:noProof/>
        </w:rPr>
        <w:fldChar w:fldCharType="begin"/>
      </w:r>
      <w:r w:rsidRPr="00411C46">
        <w:rPr>
          <w:noProof/>
        </w:rPr>
        <w:instrText xml:space="preserve"> PAGEREF _Toc49765230 \h </w:instrText>
      </w:r>
      <w:r w:rsidRPr="00411C46">
        <w:rPr>
          <w:noProof/>
        </w:rPr>
      </w:r>
      <w:r w:rsidRPr="00411C46">
        <w:rPr>
          <w:noProof/>
        </w:rPr>
        <w:fldChar w:fldCharType="separate"/>
      </w:r>
      <w:r w:rsidR="00F54F75">
        <w:rPr>
          <w:noProof/>
        </w:rPr>
        <w:t>15</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83A</w:t>
      </w:r>
      <w:r>
        <w:rPr>
          <w:noProof/>
        </w:rPr>
        <w:noBreakHyphen/>
        <w:t>315.05</w:t>
      </w:r>
      <w:r>
        <w:rPr>
          <w:noProof/>
        </w:rPr>
        <w:tab/>
        <w:t>Working out the value of a right to acquire the beneficial interest in a share</w:t>
      </w:r>
      <w:r w:rsidRPr="00411C46">
        <w:rPr>
          <w:noProof/>
        </w:rPr>
        <w:tab/>
      </w:r>
      <w:r w:rsidRPr="00411C46">
        <w:rPr>
          <w:noProof/>
        </w:rPr>
        <w:fldChar w:fldCharType="begin"/>
      </w:r>
      <w:r w:rsidRPr="00411C46">
        <w:rPr>
          <w:noProof/>
        </w:rPr>
        <w:instrText xml:space="preserve"> PAGEREF _Toc49765231 \h </w:instrText>
      </w:r>
      <w:r w:rsidRPr="00411C46">
        <w:rPr>
          <w:noProof/>
        </w:rPr>
      </w:r>
      <w:r w:rsidRPr="00411C46">
        <w:rPr>
          <w:noProof/>
        </w:rPr>
        <w:fldChar w:fldCharType="separate"/>
      </w:r>
      <w:r w:rsidR="00F54F75">
        <w:rPr>
          <w:noProof/>
        </w:rPr>
        <w:t>15</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83A</w:t>
      </w:r>
      <w:r>
        <w:rPr>
          <w:noProof/>
        </w:rPr>
        <w:noBreakHyphen/>
        <w:t>315.08</w:t>
      </w:r>
      <w:r>
        <w:rPr>
          <w:noProof/>
        </w:rPr>
        <w:tab/>
        <w:t>Calculation percentages of 50% or more, and less than 110%</w:t>
      </w:r>
      <w:r w:rsidRPr="00411C46">
        <w:rPr>
          <w:noProof/>
        </w:rPr>
        <w:tab/>
      </w:r>
      <w:r w:rsidRPr="00411C46">
        <w:rPr>
          <w:noProof/>
        </w:rPr>
        <w:fldChar w:fldCharType="begin"/>
      </w:r>
      <w:r w:rsidRPr="00411C46">
        <w:rPr>
          <w:noProof/>
        </w:rPr>
        <w:instrText xml:space="preserve"> PAGEREF _Toc49765232 \h </w:instrText>
      </w:r>
      <w:r w:rsidRPr="00411C46">
        <w:rPr>
          <w:noProof/>
        </w:rPr>
      </w:r>
      <w:r w:rsidRPr="00411C46">
        <w:rPr>
          <w:noProof/>
        </w:rPr>
        <w:fldChar w:fldCharType="separate"/>
      </w:r>
      <w:r w:rsidR="00F54F75">
        <w:rPr>
          <w:noProof/>
        </w:rPr>
        <w:t>15</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83A</w:t>
      </w:r>
      <w:r>
        <w:rPr>
          <w:noProof/>
        </w:rPr>
        <w:noBreakHyphen/>
        <w:t>315.09</w:t>
      </w:r>
      <w:r>
        <w:rPr>
          <w:noProof/>
        </w:rPr>
        <w:tab/>
        <w:t>Base percentages for calculation percentages of 110% or more</w:t>
      </w:r>
      <w:r w:rsidRPr="00411C46">
        <w:rPr>
          <w:noProof/>
        </w:rPr>
        <w:tab/>
      </w:r>
      <w:r w:rsidRPr="00411C46">
        <w:rPr>
          <w:noProof/>
        </w:rPr>
        <w:fldChar w:fldCharType="begin"/>
      </w:r>
      <w:r w:rsidRPr="00411C46">
        <w:rPr>
          <w:noProof/>
        </w:rPr>
        <w:instrText xml:space="preserve"> PAGEREF _Toc49765233 \h </w:instrText>
      </w:r>
      <w:r w:rsidRPr="00411C46">
        <w:rPr>
          <w:noProof/>
        </w:rPr>
      </w:r>
      <w:r w:rsidRPr="00411C46">
        <w:rPr>
          <w:noProof/>
        </w:rPr>
        <w:fldChar w:fldCharType="separate"/>
      </w:r>
      <w:r w:rsidR="00F54F75">
        <w:rPr>
          <w:noProof/>
        </w:rPr>
        <w:t>17</w:t>
      </w:r>
      <w:r w:rsidRPr="00411C46">
        <w:rPr>
          <w:noProof/>
        </w:rPr>
        <w:fldChar w:fldCharType="end"/>
      </w:r>
    </w:p>
    <w:p w:rsidR="00411C46" w:rsidRDefault="00411C46">
      <w:pPr>
        <w:pStyle w:val="TOC1"/>
        <w:rPr>
          <w:rFonts w:asciiTheme="minorHAnsi" w:eastAsiaTheme="minorEastAsia" w:hAnsiTheme="minorHAnsi" w:cstheme="minorBidi"/>
          <w:b w:val="0"/>
          <w:noProof/>
          <w:kern w:val="0"/>
          <w:sz w:val="22"/>
          <w:szCs w:val="22"/>
        </w:rPr>
      </w:pPr>
      <w:r>
        <w:rPr>
          <w:noProof/>
        </w:rPr>
        <w:t>Chapter 3—Specialist liability rules</w:t>
      </w:r>
      <w:r w:rsidRPr="00411C46">
        <w:rPr>
          <w:b w:val="0"/>
          <w:noProof/>
          <w:sz w:val="18"/>
        </w:rPr>
        <w:tab/>
      </w:r>
      <w:r w:rsidRPr="00411C46">
        <w:rPr>
          <w:b w:val="0"/>
          <w:noProof/>
          <w:sz w:val="18"/>
        </w:rPr>
        <w:fldChar w:fldCharType="begin"/>
      </w:r>
      <w:r w:rsidRPr="00411C46">
        <w:rPr>
          <w:b w:val="0"/>
          <w:noProof/>
          <w:sz w:val="18"/>
        </w:rPr>
        <w:instrText xml:space="preserve"> PAGEREF _Toc49765234 \h </w:instrText>
      </w:r>
      <w:r w:rsidRPr="00411C46">
        <w:rPr>
          <w:b w:val="0"/>
          <w:noProof/>
          <w:sz w:val="18"/>
        </w:rPr>
      </w:r>
      <w:r w:rsidRPr="00411C46">
        <w:rPr>
          <w:b w:val="0"/>
          <w:noProof/>
          <w:sz w:val="18"/>
        </w:rPr>
        <w:fldChar w:fldCharType="separate"/>
      </w:r>
      <w:r w:rsidR="00F54F75">
        <w:rPr>
          <w:b w:val="0"/>
          <w:noProof/>
          <w:sz w:val="18"/>
        </w:rPr>
        <w:t>20</w:t>
      </w:r>
      <w:r w:rsidRPr="00411C46">
        <w:rPr>
          <w:b w:val="0"/>
          <w:noProof/>
          <w:sz w:val="18"/>
        </w:rPr>
        <w:fldChar w:fldCharType="end"/>
      </w:r>
    </w:p>
    <w:p w:rsidR="00411C46" w:rsidRDefault="00411C46">
      <w:pPr>
        <w:pStyle w:val="TOC2"/>
        <w:rPr>
          <w:rFonts w:asciiTheme="minorHAnsi" w:eastAsiaTheme="minorEastAsia" w:hAnsiTheme="minorHAnsi" w:cstheme="minorBidi"/>
          <w:b w:val="0"/>
          <w:noProof/>
          <w:kern w:val="0"/>
          <w:sz w:val="22"/>
          <w:szCs w:val="22"/>
        </w:rPr>
      </w:pPr>
      <w:r>
        <w:rPr>
          <w:noProof/>
        </w:rPr>
        <w:t>Part 3</w:t>
      </w:r>
      <w:r>
        <w:rPr>
          <w:noProof/>
        </w:rPr>
        <w:noBreakHyphen/>
        <w:t>30—Superannuation</w:t>
      </w:r>
      <w:r w:rsidRPr="00411C46">
        <w:rPr>
          <w:b w:val="0"/>
          <w:noProof/>
          <w:sz w:val="18"/>
        </w:rPr>
        <w:tab/>
      </w:r>
      <w:r w:rsidRPr="00411C46">
        <w:rPr>
          <w:b w:val="0"/>
          <w:noProof/>
          <w:sz w:val="18"/>
        </w:rPr>
        <w:fldChar w:fldCharType="begin"/>
      </w:r>
      <w:r w:rsidRPr="00411C46">
        <w:rPr>
          <w:b w:val="0"/>
          <w:noProof/>
          <w:sz w:val="18"/>
        </w:rPr>
        <w:instrText xml:space="preserve"> PAGEREF _Toc49765235 \h </w:instrText>
      </w:r>
      <w:r w:rsidRPr="00411C46">
        <w:rPr>
          <w:b w:val="0"/>
          <w:noProof/>
          <w:sz w:val="18"/>
        </w:rPr>
      </w:r>
      <w:r w:rsidRPr="00411C46">
        <w:rPr>
          <w:b w:val="0"/>
          <w:noProof/>
          <w:sz w:val="18"/>
        </w:rPr>
        <w:fldChar w:fldCharType="separate"/>
      </w:r>
      <w:r w:rsidR="00F54F75">
        <w:rPr>
          <w:b w:val="0"/>
          <w:noProof/>
          <w:sz w:val="18"/>
        </w:rPr>
        <w:t>20</w:t>
      </w:r>
      <w:r w:rsidRPr="00411C46">
        <w:rPr>
          <w:b w:val="0"/>
          <w:noProof/>
          <w:sz w:val="18"/>
        </w:rPr>
        <w:fldChar w:fldCharType="end"/>
      </w:r>
    </w:p>
    <w:p w:rsidR="00411C46" w:rsidRDefault="00411C46">
      <w:pPr>
        <w:pStyle w:val="TOC3"/>
        <w:rPr>
          <w:rFonts w:asciiTheme="minorHAnsi" w:eastAsiaTheme="minorEastAsia" w:hAnsiTheme="minorHAnsi" w:cstheme="minorBidi"/>
          <w:b w:val="0"/>
          <w:noProof/>
          <w:kern w:val="0"/>
          <w:szCs w:val="22"/>
        </w:rPr>
      </w:pPr>
      <w:r>
        <w:rPr>
          <w:noProof/>
        </w:rPr>
        <w:t>Division 290—Contributions to superannuation funds</w:t>
      </w:r>
      <w:r w:rsidRPr="00411C46">
        <w:rPr>
          <w:b w:val="0"/>
          <w:noProof/>
          <w:sz w:val="18"/>
        </w:rPr>
        <w:tab/>
      </w:r>
      <w:r w:rsidRPr="00411C46">
        <w:rPr>
          <w:b w:val="0"/>
          <w:noProof/>
          <w:sz w:val="18"/>
        </w:rPr>
        <w:fldChar w:fldCharType="begin"/>
      </w:r>
      <w:r w:rsidRPr="00411C46">
        <w:rPr>
          <w:b w:val="0"/>
          <w:noProof/>
          <w:sz w:val="18"/>
        </w:rPr>
        <w:instrText xml:space="preserve"> PAGEREF _Toc49765236 \h </w:instrText>
      </w:r>
      <w:r w:rsidRPr="00411C46">
        <w:rPr>
          <w:b w:val="0"/>
          <w:noProof/>
          <w:sz w:val="18"/>
        </w:rPr>
      </w:r>
      <w:r w:rsidRPr="00411C46">
        <w:rPr>
          <w:b w:val="0"/>
          <w:noProof/>
          <w:sz w:val="18"/>
        </w:rPr>
        <w:fldChar w:fldCharType="separate"/>
      </w:r>
      <w:r w:rsidR="00F54F75">
        <w:rPr>
          <w:b w:val="0"/>
          <w:noProof/>
          <w:sz w:val="18"/>
        </w:rPr>
        <w:t>20</w:t>
      </w:r>
      <w:r w:rsidRPr="00411C46">
        <w:rPr>
          <w:b w:val="0"/>
          <w:noProof/>
          <w:sz w:val="18"/>
        </w:rPr>
        <w:fldChar w:fldCharType="end"/>
      </w:r>
    </w:p>
    <w:p w:rsidR="00411C46" w:rsidRDefault="00411C46">
      <w:pPr>
        <w:pStyle w:val="TOC4"/>
        <w:rPr>
          <w:rFonts w:asciiTheme="minorHAnsi" w:eastAsiaTheme="minorEastAsia" w:hAnsiTheme="minorHAnsi" w:cstheme="minorBidi"/>
          <w:b w:val="0"/>
          <w:noProof/>
          <w:kern w:val="0"/>
          <w:sz w:val="22"/>
          <w:szCs w:val="22"/>
        </w:rPr>
      </w:pPr>
      <w:r w:rsidRPr="00DC60FC">
        <w:rPr>
          <w:rFonts w:eastAsiaTheme="majorEastAsia"/>
          <w:noProof/>
        </w:rPr>
        <w:t>Subdivision 290</w:t>
      </w:r>
      <w:r w:rsidRPr="00DC60FC">
        <w:rPr>
          <w:rFonts w:eastAsiaTheme="majorEastAsia"/>
          <w:noProof/>
        </w:rPr>
        <w:noBreakHyphen/>
        <w:t>C</w:t>
      </w:r>
      <w:r>
        <w:rPr>
          <w:noProof/>
        </w:rPr>
        <w:t>—</w:t>
      </w:r>
      <w:r w:rsidRPr="00DC60FC">
        <w:rPr>
          <w:rFonts w:eastAsiaTheme="majorEastAsia"/>
          <w:noProof/>
        </w:rPr>
        <w:t>Deducting personal contributions</w:t>
      </w:r>
      <w:r w:rsidRPr="00411C46">
        <w:rPr>
          <w:b w:val="0"/>
          <w:noProof/>
          <w:sz w:val="18"/>
        </w:rPr>
        <w:tab/>
      </w:r>
      <w:r w:rsidRPr="00411C46">
        <w:rPr>
          <w:b w:val="0"/>
          <w:noProof/>
          <w:sz w:val="18"/>
        </w:rPr>
        <w:fldChar w:fldCharType="begin"/>
      </w:r>
      <w:r w:rsidRPr="00411C46">
        <w:rPr>
          <w:b w:val="0"/>
          <w:noProof/>
          <w:sz w:val="18"/>
        </w:rPr>
        <w:instrText xml:space="preserve"> PAGEREF _Toc49765237 \h </w:instrText>
      </w:r>
      <w:r w:rsidRPr="00411C46">
        <w:rPr>
          <w:b w:val="0"/>
          <w:noProof/>
          <w:sz w:val="18"/>
        </w:rPr>
      </w:r>
      <w:r w:rsidRPr="00411C46">
        <w:rPr>
          <w:b w:val="0"/>
          <w:noProof/>
          <w:sz w:val="18"/>
        </w:rPr>
        <w:fldChar w:fldCharType="separate"/>
      </w:r>
      <w:r w:rsidR="00F54F75">
        <w:rPr>
          <w:b w:val="0"/>
          <w:noProof/>
          <w:sz w:val="18"/>
        </w:rPr>
        <w:t>20</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290</w:t>
      </w:r>
      <w:r>
        <w:rPr>
          <w:noProof/>
        </w:rPr>
        <w:noBreakHyphen/>
        <w:t>155.01</w:t>
      </w:r>
      <w:r>
        <w:rPr>
          <w:noProof/>
        </w:rPr>
        <w:tab/>
        <w:t>Complying superannuation fund condition—prescribed superannuation funds</w:t>
      </w:r>
      <w:r w:rsidRPr="00411C46">
        <w:rPr>
          <w:noProof/>
        </w:rPr>
        <w:tab/>
      </w:r>
      <w:r w:rsidRPr="00411C46">
        <w:rPr>
          <w:noProof/>
        </w:rPr>
        <w:fldChar w:fldCharType="begin"/>
      </w:r>
      <w:r w:rsidRPr="00411C46">
        <w:rPr>
          <w:noProof/>
        </w:rPr>
        <w:instrText xml:space="preserve"> PAGEREF _Toc49765238 \h </w:instrText>
      </w:r>
      <w:r w:rsidRPr="00411C46">
        <w:rPr>
          <w:noProof/>
        </w:rPr>
      </w:r>
      <w:r w:rsidRPr="00411C46">
        <w:rPr>
          <w:noProof/>
        </w:rPr>
        <w:fldChar w:fldCharType="separate"/>
      </w:r>
      <w:r w:rsidR="00F54F75">
        <w:rPr>
          <w:noProof/>
        </w:rPr>
        <w:t>20</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290</w:t>
      </w:r>
      <w:r>
        <w:rPr>
          <w:noProof/>
        </w:rPr>
        <w:noBreakHyphen/>
        <w:t>155.05</w:t>
      </w:r>
      <w:r>
        <w:rPr>
          <w:noProof/>
        </w:rPr>
        <w:tab/>
        <w:t>Complying superannuation fund condition—prescribed contributions and superannuation funds</w:t>
      </w:r>
      <w:r w:rsidRPr="00411C46">
        <w:rPr>
          <w:noProof/>
        </w:rPr>
        <w:tab/>
      </w:r>
      <w:r w:rsidRPr="00411C46">
        <w:rPr>
          <w:noProof/>
        </w:rPr>
        <w:fldChar w:fldCharType="begin"/>
      </w:r>
      <w:r w:rsidRPr="00411C46">
        <w:rPr>
          <w:noProof/>
        </w:rPr>
        <w:instrText xml:space="preserve"> PAGEREF _Toc49765239 \h </w:instrText>
      </w:r>
      <w:r w:rsidRPr="00411C46">
        <w:rPr>
          <w:noProof/>
        </w:rPr>
      </w:r>
      <w:r w:rsidRPr="00411C46">
        <w:rPr>
          <w:noProof/>
        </w:rPr>
        <w:fldChar w:fldCharType="separate"/>
      </w:r>
      <w:r w:rsidR="00F54F75">
        <w:rPr>
          <w:noProof/>
        </w:rPr>
        <w:t>20</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290</w:t>
      </w:r>
      <w:r>
        <w:rPr>
          <w:noProof/>
        </w:rPr>
        <w:noBreakHyphen/>
        <w:t>170.01</w:t>
      </w:r>
      <w:r>
        <w:rPr>
          <w:noProof/>
        </w:rPr>
        <w:tab/>
        <w:t>Notice of intent to deduct contributions—contributions</w:t>
      </w:r>
      <w:r>
        <w:rPr>
          <w:noProof/>
        </w:rPr>
        <w:noBreakHyphen/>
        <w:t>splitting applications</w:t>
      </w:r>
      <w:r w:rsidRPr="00411C46">
        <w:rPr>
          <w:noProof/>
        </w:rPr>
        <w:tab/>
      </w:r>
      <w:r w:rsidRPr="00411C46">
        <w:rPr>
          <w:noProof/>
        </w:rPr>
        <w:fldChar w:fldCharType="begin"/>
      </w:r>
      <w:r w:rsidRPr="00411C46">
        <w:rPr>
          <w:noProof/>
        </w:rPr>
        <w:instrText xml:space="preserve"> PAGEREF _Toc49765240 \h </w:instrText>
      </w:r>
      <w:r w:rsidRPr="00411C46">
        <w:rPr>
          <w:noProof/>
        </w:rPr>
      </w:r>
      <w:r w:rsidRPr="00411C46">
        <w:rPr>
          <w:noProof/>
        </w:rPr>
        <w:fldChar w:fldCharType="separate"/>
      </w:r>
      <w:r w:rsidR="00F54F75">
        <w:rPr>
          <w:noProof/>
        </w:rPr>
        <w:t>20</w:t>
      </w:r>
      <w:r w:rsidRPr="00411C46">
        <w:rPr>
          <w:noProof/>
        </w:rPr>
        <w:fldChar w:fldCharType="end"/>
      </w:r>
    </w:p>
    <w:p w:rsidR="00411C46" w:rsidRDefault="00411C46">
      <w:pPr>
        <w:pStyle w:val="TOC3"/>
        <w:rPr>
          <w:rFonts w:asciiTheme="minorHAnsi" w:eastAsiaTheme="minorEastAsia" w:hAnsiTheme="minorHAnsi" w:cstheme="minorBidi"/>
          <w:b w:val="0"/>
          <w:noProof/>
          <w:kern w:val="0"/>
          <w:szCs w:val="22"/>
        </w:rPr>
      </w:pPr>
      <w:r>
        <w:rPr>
          <w:noProof/>
        </w:rPr>
        <w:t>Division 291—Excess concessional contributions</w:t>
      </w:r>
      <w:r w:rsidRPr="00411C46">
        <w:rPr>
          <w:b w:val="0"/>
          <w:noProof/>
          <w:sz w:val="18"/>
        </w:rPr>
        <w:tab/>
      </w:r>
      <w:r w:rsidRPr="00411C46">
        <w:rPr>
          <w:b w:val="0"/>
          <w:noProof/>
          <w:sz w:val="18"/>
        </w:rPr>
        <w:fldChar w:fldCharType="begin"/>
      </w:r>
      <w:r w:rsidRPr="00411C46">
        <w:rPr>
          <w:b w:val="0"/>
          <w:noProof/>
          <w:sz w:val="18"/>
        </w:rPr>
        <w:instrText xml:space="preserve"> PAGEREF _Toc49765241 \h </w:instrText>
      </w:r>
      <w:r w:rsidRPr="00411C46">
        <w:rPr>
          <w:b w:val="0"/>
          <w:noProof/>
          <w:sz w:val="18"/>
        </w:rPr>
      </w:r>
      <w:r w:rsidRPr="00411C46">
        <w:rPr>
          <w:b w:val="0"/>
          <w:noProof/>
          <w:sz w:val="18"/>
        </w:rPr>
        <w:fldChar w:fldCharType="separate"/>
      </w:r>
      <w:r w:rsidR="00F54F75">
        <w:rPr>
          <w:b w:val="0"/>
          <w:noProof/>
          <w:sz w:val="18"/>
        </w:rPr>
        <w:t>22</w:t>
      </w:r>
      <w:r w:rsidRPr="00411C46">
        <w:rPr>
          <w:b w:val="0"/>
          <w:noProof/>
          <w:sz w:val="18"/>
        </w:rPr>
        <w:fldChar w:fldCharType="end"/>
      </w:r>
    </w:p>
    <w:p w:rsidR="00411C46" w:rsidRDefault="00411C46">
      <w:pPr>
        <w:pStyle w:val="TOC4"/>
        <w:rPr>
          <w:rFonts w:asciiTheme="minorHAnsi" w:eastAsiaTheme="minorEastAsia" w:hAnsiTheme="minorHAnsi" w:cstheme="minorBidi"/>
          <w:b w:val="0"/>
          <w:noProof/>
          <w:kern w:val="0"/>
          <w:sz w:val="22"/>
          <w:szCs w:val="22"/>
        </w:rPr>
      </w:pPr>
      <w:r w:rsidRPr="00DC60FC">
        <w:rPr>
          <w:rFonts w:eastAsiaTheme="majorEastAsia"/>
          <w:noProof/>
        </w:rPr>
        <w:t>Subdivision 291</w:t>
      </w:r>
      <w:r w:rsidRPr="00DC60FC">
        <w:rPr>
          <w:rFonts w:eastAsiaTheme="majorEastAsia"/>
          <w:noProof/>
        </w:rPr>
        <w:noBreakHyphen/>
        <w:t>B—Excess concessional contributions</w:t>
      </w:r>
      <w:r w:rsidRPr="00411C46">
        <w:rPr>
          <w:b w:val="0"/>
          <w:noProof/>
          <w:sz w:val="18"/>
        </w:rPr>
        <w:tab/>
      </w:r>
      <w:r w:rsidRPr="00411C46">
        <w:rPr>
          <w:b w:val="0"/>
          <w:noProof/>
          <w:sz w:val="18"/>
        </w:rPr>
        <w:fldChar w:fldCharType="begin"/>
      </w:r>
      <w:r w:rsidRPr="00411C46">
        <w:rPr>
          <w:b w:val="0"/>
          <w:noProof/>
          <w:sz w:val="18"/>
        </w:rPr>
        <w:instrText xml:space="preserve"> PAGEREF _Toc49765242 \h </w:instrText>
      </w:r>
      <w:r w:rsidRPr="00411C46">
        <w:rPr>
          <w:b w:val="0"/>
          <w:noProof/>
          <w:sz w:val="18"/>
        </w:rPr>
      </w:r>
      <w:r w:rsidRPr="00411C46">
        <w:rPr>
          <w:b w:val="0"/>
          <w:noProof/>
          <w:sz w:val="18"/>
        </w:rPr>
        <w:fldChar w:fldCharType="separate"/>
      </w:r>
      <w:r w:rsidR="00F54F75">
        <w:rPr>
          <w:b w:val="0"/>
          <w:noProof/>
          <w:sz w:val="18"/>
        </w:rPr>
        <w:t>22</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291</w:t>
      </w:r>
      <w:r>
        <w:rPr>
          <w:noProof/>
        </w:rPr>
        <w:noBreakHyphen/>
        <w:t>25.01</w:t>
      </w:r>
      <w:r>
        <w:rPr>
          <w:noProof/>
        </w:rPr>
        <w:tab/>
        <w:t>Concessional contributions for a financial year</w:t>
      </w:r>
      <w:r w:rsidRPr="00411C46">
        <w:rPr>
          <w:noProof/>
        </w:rPr>
        <w:tab/>
      </w:r>
      <w:r w:rsidRPr="00411C46">
        <w:rPr>
          <w:noProof/>
        </w:rPr>
        <w:fldChar w:fldCharType="begin"/>
      </w:r>
      <w:r w:rsidRPr="00411C46">
        <w:rPr>
          <w:noProof/>
        </w:rPr>
        <w:instrText xml:space="preserve"> PAGEREF _Toc49765243 \h </w:instrText>
      </w:r>
      <w:r w:rsidRPr="00411C46">
        <w:rPr>
          <w:noProof/>
        </w:rPr>
      </w:r>
      <w:r w:rsidRPr="00411C46">
        <w:rPr>
          <w:noProof/>
        </w:rPr>
        <w:fldChar w:fldCharType="separate"/>
      </w:r>
      <w:r w:rsidR="00F54F75">
        <w:rPr>
          <w:noProof/>
        </w:rPr>
        <w:t>22</w:t>
      </w:r>
      <w:r w:rsidRPr="00411C46">
        <w:rPr>
          <w:noProof/>
        </w:rPr>
        <w:fldChar w:fldCharType="end"/>
      </w:r>
    </w:p>
    <w:p w:rsidR="00411C46" w:rsidRDefault="00411C46">
      <w:pPr>
        <w:pStyle w:val="TOC4"/>
        <w:rPr>
          <w:rFonts w:asciiTheme="minorHAnsi" w:eastAsiaTheme="minorEastAsia" w:hAnsiTheme="minorHAnsi" w:cstheme="minorBidi"/>
          <w:b w:val="0"/>
          <w:noProof/>
          <w:kern w:val="0"/>
          <w:sz w:val="22"/>
          <w:szCs w:val="22"/>
        </w:rPr>
      </w:pPr>
      <w:r w:rsidRPr="00DC60FC">
        <w:rPr>
          <w:rFonts w:eastAsiaTheme="majorEastAsia"/>
          <w:noProof/>
        </w:rPr>
        <w:t>Subdivision 291</w:t>
      </w:r>
      <w:r w:rsidRPr="00DC60FC">
        <w:rPr>
          <w:rFonts w:eastAsiaTheme="majorEastAsia"/>
          <w:noProof/>
        </w:rPr>
        <w:noBreakHyphen/>
        <w:t>C</w:t>
      </w:r>
      <w:r>
        <w:rPr>
          <w:noProof/>
        </w:rPr>
        <w:t>—</w:t>
      </w:r>
      <w:r w:rsidRPr="00DC60FC">
        <w:rPr>
          <w:rFonts w:eastAsiaTheme="majorEastAsia"/>
          <w:noProof/>
        </w:rPr>
        <w:t>Modifications for defined benefit interests</w:t>
      </w:r>
      <w:r w:rsidRPr="00411C46">
        <w:rPr>
          <w:b w:val="0"/>
          <w:noProof/>
          <w:sz w:val="18"/>
        </w:rPr>
        <w:tab/>
      </w:r>
      <w:r w:rsidRPr="00411C46">
        <w:rPr>
          <w:b w:val="0"/>
          <w:noProof/>
          <w:sz w:val="18"/>
        </w:rPr>
        <w:fldChar w:fldCharType="begin"/>
      </w:r>
      <w:r w:rsidRPr="00411C46">
        <w:rPr>
          <w:b w:val="0"/>
          <w:noProof/>
          <w:sz w:val="18"/>
        </w:rPr>
        <w:instrText xml:space="preserve"> PAGEREF _Toc49765244 \h </w:instrText>
      </w:r>
      <w:r w:rsidRPr="00411C46">
        <w:rPr>
          <w:b w:val="0"/>
          <w:noProof/>
          <w:sz w:val="18"/>
        </w:rPr>
      </w:r>
      <w:r w:rsidRPr="00411C46">
        <w:rPr>
          <w:b w:val="0"/>
          <w:noProof/>
          <w:sz w:val="18"/>
        </w:rPr>
        <w:fldChar w:fldCharType="separate"/>
      </w:r>
      <w:r w:rsidR="00F54F75">
        <w:rPr>
          <w:b w:val="0"/>
          <w:noProof/>
          <w:sz w:val="18"/>
        </w:rPr>
        <w:t>23</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291</w:t>
      </w:r>
      <w:r>
        <w:rPr>
          <w:noProof/>
        </w:rPr>
        <w:noBreakHyphen/>
        <w:t>170.01</w:t>
      </w:r>
      <w:r>
        <w:rPr>
          <w:noProof/>
        </w:rPr>
        <w:tab/>
        <w:t>Treatment of superannuation sub</w:t>
      </w:r>
      <w:r>
        <w:rPr>
          <w:noProof/>
        </w:rPr>
        <w:noBreakHyphen/>
        <w:t>funds</w:t>
      </w:r>
      <w:r w:rsidRPr="00411C46">
        <w:rPr>
          <w:noProof/>
        </w:rPr>
        <w:tab/>
      </w:r>
      <w:r w:rsidRPr="00411C46">
        <w:rPr>
          <w:noProof/>
        </w:rPr>
        <w:fldChar w:fldCharType="begin"/>
      </w:r>
      <w:r w:rsidRPr="00411C46">
        <w:rPr>
          <w:noProof/>
        </w:rPr>
        <w:instrText xml:space="preserve"> PAGEREF _Toc49765245 \h </w:instrText>
      </w:r>
      <w:r w:rsidRPr="00411C46">
        <w:rPr>
          <w:noProof/>
        </w:rPr>
      </w:r>
      <w:r w:rsidRPr="00411C46">
        <w:rPr>
          <w:noProof/>
        </w:rPr>
        <w:fldChar w:fldCharType="separate"/>
      </w:r>
      <w:r w:rsidR="00F54F75">
        <w:rPr>
          <w:noProof/>
        </w:rPr>
        <w:t>23</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291</w:t>
      </w:r>
      <w:r>
        <w:rPr>
          <w:noProof/>
        </w:rPr>
        <w:noBreakHyphen/>
        <w:t>170.02</w:t>
      </w:r>
      <w:r>
        <w:rPr>
          <w:noProof/>
        </w:rPr>
        <w:tab/>
        <w:t>Notional taxed contributions—contributions for funds with 5 or more defined benefit members</w:t>
      </w:r>
      <w:r w:rsidRPr="00411C46">
        <w:rPr>
          <w:noProof/>
        </w:rPr>
        <w:tab/>
      </w:r>
      <w:r w:rsidRPr="00411C46">
        <w:rPr>
          <w:noProof/>
        </w:rPr>
        <w:fldChar w:fldCharType="begin"/>
      </w:r>
      <w:r w:rsidRPr="00411C46">
        <w:rPr>
          <w:noProof/>
        </w:rPr>
        <w:instrText xml:space="preserve"> PAGEREF _Toc49765246 \h </w:instrText>
      </w:r>
      <w:r w:rsidRPr="00411C46">
        <w:rPr>
          <w:noProof/>
        </w:rPr>
      </w:r>
      <w:r w:rsidRPr="00411C46">
        <w:rPr>
          <w:noProof/>
        </w:rPr>
        <w:fldChar w:fldCharType="separate"/>
      </w:r>
      <w:r w:rsidR="00F54F75">
        <w:rPr>
          <w:noProof/>
        </w:rPr>
        <w:t>23</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291</w:t>
      </w:r>
      <w:r>
        <w:rPr>
          <w:noProof/>
        </w:rPr>
        <w:noBreakHyphen/>
        <w:t>170.03</w:t>
      </w:r>
      <w:r>
        <w:rPr>
          <w:noProof/>
        </w:rPr>
        <w:tab/>
        <w:t>Notional taxed contributions—contributions for funds to which section 291</w:t>
      </w:r>
      <w:r>
        <w:rPr>
          <w:noProof/>
        </w:rPr>
        <w:noBreakHyphen/>
        <w:t>170.02 does not apply</w:t>
      </w:r>
      <w:r w:rsidRPr="00411C46">
        <w:rPr>
          <w:noProof/>
        </w:rPr>
        <w:tab/>
      </w:r>
      <w:r w:rsidRPr="00411C46">
        <w:rPr>
          <w:noProof/>
        </w:rPr>
        <w:fldChar w:fldCharType="begin"/>
      </w:r>
      <w:r w:rsidRPr="00411C46">
        <w:rPr>
          <w:noProof/>
        </w:rPr>
        <w:instrText xml:space="preserve"> PAGEREF _Toc49765247 \h </w:instrText>
      </w:r>
      <w:r w:rsidRPr="00411C46">
        <w:rPr>
          <w:noProof/>
        </w:rPr>
      </w:r>
      <w:r w:rsidRPr="00411C46">
        <w:rPr>
          <w:noProof/>
        </w:rPr>
        <w:fldChar w:fldCharType="separate"/>
      </w:r>
      <w:r w:rsidR="00F54F75">
        <w:rPr>
          <w:noProof/>
        </w:rPr>
        <w:t>24</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291</w:t>
      </w:r>
      <w:r>
        <w:rPr>
          <w:noProof/>
        </w:rPr>
        <w:noBreakHyphen/>
        <w:t>170.04</w:t>
      </w:r>
      <w:r>
        <w:rPr>
          <w:noProof/>
        </w:rPr>
        <w:tab/>
        <w:t>Notional taxed contributions—nil amount</w:t>
      </w:r>
      <w:r w:rsidRPr="00411C46">
        <w:rPr>
          <w:noProof/>
        </w:rPr>
        <w:tab/>
      </w:r>
      <w:r w:rsidRPr="00411C46">
        <w:rPr>
          <w:noProof/>
        </w:rPr>
        <w:fldChar w:fldCharType="begin"/>
      </w:r>
      <w:r w:rsidRPr="00411C46">
        <w:rPr>
          <w:noProof/>
        </w:rPr>
        <w:instrText xml:space="preserve"> PAGEREF _Toc49765248 \h </w:instrText>
      </w:r>
      <w:r w:rsidRPr="00411C46">
        <w:rPr>
          <w:noProof/>
        </w:rPr>
      </w:r>
      <w:r w:rsidRPr="00411C46">
        <w:rPr>
          <w:noProof/>
        </w:rPr>
        <w:fldChar w:fldCharType="separate"/>
      </w:r>
      <w:r w:rsidR="00F54F75">
        <w:rPr>
          <w:noProof/>
        </w:rPr>
        <w:t>25</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291</w:t>
      </w:r>
      <w:r>
        <w:rPr>
          <w:noProof/>
        </w:rPr>
        <w:noBreakHyphen/>
        <w:t>170.05</w:t>
      </w:r>
      <w:r>
        <w:rPr>
          <w:noProof/>
        </w:rPr>
        <w:tab/>
        <w:t>Notional taxed contributions—conditions for paragraph 291</w:t>
      </w:r>
      <w:r>
        <w:rPr>
          <w:noProof/>
        </w:rPr>
        <w:noBreakHyphen/>
        <w:t>170(2)(d) and subparagraph 291</w:t>
      </w:r>
      <w:r>
        <w:rPr>
          <w:noProof/>
        </w:rPr>
        <w:noBreakHyphen/>
        <w:t xml:space="preserve">170(3)(e)(ii) of the </w:t>
      </w:r>
      <w:r w:rsidRPr="00DC60FC">
        <w:rPr>
          <w:i/>
          <w:noProof/>
        </w:rPr>
        <w:t>Income Tax (Transitional Provisions) Act 1997</w:t>
      </w:r>
      <w:r w:rsidRPr="00411C46">
        <w:rPr>
          <w:noProof/>
        </w:rPr>
        <w:tab/>
      </w:r>
      <w:r w:rsidRPr="00411C46">
        <w:rPr>
          <w:noProof/>
        </w:rPr>
        <w:fldChar w:fldCharType="begin"/>
      </w:r>
      <w:r w:rsidRPr="00411C46">
        <w:rPr>
          <w:noProof/>
        </w:rPr>
        <w:instrText xml:space="preserve"> PAGEREF _Toc49765249 \h </w:instrText>
      </w:r>
      <w:r w:rsidRPr="00411C46">
        <w:rPr>
          <w:noProof/>
        </w:rPr>
      </w:r>
      <w:r w:rsidRPr="00411C46">
        <w:rPr>
          <w:noProof/>
        </w:rPr>
        <w:fldChar w:fldCharType="separate"/>
      </w:r>
      <w:r w:rsidR="00F54F75">
        <w:rPr>
          <w:noProof/>
        </w:rPr>
        <w:t>27</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291</w:t>
      </w:r>
      <w:r>
        <w:rPr>
          <w:noProof/>
        </w:rPr>
        <w:noBreakHyphen/>
        <w:t>170.07</w:t>
      </w:r>
      <w:r>
        <w:rPr>
          <w:noProof/>
        </w:rPr>
        <w:tab/>
        <w:t>Notional taxed contributions—conditions for paragraph 291</w:t>
      </w:r>
      <w:r>
        <w:rPr>
          <w:noProof/>
        </w:rPr>
        <w:noBreakHyphen/>
        <w:t>170(4)(d) and subparagraph 291</w:t>
      </w:r>
      <w:r>
        <w:rPr>
          <w:noProof/>
        </w:rPr>
        <w:noBreakHyphen/>
        <w:t xml:space="preserve">170(5)(e)(ii) of the </w:t>
      </w:r>
      <w:r w:rsidRPr="00DC60FC">
        <w:rPr>
          <w:i/>
          <w:noProof/>
        </w:rPr>
        <w:t>Income Tax (Transitional Provisions) Act 1997</w:t>
      </w:r>
      <w:r w:rsidRPr="00411C46">
        <w:rPr>
          <w:noProof/>
        </w:rPr>
        <w:tab/>
      </w:r>
      <w:r w:rsidRPr="00411C46">
        <w:rPr>
          <w:noProof/>
        </w:rPr>
        <w:fldChar w:fldCharType="begin"/>
      </w:r>
      <w:r w:rsidRPr="00411C46">
        <w:rPr>
          <w:noProof/>
        </w:rPr>
        <w:instrText xml:space="preserve"> PAGEREF _Toc49765250 \h </w:instrText>
      </w:r>
      <w:r w:rsidRPr="00411C46">
        <w:rPr>
          <w:noProof/>
        </w:rPr>
      </w:r>
      <w:r w:rsidRPr="00411C46">
        <w:rPr>
          <w:noProof/>
        </w:rPr>
        <w:fldChar w:fldCharType="separate"/>
      </w:r>
      <w:r w:rsidR="00F54F75">
        <w:rPr>
          <w:noProof/>
        </w:rPr>
        <w:t>29</w:t>
      </w:r>
      <w:r w:rsidRPr="00411C46">
        <w:rPr>
          <w:noProof/>
        </w:rPr>
        <w:fldChar w:fldCharType="end"/>
      </w:r>
    </w:p>
    <w:p w:rsidR="00411C46" w:rsidRDefault="00411C46">
      <w:pPr>
        <w:pStyle w:val="TOC3"/>
        <w:rPr>
          <w:rFonts w:asciiTheme="minorHAnsi" w:eastAsiaTheme="minorEastAsia" w:hAnsiTheme="minorHAnsi" w:cstheme="minorBidi"/>
          <w:b w:val="0"/>
          <w:noProof/>
          <w:kern w:val="0"/>
          <w:szCs w:val="22"/>
        </w:rPr>
      </w:pPr>
      <w:r>
        <w:rPr>
          <w:noProof/>
        </w:rPr>
        <w:t>Division 292—Excess non</w:t>
      </w:r>
      <w:r>
        <w:rPr>
          <w:noProof/>
        </w:rPr>
        <w:noBreakHyphen/>
        <w:t>concessional contributions</w:t>
      </w:r>
      <w:r w:rsidRPr="00411C46">
        <w:rPr>
          <w:b w:val="0"/>
          <w:noProof/>
          <w:sz w:val="18"/>
        </w:rPr>
        <w:tab/>
      </w:r>
      <w:r w:rsidRPr="00411C46">
        <w:rPr>
          <w:b w:val="0"/>
          <w:noProof/>
          <w:sz w:val="18"/>
        </w:rPr>
        <w:fldChar w:fldCharType="begin"/>
      </w:r>
      <w:r w:rsidRPr="00411C46">
        <w:rPr>
          <w:b w:val="0"/>
          <w:noProof/>
          <w:sz w:val="18"/>
        </w:rPr>
        <w:instrText xml:space="preserve"> PAGEREF _Toc49765251 \h </w:instrText>
      </w:r>
      <w:r w:rsidRPr="00411C46">
        <w:rPr>
          <w:b w:val="0"/>
          <w:noProof/>
          <w:sz w:val="18"/>
        </w:rPr>
      </w:r>
      <w:r w:rsidRPr="00411C46">
        <w:rPr>
          <w:b w:val="0"/>
          <w:noProof/>
          <w:sz w:val="18"/>
        </w:rPr>
        <w:fldChar w:fldCharType="separate"/>
      </w:r>
      <w:r w:rsidR="00F54F75">
        <w:rPr>
          <w:b w:val="0"/>
          <w:noProof/>
          <w:sz w:val="18"/>
        </w:rPr>
        <w:t>31</w:t>
      </w:r>
      <w:r w:rsidRPr="00411C46">
        <w:rPr>
          <w:b w:val="0"/>
          <w:noProof/>
          <w:sz w:val="18"/>
        </w:rPr>
        <w:fldChar w:fldCharType="end"/>
      </w:r>
    </w:p>
    <w:p w:rsidR="00411C46" w:rsidRDefault="00411C46">
      <w:pPr>
        <w:pStyle w:val="TOC4"/>
        <w:rPr>
          <w:rFonts w:asciiTheme="minorHAnsi" w:eastAsiaTheme="minorEastAsia" w:hAnsiTheme="minorHAnsi" w:cstheme="minorBidi"/>
          <w:b w:val="0"/>
          <w:noProof/>
          <w:kern w:val="0"/>
          <w:sz w:val="22"/>
          <w:szCs w:val="22"/>
        </w:rPr>
      </w:pPr>
      <w:r w:rsidRPr="00DC60FC">
        <w:rPr>
          <w:rFonts w:eastAsiaTheme="majorEastAsia"/>
          <w:noProof/>
        </w:rPr>
        <w:t>Subdivision 292</w:t>
      </w:r>
      <w:r w:rsidRPr="00DC60FC">
        <w:rPr>
          <w:rFonts w:eastAsiaTheme="majorEastAsia"/>
          <w:noProof/>
        </w:rPr>
        <w:noBreakHyphen/>
        <w:t>C</w:t>
      </w:r>
      <w:r>
        <w:rPr>
          <w:noProof/>
        </w:rPr>
        <w:t>—</w:t>
      </w:r>
      <w:r w:rsidRPr="00DC60FC">
        <w:rPr>
          <w:rFonts w:eastAsiaTheme="majorEastAsia"/>
          <w:noProof/>
        </w:rPr>
        <w:t>Excess non</w:t>
      </w:r>
      <w:r w:rsidRPr="00DC60FC">
        <w:rPr>
          <w:rFonts w:eastAsiaTheme="majorEastAsia"/>
          <w:noProof/>
        </w:rPr>
        <w:noBreakHyphen/>
        <w:t>concessional contributions tax</w:t>
      </w:r>
      <w:r w:rsidRPr="00411C46">
        <w:rPr>
          <w:b w:val="0"/>
          <w:noProof/>
          <w:sz w:val="18"/>
        </w:rPr>
        <w:tab/>
      </w:r>
      <w:r w:rsidRPr="00411C46">
        <w:rPr>
          <w:b w:val="0"/>
          <w:noProof/>
          <w:sz w:val="18"/>
        </w:rPr>
        <w:fldChar w:fldCharType="begin"/>
      </w:r>
      <w:r w:rsidRPr="00411C46">
        <w:rPr>
          <w:b w:val="0"/>
          <w:noProof/>
          <w:sz w:val="18"/>
        </w:rPr>
        <w:instrText xml:space="preserve"> PAGEREF _Toc49765252 \h </w:instrText>
      </w:r>
      <w:r w:rsidRPr="00411C46">
        <w:rPr>
          <w:b w:val="0"/>
          <w:noProof/>
          <w:sz w:val="18"/>
        </w:rPr>
      </w:r>
      <w:r w:rsidRPr="00411C46">
        <w:rPr>
          <w:b w:val="0"/>
          <w:noProof/>
          <w:sz w:val="18"/>
        </w:rPr>
        <w:fldChar w:fldCharType="separate"/>
      </w:r>
      <w:r w:rsidR="00F54F75">
        <w:rPr>
          <w:b w:val="0"/>
          <w:noProof/>
          <w:sz w:val="18"/>
        </w:rPr>
        <w:t>31</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292</w:t>
      </w:r>
      <w:r>
        <w:rPr>
          <w:noProof/>
        </w:rPr>
        <w:noBreakHyphen/>
        <w:t>90.01</w:t>
      </w:r>
      <w:r>
        <w:rPr>
          <w:noProof/>
        </w:rPr>
        <w:tab/>
        <w:t>Non</w:t>
      </w:r>
      <w:r>
        <w:rPr>
          <w:noProof/>
        </w:rPr>
        <w:noBreakHyphen/>
        <w:t>concessional contributions for a financial year</w:t>
      </w:r>
      <w:r w:rsidRPr="00411C46">
        <w:rPr>
          <w:noProof/>
        </w:rPr>
        <w:tab/>
      </w:r>
      <w:r w:rsidRPr="00411C46">
        <w:rPr>
          <w:noProof/>
        </w:rPr>
        <w:fldChar w:fldCharType="begin"/>
      </w:r>
      <w:r w:rsidRPr="00411C46">
        <w:rPr>
          <w:noProof/>
        </w:rPr>
        <w:instrText xml:space="preserve"> PAGEREF _Toc49765253 \h </w:instrText>
      </w:r>
      <w:r w:rsidRPr="00411C46">
        <w:rPr>
          <w:noProof/>
        </w:rPr>
      </w:r>
      <w:r w:rsidRPr="00411C46">
        <w:rPr>
          <w:noProof/>
        </w:rPr>
        <w:fldChar w:fldCharType="separate"/>
      </w:r>
      <w:r w:rsidR="00F54F75">
        <w:rPr>
          <w:noProof/>
        </w:rPr>
        <w:t>31</w:t>
      </w:r>
      <w:r w:rsidRPr="00411C46">
        <w:rPr>
          <w:noProof/>
        </w:rPr>
        <w:fldChar w:fldCharType="end"/>
      </w:r>
    </w:p>
    <w:p w:rsidR="00411C46" w:rsidRDefault="00411C46">
      <w:pPr>
        <w:pStyle w:val="TOC3"/>
        <w:rPr>
          <w:rFonts w:asciiTheme="minorHAnsi" w:eastAsiaTheme="minorEastAsia" w:hAnsiTheme="minorHAnsi" w:cstheme="minorBidi"/>
          <w:b w:val="0"/>
          <w:noProof/>
          <w:kern w:val="0"/>
          <w:szCs w:val="22"/>
        </w:rPr>
      </w:pPr>
      <w:r>
        <w:rPr>
          <w:noProof/>
        </w:rPr>
        <w:lastRenderedPageBreak/>
        <w:t>Division 293—Sustaining the superannuation contribution concession</w:t>
      </w:r>
      <w:r w:rsidRPr="00411C46">
        <w:rPr>
          <w:b w:val="0"/>
          <w:noProof/>
          <w:sz w:val="18"/>
        </w:rPr>
        <w:tab/>
      </w:r>
      <w:r w:rsidRPr="00411C46">
        <w:rPr>
          <w:b w:val="0"/>
          <w:noProof/>
          <w:sz w:val="18"/>
        </w:rPr>
        <w:fldChar w:fldCharType="begin"/>
      </w:r>
      <w:r w:rsidRPr="00411C46">
        <w:rPr>
          <w:b w:val="0"/>
          <w:noProof/>
          <w:sz w:val="18"/>
        </w:rPr>
        <w:instrText xml:space="preserve"> PAGEREF _Toc49765254 \h </w:instrText>
      </w:r>
      <w:r w:rsidRPr="00411C46">
        <w:rPr>
          <w:b w:val="0"/>
          <w:noProof/>
          <w:sz w:val="18"/>
        </w:rPr>
      </w:r>
      <w:r w:rsidRPr="00411C46">
        <w:rPr>
          <w:b w:val="0"/>
          <w:noProof/>
          <w:sz w:val="18"/>
        </w:rPr>
        <w:fldChar w:fldCharType="separate"/>
      </w:r>
      <w:r w:rsidR="00F54F75">
        <w:rPr>
          <w:b w:val="0"/>
          <w:noProof/>
          <w:sz w:val="18"/>
        </w:rPr>
        <w:t>32</w:t>
      </w:r>
      <w:r w:rsidRPr="00411C46">
        <w:rPr>
          <w:b w:val="0"/>
          <w:noProof/>
          <w:sz w:val="18"/>
        </w:rPr>
        <w:fldChar w:fldCharType="end"/>
      </w:r>
    </w:p>
    <w:p w:rsidR="00411C46" w:rsidRDefault="00411C46">
      <w:pPr>
        <w:pStyle w:val="TOC4"/>
        <w:rPr>
          <w:rFonts w:asciiTheme="minorHAnsi" w:eastAsiaTheme="minorEastAsia" w:hAnsiTheme="minorHAnsi" w:cstheme="minorBidi"/>
          <w:b w:val="0"/>
          <w:noProof/>
          <w:kern w:val="0"/>
          <w:sz w:val="22"/>
          <w:szCs w:val="22"/>
        </w:rPr>
      </w:pPr>
      <w:r w:rsidRPr="00DC60FC">
        <w:rPr>
          <w:rFonts w:eastAsiaTheme="majorEastAsia"/>
          <w:noProof/>
        </w:rPr>
        <w:t>Subdivision 293</w:t>
      </w:r>
      <w:r w:rsidRPr="00DC60FC">
        <w:rPr>
          <w:rFonts w:eastAsiaTheme="majorEastAsia"/>
          <w:noProof/>
        </w:rPr>
        <w:noBreakHyphen/>
        <w:t>D</w:t>
      </w:r>
      <w:r>
        <w:rPr>
          <w:noProof/>
        </w:rPr>
        <w:t>—M</w:t>
      </w:r>
      <w:r w:rsidRPr="00DC60FC">
        <w:rPr>
          <w:rFonts w:eastAsiaTheme="majorEastAsia"/>
          <w:noProof/>
        </w:rPr>
        <w:t>odifications for defined benefit interests</w:t>
      </w:r>
      <w:r w:rsidRPr="00411C46">
        <w:rPr>
          <w:b w:val="0"/>
          <w:noProof/>
          <w:sz w:val="18"/>
        </w:rPr>
        <w:tab/>
      </w:r>
      <w:r w:rsidRPr="00411C46">
        <w:rPr>
          <w:b w:val="0"/>
          <w:noProof/>
          <w:sz w:val="18"/>
        </w:rPr>
        <w:fldChar w:fldCharType="begin"/>
      </w:r>
      <w:r w:rsidRPr="00411C46">
        <w:rPr>
          <w:b w:val="0"/>
          <w:noProof/>
          <w:sz w:val="18"/>
        </w:rPr>
        <w:instrText xml:space="preserve"> PAGEREF _Toc49765255 \h </w:instrText>
      </w:r>
      <w:r w:rsidRPr="00411C46">
        <w:rPr>
          <w:b w:val="0"/>
          <w:noProof/>
          <w:sz w:val="18"/>
        </w:rPr>
      </w:r>
      <w:r w:rsidRPr="00411C46">
        <w:rPr>
          <w:b w:val="0"/>
          <w:noProof/>
          <w:sz w:val="18"/>
        </w:rPr>
        <w:fldChar w:fldCharType="separate"/>
      </w:r>
      <w:r w:rsidR="00F54F75">
        <w:rPr>
          <w:b w:val="0"/>
          <w:noProof/>
          <w:sz w:val="18"/>
        </w:rPr>
        <w:t>32</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293</w:t>
      </w:r>
      <w:r>
        <w:rPr>
          <w:noProof/>
        </w:rPr>
        <w:noBreakHyphen/>
        <w:t>115.05</w:t>
      </w:r>
      <w:r>
        <w:rPr>
          <w:noProof/>
        </w:rPr>
        <w:tab/>
        <w:t>Preliminary</w:t>
      </w:r>
      <w:r w:rsidRPr="00411C46">
        <w:rPr>
          <w:noProof/>
        </w:rPr>
        <w:tab/>
      </w:r>
      <w:r w:rsidRPr="00411C46">
        <w:rPr>
          <w:noProof/>
        </w:rPr>
        <w:fldChar w:fldCharType="begin"/>
      </w:r>
      <w:r w:rsidRPr="00411C46">
        <w:rPr>
          <w:noProof/>
        </w:rPr>
        <w:instrText xml:space="preserve"> PAGEREF _Toc49765256 \h </w:instrText>
      </w:r>
      <w:r w:rsidRPr="00411C46">
        <w:rPr>
          <w:noProof/>
        </w:rPr>
      </w:r>
      <w:r w:rsidRPr="00411C46">
        <w:rPr>
          <w:noProof/>
        </w:rPr>
        <w:fldChar w:fldCharType="separate"/>
      </w:r>
      <w:r w:rsidR="00F54F75">
        <w:rPr>
          <w:noProof/>
        </w:rPr>
        <w:t>32</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293</w:t>
      </w:r>
      <w:r>
        <w:rPr>
          <w:noProof/>
        </w:rPr>
        <w:noBreakHyphen/>
        <w:t>115.10</w:t>
      </w:r>
      <w:r>
        <w:rPr>
          <w:noProof/>
        </w:rPr>
        <w:tab/>
        <w:t>Defined benefit contributions—non</w:t>
      </w:r>
      <w:r>
        <w:rPr>
          <w:noProof/>
        </w:rPr>
        <w:noBreakHyphen/>
        <w:t>accruing members</w:t>
      </w:r>
      <w:r w:rsidRPr="00411C46">
        <w:rPr>
          <w:noProof/>
        </w:rPr>
        <w:tab/>
      </w:r>
      <w:r w:rsidRPr="00411C46">
        <w:rPr>
          <w:noProof/>
        </w:rPr>
        <w:fldChar w:fldCharType="begin"/>
      </w:r>
      <w:r w:rsidRPr="00411C46">
        <w:rPr>
          <w:noProof/>
        </w:rPr>
        <w:instrText xml:space="preserve"> PAGEREF _Toc49765257 \h </w:instrText>
      </w:r>
      <w:r w:rsidRPr="00411C46">
        <w:rPr>
          <w:noProof/>
        </w:rPr>
      </w:r>
      <w:r w:rsidRPr="00411C46">
        <w:rPr>
          <w:noProof/>
        </w:rPr>
        <w:fldChar w:fldCharType="separate"/>
      </w:r>
      <w:r w:rsidR="00F54F75">
        <w:rPr>
          <w:noProof/>
        </w:rPr>
        <w:t>32</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293</w:t>
      </w:r>
      <w:r>
        <w:rPr>
          <w:noProof/>
        </w:rPr>
        <w:noBreakHyphen/>
        <w:t>115.15</w:t>
      </w:r>
      <w:r>
        <w:rPr>
          <w:noProof/>
        </w:rPr>
        <w:tab/>
        <w:t>Defined benefit contributions—accruing members with funded benefit interests</w:t>
      </w:r>
      <w:r w:rsidRPr="00411C46">
        <w:rPr>
          <w:noProof/>
        </w:rPr>
        <w:tab/>
      </w:r>
      <w:r w:rsidRPr="00411C46">
        <w:rPr>
          <w:noProof/>
        </w:rPr>
        <w:fldChar w:fldCharType="begin"/>
      </w:r>
      <w:r w:rsidRPr="00411C46">
        <w:rPr>
          <w:noProof/>
        </w:rPr>
        <w:instrText xml:space="preserve"> PAGEREF _Toc49765258 \h </w:instrText>
      </w:r>
      <w:r w:rsidRPr="00411C46">
        <w:rPr>
          <w:noProof/>
        </w:rPr>
      </w:r>
      <w:r w:rsidRPr="00411C46">
        <w:rPr>
          <w:noProof/>
        </w:rPr>
        <w:fldChar w:fldCharType="separate"/>
      </w:r>
      <w:r w:rsidR="00F54F75">
        <w:rPr>
          <w:noProof/>
        </w:rPr>
        <w:t>32</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293</w:t>
      </w:r>
      <w:r>
        <w:rPr>
          <w:noProof/>
        </w:rPr>
        <w:noBreakHyphen/>
        <w:t>115.20</w:t>
      </w:r>
      <w:r>
        <w:rPr>
          <w:noProof/>
        </w:rPr>
        <w:tab/>
        <w:t>Defined benefit contributions—accruing members with other interests</w:t>
      </w:r>
      <w:r w:rsidRPr="00411C46">
        <w:rPr>
          <w:noProof/>
        </w:rPr>
        <w:tab/>
      </w:r>
      <w:r w:rsidRPr="00411C46">
        <w:rPr>
          <w:noProof/>
        </w:rPr>
        <w:fldChar w:fldCharType="begin"/>
      </w:r>
      <w:r w:rsidRPr="00411C46">
        <w:rPr>
          <w:noProof/>
        </w:rPr>
        <w:instrText xml:space="preserve"> PAGEREF _Toc49765259 \h </w:instrText>
      </w:r>
      <w:r w:rsidRPr="00411C46">
        <w:rPr>
          <w:noProof/>
        </w:rPr>
      </w:r>
      <w:r w:rsidRPr="00411C46">
        <w:rPr>
          <w:noProof/>
        </w:rPr>
        <w:fldChar w:fldCharType="separate"/>
      </w:r>
      <w:r w:rsidR="00F54F75">
        <w:rPr>
          <w:noProof/>
        </w:rPr>
        <w:t>33</w:t>
      </w:r>
      <w:r w:rsidRPr="00411C46">
        <w:rPr>
          <w:noProof/>
        </w:rPr>
        <w:fldChar w:fldCharType="end"/>
      </w:r>
    </w:p>
    <w:p w:rsidR="00411C46" w:rsidRDefault="00411C46">
      <w:pPr>
        <w:pStyle w:val="TOC4"/>
        <w:rPr>
          <w:rFonts w:asciiTheme="minorHAnsi" w:eastAsiaTheme="minorEastAsia" w:hAnsiTheme="minorHAnsi" w:cstheme="minorBidi"/>
          <w:b w:val="0"/>
          <w:noProof/>
          <w:kern w:val="0"/>
          <w:sz w:val="22"/>
          <w:szCs w:val="22"/>
        </w:rPr>
      </w:pPr>
      <w:r w:rsidRPr="00DC60FC">
        <w:rPr>
          <w:rFonts w:eastAsiaTheme="majorEastAsia"/>
          <w:noProof/>
        </w:rPr>
        <w:t>Subdivision 293</w:t>
      </w:r>
      <w:r w:rsidRPr="00DC60FC">
        <w:rPr>
          <w:rFonts w:eastAsiaTheme="majorEastAsia"/>
          <w:noProof/>
        </w:rPr>
        <w:noBreakHyphen/>
        <w:t>E</w:t>
      </w:r>
      <w:r>
        <w:rPr>
          <w:noProof/>
        </w:rPr>
        <w:t>—</w:t>
      </w:r>
      <w:r w:rsidRPr="00DC60FC">
        <w:rPr>
          <w:rFonts w:eastAsiaTheme="majorEastAsia"/>
          <w:noProof/>
        </w:rPr>
        <w:t>Modifications for constitutionally protected State higher level office holders</w:t>
      </w:r>
      <w:r w:rsidRPr="00411C46">
        <w:rPr>
          <w:b w:val="0"/>
          <w:noProof/>
          <w:sz w:val="18"/>
        </w:rPr>
        <w:tab/>
      </w:r>
      <w:r w:rsidRPr="00411C46">
        <w:rPr>
          <w:b w:val="0"/>
          <w:noProof/>
          <w:sz w:val="18"/>
        </w:rPr>
        <w:fldChar w:fldCharType="begin"/>
      </w:r>
      <w:r w:rsidRPr="00411C46">
        <w:rPr>
          <w:b w:val="0"/>
          <w:noProof/>
          <w:sz w:val="18"/>
        </w:rPr>
        <w:instrText xml:space="preserve"> PAGEREF _Toc49765260 \h </w:instrText>
      </w:r>
      <w:r w:rsidRPr="00411C46">
        <w:rPr>
          <w:b w:val="0"/>
          <w:noProof/>
          <w:sz w:val="18"/>
        </w:rPr>
      </w:r>
      <w:r w:rsidRPr="00411C46">
        <w:rPr>
          <w:b w:val="0"/>
          <w:noProof/>
          <w:sz w:val="18"/>
        </w:rPr>
        <w:fldChar w:fldCharType="separate"/>
      </w:r>
      <w:r w:rsidR="00F54F75">
        <w:rPr>
          <w:b w:val="0"/>
          <w:noProof/>
          <w:sz w:val="18"/>
        </w:rPr>
        <w:t>33</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293</w:t>
      </w:r>
      <w:r>
        <w:rPr>
          <w:noProof/>
        </w:rPr>
        <w:noBreakHyphen/>
        <w:t>145.01</w:t>
      </w:r>
      <w:r>
        <w:rPr>
          <w:noProof/>
        </w:rPr>
        <w:tab/>
        <w:t>Constitutionally protected State higher level office holders</w:t>
      </w:r>
      <w:r w:rsidRPr="00411C46">
        <w:rPr>
          <w:noProof/>
        </w:rPr>
        <w:tab/>
      </w:r>
      <w:r w:rsidRPr="00411C46">
        <w:rPr>
          <w:noProof/>
        </w:rPr>
        <w:fldChar w:fldCharType="begin"/>
      </w:r>
      <w:r w:rsidRPr="00411C46">
        <w:rPr>
          <w:noProof/>
        </w:rPr>
        <w:instrText xml:space="preserve"> PAGEREF _Toc49765261 \h </w:instrText>
      </w:r>
      <w:r w:rsidRPr="00411C46">
        <w:rPr>
          <w:noProof/>
        </w:rPr>
      </w:r>
      <w:r w:rsidRPr="00411C46">
        <w:rPr>
          <w:noProof/>
        </w:rPr>
        <w:fldChar w:fldCharType="separate"/>
      </w:r>
      <w:r w:rsidR="00F54F75">
        <w:rPr>
          <w:noProof/>
        </w:rPr>
        <w:t>33</w:t>
      </w:r>
      <w:r w:rsidRPr="00411C46">
        <w:rPr>
          <w:noProof/>
        </w:rPr>
        <w:fldChar w:fldCharType="end"/>
      </w:r>
    </w:p>
    <w:p w:rsidR="00411C46" w:rsidRDefault="00411C46">
      <w:pPr>
        <w:pStyle w:val="TOC3"/>
        <w:rPr>
          <w:rFonts w:asciiTheme="minorHAnsi" w:eastAsiaTheme="minorEastAsia" w:hAnsiTheme="minorHAnsi" w:cstheme="minorBidi"/>
          <w:b w:val="0"/>
          <w:noProof/>
          <w:kern w:val="0"/>
          <w:szCs w:val="22"/>
        </w:rPr>
      </w:pPr>
      <w:r>
        <w:rPr>
          <w:noProof/>
        </w:rPr>
        <w:t>Division 294—Transfer balance cap</w:t>
      </w:r>
      <w:r w:rsidRPr="00411C46">
        <w:rPr>
          <w:b w:val="0"/>
          <w:noProof/>
          <w:sz w:val="18"/>
        </w:rPr>
        <w:tab/>
      </w:r>
      <w:r w:rsidRPr="00411C46">
        <w:rPr>
          <w:b w:val="0"/>
          <w:noProof/>
          <w:sz w:val="18"/>
        </w:rPr>
        <w:fldChar w:fldCharType="begin"/>
      </w:r>
      <w:r w:rsidRPr="00411C46">
        <w:rPr>
          <w:b w:val="0"/>
          <w:noProof/>
          <w:sz w:val="18"/>
        </w:rPr>
        <w:instrText xml:space="preserve"> PAGEREF _Toc49765262 \h </w:instrText>
      </w:r>
      <w:r w:rsidRPr="00411C46">
        <w:rPr>
          <w:b w:val="0"/>
          <w:noProof/>
          <w:sz w:val="18"/>
        </w:rPr>
      </w:r>
      <w:r w:rsidRPr="00411C46">
        <w:rPr>
          <w:b w:val="0"/>
          <w:noProof/>
          <w:sz w:val="18"/>
        </w:rPr>
        <w:fldChar w:fldCharType="separate"/>
      </w:r>
      <w:r w:rsidR="00F54F75">
        <w:rPr>
          <w:b w:val="0"/>
          <w:noProof/>
          <w:sz w:val="18"/>
        </w:rPr>
        <w:t>34</w:t>
      </w:r>
      <w:r w:rsidRPr="00411C46">
        <w:rPr>
          <w:b w:val="0"/>
          <w:noProof/>
          <w:sz w:val="18"/>
        </w:rPr>
        <w:fldChar w:fldCharType="end"/>
      </w:r>
    </w:p>
    <w:p w:rsidR="00411C46" w:rsidRDefault="00411C46">
      <w:pPr>
        <w:pStyle w:val="TOC4"/>
        <w:rPr>
          <w:rFonts w:asciiTheme="minorHAnsi" w:eastAsiaTheme="minorEastAsia" w:hAnsiTheme="minorHAnsi" w:cstheme="minorBidi"/>
          <w:b w:val="0"/>
          <w:noProof/>
          <w:kern w:val="0"/>
          <w:sz w:val="22"/>
          <w:szCs w:val="22"/>
        </w:rPr>
      </w:pPr>
      <w:r>
        <w:rPr>
          <w:noProof/>
        </w:rPr>
        <w:t>Subdivision 294</w:t>
      </w:r>
      <w:r>
        <w:rPr>
          <w:noProof/>
        </w:rPr>
        <w:noBreakHyphen/>
        <w:t>B—Transfer balance account</w:t>
      </w:r>
      <w:r w:rsidRPr="00411C46">
        <w:rPr>
          <w:b w:val="0"/>
          <w:noProof/>
          <w:sz w:val="18"/>
        </w:rPr>
        <w:tab/>
      </w:r>
      <w:r w:rsidRPr="00411C46">
        <w:rPr>
          <w:b w:val="0"/>
          <w:noProof/>
          <w:sz w:val="18"/>
        </w:rPr>
        <w:fldChar w:fldCharType="begin"/>
      </w:r>
      <w:r w:rsidRPr="00411C46">
        <w:rPr>
          <w:b w:val="0"/>
          <w:noProof/>
          <w:sz w:val="18"/>
        </w:rPr>
        <w:instrText xml:space="preserve"> PAGEREF _Toc49765263 \h </w:instrText>
      </w:r>
      <w:r w:rsidRPr="00411C46">
        <w:rPr>
          <w:b w:val="0"/>
          <w:noProof/>
          <w:sz w:val="18"/>
        </w:rPr>
      </w:r>
      <w:r w:rsidRPr="00411C46">
        <w:rPr>
          <w:b w:val="0"/>
          <w:noProof/>
          <w:sz w:val="18"/>
        </w:rPr>
        <w:fldChar w:fldCharType="separate"/>
      </w:r>
      <w:r w:rsidR="00F54F75">
        <w:rPr>
          <w:b w:val="0"/>
          <w:noProof/>
          <w:sz w:val="18"/>
        </w:rPr>
        <w:t>34</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294</w:t>
      </w:r>
      <w:r>
        <w:rPr>
          <w:noProof/>
        </w:rPr>
        <w:noBreakHyphen/>
        <w:t>25.01</w:t>
      </w:r>
      <w:r>
        <w:rPr>
          <w:noProof/>
        </w:rPr>
        <w:tab/>
        <w:t>Credit in transfer balance account—payment of consideration for interest supporting deferred superannuation income stream</w:t>
      </w:r>
      <w:r w:rsidRPr="00411C46">
        <w:rPr>
          <w:noProof/>
        </w:rPr>
        <w:tab/>
      </w:r>
      <w:r w:rsidRPr="00411C46">
        <w:rPr>
          <w:noProof/>
        </w:rPr>
        <w:fldChar w:fldCharType="begin"/>
      </w:r>
      <w:r w:rsidRPr="00411C46">
        <w:rPr>
          <w:noProof/>
        </w:rPr>
        <w:instrText xml:space="preserve"> PAGEREF _Toc49765264 \h </w:instrText>
      </w:r>
      <w:r w:rsidRPr="00411C46">
        <w:rPr>
          <w:noProof/>
        </w:rPr>
      </w:r>
      <w:r w:rsidRPr="00411C46">
        <w:rPr>
          <w:noProof/>
        </w:rPr>
        <w:fldChar w:fldCharType="separate"/>
      </w:r>
      <w:r w:rsidR="00F54F75">
        <w:rPr>
          <w:noProof/>
        </w:rPr>
        <w:t>34</w:t>
      </w:r>
      <w:r w:rsidRPr="00411C46">
        <w:rPr>
          <w:noProof/>
        </w:rPr>
        <w:fldChar w:fldCharType="end"/>
      </w:r>
    </w:p>
    <w:p w:rsidR="00411C46" w:rsidRDefault="00411C46">
      <w:pPr>
        <w:pStyle w:val="TOC4"/>
        <w:rPr>
          <w:rFonts w:asciiTheme="minorHAnsi" w:eastAsiaTheme="minorEastAsia" w:hAnsiTheme="minorHAnsi" w:cstheme="minorBidi"/>
          <w:b w:val="0"/>
          <w:noProof/>
          <w:kern w:val="0"/>
          <w:sz w:val="22"/>
          <w:szCs w:val="22"/>
        </w:rPr>
      </w:pPr>
      <w:r>
        <w:rPr>
          <w:noProof/>
        </w:rPr>
        <w:t>Subdivision 294</w:t>
      </w:r>
      <w:r>
        <w:rPr>
          <w:noProof/>
        </w:rPr>
        <w:noBreakHyphen/>
        <w:t>C—Transfer balance debits</w:t>
      </w:r>
      <w:r w:rsidRPr="00411C46">
        <w:rPr>
          <w:b w:val="0"/>
          <w:noProof/>
          <w:sz w:val="18"/>
        </w:rPr>
        <w:tab/>
      </w:r>
      <w:r w:rsidRPr="00411C46">
        <w:rPr>
          <w:b w:val="0"/>
          <w:noProof/>
          <w:sz w:val="18"/>
        </w:rPr>
        <w:fldChar w:fldCharType="begin"/>
      </w:r>
      <w:r w:rsidRPr="00411C46">
        <w:rPr>
          <w:b w:val="0"/>
          <w:noProof/>
          <w:sz w:val="18"/>
        </w:rPr>
        <w:instrText xml:space="preserve"> PAGEREF _Toc49765265 \h </w:instrText>
      </w:r>
      <w:r w:rsidRPr="00411C46">
        <w:rPr>
          <w:b w:val="0"/>
          <w:noProof/>
          <w:sz w:val="18"/>
        </w:rPr>
      </w:r>
      <w:r w:rsidRPr="00411C46">
        <w:rPr>
          <w:b w:val="0"/>
          <w:noProof/>
          <w:sz w:val="18"/>
        </w:rPr>
        <w:fldChar w:fldCharType="separate"/>
      </w:r>
      <w:r w:rsidR="00F54F75">
        <w:rPr>
          <w:b w:val="0"/>
          <w:noProof/>
          <w:sz w:val="18"/>
        </w:rPr>
        <w:t>34</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294</w:t>
      </w:r>
      <w:r>
        <w:rPr>
          <w:noProof/>
        </w:rPr>
        <w:noBreakHyphen/>
        <w:t>80.01</w:t>
      </w:r>
      <w:r>
        <w:rPr>
          <w:noProof/>
        </w:rPr>
        <w:tab/>
        <w:t>Debit in transfer balance account—reduction in amount of superannuation income stream benefit</w:t>
      </w:r>
      <w:r w:rsidRPr="00411C46">
        <w:rPr>
          <w:noProof/>
        </w:rPr>
        <w:tab/>
      </w:r>
      <w:r w:rsidRPr="00411C46">
        <w:rPr>
          <w:noProof/>
        </w:rPr>
        <w:fldChar w:fldCharType="begin"/>
      </w:r>
      <w:r w:rsidRPr="00411C46">
        <w:rPr>
          <w:noProof/>
        </w:rPr>
        <w:instrText xml:space="preserve"> PAGEREF _Toc49765266 \h </w:instrText>
      </w:r>
      <w:r w:rsidRPr="00411C46">
        <w:rPr>
          <w:noProof/>
        </w:rPr>
      </w:r>
      <w:r w:rsidRPr="00411C46">
        <w:rPr>
          <w:noProof/>
        </w:rPr>
        <w:fldChar w:fldCharType="separate"/>
      </w:r>
      <w:r w:rsidR="00F54F75">
        <w:rPr>
          <w:noProof/>
        </w:rPr>
        <w:t>34</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294</w:t>
      </w:r>
      <w:r>
        <w:rPr>
          <w:noProof/>
        </w:rPr>
        <w:noBreakHyphen/>
        <w:t>80.02</w:t>
      </w:r>
      <w:r>
        <w:rPr>
          <w:noProof/>
        </w:rPr>
        <w:tab/>
        <w:t>Debit in transfer balance account—reduction in amount of superannuation income stream benefit</w:t>
      </w:r>
      <w:r w:rsidRPr="00411C46">
        <w:rPr>
          <w:noProof/>
        </w:rPr>
        <w:tab/>
      </w:r>
      <w:r w:rsidRPr="00411C46">
        <w:rPr>
          <w:noProof/>
        </w:rPr>
        <w:fldChar w:fldCharType="begin"/>
      </w:r>
      <w:r w:rsidRPr="00411C46">
        <w:rPr>
          <w:noProof/>
        </w:rPr>
        <w:instrText xml:space="preserve"> PAGEREF _Toc49765267 \h </w:instrText>
      </w:r>
      <w:r w:rsidRPr="00411C46">
        <w:rPr>
          <w:noProof/>
        </w:rPr>
      </w:r>
      <w:r w:rsidRPr="00411C46">
        <w:rPr>
          <w:noProof/>
        </w:rPr>
        <w:fldChar w:fldCharType="separate"/>
      </w:r>
      <w:r w:rsidR="00F54F75">
        <w:rPr>
          <w:noProof/>
        </w:rPr>
        <w:t>35</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294</w:t>
      </w:r>
      <w:r>
        <w:rPr>
          <w:noProof/>
        </w:rPr>
        <w:noBreakHyphen/>
        <w:t>80.03</w:t>
      </w:r>
      <w:r>
        <w:rPr>
          <w:noProof/>
        </w:rPr>
        <w:tab/>
        <w:t>Debit in transfer balance account—certain items of table in subsection 294</w:t>
      </w:r>
      <w:r>
        <w:rPr>
          <w:noProof/>
        </w:rPr>
        <w:noBreakHyphen/>
        <w:t>80(1) of the Act do not apply to certain superannuation income streams</w:t>
      </w:r>
      <w:r w:rsidRPr="00411C46">
        <w:rPr>
          <w:noProof/>
        </w:rPr>
        <w:tab/>
      </w:r>
      <w:r w:rsidRPr="00411C46">
        <w:rPr>
          <w:noProof/>
        </w:rPr>
        <w:fldChar w:fldCharType="begin"/>
      </w:r>
      <w:r w:rsidRPr="00411C46">
        <w:rPr>
          <w:noProof/>
        </w:rPr>
        <w:instrText xml:space="preserve"> PAGEREF _Toc49765268 \h </w:instrText>
      </w:r>
      <w:r w:rsidRPr="00411C46">
        <w:rPr>
          <w:noProof/>
        </w:rPr>
      </w:r>
      <w:r w:rsidRPr="00411C46">
        <w:rPr>
          <w:noProof/>
        </w:rPr>
        <w:fldChar w:fldCharType="separate"/>
      </w:r>
      <w:r w:rsidR="00F54F75">
        <w:rPr>
          <w:noProof/>
        </w:rPr>
        <w:t>35</w:t>
      </w:r>
      <w:r w:rsidRPr="00411C46">
        <w:rPr>
          <w:noProof/>
        </w:rPr>
        <w:fldChar w:fldCharType="end"/>
      </w:r>
    </w:p>
    <w:p w:rsidR="00411C46" w:rsidRDefault="00411C46">
      <w:pPr>
        <w:pStyle w:val="TOC4"/>
        <w:rPr>
          <w:rFonts w:asciiTheme="minorHAnsi" w:eastAsiaTheme="minorEastAsia" w:hAnsiTheme="minorHAnsi" w:cstheme="minorBidi"/>
          <w:b w:val="0"/>
          <w:noProof/>
          <w:kern w:val="0"/>
          <w:sz w:val="22"/>
          <w:szCs w:val="22"/>
        </w:rPr>
      </w:pPr>
      <w:r w:rsidRPr="00DC60FC">
        <w:rPr>
          <w:rFonts w:eastAsiaTheme="majorEastAsia"/>
          <w:noProof/>
        </w:rPr>
        <w:t>Subdivision 294</w:t>
      </w:r>
      <w:r w:rsidRPr="00DC60FC">
        <w:rPr>
          <w:rFonts w:eastAsiaTheme="majorEastAsia"/>
          <w:noProof/>
        </w:rPr>
        <w:noBreakHyphen/>
        <w:t>D</w:t>
      </w:r>
      <w:r>
        <w:rPr>
          <w:noProof/>
        </w:rPr>
        <w:t>—</w:t>
      </w:r>
      <w:r w:rsidRPr="00DC60FC">
        <w:rPr>
          <w:rFonts w:eastAsiaTheme="majorEastAsia"/>
          <w:noProof/>
        </w:rPr>
        <w:t>Modifications for certain defined benefit income streams</w:t>
      </w:r>
      <w:r w:rsidRPr="00411C46">
        <w:rPr>
          <w:b w:val="0"/>
          <w:noProof/>
          <w:sz w:val="18"/>
        </w:rPr>
        <w:tab/>
      </w:r>
      <w:r w:rsidRPr="00411C46">
        <w:rPr>
          <w:b w:val="0"/>
          <w:noProof/>
          <w:sz w:val="18"/>
        </w:rPr>
        <w:fldChar w:fldCharType="begin"/>
      </w:r>
      <w:r w:rsidRPr="00411C46">
        <w:rPr>
          <w:b w:val="0"/>
          <w:noProof/>
          <w:sz w:val="18"/>
        </w:rPr>
        <w:instrText xml:space="preserve"> PAGEREF _Toc49765269 \h </w:instrText>
      </w:r>
      <w:r w:rsidRPr="00411C46">
        <w:rPr>
          <w:b w:val="0"/>
          <w:noProof/>
          <w:sz w:val="18"/>
        </w:rPr>
      </w:r>
      <w:r w:rsidRPr="00411C46">
        <w:rPr>
          <w:b w:val="0"/>
          <w:noProof/>
          <w:sz w:val="18"/>
        </w:rPr>
        <w:fldChar w:fldCharType="separate"/>
      </w:r>
      <w:r w:rsidR="00F54F75">
        <w:rPr>
          <w:b w:val="0"/>
          <w:noProof/>
          <w:sz w:val="18"/>
        </w:rPr>
        <w:t>36</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294</w:t>
      </w:r>
      <w:r>
        <w:rPr>
          <w:noProof/>
        </w:rPr>
        <w:noBreakHyphen/>
        <w:t>130.01</w:t>
      </w:r>
      <w:r>
        <w:rPr>
          <w:noProof/>
        </w:rPr>
        <w:tab/>
        <w:t>Meaning of capped defined benefit income stream</w:t>
      </w:r>
      <w:r w:rsidRPr="00411C46">
        <w:rPr>
          <w:noProof/>
        </w:rPr>
        <w:tab/>
      </w:r>
      <w:r w:rsidRPr="00411C46">
        <w:rPr>
          <w:noProof/>
        </w:rPr>
        <w:fldChar w:fldCharType="begin"/>
      </w:r>
      <w:r w:rsidRPr="00411C46">
        <w:rPr>
          <w:noProof/>
        </w:rPr>
        <w:instrText xml:space="preserve"> PAGEREF _Toc49765270 \h </w:instrText>
      </w:r>
      <w:r w:rsidRPr="00411C46">
        <w:rPr>
          <w:noProof/>
        </w:rPr>
      </w:r>
      <w:r w:rsidRPr="00411C46">
        <w:rPr>
          <w:noProof/>
        </w:rPr>
        <w:fldChar w:fldCharType="separate"/>
      </w:r>
      <w:r w:rsidR="00F54F75">
        <w:rPr>
          <w:noProof/>
        </w:rPr>
        <w:t>36</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294</w:t>
      </w:r>
      <w:r>
        <w:rPr>
          <w:noProof/>
        </w:rPr>
        <w:noBreakHyphen/>
        <w:t>135.01</w:t>
      </w:r>
      <w:r>
        <w:rPr>
          <w:noProof/>
        </w:rPr>
        <w:tab/>
        <w:t>Transfer balance credit—determining special value of a superannuation interest</w:t>
      </w:r>
      <w:r w:rsidRPr="00411C46">
        <w:rPr>
          <w:noProof/>
        </w:rPr>
        <w:tab/>
      </w:r>
      <w:r w:rsidRPr="00411C46">
        <w:rPr>
          <w:noProof/>
        </w:rPr>
        <w:fldChar w:fldCharType="begin"/>
      </w:r>
      <w:r w:rsidRPr="00411C46">
        <w:rPr>
          <w:noProof/>
        </w:rPr>
        <w:instrText xml:space="preserve"> PAGEREF _Toc49765271 \h </w:instrText>
      </w:r>
      <w:r w:rsidRPr="00411C46">
        <w:rPr>
          <w:noProof/>
        </w:rPr>
      </w:r>
      <w:r w:rsidRPr="00411C46">
        <w:rPr>
          <w:noProof/>
        </w:rPr>
        <w:fldChar w:fldCharType="separate"/>
      </w:r>
      <w:r w:rsidR="00F54F75">
        <w:rPr>
          <w:noProof/>
        </w:rPr>
        <w:t>37</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294</w:t>
      </w:r>
      <w:r>
        <w:rPr>
          <w:noProof/>
        </w:rPr>
        <w:noBreakHyphen/>
        <w:t>145.01</w:t>
      </w:r>
      <w:r>
        <w:rPr>
          <w:noProof/>
        </w:rPr>
        <w:tab/>
        <w:t>Transfer balance debits—determining debit value of a superannuation interest</w:t>
      </w:r>
      <w:r w:rsidRPr="00411C46">
        <w:rPr>
          <w:noProof/>
        </w:rPr>
        <w:tab/>
      </w:r>
      <w:r w:rsidRPr="00411C46">
        <w:rPr>
          <w:noProof/>
        </w:rPr>
        <w:fldChar w:fldCharType="begin"/>
      </w:r>
      <w:r w:rsidRPr="00411C46">
        <w:rPr>
          <w:noProof/>
        </w:rPr>
        <w:instrText xml:space="preserve"> PAGEREF _Toc49765272 \h </w:instrText>
      </w:r>
      <w:r w:rsidRPr="00411C46">
        <w:rPr>
          <w:noProof/>
        </w:rPr>
      </w:r>
      <w:r w:rsidRPr="00411C46">
        <w:rPr>
          <w:noProof/>
        </w:rPr>
        <w:fldChar w:fldCharType="separate"/>
      </w:r>
      <w:r w:rsidR="00F54F75">
        <w:rPr>
          <w:noProof/>
        </w:rPr>
        <w:t>38</w:t>
      </w:r>
      <w:r w:rsidRPr="00411C46">
        <w:rPr>
          <w:noProof/>
        </w:rPr>
        <w:fldChar w:fldCharType="end"/>
      </w:r>
    </w:p>
    <w:p w:rsidR="00411C46" w:rsidRDefault="00411C46">
      <w:pPr>
        <w:pStyle w:val="TOC3"/>
        <w:rPr>
          <w:rFonts w:asciiTheme="minorHAnsi" w:eastAsiaTheme="minorEastAsia" w:hAnsiTheme="minorHAnsi" w:cstheme="minorBidi"/>
          <w:b w:val="0"/>
          <w:noProof/>
          <w:kern w:val="0"/>
          <w:szCs w:val="22"/>
        </w:rPr>
      </w:pPr>
      <w:r>
        <w:rPr>
          <w:noProof/>
        </w:rPr>
        <w:t>Division 295</w:t>
      </w:r>
      <w:r w:rsidRPr="00DC60FC">
        <w:rPr>
          <w:noProof/>
          <w:color w:val="000000"/>
        </w:rPr>
        <w:t>—</w:t>
      </w:r>
      <w:r>
        <w:rPr>
          <w:noProof/>
        </w:rPr>
        <w:t>Taxation of superannuation entities</w:t>
      </w:r>
      <w:r w:rsidRPr="00411C46">
        <w:rPr>
          <w:b w:val="0"/>
          <w:noProof/>
          <w:sz w:val="18"/>
        </w:rPr>
        <w:tab/>
      </w:r>
      <w:r w:rsidRPr="00411C46">
        <w:rPr>
          <w:b w:val="0"/>
          <w:noProof/>
          <w:sz w:val="18"/>
        </w:rPr>
        <w:fldChar w:fldCharType="begin"/>
      </w:r>
      <w:r w:rsidRPr="00411C46">
        <w:rPr>
          <w:b w:val="0"/>
          <w:noProof/>
          <w:sz w:val="18"/>
        </w:rPr>
        <w:instrText xml:space="preserve"> PAGEREF _Toc49765273 \h </w:instrText>
      </w:r>
      <w:r w:rsidRPr="00411C46">
        <w:rPr>
          <w:b w:val="0"/>
          <w:noProof/>
          <w:sz w:val="18"/>
        </w:rPr>
      </w:r>
      <w:r w:rsidRPr="00411C46">
        <w:rPr>
          <w:b w:val="0"/>
          <w:noProof/>
          <w:sz w:val="18"/>
        </w:rPr>
        <w:fldChar w:fldCharType="separate"/>
      </w:r>
      <w:r w:rsidR="00F54F75">
        <w:rPr>
          <w:b w:val="0"/>
          <w:noProof/>
          <w:sz w:val="18"/>
        </w:rPr>
        <w:t>39</w:t>
      </w:r>
      <w:r w:rsidRPr="00411C46">
        <w:rPr>
          <w:b w:val="0"/>
          <w:noProof/>
          <w:sz w:val="18"/>
        </w:rPr>
        <w:fldChar w:fldCharType="end"/>
      </w:r>
    </w:p>
    <w:p w:rsidR="00411C46" w:rsidRDefault="00411C46">
      <w:pPr>
        <w:pStyle w:val="TOC4"/>
        <w:rPr>
          <w:rFonts w:asciiTheme="minorHAnsi" w:eastAsiaTheme="minorEastAsia" w:hAnsiTheme="minorHAnsi" w:cstheme="minorBidi"/>
          <w:b w:val="0"/>
          <w:noProof/>
          <w:kern w:val="0"/>
          <w:sz w:val="22"/>
          <w:szCs w:val="22"/>
        </w:rPr>
      </w:pPr>
      <w:r w:rsidRPr="00DC60FC">
        <w:rPr>
          <w:rFonts w:eastAsiaTheme="majorEastAsia"/>
          <w:noProof/>
        </w:rPr>
        <w:t>Subdivision 295</w:t>
      </w:r>
      <w:r w:rsidRPr="00DC60FC">
        <w:rPr>
          <w:rFonts w:eastAsiaTheme="majorEastAsia"/>
          <w:noProof/>
        </w:rPr>
        <w:noBreakHyphen/>
        <w:t>D</w:t>
      </w:r>
      <w:r>
        <w:rPr>
          <w:noProof/>
        </w:rPr>
        <w:t>—</w:t>
      </w:r>
      <w:r w:rsidRPr="00DC60FC">
        <w:rPr>
          <w:rFonts w:eastAsiaTheme="majorEastAsia"/>
          <w:noProof/>
        </w:rPr>
        <w:t>Contributions excluded</w:t>
      </w:r>
      <w:r w:rsidRPr="00411C46">
        <w:rPr>
          <w:b w:val="0"/>
          <w:noProof/>
          <w:sz w:val="18"/>
        </w:rPr>
        <w:tab/>
      </w:r>
      <w:r w:rsidRPr="00411C46">
        <w:rPr>
          <w:b w:val="0"/>
          <w:noProof/>
          <w:sz w:val="18"/>
        </w:rPr>
        <w:fldChar w:fldCharType="begin"/>
      </w:r>
      <w:r w:rsidRPr="00411C46">
        <w:rPr>
          <w:b w:val="0"/>
          <w:noProof/>
          <w:sz w:val="18"/>
        </w:rPr>
        <w:instrText xml:space="preserve"> PAGEREF _Toc49765274 \h </w:instrText>
      </w:r>
      <w:r w:rsidRPr="00411C46">
        <w:rPr>
          <w:b w:val="0"/>
          <w:noProof/>
          <w:sz w:val="18"/>
        </w:rPr>
      </w:r>
      <w:r w:rsidRPr="00411C46">
        <w:rPr>
          <w:b w:val="0"/>
          <w:noProof/>
          <w:sz w:val="18"/>
        </w:rPr>
        <w:fldChar w:fldCharType="separate"/>
      </w:r>
      <w:r w:rsidR="00F54F75">
        <w:rPr>
          <w:b w:val="0"/>
          <w:noProof/>
          <w:sz w:val="18"/>
        </w:rPr>
        <w:t>39</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sidRPr="00DC60FC">
        <w:rPr>
          <w:rFonts w:eastAsia="MS Mincho"/>
          <w:noProof/>
        </w:rPr>
        <w:t>295</w:t>
      </w:r>
      <w:r w:rsidRPr="00DC60FC">
        <w:rPr>
          <w:rFonts w:eastAsia="MS Mincho"/>
          <w:noProof/>
        </w:rPr>
        <w:noBreakHyphen/>
        <w:t>265.01</w:t>
      </w:r>
      <w:r>
        <w:rPr>
          <w:rFonts w:eastAsia="MS Mincho"/>
          <w:noProof/>
        </w:rPr>
        <w:tab/>
      </w:r>
      <w:r w:rsidRPr="00DC60FC">
        <w:rPr>
          <w:rFonts w:eastAsia="MS Mincho"/>
          <w:noProof/>
        </w:rPr>
        <w:t>Application of pre</w:t>
      </w:r>
      <w:r w:rsidRPr="00DC60FC">
        <w:rPr>
          <w:rFonts w:eastAsia="MS Mincho"/>
          <w:noProof/>
        </w:rPr>
        <w:noBreakHyphen/>
        <w:t>1 July 88 funding credits—limit on choice</w:t>
      </w:r>
      <w:r w:rsidRPr="00411C46">
        <w:rPr>
          <w:noProof/>
        </w:rPr>
        <w:tab/>
      </w:r>
      <w:r w:rsidRPr="00411C46">
        <w:rPr>
          <w:noProof/>
        </w:rPr>
        <w:fldChar w:fldCharType="begin"/>
      </w:r>
      <w:r w:rsidRPr="00411C46">
        <w:rPr>
          <w:noProof/>
        </w:rPr>
        <w:instrText xml:space="preserve"> PAGEREF _Toc49765275 \h </w:instrText>
      </w:r>
      <w:r w:rsidRPr="00411C46">
        <w:rPr>
          <w:noProof/>
        </w:rPr>
      </w:r>
      <w:r w:rsidRPr="00411C46">
        <w:rPr>
          <w:noProof/>
        </w:rPr>
        <w:fldChar w:fldCharType="separate"/>
      </w:r>
      <w:r w:rsidR="00F54F75">
        <w:rPr>
          <w:noProof/>
        </w:rPr>
        <w:t>39</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sidRPr="00DC60FC">
        <w:rPr>
          <w:rFonts w:eastAsia="MS Mincho"/>
          <w:noProof/>
        </w:rPr>
        <w:t>295</w:t>
      </w:r>
      <w:r w:rsidRPr="00DC60FC">
        <w:rPr>
          <w:rFonts w:eastAsia="MS Mincho"/>
          <w:noProof/>
        </w:rPr>
        <w:noBreakHyphen/>
        <w:t>265.02</w:t>
      </w:r>
      <w:r>
        <w:rPr>
          <w:rFonts w:eastAsia="MS Mincho"/>
          <w:noProof/>
        </w:rPr>
        <w:tab/>
      </w:r>
      <w:r w:rsidRPr="00DC60FC">
        <w:rPr>
          <w:rFonts w:eastAsia="MS Mincho"/>
          <w:noProof/>
        </w:rPr>
        <w:t>Method 1—Funding credit valuation process</w:t>
      </w:r>
      <w:r w:rsidRPr="00411C46">
        <w:rPr>
          <w:noProof/>
        </w:rPr>
        <w:tab/>
      </w:r>
      <w:r w:rsidRPr="00411C46">
        <w:rPr>
          <w:noProof/>
        </w:rPr>
        <w:fldChar w:fldCharType="begin"/>
      </w:r>
      <w:r w:rsidRPr="00411C46">
        <w:rPr>
          <w:noProof/>
        </w:rPr>
        <w:instrText xml:space="preserve"> PAGEREF _Toc49765276 \h </w:instrText>
      </w:r>
      <w:r w:rsidRPr="00411C46">
        <w:rPr>
          <w:noProof/>
        </w:rPr>
      </w:r>
      <w:r w:rsidRPr="00411C46">
        <w:rPr>
          <w:noProof/>
        </w:rPr>
        <w:fldChar w:fldCharType="separate"/>
      </w:r>
      <w:r w:rsidR="00F54F75">
        <w:rPr>
          <w:noProof/>
        </w:rPr>
        <w:t>40</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sidRPr="00DC60FC">
        <w:rPr>
          <w:rFonts w:eastAsia="MS Mincho"/>
          <w:noProof/>
        </w:rPr>
        <w:t>295</w:t>
      </w:r>
      <w:r w:rsidRPr="00DC60FC">
        <w:rPr>
          <w:rFonts w:eastAsia="MS Mincho"/>
          <w:noProof/>
        </w:rPr>
        <w:noBreakHyphen/>
        <w:t>265.03</w:t>
      </w:r>
      <w:r>
        <w:rPr>
          <w:rFonts w:eastAsia="MS Mincho"/>
          <w:noProof/>
        </w:rPr>
        <w:tab/>
      </w:r>
      <w:r w:rsidRPr="00DC60FC">
        <w:rPr>
          <w:rFonts w:eastAsia="MS Mincho"/>
          <w:noProof/>
        </w:rPr>
        <w:t>How to calculate the discounted present value of liabilities for step 1 of method 1</w:t>
      </w:r>
      <w:r w:rsidRPr="00411C46">
        <w:rPr>
          <w:noProof/>
        </w:rPr>
        <w:tab/>
      </w:r>
      <w:r w:rsidRPr="00411C46">
        <w:rPr>
          <w:noProof/>
        </w:rPr>
        <w:fldChar w:fldCharType="begin"/>
      </w:r>
      <w:r w:rsidRPr="00411C46">
        <w:rPr>
          <w:noProof/>
        </w:rPr>
        <w:instrText xml:space="preserve"> PAGEREF _Toc49765277 \h </w:instrText>
      </w:r>
      <w:r w:rsidRPr="00411C46">
        <w:rPr>
          <w:noProof/>
        </w:rPr>
      </w:r>
      <w:r w:rsidRPr="00411C46">
        <w:rPr>
          <w:noProof/>
        </w:rPr>
        <w:fldChar w:fldCharType="separate"/>
      </w:r>
      <w:r w:rsidR="00F54F75">
        <w:rPr>
          <w:noProof/>
        </w:rPr>
        <w:t>41</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sidRPr="00DC60FC">
        <w:rPr>
          <w:rFonts w:eastAsia="MS Mincho"/>
          <w:noProof/>
        </w:rPr>
        <w:t>295</w:t>
      </w:r>
      <w:r w:rsidRPr="00DC60FC">
        <w:rPr>
          <w:rFonts w:eastAsia="MS Mincho"/>
          <w:noProof/>
        </w:rPr>
        <w:noBreakHyphen/>
        <w:t>265.04</w:t>
      </w:r>
      <w:r>
        <w:rPr>
          <w:rFonts w:eastAsia="MS Mincho"/>
          <w:noProof/>
        </w:rPr>
        <w:tab/>
      </w:r>
      <w:r w:rsidRPr="00DC60FC">
        <w:rPr>
          <w:rFonts w:eastAsia="MS Mincho"/>
          <w:noProof/>
        </w:rPr>
        <w:t xml:space="preserve">How to calculate the </w:t>
      </w:r>
      <w:r w:rsidRPr="00DC60FC">
        <w:rPr>
          <w:rFonts w:eastAsia="MS Mincho"/>
          <w:noProof/>
          <w:lang w:eastAsia="en-US"/>
        </w:rPr>
        <w:t>assets available to fund pre</w:t>
      </w:r>
      <w:r w:rsidRPr="00DC60FC">
        <w:rPr>
          <w:rFonts w:eastAsia="MS Mincho"/>
          <w:noProof/>
          <w:lang w:eastAsia="en-US"/>
        </w:rPr>
        <w:noBreakHyphen/>
        <w:t xml:space="preserve">1 July 88 liabilities </w:t>
      </w:r>
      <w:r w:rsidRPr="00DC60FC">
        <w:rPr>
          <w:rFonts w:eastAsia="MS Mincho"/>
          <w:noProof/>
        </w:rPr>
        <w:t>for step 2 of method 1</w:t>
      </w:r>
      <w:r w:rsidRPr="00411C46">
        <w:rPr>
          <w:noProof/>
        </w:rPr>
        <w:tab/>
      </w:r>
      <w:r w:rsidRPr="00411C46">
        <w:rPr>
          <w:noProof/>
        </w:rPr>
        <w:fldChar w:fldCharType="begin"/>
      </w:r>
      <w:r w:rsidRPr="00411C46">
        <w:rPr>
          <w:noProof/>
        </w:rPr>
        <w:instrText xml:space="preserve"> PAGEREF _Toc49765278 \h </w:instrText>
      </w:r>
      <w:r w:rsidRPr="00411C46">
        <w:rPr>
          <w:noProof/>
        </w:rPr>
      </w:r>
      <w:r w:rsidRPr="00411C46">
        <w:rPr>
          <w:noProof/>
        </w:rPr>
        <w:fldChar w:fldCharType="separate"/>
      </w:r>
      <w:r w:rsidR="00F54F75">
        <w:rPr>
          <w:noProof/>
        </w:rPr>
        <w:t>42</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sidRPr="00DC60FC">
        <w:rPr>
          <w:rFonts w:eastAsia="MS Mincho"/>
          <w:noProof/>
        </w:rPr>
        <w:t>295</w:t>
      </w:r>
      <w:r w:rsidRPr="00DC60FC">
        <w:rPr>
          <w:rFonts w:eastAsia="MS Mincho"/>
          <w:noProof/>
        </w:rPr>
        <w:noBreakHyphen/>
        <w:t>265.05</w:t>
      </w:r>
      <w:r>
        <w:rPr>
          <w:rFonts w:eastAsia="MS Mincho"/>
          <w:noProof/>
        </w:rPr>
        <w:tab/>
      </w:r>
      <w:r>
        <w:rPr>
          <w:noProof/>
        </w:rPr>
        <w:t>Method 2—Notionally updated funding credit valuation process</w:t>
      </w:r>
      <w:r w:rsidRPr="00411C46">
        <w:rPr>
          <w:noProof/>
        </w:rPr>
        <w:tab/>
      </w:r>
      <w:r w:rsidRPr="00411C46">
        <w:rPr>
          <w:noProof/>
        </w:rPr>
        <w:fldChar w:fldCharType="begin"/>
      </w:r>
      <w:r w:rsidRPr="00411C46">
        <w:rPr>
          <w:noProof/>
        </w:rPr>
        <w:instrText xml:space="preserve"> PAGEREF _Toc49765279 \h </w:instrText>
      </w:r>
      <w:r w:rsidRPr="00411C46">
        <w:rPr>
          <w:noProof/>
        </w:rPr>
      </w:r>
      <w:r w:rsidRPr="00411C46">
        <w:rPr>
          <w:noProof/>
        </w:rPr>
        <w:fldChar w:fldCharType="separate"/>
      </w:r>
      <w:r w:rsidR="00F54F75">
        <w:rPr>
          <w:noProof/>
        </w:rPr>
        <w:t>42</w:t>
      </w:r>
      <w:r w:rsidRPr="00411C46">
        <w:rPr>
          <w:noProof/>
        </w:rPr>
        <w:fldChar w:fldCharType="end"/>
      </w:r>
    </w:p>
    <w:p w:rsidR="00411C46" w:rsidRDefault="00411C46">
      <w:pPr>
        <w:pStyle w:val="TOC4"/>
        <w:rPr>
          <w:rFonts w:asciiTheme="minorHAnsi" w:eastAsiaTheme="minorEastAsia" w:hAnsiTheme="minorHAnsi" w:cstheme="minorBidi"/>
          <w:b w:val="0"/>
          <w:noProof/>
          <w:kern w:val="0"/>
          <w:sz w:val="22"/>
          <w:szCs w:val="22"/>
        </w:rPr>
      </w:pPr>
      <w:r w:rsidRPr="00DC60FC">
        <w:rPr>
          <w:rFonts w:eastAsiaTheme="majorEastAsia"/>
          <w:noProof/>
        </w:rPr>
        <w:t>Subdivision 295</w:t>
      </w:r>
      <w:r w:rsidRPr="00DC60FC">
        <w:rPr>
          <w:rFonts w:eastAsiaTheme="majorEastAsia"/>
          <w:noProof/>
        </w:rPr>
        <w:noBreakHyphen/>
        <w:t>F</w:t>
      </w:r>
      <w:r>
        <w:rPr>
          <w:noProof/>
        </w:rPr>
        <w:t>—</w:t>
      </w:r>
      <w:r w:rsidRPr="00DC60FC">
        <w:rPr>
          <w:rFonts w:eastAsiaTheme="majorEastAsia"/>
          <w:noProof/>
        </w:rPr>
        <w:t>Exempt income</w:t>
      </w:r>
      <w:r w:rsidRPr="00411C46">
        <w:rPr>
          <w:b w:val="0"/>
          <w:noProof/>
          <w:sz w:val="18"/>
        </w:rPr>
        <w:tab/>
      </w:r>
      <w:r w:rsidRPr="00411C46">
        <w:rPr>
          <w:b w:val="0"/>
          <w:noProof/>
          <w:sz w:val="18"/>
        </w:rPr>
        <w:fldChar w:fldCharType="begin"/>
      </w:r>
      <w:r w:rsidRPr="00411C46">
        <w:rPr>
          <w:b w:val="0"/>
          <w:noProof/>
          <w:sz w:val="18"/>
        </w:rPr>
        <w:instrText xml:space="preserve"> PAGEREF _Toc49765280 \h </w:instrText>
      </w:r>
      <w:r w:rsidRPr="00411C46">
        <w:rPr>
          <w:b w:val="0"/>
          <w:noProof/>
          <w:sz w:val="18"/>
        </w:rPr>
      </w:r>
      <w:r w:rsidRPr="00411C46">
        <w:rPr>
          <w:b w:val="0"/>
          <w:noProof/>
          <w:sz w:val="18"/>
        </w:rPr>
        <w:fldChar w:fldCharType="separate"/>
      </w:r>
      <w:r w:rsidR="00F54F75">
        <w:rPr>
          <w:b w:val="0"/>
          <w:noProof/>
          <w:sz w:val="18"/>
        </w:rPr>
        <w:t>44</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295</w:t>
      </w:r>
      <w:r>
        <w:rPr>
          <w:noProof/>
        </w:rPr>
        <w:noBreakHyphen/>
        <w:t>385.01</w:t>
      </w:r>
      <w:r>
        <w:rPr>
          <w:noProof/>
        </w:rPr>
        <w:tab/>
        <w:t>Segregated current pension assets—prescribed superannuation income stream benefits</w:t>
      </w:r>
      <w:r w:rsidRPr="00411C46">
        <w:rPr>
          <w:noProof/>
        </w:rPr>
        <w:tab/>
      </w:r>
      <w:r w:rsidRPr="00411C46">
        <w:rPr>
          <w:noProof/>
        </w:rPr>
        <w:fldChar w:fldCharType="begin"/>
      </w:r>
      <w:r w:rsidRPr="00411C46">
        <w:rPr>
          <w:noProof/>
        </w:rPr>
        <w:instrText xml:space="preserve"> PAGEREF _Toc49765281 \h </w:instrText>
      </w:r>
      <w:r w:rsidRPr="00411C46">
        <w:rPr>
          <w:noProof/>
        </w:rPr>
      </w:r>
      <w:r w:rsidRPr="00411C46">
        <w:rPr>
          <w:noProof/>
        </w:rPr>
        <w:fldChar w:fldCharType="separate"/>
      </w:r>
      <w:r w:rsidR="00F54F75">
        <w:rPr>
          <w:noProof/>
        </w:rPr>
        <w:t>44</w:t>
      </w:r>
      <w:r w:rsidRPr="00411C46">
        <w:rPr>
          <w:noProof/>
        </w:rPr>
        <w:fldChar w:fldCharType="end"/>
      </w:r>
    </w:p>
    <w:p w:rsidR="00411C46" w:rsidRDefault="00411C46">
      <w:pPr>
        <w:pStyle w:val="TOC4"/>
        <w:rPr>
          <w:rFonts w:asciiTheme="minorHAnsi" w:eastAsiaTheme="minorEastAsia" w:hAnsiTheme="minorHAnsi" w:cstheme="minorBidi"/>
          <w:b w:val="0"/>
          <w:noProof/>
          <w:kern w:val="0"/>
          <w:sz w:val="22"/>
          <w:szCs w:val="22"/>
        </w:rPr>
      </w:pPr>
      <w:r w:rsidRPr="00DC60FC">
        <w:rPr>
          <w:rFonts w:eastAsiaTheme="majorEastAsia"/>
          <w:noProof/>
        </w:rPr>
        <w:t>Subdivision 295</w:t>
      </w:r>
      <w:r w:rsidRPr="00DC60FC">
        <w:rPr>
          <w:rFonts w:eastAsiaTheme="majorEastAsia"/>
          <w:noProof/>
        </w:rPr>
        <w:noBreakHyphen/>
        <w:t>G</w:t>
      </w:r>
      <w:r>
        <w:rPr>
          <w:noProof/>
        </w:rPr>
        <w:t>—</w:t>
      </w:r>
      <w:r w:rsidRPr="00DC60FC">
        <w:rPr>
          <w:rFonts w:eastAsiaTheme="majorEastAsia"/>
          <w:noProof/>
        </w:rPr>
        <w:t>Deductions</w:t>
      </w:r>
      <w:r w:rsidRPr="00411C46">
        <w:rPr>
          <w:b w:val="0"/>
          <w:noProof/>
          <w:sz w:val="18"/>
        </w:rPr>
        <w:tab/>
      </w:r>
      <w:r w:rsidRPr="00411C46">
        <w:rPr>
          <w:b w:val="0"/>
          <w:noProof/>
          <w:sz w:val="18"/>
        </w:rPr>
        <w:fldChar w:fldCharType="begin"/>
      </w:r>
      <w:r w:rsidRPr="00411C46">
        <w:rPr>
          <w:b w:val="0"/>
          <w:noProof/>
          <w:sz w:val="18"/>
        </w:rPr>
        <w:instrText xml:space="preserve"> PAGEREF _Toc49765282 \h </w:instrText>
      </w:r>
      <w:r w:rsidRPr="00411C46">
        <w:rPr>
          <w:b w:val="0"/>
          <w:noProof/>
          <w:sz w:val="18"/>
        </w:rPr>
      </w:r>
      <w:r w:rsidRPr="00411C46">
        <w:rPr>
          <w:b w:val="0"/>
          <w:noProof/>
          <w:sz w:val="18"/>
        </w:rPr>
        <w:fldChar w:fldCharType="separate"/>
      </w:r>
      <w:r w:rsidR="00F54F75">
        <w:rPr>
          <w:b w:val="0"/>
          <w:noProof/>
          <w:sz w:val="18"/>
        </w:rPr>
        <w:t>44</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295</w:t>
      </w:r>
      <w:r>
        <w:rPr>
          <w:noProof/>
        </w:rPr>
        <w:noBreakHyphen/>
        <w:t>465.01</w:t>
      </w:r>
      <w:r>
        <w:rPr>
          <w:noProof/>
        </w:rPr>
        <w:tab/>
        <w:t xml:space="preserve"> Complying funds—deductions for insurance premiums</w:t>
      </w:r>
      <w:r w:rsidRPr="00411C46">
        <w:rPr>
          <w:noProof/>
        </w:rPr>
        <w:tab/>
      </w:r>
      <w:r w:rsidRPr="00411C46">
        <w:rPr>
          <w:noProof/>
        </w:rPr>
        <w:fldChar w:fldCharType="begin"/>
      </w:r>
      <w:r w:rsidRPr="00411C46">
        <w:rPr>
          <w:noProof/>
        </w:rPr>
        <w:instrText xml:space="preserve"> PAGEREF _Toc49765283 \h </w:instrText>
      </w:r>
      <w:r w:rsidRPr="00411C46">
        <w:rPr>
          <w:noProof/>
        </w:rPr>
      </w:r>
      <w:r w:rsidRPr="00411C46">
        <w:rPr>
          <w:noProof/>
        </w:rPr>
        <w:fldChar w:fldCharType="separate"/>
      </w:r>
      <w:r w:rsidR="00F54F75">
        <w:rPr>
          <w:noProof/>
        </w:rPr>
        <w:t>44</w:t>
      </w:r>
      <w:r w:rsidRPr="00411C46">
        <w:rPr>
          <w:noProof/>
        </w:rPr>
        <w:fldChar w:fldCharType="end"/>
      </w:r>
    </w:p>
    <w:p w:rsidR="00411C46" w:rsidRDefault="00411C46">
      <w:pPr>
        <w:pStyle w:val="TOC3"/>
        <w:rPr>
          <w:rFonts w:asciiTheme="minorHAnsi" w:eastAsiaTheme="minorEastAsia" w:hAnsiTheme="minorHAnsi" w:cstheme="minorBidi"/>
          <w:b w:val="0"/>
          <w:noProof/>
          <w:kern w:val="0"/>
          <w:szCs w:val="22"/>
        </w:rPr>
      </w:pPr>
      <w:r>
        <w:rPr>
          <w:noProof/>
        </w:rPr>
        <w:t>Division 301</w:t>
      </w:r>
      <w:r w:rsidRPr="00DC60FC">
        <w:rPr>
          <w:noProof/>
          <w:color w:val="000000"/>
        </w:rPr>
        <w:t>—</w:t>
      </w:r>
      <w:r>
        <w:rPr>
          <w:noProof/>
        </w:rPr>
        <w:t>Superannuation member benefits paid from complying plans etc.</w:t>
      </w:r>
      <w:r w:rsidRPr="00411C46">
        <w:rPr>
          <w:b w:val="0"/>
          <w:noProof/>
          <w:sz w:val="18"/>
        </w:rPr>
        <w:tab/>
      </w:r>
      <w:r w:rsidRPr="00411C46">
        <w:rPr>
          <w:b w:val="0"/>
          <w:noProof/>
          <w:sz w:val="18"/>
        </w:rPr>
        <w:fldChar w:fldCharType="begin"/>
      </w:r>
      <w:r w:rsidRPr="00411C46">
        <w:rPr>
          <w:b w:val="0"/>
          <w:noProof/>
          <w:sz w:val="18"/>
        </w:rPr>
        <w:instrText xml:space="preserve"> PAGEREF _Toc49765284 \h </w:instrText>
      </w:r>
      <w:r w:rsidRPr="00411C46">
        <w:rPr>
          <w:b w:val="0"/>
          <w:noProof/>
          <w:sz w:val="18"/>
        </w:rPr>
      </w:r>
      <w:r w:rsidRPr="00411C46">
        <w:rPr>
          <w:b w:val="0"/>
          <w:noProof/>
          <w:sz w:val="18"/>
        </w:rPr>
        <w:fldChar w:fldCharType="separate"/>
      </w:r>
      <w:r w:rsidR="00F54F75">
        <w:rPr>
          <w:b w:val="0"/>
          <w:noProof/>
          <w:sz w:val="18"/>
        </w:rPr>
        <w:t>48</w:t>
      </w:r>
      <w:r w:rsidRPr="00411C46">
        <w:rPr>
          <w:b w:val="0"/>
          <w:noProof/>
          <w:sz w:val="18"/>
        </w:rPr>
        <w:fldChar w:fldCharType="end"/>
      </w:r>
    </w:p>
    <w:p w:rsidR="00411C46" w:rsidRDefault="00411C46">
      <w:pPr>
        <w:pStyle w:val="TOC4"/>
        <w:rPr>
          <w:rFonts w:asciiTheme="minorHAnsi" w:eastAsiaTheme="minorEastAsia" w:hAnsiTheme="minorHAnsi" w:cstheme="minorBidi"/>
          <w:b w:val="0"/>
          <w:noProof/>
          <w:kern w:val="0"/>
          <w:sz w:val="22"/>
          <w:szCs w:val="22"/>
        </w:rPr>
      </w:pPr>
      <w:r w:rsidRPr="00DC60FC">
        <w:rPr>
          <w:rFonts w:eastAsiaTheme="majorEastAsia"/>
          <w:noProof/>
        </w:rPr>
        <w:t>Subdivision 301</w:t>
      </w:r>
      <w:r w:rsidRPr="00DC60FC">
        <w:rPr>
          <w:rFonts w:eastAsiaTheme="majorEastAsia"/>
          <w:noProof/>
        </w:rPr>
        <w:noBreakHyphen/>
        <w:t>D</w:t>
      </w:r>
      <w:r>
        <w:rPr>
          <w:noProof/>
        </w:rPr>
        <w:t>—</w:t>
      </w:r>
      <w:r w:rsidRPr="00DC60FC">
        <w:rPr>
          <w:rFonts w:eastAsiaTheme="majorEastAsia"/>
          <w:noProof/>
        </w:rPr>
        <w:t>Departing Australia superannuation payments</w:t>
      </w:r>
      <w:r w:rsidRPr="00411C46">
        <w:rPr>
          <w:b w:val="0"/>
          <w:noProof/>
          <w:sz w:val="18"/>
        </w:rPr>
        <w:tab/>
      </w:r>
      <w:r w:rsidRPr="00411C46">
        <w:rPr>
          <w:b w:val="0"/>
          <w:noProof/>
          <w:sz w:val="18"/>
        </w:rPr>
        <w:fldChar w:fldCharType="begin"/>
      </w:r>
      <w:r w:rsidRPr="00411C46">
        <w:rPr>
          <w:b w:val="0"/>
          <w:noProof/>
          <w:sz w:val="18"/>
        </w:rPr>
        <w:instrText xml:space="preserve"> PAGEREF _Toc49765285 \h </w:instrText>
      </w:r>
      <w:r w:rsidRPr="00411C46">
        <w:rPr>
          <w:b w:val="0"/>
          <w:noProof/>
          <w:sz w:val="18"/>
        </w:rPr>
      </w:r>
      <w:r w:rsidRPr="00411C46">
        <w:rPr>
          <w:b w:val="0"/>
          <w:noProof/>
          <w:sz w:val="18"/>
        </w:rPr>
        <w:fldChar w:fldCharType="separate"/>
      </w:r>
      <w:r w:rsidR="00F54F75">
        <w:rPr>
          <w:b w:val="0"/>
          <w:noProof/>
          <w:sz w:val="18"/>
        </w:rPr>
        <w:t>48</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301</w:t>
      </w:r>
      <w:r>
        <w:rPr>
          <w:noProof/>
        </w:rPr>
        <w:noBreakHyphen/>
        <w:t>170.01</w:t>
      </w:r>
      <w:r>
        <w:rPr>
          <w:noProof/>
        </w:rPr>
        <w:tab/>
        <w:t>Departing Australia superannuation payments</w:t>
      </w:r>
      <w:r w:rsidRPr="00411C46">
        <w:rPr>
          <w:noProof/>
        </w:rPr>
        <w:tab/>
      </w:r>
      <w:r w:rsidRPr="00411C46">
        <w:rPr>
          <w:noProof/>
        </w:rPr>
        <w:fldChar w:fldCharType="begin"/>
      </w:r>
      <w:r w:rsidRPr="00411C46">
        <w:rPr>
          <w:noProof/>
        </w:rPr>
        <w:instrText xml:space="preserve"> PAGEREF _Toc49765286 \h </w:instrText>
      </w:r>
      <w:r w:rsidRPr="00411C46">
        <w:rPr>
          <w:noProof/>
        </w:rPr>
      </w:r>
      <w:r w:rsidRPr="00411C46">
        <w:rPr>
          <w:noProof/>
        </w:rPr>
        <w:fldChar w:fldCharType="separate"/>
      </w:r>
      <w:r w:rsidR="00F54F75">
        <w:rPr>
          <w:noProof/>
        </w:rPr>
        <w:t>48</w:t>
      </w:r>
      <w:r w:rsidRPr="00411C46">
        <w:rPr>
          <w:noProof/>
        </w:rPr>
        <w:fldChar w:fldCharType="end"/>
      </w:r>
    </w:p>
    <w:p w:rsidR="00411C46" w:rsidRDefault="00411C46">
      <w:pPr>
        <w:pStyle w:val="TOC4"/>
        <w:rPr>
          <w:rFonts w:asciiTheme="minorHAnsi" w:eastAsiaTheme="minorEastAsia" w:hAnsiTheme="minorHAnsi" w:cstheme="minorBidi"/>
          <w:b w:val="0"/>
          <w:noProof/>
          <w:kern w:val="0"/>
          <w:sz w:val="22"/>
          <w:szCs w:val="22"/>
        </w:rPr>
      </w:pPr>
      <w:r w:rsidRPr="00DC60FC">
        <w:rPr>
          <w:rFonts w:eastAsiaTheme="majorEastAsia"/>
          <w:noProof/>
        </w:rPr>
        <w:t>Subdivision 301</w:t>
      </w:r>
      <w:r w:rsidRPr="00DC60FC">
        <w:rPr>
          <w:rFonts w:eastAsiaTheme="majorEastAsia"/>
          <w:noProof/>
        </w:rPr>
        <w:noBreakHyphen/>
        <w:t>E</w:t>
      </w:r>
      <w:r>
        <w:rPr>
          <w:noProof/>
        </w:rPr>
        <w:t>—</w:t>
      </w:r>
      <w:r w:rsidRPr="00DC60FC">
        <w:rPr>
          <w:rFonts w:eastAsiaTheme="majorEastAsia"/>
          <w:noProof/>
        </w:rPr>
        <w:t>Superannuation lump sum member benefits less than $200</w:t>
      </w:r>
      <w:r w:rsidRPr="00411C46">
        <w:rPr>
          <w:b w:val="0"/>
          <w:noProof/>
          <w:sz w:val="18"/>
        </w:rPr>
        <w:tab/>
      </w:r>
      <w:r w:rsidRPr="00411C46">
        <w:rPr>
          <w:b w:val="0"/>
          <w:noProof/>
          <w:sz w:val="18"/>
        </w:rPr>
        <w:fldChar w:fldCharType="begin"/>
      </w:r>
      <w:r w:rsidRPr="00411C46">
        <w:rPr>
          <w:b w:val="0"/>
          <w:noProof/>
          <w:sz w:val="18"/>
        </w:rPr>
        <w:instrText xml:space="preserve"> PAGEREF _Toc49765287 \h </w:instrText>
      </w:r>
      <w:r w:rsidRPr="00411C46">
        <w:rPr>
          <w:b w:val="0"/>
          <w:noProof/>
          <w:sz w:val="18"/>
        </w:rPr>
      </w:r>
      <w:r w:rsidRPr="00411C46">
        <w:rPr>
          <w:b w:val="0"/>
          <w:noProof/>
          <w:sz w:val="18"/>
        </w:rPr>
        <w:fldChar w:fldCharType="separate"/>
      </w:r>
      <w:r w:rsidR="00F54F75">
        <w:rPr>
          <w:b w:val="0"/>
          <w:noProof/>
          <w:sz w:val="18"/>
        </w:rPr>
        <w:t>48</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301</w:t>
      </w:r>
      <w:r>
        <w:rPr>
          <w:noProof/>
        </w:rPr>
        <w:noBreakHyphen/>
        <w:t>225.01</w:t>
      </w:r>
      <w:r>
        <w:rPr>
          <w:noProof/>
        </w:rPr>
        <w:tab/>
        <w:t>Superannuation lump sum member benefits less than $200 are tax free</w:t>
      </w:r>
      <w:r w:rsidRPr="00411C46">
        <w:rPr>
          <w:noProof/>
        </w:rPr>
        <w:tab/>
      </w:r>
      <w:r w:rsidRPr="00411C46">
        <w:rPr>
          <w:noProof/>
        </w:rPr>
        <w:fldChar w:fldCharType="begin"/>
      </w:r>
      <w:r w:rsidRPr="00411C46">
        <w:rPr>
          <w:noProof/>
        </w:rPr>
        <w:instrText xml:space="preserve"> PAGEREF _Toc49765288 \h </w:instrText>
      </w:r>
      <w:r w:rsidRPr="00411C46">
        <w:rPr>
          <w:noProof/>
        </w:rPr>
      </w:r>
      <w:r w:rsidRPr="00411C46">
        <w:rPr>
          <w:noProof/>
        </w:rPr>
        <w:fldChar w:fldCharType="separate"/>
      </w:r>
      <w:r w:rsidR="00F54F75">
        <w:rPr>
          <w:noProof/>
        </w:rPr>
        <w:t>48</w:t>
      </w:r>
      <w:r w:rsidRPr="00411C46">
        <w:rPr>
          <w:noProof/>
        </w:rPr>
        <w:fldChar w:fldCharType="end"/>
      </w:r>
    </w:p>
    <w:p w:rsidR="00411C46" w:rsidRDefault="00411C46">
      <w:pPr>
        <w:pStyle w:val="TOC3"/>
        <w:rPr>
          <w:rFonts w:asciiTheme="minorHAnsi" w:eastAsiaTheme="minorEastAsia" w:hAnsiTheme="minorHAnsi" w:cstheme="minorBidi"/>
          <w:b w:val="0"/>
          <w:noProof/>
          <w:kern w:val="0"/>
          <w:szCs w:val="22"/>
        </w:rPr>
      </w:pPr>
      <w:r>
        <w:rPr>
          <w:noProof/>
        </w:rPr>
        <w:lastRenderedPageBreak/>
        <w:t>Division 302</w:t>
      </w:r>
      <w:r w:rsidRPr="00DC60FC">
        <w:rPr>
          <w:noProof/>
          <w:color w:val="000000"/>
        </w:rPr>
        <w:t>—</w:t>
      </w:r>
      <w:r>
        <w:rPr>
          <w:noProof/>
        </w:rPr>
        <w:t>Superannuation death benefits paid from complying plans etc.</w:t>
      </w:r>
      <w:r w:rsidRPr="00411C46">
        <w:rPr>
          <w:b w:val="0"/>
          <w:noProof/>
          <w:sz w:val="18"/>
        </w:rPr>
        <w:tab/>
      </w:r>
      <w:r w:rsidRPr="00411C46">
        <w:rPr>
          <w:b w:val="0"/>
          <w:noProof/>
          <w:sz w:val="18"/>
        </w:rPr>
        <w:fldChar w:fldCharType="begin"/>
      </w:r>
      <w:r w:rsidRPr="00411C46">
        <w:rPr>
          <w:b w:val="0"/>
          <w:noProof/>
          <w:sz w:val="18"/>
        </w:rPr>
        <w:instrText xml:space="preserve"> PAGEREF _Toc49765289 \h </w:instrText>
      </w:r>
      <w:r w:rsidRPr="00411C46">
        <w:rPr>
          <w:b w:val="0"/>
          <w:noProof/>
          <w:sz w:val="18"/>
        </w:rPr>
      </w:r>
      <w:r w:rsidRPr="00411C46">
        <w:rPr>
          <w:b w:val="0"/>
          <w:noProof/>
          <w:sz w:val="18"/>
        </w:rPr>
        <w:fldChar w:fldCharType="separate"/>
      </w:r>
      <w:r w:rsidR="00F54F75">
        <w:rPr>
          <w:b w:val="0"/>
          <w:noProof/>
          <w:sz w:val="18"/>
        </w:rPr>
        <w:t>49</w:t>
      </w:r>
      <w:r w:rsidRPr="00411C46">
        <w:rPr>
          <w:b w:val="0"/>
          <w:noProof/>
          <w:sz w:val="18"/>
        </w:rPr>
        <w:fldChar w:fldCharType="end"/>
      </w:r>
    </w:p>
    <w:p w:rsidR="00411C46" w:rsidRDefault="00411C46">
      <w:pPr>
        <w:pStyle w:val="TOC4"/>
        <w:rPr>
          <w:rFonts w:asciiTheme="minorHAnsi" w:eastAsiaTheme="minorEastAsia" w:hAnsiTheme="minorHAnsi" w:cstheme="minorBidi"/>
          <w:b w:val="0"/>
          <w:noProof/>
          <w:kern w:val="0"/>
          <w:sz w:val="22"/>
          <w:szCs w:val="22"/>
        </w:rPr>
      </w:pPr>
      <w:r w:rsidRPr="00DC60FC">
        <w:rPr>
          <w:rFonts w:eastAsiaTheme="majorEastAsia"/>
          <w:noProof/>
        </w:rPr>
        <w:t>Subdivision 302</w:t>
      </w:r>
      <w:r w:rsidRPr="00DC60FC">
        <w:rPr>
          <w:rFonts w:eastAsiaTheme="majorEastAsia"/>
          <w:noProof/>
        </w:rPr>
        <w:noBreakHyphen/>
        <w:t>D</w:t>
      </w:r>
      <w:r>
        <w:rPr>
          <w:noProof/>
        </w:rPr>
        <w:t>—</w:t>
      </w:r>
      <w:r w:rsidRPr="00DC60FC">
        <w:rPr>
          <w:rFonts w:eastAsiaTheme="majorEastAsia"/>
          <w:noProof/>
        </w:rPr>
        <w:t>Definitions relating to dependants</w:t>
      </w:r>
      <w:r w:rsidRPr="00411C46">
        <w:rPr>
          <w:b w:val="0"/>
          <w:noProof/>
          <w:sz w:val="18"/>
        </w:rPr>
        <w:tab/>
      </w:r>
      <w:r w:rsidRPr="00411C46">
        <w:rPr>
          <w:b w:val="0"/>
          <w:noProof/>
          <w:sz w:val="18"/>
        </w:rPr>
        <w:fldChar w:fldCharType="begin"/>
      </w:r>
      <w:r w:rsidRPr="00411C46">
        <w:rPr>
          <w:b w:val="0"/>
          <w:noProof/>
          <w:sz w:val="18"/>
        </w:rPr>
        <w:instrText xml:space="preserve"> PAGEREF _Toc49765290 \h </w:instrText>
      </w:r>
      <w:r w:rsidRPr="00411C46">
        <w:rPr>
          <w:b w:val="0"/>
          <w:noProof/>
          <w:sz w:val="18"/>
        </w:rPr>
      </w:r>
      <w:r w:rsidRPr="00411C46">
        <w:rPr>
          <w:b w:val="0"/>
          <w:noProof/>
          <w:sz w:val="18"/>
        </w:rPr>
        <w:fldChar w:fldCharType="separate"/>
      </w:r>
      <w:r w:rsidR="00F54F75">
        <w:rPr>
          <w:b w:val="0"/>
          <w:noProof/>
          <w:sz w:val="18"/>
        </w:rPr>
        <w:t>49</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302</w:t>
      </w:r>
      <w:r>
        <w:rPr>
          <w:noProof/>
        </w:rPr>
        <w:noBreakHyphen/>
        <w:t>195.01</w:t>
      </w:r>
      <w:r>
        <w:rPr>
          <w:noProof/>
        </w:rPr>
        <w:tab/>
        <w:t>Circumstances in which a person died in the line of duty</w:t>
      </w:r>
      <w:r w:rsidRPr="00411C46">
        <w:rPr>
          <w:noProof/>
        </w:rPr>
        <w:tab/>
      </w:r>
      <w:r w:rsidRPr="00411C46">
        <w:rPr>
          <w:noProof/>
        </w:rPr>
        <w:fldChar w:fldCharType="begin"/>
      </w:r>
      <w:r w:rsidRPr="00411C46">
        <w:rPr>
          <w:noProof/>
        </w:rPr>
        <w:instrText xml:space="preserve"> PAGEREF _Toc49765291 \h </w:instrText>
      </w:r>
      <w:r w:rsidRPr="00411C46">
        <w:rPr>
          <w:noProof/>
        </w:rPr>
      </w:r>
      <w:r w:rsidRPr="00411C46">
        <w:rPr>
          <w:noProof/>
        </w:rPr>
        <w:fldChar w:fldCharType="separate"/>
      </w:r>
      <w:r w:rsidR="00F54F75">
        <w:rPr>
          <w:noProof/>
        </w:rPr>
        <w:t>49</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302</w:t>
      </w:r>
      <w:r>
        <w:rPr>
          <w:noProof/>
        </w:rPr>
        <w:noBreakHyphen/>
        <w:t>195.02</w:t>
      </w:r>
      <w:r>
        <w:rPr>
          <w:noProof/>
        </w:rPr>
        <w:tab/>
        <w:t>Circumstances in which a person has not died in the line of duty</w:t>
      </w:r>
      <w:r w:rsidRPr="00411C46">
        <w:rPr>
          <w:noProof/>
        </w:rPr>
        <w:tab/>
      </w:r>
      <w:r w:rsidRPr="00411C46">
        <w:rPr>
          <w:noProof/>
        </w:rPr>
        <w:fldChar w:fldCharType="begin"/>
      </w:r>
      <w:r w:rsidRPr="00411C46">
        <w:rPr>
          <w:noProof/>
        </w:rPr>
        <w:instrText xml:space="preserve"> PAGEREF _Toc49765292 \h </w:instrText>
      </w:r>
      <w:r w:rsidRPr="00411C46">
        <w:rPr>
          <w:noProof/>
        </w:rPr>
      </w:r>
      <w:r w:rsidRPr="00411C46">
        <w:rPr>
          <w:noProof/>
        </w:rPr>
        <w:fldChar w:fldCharType="separate"/>
      </w:r>
      <w:r w:rsidR="00F54F75">
        <w:rPr>
          <w:noProof/>
        </w:rPr>
        <w:t>51</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302</w:t>
      </w:r>
      <w:r>
        <w:rPr>
          <w:noProof/>
        </w:rPr>
        <w:noBreakHyphen/>
        <w:t>200.01</w:t>
      </w:r>
      <w:r>
        <w:rPr>
          <w:noProof/>
        </w:rPr>
        <w:tab/>
        <w:t>What is an interdependency relationship—matters to be taken into account</w:t>
      </w:r>
      <w:r w:rsidRPr="00411C46">
        <w:rPr>
          <w:noProof/>
        </w:rPr>
        <w:tab/>
      </w:r>
      <w:r w:rsidRPr="00411C46">
        <w:rPr>
          <w:noProof/>
        </w:rPr>
        <w:fldChar w:fldCharType="begin"/>
      </w:r>
      <w:r w:rsidRPr="00411C46">
        <w:rPr>
          <w:noProof/>
        </w:rPr>
        <w:instrText xml:space="preserve"> PAGEREF _Toc49765293 \h </w:instrText>
      </w:r>
      <w:r w:rsidRPr="00411C46">
        <w:rPr>
          <w:noProof/>
        </w:rPr>
      </w:r>
      <w:r w:rsidRPr="00411C46">
        <w:rPr>
          <w:noProof/>
        </w:rPr>
        <w:fldChar w:fldCharType="separate"/>
      </w:r>
      <w:r w:rsidR="00F54F75">
        <w:rPr>
          <w:noProof/>
        </w:rPr>
        <w:t>52</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302</w:t>
      </w:r>
      <w:r>
        <w:rPr>
          <w:noProof/>
        </w:rPr>
        <w:noBreakHyphen/>
        <w:t>200.02</w:t>
      </w:r>
      <w:r>
        <w:rPr>
          <w:noProof/>
        </w:rPr>
        <w:tab/>
        <w:t>What is an interdependency relationship—existence of relationship</w:t>
      </w:r>
      <w:r w:rsidRPr="00411C46">
        <w:rPr>
          <w:noProof/>
        </w:rPr>
        <w:tab/>
      </w:r>
      <w:r w:rsidRPr="00411C46">
        <w:rPr>
          <w:noProof/>
        </w:rPr>
        <w:fldChar w:fldCharType="begin"/>
      </w:r>
      <w:r w:rsidRPr="00411C46">
        <w:rPr>
          <w:noProof/>
        </w:rPr>
        <w:instrText xml:space="preserve"> PAGEREF _Toc49765294 \h </w:instrText>
      </w:r>
      <w:r w:rsidRPr="00411C46">
        <w:rPr>
          <w:noProof/>
        </w:rPr>
      </w:r>
      <w:r w:rsidRPr="00411C46">
        <w:rPr>
          <w:noProof/>
        </w:rPr>
        <w:fldChar w:fldCharType="separate"/>
      </w:r>
      <w:r w:rsidR="00F54F75">
        <w:rPr>
          <w:noProof/>
        </w:rPr>
        <w:t>52</w:t>
      </w:r>
      <w:r w:rsidRPr="00411C46">
        <w:rPr>
          <w:noProof/>
        </w:rPr>
        <w:fldChar w:fldCharType="end"/>
      </w:r>
    </w:p>
    <w:p w:rsidR="00411C46" w:rsidRDefault="00411C46">
      <w:pPr>
        <w:pStyle w:val="TOC3"/>
        <w:rPr>
          <w:rFonts w:asciiTheme="minorHAnsi" w:eastAsiaTheme="minorEastAsia" w:hAnsiTheme="minorHAnsi" w:cstheme="minorBidi"/>
          <w:b w:val="0"/>
          <w:noProof/>
          <w:kern w:val="0"/>
          <w:szCs w:val="22"/>
        </w:rPr>
      </w:pPr>
      <w:r>
        <w:rPr>
          <w:noProof/>
        </w:rPr>
        <w:t>Division 306</w:t>
      </w:r>
      <w:r w:rsidRPr="00DC60FC">
        <w:rPr>
          <w:noProof/>
          <w:color w:val="000000"/>
        </w:rPr>
        <w:t>—</w:t>
      </w:r>
      <w:r>
        <w:rPr>
          <w:noProof/>
        </w:rPr>
        <w:t>Roll</w:t>
      </w:r>
      <w:r>
        <w:rPr>
          <w:noProof/>
        </w:rPr>
        <w:noBreakHyphen/>
        <w:t>overs etc.</w:t>
      </w:r>
      <w:r w:rsidRPr="00411C46">
        <w:rPr>
          <w:b w:val="0"/>
          <w:noProof/>
          <w:sz w:val="18"/>
        </w:rPr>
        <w:tab/>
      </w:r>
      <w:r w:rsidRPr="00411C46">
        <w:rPr>
          <w:b w:val="0"/>
          <w:noProof/>
          <w:sz w:val="18"/>
        </w:rPr>
        <w:fldChar w:fldCharType="begin"/>
      </w:r>
      <w:r w:rsidRPr="00411C46">
        <w:rPr>
          <w:b w:val="0"/>
          <w:noProof/>
          <w:sz w:val="18"/>
        </w:rPr>
        <w:instrText xml:space="preserve"> PAGEREF _Toc49765295 \h </w:instrText>
      </w:r>
      <w:r w:rsidRPr="00411C46">
        <w:rPr>
          <w:b w:val="0"/>
          <w:noProof/>
          <w:sz w:val="18"/>
        </w:rPr>
      </w:r>
      <w:r w:rsidRPr="00411C46">
        <w:rPr>
          <w:b w:val="0"/>
          <w:noProof/>
          <w:sz w:val="18"/>
        </w:rPr>
        <w:fldChar w:fldCharType="separate"/>
      </w:r>
      <w:r w:rsidR="00F54F75">
        <w:rPr>
          <w:b w:val="0"/>
          <w:noProof/>
          <w:sz w:val="18"/>
        </w:rPr>
        <w:t>54</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306</w:t>
      </w:r>
      <w:r>
        <w:rPr>
          <w:noProof/>
        </w:rPr>
        <w:noBreakHyphen/>
        <w:t>10.01</w:t>
      </w:r>
      <w:r>
        <w:rPr>
          <w:noProof/>
        </w:rPr>
        <w:tab/>
        <w:t>Roll</w:t>
      </w:r>
      <w:r>
        <w:rPr>
          <w:noProof/>
        </w:rPr>
        <w:noBreakHyphen/>
        <w:t>over superannuation benefit</w:t>
      </w:r>
      <w:r w:rsidRPr="00411C46">
        <w:rPr>
          <w:noProof/>
        </w:rPr>
        <w:tab/>
      </w:r>
      <w:r w:rsidRPr="00411C46">
        <w:rPr>
          <w:noProof/>
        </w:rPr>
        <w:fldChar w:fldCharType="begin"/>
      </w:r>
      <w:r w:rsidRPr="00411C46">
        <w:rPr>
          <w:noProof/>
        </w:rPr>
        <w:instrText xml:space="preserve"> PAGEREF _Toc49765296 \h </w:instrText>
      </w:r>
      <w:r w:rsidRPr="00411C46">
        <w:rPr>
          <w:noProof/>
        </w:rPr>
      </w:r>
      <w:r w:rsidRPr="00411C46">
        <w:rPr>
          <w:noProof/>
        </w:rPr>
        <w:fldChar w:fldCharType="separate"/>
      </w:r>
      <w:r w:rsidR="00F54F75">
        <w:rPr>
          <w:noProof/>
        </w:rPr>
        <w:t>54</w:t>
      </w:r>
      <w:r w:rsidRPr="00411C46">
        <w:rPr>
          <w:noProof/>
        </w:rPr>
        <w:fldChar w:fldCharType="end"/>
      </w:r>
    </w:p>
    <w:p w:rsidR="00411C46" w:rsidRDefault="00411C46">
      <w:pPr>
        <w:pStyle w:val="TOC3"/>
        <w:rPr>
          <w:rFonts w:asciiTheme="minorHAnsi" w:eastAsiaTheme="minorEastAsia" w:hAnsiTheme="minorHAnsi" w:cstheme="minorBidi"/>
          <w:b w:val="0"/>
          <w:noProof/>
          <w:kern w:val="0"/>
          <w:szCs w:val="22"/>
        </w:rPr>
      </w:pPr>
      <w:r>
        <w:rPr>
          <w:noProof/>
        </w:rPr>
        <w:t>Division 307</w:t>
      </w:r>
      <w:r w:rsidRPr="00DC60FC">
        <w:rPr>
          <w:noProof/>
          <w:color w:val="000000"/>
        </w:rPr>
        <w:t>—</w:t>
      </w:r>
      <w:r>
        <w:rPr>
          <w:noProof/>
        </w:rPr>
        <w:t>Key concepts relating to superannuation benefits</w:t>
      </w:r>
      <w:r w:rsidRPr="00411C46">
        <w:rPr>
          <w:b w:val="0"/>
          <w:noProof/>
          <w:sz w:val="18"/>
        </w:rPr>
        <w:tab/>
      </w:r>
      <w:r w:rsidRPr="00411C46">
        <w:rPr>
          <w:b w:val="0"/>
          <w:noProof/>
          <w:sz w:val="18"/>
        </w:rPr>
        <w:fldChar w:fldCharType="begin"/>
      </w:r>
      <w:r w:rsidRPr="00411C46">
        <w:rPr>
          <w:b w:val="0"/>
          <w:noProof/>
          <w:sz w:val="18"/>
        </w:rPr>
        <w:instrText xml:space="preserve"> PAGEREF _Toc49765297 \h </w:instrText>
      </w:r>
      <w:r w:rsidRPr="00411C46">
        <w:rPr>
          <w:b w:val="0"/>
          <w:noProof/>
          <w:sz w:val="18"/>
        </w:rPr>
      </w:r>
      <w:r w:rsidRPr="00411C46">
        <w:rPr>
          <w:b w:val="0"/>
          <w:noProof/>
          <w:sz w:val="18"/>
        </w:rPr>
        <w:fldChar w:fldCharType="separate"/>
      </w:r>
      <w:r w:rsidR="00F54F75">
        <w:rPr>
          <w:b w:val="0"/>
          <w:noProof/>
          <w:sz w:val="18"/>
        </w:rPr>
        <w:t>55</w:t>
      </w:r>
      <w:r w:rsidRPr="00411C46">
        <w:rPr>
          <w:b w:val="0"/>
          <w:noProof/>
          <w:sz w:val="18"/>
        </w:rPr>
        <w:fldChar w:fldCharType="end"/>
      </w:r>
    </w:p>
    <w:p w:rsidR="00411C46" w:rsidRDefault="00411C46">
      <w:pPr>
        <w:pStyle w:val="TOC4"/>
        <w:rPr>
          <w:rFonts w:asciiTheme="minorHAnsi" w:eastAsiaTheme="minorEastAsia" w:hAnsiTheme="minorHAnsi" w:cstheme="minorBidi"/>
          <w:b w:val="0"/>
          <w:noProof/>
          <w:kern w:val="0"/>
          <w:sz w:val="22"/>
          <w:szCs w:val="22"/>
        </w:rPr>
      </w:pPr>
      <w:r>
        <w:rPr>
          <w:noProof/>
        </w:rPr>
        <w:t>Subdivision 307</w:t>
      </w:r>
      <w:r>
        <w:rPr>
          <w:noProof/>
        </w:rPr>
        <w:noBreakHyphen/>
        <w:t>B—Superannuation lump sums and superannuation income stream benefits</w:t>
      </w:r>
      <w:r w:rsidRPr="00411C46">
        <w:rPr>
          <w:b w:val="0"/>
          <w:noProof/>
          <w:sz w:val="18"/>
        </w:rPr>
        <w:tab/>
      </w:r>
      <w:r w:rsidRPr="00411C46">
        <w:rPr>
          <w:b w:val="0"/>
          <w:noProof/>
          <w:sz w:val="18"/>
        </w:rPr>
        <w:fldChar w:fldCharType="begin"/>
      </w:r>
      <w:r w:rsidRPr="00411C46">
        <w:rPr>
          <w:b w:val="0"/>
          <w:noProof/>
          <w:sz w:val="18"/>
        </w:rPr>
        <w:instrText xml:space="preserve"> PAGEREF _Toc49765298 \h </w:instrText>
      </w:r>
      <w:r w:rsidRPr="00411C46">
        <w:rPr>
          <w:b w:val="0"/>
          <w:noProof/>
          <w:sz w:val="18"/>
        </w:rPr>
      </w:r>
      <w:r w:rsidRPr="00411C46">
        <w:rPr>
          <w:b w:val="0"/>
          <w:noProof/>
          <w:sz w:val="18"/>
        </w:rPr>
        <w:fldChar w:fldCharType="separate"/>
      </w:r>
      <w:r w:rsidR="00F54F75">
        <w:rPr>
          <w:b w:val="0"/>
          <w:noProof/>
          <w:sz w:val="18"/>
        </w:rPr>
        <w:t>55</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307</w:t>
      </w:r>
      <w:r>
        <w:rPr>
          <w:noProof/>
        </w:rPr>
        <w:noBreakHyphen/>
        <w:t>70.01</w:t>
      </w:r>
      <w:r>
        <w:rPr>
          <w:noProof/>
        </w:rPr>
        <w:tab/>
        <w:t>Superannuation income stream benefits</w:t>
      </w:r>
      <w:r w:rsidRPr="00411C46">
        <w:rPr>
          <w:noProof/>
        </w:rPr>
        <w:tab/>
      </w:r>
      <w:r w:rsidRPr="00411C46">
        <w:rPr>
          <w:noProof/>
        </w:rPr>
        <w:fldChar w:fldCharType="begin"/>
      </w:r>
      <w:r w:rsidRPr="00411C46">
        <w:rPr>
          <w:noProof/>
        </w:rPr>
        <w:instrText xml:space="preserve"> PAGEREF _Toc49765299 \h </w:instrText>
      </w:r>
      <w:r w:rsidRPr="00411C46">
        <w:rPr>
          <w:noProof/>
        </w:rPr>
      </w:r>
      <w:r w:rsidRPr="00411C46">
        <w:rPr>
          <w:noProof/>
        </w:rPr>
        <w:fldChar w:fldCharType="separate"/>
      </w:r>
      <w:r w:rsidR="00F54F75">
        <w:rPr>
          <w:noProof/>
        </w:rPr>
        <w:t>55</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307</w:t>
      </w:r>
      <w:r>
        <w:rPr>
          <w:noProof/>
        </w:rPr>
        <w:noBreakHyphen/>
        <w:t>70.02</w:t>
      </w:r>
      <w:r>
        <w:rPr>
          <w:noProof/>
        </w:rPr>
        <w:tab/>
        <w:t xml:space="preserve">Meaning of </w:t>
      </w:r>
      <w:r w:rsidRPr="00DC60FC">
        <w:rPr>
          <w:i/>
          <w:noProof/>
        </w:rPr>
        <w:t>superannuation income stream</w:t>
      </w:r>
      <w:r w:rsidRPr="00411C46">
        <w:rPr>
          <w:noProof/>
        </w:rPr>
        <w:tab/>
      </w:r>
      <w:r w:rsidRPr="00411C46">
        <w:rPr>
          <w:noProof/>
        </w:rPr>
        <w:fldChar w:fldCharType="begin"/>
      </w:r>
      <w:r w:rsidRPr="00411C46">
        <w:rPr>
          <w:noProof/>
        </w:rPr>
        <w:instrText xml:space="preserve"> PAGEREF _Toc49765300 \h </w:instrText>
      </w:r>
      <w:r w:rsidRPr="00411C46">
        <w:rPr>
          <w:noProof/>
        </w:rPr>
      </w:r>
      <w:r w:rsidRPr="00411C46">
        <w:rPr>
          <w:noProof/>
        </w:rPr>
        <w:fldChar w:fldCharType="separate"/>
      </w:r>
      <w:r w:rsidR="00F54F75">
        <w:rPr>
          <w:noProof/>
        </w:rPr>
        <w:t>55</w:t>
      </w:r>
      <w:r w:rsidRPr="00411C46">
        <w:rPr>
          <w:noProof/>
        </w:rPr>
        <w:fldChar w:fldCharType="end"/>
      </w:r>
    </w:p>
    <w:p w:rsidR="00411C46" w:rsidRDefault="00411C46">
      <w:pPr>
        <w:pStyle w:val="TOC4"/>
        <w:rPr>
          <w:rFonts w:asciiTheme="minorHAnsi" w:eastAsiaTheme="minorEastAsia" w:hAnsiTheme="minorHAnsi" w:cstheme="minorBidi"/>
          <w:b w:val="0"/>
          <w:noProof/>
          <w:kern w:val="0"/>
          <w:sz w:val="22"/>
          <w:szCs w:val="22"/>
        </w:rPr>
      </w:pPr>
      <w:r w:rsidRPr="00DC60FC">
        <w:rPr>
          <w:rFonts w:eastAsiaTheme="majorEastAsia"/>
          <w:noProof/>
        </w:rPr>
        <w:t>Subdivision 307</w:t>
      </w:r>
      <w:r w:rsidRPr="00DC60FC">
        <w:rPr>
          <w:rFonts w:eastAsiaTheme="majorEastAsia"/>
          <w:noProof/>
        </w:rPr>
        <w:noBreakHyphen/>
        <w:t>C</w:t>
      </w:r>
      <w:r>
        <w:rPr>
          <w:noProof/>
        </w:rPr>
        <w:t>—</w:t>
      </w:r>
      <w:r w:rsidRPr="00DC60FC">
        <w:rPr>
          <w:rFonts w:eastAsiaTheme="majorEastAsia"/>
          <w:noProof/>
        </w:rPr>
        <w:t>Components of a superannuation benefit</w:t>
      </w:r>
      <w:r w:rsidRPr="00411C46">
        <w:rPr>
          <w:b w:val="0"/>
          <w:noProof/>
          <w:sz w:val="18"/>
        </w:rPr>
        <w:tab/>
      </w:r>
      <w:r w:rsidRPr="00411C46">
        <w:rPr>
          <w:b w:val="0"/>
          <w:noProof/>
          <w:sz w:val="18"/>
        </w:rPr>
        <w:fldChar w:fldCharType="begin"/>
      </w:r>
      <w:r w:rsidRPr="00411C46">
        <w:rPr>
          <w:b w:val="0"/>
          <w:noProof/>
          <w:sz w:val="18"/>
        </w:rPr>
        <w:instrText xml:space="preserve"> PAGEREF _Toc49765301 \h </w:instrText>
      </w:r>
      <w:r w:rsidRPr="00411C46">
        <w:rPr>
          <w:b w:val="0"/>
          <w:noProof/>
          <w:sz w:val="18"/>
        </w:rPr>
      </w:r>
      <w:r w:rsidRPr="00411C46">
        <w:rPr>
          <w:b w:val="0"/>
          <w:noProof/>
          <w:sz w:val="18"/>
        </w:rPr>
        <w:fldChar w:fldCharType="separate"/>
      </w:r>
      <w:r w:rsidR="00F54F75">
        <w:rPr>
          <w:b w:val="0"/>
          <w:noProof/>
          <w:sz w:val="18"/>
        </w:rPr>
        <w:t>56</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307</w:t>
      </w:r>
      <w:r>
        <w:rPr>
          <w:noProof/>
        </w:rPr>
        <w:noBreakHyphen/>
        <w:t>125.01</w:t>
      </w:r>
      <w:r>
        <w:rPr>
          <w:noProof/>
        </w:rPr>
        <w:tab/>
        <w:t>Components of member benefits accruing before 1 July 1999 paid from the Military Superannuation and Benefits Scheme</w:t>
      </w:r>
      <w:r w:rsidRPr="00411C46">
        <w:rPr>
          <w:noProof/>
        </w:rPr>
        <w:tab/>
      </w:r>
      <w:r w:rsidRPr="00411C46">
        <w:rPr>
          <w:noProof/>
        </w:rPr>
        <w:fldChar w:fldCharType="begin"/>
      </w:r>
      <w:r w:rsidRPr="00411C46">
        <w:rPr>
          <w:noProof/>
        </w:rPr>
        <w:instrText xml:space="preserve"> PAGEREF _Toc49765302 \h </w:instrText>
      </w:r>
      <w:r w:rsidRPr="00411C46">
        <w:rPr>
          <w:noProof/>
        </w:rPr>
      </w:r>
      <w:r w:rsidRPr="00411C46">
        <w:rPr>
          <w:noProof/>
        </w:rPr>
        <w:fldChar w:fldCharType="separate"/>
      </w:r>
      <w:r w:rsidR="00F54F75">
        <w:rPr>
          <w:noProof/>
        </w:rPr>
        <w:t>56</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307</w:t>
      </w:r>
      <w:r>
        <w:rPr>
          <w:noProof/>
        </w:rPr>
        <w:noBreakHyphen/>
        <w:t>125.02</w:t>
      </w:r>
      <w:r>
        <w:rPr>
          <w:noProof/>
        </w:rPr>
        <w:tab/>
        <w:t>Components of superannuation benefits after death of recipient of superannuation income stream</w:t>
      </w:r>
      <w:r w:rsidRPr="00411C46">
        <w:rPr>
          <w:noProof/>
        </w:rPr>
        <w:tab/>
      </w:r>
      <w:r w:rsidRPr="00411C46">
        <w:rPr>
          <w:noProof/>
        </w:rPr>
        <w:fldChar w:fldCharType="begin"/>
      </w:r>
      <w:r w:rsidRPr="00411C46">
        <w:rPr>
          <w:noProof/>
        </w:rPr>
        <w:instrText xml:space="preserve"> PAGEREF _Toc49765303 \h </w:instrText>
      </w:r>
      <w:r w:rsidRPr="00411C46">
        <w:rPr>
          <w:noProof/>
        </w:rPr>
      </w:r>
      <w:r w:rsidRPr="00411C46">
        <w:rPr>
          <w:noProof/>
        </w:rPr>
        <w:fldChar w:fldCharType="separate"/>
      </w:r>
      <w:r w:rsidR="00F54F75">
        <w:rPr>
          <w:noProof/>
        </w:rPr>
        <w:t>57</w:t>
      </w:r>
      <w:r w:rsidRPr="00411C46">
        <w:rPr>
          <w:noProof/>
        </w:rPr>
        <w:fldChar w:fldCharType="end"/>
      </w:r>
    </w:p>
    <w:p w:rsidR="00411C46" w:rsidRDefault="00411C46">
      <w:pPr>
        <w:pStyle w:val="TOC4"/>
        <w:rPr>
          <w:rFonts w:asciiTheme="minorHAnsi" w:eastAsiaTheme="minorEastAsia" w:hAnsiTheme="minorHAnsi" w:cstheme="minorBidi"/>
          <w:b w:val="0"/>
          <w:noProof/>
          <w:kern w:val="0"/>
          <w:sz w:val="22"/>
          <w:szCs w:val="22"/>
        </w:rPr>
      </w:pPr>
      <w:r w:rsidRPr="00DC60FC">
        <w:rPr>
          <w:rFonts w:eastAsiaTheme="majorEastAsia"/>
          <w:noProof/>
        </w:rPr>
        <w:t>Subdivision 307</w:t>
      </w:r>
      <w:r w:rsidRPr="00DC60FC">
        <w:rPr>
          <w:rFonts w:eastAsiaTheme="majorEastAsia"/>
          <w:noProof/>
        </w:rPr>
        <w:noBreakHyphen/>
        <w:t>D</w:t>
      </w:r>
      <w:r>
        <w:rPr>
          <w:noProof/>
        </w:rPr>
        <w:t>—</w:t>
      </w:r>
      <w:r w:rsidRPr="00DC60FC">
        <w:rPr>
          <w:rFonts w:eastAsiaTheme="majorEastAsia"/>
          <w:noProof/>
        </w:rPr>
        <w:t>Superannuation interests</w:t>
      </w:r>
      <w:r w:rsidRPr="00411C46">
        <w:rPr>
          <w:b w:val="0"/>
          <w:noProof/>
          <w:sz w:val="18"/>
        </w:rPr>
        <w:tab/>
      </w:r>
      <w:r w:rsidRPr="00411C46">
        <w:rPr>
          <w:b w:val="0"/>
          <w:noProof/>
          <w:sz w:val="18"/>
        </w:rPr>
        <w:fldChar w:fldCharType="begin"/>
      </w:r>
      <w:r w:rsidRPr="00411C46">
        <w:rPr>
          <w:b w:val="0"/>
          <w:noProof/>
          <w:sz w:val="18"/>
        </w:rPr>
        <w:instrText xml:space="preserve"> PAGEREF _Toc49765304 \h </w:instrText>
      </w:r>
      <w:r w:rsidRPr="00411C46">
        <w:rPr>
          <w:b w:val="0"/>
          <w:noProof/>
          <w:sz w:val="18"/>
        </w:rPr>
      </w:r>
      <w:r w:rsidRPr="00411C46">
        <w:rPr>
          <w:b w:val="0"/>
          <w:noProof/>
          <w:sz w:val="18"/>
        </w:rPr>
        <w:fldChar w:fldCharType="separate"/>
      </w:r>
      <w:r w:rsidR="00F54F75">
        <w:rPr>
          <w:b w:val="0"/>
          <w:noProof/>
          <w:sz w:val="18"/>
        </w:rPr>
        <w:t>58</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307</w:t>
      </w:r>
      <w:r>
        <w:rPr>
          <w:noProof/>
        </w:rPr>
        <w:noBreakHyphen/>
        <w:t>200.01</w:t>
      </w:r>
      <w:r>
        <w:rPr>
          <w:noProof/>
        </w:rPr>
        <w:tab/>
        <w:t>Application of sections 307</w:t>
      </w:r>
      <w:r>
        <w:rPr>
          <w:noProof/>
        </w:rPr>
        <w:noBreakHyphen/>
        <w:t>200.02 to 307</w:t>
      </w:r>
      <w:r>
        <w:rPr>
          <w:noProof/>
        </w:rPr>
        <w:noBreakHyphen/>
        <w:t>200.05 to Subdivisions 291</w:t>
      </w:r>
      <w:r>
        <w:rPr>
          <w:noProof/>
        </w:rPr>
        <w:noBreakHyphen/>
        <w:t>C and 293</w:t>
      </w:r>
      <w:r>
        <w:rPr>
          <w:noProof/>
        </w:rPr>
        <w:noBreakHyphen/>
        <w:t>D of the Act</w:t>
      </w:r>
      <w:r w:rsidRPr="00411C46">
        <w:rPr>
          <w:noProof/>
        </w:rPr>
        <w:tab/>
      </w:r>
      <w:r w:rsidRPr="00411C46">
        <w:rPr>
          <w:noProof/>
        </w:rPr>
        <w:fldChar w:fldCharType="begin"/>
      </w:r>
      <w:r w:rsidRPr="00411C46">
        <w:rPr>
          <w:noProof/>
        </w:rPr>
        <w:instrText xml:space="preserve"> PAGEREF _Toc49765305 \h </w:instrText>
      </w:r>
      <w:r w:rsidRPr="00411C46">
        <w:rPr>
          <w:noProof/>
        </w:rPr>
      </w:r>
      <w:r w:rsidRPr="00411C46">
        <w:rPr>
          <w:noProof/>
        </w:rPr>
        <w:fldChar w:fldCharType="separate"/>
      </w:r>
      <w:r w:rsidR="00F54F75">
        <w:rPr>
          <w:noProof/>
        </w:rPr>
        <w:t>58</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307</w:t>
      </w:r>
      <w:r>
        <w:rPr>
          <w:noProof/>
        </w:rPr>
        <w:noBreakHyphen/>
        <w:t>200.02</w:t>
      </w:r>
      <w:r>
        <w:rPr>
          <w:noProof/>
        </w:rPr>
        <w:tab/>
        <w:t>Meaning of superannuation interests</w:t>
      </w:r>
      <w:r w:rsidRPr="00DC60FC">
        <w:rPr>
          <w:i/>
          <w:noProof/>
        </w:rPr>
        <w:t>—</w:t>
      </w:r>
      <w:r>
        <w:rPr>
          <w:noProof/>
        </w:rPr>
        <w:t>treating superannuation interests as 1 superannuation interest (self</w:t>
      </w:r>
      <w:r>
        <w:rPr>
          <w:noProof/>
        </w:rPr>
        <w:noBreakHyphen/>
        <w:t>managed superannuation funds)</w:t>
      </w:r>
      <w:r w:rsidRPr="00411C46">
        <w:rPr>
          <w:noProof/>
        </w:rPr>
        <w:tab/>
      </w:r>
      <w:r w:rsidRPr="00411C46">
        <w:rPr>
          <w:noProof/>
        </w:rPr>
        <w:fldChar w:fldCharType="begin"/>
      </w:r>
      <w:r w:rsidRPr="00411C46">
        <w:rPr>
          <w:noProof/>
        </w:rPr>
        <w:instrText xml:space="preserve"> PAGEREF _Toc49765306 \h </w:instrText>
      </w:r>
      <w:r w:rsidRPr="00411C46">
        <w:rPr>
          <w:noProof/>
        </w:rPr>
      </w:r>
      <w:r w:rsidRPr="00411C46">
        <w:rPr>
          <w:noProof/>
        </w:rPr>
        <w:fldChar w:fldCharType="separate"/>
      </w:r>
      <w:r w:rsidR="00F54F75">
        <w:rPr>
          <w:noProof/>
        </w:rPr>
        <w:t>59</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307</w:t>
      </w:r>
      <w:r>
        <w:rPr>
          <w:noProof/>
        </w:rPr>
        <w:noBreakHyphen/>
        <w:t>200.03</w:t>
      </w:r>
      <w:r>
        <w:rPr>
          <w:noProof/>
        </w:rPr>
        <w:tab/>
        <w:t>Meaning of superannuation interests—treating a superannuation interest as 2 or more superannuation interests (public sector schemes)</w:t>
      </w:r>
      <w:r w:rsidRPr="00411C46">
        <w:rPr>
          <w:noProof/>
        </w:rPr>
        <w:tab/>
      </w:r>
      <w:r w:rsidRPr="00411C46">
        <w:rPr>
          <w:noProof/>
        </w:rPr>
        <w:fldChar w:fldCharType="begin"/>
      </w:r>
      <w:r w:rsidRPr="00411C46">
        <w:rPr>
          <w:noProof/>
        </w:rPr>
        <w:instrText xml:space="preserve"> PAGEREF _Toc49765307 \h </w:instrText>
      </w:r>
      <w:r w:rsidRPr="00411C46">
        <w:rPr>
          <w:noProof/>
        </w:rPr>
      </w:r>
      <w:r w:rsidRPr="00411C46">
        <w:rPr>
          <w:noProof/>
        </w:rPr>
        <w:fldChar w:fldCharType="separate"/>
      </w:r>
      <w:r w:rsidR="00F54F75">
        <w:rPr>
          <w:noProof/>
        </w:rPr>
        <w:t>59</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307</w:t>
      </w:r>
      <w:r>
        <w:rPr>
          <w:noProof/>
        </w:rPr>
        <w:noBreakHyphen/>
        <w:t>200.05</w:t>
      </w:r>
      <w:r>
        <w:rPr>
          <w:noProof/>
        </w:rPr>
        <w:tab/>
        <w:t>Meaning of superannuation interests—treating a superannuation interest as 2 or more superannuation interests (superannuation income streams)</w:t>
      </w:r>
      <w:r w:rsidRPr="00411C46">
        <w:rPr>
          <w:noProof/>
        </w:rPr>
        <w:tab/>
      </w:r>
      <w:r w:rsidRPr="00411C46">
        <w:rPr>
          <w:noProof/>
        </w:rPr>
        <w:fldChar w:fldCharType="begin"/>
      </w:r>
      <w:r w:rsidRPr="00411C46">
        <w:rPr>
          <w:noProof/>
        </w:rPr>
        <w:instrText xml:space="preserve"> PAGEREF _Toc49765308 \h </w:instrText>
      </w:r>
      <w:r w:rsidRPr="00411C46">
        <w:rPr>
          <w:noProof/>
        </w:rPr>
      </w:r>
      <w:r w:rsidRPr="00411C46">
        <w:rPr>
          <w:noProof/>
        </w:rPr>
        <w:fldChar w:fldCharType="separate"/>
      </w:r>
      <w:r w:rsidR="00F54F75">
        <w:rPr>
          <w:noProof/>
        </w:rPr>
        <w:t>59</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307</w:t>
      </w:r>
      <w:r>
        <w:rPr>
          <w:noProof/>
        </w:rPr>
        <w:noBreakHyphen/>
        <w:t>205.01</w:t>
      </w:r>
      <w:r>
        <w:rPr>
          <w:noProof/>
        </w:rPr>
        <w:tab/>
        <w:t>Value of superannuation interest for calculating pre</w:t>
      </w:r>
      <w:r>
        <w:rPr>
          <w:noProof/>
        </w:rPr>
        <w:noBreakHyphen/>
        <w:t>July 83 amount for members in the contributions and investment phase</w:t>
      </w:r>
      <w:r w:rsidRPr="00411C46">
        <w:rPr>
          <w:noProof/>
        </w:rPr>
        <w:tab/>
      </w:r>
      <w:r w:rsidRPr="00411C46">
        <w:rPr>
          <w:noProof/>
        </w:rPr>
        <w:fldChar w:fldCharType="begin"/>
      </w:r>
      <w:r w:rsidRPr="00411C46">
        <w:rPr>
          <w:noProof/>
        </w:rPr>
        <w:instrText xml:space="preserve"> PAGEREF _Toc49765309 \h </w:instrText>
      </w:r>
      <w:r w:rsidRPr="00411C46">
        <w:rPr>
          <w:noProof/>
        </w:rPr>
      </w:r>
      <w:r w:rsidRPr="00411C46">
        <w:rPr>
          <w:noProof/>
        </w:rPr>
        <w:fldChar w:fldCharType="separate"/>
      </w:r>
      <w:r w:rsidR="00F54F75">
        <w:rPr>
          <w:noProof/>
        </w:rPr>
        <w:t>60</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307</w:t>
      </w:r>
      <w:r>
        <w:rPr>
          <w:noProof/>
        </w:rPr>
        <w:noBreakHyphen/>
        <w:t>205.01A</w:t>
      </w:r>
      <w:r>
        <w:rPr>
          <w:noProof/>
        </w:rPr>
        <w:tab/>
        <w:t>How to calculate the value of a retirement benefit for step 1 of the method in subsection 307</w:t>
      </w:r>
      <w:r>
        <w:rPr>
          <w:noProof/>
        </w:rPr>
        <w:noBreakHyphen/>
        <w:t>205.01(2)</w:t>
      </w:r>
      <w:r w:rsidRPr="00411C46">
        <w:rPr>
          <w:noProof/>
        </w:rPr>
        <w:tab/>
      </w:r>
      <w:r w:rsidRPr="00411C46">
        <w:rPr>
          <w:noProof/>
        </w:rPr>
        <w:fldChar w:fldCharType="begin"/>
      </w:r>
      <w:r w:rsidRPr="00411C46">
        <w:rPr>
          <w:noProof/>
        </w:rPr>
        <w:instrText xml:space="preserve"> PAGEREF _Toc49765310 \h </w:instrText>
      </w:r>
      <w:r w:rsidRPr="00411C46">
        <w:rPr>
          <w:noProof/>
        </w:rPr>
      </w:r>
      <w:r w:rsidRPr="00411C46">
        <w:rPr>
          <w:noProof/>
        </w:rPr>
        <w:fldChar w:fldCharType="separate"/>
      </w:r>
      <w:r w:rsidR="00F54F75">
        <w:rPr>
          <w:noProof/>
        </w:rPr>
        <w:t>61</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307</w:t>
      </w:r>
      <w:r>
        <w:rPr>
          <w:noProof/>
        </w:rPr>
        <w:noBreakHyphen/>
        <w:t>205.02</w:t>
      </w:r>
      <w:r>
        <w:rPr>
          <w:noProof/>
        </w:rPr>
        <w:tab/>
        <w:t>Value of superannuation interest</w:t>
      </w:r>
      <w:r w:rsidRPr="00411C46">
        <w:rPr>
          <w:noProof/>
        </w:rPr>
        <w:tab/>
      </w:r>
      <w:r w:rsidRPr="00411C46">
        <w:rPr>
          <w:noProof/>
        </w:rPr>
        <w:fldChar w:fldCharType="begin"/>
      </w:r>
      <w:r w:rsidRPr="00411C46">
        <w:rPr>
          <w:noProof/>
        </w:rPr>
        <w:instrText xml:space="preserve"> PAGEREF _Toc49765311 \h </w:instrText>
      </w:r>
      <w:r w:rsidRPr="00411C46">
        <w:rPr>
          <w:noProof/>
        </w:rPr>
      </w:r>
      <w:r w:rsidRPr="00411C46">
        <w:rPr>
          <w:noProof/>
        </w:rPr>
        <w:fldChar w:fldCharType="separate"/>
      </w:r>
      <w:r w:rsidR="00F54F75">
        <w:rPr>
          <w:noProof/>
        </w:rPr>
        <w:t>62</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307</w:t>
      </w:r>
      <w:r>
        <w:rPr>
          <w:noProof/>
        </w:rPr>
        <w:noBreakHyphen/>
        <w:t>205.02A</w:t>
      </w:r>
      <w:r>
        <w:rPr>
          <w:noProof/>
        </w:rPr>
        <w:tab/>
        <w:t>Value of superannuation interest—superannuation income streams or superannuation annuities based on identifiable amounts</w:t>
      </w:r>
      <w:r w:rsidRPr="00411C46">
        <w:rPr>
          <w:noProof/>
        </w:rPr>
        <w:tab/>
      </w:r>
      <w:r w:rsidRPr="00411C46">
        <w:rPr>
          <w:noProof/>
        </w:rPr>
        <w:fldChar w:fldCharType="begin"/>
      </w:r>
      <w:r w:rsidRPr="00411C46">
        <w:rPr>
          <w:noProof/>
        </w:rPr>
        <w:instrText xml:space="preserve"> PAGEREF _Toc49765312 \h </w:instrText>
      </w:r>
      <w:r w:rsidRPr="00411C46">
        <w:rPr>
          <w:noProof/>
        </w:rPr>
      </w:r>
      <w:r w:rsidRPr="00411C46">
        <w:rPr>
          <w:noProof/>
        </w:rPr>
        <w:fldChar w:fldCharType="separate"/>
      </w:r>
      <w:r w:rsidR="00F54F75">
        <w:rPr>
          <w:noProof/>
        </w:rPr>
        <w:t>63</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307</w:t>
      </w:r>
      <w:r>
        <w:rPr>
          <w:noProof/>
        </w:rPr>
        <w:noBreakHyphen/>
        <w:t>205.02B</w:t>
      </w:r>
      <w:r>
        <w:rPr>
          <w:noProof/>
        </w:rPr>
        <w:tab/>
        <w:t>Value of superannuation interest—public sector superannuation schemes</w:t>
      </w:r>
      <w:r w:rsidRPr="00411C46">
        <w:rPr>
          <w:noProof/>
        </w:rPr>
        <w:tab/>
      </w:r>
      <w:r w:rsidRPr="00411C46">
        <w:rPr>
          <w:noProof/>
        </w:rPr>
        <w:fldChar w:fldCharType="begin"/>
      </w:r>
      <w:r w:rsidRPr="00411C46">
        <w:rPr>
          <w:noProof/>
        </w:rPr>
        <w:instrText xml:space="preserve"> PAGEREF _Toc49765313 \h </w:instrText>
      </w:r>
      <w:r w:rsidRPr="00411C46">
        <w:rPr>
          <w:noProof/>
        </w:rPr>
      </w:r>
      <w:r w:rsidRPr="00411C46">
        <w:rPr>
          <w:noProof/>
        </w:rPr>
        <w:fldChar w:fldCharType="separate"/>
      </w:r>
      <w:r w:rsidR="00F54F75">
        <w:rPr>
          <w:noProof/>
        </w:rPr>
        <w:t>63</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307</w:t>
      </w:r>
      <w:r>
        <w:rPr>
          <w:noProof/>
        </w:rPr>
        <w:noBreakHyphen/>
        <w:t>205.02C</w:t>
      </w:r>
      <w:r>
        <w:rPr>
          <w:noProof/>
        </w:rPr>
        <w:tab/>
        <w:t>Value of superannuation interest—deferred superannuation income streams</w:t>
      </w:r>
      <w:r w:rsidRPr="00411C46">
        <w:rPr>
          <w:noProof/>
        </w:rPr>
        <w:tab/>
      </w:r>
      <w:r w:rsidRPr="00411C46">
        <w:rPr>
          <w:noProof/>
        </w:rPr>
        <w:fldChar w:fldCharType="begin"/>
      </w:r>
      <w:r w:rsidRPr="00411C46">
        <w:rPr>
          <w:noProof/>
        </w:rPr>
        <w:instrText xml:space="preserve"> PAGEREF _Toc49765314 \h </w:instrText>
      </w:r>
      <w:r w:rsidRPr="00411C46">
        <w:rPr>
          <w:noProof/>
        </w:rPr>
      </w:r>
      <w:r w:rsidRPr="00411C46">
        <w:rPr>
          <w:noProof/>
        </w:rPr>
        <w:fldChar w:fldCharType="separate"/>
      </w:r>
      <w:r w:rsidR="00F54F75">
        <w:rPr>
          <w:noProof/>
        </w:rPr>
        <w:t>63</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307</w:t>
      </w:r>
      <w:r>
        <w:rPr>
          <w:noProof/>
        </w:rPr>
        <w:noBreakHyphen/>
        <w:t>205.02D</w:t>
      </w:r>
      <w:r>
        <w:rPr>
          <w:noProof/>
        </w:rPr>
        <w:tab/>
        <w:t>Value of superannuation interest—pooled investment pensions</w:t>
      </w:r>
      <w:r w:rsidRPr="00411C46">
        <w:rPr>
          <w:noProof/>
        </w:rPr>
        <w:tab/>
      </w:r>
      <w:r w:rsidRPr="00411C46">
        <w:rPr>
          <w:noProof/>
        </w:rPr>
        <w:fldChar w:fldCharType="begin"/>
      </w:r>
      <w:r w:rsidRPr="00411C46">
        <w:rPr>
          <w:noProof/>
        </w:rPr>
        <w:instrText xml:space="preserve"> PAGEREF _Toc49765315 \h </w:instrText>
      </w:r>
      <w:r w:rsidRPr="00411C46">
        <w:rPr>
          <w:noProof/>
        </w:rPr>
      </w:r>
      <w:r w:rsidRPr="00411C46">
        <w:rPr>
          <w:noProof/>
        </w:rPr>
        <w:fldChar w:fldCharType="separate"/>
      </w:r>
      <w:r w:rsidR="00F54F75">
        <w:rPr>
          <w:noProof/>
        </w:rPr>
        <w:t>64</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307</w:t>
      </w:r>
      <w:r>
        <w:rPr>
          <w:noProof/>
        </w:rPr>
        <w:noBreakHyphen/>
        <w:t>205.02E</w:t>
      </w:r>
      <w:r>
        <w:rPr>
          <w:noProof/>
        </w:rPr>
        <w:tab/>
        <w:t>Value of superannuation interest—pooled investment annuities</w:t>
      </w:r>
      <w:r w:rsidRPr="00411C46">
        <w:rPr>
          <w:noProof/>
        </w:rPr>
        <w:tab/>
      </w:r>
      <w:r w:rsidRPr="00411C46">
        <w:rPr>
          <w:noProof/>
        </w:rPr>
        <w:fldChar w:fldCharType="begin"/>
      </w:r>
      <w:r w:rsidRPr="00411C46">
        <w:rPr>
          <w:noProof/>
        </w:rPr>
        <w:instrText xml:space="preserve"> PAGEREF _Toc49765316 \h </w:instrText>
      </w:r>
      <w:r w:rsidRPr="00411C46">
        <w:rPr>
          <w:noProof/>
        </w:rPr>
      </w:r>
      <w:r w:rsidRPr="00411C46">
        <w:rPr>
          <w:noProof/>
        </w:rPr>
        <w:fldChar w:fldCharType="separate"/>
      </w:r>
      <w:r w:rsidR="00F54F75">
        <w:rPr>
          <w:noProof/>
        </w:rPr>
        <w:t>65</w:t>
      </w:r>
      <w:r w:rsidRPr="00411C46">
        <w:rPr>
          <w:noProof/>
        </w:rPr>
        <w:fldChar w:fldCharType="end"/>
      </w:r>
    </w:p>
    <w:p w:rsidR="00411C46" w:rsidRDefault="00411C46">
      <w:pPr>
        <w:pStyle w:val="TOC2"/>
        <w:rPr>
          <w:rFonts w:asciiTheme="minorHAnsi" w:eastAsiaTheme="minorEastAsia" w:hAnsiTheme="minorHAnsi" w:cstheme="minorBidi"/>
          <w:b w:val="0"/>
          <w:noProof/>
          <w:kern w:val="0"/>
          <w:sz w:val="22"/>
          <w:szCs w:val="22"/>
        </w:rPr>
      </w:pPr>
      <w:r>
        <w:rPr>
          <w:noProof/>
        </w:rPr>
        <w:t>Part 3</w:t>
      </w:r>
      <w:r>
        <w:rPr>
          <w:noProof/>
        </w:rPr>
        <w:noBreakHyphen/>
        <w:t>45—Rules for particular industries and occupations</w:t>
      </w:r>
      <w:r w:rsidRPr="00411C46">
        <w:rPr>
          <w:b w:val="0"/>
          <w:noProof/>
          <w:sz w:val="18"/>
        </w:rPr>
        <w:tab/>
      </w:r>
      <w:r w:rsidRPr="00411C46">
        <w:rPr>
          <w:b w:val="0"/>
          <w:noProof/>
          <w:sz w:val="18"/>
        </w:rPr>
        <w:fldChar w:fldCharType="begin"/>
      </w:r>
      <w:r w:rsidRPr="00411C46">
        <w:rPr>
          <w:b w:val="0"/>
          <w:noProof/>
          <w:sz w:val="18"/>
        </w:rPr>
        <w:instrText xml:space="preserve"> PAGEREF _Toc49765317 \h </w:instrText>
      </w:r>
      <w:r w:rsidRPr="00411C46">
        <w:rPr>
          <w:b w:val="0"/>
          <w:noProof/>
          <w:sz w:val="18"/>
        </w:rPr>
      </w:r>
      <w:r w:rsidRPr="00411C46">
        <w:rPr>
          <w:b w:val="0"/>
          <w:noProof/>
          <w:sz w:val="18"/>
        </w:rPr>
        <w:fldChar w:fldCharType="separate"/>
      </w:r>
      <w:r w:rsidR="00F54F75">
        <w:rPr>
          <w:b w:val="0"/>
          <w:noProof/>
          <w:sz w:val="18"/>
        </w:rPr>
        <w:t>66</w:t>
      </w:r>
      <w:r w:rsidRPr="00411C46">
        <w:rPr>
          <w:b w:val="0"/>
          <w:noProof/>
          <w:sz w:val="18"/>
        </w:rPr>
        <w:fldChar w:fldCharType="end"/>
      </w:r>
    </w:p>
    <w:p w:rsidR="00411C46" w:rsidRDefault="00411C46">
      <w:pPr>
        <w:pStyle w:val="TOC3"/>
        <w:rPr>
          <w:rFonts w:asciiTheme="minorHAnsi" w:eastAsiaTheme="minorEastAsia" w:hAnsiTheme="minorHAnsi" w:cstheme="minorBidi"/>
          <w:b w:val="0"/>
          <w:noProof/>
          <w:kern w:val="0"/>
          <w:szCs w:val="22"/>
        </w:rPr>
      </w:pPr>
      <w:r>
        <w:rPr>
          <w:noProof/>
        </w:rPr>
        <w:t>Division 393—Farm management deposits</w:t>
      </w:r>
      <w:r w:rsidRPr="00411C46">
        <w:rPr>
          <w:b w:val="0"/>
          <w:noProof/>
          <w:sz w:val="18"/>
        </w:rPr>
        <w:tab/>
      </w:r>
      <w:r w:rsidRPr="00411C46">
        <w:rPr>
          <w:b w:val="0"/>
          <w:noProof/>
          <w:sz w:val="18"/>
        </w:rPr>
        <w:fldChar w:fldCharType="begin"/>
      </w:r>
      <w:r w:rsidRPr="00411C46">
        <w:rPr>
          <w:b w:val="0"/>
          <w:noProof/>
          <w:sz w:val="18"/>
        </w:rPr>
        <w:instrText xml:space="preserve"> PAGEREF _Toc49765318 \h </w:instrText>
      </w:r>
      <w:r w:rsidRPr="00411C46">
        <w:rPr>
          <w:b w:val="0"/>
          <w:noProof/>
          <w:sz w:val="18"/>
        </w:rPr>
      </w:r>
      <w:r w:rsidRPr="00411C46">
        <w:rPr>
          <w:b w:val="0"/>
          <w:noProof/>
          <w:sz w:val="18"/>
        </w:rPr>
        <w:fldChar w:fldCharType="separate"/>
      </w:r>
      <w:r w:rsidR="00F54F75">
        <w:rPr>
          <w:b w:val="0"/>
          <w:noProof/>
          <w:sz w:val="18"/>
        </w:rPr>
        <w:t>66</w:t>
      </w:r>
      <w:r w:rsidRPr="00411C46">
        <w:rPr>
          <w:b w:val="0"/>
          <w:noProof/>
          <w:sz w:val="18"/>
        </w:rPr>
        <w:fldChar w:fldCharType="end"/>
      </w:r>
    </w:p>
    <w:p w:rsidR="00411C46" w:rsidRDefault="00411C46">
      <w:pPr>
        <w:pStyle w:val="TOC4"/>
        <w:rPr>
          <w:rFonts w:asciiTheme="minorHAnsi" w:eastAsiaTheme="minorEastAsia" w:hAnsiTheme="minorHAnsi" w:cstheme="minorBidi"/>
          <w:b w:val="0"/>
          <w:noProof/>
          <w:kern w:val="0"/>
          <w:sz w:val="22"/>
          <w:szCs w:val="22"/>
        </w:rPr>
      </w:pPr>
      <w:r>
        <w:rPr>
          <w:noProof/>
        </w:rPr>
        <w:t>Subdivision 393</w:t>
      </w:r>
      <w:r>
        <w:rPr>
          <w:noProof/>
        </w:rPr>
        <w:noBreakHyphen/>
        <w:t>B—Meaning of farm management deposit and owner</w:t>
      </w:r>
      <w:r w:rsidRPr="00411C46">
        <w:rPr>
          <w:b w:val="0"/>
          <w:noProof/>
          <w:sz w:val="18"/>
        </w:rPr>
        <w:tab/>
      </w:r>
      <w:r w:rsidRPr="00411C46">
        <w:rPr>
          <w:b w:val="0"/>
          <w:noProof/>
          <w:sz w:val="18"/>
        </w:rPr>
        <w:fldChar w:fldCharType="begin"/>
      </w:r>
      <w:r w:rsidRPr="00411C46">
        <w:rPr>
          <w:b w:val="0"/>
          <w:noProof/>
          <w:sz w:val="18"/>
        </w:rPr>
        <w:instrText xml:space="preserve"> PAGEREF _Toc49765319 \h </w:instrText>
      </w:r>
      <w:r w:rsidRPr="00411C46">
        <w:rPr>
          <w:b w:val="0"/>
          <w:noProof/>
          <w:sz w:val="18"/>
        </w:rPr>
      </w:r>
      <w:r w:rsidRPr="00411C46">
        <w:rPr>
          <w:b w:val="0"/>
          <w:noProof/>
          <w:sz w:val="18"/>
        </w:rPr>
        <w:fldChar w:fldCharType="separate"/>
      </w:r>
      <w:r w:rsidR="00F54F75">
        <w:rPr>
          <w:b w:val="0"/>
          <w:noProof/>
          <w:sz w:val="18"/>
        </w:rPr>
        <w:t>66</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393</w:t>
      </w:r>
      <w:r>
        <w:rPr>
          <w:noProof/>
        </w:rPr>
        <w:noBreakHyphen/>
        <w:t>20.01</w:t>
      </w:r>
      <w:r>
        <w:rPr>
          <w:noProof/>
        </w:rPr>
        <w:tab/>
        <w:t>Application form for a farm management deposit—information given by depositor</w:t>
      </w:r>
      <w:r w:rsidRPr="00411C46">
        <w:rPr>
          <w:noProof/>
        </w:rPr>
        <w:tab/>
      </w:r>
      <w:r w:rsidRPr="00411C46">
        <w:rPr>
          <w:noProof/>
        </w:rPr>
        <w:fldChar w:fldCharType="begin"/>
      </w:r>
      <w:r w:rsidRPr="00411C46">
        <w:rPr>
          <w:noProof/>
        </w:rPr>
        <w:instrText xml:space="preserve"> PAGEREF _Toc49765320 \h </w:instrText>
      </w:r>
      <w:r w:rsidRPr="00411C46">
        <w:rPr>
          <w:noProof/>
        </w:rPr>
      </w:r>
      <w:r w:rsidRPr="00411C46">
        <w:rPr>
          <w:noProof/>
        </w:rPr>
        <w:fldChar w:fldCharType="separate"/>
      </w:r>
      <w:r w:rsidR="00F54F75">
        <w:rPr>
          <w:noProof/>
        </w:rPr>
        <w:t>66</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393</w:t>
      </w:r>
      <w:r>
        <w:rPr>
          <w:noProof/>
        </w:rPr>
        <w:noBreakHyphen/>
        <w:t>20.02</w:t>
      </w:r>
      <w:r>
        <w:rPr>
          <w:noProof/>
        </w:rPr>
        <w:tab/>
        <w:t>Application form for a farm management deposit—information given to depositor</w:t>
      </w:r>
      <w:r w:rsidRPr="00411C46">
        <w:rPr>
          <w:noProof/>
        </w:rPr>
        <w:tab/>
      </w:r>
      <w:r w:rsidRPr="00411C46">
        <w:rPr>
          <w:noProof/>
        </w:rPr>
        <w:fldChar w:fldCharType="begin"/>
      </w:r>
      <w:r w:rsidRPr="00411C46">
        <w:rPr>
          <w:noProof/>
        </w:rPr>
        <w:instrText xml:space="preserve"> PAGEREF _Toc49765321 \h </w:instrText>
      </w:r>
      <w:r w:rsidRPr="00411C46">
        <w:rPr>
          <w:noProof/>
        </w:rPr>
      </w:r>
      <w:r w:rsidRPr="00411C46">
        <w:rPr>
          <w:noProof/>
        </w:rPr>
        <w:fldChar w:fldCharType="separate"/>
      </w:r>
      <w:r w:rsidR="00F54F75">
        <w:rPr>
          <w:noProof/>
        </w:rPr>
        <w:t>66</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lastRenderedPageBreak/>
        <w:t>393</w:t>
      </w:r>
      <w:r>
        <w:rPr>
          <w:noProof/>
        </w:rPr>
        <w:noBreakHyphen/>
        <w:t>40.01</w:t>
      </w:r>
      <w:r>
        <w:rPr>
          <w:noProof/>
        </w:rPr>
        <w:tab/>
        <w:t>Repayment of farm management deposit in the event of a natural disaster</w:t>
      </w:r>
      <w:r w:rsidRPr="00411C46">
        <w:rPr>
          <w:noProof/>
        </w:rPr>
        <w:tab/>
      </w:r>
      <w:r w:rsidRPr="00411C46">
        <w:rPr>
          <w:noProof/>
        </w:rPr>
        <w:fldChar w:fldCharType="begin"/>
      </w:r>
      <w:r w:rsidRPr="00411C46">
        <w:rPr>
          <w:noProof/>
        </w:rPr>
        <w:instrText xml:space="preserve"> PAGEREF _Toc49765322 \h </w:instrText>
      </w:r>
      <w:r w:rsidRPr="00411C46">
        <w:rPr>
          <w:noProof/>
        </w:rPr>
      </w:r>
      <w:r w:rsidRPr="00411C46">
        <w:rPr>
          <w:noProof/>
        </w:rPr>
        <w:fldChar w:fldCharType="separate"/>
      </w:r>
      <w:r w:rsidR="00F54F75">
        <w:rPr>
          <w:noProof/>
        </w:rPr>
        <w:t>66</w:t>
      </w:r>
      <w:r w:rsidRPr="00411C46">
        <w:rPr>
          <w:noProof/>
        </w:rPr>
        <w:fldChar w:fldCharType="end"/>
      </w:r>
    </w:p>
    <w:p w:rsidR="00411C46" w:rsidRDefault="00411C46">
      <w:pPr>
        <w:pStyle w:val="TOC3"/>
        <w:rPr>
          <w:rFonts w:asciiTheme="minorHAnsi" w:eastAsiaTheme="minorEastAsia" w:hAnsiTheme="minorHAnsi" w:cstheme="minorBidi"/>
          <w:b w:val="0"/>
          <w:noProof/>
          <w:kern w:val="0"/>
          <w:szCs w:val="22"/>
        </w:rPr>
      </w:pPr>
      <w:r>
        <w:rPr>
          <w:noProof/>
        </w:rPr>
        <w:t>Division 418—Exploration for minerals</w:t>
      </w:r>
      <w:r w:rsidRPr="00411C46">
        <w:rPr>
          <w:b w:val="0"/>
          <w:noProof/>
          <w:sz w:val="18"/>
        </w:rPr>
        <w:tab/>
      </w:r>
      <w:r w:rsidRPr="00411C46">
        <w:rPr>
          <w:b w:val="0"/>
          <w:noProof/>
          <w:sz w:val="18"/>
        </w:rPr>
        <w:fldChar w:fldCharType="begin"/>
      </w:r>
      <w:r w:rsidRPr="00411C46">
        <w:rPr>
          <w:b w:val="0"/>
          <w:noProof/>
          <w:sz w:val="18"/>
        </w:rPr>
        <w:instrText xml:space="preserve"> PAGEREF _Toc49765323 \h </w:instrText>
      </w:r>
      <w:r w:rsidRPr="00411C46">
        <w:rPr>
          <w:b w:val="0"/>
          <w:noProof/>
          <w:sz w:val="18"/>
        </w:rPr>
      </w:r>
      <w:r w:rsidRPr="00411C46">
        <w:rPr>
          <w:b w:val="0"/>
          <w:noProof/>
          <w:sz w:val="18"/>
        </w:rPr>
        <w:fldChar w:fldCharType="separate"/>
      </w:r>
      <w:r w:rsidR="00F54F75">
        <w:rPr>
          <w:b w:val="0"/>
          <w:noProof/>
          <w:sz w:val="18"/>
        </w:rPr>
        <w:t>68</w:t>
      </w:r>
      <w:r w:rsidRPr="00411C46">
        <w:rPr>
          <w:b w:val="0"/>
          <w:noProof/>
          <w:sz w:val="18"/>
        </w:rPr>
        <w:fldChar w:fldCharType="end"/>
      </w:r>
    </w:p>
    <w:p w:rsidR="00411C46" w:rsidRDefault="00411C46">
      <w:pPr>
        <w:pStyle w:val="TOC4"/>
        <w:rPr>
          <w:rFonts w:asciiTheme="minorHAnsi" w:eastAsiaTheme="minorEastAsia" w:hAnsiTheme="minorHAnsi" w:cstheme="minorBidi"/>
          <w:b w:val="0"/>
          <w:noProof/>
          <w:kern w:val="0"/>
          <w:sz w:val="22"/>
          <w:szCs w:val="22"/>
        </w:rPr>
      </w:pPr>
      <w:r>
        <w:rPr>
          <w:noProof/>
        </w:rPr>
        <w:t>Subdivision 418</w:t>
      </w:r>
      <w:r>
        <w:rPr>
          <w:noProof/>
        </w:rPr>
        <w:noBreakHyphen/>
        <w:t>DA—Exploration credits allocation</w:t>
      </w:r>
      <w:r w:rsidRPr="00411C46">
        <w:rPr>
          <w:b w:val="0"/>
          <w:noProof/>
          <w:sz w:val="18"/>
        </w:rPr>
        <w:tab/>
      </w:r>
      <w:r w:rsidRPr="00411C46">
        <w:rPr>
          <w:b w:val="0"/>
          <w:noProof/>
          <w:sz w:val="18"/>
        </w:rPr>
        <w:fldChar w:fldCharType="begin"/>
      </w:r>
      <w:r w:rsidRPr="00411C46">
        <w:rPr>
          <w:b w:val="0"/>
          <w:noProof/>
          <w:sz w:val="18"/>
        </w:rPr>
        <w:instrText xml:space="preserve"> PAGEREF _Toc49765324 \h </w:instrText>
      </w:r>
      <w:r w:rsidRPr="00411C46">
        <w:rPr>
          <w:b w:val="0"/>
          <w:noProof/>
          <w:sz w:val="18"/>
        </w:rPr>
      </w:r>
      <w:r w:rsidRPr="00411C46">
        <w:rPr>
          <w:b w:val="0"/>
          <w:noProof/>
          <w:sz w:val="18"/>
        </w:rPr>
        <w:fldChar w:fldCharType="separate"/>
      </w:r>
      <w:r w:rsidR="00F54F75">
        <w:rPr>
          <w:b w:val="0"/>
          <w:noProof/>
          <w:sz w:val="18"/>
        </w:rPr>
        <w:t>68</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418</w:t>
      </w:r>
      <w:r>
        <w:rPr>
          <w:noProof/>
        </w:rPr>
        <w:noBreakHyphen/>
        <w:t>103.01</w:t>
      </w:r>
      <w:r>
        <w:rPr>
          <w:noProof/>
        </w:rPr>
        <w:tab/>
        <w:t>Meaning of annual exploration cap—2020</w:t>
      </w:r>
      <w:r>
        <w:rPr>
          <w:noProof/>
        </w:rPr>
        <w:noBreakHyphen/>
        <w:t>21 income year</w:t>
      </w:r>
      <w:r w:rsidRPr="00411C46">
        <w:rPr>
          <w:noProof/>
        </w:rPr>
        <w:tab/>
      </w:r>
      <w:r w:rsidRPr="00411C46">
        <w:rPr>
          <w:noProof/>
        </w:rPr>
        <w:fldChar w:fldCharType="begin"/>
      </w:r>
      <w:r w:rsidRPr="00411C46">
        <w:rPr>
          <w:noProof/>
        </w:rPr>
        <w:instrText xml:space="preserve"> PAGEREF _Toc49765325 \h </w:instrText>
      </w:r>
      <w:r w:rsidRPr="00411C46">
        <w:rPr>
          <w:noProof/>
        </w:rPr>
      </w:r>
      <w:r w:rsidRPr="00411C46">
        <w:rPr>
          <w:noProof/>
        </w:rPr>
        <w:fldChar w:fldCharType="separate"/>
      </w:r>
      <w:r w:rsidR="00F54F75">
        <w:rPr>
          <w:noProof/>
        </w:rPr>
        <w:t>68</w:t>
      </w:r>
      <w:r w:rsidRPr="00411C46">
        <w:rPr>
          <w:noProof/>
        </w:rPr>
        <w:fldChar w:fldCharType="end"/>
      </w:r>
    </w:p>
    <w:p w:rsidR="00411C46" w:rsidRDefault="00411C46">
      <w:pPr>
        <w:pStyle w:val="TOC1"/>
        <w:rPr>
          <w:rFonts w:asciiTheme="minorHAnsi" w:eastAsiaTheme="minorEastAsia" w:hAnsiTheme="minorHAnsi" w:cstheme="minorBidi"/>
          <w:b w:val="0"/>
          <w:noProof/>
          <w:kern w:val="0"/>
          <w:sz w:val="22"/>
          <w:szCs w:val="22"/>
        </w:rPr>
      </w:pPr>
      <w:r>
        <w:rPr>
          <w:noProof/>
        </w:rPr>
        <w:t>Chapter 4—International aspects of income tax</w:t>
      </w:r>
      <w:r w:rsidRPr="00411C46">
        <w:rPr>
          <w:b w:val="0"/>
          <w:noProof/>
          <w:sz w:val="18"/>
        </w:rPr>
        <w:tab/>
      </w:r>
      <w:r w:rsidRPr="00411C46">
        <w:rPr>
          <w:b w:val="0"/>
          <w:noProof/>
          <w:sz w:val="18"/>
        </w:rPr>
        <w:fldChar w:fldCharType="begin"/>
      </w:r>
      <w:r w:rsidRPr="00411C46">
        <w:rPr>
          <w:b w:val="0"/>
          <w:noProof/>
          <w:sz w:val="18"/>
        </w:rPr>
        <w:instrText xml:space="preserve"> PAGEREF _Toc49765326 \h </w:instrText>
      </w:r>
      <w:r w:rsidRPr="00411C46">
        <w:rPr>
          <w:b w:val="0"/>
          <w:noProof/>
          <w:sz w:val="18"/>
        </w:rPr>
      </w:r>
      <w:r w:rsidRPr="00411C46">
        <w:rPr>
          <w:b w:val="0"/>
          <w:noProof/>
          <w:sz w:val="18"/>
        </w:rPr>
        <w:fldChar w:fldCharType="separate"/>
      </w:r>
      <w:r w:rsidR="00F54F75">
        <w:rPr>
          <w:b w:val="0"/>
          <w:noProof/>
          <w:sz w:val="18"/>
        </w:rPr>
        <w:t>69</w:t>
      </w:r>
      <w:r w:rsidRPr="00411C46">
        <w:rPr>
          <w:b w:val="0"/>
          <w:noProof/>
          <w:sz w:val="18"/>
        </w:rPr>
        <w:fldChar w:fldCharType="end"/>
      </w:r>
    </w:p>
    <w:p w:rsidR="00411C46" w:rsidRDefault="00411C46">
      <w:pPr>
        <w:pStyle w:val="TOC2"/>
        <w:rPr>
          <w:rFonts w:asciiTheme="minorHAnsi" w:eastAsiaTheme="minorEastAsia" w:hAnsiTheme="minorHAnsi" w:cstheme="minorBidi"/>
          <w:b w:val="0"/>
          <w:noProof/>
          <w:kern w:val="0"/>
          <w:sz w:val="22"/>
          <w:szCs w:val="22"/>
        </w:rPr>
      </w:pPr>
      <w:r>
        <w:rPr>
          <w:noProof/>
        </w:rPr>
        <w:t>Part 4</w:t>
      </w:r>
      <w:r>
        <w:rPr>
          <w:noProof/>
        </w:rPr>
        <w:noBreakHyphen/>
        <w:t>5—General</w:t>
      </w:r>
      <w:r w:rsidRPr="00411C46">
        <w:rPr>
          <w:b w:val="0"/>
          <w:noProof/>
          <w:sz w:val="18"/>
        </w:rPr>
        <w:tab/>
      </w:r>
      <w:r w:rsidRPr="00411C46">
        <w:rPr>
          <w:b w:val="0"/>
          <w:noProof/>
          <w:sz w:val="18"/>
        </w:rPr>
        <w:fldChar w:fldCharType="begin"/>
      </w:r>
      <w:r w:rsidRPr="00411C46">
        <w:rPr>
          <w:b w:val="0"/>
          <w:noProof/>
          <w:sz w:val="18"/>
        </w:rPr>
        <w:instrText xml:space="preserve"> PAGEREF _Toc49765327 \h </w:instrText>
      </w:r>
      <w:r w:rsidRPr="00411C46">
        <w:rPr>
          <w:b w:val="0"/>
          <w:noProof/>
          <w:sz w:val="18"/>
        </w:rPr>
      </w:r>
      <w:r w:rsidRPr="00411C46">
        <w:rPr>
          <w:b w:val="0"/>
          <w:noProof/>
          <w:sz w:val="18"/>
        </w:rPr>
        <w:fldChar w:fldCharType="separate"/>
      </w:r>
      <w:r w:rsidR="00F54F75">
        <w:rPr>
          <w:b w:val="0"/>
          <w:noProof/>
          <w:sz w:val="18"/>
        </w:rPr>
        <w:t>69</w:t>
      </w:r>
      <w:r w:rsidRPr="00411C46">
        <w:rPr>
          <w:b w:val="0"/>
          <w:noProof/>
          <w:sz w:val="18"/>
        </w:rPr>
        <w:fldChar w:fldCharType="end"/>
      </w:r>
    </w:p>
    <w:p w:rsidR="00411C46" w:rsidRDefault="00411C46">
      <w:pPr>
        <w:pStyle w:val="TOC3"/>
        <w:rPr>
          <w:rFonts w:asciiTheme="minorHAnsi" w:eastAsiaTheme="minorEastAsia" w:hAnsiTheme="minorHAnsi" w:cstheme="minorBidi"/>
          <w:b w:val="0"/>
          <w:noProof/>
          <w:kern w:val="0"/>
          <w:szCs w:val="22"/>
        </w:rPr>
      </w:pPr>
      <w:r>
        <w:rPr>
          <w:noProof/>
        </w:rPr>
        <w:t>Division 775—Foreign currency gains and losses</w:t>
      </w:r>
      <w:r w:rsidRPr="00411C46">
        <w:rPr>
          <w:b w:val="0"/>
          <w:noProof/>
          <w:sz w:val="18"/>
        </w:rPr>
        <w:tab/>
      </w:r>
      <w:r w:rsidRPr="00411C46">
        <w:rPr>
          <w:b w:val="0"/>
          <w:noProof/>
          <w:sz w:val="18"/>
        </w:rPr>
        <w:fldChar w:fldCharType="begin"/>
      </w:r>
      <w:r w:rsidRPr="00411C46">
        <w:rPr>
          <w:b w:val="0"/>
          <w:noProof/>
          <w:sz w:val="18"/>
        </w:rPr>
        <w:instrText xml:space="preserve"> PAGEREF _Toc49765328 \h </w:instrText>
      </w:r>
      <w:r w:rsidRPr="00411C46">
        <w:rPr>
          <w:b w:val="0"/>
          <w:noProof/>
          <w:sz w:val="18"/>
        </w:rPr>
      </w:r>
      <w:r w:rsidRPr="00411C46">
        <w:rPr>
          <w:b w:val="0"/>
          <w:noProof/>
          <w:sz w:val="18"/>
        </w:rPr>
        <w:fldChar w:fldCharType="separate"/>
      </w:r>
      <w:r w:rsidR="00F54F75">
        <w:rPr>
          <w:b w:val="0"/>
          <w:noProof/>
          <w:sz w:val="18"/>
        </w:rPr>
        <w:t>69</w:t>
      </w:r>
      <w:r w:rsidRPr="00411C46">
        <w:rPr>
          <w:b w:val="0"/>
          <w:noProof/>
          <w:sz w:val="18"/>
        </w:rPr>
        <w:fldChar w:fldCharType="end"/>
      </w:r>
    </w:p>
    <w:p w:rsidR="00411C46" w:rsidRDefault="00411C46">
      <w:pPr>
        <w:pStyle w:val="TOC4"/>
        <w:rPr>
          <w:rFonts w:asciiTheme="minorHAnsi" w:eastAsiaTheme="minorEastAsia" w:hAnsiTheme="minorHAnsi" w:cstheme="minorBidi"/>
          <w:b w:val="0"/>
          <w:noProof/>
          <w:kern w:val="0"/>
          <w:sz w:val="22"/>
          <w:szCs w:val="22"/>
        </w:rPr>
      </w:pPr>
      <w:r w:rsidRPr="00DC60FC">
        <w:rPr>
          <w:rFonts w:eastAsiaTheme="majorEastAsia"/>
          <w:noProof/>
        </w:rPr>
        <w:t>Subdivision 775</w:t>
      </w:r>
      <w:r w:rsidRPr="00DC60FC">
        <w:rPr>
          <w:rFonts w:eastAsiaTheme="majorEastAsia"/>
          <w:noProof/>
        </w:rPr>
        <w:noBreakHyphen/>
        <w:t>B</w:t>
      </w:r>
      <w:r>
        <w:rPr>
          <w:noProof/>
        </w:rPr>
        <w:t>—</w:t>
      </w:r>
      <w:r w:rsidRPr="00DC60FC">
        <w:rPr>
          <w:rFonts w:eastAsiaTheme="majorEastAsia"/>
          <w:noProof/>
        </w:rPr>
        <w:t>Realisation of forex gains or losses</w:t>
      </w:r>
      <w:r w:rsidRPr="00411C46">
        <w:rPr>
          <w:b w:val="0"/>
          <w:noProof/>
          <w:sz w:val="18"/>
        </w:rPr>
        <w:tab/>
      </w:r>
      <w:r w:rsidRPr="00411C46">
        <w:rPr>
          <w:b w:val="0"/>
          <w:noProof/>
          <w:sz w:val="18"/>
        </w:rPr>
        <w:fldChar w:fldCharType="begin"/>
      </w:r>
      <w:r w:rsidRPr="00411C46">
        <w:rPr>
          <w:b w:val="0"/>
          <w:noProof/>
          <w:sz w:val="18"/>
        </w:rPr>
        <w:instrText xml:space="preserve"> PAGEREF _Toc49765329 \h </w:instrText>
      </w:r>
      <w:r w:rsidRPr="00411C46">
        <w:rPr>
          <w:b w:val="0"/>
          <w:noProof/>
          <w:sz w:val="18"/>
        </w:rPr>
      </w:r>
      <w:r w:rsidRPr="00411C46">
        <w:rPr>
          <w:b w:val="0"/>
          <w:noProof/>
          <w:sz w:val="18"/>
        </w:rPr>
        <w:fldChar w:fldCharType="separate"/>
      </w:r>
      <w:r w:rsidR="00F54F75">
        <w:rPr>
          <w:b w:val="0"/>
          <w:noProof/>
          <w:sz w:val="18"/>
        </w:rPr>
        <w:t>69</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775</w:t>
      </w:r>
      <w:r>
        <w:rPr>
          <w:noProof/>
        </w:rPr>
        <w:noBreakHyphen/>
        <w:t>145.01</w:t>
      </w:r>
      <w:r>
        <w:rPr>
          <w:noProof/>
        </w:rPr>
        <w:tab/>
        <w:t>Application of forex events to currency and fungible rights and obligations</w:t>
      </w:r>
      <w:r w:rsidRPr="00411C46">
        <w:rPr>
          <w:noProof/>
        </w:rPr>
        <w:tab/>
      </w:r>
      <w:r w:rsidRPr="00411C46">
        <w:rPr>
          <w:noProof/>
        </w:rPr>
        <w:fldChar w:fldCharType="begin"/>
      </w:r>
      <w:r w:rsidRPr="00411C46">
        <w:rPr>
          <w:noProof/>
        </w:rPr>
        <w:instrText xml:space="preserve"> PAGEREF _Toc49765330 \h </w:instrText>
      </w:r>
      <w:r w:rsidRPr="00411C46">
        <w:rPr>
          <w:noProof/>
        </w:rPr>
      </w:r>
      <w:r w:rsidRPr="00411C46">
        <w:rPr>
          <w:noProof/>
        </w:rPr>
        <w:fldChar w:fldCharType="separate"/>
      </w:r>
      <w:r w:rsidR="00F54F75">
        <w:rPr>
          <w:noProof/>
        </w:rPr>
        <w:t>69</w:t>
      </w:r>
      <w:r w:rsidRPr="00411C46">
        <w:rPr>
          <w:noProof/>
        </w:rPr>
        <w:fldChar w:fldCharType="end"/>
      </w:r>
    </w:p>
    <w:p w:rsidR="00411C46" w:rsidRDefault="00411C46">
      <w:pPr>
        <w:pStyle w:val="TOC3"/>
        <w:rPr>
          <w:rFonts w:asciiTheme="minorHAnsi" w:eastAsiaTheme="minorEastAsia" w:hAnsiTheme="minorHAnsi" w:cstheme="minorBidi"/>
          <w:b w:val="0"/>
          <w:noProof/>
          <w:kern w:val="0"/>
          <w:szCs w:val="22"/>
        </w:rPr>
      </w:pPr>
      <w:r>
        <w:rPr>
          <w:noProof/>
        </w:rPr>
        <w:t>Division 830—Foreign hybrids</w:t>
      </w:r>
      <w:r w:rsidRPr="00411C46">
        <w:rPr>
          <w:b w:val="0"/>
          <w:noProof/>
          <w:sz w:val="18"/>
        </w:rPr>
        <w:tab/>
      </w:r>
      <w:r w:rsidRPr="00411C46">
        <w:rPr>
          <w:b w:val="0"/>
          <w:noProof/>
          <w:sz w:val="18"/>
        </w:rPr>
        <w:fldChar w:fldCharType="begin"/>
      </w:r>
      <w:r w:rsidRPr="00411C46">
        <w:rPr>
          <w:b w:val="0"/>
          <w:noProof/>
          <w:sz w:val="18"/>
        </w:rPr>
        <w:instrText xml:space="preserve"> PAGEREF _Toc49765331 \h </w:instrText>
      </w:r>
      <w:r w:rsidRPr="00411C46">
        <w:rPr>
          <w:b w:val="0"/>
          <w:noProof/>
          <w:sz w:val="18"/>
        </w:rPr>
      </w:r>
      <w:r w:rsidRPr="00411C46">
        <w:rPr>
          <w:b w:val="0"/>
          <w:noProof/>
          <w:sz w:val="18"/>
        </w:rPr>
        <w:fldChar w:fldCharType="separate"/>
      </w:r>
      <w:r w:rsidR="00F54F75">
        <w:rPr>
          <w:b w:val="0"/>
          <w:noProof/>
          <w:sz w:val="18"/>
        </w:rPr>
        <w:t>71</w:t>
      </w:r>
      <w:r w:rsidRPr="00411C46">
        <w:rPr>
          <w:b w:val="0"/>
          <w:noProof/>
          <w:sz w:val="18"/>
        </w:rPr>
        <w:fldChar w:fldCharType="end"/>
      </w:r>
    </w:p>
    <w:p w:rsidR="00411C46" w:rsidRDefault="00411C46">
      <w:pPr>
        <w:pStyle w:val="TOC4"/>
        <w:rPr>
          <w:rFonts w:asciiTheme="minorHAnsi" w:eastAsiaTheme="minorEastAsia" w:hAnsiTheme="minorHAnsi" w:cstheme="minorBidi"/>
          <w:b w:val="0"/>
          <w:noProof/>
          <w:kern w:val="0"/>
          <w:sz w:val="22"/>
          <w:szCs w:val="22"/>
        </w:rPr>
      </w:pPr>
      <w:r w:rsidRPr="00DC60FC">
        <w:rPr>
          <w:rFonts w:eastAsiaTheme="majorEastAsia"/>
          <w:noProof/>
        </w:rPr>
        <w:t>Subdivision 830</w:t>
      </w:r>
      <w:r w:rsidRPr="00DC60FC">
        <w:rPr>
          <w:rFonts w:eastAsiaTheme="majorEastAsia"/>
          <w:noProof/>
        </w:rPr>
        <w:noBreakHyphen/>
        <w:t>A</w:t>
      </w:r>
      <w:r>
        <w:rPr>
          <w:noProof/>
        </w:rPr>
        <w:t>—</w:t>
      </w:r>
      <w:r w:rsidRPr="00DC60FC">
        <w:rPr>
          <w:rFonts w:eastAsiaTheme="majorEastAsia"/>
          <w:noProof/>
        </w:rPr>
        <w:t>Meaning of “foreign hybrid”</w:t>
      </w:r>
      <w:r w:rsidRPr="00411C46">
        <w:rPr>
          <w:b w:val="0"/>
          <w:noProof/>
          <w:sz w:val="18"/>
        </w:rPr>
        <w:tab/>
      </w:r>
      <w:r w:rsidRPr="00411C46">
        <w:rPr>
          <w:b w:val="0"/>
          <w:noProof/>
          <w:sz w:val="18"/>
        </w:rPr>
        <w:fldChar w:fldCharType="begin"/>
      </w:r>
      <w:r w:rsidRPr="00411C46">
        <w:rPr>
          <w:b w:val="0"/>
          <w:noProof/>
          <w:sz w:val="18"/>
        </w:rPr>
        <w:instrText xml:space="preserve"> PAGEREF _Toc49765332 \h </w:instrText>
      </w:r>
      <w:r w:rsidRPr="00411C46">
        <w:rPr>
          <w:b w:val="0"/>
          <w:noProof/>
          <w:sz w:val="18"/>
        </w:rPr>
      </w:r>
      <w:r w:rsidRPr="00411C46">
        <w:rPr>
          <w:b w:val="0"/>
          <w:noProof/>
          <w:sz w:val="18"/>
        </w:rPr>
        <w:fldChar w:fldCharType="separate"/>
      </w:r>
      <w:r w:rsidR="00F54F75">
        <w:rPr>
          <w:b w:val="0"/>
          <w:noProof/>
          <w:sz w:val="18"/>
        </w:rPr>
        <w:t>71</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830</w:t>
      </w:r>
      <w:r>
        <w:rPr>
          <w:noProof/>
        </w:rPr>
        <w:noBreakHyphen/>
        <w:t>15.01</w:t>
      </w:r>
      <w:r>
        <w:rPr>
          <w:noProof/>
        </w:rPr>
        <w:tab/>
        <w:t>Foreign hybrid company</w:t>
      </w:r>
      <w:r w:rsidRPr="00411C46">
        <w:rPr>
          <w:noProof/>
        </w:rPr>
        <w:tab/>
      </w:r>
      <w:r w:rsidRPr="00411C46">
        <w:rPr>
          <w:noProof/>
        </w:rPr>
        <w:fldChar w:fldCharType="begin"/>
      </w:r>
      <w:r w:rsidRPr="00411C46">
        <w:rPr>
          <w:noProof/>
        </w:rPr>
        <w:instrText xml:space="preserve"> PAGEREF _Toc49765333 \h </w:instrText>
      </w:r>
      <w:r w:rsidRPr="00411C46">
        <w:rPr>
          <w:noProof/>
        </w:rPr>
      </w:r>
      <w:r w:rsidRPr="00411C46">
        <w:rPr>
          <w:noProof/>
        </w:rPr>
        <w:fldChar w:fldCharType="separate"/>
      </w:r>
      <w:r w:rsidR="00F54F75">
        <w:rPr>
          <w:noProof/>
        </w:rPr>
        <w:t>71</w:t>
      </w:r>
      <w:r w:rsidRPr="00411C46">
        <w:rPr>
          <w:noProof/>
        </w:rPr>
        <w:fldChar w:fldCharType="end"/>
      </w:r>
    </w:p>
    <w:p w:rsidR="00411C46" w:rsidRDefault="00411C46">
      <w:pPr>
        <w:pStyle w:val="TOC1"/>
        <w:rPr>
          <w:rFonts w:asciiTheme="minorHAnsi" w:eastAsiaTheme="minorEastAsia" w:hAnsiTheme="minorHAnsi" w:cstheme="minorBidi"/>
          <w:b w:val="0"/>
          <w:noProof/>
          <w:kern w:val="0"/>
          <w:sz w:val="22"/>
          <w:szCs w:val="22"/>
        </w:rPr>
      </w:pPr>
      <w:r>
        <w:rPr>
          <w:noProof/>
        </w:rPr>
        <w:t>Chapter 6—The Dictionary</w:t>
      </w:r>
      <w:r w:rsidRPr="00411C46">
        <w:rPr>
          <w:b w:val="0"/>
          <w:noProof/>
          <w:sz w:val="18"/>
        </w:rPr>
        <w:tab/>
      </w:r>
      <w:r w:rsidRPr="00411C46">
        <w:rPr>
          <w:b w:val="0"/>
          <w:noProof/>
          <w:sz w:val="18"/>
        </w:rPr>
        <w:fldChar w:fldCharType="begin"/>
      </w:r>
      <w:r w:rsidRPr="00411C46">
        <w:rPr>
          <w:b w:val="0"/>
          <w:noProof/>
          <w:sz w:val="18"/>
        </w:rPr>
        <w:instrText xml:space="preserve"> PAGEREF _Toc49765334 \h </w:instrText>
      </w:r>
      <w:r w:rsidRPr="00411C46">
        <w:rPr>
          <w:b w:val="0"/>
          <w:noProof/>
          <w:sz w:val="18"/>
        </w:rPr>
      </w:r>
      <w:r w:rsidRPr="00411C46">
        <w:rPr>
          <w:b w:val="0"/>
          <w:noProof/>
          <w:sz w:val="18"/>
        </w:rPr>
        <w:fldChar w:fldCharType="separate"/>
      </w:r>
      <w:r w:rsidR="00F54F75">
        <w:rPr>
          <w:b w:val="0"/>
          <w:noProof/>
          <w:sz w:val="18"/>
        </w:rPr>
        <w:t>72</w:t>
      </w:r>
      <w:r w:rsidRPr="00411C46">
        <w:rPr>
          <w:b w:val="0"/>
          <w:noProof/>
          <w:sz w:val="18"/>
        </w:rPr>
        <w:fldChar w:fldCharType="end"/>
      </w:r>
    </w:p>
    <w:p w:rsidR="00411C46" w:rsidRDefault="00411C46">
      <w:pPr>
        <w:pStyle w:val="TOC2"/>
        <w:rPr>
          <w:rFonts w:asciiTheme="minorHAnsi" w:eastAsiaTheme="minorEastAsia" w:hAnsiTheme="minorHAnsi" w:cstheme="minorBidi"/>
          <w:b w:val="0"/>
          <w:noProof/>
          <w:kern w:val="0"/>
          <w:sz w:val="22"/>
          <w:szCs w:val="22"/>
        </w:rPr>
      </w:pPr>
      <w:r>
        <w:rPr>
          <w:noProof/>
        </w:rPr>
        <w:t>Part 6</w:t>
      </w:r>
      <w:r>
        <w:rPr>
          <w:noProof/>
        </w:rPr>
        <w:noBreakHyphen/>
        <w:t>1—Concepts and topics</w:t>
      </w:r>
      <w:r w:rsidRPr="00411C46">
        <w:rPr>
          <w:b w:val="0"/>
          <w:noProof/>
          <w:sz w:val="18"/>
        </w:rPr>
        <w:tab/>
      </w:r>
      <w:r w:rsidRPr="00411C46">
        <w:rPr>
          <w:b w:val="0"/>
          <w:noProof/>
          <w:sz w:val="18"/>
        </w:rPr>
        <w:fldChar w:fldCharType="begin"/>
      </w:r>
      <w:r w:rsidRPr="00411C46">
        <w:rPr>
          <w:b w:val="0"/>
          <w:noProof/>
          <w:sz w:val="18"/>
        </w:rPr>
        <w:instrText xml:space="preserve"> PAGEREF _Toc49765335 \h </w:instrText>
      </w:r>
      <w:r w:rsidRPr="00411C46">
        <w:rPr>
          <w:b w:val="0"/>
          <w:noProof/>
          <w:sz w:val="18"/>
        </w:rPr>
      </w:r>
      <w:r w:rsidRPr="00411C46">
        <w:rPr>
          <w:b w:val="0"/>
          <w:noProof/>
          <w:sz w:val="18"/>
        </w:rPr>
        <w:fldChar w:fldCharType="separate"/>
      </w:r>
      <w:r w:rsidR="00F54F75">
        <w:rPr>
          <w:b w:val="0"/>
          <w:noProof/>
          <w:sz w:val="18"/>
        </w:rPr>
        <w:t>72</w:t>
      </w:r>
      <w:r w:rsidRPr="00411C46">
        <w:rPr>
          <w:b w:val="0"/>
          <w:noProof/>
          <w:sz w:val="18"/>
        </w:rPr>
        <w:fldChar w:fldCharType="end"/>
      </w:r>
    </w:p>
    <w:p w:rsidR="00411C46" w:rsidRDefault="00411C46">
      <w:pPr>
        <w:pStyle w:val="TOC3"/>
        <w:rPr>
          <w:rFonts w:asciiTheme="minorHAnsi" w:eastAsiaTheme="minorEastAsia" w:hAnsiTheme="minorHAnsi" w:cstheme="minorBidi"/>
          <w:b w:val="0"/>
          <w:noProof/>
          <w:kern w:val="0"/>
          <w:szCs w:val="22"/>
        </w:rPr>
      </w:pPr>
      <w:r>
        <w:rPr>
          <w:noProof/>
        </w:rPr>
        <w:t>Division 960—General</w:t>
      </w:r>
      <w:r w:rsidRPr="00411C46">
        <w:rPr>
          <w:b w:val="0"/>
          <w:noProof/>
          <w:sz w:val="18"/>
        </w:rPr>
        <w:tab/>
      </w:r>
      <w:r w:rsidRPr="00411C46">
        <w:rPr>
          <w:b w:val="0"/>
          <w:noProof/>
          <w:sz w:val="18"/>
        </w:rPr>
        <w:fldChar w:fldCharType="begin"/>
      </w:r>
      <w:r w:rsidRPr="00411C46">
        <w:rPr>
          <w:b w:val="0"/>
          <w:noProof/>
          <w:sz w:val="18"/>
        </w:rPr>
        <w:instrText xml:space="preserve"> PAGEREF _Toc49765336 \h </w:instrText>
      </w:r>
      <w:r w:rsidRPr="00411C46">
        <w:rPr>
          <w:b w:val="0"/>
          <w:noProof/>
          <w:sz w:val="18"/>
        </w:rPr>
      </w:r>
      <w:r w:rsidRPr="00411C46">
        <w:rPr>
          <w:b w:val="0"/>
          <w:noProof/>
          <w:sz w:val="18"/>
        </w:rPr>
        <w:fldChar w:fldCharType="separate"/>
      </w:r>
      <w:r w:rsidR="00F54F75">
        <w:rPr>
          <w:b w:val="0"/>
          <w:noProof/>
          <w:sz w:val="18"/>
        </w:rPr>
        <w:t>72</w:t>
      </w:r>
      <w:r w:rsidRPr="00411C46">
        <w:rPr>
          <w:b w:val="0"/>
          <w:noProof/>
          <w:sz w:val="18"/>
        </w:rPr>
        <w:fldChar w:fldCharType="end"/>
      </w:r>
    </w:p>
    <w:p w:rsidR="00411C46" w:rsidRDefault="00411C46">
      <w:pPr>
        <w:pStyle w:val="TOC4"/>
        <w:rPr>
          <w:rFonts w:asciiTheme="minorHAnsi" w:eastAsiaTheme="minorEastAsia" w:hAnsiTheme="minorHAnsi" w:cstheme="minorBidi"/>
          <w:b w:val="0"/>
          <w:noProof/>
          <w:kern w:val="0"/>
          <w:sz w:val="22"/>
          <w:szCs w:val="22"/>
        </w:rPr>
      </w:pPr>
      <w:r w:rsidRPr="00DC60FC">
        <w:rPr>
          <w:rFonts w:eastAsiaTheme="majorEastAsia"/>
          <w:noProof/>
        </w:rPr>
        <w:t>Subdivision 960</w:t>
      </w:r>
      <w:r w:rsidRPr="00DC60FC">
        <w:rPr>
          <w:rFonts w:eastAsiaTheme="majorEastAsia"/>
          <w:noProof/>
        </w:rPr>
        <w:noBreakHyphen/>
        <w:t>C</w:t>
      </w:r>
      <w:r>
        <w:rPr>
          <w:noProof/>
        </w:rPr>
        <w:t>—</w:t>
      </w:r>
      <w:r w:rsidRPr="00DC60FC">
        <w:rPr>
          <w:rFonts w:eastAsiaTheme="majorEastAsia"/>
          <w:noProof/>
        </w:rPr>
        <w:t>Foreign currency</w:t>
      </w:r>
      <w:r w:rsidRPr="00411C46">
        <w:rPr>
          <w:b w:val="0"/>
          <w:noProof/>
          <w:sz w:val="18"/>
        </w:rPr>
        <w:tab/>
      </w:r>
      <w:r w:rsidRPr="00411C46">
        <w:rPr>
          <w:b w:val="0"/>
          <w:noProof/>
          <w:sz w:val="18"/>
        </w:rPr>
        <w:fldChar w:fldCharType="begin"/>
      </w:r>
      <w:r w:rsidRPr="00411C46">
        <w:rPr>
          <w:b w:val="0"/>
          <w:noProof/>
          <w:sz w:val="18"/>
        </w:rPr>
        <w:instrText xml:space="preserve"> PAGEREF _Toc49765337 \h </w:instrText>
      </w:r>
      <w:r w:rsidRPr="00411C46">
        <w:rPr>
          <w:b w:val="0"/>
          <w:noProof/>
          <w:sz w:val="18"/>
        </w:rPr>
      </w:r>
      <w:r w:rsidRPr="00411C46">
        <w:rPr>
          <w:b w:val="0"/>
          <w:noProof/>
          <w:sz w:val="18"/>
        </w:rPr>
        <w:fldChar w:fldCharType="separate"/>
      </w:r>
      <w:r w:rsidR="00F54F75">
        <w:rPr>
          <w:b w:val="0"/>
          <w:noProof/>
          <w:sz w:val="18"/>
        </w:rPr>
        <w:t>72</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960</w:t>
      </w:r>
      <w:r>
        <w:rPr>
          <w:noProof/>
        </w:rPr>
        <w:noBreakHyphen/>
        <w:t>50.01</w:t>
      </w:r>
      <w:r>
        <w:rPr>
          <w:noProof/>
        </w:rPr>
        <w:tab/>
        <w:t>Translation of foreign currency amounts into Australian currency—modification of special translation rules</w:t>
      </w:r>
      <w:r w:rsidRPr="00411C46">
        <w:rPr>
          <w:noProof/>
        </w:rPr>
        <w:tab/>
      </w:r>
      <w:r w:rsidRPr="00411C46">
        <w:rPr>
          <w:noProof/>
        </w:rPr>
        <w:fldChar w:fldCharType="begin"/>
      </w:r>
      <w:r w:rsidRPr="00411C46">
        <w:rPr>
          <w:noProof/>
        </w:rPr>
        <w:instrText xml:space="preserve"> PAGEREF _Toc49765338 \h </w:instrText>
      </w:r>
      <w:r w:rsidRPr="00411C46">
        <w:rPr>
          <w:noProof/>
        </w:rPr>
      </w:r>
      <w:r w:rsidRPr="00411C46">
        <w:rPr>
          <w:noProof/>
        </w:rPr>
        <w:fldChar w:fldCharType="separate"/>
      </w:r>
      <w:r w:rsidR="00F54F75">
        <w:rPr>
          <w:noProof/>
        </w:rPr>
        <w:t>72</w:t>
      </w:r>
      <w:r w:rsidRPr="00411C46">
        <w:rPr>
          <w:noProof/>
        </w:rPr>
        <w:fldChar w:fldCharType="end"/>
      </w:r>
    </w:p>
    <w:p w:rsidR="00411C46" w:rsidRDefault="00411C46">
      <w:pPr>
        <w:pStyle w:val="TOC4"/>
        <w:rPr>
          <w:rFonts w:asciiTheme="minorHAnsi" w:eastAsiaTheme="minorEastAsia" w:hAnsiTheme="minorHAnsi" w:cstheme="minorBidi"/>
          <w:b w:val="0"/>
          <w:noProof/>
          <w:kern w:val="0"/>
          <w:sz w:val="22"/>
          <w:szCs w:val="22"/>
        </w:rPr>
      </w:pPr>
      <w:r w:rsidRPr="00DC60FC">
        <w:rPr>
          <w:rFonts w:eastAsiaTheme="majorEastAsia"/>
          <w:noProof/>
        </w:rPr>
        <w:t>Subdivision 960</w:t>
      </w:r>
      <w:r w:rsidRPr="00DC60FC">
        <w:rPr>
          <w:rFonts w:eastAsiaTheme="majorEastAsia"/>
          <w:noProof/>
        </w:rPr>
        <w:noBreakHyphen/>
        <w:t>D</w:t>
      </w:r>
      <w:r>
        <w:rPr>
          <w:noProof/>
        </w:rPr>
        <w:t>—</w:t>
      </w:r>
      <w:r w:rsidRPr="00DC60FC">
        <w:rPr>
          <w:rFonts w:eastAsiaTheme="majorEastAsia"/>
          <w:noProof/>
        </w:rPr>
        <w:t>Functional currency</w:t>
      </w:r>
      <w:r w:rsidRPr="00411C46">
        <w:rPr>
          <w:b w:val="0"/>
          <w:noProof/>
          <w:sz w:val="18"/>
        </w:rPr>
        <w:tab/>
      </w:r>
      <w:r w:rsidRPr="00411C46">
        <w:rPr>
          <w:b w:val="0"/>
          <w:noProof/>
          <w:sz w:val="18"/>
        </w:rPr>
        <w:fldChar w:fldCharType="begin"/>
      </w:r>
      <w:r w:rsidRPr="00411C46">
        <w:rPr>
          <w:b w:val="0"/>
          <w:noProof/>
          <w:sz w:val="18"/>
        </w:rPr>
        <w:instrText xml:space="preserve"> PAGEREF _Toc49765339 \h </w:instrText>
      </w:r>
      <w:r w:rsidRPr="00411C46">
        <w:rPr>
          <w:b w:val="0"/>
          <w:noProof/>
          <w:sz w:val="18"/>
        </w:rPr>
      </w:r>
      <w:r w:rsidRPr="00411C46">
        <w:rPr>
          <w:b w:val="0"/>
          <w:noProof/>
          <w:sz w:val="18"/>
        </w:rPr>
        <w:fldChar w:fldCharType="separate"/>
      </w:r>
      <w:r w:rsidR="00F54F75">
        <w:rPr>
          <w:b w:val="0"/>
          <w:noProof/>
          <w:sz w:val="18"/>
        </w:rPr>
        <w:t>73</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960</w:t>
      </w:r>
      <w:r>
        <w:rPr>
          <w:noProof/>
        </w:rPr>
        <w:noBreakHyphen/>
        <w:t>80.01</w:t>
      </w:r>
      <w:r>
        <w:rPr>
          <w:noProof/>
        </w:rPr>
        <w:tab/>
        <w:t>Translation rules—translation into applicable functional currency</w:t>
      </w:r>
      <w:r w:rsidRPr="00411C46">
        <w:rPr>
          <w:noProof/>
        </w:rPr>
        <w:tab/>
      </w:r>
      <w:r w:rsidRPr="00411C46">
        <w:rPr>
          <w:noProof/>
        </w:rPr>
        <w:fldChar w:fldCharType="begin"/>
      </w:r>
      <w:r w:rsidRPr="00411C46">
        <w:rPr>
          <w:noProof/>
        </w:rPr>
        <w:instrText xml:space="preserve"> PAGEREF _Toc49765340 \h </w:instrText>
      </w:r>
      <w:r w:rsidRPr="00411C46">
        <w:rPr>
          <w:noProof/>
        </w:rPr>
      </w:r>
      <w:r w:rsidRPr="00411C46">
        <w:rPr>
          <w:noProof/>
        </w:rPr>
        <w:fldChar w:fldCharType="separate"/>
      </w:r>
      <w:r w:rsidR="00F54F75">
        <w:rPr>
          <w:noProof/>
        </w:rPr>
        <w:t>73</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960</w:t>
      </w:r>
      <w:r>
        <w:rPr>
          <w:noProof/>
        </w:rPr>
        <w:noBreakHyphen/>
        <w:t>80.02</w:t>
      </w:r>
      <w:r>
        <w:rPr>
          <w:noProof/>
        </w:rPr>
        <w:tab/>
        <w:t>Translation rules for an attributable taxpayer of a CFC—translation into applicable functional currency</w:t>
      </w:r>
      <w:r w:rsidRPr="00411C46">
        <w:rPr>
          <w:noProof/>
        </w:rPr>
        <w:tab/>
      </w:r>
      <w:r w:rsidRPr="00411C46">
        <w:rPr>
          <w:noProof/>
        </w:rPr>
        <w:fldChar w:fldCharType="begin"/>
      </w:r>
      <w:r w:rsidRPr="00411C46">
        <w:rPr>
          <w:noProof/>
        </w:rPr>
        <w:instrText xml:space="preserve"> PAGEREF _Toc49765341 \h </w:instrText>
      </w:r>
      <w:r w:rsidRPr="00411C46">
        <w:rPr>
          <w:noProof/>
        </w:rPr>
      </w:r>
      <w:r w:rsidRPr="00411C46">
        <w:rPr>
          <w:noProof/>
        </w:rPr>
        <w:fldChar w:fldCharType="separate"/>
      </w:r>
      <w:r w:rsidR="00F54F75">
        <w:rPr>
          <w:noProof/>
        </w:rPr>
        <w:t>74</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960</w:t>
      </w:r>
      <w:r>
        <w:rPr>
          <w:noProof/>
        </w:rPr>
        <w:noBreakHyphen/>
        <w:t>80.03</w:t>
      </w:r>
      <w:r>
        <w:rPr>
          <w:noProof/>
        </w:rPr>
        <w:tab/>
        <w:t>Translation rules—translation from applicable functional currency into Australian currency</w:t>
      </w:r>
      <w:r w:rsidRPr="00411C46">
        <w:rPr>
          <w:noProof/>
        </w:rPr>
        <w:tab/>
      </w:r>
      <w:r w:rsidRPr="00411C46">
        <w:rPr>
          <w:noProof/>
        </w:rPr>
        <w:fldChar w:fldCharType="begin"/>
      </w:r>
      <w:r w:rsidRPr="00411C46">
        <w:rPr>
          <w:noProof/>
        </w:rPr>
        <w:instrText xml:space="preserve"> PAGEREF _Toc49765342 \h </w:instrText>
      </w:r>
      <w:r w:rsidRPr="00411C46">
        <w:rPr>
          <w:noProof/>
        </w:rPr>
      </w:r>
      <w:r w:rsidRPr="00411C46">
        <w:rPr>
          <w:noProof/>
        </w:rPr>
        <w:fldChar w:fldCharType="separate"/>
      </w:r>
      <w:r w:rsidR="00F54F75">
        <w:rPr>
          <w:noProof/>
        </w:rPr>
        <w:t>74</w:t>
      </w:r>
      <w:r w:rsidRPr="00411C46">
        <w:rPr>
          <w:noProof/>
        </w:rPr>
        <w:fldChar w:fldCharType="end"/>
      </w:r>
    </w:p>
    <w:p w:rsidR="00411C46" w:rsidRDefault="00411C46">
      <w:pPr>
        <w:pStyle w:val="TOC3"/>
        <w:rPr>
          <w:rFonts w:asciiTheme="minorHAnsi" w:eastAsiaTheme="minorEastAsia" w:hAnsiTheme="minorHAnsi" w:cstheme="minorBidi"/>
          <w:b w:val="0"/>
          <w:noProof/>
          <w:kern w:val="0"/>
          <w:szCs w:val="22"/>
        </w:rPr>
      </w:pPr>
      <w:r>
        <w:rPr>
          <w:noProof/>
        </w:rPr>
        <w:t>Division 974—Debt and equity interests</w:t>
      </w:r>
      <w:r w:rsidRPr="00411C46">
        <w:rPr>
          <w:b w:val="0"/>
          <w:noProof/>
          <w:sz w:val="18"/>
        </w:rPr>
        <w:tab/>
      </w:r>
      <w:r w:rsidRPr="00411C46">
        <w:rPr>
          <w:b w:val="0"/>
          <w:noProof/>
          <w:sz w:val="18"/>
        </w:rPr>
        <w:fldChar w:fldCharType="begin"/>
      </w:r>
      <w:r w:rsidRPr="00411C46">
        <w:rPr>
          <w:b w:val="0"/>
          <w:noProof/>
          <w:sz w:val="18"/>
        </w:rPr>
        <w:instrText xml:space="preserve"> PAGEREF _Toc49765343 \h </w:instrText>
      </w:r>
      <w:r w:rsidRPr="00411C46">
        <w:rPr>
          <w:b w:val="0"/>
          <w:noProof/>
          <w:sz w:val="18"/>
        </w:rPr>
      </w:r>
      <w:r w:rsidRPr="00411C46">
        <w:rPr>
          <w:b w:val="0"/>
          <w:noProof/>
          <w:sz w:val="18"/>
        </w:rPr>
        <w:fldChar w:fldCharType="separate"/>
      </w:r>
      <w:r w:rsidR="00F54F75">
        <w:rPr>
          <w:b w:val="0"/>
          <w:noProof/>
          <w:sz w:val="18"/>
        </w:rPr>
        <w:t>76</w:t>
      </w:r>
      <w:r w:rsidRPr="00411C46">
        <w:rPr>
          <w:b w:val="0"/>
          <w:noProof/>
          <w:sz w:val="18"/>
        </w:rPr>
        <w:fldChar w:fldCharType="end"/>
      </w:r>
    </w:p>
    <w:p w:rsidR="00411C46" w:rsidRDefault="00411C46">
      <w:pPr>
        <w:pStyle w:val="TOC4"/>
        <w:rPr>
          <w:rFonts w:asciiTheme="minorHAnsi" w:eastAsiaTheme="minorEastAsia" w:hAnsiTheme="minorHAnsi" w:cstheme="minorBidi"/>
          <w:b w:val="0"/>
          <w:noProof/>
          <w:kern w:val="0"/>
          <w:sz w:val="22"/>
          <w:szCs w:val="22"/>
        </w:rPr>
      </w:pPr>
      <w:r w:rsidRPr="00DC60FC">
        <w:rPr>
          <w:rFonts w:eastAsiaTheme="majorEastAsia"/>
          <w:noProof/>
        </w:rPr>
        <w:t>Subdivision 974</w:t>
      </w:r>
      <w:r w:rsidRPr="00DC60FC">
        <w:rPr>
          <w:rFonts w:eastAsiaTheme="majorEastAsia"/>
          <w:noProof/>
        </w:rPr>
        <w:noBreakHyphen/>
        <w:t>F</w:t>
      </w:r>
      <w:r>
        <w:rPr>
          <w:noProof/>
        </w:rPr>
        <w:t>—</w:t>
      </w:r>
      <w:r w:rsidRPr="00DC60FC">
        <w:rPr>
          <w:rFonts w:eastAsiaTheme="majorEastAsia"/>
          <w:noProof/>
        </w:rPr>
        <w:t>Related concepts</w:t>
      </w:r>
      <w:r w:rsidRPr="00411C46">
        <w:rPr>
          <w:b w:val="0"/>
          <w:noProof/>
          <w:sz w:val="18"/>
        </w:rPr>
        <w:tab/>
      </w:r>
      <w:r w:rsidRPr="00411C46">
        <w:rPr>
          <w:b w:val="0"/>
          <w:noProof/>
          <w:sz w:val="18"/>
        </w:rPr>
        <w:fldChar w:fldCharType="begin"/>
      </w:r>
      <w:r w:rsidRPr="00411C46">
        <w:rPr>
          <w:b w:val="0"/>
          <w:noProof/>
          <w:sz w:val="18"/>
        </w:rPr>
        <w:instrText xml:space="preserve"> PAGEREF _Toc49765344 \h </w:instrText>
      </w:r>
      <w:r w:rsidRPr="00411C46">
        <w:rPr>
          <w:b w:val="0"/>
          <w:noProof/>
          <w:sz w:val="18"/>
        </w:rPr>
      </w:r>
      <w:r w:rsidRPr="00411C46">
        <w:rPr>
          <w:b w:val="0"/>
          <w:noProof/>
          <w:sz w:val="18"/>
        </w:rPr>
        <w:fldChar w:fldCharType="separate"/>
      </w:r>
      <w:r w:rsidR="00F54F75">
        <w:rPr>
          <w:b w:val="0"/>
          <w:noProof/>
          <w:sz w:val="18"/>
        </w:rPr>
        <w:t>76</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974</w:t>
      </w:r>
      <w:r>
        <w:rPr>
          <w:noProof/>
        </w:rPr>
        <w:noBreakHyphen/>
        <w:t>135.01</w:t>
      </w:r>
      <w:r>
        <w:rPr>
          <w:noProof/>
        </w:rPr>
        <w:tab/>
        <w:t>Non</w:t>
      </w:r>
      <w:r>
        <w:rPr>
          <w:noProof/>
        </w:rPr>
        <w:noBreakHyphen/>
        <w:t>cumulative redeemable preference shares issued by credit union or mutual building society</w:t>
      </w:r>
      <w:r w:rsidRPr="00411C46">
        <w:rPr>
          <w:noProof/>
        </w:rPr>
        <w:tab/>
      </w:r>
      <w:r w:rsidRPr="00411C46">
        <w:rPr>
          <w:noProof/>
        </w:rPr>
        <w:fldChar w:fldCharType="begin"/>
      </w:r>
      <w:r w:rsidRPr="00411C46">
        <w:rPr>
          <w:noProof/>
        </w:rPr>
        <w:instrText xml:space="preserve"> PAGEREF _Toc49765345 \h </w:instrText>
      </w:r>
      <w:r w:rsidRPr="00411C46">
        <w:rPr>
          <w:noProof/>
        </w:rPr>
      </w:r>
      <w:r w:rsidRPr="00411C46">
        <w:rPr>
          <w:noProof/>
        </w:rPr>
        <w:fldChar w:fldCharType="separate"/>
      </w:r>
      <w:r w:rsidR="00F54F75">
        <w:rPr>
          <w:noProof/>
        </w:rPr>
        <w:t>76</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974</w:t>
      </w:r>
      <w:r>
        <w:rPr>
          <w:noProof/>
        </w:rPr>
        <w:noBreakHyphen/>
        <w:t>135.02</w:t>
      </w:r>
      <w:r>
        <w:rPr>
          <w:noProof/>
        </w:rPr>
        <w:tab/>
        <w:t>Redeemable preference shares</w:t>
      </w:r>
      <w:r w:rsidRPr="00411C46">
        <w:rPr>
          <w:noProof/>
        </w:rPr>
        <w:tab/>
      </w:r>
      <w:r w:rsidRPr="00411C46">
        <w:rPr>
          <w:noProof/>
        </w:rPr>
        <w:fldChar w:fldCharType="begin"/>
      </w:r>
      <w:r w:rsidRPr="00411C46">
        <w:rPr>
          <w:noProof/>
        </w:rPr>
        <w:instrText xml:space="preserve"> PAGEREF _Toc49765346 \h </w:instrText>
      </w:r>
      <w:r w:rsidRPr="00411C46">
        <w:rPr>
          <w:noProof/>
        </w:rPr>
      </w:r>
      <w:r w:rsidRPr="00411C46">
        <w:rPr>
          <w:noProof/>
        </w:rPr>
        <w:fldChar w:fldCharType="separate"/>
      </w:r>
      <w:r w:rsidR="00F54F75">
        <w:rPr>
          <w:noProof/>
        </w:rPr>
        <w:t>77</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974</w:t>
      </w:r>
      <w:r>
        <w:rPr>
          <w:noProof/>
        </w:rPr>
        <w:noBreakHyphen/>
        <w:t>135.03</w:t>
      </w:r>
      <w:r>
        <w:rPr>
          <w:noProof/>
        </w:rPr>
        <w:tab/>
        <w:t>Term cumulative subordinated note with insolvency or capital adequacy conditions</w:t>
      </w:r>
      <w:r w:rsidRPr="00411C46">
        <w:rPr>
          <w:noProof/>
        </w:rPr>
        <w:tab/>
      </w:r>
      <w:r w:rsidRPr="00411C46">
        <w:rPr>
          <w:noProof/>
        </w:rPr>
        <w:fldChar w:fldCharType="begin"/>
      </w:r>
      <w:r w:rsidRPr="00411C46">
        <w:rPr>
          <w:noProof/>
        </w:rPr>
        <w:instrText xml:space="preserve"> PAGEREF _Toc49765347 \h </w:instrText>
      </w:r>
      <w:r w:rsidRPr="00411C46">
        <w:rPr>
          <w:noProof/>
        </w:rPr>
      </w:r>
      <w:r w:rsidRPr="00411C46">
        <w:rPr>
          <w:noProof/>
        </w:rPr>
        <w:fldChar w:fldCharType="separate"/>
      </w:r>
      <w:r w:rsidR="00F54F75">
        <w:rPr>
          <w:noProof/>
        </w:rPr>
        <w:t>77</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974</w:t>
      </w:r>
      <w:r>
        <w:rPr>
          <w:noProof/>
        </w:rPr>
        <w:noBreakHyphen/>
        <w:t>135.04</w:t>
      </w:r>
      <w:r>
        <w:rPr>
          <w:noProof/>
        </w:rPr>
        <w:tab/>
        <w:t>Perpetual cumulative subordinated note with profitability, insolvency or negative earnings conditions</w:t>
      </w:r>
      <w:r w:rsidRPr="00411C46">
        <w:rPr>
          <w:noProof/>
        </w:rPr>
        <w:tab/>
      </w:r>
      <w:r w:rsidRPr="00411C46">
        <w:rPr>
          <w:noProof/>
        </w:rPr>
        <w:fldChar w:fldCharType="begin"/>
      </w:r>
      <w:r w:rsidRPr="00411C46">
        <w:rPr>
          <w:noProof/>
        </w:rPr>
        <w:instrText xml:space="preserve"> PAGEREF _Toc49765348 \h </w:instrText>
      </w:r>
      <w:r w:rsidRPr="00411C46">
        <w:rPr>
          <w:noProof/>
        </w:rPr>
      </w:r>
      <w:r w:rsidRPr="00411C46">
        <w:rPr>
          <w:noProof/>
        </w:rPr>
        <w:fldChar w:fldCharType="separate"/>
      </w:r>
      <w:r w:rsidR="00F54F75">
        <w:rPr>
          <w:noProof/>
        </w:rPr>
        <w:t>78</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974</w:t>
      </w:r>
      <w:r>
        <w:rPr>
          <w:noProof/>
        </w:rPr>
        <w:noBreakHyphen/>
        <w:t>135.05</w:t>
      </w:r>
      <w:r>
        <w:rPr>
          <w:noProof/>
        </w:rPr>
        <w:tab/>
        <w:t>Term cumulative subordinated note with non</w:t>
      </w:r>
      <w:r>
        <w:rPr>
          <w:noProof/>
        </w:rPr>
        <w:noBreakHyphen/>
        <w:t>viability condition</w:t>
      </w:r>
      <w:r w:rsidRPr="00411C46">
        <w:rPr>
          <w:noProof/>
        </w:rPr>
        <w:tab/>
      </w:r>
      <w:r w:rsidRPr="00411C46">
        <w:rPr>
          <w:noProof/>
        </w:rPr>
        <w:fldChar w:fldCharType="begin"/>
      </w:r>
      <w:r w:rsidRPr="00411C46">
        <w:rPr>
          <w:noProof/>
        </w:rPr>
        <w:instrText xml:space="preserve"> PAGEREF _Toc49765349 \h </w:instrText>
      </w:r>
      <w:r w:rsidRPr="00411C46">
        <w:rPr>
          <w:noProof/>
        </w:rPr>
      </w:r>
      <w:r w:rsidRPr="00411C46">
        <w:rPr>
          <w:noProof/>
        </w:rPr>
        <w:fldChar w:fldCharType="separate"/>
      </w:r>
      <w:r w:rsidR="00F54F75">
        <w:rPr>
          <w:noProof/>
        </w:rPr>
        <w:t>79</w:t>
      </w:r>
      <w:r w:rsidRPr="00411C46">
        <w:rPr>
          <w:noProof/>
        </w:rPr>
        <w:fldChar w:fldCharType="end"/>
      </w:r>
    </w:p>
    <w:p w:rsidR="00411C46" w:rsidRDefault="00411C46">
      <w:pPr>
        <w:pStyle w:val="TOC2"/>
        <w:rPr>
          <w:rFonts w:asciiTheme="minorHAnsi" w:eastAsiaTheme="minorEastAsia" w:hAnsiTheme="minorHAnsi" w:cstheme="minorBidi"/>
          <w:b w:val="0"/>
          <w:noProof/>
          <w:kern w:val="0"/>
          <w:sz w:val="22"/>
          <w:szCs w:val="22"/>
        </w:rPr>
      </w:pPr>
      <w:r>
        <w:rPr>
          <w:noProof/>
        </w:rPr>
        <w:t>Part 6</w:t>
      </w:r>
      <w:r>
        <w:rPr>
          <w:noProof/>
        </w:rPr>
        <w:noBreakHyphen/>
        <w:t>5—Dictionary definitions</w:t>
      </w:r>
      <w:r w:rsidRPr="00411C46">
        <w:rPr>
          <w:b w:val="0"/>
          <w:noProof/>
          <w:sz w:val="18"/>
        </w:rPr>
        <w:tab/>
      </w:r>
      <w:r w:rsidRPr="00411C46">
        <w:rPr>
          <w:b w:val="0"/>
          <w:noProof/>
          <w:sz w:val="18"/>
        </w:rPr>
        <w:fldChar w:fldCharType="begin"/>
      </w:r>
      <w:r w:rsidRPr="00411C46">
        <w:rPr>
          <w:b w:val="0"/>
          <w:noProof/>
          <w:sz w:val="18"/>
        </w:rPr>
        <w:instrText xml:space="preserve"> PAGEREF _Toc49765350 \h </w:instrText>
      </w:r>
      <w:r w:rsidRPr="00411C46">
        <w:rPr>
          <w:b w:val="0"/>
          <w:noProof/>
          <w:sz w:val="18"/>
        </w:rPr>
      </w:r>
      <w:r w:rsidRPr="00411C46">
        <w:rPr>
          <w:b w:val="0"/>
          <w:noProof/>
          <w:sz w:val="18"/>
        </w:rPr>
        <w:fldChar w:fldCharType="separate"/>
      </w:r>
      <w:r w:rsidR="00F54F75">
        <w:rPr>
          <w:b w:val="0"/>
          <w:noProof/>
          <w:sz w:val="18"/>
        </w:rPr>
        <w:t>82</w:t>
      </w:r>
      <w:r w:rsidRPr="00411C46">
        <w:rPr>
          <w:b w:val="0"/>
          <w:noProof/>
          <w:sz w:val="18"/>
        </w:rPr>
        <w:fldChar w:fldCharType="end"/>
      </w:r>
    </w:p>
    <w:p w:rsidR="00411C46" w:rsidRDefault="00411C46">
      <w:pPr>
        <w:pStyle w:val="TOC3"/>
        <w:rPr>
          <w:rFonts w:asciiTheme="minorHAnsi" w:eastAsiaTheme="minorEastAsia" w:hAnsiTheme="minorHAnsi" w:cstheme="minorBidi"/>
          <w:b w:val="0"/>
          <w:noProof/>
          <w:kern w:val="0"/>
          <w:szCs w:val="22"/>
        </w:rPr>
      </w:pPr>
      <w:r>
        <w:rPr>
          <w:noProof/>
        </w:rPr>
        <w:t>Division 995—Definitions</w:t>
      </w:r>
      <w:r w:rsidRPr="00411C46">
        <w:rPr>
          <w:b w:val="0"/>
          <w:noProof/>
          <w:sz w:val="18"/>
        </w:rPr>
        <w:tab/>
      </w:r>
      <w:r w:rsidRPr="00411C46">
        <w:rPr>
          <w:b w:val="0"/>
          <w:noProof/>
          <w:sz w:val="18"/>
        </w:rPr>
        <w:fldChar w:fldCharType="begin"/>
      </w:r>
      <w:r w:rsidRPr="00411C46">
        <w:rPr>
          <w:b w:val="0"/>
          <w:noProof/>
          <w:sz w:val="18"/>
        </w:rPr>
        <w:instrText xml:space="preserve"> PAGEREF _Toc49765351 \h </w:instrText>
      </w:r>
      <w:r w:rsidRPr="00411C46">
        <w:rPr>
          <w:b w:val="0"/>
          <w:noProof/>
          <w:sz w:val="18"/>
        </w:rPr>
      </w:r>
      <w:r w:rsidRPr="00411C46">
        <w:rPr>
          <w:b w:val="0"/>
          <w:noProof/>
          <w:sz w:val="18"/>
        </w:rPr>
        <w:fldChar w:fldCharType="separate"/>
      </w:r>
      <w:r w:rsidR="00F54F75">
        <w:rPr>
          <w:b w:val="0"/>
          <w:noProof/>
          <w:sz w:val="18"/>
        </w:rPr>
        <w:t>82</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995</w:t>
      </w:r>
      <w:r>
        <w:rPr>
          <w:noProof/>
        </w:rPr>
        <w:noBreakHyphen/>
        <w:t>1.01</w:t>
      </w:r>
      <w:r>
        <w:rPr>
          <w:noProof/>
        </w:rPr>
        <w:tab/>
        <w:t>Definitions</w:t>
      </w:r>
      <w:r w:rsidRPr="00411C46">
        <w:rPr>
          <w:noProof/>
        </w:rPr>
        <w:tab/>
      </w:r>
      <w:r w:rsidRPr="00411C46">
        <w:rPr>
          <w:noProof/>
        </w:rPr>
        <w:fldChar w:fldCharType="begin"/>
      </w:r>
      <w:r w:rsidRPr="00411C46">
        <w:rPr>
          <w:noProof/>
        </w:rPr>
        <w:instrText xml:space="preserve"> PAGEREF _Toc49765352 \h </w:instrText>
      </w:r>
      <w:r w:rsidRPr="00411C46">
        <w:rPr>
          <w:noProof/>
        </w:rPr>
      </w:r>
      <w:r w:rsidRPr="00411C46">
        <w:rPr>
          <w:noProof/>
        </w:rPr>
        <w:fldChar w:fldCharType="separate"/>
      </w:r>
      <w:r w:rsidR="00F54F75">
        <w:rPr>
          <w:noProof/>
        </w:rPr>
        <w:t>82</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995</w:t>
      </w:r>
      <w:r>
        <w:rPr>
          <w:noProof/>
        </w:rPr>
        <w:noBreakHyphen/>
        <w:t>1.02</w:t>
      </w:r>
      <w:r>
        <w:rPr>
          <w:noProof/>
        </w:rPr>
        <w:tab/>
        <w:t>Approved stock exchanges</w:t>
      </w:r>
      <w:r w:rsidRPr="00411C46">
        <w:rPr>
          <w:noProof/>
        </w:rPr>
        <w:tab/>
      </w:r>
      <w:r w:rsidRPr="00411C46">
        <w:rPr>
          <w:noProof/>
        </w:rPr>
        <w:fldChar w:fldCharType="begin"/>
      </w:r>
      <w:r w:rsidRPr="00411C46">
        <w:rPr>
          <w:noProof/>
        </w:rPr>
        <w:instrText xml:space="preserve"> PAGEREF _Toc49765353 \h </w:instrText>
      </w:r>
      <w:r w:rsidRPr="00411C46">
        <w:rPr>
          <w:noProof/>
        </w:rPr>
      </w:r>
      <w:r w:rsidRPr="00411C46">
        <w:rPr>
          <w:noProof/>
        </w:rPr>
        <w:fldChar w:fldCharType="separate"/>
      </w:r>
      <w:r w:rsidR="00F54F75">
        <w:rPr>
          <w:noProof/>
        </w:rPr>
        <w:t>85</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995</w:t>
      </w:r>
      <w:r>
        <w:rPr>
          <w:noProof/>
        </w:rPr>
        <w:noBreakHyphen/>
        <w:t>1.03</w:t>
      </w:r>
      <w:r>
        <w:rPr>
          <w:noProof/>
        </w:rPr>
        <w:tab/>
        <w:t>Constitutionally protected funds</w:t>
      </w:r>
      <w:r w:rsidRPr="00411C46">
        <w:rPr>
          <w:noProof/>
        </w:rPr>
        <w:tab/>
      </w:r>
      <w:r w:rsidRPr="00411C46">
        <w:rPr>
          <w:noProof/>
        </w:rPr>
        <w:fldChar w:fldCharType="begin"/>
      </w:r>
      <w:r w:rsidRPr="00411C46">
        <w:rPr>
          <w:noProof/>
        </w:rPr>
        <w:instrText xml:space="preserve"> PAGEREF _Toc49765354 \h </w:instrText>
      </w:r>
      <w:r w:rsidRPr="00411C46">
        <w:rPr>
          <w:noProof/>
        </w:rPr>
      </w:r>
      <w:r w:rsidRPr="00411C46">
        <w:rPr>
          <w:noProof/>
        </w:rPr>
        <w:fldChar w:fldCharType="separate"/>
      </w:r>
      <w:r w:rsidR="00F54F75">
        <w:rPr>
          <w:noProof/>
        </w:rPr>
        <w:t>85</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995</w:t>
      </w:r>
      <w:r>
        <w:rPr>
          <w:noProof/>
        </w:rPr>
        <w:noBreakHyphen/>
        <w:t>1.04</w:t>
      </w:r>
      <w:r>
        <w:rPr>
          <w:noProof/>
        </w:rPr>
        <w:tab/>
        <w:t xml:space="preserve">Definition of </w:t>
      </w:r>
      <w:r w:rsidRPr="00DC60FC">
        <w:rPr>
          <w:i/>
          <w:noProof/>
        </w:rPr>
        <w:t>contributions</w:t>
      </w:r>
      <w:r w:rsidRPr="00DC60FC">
        <w:rPr>
          <w:i/>
          <w:noProof/>
        </w:rPr>
        <w:noBreakHyphen/>
        <w:t>splitting superannuation benefit</w:t>
      </w:r>
      <w:r w:rsidRPr="00411C46">
        <w:rPr>
          <w:noProof/>
        </w:rPr>
        <w:tab/>
      </w:r>
      <w:r w:rsidRPr="00411C46">
        <w:rPr>
          <w:noProof/>
        </w:rPr>
        <w:fldChar w:fldCharType="begin"/>
      </w:r>
      <w:r w:rsidRPr="00411C46">
        <w:rPr>
          <w:noProof/>
        </w:rPr>
        <w:instrText xml:space="preserve"> PAGEREF _Toc49765355 \h </w:instrText>
      </w:r>
      <w:r w:rsidRPr="00411C46">
        <w:rPr>
          <w:noProof/>
        </w:rPr>
      </w:r>
      <w:r w:rsidRPr="00411C46">
        <w:rPr>
          <w:noProof/>
        </w:rPr>
        <w:fldChar w:fldCharType="separate"/>
      </w:r>
      <w:r w:rsidR="00F54F75">
        <w:rPr>
          <w:noProof/>
        </w:rPr>
        <w:t>86</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995</w:t>
      </w:r>
      <w:r>
        <w:rPr>
          <w:noProof/>
        </w:rPr>
        <w:noBreakHyphen/>
        <w:t>1.05</w:t>
      </w:r>
      <w:r>
        <w:rPr>
          <w:noProof/>
        </w:rPr>
        <w:tab/>
        <w:t xml:space="preserve">Meaning of </w:t>
      </w:r>
      <w:r w:rsidRPr="00DC60FC">
        <w:rPr>
          <w:i/>
          <w:noProof/>
          <w:color w:val="000000"/>
        </w:rPr>
        <w:t>superannuation annuity</w:t>
      </w:r>
      <w:r w:rsidRPr="00411C46">
        <w:rPr>
          <w:noProof/>
        </w:rPr>
        <w:tab/>
      </w:r>
      <w:r w:rsidRPr="00411C46">
        <w:rPr>
          <w:noProof/>
        </w:rPr>
        <w:fldChar w:fldCharType="begin"/>
      </w:r>
      <w:r w:rsidRPr="00411C46">
        <w:rPr>
          <w:noProof/>
        </w:rPr>
        <w:instrText xml:space="preserve"> PAGEREF _Toc49765356 \h </w:instrText>
      </w:r>
      <w:r w:rsidRPr="00411C46">
        <w:rPr>
          <w:noProof/>
        </w:rPr>
      </w:r>
      <w:r w:rsidRPr="00411C46">
        <w:rPr>
          <w:noProof/>
        </w:rPr>
        <w:fldChar w:fldCharType="separate"/>
      </w:r>
      <w:r w:rsidR="00F54F75">
        <w:rPr>
          <w:noProof/>
        </w:rPr>
        <w:t>86</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995</w:t>
      </w:r>
      <w:r>
        <w:rPr>
          <w:noProof/>
        </w:rPr>
        <w:noBreakHyphen/>
        <w:t>1.06</w:t>
      </w:r>
      <w:r>
        <w:rPr>
          <w:noProof/>
        </w:rPr>
        <w:tab/>
        <w:t xml:space="preserve">Meaning of </w:t>
      </w:r>
      <w:r w:rsidRPr="00DC60FC">
        <w:rPr>
          <w:i/>
          <w:noProof/>
        </w:rPr>
        <w:t>terminal medical condition</w:t>
      </w:r>
      <w:r w:rsidRPr="00411C46">
        <w:rPr>
          <w:noProof/>
        </w:rPr>
        <w:tab/>
      </w:r>
      <w:r w:rsidRPr="00411C46">
        <w:rPr>
          <w:noProof/>
        </w:rPr>
        <w:fldChar w:fldCharType="begin"/>
      </w:r>
      <w:r w:rsidRPr="00411C46">
        <w:rPr>
          <w:noProof/>
        </w:rPr>
        <w:instrText xml:space="preserve"> PAGEREF _Toc49765357 \h </w:instrText>
      </w:r>
      <w:r w:rsidRPr="00411C46">
        <w:rPr>
          <w:noProof/>
        </w:rPr>
      </w:r>
      <w:r w:rsidRPr="00411C46">
        <w:rPr>
          <w:noProof/>
        </w:rPr>
        <w:fldChar w:fldCharType="separate"/>
      </w:r>
      <w:r w:rsidR="00F54F75">
        <w:rPr>
          <w:noProof/>
        </w:rPr>
        <w:t>87</w:t>
      </w:r>
      <w:r w:rsidRPr="00411C46">
        <w:rPr>
          <w:noProof/>
        </w:rPr>
        <w:fldChar w:fldCharType="end"/>
      </w:r>
    </w:p>
    <w:p w:rsidR="00411C46" w:rsidRDefault="00411C46">
      <w:pPr>
        <w:pStyle w:val="TOC1"/>
        <w:rPr>
          <w:rFonts w:asciiTheme="minorHAnsi" w:eastAsiaTheme="minorEastAsia" w:hAnsiTheme="minorHAnsi" w:cstheme="minorBidi"/>
          <w:b w:val="0"/>
          <w:noProof/>
          <w:kern w:val="0"/>
          <w:sz w:val="22"/>
          <w:szCs w:val="22"/>
        </w:rPr>
      </w:pPr>
      <w:r>
        <w:rPr>
          <w:noProof/>
        </w:rPr>
        <w:lastRenderedPageBreak/>
        <w:t>Schedule 1A—Method of working out amount of notional taxed contributions</w:t>
      </w:r>
      <w:r w:rsidRPr="00411C46">
        <w:rPr>
          <w:b w:val="0"/>
          <w:noProof/>
          <w:sz w:val="18"/>
        </w:rPr>
        <w:tab/>
      </w:r>
      <w:r w:rsidRPr="00411C46">
        <w:rPr>
          <w:b w:val="0"/>
          <w:noProof/>
          <w:sz w:val="18"/>
        </w:rPr>
        <w:fldChar w:fldCharType="begin"/>
      </w:r>
      <w:r w:rsidRPr="00411C46">
        <w:rPr>
          <w:b w:val="0"/>
          <w:noProof/>
          <w:sz w:val="18"/>
        </w:rPr>
        <w:instrText xml:space="preserve"> PAGEREF _Toc49765358 \h </w:instrText>
      </w:r>
      <w:r w:rsidRPr="00411C46">
        <w:rPr>
          <w:b w:val="0"/>
          <w:noProof/>
          <w:sz w:val="18"/>
        </w:rPr>
      </w:r>
      <w:r w:rsidRPr="00411C46">
        <w:rPr>
          <w:b w:val="0"/>
          <w:noProof/>
          <w:sz w:val="18"/>
        </w:rPr>
        <w:fldChar w:fldCharType="separate"/>
      </w:r>
      <w:r w:rsidR="00F54F75">
        <w:rPr>
          <w:b w:val="0"/>
          <w:noProof/>
          <w:sz w:val="18"/>
        </w:rPr>
        <w:t>88</w:t>
      </w:r>
      <w:r w:rsidRPr="00411C46">
        <w:rPr>
          <w:b w:val="0"/>
          <w:noProof/>
          <w:sz w:val="18"/>
        </w:rPr>
        <w:fldChar w:fldCharType="end"/>
      </w:r>
    </w:p>
    <w:p w:rsidR="00411C46" w:rsidRDefault="00411C46">
      <w:pPr>
        <w:pStyle w:val="TOC2"/>
        <w:rPr>
          <w:rFonts w:asciiTheme="minorHAnsi" w:eastAsiaTheme="minorEastAsia" w:hAnsiTheme="minorHAnsi" w:cstheme="minorBidi"/>
          <w:b w:val="0"/>
          <w:noProof/>
          <w:kern w:val="0"/>
          <w:sz w:val="22"/>
          <w:szCs w:val="22"/>
        </w:rPr>
      </w:pPr>
      <w:r>
        <w:rPr>
          <w:noProof/>
        </w:rPr>
        <w:t>Part 1—Preliminary</w:t>
      </w:r>
      <w:r w:rsidRPr="00411C46">
        <w:rPr>
          <w:b w:val="0"/>
          <w:noProof/>
          <w:sz w:val="18"/>
        </w:rPr>
        <w:tab/>
      </w:r>
      <w:r w:rsidRPr="00411C46">
        <w:rPr>
          <w:b w:val="0"/>
          <w:noProof/>
          <w:sz w:val="18"/>
        </w:rPr>
        <w:fldChar w:fldCharType="begin"/>
      </w:r>
      <w:r w:rsidRPr="00411C46">
        <w:rPr>
          <w:b w:val="0"/>
          <w:noProof/>
          <w:sz w:val="18"/>
        </w:rPr>
        <w:instrText xml:space="preserve"> PAGEREF _Toc49765359 \h </w:instrText>
      </w:r>
      <w:r w:rsidRPr="00411C46">
        <w:rPr>
          <w:b w:val="0"/>
          <w:noProof/>
          <w:sz w:val="18"/>
        </w:rPr>
      </w:r>
      <w:r w:rsidRPr="00411C46">
        <w:rPr>
          <w:b w:val="0"/>
          <w:noProof/>
          <w:sz w:val="18"/>
        </w:rPr>
        <w:fldChar w:fldCharType="separate"/>
      </w:r>
      <w:r w:rsidR="00F54F75">
        <w:rPr>
          <w:b w:val="0"/>
          <w:noProof/>
          <w:sz w:val="18"/>
        </w:rPr>
        <w:t>88</w:t>
      </w:r>
      <w:r w:rsidRPr="00411C46">
        <w:rPr>
          <w:b w:val="0"/>
          <w:noProof/>
          <w:sz w:val="18"/>
        </w:rPr>
        <w:fldChar w:fldCharType="end"/>
      </w:r>
    </w:p>
    <w:p w:rsidR="00411C46" w:rsidRDefault="00411C46">
      <w:pPr>
        <w:pStyle w:val="TOC3"/>
        <w:rPr>
          <w:rFonts w:asciiTheme="minorHAnsi" w:eastAsiaTheme="minorEastAsia" w:hAnsiTheme="minorHAnsi" w:cstheme="minorBidi"/>
          <w:b w:val="0"/>
          <w:noProof/>
          <w:kern w:val="0"/>
          <w:szCs w:val="22"/>
        </w:rPr>
      </w:pPr>
      <w:r>
        <w:rPr>
          <w:noProof/>
        </w:rPr>
        <w:t>Division 1—Definitions</w:t>
      </w:r>
      <w:r w:rsidRPr="00411C46">
        <w:rPr>
          <w:b w:val="0"/>
          <w:noProof/>
          <w:sz w:val="18"/>
        </w:rPr>
        <w:tab/>
      </w:r>
      <w:r w:rsidRPr="00411C46">
        <w:rPr>
          <w:b w:val="0"/>
          <w:noProof/>
          <w:sz w:val="18"/>
        </w:rPr>
        <w:fldChar w:fldCharType="begin"/>
      </w:r>
      <w:r w:rsidRPr="00411C46">
        <w:rPr>
          <w:b w:val="0"/>
          <w:noProof/>
          <w:sz w:val="18"/>
        </w:rPr>
        <w:instrText xml:space="preserve"> PAGEREF _Toc49765360 \h </w:instrText>
      </w:r>
      <w:r w:rsidRPr="00411C46">
        <w:rPr>
          <w:b w:val="0"/>
          <w:noProof/>
          <w:sz w:val="18"/>
        </w:rPr>
      </w:r>
      <w:r w:rsidRPr="00411C46">
        <w:rPr>
          <w:b w:val="0"/>
          <w:noProof/>
          <w:sz w:val="18"/>
        </w:rPr>
        <w:fldChar w:fldCharType="separate"/>
      </w:r>
      <w:r w:rsidR="00F54F75">
        <w:rPr>
          <w:b w:val="0"/>
          <w:noProof/>
          <w:sz w:val="18"/>
        </w:rPr>
        <w:t>88</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1.1</w:t>
      </w:r>
      <w:r>
        <w:rPr>
          <w:noProof/>
        </w:rPr>
        <w:tab/>
        <w:t xml:space="preserve">Meaning of </w:t>
      </w:r>
      <w:r w:rsidRPr="00DC60FC">
        <w:rPr>
          <w:i/>
          <w:noProof/>
        </w:rPr>
        <w:t>accruing member</w:t>
      </w:r>
      <w:r w:rsidRPr="00411C46">
        <w:rPr>
          <w:noProof/>
        </w:rPr>
        <w:tab/>
      </w:r>
      <w:r w:rsidRPr="00411C46">
        <w:rPr>
          <w:noProof/>
        </w:rPr>
        <w:fldChar w:fldCharType="begin"/>
      </w:r>
      <w:r w:rsidRPr="00411C46">
        <w:rPr>
          <w:noProof/>
        </w:rPr>
        <w:instrText xml:space="preserve"> PAGEREF _Toc49765361 \h </w:instrText>
      </w:r>
      <w:r w:rsidRPr="00411C46">
        <w:rPr>
          <w:noProof/>
        </w:rPr>
      </w:r>
      <w:r w:rsidRPr="00411C46">
        <w:rPr>
          <w:noProof/>
        </w:rPr>
        <w:fldChar w:fldCharType="separate"/>
      </w:r>
      <w:r w:rsidR="00F54F75">
        <w:rPr>
          <w:noProof/>
        </w:rPr>
        <w:t>88</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1.2</w:t>
      </w:r>
      <w:r>
        <w:rPr>
          <w:noProof/>
        </w:rPr>
        <w:tab/>
        <w:t xml:space="preserve">Meaning of </w:t>
      </w:r>
      <w:r w:rsidRPr="00DC60FC">
        <w:rPr>
          <w:i/>
          <w:noProof/>
        </w:rPr>
        <w:t>benefit category</w:t>
      </w:r>
      <w:r w:rsidRPr="00411C46">
        <w:rPr>
          <w:noProof/>
        </w:rPr>
        <w:tab/>
      </w:r>
      <w:r w:rsidRPr="00411C46">
        <w:rPr>
          <w:noProof/>
        </w:rPr>
        <w:fldChar w:fldCharType="begin"/>
      </w:r>
      <w:r w:rsidRPr="00411C46">
        <w:rPr>
          <w:noProof/>
        </w:rPr>
        <w:instrText xml:space="preserve"> PAGEREF _Toc49765362 \h </w:instrText>
      </w:r>
      <w:r w:rsidRPr="00411C46">
        <w:rPr>
          <w:noProof/>
        </w:rPr>
      </w:r>
      <w:r w:rsidRPr="00411C46">
        <w:rPr>
          <w:noProof/>
        </w:rPr>
        <w:fldChar w:fldCharType="separate"/>
      </w:r>
      <w:r w:rsidR="00F54F75">
        <w:rPr>
          <w:noProof/>
        </w:rPr>
        <w:t>88</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1.3</w:t>
      </w:r>
      <w:r>
        <w:rPr>
          <w:noProof/>
        </w:rPr>
        <w:tab/>
        <w:t xml:space="preserve">Meaning of </w:t>
      </w:r>
      <w:r w:rsidRPr="00DC60FC">
        <w:rPr>
          <w:i/>
          <w:noProof/>
        </w:rPr>
        <w:t>defined benefit fund</w:t>
      </w:r>
      <w:r w:rsidRPr="00411C46">
        <w:rPr>
          <w:noProof/>
        </w:rPr>
        <w:tab/>
      </w:r>
      <w:r w:rsidRPr="00411C46">
        <w:rPr>
          <w:noProof/>
        </w:rPr>
        <w:fldChar w:fldCharType="begin"/>
      </w:r>
      <w:r w:rsidRPr="00411C46">
        <w:rPr>
          <w:noProof/>
        </w:rPr>
        <w:instrText xml:space="preserve"> PAGEREF _Toc49765363 \h </w:instrText>
      </w:r>
      <w:r w:rsidRPr="00411C46">
        <w:rPr>
          <w:noProof/>
        </w:rPr>
      </w:r>
      <w:r w:rsidRPr="00411C46">
        <w:rPr>
          <w:noProof/>
        </w:rPr>
        <w:fldChar w:fldCharType="separate"/>
      </w:r>
      <w:r w:rsidR="00F54F75">
        <w:rPr>
          <w:noProof/>
        </w:rPr>
        <w:t>88</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1.4</w:t>
      </w:r>
      <w:r>
        <w:rPr>
          <w:noProof/>
        </w:rPr>
        <w:tab/>
        <w:t>Accruing member must not belong to more than one benefit category at the same time unless certified by an actuary</w:t>
      </w:r>
      <w:r w:rsidRPr="00411C46">
        <w:rPr>
          <w:noProof/>
        </w:rPr>
        <w:tab/>
      </w:r>
      <w:r w:rsidRPr="00411C46">
        <w:rPr>
          <w:noProof/>
        </w:rPr>
        <w:fldChar w:fldCharType="begin"/>
      </w:r>
      <w:r w:rsidRPr="00411C46">
        <w:rPr>
          <w:noProof/>
        </w:rPr>
        <w:instrText xml:space="preserve"> PAGEREF _Toc49765364 \h </w:instrText>
      </w:r>
      <w:r w:rsidRPr="00411C46">
        <w:rPr>
          <w:noProof/>
        </w:rPr>
      </w:r>
      <w:r w:rsidRPr="00411C46">
        <w:rPr>
          <w:noProof/>
        </w:rPr>
        <w:fldChar w:fldCharType="separate"/>
      </w:r>
      <w:r w:rsidR="00F54F75">
        <w:rPr>
          <w:noProof/>
        </w:rPr>
        <w:t>88</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1.5</w:t>
      </w:r>
      <w:r>
        <w:rPr>
          <w:noProof/>
        </w:rPr>
        <w:tab/>
        <w:t xml:space="preserve">Meaning of </w:t>
      </w:r>
      <w:r w:rsidRPr="00DC60FC">
        <w:rPr>
          <w:i/>
          <w:noProof/>
        </w:rPr>
        <w:t>fund benefit</w:t>
      </w:r>
      <w:r w:rsidRPr="00411C46">
        <w:rPr>
          <w:noProof/>
        </w:rPr>
        <w:tab/>
      </w:r>
      <w:r w:rsidRPr="00411C46">
        <w:rPr>
          <w:noProof/>
        </w:rPr>
        <w:fldChar w:fldCharType="begin"/>
      </w:r>
      <w:r w:rsidRPr="00411C46">
        <w:rPr>
          <w:noProof/>
        </w:rPr>
        <w:instrText xml:space="preserve"> PAGEREF _Toc49765365 \h </w:instrText>
      </w:r>
      <w:r w:rsidRPr="00411C46">
        <w:rPr>
          <w:noProof/>
        </w:rPr>
      </w:r>
      <w:r w:rsidRPr="00411C46">
        <w:rPr>
          <w:noProof/>
        </w:rPr>
        <w:fldChar w:fldCharType="separate"/>
      </w:r>
      <w:r w:rsidR="00F54F75">
        <w:rPr>
          <w:noProof/>
        </w:rPr>
        <w:t>88</w:t>
      </w:r>
      <w:r w:rsidRPr="00411C46">
        <w:rPr>
          <w:noProof/>
        </w:rPr>
        <w:fldChar w:fldCharType="end"/>
      </w:r>
    </w:p>
    <w:p w:rsidR="00411C46" w:rsidRDefault="00411C46">
      <w:pPr>
        <w:pStyle w:val="TOC3"/>
        <w:rPr>
          <w:rFonts w:asciiTheme="minorHAnsi" w:eastAsiaTheme="minorEastAsia" w:hAnsiTheme="minorHAnsi" w:cstheme="minorBidi"/>
          <w:b w:val="0"/>
          <w:noProof/>
          <w:kern w:val="0"/>
          <w:szCs w:val="22"/>
        </w:rPr>
      </w:pPr>
      <w:r>
        <w:rPr>
          <w:noProof/>
        </w:rPr>
        <w:t>Division 2—Method</w:t>
      </w:r>
      <w:r w:rsidRPr="00411C46">
        <w:rPr>
          <w:b w:val="0"/>
          <w:noProof/>
          <w:sz w:val="18"/>
        </w:rPr>
        <w:tab/>
      </w:r>
      <w:r w:rsidRPr="00411C46">
        <w:rPr>
          <w:b w:val="0"/>
          <w:noProof/>
          <w:sz w:val="18"/>
        </w:rPr>
        <w:fldChar w:fldCharType="begin"/>
      </w:r>
      <w:r w:rsidRPr="00411C46">
        <w:rPr>
          <w:b w:val="0"/>
          <w:noProof/>
          <w:sz w:val="18"/>
        </w:rPr>
        <w:instrText xml:space="preserve"> PAGEREF _Toc49765366 \h </w:instrText>
      </w:r>
      <w:r w:rsidRPr="00411C46">
        <w:rPr>
          <w:b w:val="0"/>
          <w:noProof/>
          <w:sz w:val="18"/>
        </w:rPr>
      </w:r>
      <w:r w:rsidRPr="00411C46">
        <w:rPr>
          <w:b w:val="0"/>
          <w:noProof/>
          <w:sz w:val="18"/>
        </w:rPr>
        <w:fldChar w:fldCharType="separate"/>
      </w:r>
      <w:r w:rsidR="00F54F75">
        <w:rPr>
          <w:b w:val="0"/>
          <w:noProof/>
          <w:sz w:val="18"/>
        </w:rPr>
        <w:t>90</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1.6</w:t>
      </w:r>
      <w:r>
        <w:rPr>
          <w:noProof/>
        </w:rPr>
        <w:tab/>
        <w:t>Method of working out amount of notional taxed contributions if the fund benefit is wholly sourced from an accumulation of contributions made in respect of the member</w:t>
      </w:r>
      <w:r w:rsidRPr="00411C46">
        <w:rPr>
          <w:noProof/>
        </w:rPr>
        <w:tab/>
      </w:r>
      <w:r w:rsidRPr="00411C46">
        <w:rPr>
          <w:noProof/>
        </w:rPr>
        <w:fldChar w:fldCharType="begin"/>
      </w:r>
      <w:r w:rsidRPr="00411C46">
        <w:rPr>
          <w:noProof/>
        </w:rPr>
        <w:instrText xml:space="preserve"> PAGEREF _Toc49765367 \h </w:instrText>
      </w:r>
      <w:r w:rsidRPr="00411C46">
        <w:rPr>
          <w:noProof/>
        </w:rPr>
      </w:r>
      <w:r w:rsidRPr="00411C46">
        <w:rPr>
          <w:noProof/>
        </w:rPr>
        <w:fldChar w:fldCharType="separate"/>
      </w:r>
      <w:r w:rsidR="00F54F75">
        <w:rPr>
          <w:noProof/>
        </w:rPr>
        <w:t>90</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1.7</w:t>
      </w:r>
      <w:r>
        <w:rPr>
          <w:noProof/>
        </w:rPr>
        <w:tab/>
        <w:t>Method of working out amount of notional taxed contributions in respect of a benefit category if the fund benefit is not wholly sourced from an accumulation of contributions made in respect of the member</w:t>
      </w:r>
      <w:r w:rsidRPr="00411C46">
        <w:rPr>
          <w:noProof/>
        </w:rPr>
        <w:tab/>
      </w:r>
      <w:r w:rsidRPr="00411C46">
        <w:rPr>
          <w:noProof/>
        </w:rPr>
        <w:fldChar w:fldCharType="begin"/>
      </w:r>
      <w:r w:rsidRPr="00411C46">
        <w:rPr>
          <w:noProof/>
        </w:rPr>
        <w:instrText xml:space="preserve"> PAGEREF _Toc49765368 \h </w:instrText>
      </w:r>
      <w:r w:rsidRPr="00411C46">
        <w:rPr>
          <w:noProof/>
        </w:rPr>
      </w:r>
      <w:r w:rsidRPr="00411C46">
        <w:rPr>
          <w:noProof/>
        </w:rPr>
        <w:fldChar w:fldCharType="separate"/>
      </w:r>
      <w:r w:rsidR="00F54F75">
        <w:rPr>
          <w:noProof/>
        </w:rPr>
        <w:t>90</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1.8</w:t>
      </w:r>
      <w:r>
        <w:rPr>
          <w:noProof/>
        </w:rPr>
        <w:tab/>
        <w:t>Method of working out amount of notional taxed contributions</w:t>
      </w:r>
      <w:r w:rsidRPr="00411C46">
        <w:rPr>
          <w:noProof/>
        </w:rPr>
        <w:tab/>
      </w:r>
      <w:r w:rsidRPr="00411C46">
        <w:rPr>
          <w:noProof/>
        </w:rPr>
        <w:fldChar w:fldCharType="begin"/>
      </w:r>
      <w:r w:rsidRPr="00411C46">
        <w:rPr>
          <w:noProof/>
        </w:rPr>
        <w:instrText xml:space="preserve"> PAGEREF _Toc49765369 \h </w:instrText>
      </w:r>
      <w:r w:rsidRPr="00411C46">
        <w:rPr>
          <w:noProof/>
        </w:rPr>
      </w:r>
      <w:r w:rsidRPr="00411C46">
        <w:rPr>
          <w:noProof/>
        </w:rPr>
        <w:fldChar w:fldCharType="separate"/>
      </w:r>
      <w:r w:rsidR="00F54F75">
        <w:rPr>
          <w:noProof/>
        </w:rPr>
        <w:t>91</w:t>
      </w:r>
      <w:r w:rsidRPr="00411C46">
        <w:rPr>
          <w:noProof/>
        </w:rPr>
        <w:fldChar w:fldCharType="end"/>
      </w:r>
    </w:p>
    <w:p w:rsidR="00411C46" w:rsidRDefault="00411C46">
      <w:pPr>
        <w:pStyle w:val="TOC2"/>
        <w:rPr>
          <w:rFonts w:asciiTheme="minorHAnsi" w:eastAsiaTheme="minorEastAsia" w:hAnsiTheme="minorHAnsi" w:cstheme="minorBidi"/>
          <w:b w:val="0"/>
          <w:noProof/>
          <w:kern w:val="0"/>
          <w:sz w:val="22"/>
          <w:szCs w:val="22"/>
        </w:rPr>
      </w:pPr>
      <w:r>
        <w:rPr>
          <w:noProof/>
        </w:rPr>
        <w:t>Part 2—New entrant rate</w:t>
      </w:r>
      <w:r w:rsidRPr="00411C46">
        <w:rPr>
          <w:b w:val="0"/>
          <w:noProof/>
          <w:sz w:val="18"/>
        </w:rPr>
        <w:tab/>
      </w:r>
      <w:r w:rsidRPr="00411C46">
        <w:rPr>
          <w:b w:val="0"/>
          <w:noProof/>
          <w:sz w:val="18"/>
        </w:rPr>
        <w:fldChar w:fldCharType="begin"/>
      </w:r>
      <w:r w:rsidRPr="00411C46">
        <w:rPr>
          <w:b w:val="0"/>
          <w:noProof/>
          <w:sz w:val="18"/>
        </w:rPr>
        <w:instrText xml:space="preserve"> PAGEREF _Toc49765370 \h </w:instrText>
      </w:r>
      <w:r w:rsidRPr="00411C46">
        <w:rPr>
          <w:b w:val="0"/>
          <w:noProof/>
          <w:sz w:val="18"/>
        </w:rPr>
      </w:r>
      <w:r w:rsidRPr="00411C46">
        <w:rPr>
          <w:b w:val="0"/>
          <w:noProof/>
          <w:sz w:val="18"/>
        </w:rPr>
        <w:fldChar w:fldCharType="separate"/>
      </w:r>
      <w:r w:rsidR="00F54F75">
        <w:rPr>
          <w:b w:val="0"/>
          <w:noProof/>
          <w:sz w:val="18"/>
        </w:rPr>
        <w:t>92</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2.1</w:t>
      </w:r>
      <w:r>
        <w:rPr>
          <w:noProof/>
        </w:rPr>
        <w:tab/>
        <w:t>Method of working out new entrant rate for a benefit category</w:t>
      </w:r>
      <w:r w:rsidRPr="00411C46">
        <w:rPr>
          <w:noProof/>
        </w:rPr>
        <w:tab/>
      </w:r>
      <w:r w:rsidRPr="00411C46">
        <w:rPr>
          <w:noProof/>
        </w:rPr>
        <w:fldChar w:fldCharType="begin"/>
      </w:r>
      <w:r w:rsidRPr="00411C46">
        <w:rPr>
          <w:noProof/>
        </w:rPr>
        <w:instrText xml:space="preserve"> PAGEREF _Toc49765371 \h </w:instrText>
      </w:r>
      <w:r w:rsidRPr="00411C46">
        <w:rPr>
          <w:noProof/>
        </w:rPr>
      </w:r>
      <w:r w:rsidRPr="00411C46">
        <w:rPr>
          <w:noProof/>
        </w:rPr>
        <w:fldChar w:fldCharType="separate"/>
      </w:r>
      <w:r w:rsidR="00F54F75">
        <w:rPr>
          <w:noProof/>
        </w:rPr>
        <w:t>92</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2.2</w:t>
      </w:r>
      <w:r>
        <w:rPr>
          <w:noProof/>
        </w:rPr>
        <w:tab/>
        <w:t>New entrant rate to be based on period of membership needed to reach maximum benefit accrual</w:t>
      </w:r>
      <w:r w:rsidRPr="00411C46">
        <w:rPr>
          <w:noProof/>
        </w:rPr>
        <w:tab/>
      </w:r>
      <w:r w:rsidRPr="00411C46">
        <w:rPr>
          <w:noProof/>
        </w:rPr>
        <w:fldChar w:fldCharType="begin"/>
      </w:r>
      <w:r w:rsidRPr="00411C46">
        <w:rPr>
          <w:noProof/>
        </w:rPr>
        <w:instrText xml:space="preserve"> PAGEREF _Toc49765372 \h </w:instrText>
      </w:r>
      <w:r w:rsidRPr="00411C46">
        <w:rPr>
          <w:noProof/>
        </w:rPr>
      </w:r>
      <w:r w:rsidRPr="00411C46">
        <w:rPr>
          <w:noProof/>
        </w:rPr>
        <w:fldChar w:fldCharType="separate"/>
      </w:r>
      <w:r w:rsidR="00F54F75">
        <w:rPr>
          <w:noProof/>
        </w:rPr>
        <w:t>92</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2.3</w:t>
      </w:r>
      <w:r>
        <w:rPr>
          <w:noProof/>
        </w:rPr>
        <w:tab/>
        <w:t>New entrant rate to be rounded down</w:t>
      </w:r>
      <w:r w:rsidRPr="00411C46">
        <w:rPr>
          <w:noProof/>
        </w:rPr>
        <w:tab/>
      </w:r>
      <w:r w:rsidRPr="00411C46">
        <w:rPr>
          <w:noProof/>
        </w:rPr>
        <w:fldChar w:fldCharType="begin"/>
      </w:r>
      <w:r w:rsidRPr="00411C46">
        <w:rPr>
          <w:noProof/>
        </w:rPr>
        <w:instrText xml:space="preserve"> PAGEREF _Toc49765373 \h </w:instrText>
      </w:r>
      <w:r w:rsidRPr="00411C46">
        <w:rPr>
          <w:noProof/>
        </w:rPr>
      </w:r>
      <w:r w:rsidRPr="00411C46">
        <w:rPr>
          <w:noProof/>
        </w:rPr>
        <w:fldChar w:fldCharType="separate"/>
      </w:r>
      <w:r w:rsidR="00F54F75">
        <w:rPr>
          <w:noProof/>
        </w:rPr>
        <w:t>92</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2.4</w:t>
      </w:r>
      <w:r>
        <w:rPr>
          <w:noProof/>
        </w:rPr>
        <w:tab/>
        <w:t>No allowance for administration expenses or income tax on assessable contributions</w:t>
      </w:r>
      <w:r w:rsidRPr="00411C46">
        <w:rPr>
          <w:noProof/>
        </w:rPr>
        <w:tab/>
      </w:r>
      <w:r w:rsidRPr="00411C46">
        <w:rPr>
          <w:noProof/>
        </w:rPr>
        <w:fldChar w:fldCharType="begin"/>
      </w:r>
      <w:r w:rsidRPr="00411C46">
        <w:rPr>
          <w:noProof/>
        </w:rPr>
        <w:instrText xml:space="preserve"> PAGEREF _Toc49765374 \h </w:instrText>
      </w:r>
      <w:r w:rsidRPr="00411C46">
        <w:rPr>
          <w:noProof/>
        </w:rPr>
      </w:r>
      <w:r w:rsidRPr="00411C46">
        <w:rPr>
          <w:noProof/>
        </w:rPr>
        <w:fldChar w:fldCharType="separate"/>
      </w:r>
      <w:r w:rsidR="00F54F75">
        <w:rPr>
          <w:noProof/>
        </w:rPr>
        <w:t>93</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2.5</w:t>
      </w:r>
      <w:r>
        <w:rPr>
          <w:noProof/>
        </w:rPr>
        <w:tab/>
        <w:t>Certain discretions to be allowed for</w:t>
      </w:r>
      <w:r w:rsidRPr="00411C46">
        <w:rPr>
          <w:noProof/>
        </w:rPr>
        <w:tab/>
      </w:r>
      <w:r w:rsidRPr="00411C46">
        <w:rPr>
          <w:noProof/>
        </w:rPr>
        <w:fldChar w:fldCharType="begin"/>
      </w:r>
      <w:r w:rsidRPr="00411C46">
        <w:rPr>
          <w:noProof/>
        </w:rPr>
        <w:instrText xml:space="preserve"> PAGEREF _Toc49765375 \h </w:instrText>
      </w:r>
      <w:r w:rsidRPr="00411C46">
        <w:rPr>
          <w:noProof/>
        </w:rPr>
      </w:r>
      <w:r w:rsidRPr="00411C46">
        <w:rPr>
          <w:noProof/>
        </w:rPr>
        <w:fldChar w:fldCharType="separate"/>
      </w:r>
      <w:r w:rsidR="00F54F75">
        <w:rPr>
          <w:noProof/>
        </w:rPr>
        <w:t>93</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2.6</w:t>
      </w:r>
      <w:r>
        <w:rPr>
          <w:noProof/>
        </w:rPr>
        <w:tab/>
        <w:t>Method of working out new entrant rate for a member</w:t>
      </w:r>
      <w:r w:rsidRPr="00411C46">
        <w:rPr>
          <w:noProof/>
        </w:rPr>
        <w:tab/>
      </w:r>
      <w:r w:rsidRPr="00411C46">
        <w:rPr>
          <w:noProof/>
        </w:rPr>
        <w:fldChar w:fldCharType="begin"/>
      </w:r>
      <w:r w:rsidRPr="00411C46">
        <w:rPr>
          <w:noProof/>
        </w:rPr>
        <w:instrText xml:space="preserve"> PAGEREF _Toc49765376 \h </w:instrText>
      </w:r>
      <w:r w:rsidRPr="00411C46">
        <w:rPr>
          <w:noProof/>
        </w:rPr>
      </w:r>
      <w:r w:rsidRPr="00411C46">
        <w:rPr>
          <w:noProof/>
        </w:rPr>
        <w:fldChar w:fldCharType="separate"/>
      </w:r>
      <w:r w:rsidR="00F54F75">
        <w:rPr>
          <w:noProof/>
        </w:rPr>
        <w:t>93</w:t>
      </w:r>
      <w:r w:rsidRPr="00411C46">
        <w:rPr>
          <w:noProof/>
        </w:rPr>
        <w:fldChar w:fldCharType="end"/>
      </w:r>
    </w:p>
    <w:p w:rsidR="00411C46" w:rsidRDefault="00411C46">
      <w:pPr>
        <w:pStyle w:val="TOC2"/>
        <w:rPr>
          <w:rFonts w:asciiTheme="minorHAnsi" w:eastAsiaTheme="minorEastAsia" w:hAnsiTheme="minorHAnsi" w:cstheme="minorBidi"/>
          <w:b w:val="0"/>
          <w:noProof/>
          <w:kern w:val="0"/>
          <w:sz w:val="22"/>
          <w:szCs w:val="22"/>
        </w:rPr>
      </w:pPr>
      <w:r>
        <w:rPr>
          <w:noProof/>
        </w:rPr>
        <w:t>Part 3—Valuation parameters</w:t>
      </w:r>
      <w:r w:rsidRPr="00411C46">
        <w:rPr>
          <w:b w:val="0"/>
          <w:noProof/>
          <w:sz w:val="18"/>
        </w:rPr>
        <w:tab/>
      </w:r>
      <w:r w:rsidRPr="00411C46">
        <w:rPr>
          <w:b w:val="0"/>
          <w:noProof/>
          <w:sz w:val="18"/>
        </w:rPr>
        <w:fldChar w:fldCharType="begin"/>
      </w:r>
      <w:r w:rsidRPr="00411C46">
        <w:rPr>
          <w:b w:val="0"/>
          <w:noProof/>
          <w:sz w:val="18"/>
        </w:rPr>
        <w:instrText xml:space="preserve"> PAGEREF _Toc49765377 \h </w:instrText>
      </w:r>
      <w:r w:rsidRPr="00411C46">
        <w:rPr>
          <w:b w:val="0"/>
          <w:noProof/>
          <w:sz w:val="18"/>
        </w:rPr>
      </w:r>
      <w:r w:rsidRPr="00411C46">
        <w:rPr>
          <w:b w:val="0"/>
          <w:noProof/>
          <w:sz w:val="18"/>
        </w:rPr>
        <w:fldChar w:fldCharType="separate"/>
      </w:r>
      <w:r w:rsidR="00F54F75">
        <w:rPr>
          <w:b w:val="0"/>
          <w:noProof/>
          <w:sz w:val="18"/>
        </w:rPr>
        <w:t>94</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3.1</w:t>
      </w:r>
      <w:r>
        <w:rPr>
          <w:noProof/>
        </w:rPr>
        <w:tab/>
        <w:t>Application of economic, decrement and other parameters</w:t>
      </w:r>
      <w:r w:rsidRPr="00411C46">
        <w:rPr>
          <w:noProof/>
        </w:rPr>
        <w:tab/>
      </w:r>
      <w:r w:rsidRPr="00411C46">
        <w:rPr>
          <w:noProof/>
        </w:rPr>
        <w:fldChar w:fldCharType="begin"/>
      </w:r>
      <w:r w:rsidRPr="00411C46">
        <w:rPr>
          <w:noProof/>
        </w:rPr>
        <w:instrText xml:space="preserve"> PAGEREF _Toc49765378 \h </w:instrText>
      </w:r>
      <w:r w:rsidRPr="00411C46">
        <w:rPr>
          <w:noProof/>
        </w:rPr>
      </w:r>
      <w:r w:rsidRPr="00411C46">
        <w:rPr>
          <w:noProof/>
        </w:rPr>
        <w:fldChar w:fldCharType="separate"/>
      </w:r>
      <w:r w:rsidR="00F54F75">
        <w:rPr>
          <w:noProof/>
        </w:rPr>
        <w:t>94</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3.2</w:t>
      </w:r>
      <w:r>
        <w:rPr>
          <w:noProof/>
        </w:rPr>
        <w:tab/>
        <w:t>Discount rate</w:t>
      </w:r>
      <w:r w:rsidRPr="00411C46">
        <w:rPr>
          <w:noProof/>
        </w:rPr>
        <w:tab/>
      </w:r>
      <w:r w:rsidRPr="00411C46">
        <w:rPr>
          <w:noProof/>
        </w:rPr>
        <w:fldChar w:fldCharType="begin"/>
      </w:r>
      <w:r w:rsidRPr="00411C46">
        <w:rPr>
          <w:noProof/>
        </w:rPr>
        <w:instrText xml:space="preserve"> PAGEREF _Toc49765379 \h </w:instrText>
      </w:r>
      <w:r w:rsidRPr="00411C46">
        <w:rPr>
          <w:noProof/>
        </w:rPr>
      </w:r>
      <w:r w:rsidRPr="00411C46">
        <w:rPr>
          <w:noProof/>
        </w:rPr>
        <w:fldChar w:fldCharType="separate"/>
      </w:r>
      <w:r w:rsidR="00F54F75">
        <w:rPr>
          <w:noProof/>
        </w:rPr>
        <w:t>94</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3.3</w:t>
      </w:r>
      <w:r>
        <w:rPr>
          <w:noProof/>
        </w:rPr>
        <w:tab/>
        <w:t>Fund earning rate and crediting rate</w:t>
      </w:r>
      <w:r w:rsidRPr="00411C46">
        <w:rPr>
          <w:noProof/>
        </w:rPr>
        <w:tab/>
      </w:r>
      <w:r w:rsidRPr="00411C46">
        <w:rPr>
          <w:noProof/>
        </w:rPr>
        <w:fldChar w:fldCharType="begin"/>
      </w:r>
      <w:r w:rsidRPr="00411C46">
        <w:rPr>
          <w:noProof/>
        </w:rPr>
        <w:instrText xml:space="preserve"> PAGEREF _Toc49765380 \h </w:instrText>
      </w:r>
      <w:r w:rsidRPr="00411C46">
        <w:rPr>
          <w:noProof/>
        </w:rPr>
      </w:r>
      <w:r w:rsidRPr="00411C46">
        <w:rPr>
          <w:noProof/>
        </w:rPr>
        <w:fldChar w:fldCharType="separate"/>
      </w:r>
      <w:r w:rsidR="00F54F75">
        <w:rPr>
          <w:noProof/>
        </w:rPr>
        <w:t>94</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3.4</w:t>
      </w:r>
      <w:r>
        <w:rPr>
          <w:noProof/>
        </w:rPr>
        <w:tab/>
        <w:t>Rate of future salary or wages growth</w:t>
      </w:r>
      <w:r w:rsidRPr="00411C46">
        <w:rPr>
          <w:noProof/>
        </w:rPr>
        <w:tab/>
      </w:r>
      <w:r w:rsidRPr="00411C46">
        <w:rPr>
          <w:noProof/>
        </w:rPr>
        <w:fldChar w:fldCharType="begin"/>
      </w:r>
      <w:r w:rsidRPr="00411C46">
        <w:rPr>
          <w:noProof/>
        </w:rPr>
        <w:instrText xml:space="preserve"> PAGEREF _Toc49765381 \h </w:instrText>
      </w:r>
      <w:r w:rsidRPr="00411C46">
        <w:rPr>
          <w:noProof/>
        </w:rPr>
      </w:r>
      <w:r w:rsidRPr="00411C46">
        <w:rPr>
          <w:noProof/>
        </w:rPr>
        <w:fldChar w:fldCharType="separate"/>
      </w:r>
      <w:r w:rsidR="00F54F75">
        <w:rPr>
          <w:noProof/>
        </w:rPr>
        <w:t>94</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3.5</w:t>
      </w:r>
      <w:r>
        <w:rPr>
          <w:noProof/>
        </w:rPr>
        <w:tab/>
        <w:t>Rate of increase in price indices</w:t>
      </w:r>
      <w:r w:rsidRPr="00411C46">
        <w:rPr>
          <w:noProof/>
        </w:rPr>
        <w:tab/>
      </w:r>
      <w:r w:rsidRPr="00411C46">
        <w:rPr>
          <w:noProof/>
        </w:rPr>
        <w:fldChar w:fldCharType="begin"/>
      </w:r>
      <w:r w:rsidRPr="00411C46">
        <w:rPr>
          <w:noProof/>
        </w:rPr>
        <w:instrText xml:space="preserve"> PAGEREF _Toc49765382 \h </w:instrText>
      </w:r>
      <w:r w:rsidRPr="00411C46">
        <w:rPr>
          <w:noProof/>
        </w:rPr>
      </w:r>
      <w:r w:rsidRPr="00411C46">
        <w:rPr>
          <w:noProof/>
        </w:rPr>
        <w:fldChar w:fldCharType="separate"/>
      </w:r>
      <w:r w:rsidR="00F54F75">
        <w:rPr>
          <w:noProof/>
        </w:rPr>
        <w:t>94</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3.6</w:t>
      </w:r>
      <w:r>
        <w:rPr>
          <w:noProof/>
        </w:rPr>
        <w:tab/>
        <w:t>New entrant age</w:t>
      </w:r>
      <w:r w:rsidRPr="00411C46">
        <w:rPr>
          <w:noProof/>
        </w:rPr>
        <w:tab/>
      </w:r>
      <w:r w:rsidRPr="00411C46">
        <w:rPr>
          <w:noProof/>
        </w:rPr>
        <w:fldChar w:fldCharType="begin"/>
      </w:r>
      <w:r w:rsidRPr="00411C46">
        <w:rPr>
          <w:noProof/>
        </w:rPr>
        <w:instrText xml:space="preserve"> PAGEREF _Toc49765383 \h </w:instrText>
      </w:r>
      <w:r w:rsidRPr="00411C46">
        <w:rPr>
          <w:noProof/>
        </w:rPr>
      </w:r>
      <w:r w:rsidRPr="00411C46">
        <w:rPr>
          <w:noProof/>
        </w:rPr>
        <w:fldChar w:fldCharType="separate"/>
      </w:r>
      <w:r w:rsidR="00F54F75">
        <w:rPr>
          <w:noProof/>
        </w:rPr>
        <w:t>94</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3.7</w:t>
      </w:r>
      <w:r>
        <w:rPr>
          <w:noProof/>
        </w:rPr>
        <w:tab/>
        <w:t>Exit rates</w:t>
      </w:r>
      <w:r w:rsidRPr="00411C46">
        <w:rPr>
          <w:noProof/>
        </w:rPr>
        <w:tab/>
      </w:r>
      <w:r w:rsidRPr="00411C46">
        <w:rPr>
          <w:noProof/>
        </w:rPr>
        <w:fldChar w:fldCharType="begin"/>
      </w:r>
      <w:r w:rsidRPr="00411C46">
        <w:rPr>
          <w:noProof/>
        </w:rPr>
        <w:instrText xml:space="preserve"> PAGEREF _Toc49765384 \h </w:instrText>
      </w:r>
      <w:r w:rsidRPr="00411C46">
        <w:rPr>
          <w:noProof/>
        </w:rPr>
      </w:r>
      <w:r w:rsidRPr="00411C46">
        <w:rPr>
          <w:noProof/>
        </w:rPr>
        <w:fldChar w:fldCharType="separate"/>
      </w:r>
      <w:r w:rsidR="00F54F75">
        <w:rPr>
          <w:noProof/>
        </w:rPr>
        <w:t>95</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3.8</w:t>
      </w:r>
      <w:r>
        <w:rPr>
          <w:noProof/>
        </w:rPr>
        <w:tab/>
        <w:t>Pensions</w:t>
      </w:r>
      <w:r w:rsidRPr="00411C46">
        <w:rPr>
          <w:noProof/>
        </w:rPr>
        <w:tab/>
      </w:r>
      <w:r w:rsidRPr="00411C46">
        <w:rPr>
          <w:noProof/>
        </w:rPr>
        <w:fldChar w:fldCharType="begin"/>
      </w:r>
      <w:r w:rsidRPr="00411C46">
        <w:rPr>
          <w:noProof/>
        </w:rPr>
        <w:instrText xml:space="preserve"> PAGEREF _Toc49765385 \h </w:instrText>
      </w:r>
      <w:r w:rsidRPr="00411C46">
        <w:rPr>
          <w:noProof/>
        </w:rPr>
      </w:r>
      <w:r w:rsidRPr="00411C46">
        <w:rPr>
          <w:noProof/>
        </w:rPr>
        <w:fldChar w:fldCharType="separate"/>
      </w:r>
      <w:r w:rsidR="00F54F75">
        <w:rPr>
          <w:noProof/>
        </w:rPr>
        <w:t>96</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3.9</w:t>
      </w:r>
      <w:r>
        <w:rPr>
          <w:noProof/>
        </w:rPr>
        <w:tab/>
        <w:t>Mortality of pensioners</w:t>
      </w:r>
      <w:r w:rsidRPr="00411C46">
        <w:rPr>
          <w:noProof/>
        </w:rPr>
        <w:tab/>
      </w:r>
      <w:r w:rsidRPr="00411C46">
        <w:rPr>
          <w:noProof/>
        </w:rPr>
        <w:fldChar w:fldCharType="begin"/>
      </w:r>
      <w:r w:rsidRPr="00411C46">
        <w:rPr>
          <w:noProof/>
        </w:rPr>
        <w:instrText xml:space="preserve"> PAGEREF _Toc49765386 \h </w:instrText>
      </w:r>
      <w:r w:rsidRPr="00411C46">
        <w:rPr>
          <w:noProof/>
        </w:rPr>
      </w:r>
      <w:r w:rsidRPr="00411C46">
        <w:rPr>
          <w:noProof/>
        </w:rPr>
        <w:fldChar w:fldCharType="separate"/>
      </w:r>
      <w:r w:rsidR="00F54F75">
        <w:rPr>
          <w:noProof/>
        </w:rPr>
        <w:t>96</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3.10</w:t>
      </w:r>
      <w:r>
        <w:rPr>
          <w:noProof/>
        </w:rPr>
        <w:tab/>
        <w:t>Taxed and untaxed benefits</w:t>
      </w:r>
      <w:r w:rsidRPr="00411C46">
        <w:rPr>
          <w:noProof/>
        </w:rPr>
        <w:tab/>
      </w:r>
      <w:r w:rsidRPr="00411C46">
        <w:rPr>
          <w:noProof/>
        </w:rPr>
        <w:fldChar w:fldCharType="begin"/>
      </w:r>
      <w:r w:rsidRPr="00411C46">
        <w:rPr>
          <w:noProof/>
        </w:rPr>
        <w:instrText xml:space="preserve"> PAGEREF _Toc49765387 \h </w:instrText>
      </w:r>
      <w:r w:rsidRPr="00411C46">
        <w:rPr>
          <w:noProof/>
        </w:rPr>
      </w:r>
      <w:r w:rsidRPr="00411C46">
        <w:rPr>
          <w:noProof/>
        </w:rPr>
        <w:fldChar w:fldCharType="separate"/>
      </w:r>
      <w:r w:rsidR="00F54F75">
        <w:rPr>
          <w:noProof/>
        </w:rPr>
        <w:t>97</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3.11</w:t>
      </w:r>
      <w:r>
        <w:rPr>
          <w:noProof/>
        </w:rPr>
        <w:tab/>
        <w:t>Other assumptions to be set by the actuary</w:t>
      </w:r>
      <w:r w:rsidRPr="00411C46">
        <w:rPr>
          <w:noProof/>
        </w:rPr>
        <w:tab/>
      </w:r>
      <w:r w:rsidRPr="00411C46">
        <w:rPr>
          <w:noProof/>
        </w:rPr>
        <w:fldChar w:fldCharType="begin"/>
      </w:r>
      <w:r w:rsidRPr="00411C46">
        <w:rPr>
          <w:noProof/>
        </w:rPr>
        <w:instrText xml:space="preserve"> PAGEREF _Toc49765388 \h </w:instrText>
      </w:r>
      <w:r w:rsidRPr="00411C46">
        <w:rPr>
          <w:noProof/>
        </w:rPr>
      </w:r>
      <w:r w:rsidRPr="00411C46">
        <w:rPr>
          <w:noProof/>
        </w:rPr>
        <w:fldChar w:fldCharType="separate"/>
      </w:r>
      <w:r w:rsidR="00F54F75">
        <w:rPr>
          <w:noProof/>
        </w:rPr>
        <w:t>97</w:t>
      </w:r>
      <w:r w:rsidRPr="00411C46">
        <w:rPr>
          <w:noProof/>
        </w:rPr>
        <w:fldChar w:fldCharType="end"/>
      </w:r>
    </w:p>
    <w:p w:rsidR="00411C46" w:rsidRDefault="00411C46">
      <w:pPr>
        <w:pStyle w:val="TOC2"/>
        <w:rPr>
          <w:rFonts w:asciiTheme="minorHAnsi" w:eastAsiaTheme="minorEastAsia" w:hAnsiTheme="minorHAnsi" w:cstheme="minorBidi"/>
          <w:b w:val="0"/>
          <w:noProof/>
          <w:kern w:val="0"/>
          <w:sz w:val="22"/>
          <w:szCs w:val="22"/>
        </w:rPr>
      </w:pPr>
      <w:r>
        <w:rPr>
          <w:noProof/>
        </w:rPr>
        <w:t>Part 4—Exercise of discretion to pay a benefit greater than the benefit assumed in calculating the new entrant rate</w:t>
      </w:r>
      <w:r w:rsidRPr="00411C46">
        <w:rPr>
          <w:b w:val="0"/>
          <w:noProof/>
          <w:sz w:val="18"/>
        </w:rPr>
        <w:tab/>
      </w:r>
      <w:r w:rsidRPr="00411C46">
        <w:rPr>
          <w:b w:val="0"/>
          <w:noProof/>
          <w:sz w:val="18"/>
        </w:rPr>
        <w:fldChar w:fldCharType="begin"/>
      </w:r>
      <w:r w:rsidRPr="00411C46">
        <w:rPr>
          <w:b w:val="0"/>
          <w:noProof/>
          <w:sz w:val="18"/>
        </w:rPr>
        <w:instrText xml:space="preserve"> PAGEREF _Toc49765389 \h </w:instrText>
      </w:r>
      <w:r w:rsidRPr="00411C46">
        <w:rPr>
          <w:b w:val="0"/>
          <w:noProof/>
          <w:sz w:val="18"/>
        </w:rPr>
      </w:r>
      <w:r w:rsidRPr="00411C46">
        <w:rPr>
          <w:b w:val="0"/>
          <w:noProof/>
          <w:sz w:val="18"/>
        </w:rPr>
        <w:fldChar w:fldCharType="separate"/>
      </w:r>
      <w:r w:rsidR="00F54F75">
        <w:rPr>
          <w:b w:val="0"/>
          <w:noProof/>
          <w:sz w:val="18"/>
        </w:rPr>
        <w:t>99</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4.1</w:t>
      </w:r>
      <w:r>
        <w:rPr>
          <w:noProof/>
        </w:rPr>
        <w:tab/>
        <w:t>Method of working out the increased exit benefit adjustment amount in the formula in clause 1.8</w:t>
      </w:r>
      <w:r w:rsidRPr="00411C46">
        <w:rPr>
          <w:noProof/>
        </w:rPr>
        <w:tab/>
      </w:r>
      <w:r w:rsidRPr="00411C46">
        <w:rPr>
          <w:noProof/>
        </w:rPr>
        <w:fldChar w:fldCharType="begin"/>
      </w:r>
      <w:r w:rsidRPr="00411C46">
        <w:rPr>
          <w:noProof/>
        </w:rPr>
        <w:instrText xml:space="preserve"> PAGEREF _Toc49765390 \h </w:instrText>
      </w:r>
      <w:r w:rsidRPr="00411C46">
        <w:rPr>
          <w:noProof/>
        </w:rPr>
      </w:r>
      <w:r w:rsidRPr="00411C46">
        <w:rPr>
          <w:noProof/>
        </w:rPr>
        <w:fldChar w:fldCharType="separate"/>
      </w:r>
      <w:r w:rsidR="00F54F75">
        <w:rPr>
          <w:noProof/>
        </w:rPr>
        <w:t>99</w:t>
      </w:r>
      <w:r w:rsidRPr="00411C46">
        <w:rPr>
          <w:noProof/>
        </w:rPr>
        <w:fldChar w:fldCharType="end"/>
      </w:r>
    </w:p>
    <w:p w:rsidR="00411C46" w:rsidRDefault="00411C46">
      <w:pPr>
        <w:pStyle w:val="TOC2"/>
        <w:rPr>
          <w:rFonts w:asciiTheme="minorHAnsi" w:eastAsiaTheme="minorEastAsia" w:hAnsiTheme="minorHAnsi" w:cstheme="minorBidi"/>
          <w:b w:val="0"/>
          <w:noProof/>
          <w:kern w:val="0"/>
          <w:sz w:val="22"/>
          <w:szCs w:val="22"/>
        </w:rPr>
      </w:pPr>
      <w:r>
        <w:rPr>
          <w:noProof/>
        </w:rPr>
        <w:t>Part 5—Member has changed benefit category</w:t>
      </w:r>
      <w:r w:rsidRPr="00411C46">
        <w:rPr>
          <w:b w:val="0"/>
          <w:noProof/>
          <w:sz w:val="18"/>
        </w:rPr>
        <w:tab/>
      </w:r>
      <w:r w:rsidRPr="00411C46">
        <w:rPr>
          <w:b w:val="0"/>
          <w:noProof/>
          <w:sz w:val="18"/>
        </w:rPr>
        <w:fldChar w:fldCharType="begin"/>
      </w:r>
      <w:r w:rsidRPr="00411C46">
        <w:rPr>
          <w:b w:val="0"/>
          <w:noProof/>
          <w:sz w:val="18"/>
        </w:rPr>
        <w:instrText xml:space="preserve"> PAGEREF _Toc49765391 \h </w:instrText>
      </w:r>
      <w:r w:rsidRPr="00411C46">
        <w:rPr>
          <w:b w:val="0"/>
          <w:noProof/>
          <w:sz w:val="18"/>
        </w:rPr>
      </w:r>
      <w:r w:rsidRPr="00411C46">
        <w:rPr>
          <w:b w:val="0"/>
          <w:noProof/>
          <w:sz w:val="18"/>
        </w:rPr>
        <w:fldChar w:fldCharType="separate"/>
      </w:r>
      <w:r w:rsidR="00F54F75">
        <w:rPr>
          <w:b w:val="0"/>
          <w:noProof/>
          <w:sz w:val="18"/>
        </w:rPr>
        <w:t>100</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5.1</w:t>
      </w:r>
      <w:r>
        <w:rPr>
          <w:noProof/>
        </w:rPr>
        <w:tab/>
        <w:t>Method of working out the</w:t>
      </w:r>
      <w:r w:rsidRPr="00DC60FC">
        <w:rPr>
          <w:noProof/>
          <w:color w:val="000000"/>
        </w:rPr>
        <w:t xml:space="preserve"> </w:t>
      </w:r>
      <w:r>
        <w:rPr>
          <w:noProof/>
        </w:rPr>
        <w:t>category change or discretion adjustment amount in the formula in clause 1.8</w:t>
      </w:r>
      <w:r w:rsidRPr="00411C46">
        <w:rPr>
          <w:noProof/>
        </w:rPr>
        <w:tab/>
      </w:r>
      <w:r w:rsidRPr="00411C46">
        <w:rPr>
          <w:noProof/>
        </w:rPr>
        <w:fldChar w:fldCharType="begin"/>
      </w:r>
      <w:r w:rsidRPr="00411C46">
        <w:rPr>
          <w:noProof/>
        </w:rPr>
        <w:instrText xml:space="preserve"> PAGEREF _Toc49765392 \h </w:instrText>
      </w:r>
      <w:r w:rsidRPr="00411C46">
        <w:rPr>
          <w:noProof/>
        </w:rPr>
      </w:r>
      <w:r w:rsidRPr="00411C46">
        <w:rPr>
          <w:noProof/>
        </w:rPr>
        <w:fldChar w:fldCharType="separate"/>
      </w:r>
      <w:r w:rsidR="00F54F75">
        <w:rPr>
          <w:noProof/>
        </w:rPr>
        <w:t>100</w:t>
      </w:r>
      <w:r w:rsidRPr="00411C46">
        <w:rPr>
          <w:noProof/>
        </w:rPr>
        <w:fldChar w:fldCharType="end"/>
      </w:r>
    </w:p>
    <w:p w:rsidR="00411C46" w:rsidRDefault="00411C46">
      <w:pPr>
        <w:pStyle w:val="TOC2"/>
        <w:rPr>
          <w:rFonts w:asciiTheme="minorHAnsi" w:eastAsiaTheme="minorEastAsia" w:hAnsiTheme="minorHAnsi" w:cstheme="minorBidi"/>
          <w:b w:val="0"/>
          <w:noProof/>
          <w:kern w:val="0"/>
          <w:sz w:val="22"/>
          <w:szCs w:val="22"/>
        </w:rPr>
      </w:pPr>
      <w:r>
        <w:rPr>
          <w:noProof/>
        </w:rPr>
        <w:lastRenderedPageBreak/>
        <w:t>Part 6—Governing rules have changed</w:t>
      </w:r>
      <w:r w:rsidRPr="00411C46">
        <w:rPr>
          <w:b w:val="0"/>
          <w:noProof/>
          <w:sz w:val="18"/>
        </w:rPr>
        <w:tab/>
      </w:r>
      <w:r w:rsidRPr="00411C46">
        <w:rPr>
          <w:b w:val="0"/>
          <w:noProof/>
          <w:sz w:val="18"/>
        </w:rPr>
        <w:fldChar w:fldCharType="begin"/>
      </w:r>
      <w:r w:rsidRPr="00411C46">
        <w:rPr>
          <w:b w:val="0"/>
          <w:noProof/>
          <w:sz w:val="18"/>
        </w:rPr>
        <w:instrText xml:space="preserve"> PAGEREF _Toc49765393 \h </w:instrText>
      </w:r>
      <w:r w:rsidRPr="00411C46">
        <w:rPr>
          <w:b w:val="0"/>
          <w:noProof/>
          <w:sz w:val="18"/>
        </w:rPr>
      </w:r>
      <w:r w:rsidRPr="00411C46">
        <w:rPr>
          <w:b w:val="0"/>
          <w:noProof/>
          <w:sz w:val="18"/>
        </w:rPr>
        <w:fldChar w:fldCharType="separate"/>
      </w:r>
      <w:r w:rsidR="00F54F75">
        <w:rPr>
          <w:b w:val="0"/>
          <w:noProof/>
          <w:sz w:val="18"/>
        </w:rPr>
        <w:t>101</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6.1</w:t>
      </w:r>
      <w:r>
        <w:rPr>
          <w:noProof/>
        </w:rPr>
        <w:tab/>
        <w:t>Method of working out governing rules change adjustment amount in the formula in clause 1.8</w:t>
      </w:r>
      <w:r w:rsidRPr="00411C46">
        <w:rPr>
          <w:noProof/>
        </w:rPr>
        <w:tab/>
      </w:r>
      <w:r w:rsidRPr="00411C46">
        <w:rPr>
          <w:noProof/>
        </w:rPr>
        <w:fldChar w:fldCharType="begin"/>
      </w:r>
      <w:r w:rsidRPr="00411C46">
        <w:rPr>
          <w:noProof/>
        </w:rPr>
        <w:instrText xml:space="preserve"> PAGEREF _Toc49765394 \h </w:instrText>
      </w:r>
      <w:r w:rsidRPr="00411C46">
        <w:rPr>
          <w:noProof/>
        </w:rPr>
      </w:r>
      <w:r w:rsidRPr="00411C46">
        <w:rPr>
          <w:noProof/>
        </w:rPr>
        <w:fldChar w:fldCharType="separate"/>
      </w:r>
      <w:r w:rsidR="00F54F75">
        <w:rPr>
          <w:noProof/>
        </w:rPr>
        <w:t>101</w:t>
      </w:r>
      <w:r w:rsidRPr="00411C46">
        <w:rPr>
          <w:noProof/>
        </w:rPr>
        <w:fldChar w:fldCharType="end"/>
      </w:r>
    </w:p>
    <w:p w:rsidR="00411C46" w:rsidRDefault="00411C46">
      <w:pPr>
        <w:pStyle w:val="TOC2"/>
        <w:rPr>
          <w:rFonts w:asciiTheme="minorHAnsi" w:eastAsiaTheme="minorEastAsia" w:hAnsiTheme="minorHAnsi" w:cstheme="minorBidi"/>
          <w:b w:val="0"/>
          <w:noProof/>
          <w:kern w:val="0"/>
          <w:sz w:val="22"/>
          <w:szCs w:val="22"/>
        </w:rPr>
      </w:pPr>
      <w:r>
        <w:rPr>
          <w:noProof/>
        </w:rPr>
        <w:t>Part 7—Non</w:t>
      </w:r>
      <w:r>
        <w:rPr>
          <w:noProof/>
        </w:rPr>
        <w:noBreakHyphen/>
        <w:t>arm’s length increase in superannuation salary</w:t>
      </w:r>
      <w:r w:rsidRPr="00411C46">
        <w:rPr>
          <w:b w:val="0"/>
          <w:noProof/>
          <w:sz w:val="18"/>
        </w:rPr>
        <w:tab/>
      </w:r>
      <w:r w:rsidRPr="00411C46">
        <w:rPr>
          <w:b w:val="0"/>
          <w:noProof/>
          <w:sz w:val="18"/>
        </w:rPr>
        <w:fldChar w:fldCharType="begin"/>
      </w:r>
      <w:r w:rsidRPr="00411C46">
        <w:rPr>
          <w:b w:val="0"/>
          <w:noProof/>
          <w:sz w:val="18"/>
        </w:rPr>
        <w:instrText xml:space="preserve"> PAGEREF _Toc49765395 \h </w:instrText>
      </w:r>
      <w:r w:rsidRPr="00411C46">
        <w:rPr>
          <w:b w:val="0"/>
          <w:noProof/>
          <w:sz w:val="18"/>
        </w:rPr>
      </w:r>
      <w:r w:rsidRPr="00411C46">
        <w:rPr>
          <w:b w:val="0"/>
          <w:noProof/>
          <w:sz w:val="18"/>
        </w:rPr>
        <w:fldChar w:fldCharType="separate"/>
      </w:r>
      <w:r w:rsidR="00F54F75">
        <w:rPr>
          <w:b w:val="0"/>
          <w:noProof/>
          <w:sz w:val="18"/>
        </w:rPr>
        <w:t>102</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7.1</w:t>
      </w:r>
      <w:r>
        <w:rPr>
          <w:noProof/>
        </w:rPr>
        <w:tab/>
        <w:t>Method of working out the increased superannuation salary adjustment amount</w:t>
      </w:r>
      <w:r w:rsidRPr="00DC60FC">
        <w:rPr>
          <w:i/>
          <w:noProof/>
        </w:rPr>
        <w:t xml:space="preserve"> </w:t>
      </w:r>
      <w:r>
        <w:rPr>
          <w:noProof/>
        </w:rPr>
        <w:t>in the formula in clause 1.8</w:t>
      </w:r>
      <w:r w:rsidRPr="00411C46">
        <w:rPr>
          <w:noProof/>
        </w:rPr>
        <w:tab/>
      </w:r>
      <w:r w:rsidRPr="00411C46">
        <w:rPr>
          <w:noProof/>
        </w:rPr>
        <w:fldChar w:fldCharType="begin"/>
      </w:r>
      <w:r w:rsidRPr="00411C46">
        <w:rPr>
          <w:noProof/>
        </w:rPr>
        <w:instrText xml:space="preserve"> PAGEREF _Toc49765396 \h </w:instrText>
      </w:r>
      <w:r w:rsidRPr="00411C46">
        <w:rPr>
          <w:noProof/>
        </w:rPr>
      </w:r>
      <w:r w:rsidRPr="00411C46">
        <w:rPr>
          <w:noProof/>
        </w:rPr>
        <w:fldChar w:fldCharType="separate"/>
      </w:r>
      <w:r w:rsidR="00F54F75">
        <w:rPr>
          <w:noProof/>
        </w:rPr>
        <w:t>102</w:t>
      </w:r>
      <w:r w:rsidRPr="00411C46">
        <w:rPr>
          <w:noProof/>
        </w:rPr>
        <w:fldChar w:fldCharType="end"/>
      </w:r>
    </w:p>
    <w:p w:rsidR="00411C46" w:rsidRDefault="00411C46">
      <w:pPr>
        <w:pStyle w:val="TOC1"/>
        <w:rPr>
          <w:rFonts w:asciiTheme="minorHAnsi" w:eastAsiaTheme="minorEastAsia" w:hAnsiTheme="minorHAnsi" w:cstheme="minorBidi"/>
          <w:b w:val="0"/>
          <w:noProof/>
          <w:kern w:val="0"/>
          <w:sz w:val="22"/>
          <w:szCs w:val="22"/>
        </w:rPr>
      </w:pPr>
      <w:r>
        <w:rPr>
          <w:noProof/>
        </w:rPr>
        <w:t>Schedule 1AA—Working out defined benefit contributions</w:t>
      </w:r>
      <w:r w:rsidRPr="00411C46">
        <w:rPr>
          <w:b w:val="0"/>
          <w:noProof/>
          <w:sz w:val="18"/>
        </w:rPr>
        <w:tab/>
      </w:r>
      <w:r w:rsidRPr="00411C46">
        <w:rPr>
          <w:b w:val="0"/>
          <w:noProof/>
          <w:sz w:val="18"/>
        </w:rPr>
        <w:fldChar w:fldCharType="begin"/>
      </w:r>
      <w:r w:rsidRPr="00411C46">
        <w:rPr>
          <w:b w:val="0"/>
          <w:noProof/>
          <w:sz w:val="18"/>
        </w:rPr>
        <w:instrText xml:space="preserve"> PAGEREF _Toc49765397 \h </w:instrText>
      </w:r>
      <w:r w:rsidRPr="00411C46">
        <w:rPr>
          <w:b w:val="0"/>
          <w:noProof/>
          <w:sz w:val="18"/>
        </w:rPr>
      </w:r>
      <w:r w:rsidRPr="00411C46">
        <w:rPr>
          <w:b w:val="0"/>
          <w:noProof/>
          <w:sz w:val="18"/>
        </w:rPr>
        <w:fldChar w:fldCharType="separate"/>
      </w:r>
      <w:r w:rsidR="00F54F75">
        <w:rPr>
          <w:b w:val="0"/>
          <w:noProof/>
          <w:sz w:val="18"/>
        </w:rPr>
        <w:t>103</w:t>
      </w:r>
      <w:r w:rsidRPr="00411C46">
        <w:rPr>
          <w:b w:val="0"/>
          <w:noProof/>
          <w:sz w:val="18"/>
        </w:rPr>
        <w:fldChar w:fldCharType="end"/>
      </w:r>
    </w:p>
    <w:p w:rsidR="00411C46" w:rsidRDefault="00411C46">
      <w:pPr>
        <w:pStyle w:val="TOC2"/>
        <w:rPr>
          <w:rFonts w:asciiTheme="minorHAnsi" w:eastAsiaTheme="minorEastAsia" w:hAnsiTheme="minorHAnsi" w:cstheme="minorBidi"/>
          <w:b w:val="0"/>
          <w:noProof/>
          <w:kern w:val="0"/>
          <w:sz w:val="22"/>
          <w:szCs w:val="22"/>
        </w:rPr>
      </w:pPr>
      <w:r>
        <w:rPr>
          <w:noProof/>
        </w:rPr>
        <w:t>Part 1—Preliminary</w:t>
      </w:r>
      <w:r w:rsidRPr="00411C46">
        <w:rPr>
          <w:b w:val="0"/>
          <w:noProof/>
          <w:sz w:val="18"/>
        </w:rPr>
        <w:tab/>
      </w:r>
      <w:r w:rsidRPr="00411C46">
        <w:rPr>
          <w:b w:val="0"/>
          <w:noProof/>
          <w:sz w:val="18"/>
        </w:rPr>
        <w:fldChar w:fldCharType="begin"/>
      </w:r>
      <w:r w:rsidRPr="00411C46">
        <w:rPr>
          <w:b w:val="0"/>
          <w:noProof/>
          <w:sz w:val="18"/>
        </w:rPr>
        <w:instrText xml:space="preserve"> PAGEREF _Toc49765398 \h </w:instrText>
      </w:r>
      <w:r w:rsidRPr="00411C46">
        <w:rPr>
          <w:b w:val="0"/>
          <w:noProof/>
          <w:sz w:val="18"/>
        </w:rPr>
      </w:r>
      <w:r w:rsidRPr="00411C46">
        <w:rPr>
          <w:b w:val="0"/>
          <w:noProof/>
          <w:sz w:val="18"/>
        </w:rPr>
        <w:fldChar w:fldCharType="separate"/>
      </w:r>
      <w:r w:rsidR="00F54F75">
        <w:rPr>
          <w:b w:val="0"/>
          <w:noProof/>
          <w:sz w:val="18"/>
        </w:rPr>
        <w:t>103</w:t>
      </w:r>
      <w:r w:rsidRPr="00411C46">
        <w:rPr>
          <w:b w:val="0"/>
          <w:noProof/>
          <w:sz w:val="18"/>
        </w:rPr>
        <w:fldChar w:fldCharType="end"/>
      </w:r>
    </w:p>
    <w:p w:rsidR="00411C46" w:rsidRDefault="00411C46">
      <w:pPr>
        <w:pStyle w:val="TOC3"/>
        <w:rPr>
          <w:rFonts w:asciiTheme="minorHAnsi" w:eastAsiaTheme="minorEastAsia" w:hAnsiTheme="minorHAnsi" w:cstheme="minorBidi"/>
          <w:b w:val="0"/>
          <w:noProof/>
          <w:kern w:val="0"/>
          <w:szCs w:val="22"/>
        </w:rPr>
      </w:pPr>
      <w:r>
        <w:rPr>
          <w:noProof/>
        </w:rPr>
        <w:t>Division 1—Definitions</w:t>
      </w:r>
      <w:r w:rsidRPr="00411C46">
        <w:rPr>
          <w:b w:val="0"/>
          <w:noProof/>
          <w:sz w:val="18"/>
        </w:rPr>
        <w:tab/>
      </w:r>
      <w:r w:rsidRPr="00411C46">
        <w:rPr>
          <w:b w:val="0"/>
          <w:noProof/>
          <w:sz w:val="18"/>
        </w:rPr>
        <w:fldChar w:fldCharType="begin"/>
      </w:r>
      <w:r w:rsidRPr="00411C46">
        <w:rPr>
          <w:b w:val="0"/>
          <w:noProof/>
          <w:sz w:val="18"/>
        </w:rPr>
        <w:instrText xml:space="preserve"> PAGEREF _Toc49765399 \h </w:instrText>
      </w:r>
      <w:r w:rsidRPr="00411C46">
        <w:rPr>
          <w:b w:val="0"/>
          <w:noProof/>
          <w:sz w:val="18"/>
        </w:rPr>
      </w:r>
      <w:r w:rsidRPr="00411C46">
        <w:rPr>
          <w:b w:val="0"/>
          <w:noProof/>
          <w:sz w:val="18"/>
        </w:rPr>
        <w:fldChar w:fldCharType="separate"/>
      </w:r>
      <w:r w:rsidR="00F54F75">
        <w:rPr>
          <w:b w:val="0"/>
          <w:noProof/>
          <w:sz w:val="18"/>
        </w:rPr>
        <w:t>103</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1</w:t>
      </w:r>
      <w:r>
        <w:rPr>
          <w:noProof/>
        </w:rPr>
        <w:tab/>
        <w:t xml:space="preserve">Meaning of </w:t>
      </w:r>
      <w:r w:rsidRPr="00DC60FC">
        <w:rPr>
          <w:i/>
          <w:noProof/>
        </w:rPr>
        <w:t>accruing member</w:t>
      </w:r>
      <w:r w:rsidRPr="00411C46">
        <w:rPr>
          <w:noProof/>
        </w:rPr>
        <w:tab/>
      </w:r>
      <w:r w:rsidRPr="00411C46">
        <w:rPr>
          <w:noProof/>
        </w:rPr>
        <w:fldChar w:fldCharType="begin"/>
      </w:r>
      <w:r w:rsidRPr="00411C46">
        <w:rPr>
          <w:noProof/>
        </w:rPr>
        <w:instrText xml:space="preserve"> PAGEREF _Toc49765400 \h </w:instrText>
      </w:r>
      <w:r w:rsidRPr="00411C46">
        <w:rPr>
          <w:noProof/>
        </w:rPr>
      </w:r>
      <w:r w:rsidRPr="00411C46">
        <w:rPr>
          <w:noProof/>
        </w:rPr>
        <w:fldChar w:fldCharType="separate"/>
      </w:r>
      <w:r w:rsidR="00F54F75">
        <w:rPr>
          <w:noProof/>
        </w:rPr>
        <w:t>103</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2</w:t>
      </w:r>
      <w:r>
        <w:rPr>
          <w:noProof/>
        </w:rPr>
        <w:tab/>
        <w:t xml:space="preserve">Meaning of </w:t>
      </w:r>
      <w:r w:rsidRPr="00DC60FC">
        <w:rPr>
          <w:i/>
          <w:noProof/>
        </w:rPr>
        <w:t>benefit category</w:t>
      </w:r>
      <w:r w:rsidRPr="00411C46">
        <w:rPr>
          <w:noProof/>
        </w:rPr>
        <w:tab/>
      </w:r>
      <w:r w:rsidRPr="00411C46">
        <w:rPr>
          <w:noProof/>
        </w:rPr>
        <w:fldChar w:fldCharType="begin"/>
      </w:r>
      <w:r w:rsidRPr="00411C46">
        <w:rPr>
          <w:noProof/>
        </w:rPr>
        <w:instrText xml:space="preserve"> PAGEREF _Toc49765401 \h </w:instrText>
      </w:r>
      <w:r w:rsidRPr="00411C46">
        <w:rPr>
          <w:noProof/>
        </w:rPr>
      </w:r>
      <w:r w:rsidRPr="00411C46">
        <w:rPr>
          <w:noProof/>
        </w:rPr>
        <w:fldChar w:fldCharType="separate"/>
      </w:r>
      <w:r w:rsidR="00F54F75">
        <w:rPr>
          <w:noProof/>
        </w:rPr>
        <w:t>103</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2A</w:t>
      </w:r>
      <w:r>
        <w:rPr>
          <w:noProof/>
        </w:rPr>
        <w:tab/>
        <w:t xml:space="preserve">Meaning of </w:t>
      </w:r>
      <w:r w:rsidRPr="00DC60FC">
        <w:rPr>
          <w:i/>
          <w:noProof/>
        </w:rPr>
        <w:t>defined benefit fund</w:t>
      </w:r>
      <w:r w:rsidRPr="00411C46">
        <w:rPr>
          <w:noProof/>
        </w:rPr>
        <w:tab/>
      </w:r>
      <w:r w:rsidRPr="00411C46">
        <w:rPr>
          <w:noProof/>
        </w:rPr>
        <w:fldChar w:fldCharType="begin"/>
      </w:r>
      <w:r w:rsidRPr="00411C46">
        <w:rPr>
          <w:noProof/>
        </w:rPr>
        <w:instrText xml:space="preserve"> PAGEREF _Toc49765402 \h </w:instrText>
      </w:r>
      <w:r w:rsidRPr="00411C46">
        <w:rPr>
          <w:noProof/>
        </w:rPr>
      </w:r>
      <w:r w:rsidRPr="00411C46">
        <w:rPr>
          <w:noProof/>
        </w:rPr>
        <w:fldChar w:fldCharType="separate"/>
      </w:r>
      <w:r w:rsidR="00F54F75">
        <w:rPr>
          <w:noProof/>
        </w:rPr>
        <w:t>103</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2B</w:t>
      </w:r>
      <w:r>
        <w:rPr>
          <w:noProof/>
        </w:rPr>
        <w:tab/>
        <w:t>Treatment of superannuation sub</w:t>
      </w:r>
      <w:r>
        <w:rPr>
          <w:noProof/>
        </w:rPr>
        <w:noBreakHyphen/>
        <w:t>funds</w:t>
      </w:r>
      <w:r w:rsidRPr="00411C46">
        <w:rPr>
          <w:noProof/>
        </w:rPr>
        <w:tab/>
      </w:r>
      <w:r w:rsidRPr="00411C46">
        <w:rPr>
          <w:noProof/>
        </w:rPr>
        <w:fldChar w:fldCharType="begin"/>
      </w:r>
      <w:r w:rsidRPr="00411C46">
        <w:rPr>
          <w:noProof/>
        </w:rPr>
        <w:instrText xml:space="preserve"> PAGEREF _Toc49765403 \h </w:instrText>
      </w:r>
      <w:r w:rsidRPr="00411C46">
        <w:rPr>
          <w:noProof/>
        </w:rPr>
      </w:r>
      <w:r w:rsidRPr="00411C46">
        <w:rPr>
          <w:noProof/>
        </w:rPr>
        <w:fldChar w:fldCharType="separate"/>
      </w:r>
      <w:r w:rsidR="00F54F75">
        <w:rPr>
          <w:noProof/>
        </w:rPr>
        <w:t>103</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w:t>
      </w:r>
      <w:r>
        <w:rPr>
          <w:noProof/>
        </w:rPr>
        <w:tab/>
        <w:t>Accruing member must not belong to more than one benefit category at the same time unless certified by an actuary</w:t>
      </w:r>
      <w:r w:rsidRPr="00411C46">
        <w:rPr>
          <w:noProof/>
        </w:rPr>
        <w:tab/>
      </w:r>
      <w:r w:rsidRPr="00411C46">
        <w:rPr>
          <w:noProof/>
        </w:rPr>
        <w:fldChar w:fldCharType="begin"/>
      </w:r>
      <w:r w:rsidRPr="00411C46">
        <w:rPr>
          <w:noProof/>
        </w:rPr>
        <w:instrText xml:space="preserve"> PAGEREF _Toc49765404 \h </w:instrText>
      </w:r>
      <w:r w:rsidRPr="00411C46">
        <w:rPr>
          <w:noProof/>
        </w:rPr>
      </w:r>
      <w:r w:rsidRPr="00411C46">
        <w:rPr>
          <w:noProof/>
        </w:rPr>
        <w:fldChar w:fldCharType="separate"/>
      </w:r>
      <w:r w:rsidR="00F54F75">
        <w:rPr>
          <w:noProof/>
        </w:rPr>
        <w:t>103</w:t>
      </w:r>
      <w:r w:rsidRPr="00411C46">
        <w:rPr>
          <w:noProof/>
        </w:rPr>
        <w:fldChar w:fldCharType="end"/>
      </w:r>
    </w:p>
    <w:p w:rsidR="00411C46" w:rsidRDefault="00411C46">
      <w:pPr>
        <w:pStyle w:val="TOC3"/>
        <w:rPr>
          <w:rFonts w:asciiTheme="minorHAnsi" w:eastAsiaTheme="minorEastAsia" w:hAnsiTheme="minorHAnsi" w:cstheme="minorBidi"/>
          <w:b w:val="0"/>
          <w:noProof/>
          <w:kern w:val="0"/>
          <w:szCs w:val="22"/>
        </w:rPr>
      </w:pPr>
      <w:r>
        <w:rPr>
          <w:noProof/>
        </w:rPr>
        <w:t>Division 2—Method</w:t>
      </w:r>
      <w:r w:rsidRPr="00411C46">
        <w:rPr>
          <w:b w:val="0"/>
          <w:noProof/>
          <w:sz w:val="18"/>
        </w:rPr>
        <w:tab/>
      </w:r>
      <w:r w:rsidRPr="00411C46">
        <w:rPr>
          <w:b w:val="0"/>
          <w:noProof/>
          <w:sz w:val="18"/>
        </w:rPr>
        <w:fldChar w:fldCharType="begin"/>
      </w:r>
      <w:r w:rsidRPr="00411C46">
        <w:rPr>
          <w:b w:val="0"/>
          <w:noProof/>
          <w:sz w:val="18"/>
        </w:rPr>
        <w:instrText xml:space="preserve"> PAGEREF _Toc49765405 \h </w:instrText>
      </w:r>
      <w:r w:rsidRPr="00411C46">
        <w:rPr>
          <w:b w:val="0"/>
          <w:noProof/>
          <w:sz w:val="18"/>
        </w:rPr>
      </w:r>
      <w:r w:rsidRPr="00411C46">
        <w:rPr>
          <w:b w:val="0"/>
          <w:noProof/>
          <w:sz w:val="18"/>
        </w:rPr>
        <w:fldChar w:fldCharType="separate"/>
      </w:r>
      <w:r w:rsidR="00F54F75">
        <w:rPr>
          <w:b w:val="0"/>
          <w:noProof/>
          <w:sz w:val="18"/>
        </w:rPr>
        <w:t>104</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4</w:t>
      </w:r>
      <w:r>
        <w:rPr>
          <w:noProof/>
        </w:rPr>
        <w:tab/>
        <w:t>Method of determining amount of defined benefit contributions</w:t>
      </w:r>
      <w:r w:rsidRPr="00411C46">
        <w:rPr>
          <w:noProof/>
        </w:rPr>
        <w:tab/>
      </w:r>
      <w:r w:rsidRPr="00411C46">
        <w:rPr>
          <w:noProof/>
        </w:rPr>
        <w:fldChar w:fldCharType="begin"/>
      </w:r>
      <w:r w:rsidRPr="00411C46">
        <w:rPr>
          <w:noProof/>
        </w:rPr>
        <w:instrText xml:space="preserve"> PAGEREF _Toc49765406 \h </w:instrText>
      </w:r>
      <w:r w:rsidRPr="00411C46">
        <w:rPr>
          <w:noProof/>
        </w:rPr>
      </w:r>
      <w:r w:rsidRPr="00411C46">
        <w:rPr>
          <w:noProof/>
        </w:rPr>
        <w:fldChar w:fldCharType="separate"/>
      </w:r>
      <w:r w:rsidR="00F54F75">
        <w:rPr>
          <w:noProof/>
        </w:rPr>
        <w:t>104</w:t>
      </w:r>
      <w:r w:rsidRPr="00411C46">
        <w:rPr>
          <w:noProof/>
        </w:rPr>
        <w:fldChar w:fldCharType="end"/>
      </w:r>
    </w:p>
    <w:p w:rsidR="00411C46" w:rsidRDefault="00411C46">
      <w:pPr>
        <w:pStyle w:val="TOC2"/>
        <w:rPr>
          <w:rFonts w:asciiTheme="minorHAnsi" w:eastAsiaTheme="minorEastAsia" w:hAnsiTheme="minorHAnsi" w:cstheme="minorBidi"/>
          <w:b w:val="0"/>
          <w:noProof/>
          <w:kern w:val="0"/>
          <w:sz w:val="22"/>
          <w:szCs w:val="22"/>
        </w:rPr>
      </w:pPr>
      <w:r>
        <w:rPr>
          <w:noProof/>
        </w:rPr>
        <w:t>Part 2—New entrant rate</w:t>
      </w:r>
      <w:r w:rsidRPr="00411C46">
        <w:rPr>
          <w:b w:val="0"/>
          <w:noProof/>
          <w:sz w:val="18"/>
        </w:rPr>
        <w:tab/>
      </w:r>
      <w:r w:rsidRPr="00411C46">
        <w:rPr>
          <w:b w:val="0"/>
          <w:noProof/>
          <w:sz w:val="18"/>
        </w:rPr>
        <w:fldChar w:fldCharType="begin"/>
      </w:r>
      <w:r w:rsidRPr="00411C46">
        <w:rPr>
          <w:b w:val="0"/>
          <w:noProof/>
          <w:sz w:val="18"/>
        </w:rPr>
        <w:instrText xml:space="preserve"> PAGEREF _Toc49765407 \h </w:instrText>
      </w:r>
      <w:r w:rsidRPr="00411C46">
        <w:rPr>
          <w:b w:val="0"/>
          <w:noProof/>
          <w:sz w:val="18"/>
        </w:rPr>
      </w:r>
      <w:r w:rsidRPr="00411C46">
        <w:rPr>
          <w:b w:val="0"/>
          <w:noProof/>
          <w:sz w:val="18"/>
        </w:rPr>
        <w:fldChar w:fldCharType="separate"/>
      </w:r>
      <w:r w:rsidR="00F54F75">
        <w:rPr>
          <w:b w:val="0"/>
          <w:noProof/>
          <w:sz w:val="18"/>
        </w:rPr>
        <w:t>106</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5</w:t>
      </w:r>
      <w:r>
        <w:rPr>
          <w:noProof/>
        </w:rPr>
        <w:tab/>
        <w:t>Method of working out new entrant rate for a benefit category</w:t>
      </w:r>
      <w:r w:rsidRPr="00411C46">
        <w:rPr>
          <w:noProof/>
        </w:rPr>
        <w:tab/>
      </w:r>
      <w:r w:rsidRPr="00411C46">
        <w:rPr>
          <w:noProof/>
        </w:rPr>
        <w:fldChar w:fldCharType="begin"/>
      </w:r>
      <w:r w:rsidRPr="00411C46">
        <w:rPr>
          <w:noProof/>
        </w:rPr>
        <w:instrText xml:space="preserve"> PAGEREF _Toc49765408 \h </w:instrText>
      </w:r>
      <w:r w:rsidRPr="00411C46">
        <w:rPr>
          <w:noProof/>
        </w:rPr>
      </w:r>
      <w:r w:rsidRPr="00411C46">
        <w:rPr>
          <w:noProof/>
        </w:rPr>
        <w:fldChar w:fldCharType="separate"/>
      </w:r>
      <w:r w:rsidR="00F54F75">
        <w:rPr>
          <w:noProof/>
        </w:rPr>
        <w:t>106</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6</w:t>
      </w:r>
      <w:r>
        <w:rPr>
          <w:noProof/>
        </w:rPr>
        <w:tab/>
        <w:t>New entrant rate to be based on period of membership needed to reach maximum benefit accrual</w:t>
      </w:r>
      <w:r w:rsidRPr="00411C46">
        <w:rPr>
          <w:noProof/>
        </w:rPr>
        <w:tab/>
      </w:r>
      <w:r w:rsidRPr="00411C46">
        <w:rPr>
          <w:noProof/>
        </w:rPr>
        <w:fldChar w:fldCharType="begin"/>
      </w:r>
      <w:r w:rsidRPr="00411C46">
        <w:rPr>
          <w:noProof/>
        </w:rPr>
        <w:instrText xml:space="preserve"> PAGEREF _Toc49765409 \h </w:instrText>
      </w:r>
      <w:r w:rsidRPr="00411C46">
        <w:rPr>
          <w:noProof/>
        </w:rPr>
      </w:r>
      <w:r w:rsidRPr="00411C46">
        <w:rPr>
          <w:noProof/>
        </w:rPr>
        <w:fldChar w:fldCharType="separate"/>
      </w:r>
      <w:r w:rsidR="00F54F75">
        <w:rPr>
          <w:noProof/>
        </w:rPr>
        <w:t>106</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7</w:t>
      </w:r>
      <w:r>
        <w:rPr>
          <w:noProof/>
        </w:rPr>
        <w:tab/>
        <w:t>New entrant rate to be rounded down</w:t>
      </w:r>
      <w:r w:rsidRPr="00411C46">
        <w:rPr>
          <w:noProof/>
        </w:rPr>
        <w:tab/>
      </w:r>
      <w:r w:rsidRPr="00411C46">
        <w:rPr>
          <w:noProof/>
        </w:rPr>
        <w:fldChar w:fldCharType="begin"/>
      </w:r>
      <w:r w:rsidRPr="00411C46">
        <w:rPr>
          <w:noProof/>
        </w:rPr>
        <w:instrText xml:space="preserve"> PAGEREF _Toc49765410 \h </w:instrText>
      </w:r>
      <w:r w:rsidRPr="00411C46">
        <w:rPr>
          <w:noProof/>
        </w:rPr>
      </w:r>
      <w:r w:rsidRPr="00411C46">
        <w:rPr>
          <w:noProof/>
        </w:rPr>
        <w:fldChar w:fldCharType="separate"/>
      </w:r>
      <w:r w:rsidR="00F54F75">
        <w:rPr>
          <w:noProof/>
        </w:rPr>
        <w:t>106</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8</w:t>
      </w:r>
      <w:r>
        <w:rPr>
          <w:noProof/>
        </w:rPr>
        <w:tab/>
        <w:t>No allowance for administration expenses or income tax on assessable contributions</w:t>
      </w:r>
      <w:r w:rsidRPr="00411C46">
        <w:rPr>
          <w:noProof/>
        </w:rPr>
        <w:tab/>
      </w:r>
      <w:r w:rsidRPr="00411C46">
        <w:rPr>
          <w:noProof/>
        </w:rPr>
        <w:fldChar w:fldCharType="begin"/>
      </w:r>
      <w:r w:rsidRPr="00411C46">
        <w:rPr>
          <w:noProof/>
        </w:rPr>
        <w:instrText xml:space="preserve"> PAGEREF _Toc49765411 \h </w:instrText>
      </w:r>
      <w:r w:rsidRPr="00411C46">
        <w:rPr>
          <w:noProof/>
        </w:rPr>
      </w:r>
      <w:r w:rsidRPr="00411C46">
        <w:rPr>
          <w:noProof/>
        </w:rPr>
        <w:fldChar w:fldCharType="separate"/>
      </w:r>
      <w:r w:rsidR="00F54F75">
        <w:rPr>
          <w:noProof/>
        </w:rPr>
        <w:t>107</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9</w:t>
      </w:r>
      <w:r>
        <w:rPr>
          <w:noProof/>
        </w:rPr>
        <w:tab/>
        <w:t>Certain discretions to be allowed for</w:t>
      </w:r>
      <w:r w:rsidRPr="00411C46">
        <w:rPr>
          <w:noProof/>
        </w:rPr>
        <w:tab/>
      </w:r>
      <w:r w:rsidRPr="00411C46">
        <w:rPr>
          <w:noProof/>
        </w:rPr>
        <w:fldChar w:fldCharType="begin"/>
      </w:r>
      <w:r w:rsidRPr="00411C46">
        <w:rPr>
          <w:noProof/>
        </w:rPr>
        <w:instrText xml:space="preserve"> PAGEREF _Toc49765412 \h </w:instrText>
      </w:r>
      <w:r w:rsidRPr="00411C46">
        <w:rPr>
          <w:noProof/>
        </w:rPr>
      </w:r>
      <w:r w:rsidRPr="00411C46">
        <w:rPr>
          <w:noProof/>
        </w:rPr>
        <w:fldChar w:fldCharType="separate"/>
      </w:r>
      <w:r w:rsidR="00F54F75">
        <w:rPr>
          <w:noProof/>
        </w:rPr>
        <w:t>107</w:t>
      </w:r>
      <w:r w:rsidRPr="00411C46">
        <w:rPr>
          <w:noProof/>
        </w:rPr>
        <w:fldChar w:fldCharType="end"/>
      </w:r>
    </w:p>
    <w:p w:rsidR="00411C46" w:rsidRDefault="00411C46">
      <w:pPr>
        <w:pStyle w:val="TOC2"/>
        <w:rPr>
          <w:rFonts w:asciiTheme="minorHAnsi" w:eastAsiaTheme="minorEastAsia" w:hAnsiTheme="minorHAnsi" w:cstheme="minorBidi"/>
          <w:b w:val="0"/>
          <w:noProof/>
          <w:kern w:val="0"/>
          <w:sz w:val="22"/>
          <w:szCs w:val="22"/>
        </w:rPr>
      </w:pPr>
      <w:r>
        <w:rPr>
          <w:noProof/>
        </w:rPr>
        <w:t>Part 3—Valuation parameters</w:t>
      </w:r>
      <w:r w:rsidRPr="00411C46">
        <w:rPr>
          <w:b w:val="0"/>
          <w:noProof/>
          <w:sz w:val="18"/>
        </w:rPr>
        <w:tab/>
      </w:r>
      <w:r w:rsidRPr="00411C46">
        <w:rPr>
          <w:b w:val="0"/>
          <w:noProof/>
          <w:sz w:val="18"/>
        </w:rPr>
        <w:fldChar w:fldCharType="begin"/>
      </w:r>
      <w:r w:rsidRPr="00411C46">
        <w:rPr>
          <w:b w:val="0"/>
          <w:noProof/>
          <w:sz w:val="18"/>
        </w:rPr>
        <w:instrText xml:space="preserve"> PAGEREF _Toc49765413 \h </w:instrText>
      </w:r>
      <w:r w:rsidRPr="00411C46">
        <w:rPr>
          <w:b w:val="0"/>
          <w:noProof/>
          <w:sz w:val="18"/>
        </w:rPr>
      </w:r>
      <w:r w:rsidRPr="00411C46">
        <w:rPr>
          <w:b w:val="0"/>
          <w:noProof/>
          <w:sz w:val="18"/>
        </w:rPr>
        <w:fldChar w:fldCharType="separate"/>
      </w:r>
      <w:r w:rsidR="00F54F75">
        <w:rPr>
          <w:b w:val="0"/>
          <w:noProof/>
          <w:sz w:val="18"/>
        </w:rPr>
        <w:t>108</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10</w:t>
      </w:r>
      <w:r>
        <w:rPr>
          <w:noProof/>
        </w:rPr>
        <w:tab/>
        <w:t>Application of economic, decrement and other parameters</w:t>
      </w:r>
      <w:r w:rsidRPr="00411C46">
        <w:rPr>
          <w:noProof/>
        </w:rPr>
        <w:tab/>
      </w:r>
      <w:r w:rsidRPr="00411C46">
        <w:rPr>
          <w:noProof/>
        </w:rPr>
        <w:fldChar w:fldCharType="begin"/>
      </w:r>
      <w:r w:rsidRPr="00411C46">
        <w:rPr>
          <w:noProof/>
        </w:rPr>
        <w:instrText xml:space="preserve"> PAGEREF _Toc49765414 \h </w:instrText>
      </w:r>
      <w:r w:rsidRPr="00411C46">
        <w:rPr>
          <w:noProof/>
        </w:rPr>
      </w:r>
      <w:r w:rsidRPr="00411C46">
        <w:rPr>
          <w:noProof/>
        </w:rPr>
        <w:fldChar w:fldCharType="separate"/>
      </w:r>
      <w:r w:rsidR="00F54F75">
        <w:rPr>
          <w:noProof/>
        </w:rPr>
        <w:t>108</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11</w:t>
      </w:r>
      <w:r>
        <w:rPr>
          <w:noProof/>
        </w:rPr>
        <w:tab/>
        <w:t>Discount rate</w:t>
      </w:r>
      <w:r w:rsidRPr="00411C46">
        <w:rPr>
          <w:noProof/>
        </w:rPr>
        <w:tab/>
      </w:r>
      <w:r w:rsidRPr="00411C46">
        <w:rPr>
          <w:noProof/>
        </w:rPr>
        <w:fldChar w:fldCharType="begin"/>
      </w:r>
      <w:r w:rsidRPr="00411C46">
        <w:rPr>
          <w:noProof/>
        </w:rPr>
        <w:instrText xml:space="preserve"> PAGEREF _Toc49765415 \h </w:instrText>
      </w:r>
      <w:r w:rsidRPr="00411C46">
        <w:rPr>
          <w:noProof/>
        </w:rPr>
      </w:r>
      <w:r w:rsidRPr="00411C46">
        <w:rPr>
          <w:noProof/>
        </w:rPr>
        <w:fldChar w:fldCharType="separate"/>
      </w:r>
      <w:r w:rsidR="00F54F75">
        <w:rPr>
          <w:noProof/>
        </w:rPr>
        <w:t>108</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12</w:t>
      </w:r>
      <w:r>
        <w:rPr>
          <w:noProof/>
        </w:rPr>
        <w:tab/>
        <w:t>Fund earning rate and crediting rate</w:t>
      </w:r>
      <w:r w:rsidRPr="00411C46">
        <w:rPr>
          <w:noProof/>
        </w:rPr>
        <w:tab/>
      </w:r>
      <w:r w:rsidRPr="00411C46">
        <w:rPr>
          <w:noProof/>
        </w:rPr>
        <w:fldChar w:fldCharType="begin"/>
      </w:r>
      <w:r w:rsidRPr="00411C46">
        <w:rPr>
          <w:noProof/>
        </w:rPr>
        <w:instrText xml:space="preserve"> PAGEREF _Toc49765416 \h </w:instrText>
      </w:r>
      <w:r w:rsidRPr="00411C46">
        <w:rPr>
          <w:noProof/>
        </w:rPr>
      </w:r>
      <w:r w:rsidRPr="00411C46">
        <w:rPr>
          <w:noProof/>
        </w:rPr>
        <w:fldChar w:fldCharType="separate"/>
      </w:r>
      <w:r w:rsidR="00F54F75">
        <w:rPr>
          <w:noProof/>
        </w:rPr>
        <w:t>108</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13</w:t>
      </w:r>
      <w:r>
        <w:rPr>
          <w:noProof/>
        </w:rPr>
        <w:tab/>
        <w:t>Rate of future salary or wages growth</w:t>
      </w:r>
      <w:r w:rsidRPr="00411C46">
        <w:rPr>
          <w:noProof/>
        </w:rPr>
        <w:tab/>
      </w:r>
      <w:r w:rsidRPr="00411C46">
        <w:rPr>
          <w:noProof/>
        </w:rPr>
        <w:fldChar w:fldCharType="begin"/>
      </w:r>
      <w:r w:rsidRPr="00411C46">
        <w:rPr>
          <w:noProof/>
        </w:rPr>
        <w:instrText xml:space="preserve"> PAGEREF _Toc49765417 \h </w:instrText>
      </w:r>
      <w:r w:rsidRPr="00411C46">
        <w:rPr>
          <w:noProof/>
        </w:rPr>
      </w:r>
      <w:r w:rsidRPr="00411C46">
        <w:rPr>
          <w:noProof/>
        </w:rPr>
        <w:fldChar w:fldCharType="separate"/>
      </w:r>
      <w:r w:rsidR="00F54F75">
        <w:rPr>
          <w:noProof/>
        </w:rPr>
        <w:t>108</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14</w:t>
      </w:r>
      <w:r>
        <w:rPr>
          <w:noProof/>
        </w:rPr>
        <w:tab/>
        <w:t>Rate of increase in price indices</w:t>
      </w:r>
      <w:r w:rsidRPr="00411C46">
        <w:rPr>
          <w:noProof/>
        </w:rPr>
        <w:tab/>
      </w:r>
      <w:r w:rsidRPr="00411C46">
        <w:rPr>
          <w:noProof/>
        </w:rPr>
        <w:fldChar w:fldCharType="begin"/>
      </w:r>
      <w:r w:rsidRPr="00411C46">
        <w:rPr>
          <w:noProof/>
        </w:rPr>
        <w:instrText xml:space="preserve"> PAGEREF _Toc49765418 \h </w:instrText>
      </w:r>
      <w:r w:rsidRPr="00411C46">
        <w:rPr>
          <w:noProof/>
        </w:rPr>
      </w:r>
      <w:r w:rsidRPr="00411C46">
        <w:rPr>
          <w:noProof/>
        </w:rPr>
        <w:fldChar w:fldCharType="separate"/>
      </w:r>
      <w:r w:rsidR="00F54F75">
        <w:rPr>
          <w:noProof/>
        </w:rPr>
        <w:t>108</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15</w:t>
      </w:r>
      <w:r>
        <w:rPr>
          <w:noProof/>
        </w:rPr>
        <w:tab/>
        <w:t>New entrant age</w:t>
      </w:r>
      <w:r w:rsidRPr="00411C46">
        <w:rPr>
          <w:noProof/>
        </w:rPr>
        <w:tab/>
      </w:r>
      <w:r w:rsidRPr="00411C46">
        <w:rPr>
          <w:noProof/>
        </w:rPr>
        <w:fldChar w:fldCharType="begin"/>
      </w:r>
      <w:r w:rsidRPr="00411C46">
        <w:rPr>
          <w:noProof/>
        </w:rPr>
        <w:instrText xml:space="preserve"> PAGEREF _Toc49765419 \h </w:instrText>
      </w:r>
      <w:r w:rsidRPr="00411C46">
        <w:rPr>
          <w:noProof/>
        </w:rPr>
      </w:r>
      <w:r w:rsidRPr="00411C46">
        <w:rPr>
          <w:noProof/>
        </w:rPr>
        <w:fldChar w:fldCharType="separate"/>
      </w:r>
      <w:r w:rsidR="00F54F75">
        <w:rPr>
          <w:noProof/>
        </w:rPr>
        <w:t>108</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16</w:t>
      </w:r>
      <w:r>
        <w:rPr>
          <w:noProof/>
        </w:rPr>
        <w:tab/>
        <w:t>Exit rates</w:t>
      </w:r>
      <w:r w:rsidRPr="00411C46">
        <w:rPr>
          <w:noProof/>
        </w:rPr>
        <w:tab/>
      </w:r>
      <w:r w:rsidRPr="00411C46">
        <w:rPr>
          <w:noProof/>
        </w:rPr>
        <w:fldChar w:fldCharType="begin"/>
      </w:r>
      <w:r w:rsidRPr="00411C46">
        <w:rPr>
          <w:noProof/>
        </w:rPr>
        <w:instrText xml:space="preserve"> PAGEREF _Toc49765420 \h </w:instrText>
      </w:r>
      <w:r w:rsidRPr="00411C46">
        <w:rPr>
          <w:noProof/>
        </w:rPr>
      </w:r>
      <w:r w:rsidRPr="00411C46">
        <w:rPr>
          <w:noProof/>
        </w:rPr>
        <w:fldChar w:fldCharType="separate"/>
      </w:r>
      <w:r w:rsidR="00F54F75">
        <w:rPr>
          <w:noProof/>
        </w:rPr>
        <w:t>109</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17</w:t>
      </w:r>
      <w:r>
        <w:rPr>
          <w:noProof/>
        </w:rPr>
        <w:tab/>
        <w:t>Pensions</w:t>
      </w:r>
      <w:r w:rsidRPr="00411C46">
        <w:rPr>
          <w:noProof/>
        </w:rPr>
        <w:tab/>
      </w:r>
      <w:r w:rsidRPr="00411C46">
        <w:rPr>
          <w:noProof/>
        </w:rPr>
        <w:fldChar w:fldCharType="begin"/>
      </w:r>
      <w:r w:rsidRPr="00411C46">
        <w:rPr>
          <w:noProof/>
        </w:rPr>
        <w:instrText xml:space="preserve"> PAGEREF _Toc49765421 \h </w:instrText>
      </w:r>
      <w:r w:rsidRPr="00411C46">
        <w:rPr>
          <w:noProof/>
        </w:rPr>
      </w:r>
      <w:r w:rsidRPr="00411C46">
        <w:rPr>
          <w:noProof/>
        </w:rPr>
        <w:fldChar w:fldCharType="separate"/>
      </w:r>
      <w:r w:rsidR="00F54F75">
        <w:rPr>
          <w:noProof/>
        </w:rPr>
        <w:t>110</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18</w:t>
      </w:r>
      <w:r>
        <w:rPr>
          <w:noProof/>
        </w:rPr>
        <w:tab/>
        <w:t>Mortality of pensioners</w:t>
      </w:r>
      <w:r w:rsidRPr="00411C46">
        <w:rPr>
          <w:noProof/>
        </w:rPr>
        <w:tab/>
      </w:r>
      <w:r w:rsidRPr="00411C46">
        <w:rPr>
          <w:noProof/>
        </w:rPr>
        <w:fldChar w:fldCharType="begin"/>
      </w:r>
      <w:r w:rsidRPr="00411C46">
        <w:rPr>
          <w:noProof/>
        </w:rPr>
        <w:instrText xml:space="preserve"> PAGEREF _Toc49765422 \h </w:instrText>
      </w:r>
      <w:r w:rsidRPr="00411C46">
        <w:rPr>
          <w:noProof/>
        </w:rPr>
      </w:r>
      <w:r w:rsidRPr="00411C46">
        <w:rPr>
          <w:noProof/>
        </w:rPr>
        <w:fldChar w:fldCharType="separate"/>
      </w:r>
      <w:r w:rsidR="00F54F75">
        <w:rPr>
          <w:noProof/>
        </w:rPr>
        <w:t>110</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19</w:t>
      </w:r>
      <w:r>
        <w:rPr>
          <w:noProof/>
        </w:rPr>
        <w:tab/>
        <w:t>Other assumptions to be set by the actuary</w:t>
      </w:r>
      <w:r w:rsidRPr="00411C46">
        <w:rPr>
          <w:noProof/>
        </w:rPr>
        <w:tab/>
      </w:r>
      <w:r w:rsidRPr="00411C46">
        <w:rPr>
          <w:noProof/>
        </w:rPr>
        <w:fldChar w:fldCharType="begin"/>
      </w:r>
      <w:r w:rsidRPr="00411C46">
        <w:rPr>
          <w:noProof/>
        </w:rPr>
        <w:instrText xml:space="preserve"> PAGEREF _Toc49765423 \h </w:instrText>
      </w:r>
      <w:r w:rsidRPr="00411C46">
        <w:rPr>
          <w:noProof/>
        </w:rPr>
      </w:r>
      <w:r w:rsidRPr="00411C46">
        <w:rPr>
          <w:noProof/>
        </w:rPr>
        <w:fldChar w:fldCharType="separate"/>
      </w:r>
      <w:r w:rsidR="00F54F75">
        <w:rPr>
          <w:noProof/>
        </w:rPr>
        <w:t>112</w:t>
      </w:r>
      <w:r w:rsidRPr="00411C46">
        <w:rPr>
          <w:noProof/>
        </w:rPr>
        <w:fldChar w:fldCharType="end"/>
      </w:r>
    </w:p>
    <w:p w:rsidR="00411C46" w:rsidRDefault="00411C46">
      <w:pPr>
        <w:pStyle w:val="TOC2"/>
        <w:rPr>
          <w:rFonts w:asciiTheme="minorHAnsi" w:eastAsiaTheme="minorEastAsia" w:hAnsiTheme="minorHAnsi" w:cstheme="minorBidi"/>
          <w:b w:val="0"/>
          <w:noProof/>
          <w:kern w:val="0"/>
          <w:sz w:val="22"/>
          <w:szCs w:val="22"/>
        </w:rPr>
      </w:pPr>
      <w:r>
        <w:rPr>
          <w:noProof/>
        </w:rPr>
        <w:t>Part 4—Exercise of discretion to pay a benefit greater than the benefit assumed in calculating the new entrant rate</w:t>
      </w:r>
      <w:r w:rsidRPr="00411C46">
        <w:rPr>
          <w:b w:val="0"/>
          <w:noProof/>
          <w:sz w:val="18"/>
        </w:rPr>
        <w:tab/>
      </w:r>
      <w:r w:rsidRPr="00411C46">
        <w:rPr>
          <w:b w:val="0"/>
          <w:noProof/>
          <w:sz w:val="18"/>
        </w:rPr>
        <w:fldChar w:fldCharType="begin"/>
      </w:r>
      <w:r w:rsidRPr="00411C46">
        <w:rPr>
          <w:b w:val="0"/>
          <w:noProof/>
          <w:sz w:val="18"/>
        </w:rPr>
        <w:instrText xml:space="preserve"> PAGEREF _Toc49765424 \h </w:instrText>
      </w:r>
      <w:r w:rsidRPr="00411C46">
        <w:rPr>
          <w:b w:val="0"/>
          <w:noProof/>
          <w:sz w:val="18"/>
        </w:rPr>
      </w:r>
      <w:r w:rsidRPr="00411C46">
        <w:rPr>
          <w:b w:val="0"/>
          <w:noProof/>
          <w:sz w:val="18"/>
        </w:rPr>
        <w:fldChar w:fldCharType="separate"/>
      </w:r>
      <w:r w:rsidR="00F54F75">
        <w:rPr>
          <w:b w:val="0"/>
          <w:noProof/>
          <w:sz w:val="18"/>
        </w:rPr>
        <w:t>113</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20</w:t>
      </w:r>
      <w:r>
        <w:rPr>
          <w:noProof/>
        </w:rPr>
        <w:tab/>
        <w:t>Method of working out the increased exit benefit adjustment amount in the formula in subclause 4(2)</w:t>
      </w:r>
      <w:r w:rsidRPr="00411C46">
        <w:rPr>
          <w:noProof/>
        </w:rPr>
        <w:tab/>
      </w:r>
      <w:r w:rsidRPr="00411C46">
        <w:rPr>
          <w:noProof/>
        </w:rPr>
        <w:fldChar w:fldCharType="begin"/>
      </w:r>
      <w:r w:rsidRPr="00411C46">
        <w:rPr>
          <w:noProof/>
        </w:rPr>
        <w:instrText xml:space="preserve"> PAGEREF _Toc49765425 \h </w:instrText>
      </w:r>
      <w:r w:rsidRPr="00411C46">
        <w:rPr>
          <w:noProof/>
        </w:rPr>
      </w:r>
      <w:r w:rsidRPr="00411C46">
        <w:rPr>
          <w:noProof/>
        </w:rPr>
        <w:fldChar w:fldCharType="separate"/>
      </w:r>
      <w:r w:rsidR="00F54F75">
        <w:rPr>
          <w:noProof/>
        </w:rPr>
        <w:t>113</w:t>
      </w:r>
      <w:r w:rsidRPr="00411C46">
        <w:rPr>
          <w:noProof/>
        </w:rPr>
        <w:fldChar w:fldCharType="end"/>
      </w:r>
    </w:p>
    <w:p w:rsidR="00411C46" w:rsidRDefault="00411C46">
      <w:pPr>
        <w:pStyle w:val="TOC2"/>
        <w:rPr>
          <w:rFonts w:asciiTheme="minorHAnsi" w:eastAsiaTheme="minorEastAsia" w:hAnsiTheme="minorHAnsi" w:cstheme="minorBidi"/>
          <w:b w:val="0"/>
          <w:noProof/>
          <w:kern w:val="0"/>
          <w:sz w:val="22"/>
          <w:szCs w:val="22"/>
        </w:rPr>
      </w:pPr>
      <w:r>
        <w:rPr>
          <w:noProof/>
        </w:rPr>
        <w:t>Part 5—Member has changed benefit category</w:t>
      </w:r>
      <w:r w:rsidRPr="00411C46">
        <w:rPr>
          <w:b w:val="0"/>
          <w:noProof/>
          <w:sz w:val="18"/>
        </w:rPr>
        <w:tab/>
      </w:r>
      <w:r w:rsidRPr="00411C46">
        <w:rPr>
          <w:b w:val="0"/>
          <w:noProof/>
          <w:sz w:val="18"/>
        </w:rPr>
        <w:fldChar w:fldCharType="begin"/>
      </w:r>
      <w:r w:rsidRPr="00411C46">
        <w:rPr>
          <w:b w:val="0"/>
          <w:noProof/>
          <w:sz w:val="18"/>
        </w:rPr>
        <w:instrText xml:space="preserve"> PAGEREF _Toc49765426 \h </w:instrText>
      </w:r>
      <w:r w:rsidRPr="00411C46">
        <w:rPr>
          <w:b w:val="0"/>
          <w:noProof/>
          <w:sz w:val="18"/>
        </w:rPr>
      </w:r>
      <w:r w:rsidRPr="00411C46">
        <w:rPr>
          <w:b w:val="0"/>
          <w:noProof/>
          <w:sz w:val="18"/>
        </w:rPr>
        <w:fldChar w:fldCharType="separate"/>
      </w:r>
      <w:r w:rsidR="00F54F75">
        <w:rPr>
          <w:b w:val="0"/>
          <w:noProof/>
          <w:sz w:val="18"/>
        </w:rPr>
        <w:t>114</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21</w:t>
      </w:r>
      <w:r>
        <w:rPr>
          <w:noProof/>
        </w:rPr>
        <w:tab/>
        <w:t>Method of working out the category change or discretion adjustment amount in the formula in subclause 4(2)</w:t>
      </w:r>
      <w:r w:rsidRPr="00411C46">
        <w:rPr>
          <w:noProof/>
        </w:rPr>
        <w:tab/>
      </w:r>
      <w:r w:rsidRPr="00411C46">
        <w:rPr>
          <w:noProof/>
        </w:rPr>
        <w:fldChar w:fldCharType="begin"/>
      </w:r>
      <w:r w:rsidRPr="00411C46">
        <w:rPr>
          <w:noProof/>
        </w:rPr>
        <w:instrText xml:space="preserve"> PAGEREF _Toc49765427 \h </w:instrText>
      </w:r>
      <w:r w:rsidRPr="00411C46">
        <w:rPr>
          <w:noProof/>
        </w:rPr>
      </w:r>
      <w:r w:rsidRPr="00411C46">
        <w:rPr>
          <w:noProof/>
        </w:rPr>
        <w:fldChar w:fldCharType="separate"/>
      </w:r>
      <w:r w:rsidR="00F54F75">
        <w:rPr>
          <w:noProof/>
        </w:rPr>
        <w:t>114</w:t>
      </w:r>
      <w:r w:rsidRPr="00411C46">
        <w:rPr>
          <w:noProof/>
        </w:rPr>
        <w:fldChar w:fldCharType="end"/>
      </w:r>
    </w:p>
    <w:p w:rsidR="00411C46" w:rsidRDefault="00411C46">
      <w:pPr>
        <w:pStyle w:val="TOC2"/>
        <w:rPr>
          <w:rFonts w:asciiTheme="minorHAnsi" w:eastAsiaTheme="minorEastAsia" w:hAnsiTheme="minorHAnsi" w:cstheme="minorBidi"/>
          <w:b w:val="0"/>
          <w:noProof/>
          <w:kern w:val="0"/>
          <w:sz w:val="22"/>
          <w:szCs w:val="22"/>
        </w:rPr>
      </w:pPr>
      <w:r>
        <w:rPr>
          <w:noProof/>
        </w:rPr>
        <w:t>Part 6—Governing rules have changed</w:t>
      </w:r>
      <w:r w:rsidRPr="00411C46">
        <w:rPr>
          <w:b w:val="0"/>
          <w:noProof/>
          <w:sz w:val="18"/>
        </w:rPr>
        <w:tab/>
      </w:r>
      <w:r w:rsidRPr="00411C46">
        <w:rPr>
          <w:b w:val="0"/>
          <w:noProof/>
          <w:sz w:val="18"/>
        </w:rPr>
        <w:fldChar w:fldCharType="begin"/>
      </w:r>
      <w:r w:rsidRPr="00411C46">
        <w:rPr>
          <w:b w:val="0"/>
          <w:noProof/>
          <w:sz w:val="18"/>
        </w:rPr>
        <w:instrText xml:space="preserve"> PAGEREF _Toc49765428 \h </w:instrText>
      </w:r>
      <w:r w:rsidRPr="00411C46">
        <w:rPr>
          <w:b w:val="0"/>
          <w:noProof/>
          <w:sz w:val="18"/>
        </w:rPr>
      </w:r>
      <w:r w:rsidRPr="00411C46">
        <w:rPr>
          <w:b w:val="0"/>
          <w:noProof/>
          <w:sz w:val="18"/>
        </w:rPr>
        <w:fldChar w:fldCharType="separate"/>
      </w:r>
      <w:r w:rsidR="00F54F75">
        <w:rPr>
          <w:b w:val="0"/>
          <w:noProof/>
          <w:sz w:val="18"/>
        </w:rPr>
        <w:t>115</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22</w:t>
      </w:r>
      <w:r>
        <w:rPr>
          <w:noProof/>
        </w:rPr>
        <w:tab/>
        <w:t>Method of working out governing rules change adjustment amount in the formula in subclause 4(2)</w:t>
      </w:r>
      <w:r w:rsidRPr="00411C46">
        <w:rPr>
          <w:noProof/>
        </w:rPr>
        <w:tab/>
      </w:r>
      <w:r w:rsidRPr="00411C46">
        <w:rPr>
          <w:noProof/>
        </w:rPr>
        <w:fldChar w:fldCharType="begin"/>
      </w:r>
      <w:r w:rsidRPr="00411C46">
        <w:rPr>
          <w:noProof/>
        </w:rPr>
        <w:instrText xml:space="preserve"> PAGEREF _Toc49765429 \h </w:instrText>
      </w:r>
      <w:r w:rsidRPr="00411C46">
        <w:rPr>
          <w:noProof/>
        </w:rPr>
      </w:r>
      <w:r w:rsidRPr="00411C46">
        <w:rPr>
          <w:noProof/>
        </w:rPr>
        <w:fldChar w:fldCharType="separate"/>
      </w:r>
      <w:r w:rsidR="00F54F75">
        <w:rPr>
          <w:noProof/>
        </w:rPr>
        <w:t>115</w:t>
      </w:r>
      <w:r w:rsidRPr="00411C46">
        <w:rPr>
          <w:noProof/>
        </w:rPr>
        <w:fldChar w:fldCharType="end"/>
      </w:r>
    </w:p>
    <w:p w:rsidR="00411C46" w:rsidRDefault="00411C46">
      <w:pPr>
        <w:pStyle w:val="TOC2"/>
        <w:rPr>
          <w:rFonts w:asciiTheme="minorHAnsi" w:eastAsiaTheme="minorEastAsia" w:hAnsiTheme="minorHAnsi" w:cstheme="minorBidi"/>
          <w:b w:val="0"/>
          <w:noProof/>
          <w:kern w:val="0"/>
          <w:sz w:val="22"/>
          <w:szCs w:val="22"/>
        </w:rPr>
      </w:pPr>
      <w:r>
        <w:rPr>
          <w:noProof/>
        </w:rPr>
        <w:lastRenderedPageBreak/>
        <w:t>Part 7—Non</w:t>
      </w:r>
      <w:r>
        <w:rPr>
          <w:noProof/>
        </w:rPr>
        <w:noBreakHyphen/>
        <w:t>arm’s length increase in superannuation salary</w:t>
      </w:r>
      <w:r w:rsidRPr="00411C46">
        <w:rPr>
          <w:b w:val="0"/>
          <w:noProof/>
          <w:sz w:val="18"/>
        </w:rPr>
        <w:tab/>
      </w:r>
      <w:r w:rsidRPr="00411C46">
        <w:rPr>
          <w:b w:val="0"/>
          <w:noProof/>
          <w:sz w:val="18"/>
        </w:rPr>
        <w:fldChar w:fldCharType="begin"/>
      </w:r>
      <w:r w:rsidRPr="00411C46">
        <w:rPr>
          <w:b w:val="0"/>
          <w:noProof/>
          <w:sz w:val="18"/>
        </w:rPr>
        <w:instrText xml:space="preserve"> PAGEREF _Toc49765430 \h </w:instrText>
      </w:r>
      <w:r w:rsidRPr="00411C46">
        <w:rPr>
          <w:b w:val="0"/>
          <w:noProof/>
          <w:sz w:val="18"/>
        </w:rPr>
      </w:r>
      <w:r w:rsidRPr="00411C46">
        <w:rPr>
          <w:b w:val="0"/>
          <w:noProof/>
          <w:sz w:val="18"/>
        </w:rPr>
        <w:fldChar w:fldCharType="separate"/>
      </w:r>
      <w:r w:rsidR="00F54F75">
        <w:rPr>
          <w:b w:val="0"/>
          <w:noProof/>
          <w:sz w:val="18"/>
        </w:rPr>
        <w:t>116</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23</w:t>
      </w:r>
      <w:r>
        <w:rPr>
          <w:noProof/>
        </w:rPr>
        <w:tab/>
        <w:t xml:space="preserve">Method of working out </w:t>
      </w:r>
      <w:r>
        <w:rPr>
          <w:noProof/>
          <w:lang w:eastAsia="en-US"/>
        </w:rPr>
        <w:t>the increased superannuation salary adjustment amount</w:t>
      </w:r>
      <w:r w:rsidRPr="00DC60FC">
        <w:rPr>
          <w:i/>
          <w:noProof/>
        </w:rPr>
        <w:t xml:space="preserve"> </w:t>
      </w:r>
      <w:r>
        <w:rPr>
          <w:noProof/>
        </w:rPr>
        <w:t>in the formula in subclause 4(2)</w:t>
      </w:r>
      <w:r w:rsidRPr="00411C46">
        <w:rPr>
          <w:noProof/>
        </w:rPr>
        <w:tab/>
      </w:r>
      <w:r w:rsidRPr="00411C46">
        <w:rPr>
          <w:noProof/>
        </w:rPr>
        <w:fldChar w:fldCharType="begin"/>
      </w:r>
      <w:r w:rsidRPr="00411C46">
        <w:rPr>
          <w:noProof/>
        </w:rPr>
        <w:instrText xml:space="preserve"> PAGEREF _Toc49765431 \h </w:instrText>
      </w:r>
      <w:r w:rsidRPr="00411C46">
        <w:rPr>
          <w:noProof/>
        </w:rPr>
      </w:r>
      <w:r w:rsidRPr="00411C46">
        <w:rPr>
          <w:noProof/>
        </w:rPr>
        <w:fldChar w:fldCharType="separate"/>
      </w:r>
      <w:r w:rsidR="00F54F75">
        <w:rPr>
          <w:noProof/>
        </w:rPr>
        <w:t>116</w:t>
      </w:r>
      <w:r w:rsidRPr="00411C46">
        <w:rPr>
          <w:noProof/>
        </w:rPr>
        <w:fldChar w:fldCharType="end"/>
      </w:r>
    </w:p>
    <w:p w:rsidR="00411C46" w:rsidRDefault="00411C46">
      <w:pPr>
        <w:pStyle w:val="TOC1"/>
        <w:rPr>
          <w:rFonts w:asciiTheme="minorHAnsi" w:eastAsiaTheme="minorEastAsia" w:hAnsiTheme="minorHAnsi" w:cstheme="minorBidi"/>
          <w:b w:val="0"/>
          <w:noProof/>
          <w:kern w:val="0"/>
          <w:sz w:val="22"/>
          <w:szCs w:val="22"/>
        </w:rPr>
      </w:pPr>
      <w:r>
        <w:rPr>
          <w:noProof/>
        </w:rPr>
        <w:t>Schedule 1B—Valuation factors</w:t>
      </w:r>
      <w:r w:rsidRPr="00411C46">
        <w:rPr>
          <w:b w:val="0"/>
          <w:noProof/>
          <w:sz w:val="18"/>
        </w:rPr>
        <w:tab/>
      </w:r>
      <w:r w:rsidRPr="00411C46">
        <w:rPr>
          <w:b w:val="0"/>
          <w:noProof/>
          <w:sz w:val="18"/>
        </w:rPr>
        <w:fldChar w:fldCharType="begin"/>
      </w:r>
      <w:r w:rsidRPr="00411C46">
        <w:rPr>
          <w:b w:val="0"/>
          <w:noProof/>
          <w:sz w:val="18"/>
        </w:rPr>
        <w:instrText xml:space="preserve"> PAGEREF _Toc49765432 \h </w:instrText>
      </w:r>
      <w:r w:rsidRPr="00411C46">
        <w:rPr>
          <w:b w:val="0"/>
          <w:noProof/>
          <w:sz w:val="18"/>
        </w:rPr>
      </w:r>
      <w:r w:rsidRPr="00411C46">
        <w:rPr>
          <w:b w:val="0"/>
          <w:noProof/>
          <w:sz w:val="18"/>
        </w:rPr>
        <w:fldChar w:fldCharType="separate"/>
      </w:r>
      <w:r w:rsidR="00F54F75">
        <w:rPr>
          <w:b w:val="0"/>
          <w:noProof/>
          <w:sz w:val="18"/>
        </w:rPr>
        <w:t>117</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1</w:t>
      </w:r>
      <w:r>
        <w:rPr>
          <w:noProof/>
        </w:rPr>
        <w:tab/>
        <w:t>Income stream valuation factors</w:t>
      </w:r>
      <w:r w:rsidRPr="00411C46">
        <w:rPr>
          <w:noProof/>
        </w:rPr>
        <w:tab/>
      </w:r>
      <w:r w:rsidRPr="00411C46">
        <w:rPr>
          <w:noProof/>
        </w:rPr>
        <w:fldChar w:fldCharType="begin"/>
      </w:r>
      <w:r w:rsidRPr="00411C46">
        <w:rPr>
          <w:noProof/>
        </w:rPr>
        <w:instrText xml:space="preserve"> PAGEREF _Toc49765433 \h </w:instrText>
      </w:r>
      <w:r w:rsidRPr="00411C46">
        <w:rPr>
          <w:noProof/>
        </w:rPr>
      </w:r>
      <w:r w:rsidRPr="00411C46">
        <w:rPr>
          <w:noProof/>
        </w:rPr>
        <w:fldChar w:fldCharType="separate"/>
      </w:r>
      <w:r w:rsidR="00F54F75">
        <w:rPr>
          <w:noProof/>
        </w:rPr>
        <w:t>117</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2</w:t>
      </w:r>
      <w:r>
        <w:rPr>
          <w:noProof/>
        </w:rPr>
        <w:tab/>
        <w:t>Lump sum valuation factors</w:t>
      </w:r>
      <w:r w:rsidRPr="00411C46">
        <w:rPr>
          <w:noProof/>
        </w:rPr>
        <w:tab/>
      </w:r>
      <w:r w:rsidRPr="00411C46">
        <w:rPr>
          <w:noProof/>
        </w:rPr>
        <w:fldChar w:fldCharType="begin"/>
      </w:r>
      <w:r w:rsidRPr="00411C46">
        <w:rPr>
          <w:noProof/>
        </w:rPr>
        <w:instrText xml:space="preserve"> PAGEREF _Toc49765434 \h </w:instrText>
      </w:r>
      <w:r w:rsidRPr="00411C46">
        <w:rPr>
          <w:noProof/>
        </w:rPr>
      </w:r>
      <w:r w:rsidRPr="00411C46">
        <w:rPr>
          <w:noProof/>
        </w:rPr>
        <w:fldChar w:fldCharType="separate"/>
      </w:r>
      <w:r w:rsidR="00F54F75">
        <w:rPr>
          <w:noProof/>
        </w:rPr>
        <w:t>120</w:t>
      </w:r>
      <w:r w:rsidRPr="00411C46">
        <w:rPr>
          <w:noProof/>
        </w:rPr>
        <w:fldChar w:fldCharType="end"/>
      </w:r>
    </w:p>
    <w:p w:rsidR="00411C46" w:rsidRDefault="00411C46">
      <w:pPr>
        <w:pStyle w:val="TOC1"/>
        <w:rPr>
          <w:rFonts w:asciiTheme="minorHAnsi" w:eastAsiaTheme="minorEastAsia" w:hAnsiTheme="minorHAnsi" w:cstheme="minorBidi"/>
          <w:b w:val="0"/>
          <w:noProof/>
          <w:kern w:val="0"/>
          <w:sz w:val="22"/>
          <w:szCs w:val="22"/>
        </w:rPr>
      </w:pPr>
      <w:r>
        <w:rPr>
          <w:noProof/>
        </w:rPr>
        <w:t>Schedule 1C—Farm management deposits—statements to be read by depositors</w:t>
      </w:r>
      <w:r w:rsidRPr="00411C46">
        <w:rPr>
          <w:b w:val="0"/>
          <w:noProof/>
          <w:sz w:val="18"/>
        </w:rPr>
        <w:tab/>
      </w:r>
      <w:r w:rsidRPr="00411C46">
        <w:rPr>
          <w:b w:val="0"/>
          <w:noProof/>
          <w:sz w:val="18"/>
        </w:rPr>
        <w:fldChar w:fldCharType="begin"/>
      </w:r>
      <w:r w:rsidRPr="00411C46">
        <w:rPr>
          <w:b w:val="0"/>
          <w:noProof/>
          <w:sz w:val="18"/>
        </w:rPr>
        <w:instrText xml:space="preserve"> PAGEREF _Toc49765435 \h </w:instrText>
      </w:r>
      <w:r w:rsidRPr="00411C46">
        <w:rPr>
          <w:b w:val="0"/>
          <w:noProof/>
          <w:sz w:val="18"/>
        </w:rPr>
      </w:r>
      <w:r w:rsidRPr="00411C46">
        <w:rPr>
          <w:b w:val="0"/>
          <w:noProof/>
          <w:sz w:val="18"/>
        </w:rPr>
        <w:fldChar w:fldCharType="separate"/>
      </w:r>
      <w:r w:rsidR="00F54F75">
        <w:rPr>
          <w:b w:val="0"/>
          <w:noProof/>
          <w:sz w:val="18"/>
        </w:rPr>
        <w:t>123</w:t>
      </w:r>
      <w:r w:rsidRPr="00411C46">
        <w:rPr>
          <w:b w:val="0"/>
          <w:noProof/>
          <w:sz w:val="18"/>
        </w:rPr>
        <w:fldChar w:fldCharType="end"/>
      </w:r>
    </w:p>
    <w:p w:rsidR="00411C46" w:rsidRDefault="00411C46">
      <w:pPr>
        <w:pStyle w:val="TOC2"/>
        <w:rPr>
          <w:rFonts w:asciiTheme="minorHAnsi" w:eastAsiaTheme="minorEastAsia" w:hAnsiTheme="minorHAnsi" w:cstheme="minorBidi"/>
          <w:b w:val="0"/>
          <w:noProof/>
          <w:kern w:val="0"/>
          <w:sz w:val="22"/>
          <w:szCs w:val="22"/>
        </w:rPr>
      </w:pPr>
      <w:r>
        <w:rPr>
          <w:noProof/>
        </w:rPr>
        <w:t>Part 1—Statements</w:t>
      </w:r>
      <w:r w:rsidRPr="00411C46">
        <w:rPr>
          <w:b w:val="0"/>
          <w:noProof/>
          <w:sz w:val="18"/>
        </w:rPr>
        <w:tab/>
      </w:r>
      <w:r w:rsidRPr="00411C46">
        <w:rPr>
          <w:b w:val="0"/>
          <w:noProof/>
          <w:sz w:val="18"/>
        </w:rPr>
        <w:fldChar w:fldCharType="begin"/>
      </w:r>
      <w:r w:rsidRPr="00411C46">
        <w:rPr>
          <w:b w:val="0"/>
          <w:noProof/>
          <w:sz w:val="18"/>
        </w:rPr>
        <w:instrText xml:space="preserve"> PAGEREF _Toc49765436 \h </w:instrText>
      </w:r>
      <w:r w:rsidRPr="00411C46">
        <w:rPr>
          <w:b w:val="0"/>
          <w:noProof/>
          <w:sz w:val="18"/>
        </w:rPr>
      </w:r>
      <w:r w:rsidRPr="00411C46">
        <w:rPr>
          <w:b w:val="0"/>
          <w:noProof/>
          <w:sz w:val="18"/>
        </w:rPr>
        <w:fldChar w:fldCharType="separate"/>
      </w:r>
      <w:r w:rsidR="00F54F75">
        <w:rPr>
          <w:b w:val="0"/>
          <w:noProof/>
          <w:sz w:val="18"/>
        </w:rPr>
        <w:t>123</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1</w:t>
      </w:r>
      <w:r>
        <w:rPr>
          <w:noProof/>
        </w:rPr>
        <w:tab/>
        <w:t>Statements for the purposes of paragraph 393</w:t>
      </w:r>
      <w:r>
        <w:rPr>
          <w:noProof/>
        </w:rPr>
        <w:noBreakHyphen/>
        <w:t>20.02(a)</w:t>
      </w:r>
      <w:r w:rsidRPr="00411C46">
        <w:rPr>
          <w:noProof/>
        </w:rPr>
        <w:tab/>
      </w:r>
      <w:r w:rsidRPr="00411C46">
        <w:rPr>
          <w:noProof/>
        </w:rPr>
        <w:fldChar w:fldCharType="begin"/>
      </w:r>
      <w:r w:rsidRPr="00411C46">
        <w:rPr>
          <w:noProof/>
        </w:rPr>
        <w:instrText xml:space="preserve"> PAGEREF _Toc49765437 \h </w:instrText>
      </w:r>
      <w:r w:rsidRPr="00411C46">
        <w:rPr>
          <w:noProof/>
        </w:rPr>
      </w:r>
      <w:r w:rsidRPr="00411C46">
        <w:rPr>
          <w:noProof/>
        </w:rPr>
        <w:fldChar w:fldCharType="separate"/>
      </w:r>
      <w:r w:rsidR="00F54F75">
        <w:rPr>
          <w:noProof/>
        </w:rPr>
        <w:t>123</w:t>
      </w:r>
      <w:r w:rsidRPr="00411C46">
        <w:rPr>
          <w:noProof/>
        </w:rPr>
        <w:fldChar w:fldCharType="end"/>
      </w:r>
    </w:p>
    <w:p w:rsidR="00411C46" w:rsidRDefault="00411C46">
      <w:pPr>
        <w:pStyle w:val="TOC2"/>
        <w:rPr>
          <w:rFonts w:asciiTheme="minorHAnsi" w:eastAsiaTheme="minorEastAsia" w:hAnsiTheme="minorHAnsi" w:cstheme="minorBidi"/>
          <w:b w:val="0"/>
          <w:noProof/>
          <w:kern w:val="0"/>
          <w:sz w:val="22"/>
          <w:szCs w:val="22"/>
        </w:rPr>
      </w:pPr>
      <w:r>
        <w:rPr>
          <w:noProof/>
        </w:rPr>
        <w:t>Part 2—Required statements</w:t>
      </w:r>
      <w:r w:rsidRPr="00411C46">
        <w:rPr>
          <w:b w:val="0"/>
          <w:noProof/>
          <w:sz w:val="18"/>
        </w:rPr>
        <w:tab/>
      </w:r>
      <w:r w:rsidRPr="00411C46">
        <w:rPr>
          <w:b w:val="0"/>
          <w:noProof/>
          <w:sz w:val="18"/>
        </w:rPr>
        <w:fldChar w:fldCharType="begin"/>
      </w:r>
      <w:r w:rsidRPr="00411C46">
        <w:rPr>
          <w:b w:val="0"/>
          <w:noProof/>
          <w:sz w:val="18"/>
        </w:rPr>
        <w:instrText xml:space="preserve"> PAGEREF _Toc49765438 \h </w:instrText>
      </w:r>
      <w:r w:rsidRPr="00411C46">
        <w:rPr>
          <w:b w:val="0"/>
          <w:noProof/>
          <w:sz w:val="18"/>
        </w:rPr>
      </w:r>
      <w:r w:rsidRPr="00411C46">
        <w:rPr>
          <w:b w:val="0"/>
          <w:noProof/>
          <w:sz w:val="18"/>
        </w:rPr>
        <w:fldChar w:fldCharType="separate"/>
      </w:r>
      <w:r w:rsidR="00F54F75">
        <w:rPr>
          <w:b w:val="0"/>
          <w:noProof/>
          <w:sz w:val="18"/>
        </w:rPr>
        <w:t>124</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2</w:t>
      </w:r>
      <w:r>
        <w:rPr>
          <w:noProof/>
        </w:rPr>
        <w:tab/>
        <w:t>Statements for the purposes of paragraph 393</w:t>
      </w:r>
      <w:r>
        <w:rPr>
          <w:noProof/>
        </w:rPr>
        <w:noBreakHyphen/>
        <w:t>20.02(b)</w:t>
      </w:r>
      <w:r w:rsidRPr="00411C46">
        <w:rPr>
          <w:noProof/>
        </w:rPr>
        <w:tab/>
      </w:r>
      <w:r w:rsidRPr="00411C46">
        <w:rPr>
          <w:noProof/>
        </w:rPr>
        <w:fldChar w:fldCharType="begin"/>
      </w:r>
      <w:r w:rsidRPr="00411C46">
        <w:rPr>
          <w:noProof/>
        </w:rPr>
        <w:instrText xml:space="preserve"> PAGEREF _Toc49765439 \h </w:instrText>
      </w:r>
      <w:r w:rsidRPr="00411C46">
        <w:rPr>
          <w:noProof/>
        </w:rPr>
      </w:r>
      <w:r w:rsidRPr="00411C46">
        <w:rPr>
          <w:noProof/>
        </w:rPr>
        <w:fldChar w:fldCharType="separate"/>
      </w:r>
      <w:r w:rsidR="00F54F75">
        <w:rPr>
          <w:noProof/>
        </w:rPr>
        <w:t>124</w:t>
      </w:r>
      <w:r w:rsidRPr="00411C46">
        <w:rPr>
          <w:noProof/>
        </w:rPr>
        <w:fldChar w:fldCharType="end"/>
      </w:r>
    </w:p>
    <w:p w:rsidR="00411C46" w:rsidRDefault="00411C46">
      <w:pPr>
        <w:pStyle w:val="TOC2"/>
        <w:rPr>
          <w:rFonts w:asciiTheme="minorHAnsi" w:eastAsiaTheme="minorEastAsia" w:hAnsiTheme="minorHAnsi" w:cstheme="minorBidi"/>
          <w:b w:val="0"/>
          <w:noProof/>
          <w:kern w:val="0"/>
          <w:sz w:val="22"/>
          <w:szCs w:val="22"/>
        </w:rPr>
      </w:pPr>
      <w:r>
        <w:rPr>
          <w:noProof/>
        </w:rPr>
        <w:t>Part 3—Additional information</w:t>
      </w:r>
      <w:r w:rsidRPr="00411C46">
        <w:rPr>
          <w:b w:val="0"/>
          <w:noProof/>
          <w:sz w:val="18"/>
        </w:rPr>
        <w:tab/>
      </w:r>
      <w:r w:rsidRPr="00411C46">
        <w:rPr>
          <w:b w:val="0"/>
          <w:noProof/>
          <w:sz w:val="18"/>
        </w:rPr>
        <w:fldChar w:fldCharType="begin"/>
      </w:r>
      <w:r w:rsidRPr="00411C46">
        <w:rPr>
          <w:b w:val="0"/>
          <w:noProof/>
          <w:sz w:val="18"/>
        </w:rPr>
        <w:instrText xml:space="preserve"> PAGEREF _Toc49765440 \h </w:instrText>
      </w:r>
      <w:r w:rsidRPr="00411C46">
        <w:rPr>
          <w:b w:val="0"/>
          <w:noProof/>
          <w:sz w:val="18"/>
        </w:rPr>
      </w:r>
      <w:r w:rsidRPr="00411C46">
        <w:rPr>
          <w:b w:val="0"/>
          <w:noProof/>
          <w:sz w:val="18"/>
        </w:rPr>
        <w:fldChar w:fldCharType="separate"/>
      </w:r>
      <w:r w:rsidR="00F54F75">
        <w:rPr>
          <w:b w:val="0"/>
          <w:noProof/>
          <w:sz w:val="18"/>
        </w:rPr>
        <w:t>126</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w:t>
      </w:r>
      <w:r>
        <w:rPr>
          <w:noProof/>
        </w:rPr>
        <w:tab/>
        <w:t>Additional information for the purposes of paragraph 393</w:t>
      </w:r>
      <w:r>
        <w:rPr>
          <w:noProof/>
        </w:rPr>
        <w:noBreakHyphen/>
        <w:t>20.02(c)</w:t>
      </w:r>
      <w:r w:rsidRPr="00411C46">
        <w:rPr>
          <w:noProof/>
        </w:rPr>
        <w:tab/>
      </w:r>
      <w:r w:rsidRPr="00411C46">
        <w:rPr>
          <w:noProof/>
        </w:rPr>
        <w:fldChar w:fldCharType="begin"/>
      </w:r>
      <w:r w:rsidRPr="00411C46">
        <w:rPr>
          <w:noProof/>
        </w:rPr>
        <w:instrText xml:space="preserve"> PAGEREF _Toc49765441 \h </w:instrText>
      </w:r>
      <w:r w:rsidRPr="00411C46">
        <w:rPr>
          <w:noProof/>
        </w:rPr>
      </w:r>
      <w:r w:rsidRPr="00411C46">
        <w:rPr>
          <w:noProof/>
        </w:rPr>
        <w:fldChar w:fldCharType="separate"/>
      </w:r>
      <w:r w:rsidR="00F54F75">
        <w:rPr>
          <w:noProof/>
        </w:rPr>
        <w:t>126</w:t>
      </w:r>
      <w:r w:rsidRPr="00411C46">
        <w:rPr>
          <w:noProof/>
        </w:rPr>
        <w:fldChar w:fldCharType="end"/>
      </w:r>
    </w:p>
    <w:p w:rsidR="00411C46" w:rsidRDefault="00411C46">
      <w:pPr>
        <w:pStyle w:val="TOC1"/>
        <w:rPr>
          <w:rFonts w:asciiTheme="minorHAnsi" w:eastAsiaTheme="minorEastAsia" w:hAnsiTheme="minorHAnsi" w:cstheme="minorBidi"/>
          <w:b w:val="0"/>
          <w:noProof/>
          <w:kern w:val="0"/>
          <w:sz w:val="22"/>
          <w:szCs w:val="22"/>
        </w:rPr>
      </w:pPr>
      <w:r>
        <w:rPr>
          <w:noProof/>
        </w:rPr>
        <w:t>Schedule 2—Translation of currency amounts—rules and other requirements</w:t>
      </w:r>
      <w:r w:rsidRPr="00411C46">
        <w:rPr>
          <w:b w:val="0"/>
          <w:noProof/>
          <w:sz w:val="18"/>
        </w:rPr>
        <w:tab/>
      </w:r>
      <w:r w:rsidRPr="00411C46">
        <w:rPr>
          <w:b w:val="0"/>
          <w:noProof/>
          <w:sz w:val="18"/>
        </w:rPr>
        <w:fldChar w:fldCharType="begin"/>
      </w:r>
      <w:r w:rsidRPr="00411C46">
        <w:rPr>
          <w:b w:val="0"/>
          <w:noProof/>
          <w:sz w:val="18"/>
        </w:rPr>
        <w:instrText xml:space="preserve"> PAGEREF _Toc49765442 \h </w:instrText>
      </w:r>
      <w:r w:rsidRPr="00411C46">
        <w:rPr>
          <w:b w:val="0"/>
          <w:noProof/>
          <w:sz w:val="18"/>
        </w:rPr>
      </w:r>
      <w:r w:rsidRPr="00411C46">
        <w:rPr>
          <w:b w:val="0"/>
          <w:noProof/>
          <w:sz w:val="18"/>
        </w:rPr>
        <w:fldChar w:fldCharType="separate"/>
      </w:r>
      <w:r w:rsidR="00F54F75">
        <w:rPr>
          <w:b w:val="0"/>
          <w:noProof/>
          <w:sz w:val="18"/>
        </w:rPr>
        <w:t>127</w:t>
      </w:r>
      <w:r w:rsidRPr="00411C46">
        <w:rPr>
          <w:b w:val="0"/>
          <w:noProof/>
          <w:sz w:val="18"/>
        </w:rPr>
        <w:fldChar w:fldCharType="end"/>
      </w:r>
    </w:p>
    <w:p w:rsidR="00411C46" w:rsidRDefault="00411C46">
      <w:pPr>
        <w:pStyle w:val="TOC2"/>
        <w:rPr>
          <w:rFonts w:asciiTheme="minorHAnsi" w:eastAsiaTheme="minorEastAsia" w:hAnsiTheme="minorHAnsi" w:cstheme="minorBidi"/>
          <w:b w:val="0"/>
          <w:noProof/>
          <w:kern w:val="0"/>
          <w:sz w:val="22"/>
          <w:szCs w:val="22"/>
        </w:rPr>
      </w:pPr>
      <w:r>
        <w:rPr>
          <w:noProof/>
        </w:rPr>
        <w:t>Part 1—Rules and requirements for item 12 of the table in subsection 960</w:t>
      </w:r>
      <w:r>
        <w:rPr>
          <w:noProof/>
        </w:rPr>
        <w:noBreakHyphen/>
        <w:t>50(6) of the Act</w:t>
      </w:r>
      <w:r w:rsidRPr="00411C46">
        <w:rPr>
          <w:b w:val="0"/>
          <w:noProof/>
          <w:sz w:val="18"/>
        </w:rPr>
        <w:tab/>
      </w:r>
      <w:r w:rsidRPr="00411C46">
        <w:rPr>
          <w:b w:val="0"/>
          <w:noProof/>
          <w:sz w:val="18"/>
        </w:rPr>
        <w:fldChar w:fldCharType="begin"/>
      </w:r>
      <w:r w:rsidRPr="00411C46">
        <w:rPr>
          <w:b w:val="0"/>
          <w:noProof/>
          <w:sz w:val="18"/>
        </w:rPr>
        <w:instrText xml:space="preserve"> PAGEREF _Toc49765443 \h </w:instrText>
      </w:r>
      <w:r w:rsidRPr="00411C46">
        <w:rPr>
          <w:b w:val="0"/>
          <w:noProof/>
          <w:sz w:val="18"/>
        </w:rPr>
      </w:r>
      <w:r w:rsidRPr="00411C46">
        <w:rPr>
          <w:b w:val="0"/>
          <w:noProof/>
          <w:sz w:val="18"/>
        </w:rPr>
        <w:fldChar w:fldCharType="separate"/>
      </w:r>
      <w:r w:rsidR="00F54F75">
        <w:rPr>
          <w:b w:val="0"/>
          <w:noProof/>
          <w:sz w:val="18"/>
        </w:rPr>
        <w:t>127</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1</w:t>
      </w:r>
      <w:r>
        <w:rPr>
          <w:noProof/>
        </w:rPr>
        <w:tab/>
        <w:t>Exchange rate—consistency with accounting standards used by entity</w:t>
      </w:r>
      <w:r w:rsidRPr="00411C46">
        <w:rPr>
          <w:noProof/>
        </w:rPr>
        <w:tab/>
      </w:r>
      <w:r w:rsidRPr="00411C46">
        <w:rPr>
          <w:noProof/>
        </w:rPr>
        <w:fldChar w:fldCharType="begin"/>
      </w:r>
      <w:r w:rsidRPr="00411C46">
        <w:rPr>
          <w:noProof/>
        </w:rPr>
        <w:instrText xml:space="preserve"> PAGEREF _Toc49765444 \h </w:instrText>
      </w:r>
      <w:r w:rsidRPr="00411C46">
        <w:rPr>
          <w:noProof/>
        </w:rPr>
      </w:r>
      <w:r w:rsidRPr="00411C46">
        <w:rPr>
          <w:noProof/>
        </w:rPr>
        <w:fldChar w:fldCharType="separate"/>
      </w:r>
      <w:r w:rsidR="00F54F75">
        <w:rPr>
          <w:noProof/>
        </w:rPr>
        <w:t>127</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2</w:t>
      </w:r>
      <w:r>
        <w:rPr>
          <w:noProof/>
        </w:rPr>
        <w:tab/>
        <w:t>Choice of daily exchange rate</w:t>
      </w:r>
      <w:r w:rsidRPr="00411C46">
        <w:rPr>
          <w:noProof/>
        </w:rPr>
        <w:tab/>
      </w:r>
      <w:r w:rsidRPr="00411C46">
        <w:rPr>
          <w:noProof/>
        </w:rPr>
        <w:fldChar w:fldCharType="begin"/>
      </w:r>
      <w:r w:rsidRPr="00411C46">
        <w:rPr>
          <w:noProof/>
        </w:rPr>
        <w:instrText xml:space="preserve"> PAGEREF _Toc49765445 \h </w:instrText>
      </w:r>
      <w:r w:rsidRPr="00411C46">
        <w:rPr>
          <w:noProof/>
        </w:rPr>
      </w:r>
      <w:r w:rsidRPr="00411C46">
        <w:rPr>
          <w:noProof/>
        </w:rPr>
        <w:fldChar w:fldCharType="separate"/>
      </w:r>
      <w:r w:rsidR="00F54F75">
        <w:rPr>
          <w:noProof/>
        </w:rPr>
        <w:t>127</w:t>
      </w:r>
      <w:r w:rsidRPr="00411C46">
        <w:rPr>
          <w:noProof/>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3</w:t>
      </w:r>
      <w:r>
        <w:rPr>
          <w:noProof/>
        </w:rPr>
        <w:tab/>
        <w:t>Choice of average exchange rate</w:t>
      </w:r>
      <w:r w:rsidRPr="00411C46">
        <w:rPr>
          <w:noProof/>
        </w:rPr>
        <w:tab/>
      </w:r>
      <w:r w:rsidRPr="00411C46">
        <w:rPr>
          <w:noProof/>
        </w:rPr>
        <w:fldChar w:fldCharType="begin"/>
      </w:r>
      <w:r w:rsidRPr="00411C46">
        <w:rPr>
          <w:noProof/>
        </w:rPr>
        <w:instrText xml:space="preserve"> PAGEREF _Toc49765446 \h </w:instrText>
      </w:r>
      <w:r w:rsidRPr="00411C46">
        <w:rPr>
          <w:noProof/>
        </w:rPr>
      </w:r>
      <w:r w:rsidRPr="00411C46">
        <w:rPr>
          <w:noProof/>
        </w:rPr>
        <w:fldChar w:fldCharType="separate"/>
      </w:r>
      <w:r w:rsidR="00F54F75">
        <w:rPr>
          <w:noProof/>
        </w:rPr>
        <w:t>128</w:t>
      </w:r>
      <w:r w:rsidRPr="00411C46">
        <w:rPr>
          <w:noProof/>
        </w:rPr>
        <w:fldChar w:fldCharType="end"/>
      </w:r>
    </w:p>
    <w:p w:rsidR="00411C46" w:rsidRDefault="00411C46">
      <w:pPr>
        <w:pStyle w:val="TOC2"/>
        <w:rPr>
          <w:rFonts w:asciiTheme="minorHAnsi" w:eastAsiaTheme="minorEastAsia" w:hAnsiTheme="minorHAnsi" w:cstheme="minorBidi"/>
          <w:b w:val="0"/>
          <w:noProof/>
          <w:kern w:val="0"/>
          <w:sz w:val="22"/>
          <w:szCs w:val="22"/>
        </w:rPr>
      </w:pPr>
      <w:r>
        <w:rPr>
          <w:noProof/>
        </w:rPr>
        <w:t>Part 2—Translation of foreign currency amounts into Australian currency—rules and requirements for item 11A of the table in subsection 960</w:t>
      </w:r>
      <w:r>
        <w:rPr>
          <w:noProof/>
        </w:rPr>
        <w:noBreakHyphen/>
        <w:t>50(6) of the Act</w:t>
      </w:r>
      <w:r w:rsidRPr="00411C46">
        <w:rPr>
          <w:b w:val="0"/>
          <w:noProof/>
          <w:sz w:val="18"/>
        </w:rPr>
        <w:tab/>
      </w:r>
      <w:r w:rsidRPr="00411C46">
        <w:rPr>
          <w:b w:val="0"/>
          <w:noProof/>
          <w:sz w:val="18"/>
        </w:rPr>
        <w:fldChar w:fldCharType="begin"/>
      </w:r>
      <w:r w:rsidRPr="00411C46">
        <w:rPr>
          <w:b w:val="0"/>
          <w:noProof/>
          <w:sz w:val="18"/>
        </w:rPr>
        <w:instrText xml:space="preserve"> PAGEREF _Toc49765447 \h </w:instrText>
      </w:r>
      <w:r w:rsidRPr="00411C46">
        <w:rPr>
          <w:b w:val="0"/>
          <w:noProof/>
          <w:sz w:val="18"/>
        </w:rPr>
      </w:r>
      <w:r w:rsidRPr="00411C46">
        <w:rPr>
          <w:b w:val="0"/>
          <w:noProof/>
          <w:sz w:val="18"/>
        </w:rPr>
        <w:fldChar w:fldCharType="separate"/>
      </w:r>
      <w:r w:rsidR="00F54F75">
        <w:rPr>
          <w:b w:val="0"/>
          <w:noProof/>
          <w:sz w:val="18"/>
        </w:rPr>
        <w:t>129</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4</w:t>
      </w:r>
      <w:r>
        <w:rPr>
          <w:noProof/>
        </w:rPr>
        <w:tab/>
        <w:t>Exchange rate—consistency with an entity’s financial records</w:t>
      </w:r>
      <w:r w:rsidRPr="00411C46">
        <w:rPr>
          <w:noProof/>
        </w:rPr>
        <w:tab/>
      </w:r>
      <w:r w:rsidRPr="00411C46">
        <w:rPr>
          <w:noProof/>
        </w:rPr>
        <w:fldChar w:fldCharType="begin"/>
      </w:r>
      <w:r w:rsidRPr="00411C46">
        <w:rPr>
          <w:noProof/>
        </w:rPr>
        <w:instrText xml:space="preserve"> PAGEREF _Toc49765448 \h </w:instrText>
      </w:r>
      <w:r w:rsidRPr="00411C46">
        <w:rPr>
          <w:noProof/>
        </w:rPr>
      </w:r>
      <w:r w:rsidRPr="00411C46">
        <w:rPr>
          <w:noProof/>
        </w:rPr>
        <w:fldChar w:fldCharType="separate"/>
      </w:r>
      <w:r w:rsidR="00F54F75">
        <w:rPr>
          <w:noProof/>
        </w:rPr>
        <w:t>129</w:t>
      </w:r>
      <w:r w:rsidRPr="00411C46">
        <w:rPr>
          <w:noProof/>
        </w:rPr>
        <w:fldChar w:fldCharType="end"/>
      </w:r>
    </w:p>
    <w:p w:rsidR="00411C46" w:rsidRDefault="00411C46">
      <w:pPr>
        <w:pStyle w:val="TOC1"/>
        <w:rPr>
          <w:rFonts w:asciiTheme="minorHAnsi" w:eastAsiaTheme="minorEastAsia" w:hAnsiTheme="minorHAnsi" w:cstheme="minorBidi"/>
          <w:b w:val="0"/>
          <w:noProof/>
          <w:kern w:val="0"/>
          <w:sz w:val="22"/>
          <w:szCs w:val="22"/>
        </w:rPr>
      </w:pPr>
      <w:r>
        <w:rPr>
          <w:noProof/>
        </w:rPr>
        <w:t>Schedule 3—Approved stock exchanges</w:t>
      </w:r>
      <w:r w:rsidRPr="00411C46">
        <w:rPr>
          <w:b w:val="0"/>
          <w:noProof/>
          <w:sz w:val="18"/>
        </w:rPr>
        <w:tab/>
      </w:r>
      <w:r w:rsidRPr="00411C46">
        <w:rPr>
          <w:b w:val="0"/>
          <w:noProof/>
          <w:sz w:val="18"/>
        </w:rPr>
        <w:fldChar w:fldCharType="begin"/>
      </w:r>
      <w:r w:rsidRPr="00411C46">
        <w:rPr>
          <w:b w:val="0"/>
          <w:noProof/>
          <w:sz w:val="18"/>
        </w:rPr>
        <w:instrText xml:space="preserve"> PAGEREF _Toc49765449 \h </w:instrText>
      </w:r>
      <w:r w:rsidRPr="00411C46">
        <w:rPr>
          <w:b w:val="0"/>
          <w:noProof/>
          <w:sz w:val="18"/>
        </w:rPr>
      </w:r>
      <w:r w:rsidRPr="00411C46">
        <w:rPr>
          <w:b w:val="0"/>
          <w:noProof/>
          <w:sz w:val="18"/>
        </w:rPr>
        <w:fldChar w:fldCharType="separate"/>
      </w:r>
      <w:r w:rsidR="00F54F75">
        <w:rPr>
          <w:b w:val="0"/>
          <w:noProof/>
          <w:sz w:val="18"/>
        </w:rPr>
        <w:t>130</w:t>
      </w:r>
      <w:r w:rsidRPr="00411C46">
        <w:rPr>
          <w:b w:val="0"/>
          <w:noProof/>
          <w:sz w:val="18"/>
        </w:rPr>
        <w:fldChar w:fldCharType="end"/>
      </w:r>
    </w:p>
    <w:p w:rsidR="00411C46" w:rsidRDefault="00411C46">
      <w:pPr>
        <w:pStyle w:val="TOC5"/>
        <w:rPr>
          <w:rFonts w:asciiTheme="minorHAnsi" w:eastAsiaTheme="minorEastAsia" w:hAnsiTheme="minorHAnsi" w:cstheme="minorBidi"/>
          <w:noProof/>
          <w:kern w:val="0"/>
          <w:sz w:val="22"/>
          <w:szCs w:val="22"/>
        </w:rPr>
      </w:pPr>
      <w:r>
        <w:rPr>
          <w:noProof/>
        </w:rPr>
        <w:t>1</w:t>
      </w:r>
      <w:r>
        <w:rPr>
          <w:noProof/>
        </w:rPr>
        <w:tab/>
        <w:t>Approved stock exchanges</w:t>
      </w:r>
      <w:r w:rsidRPr="00411C46">
        <w:rPr>
          <w:noProof/>
        </w:rPr>
        <w:tab/>
      </w:r>
      <w:r w:rsidRPr="00411C46">
        <w:rPr>
          <w:noProof/>
        </w:rPr>
        <w:fldChar w:fldCharType="begin"/>
      </w:r>
      <w:r w:rsidRPr="00411C46">
        <w:rPr>
          <w:noProof/>
        </w:rPr>
        <w:instrText xml:space="preserve"> PAGEREF _Toc49765450 \h </w:instrText>
      </w:r>
      <w:r w:rsidRPr="00411C46">
        <w:rPr>
          <w:noProof/>
        </w:rPr>
      </w:r>
      <w:r w:rsidRPr="00411C46">
        <w:rPr>
          <w:noProof/>
        </w:rPr>
        <w:fldChar w:fldCharType="separate"/>
      </w:r>
      <w:r w:rsidR="00F54F75">
        <w:rPr>
          <w:noProof/>
        </w:rPr>
        <w:t>130</w:t>
      </w:r>
      <w:r w:rsidRPr="00411C46">
        <w:rPr>
          <w:noProof/>
        </w:rPr>
        <w:fldChar w:fldCharType="end"/>
      </w:r>
    </w:p>
    <w:p w:rsidR="00670EA1" w:rsidRPr="002B1A95" w:rsidRDefault="00411C46" w:rsidP="00715914">
      <w:r>
        <w:fldChar w:fldCharType="end"/>
      </w:r>
    </w:p>
    <w:p w:rsidR="00670EA1" w:rsidRPr="002B1A95" w:rsidRDefault="00670EA1" w:rsidP="00715914">
      <w:pPr>
        <w:sectPr w:rsidR="00670EA1" w:rsidRPr="002B1A95" w:rsidSect="003104D0">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EC12C4" w:rsidRPr="002B1A95" w:rsidRDefault="003D2F06" w:rsidP="003D2F06">
      <w:pPr>
        <w:pStyle w:val="ActHead1"/>
        <w:pageBreakBefore/>
      </w:pPr>
      <w:bookmarkStart w:id="0" w:name="_Toc49765180"/>
      <w:r w:rsidRPr="00411C46">
        <w:rPr>
          <w:rStyle w:val="CharChapNo"/>
        </w:rPr>
        <w:lastRenderedPageBreak/>
        <w:t>Chapter</w:t>
      </w:r>
      <w:r w:rsidR="002B1A95" w:rsidRPr="00411C46">
        <w:rPr>
          <w:rStyle w:val="CharChapNo"/>
        </w:rPr>
        <w:t> </w:t>
      </w:r>
      <w:r w:rsidRPr="00411C46">
        <w:rPr>
          <w:rStyle w:val="CharChapNo"/>
        </w:rPr>
        <w:t>1</w:t>
      </w:r>
      <w:r w:rsidRPr="002B1A95">
        <w:t>—</w:t>
      </w:r>
      <w:r w:rsidRPr="00411C46">
        <w:rPr>
          <w:rStyle w:val="CharChapText"/>
        </w:rPr>
        <w:t>Introduction and core provisions</w:t>
      </w:r>
      <w:bookmarkEnd w:id="0"/>
    </w:p>
    <w:p w:rsidR="00715914" w:rsidRPr="002B1A95" w:rsidRDefault="00715914" w:rsidP="009F135A">
      <w:pPr>
        <w:pStyle w:val="Header"/>
      </w:pPr>
      <w:r w:rsidRPr="00411C46">
        <w:rPr>
          <w:rStyle w:val="CharPartNo"/>
        </w:rPr>
        <w:t xml:space="preserve"> </w:t>
      </w:r>
      <w:r w:rsidRPr="00411C46">
        <w:rPr>
          <w:rStyle w:val="CharPartText"/>
        </w:rPr>
        <w:t xml:space="preserve"> </w:t>
      </w:r>
      <w:r w:rsidR="009F135A" w:rsidRPr="00411C46">
        <w:t xml:space="preserve"> </w:t>
      </w:r>
      <w:r w:rsidR="009F135A" w:rsidRPr="002B1A95">
        <w:t xml:space="preserve"> </w:t>
      </w:r>
    </w:p>
    <w:p w:rsidR="009612C0" w:rsidRPr="002B1A95" w:rsidRDefault="009612C0" w:rsidP="00715914">
      <w:pPr>
        <w:pStyle w:val="ActHead5"/>
      </w:pPr>
      <w:r w:rsidRPr="002B1A95">
        <w:t xml:space="preserve">  </w:t>
      </w:r>
    </w:p>
    <w:p w:rsidR="00715914" w:rsidRPr="002B1A95" w:rsidRDefault="00715914" w:rsidP="00715914">
      <w:pPr>
        <w:pStyle w:val="ActHead5"/>
      </w:pPr>
      <w:bookmarkStart w:id="1" w:name="_Toc49765181"/>
      <w:r w:rsidRPr="00411C46">
        <w:rPr>
          <w:rStyle w:val="CharSectno"/>
        </w:rPr>
        <w:t>1</w:t>
      </w:r>
      <w:r w:rsidRPr="002B1A95">
        <w:t xml:space="preserve">  </w:t>
      </w:r>
      <w:r w:rsidR="00CE493D" w:rsidRPr="002B1A95">
        <w:t>Name</w:t>
      </w:r>
      <w:bookmarkEnd w:id="1"/>
    </w:p>
    <w:p w:rsidR="00715914" w:rsidRPr="002B1A95" w:rsidRDefault="00715914" w:rsidP="00715914">
      <w:pPr>
        <w:pStyle w:val="subsection"/>
      </w:pPr>
      <w:r w:rsidRPr="002B1A95">
        <w:tab/>
      </w:r>
      <w:r w:rsidRPr="002B1A95">
        <w:tab/>
      </w:r>
      <w:r w:rsidR="00A7368E" w:rsidRPr="002B1A95">
        <w:t>This instrument is</w:t>
      </w:r>
      <w:r w:rsidR="00CE493D" w:rsidRPr="002B1A95">
        <w:t xml:space="preserve"> the </w:t>
      </w:r>
      <w:r w:rsidR="00BC76AC" w:rsidRPr="002B1A95">
        <w:rPr>
          <w:i/>
        </w:rPr>
        <w:fldChar w:fldCharType="begin"/>
      </w:r>
      <w:r w:rsidR="00BC76AC" w:rsidRPr="002B1A95">
        <w:rPr>
          <w:i/>
        </w:rPr>
        <w:instrText xml:space="preserve"> STYLEREF  ShortT </w:instrText>
      </w:r>
      <w:r w:rsidR="00BC76AC" w:rsidRPr="002B1A95">
        <w:rPr>
          <w:i/>
        </w:rPr>
        <w:fldChar w:fldCharType="separate"/>
      </w:r>
      <w:r w:rsidR="00F54F75">
        <w:rPr>
          <w:i/>
          <w:noProof/>
        </w:rPr>
        <w:t>Income Tax Assessment Regulations 2020</w:t>
      </w:r>
      <w:r w:rsidR="00BC76AC" w:rsidRPr="002B1A95">
        <w:rPr>
          <w:i/>
        </w:rPr>
        <w:fldChar w:fldCharType="end"/>
      </w:r>
      <w:r w:rsidRPr="002B1A95">
        <w:t>.</w:t>
      </w:r>
    </w:p>
    <w:p w:rsidR="00715914" w:rsidRPr="002B1A95" w:rsidRDefault="00715914" w:rsidP="00715914">
      <w:pPr>
        <w:pStyle w:val="ActHead5"/>
      </w:pPr>
      <w:bookmarkStart w:id="2" w:name="_Toc49765182"/>
      <w:r w:rsidRPr="00411C46">
        <w:rPr>
          <w:rStyle w:val="CharSectno"/>
        </w:rPr>
        <w:t>2</w:t>
      </w:r>
      <w:r w:rsidRPr="002B1A95">
        <w:t xml:space="preserve">  Commencement</w:t>
      </w:r>
      <w:bookmarkEnd w:id="2"/>
    </w:p>
    <w:p w:rsidR="00726A51" w:rsidRPr="002B1A95" w:rsidRDefault="00726A51" w:rsidP="00726A51">
      <w:pPr>
        <w:pStyle w:val="subsection"/>
      </w:pPr>
      <w:r w:rsidRPr="002B1A95">
        <w:tab/>
        <w:t>(1)</w:t>
      </w:r>
      <w:r w:rsidRPr="002B1A95">
        <w:tab/>
        <w:t>Each provision of this instrument specified in column 1 of the table commences, or is taken to have commenced, in accordance with column 2 of the table. Any other statement in column 2 has effect according to its terms.</w:t>
      </w:r>
    </w:p>
    <w:p w:rsidR="00726A51" w:rsidRPr="002B1A95" w:rsidRDefault="00726A51" w:rsidP="00726A51">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169"/>
        <w:gridCol w:w="4480"/>
        <w:gridCol w:w="1878"/>
      </w:tblGrid>
      <w:tr w:rsidR="00726A51" w:rsidRPr="002B1A95" w:rsidTr="003104D0">
        <w:trPr>
          <w:tblHeader/>
        </w:trPr>
        <w:tc>
          <w:tcPr>
            <w:tcW w:w="5000" w:type="pct"/>
            <w:gridSpan w:val="3"/>
            <w:tcBorders>
              <w:top w:val="single" w:sz="12" w:space="0" w:color="auto"/>
              <w:bottom w:val="single" w:sz="2" w:space="0" w:color="auto"/>
            </w:tcBorders>
            <w:shd w:val="clear" w:color="auto" w:fill="auto"/>
            <w:hideMark/>
          </w:tcPr>
          <w:p w:rsidR="00726A51" w:rsidRPr="002B1A95" w:rsidRDefault="00726A51" w:rsidP="00726A51">
            <w:pPr>
              <w:pStyle w:val="TableHeading"/>
            </w:pPr>
            <w:r w:rsidRPr="002B1A95">
              <w:t>Commencement information</w:t>
            </w:r>
          </w:p>
        </w:tc>
      </w:tr>
      <w:tr w:rsidR="00726A51" w:rsidRPr="002B1A95" w:rsidTr="003104D0">
        <w:trPr>
          <w:tblHeader/>
        </w:trPr>
        <w:tc>
          <w:tcPr>
            <w:tcW w:w="1272" w:type="pct"/>
            <w:tcBorders>
              <w:top w:val="single" w:sz="2" w:space="0" w:color="auto"/>
              <w:bottom w:val="single" w:sz="2" w:space="0" w:color="auto"/>
            </w:tcBorders>
            <w:shd w:val="clear" w:color="auto" w:fill="auto"/>
            <w:hideMark/>
          </w:tcPr>
          <w:p w:rsidR="00726A51" w:rsidRPr="002B1A95" w:rsidRDefault="00726A51" w:rsidP="00726A51">
            <w:pPr>
              <w:pStyle w:val="TableHeading"/>
            </w:pPr>
            <w:r w:rsidRPr="002B1A95">
              <w:t>Column 1</w:t>
            </w:r>
          </w:p>
        </w:tc>
        <w:tc>
          <w:tcPr>
            <w:tcW w:w="2627" w:type="pct"/>
            <w:tcBorders>
              <w:top w:val="single" w:sz="2" w:space="0" w:color="auto"/>
              <w:bottom w:val="single" w:sz="2" w:space="0" w:color="auto"/>
            </w:tcBorders>
            <w:shd w:val="clear" w:color="auto" w:fill="auto"/>
            <w:hideMark/>
          </w:tcPr>
          <w:p w:rsidR="00726A51" w:rsidRPr="002B1A95" w:rsidRDefault="00726A51" w:rsidP="00726A51">
            <w:pPr>
              <w:pStyle w:val="TableHeading"/>
            </w:pPr>
            <w:r w:rsidRPr="002B1A95">
              <w:t>Column 2</w:t>
            </w:r>
          </w:p>
        </w:tc>
        <w:tc>
          <w:tcPr>
            <w:tcW w:w="1102" w:type="pct"/>
            <w:tcBorders>
              <w:top w:val="single" w:sz="2" w:space="0" w:color="auto"/>
              <w:bottom w:val="single" w:sz="2" w:space="0" w:color="auto"/>
            </w:tcBorders>
            <w:shd w:val="clear" w:color="auto" w:fill="auto"/>
            <w:hideMark/>
          </w:tcPr>
          <w:p w:rsidR="00726A51" w:rsidRPr="002B1A95" w:rsidRDefault="00726A51" w:rsidP="00726A51">
            <w:pPr>
              <w:pStyle w:val="TableHeading"/>
            </w:pPr>
            <w:r w:rsidRPr="002B1A95">
              <w:t>Column 3</w:t>
            </w:r>
          </w:p>
        </w:tc>
      </w:tr>
      <w:tr w:rsidR="00726A51" w:rsidRPr="002B1A95" w:rsidTr="003104D0">
        <w:trPr>
          <w:tblHeader/>
        </w:trPr>
        <w:tc>
          <w:tcPr>
            <w:tcW w:w="1272" w:type="pct"/>
            <w:tcBorders>
              <w:top w:val="single" w:sz="2" w:space="0" w:color="auto"/>
              <w:bottom w:val="single" w:sz="12" w:space="0" w:color="auto"/>
            </w:tcBorders>
            <w:shd w:val="clear" w:color="auto" w:fill="auto"/>
            <w:hideMark/>
          </w:tcPr>
          <w:p w:rsidR="00726A51" w:rsidRPr="002B1A95" w:rsidRDefault="00726A51" w:rsidP="00726A51">
            <w:pPr>
              <w:pStyle w:val="TableHeading"/>
            </w:pPr>
            <w:r w:rsidRPr="002B1A95">
              <w:t>Provisions</w:t>
            </w:r>
          </w:p>
        </w:tc>
        <w:tc>
          <w:tcPr>
            <w:tcW w:w="2627" w:type="pct"/>
            <w:tcBorders>
              <w:top w:val="single" w:sz="2" w:space="0" w:color="auto"/>
              <w:bottom w:val="single" w:sz="12" w:space="0" w:color="auto"/>
            </w:tcBorders>
            <w:shd w:val="clear" w:color="auto" w:fill="auto"/>
            <w:hideMark/>
          </w:tcPr>
          <w:p w:rsidR="00726A51" w:rsidRPr="002B1A95" w:rsidRDefault="00726A51" w:rsidP="00726A51">
            <w:pPr>
              <w:pStyle w:val="TableHeading"/>
            </w:pPr>
            <w:r w:rsidRPr="002B1A95">
              <w:t>Commencement</w:t>
            </w:r>
          </w:p>
        </w:tc>
        <w:tc>
          <w:tcPr>
            <w:tcW w:w="1102" w:type="pct"/>
            <w:tcBorders>
              <w:top w:val="single" w:sz="2" w:space="0" w:color="auto"/>
              <w:bottom w:val="single" w:sz="12" w:space="0" w:color="auto"/>
            </w:tcBorders>
            <w:shd w:val="clear" w:color="auto" w:fill="auto"/>
            <w:hideMark/>
          </w:tcPr>
          <w:p w:rsidR="00726A51" w:rsidRPr="002B1A95" w:rsidRDefault="00726A51" w:rsidP="00726A51">
            <w:pPr>
              <w:pStyle w:val="TableHeading"/>
            </w:pPr>
            <w:r w:rsidRPr="002B1A95">
              <w:t>Date/Details</w:t>
            </w:r>
          </w:p>
        </w:tc>
      </w:tr>
      <w:tr w:rsidR="00726A51" w:rsidRPr="002B1A95" w:rsidTr="003104D0">
        <w:tc>
          <w:tcPr>
            <w:tcW w:w="1272" w:type="pct"/>
            <w:tcBorders>
              <w:top w:val="single" w:sz="12" w:space="0" w:color="auto"/>
              <w:bottom w:val="single" w:sz="12" w:space="0" w:color="auto"/>
            </w:tcBorders>
            <w:shd w:val="clear" w:color="auto" w:fill="auto"/>
            <w:hideMark/>
          </w:tcPr>
          <w:p w:rsidR="00726A51" w:rsidRPr="002B1A95" w:rsidRDefault="00726A51" w:rsidP="00726A51">
            <w:pPr>
              <w:pStyle w:val="Tabletext"/>
            </w:pPr>
            <w:r w:rsidRPr="002B1A95">
              <w:t>1.  The whole of this instrument</w:t>
            </w:r>
          </w:p>
        </w:tc>
        <w:tc>
          <w:tcPr>
            <w:tcW w:w="2627" w:type="pct"/>
            <w:tcBorders>
              <w:top w:val="single" w:sz="12" w:space="0" w:color="auto"/>
              <w:bottom w:val="single" w:sz="12" w:space="0" w:color="auto"/>
            </w:tcBorders>
            <w:shd w:val="clear" w:color="auto" w:fill="auto"/>
            <w:hideMark/>
          </w:tcPr>
          <w:p w:rsidR="00726A51" w:rsidRPr="002B1A95" w:rsidRDefault="00726A51" w:rsidP="00726A51">
            <w:pPr>
              <w:pStyle w:val="Tabletext"/>
            </w:pPr>
            <w:r w:rsidRPr="002B1A95">
              <w:t>The day after this instrument is registered.</w:t>
            </w:r>
          </w:p>
        </w:tc>
        <w:tc>
          <w:tcPr>
            <w:tcW w:w="1102" w:type="pct"/>
            <w:tcBorders>
              <w:top w:val="single" w:sz="12" w:space="0" w:color="auto"/>
              <w:bottom w:val="single" w:sz="12" w:space="0" w:color="auto"/>
            </w:tcBorders>
            <w:shd w:val="clear" w:color="auto" w:fill="auto"/>
          </w:tcPr>
          <w:p w:rsidR="00726A51" w:rsidRPr="002B1A95" w:rsidRDefault="00726A51" w:rsidP="00726A51">
            <w:pPr>
              <w:pStyle w:val="Tabletext"/>
            </w:pPr>
          </w:p>
        </w:tc>
      </w:tr>
    </w:tbl>
    <w:p w:rsidR="00726A51" w:rsidRPr="002B1A95" w:rsidRDefault="00726A51" w:rsidP="00726A51">
      <w:pPr>
        <w:pStyle w:val="notetext"/>
      </w:pPr>
      <w:r w:rsidRPr="002B1A95">
        <w:rPr>
          <w:snapToGrid w:val="0"/>
          <w:lang w:eastAsia="en-US"/>
        </w:rPr>
        <w:t>Note:</w:t>
      </w:r>
      <w:r w:rsidRPr="002B1A95">
        <w:rPr>
          <w:snapToGrid w:val="0"/>
          <w:lang w:eastAsia="en-US"/>
        </w:rPr>
        <w:tab/>
        <w:t xml:space="preserve">This table relates only to the provisions of this </w:t>
      </w:r>
      <w:r w:rsidRPr="002B1A95">
        <w:t xml:space="preserve">instrument </w:t>
      </w:r>
      <w:r w:rsidRPr="002B1A95">
        <w:rPr>
          <w:snapToGrid w:val="0"/>
          <w:lang w:eastAsia="en-US"/>
        </w:rPr>
        <w:t xml:space="preserve">as originally made. It will not be amended to deal with any later amendments of this </w:t>
      </w:r>
      <w:r w:rsidRPr="002B1A95">
        <w:t>instrument</w:t>
      </w:r>
      <w:r w:rsidRPr="002B1A95">
        <w:rPr>
          <w:snapToGrid w:val="0"/>
          <w:lang w:eastAsia="en-US"/>
        </w:rPr>
        <w:t>.</w:t>
      </w:r>
    </w:p>
    <w:p w:rsidR="00726A51" w:rsidRPr="002B1A95" w:rsidRDefault="00726A51" w:rsidP="00726A51">
      <w:pPr>
        <w:pStyle w:val="subsection"/>
      </w:pPr>
      <w:r w:rsidRPr="002B1A95">
        <w:tab/>
        <w:t>(2)</w:t>
      </w:r>
      <w:r w:rsidRPr="002B1A95">
        <w:tab/>
        <w:t>Any information in column 3 of the table is not part of this instrument. Information may be inserted in this column, or information in it may be edited, in any published version of this instrument.</w:t>
      </w:r>
    </w:p>
    <w:p w:rsidR="007500C8" w:rsidRPr="002B1A95" w:rsidRDefault="007500C8" w:rsidP="007500C8">
      <w:pPr>
        <w:pStyle w:val="ActHead5"/>
      </w:pPr>
      <w:bookmarkStart w:id="3" w:name="_Toc49765183"/>
      <w:r w:rsidRPr="00411C46">
        <w:rPr>
          <w:rStyle w:val="CharSectno"/>
        </w:rPr>
        <w:t>3</w:t>
      </w:r>
      <w:r w:rsidRPr="002B1A95">
        <w:t xml:space="preserve">  Authority</w:t>
      </w:r>
      <w:bookmarkEnd w:id="3"/>
    </w:p>
    <w:p w:rsidR="00D72009" w:rsidRPr="002B1A95" w:rsidRDefault="007500C8" w:rsidP="00404973">
      <w:pPr>
        <w:pStyle w:val="subsection"/>
      </w:pPr>
      <w:r w:rsidRPr="002B1A95">
        <w:tab/>
      </w:r>
      <w:r w:rsidR="00404973" w:rsidRPr="002B1A95">
        <w:t>(1)</w:t>
      </w:r>
      <w:r w:rsidRPr="002B1A95">
        <w:tab/>
      </w:r>
      <w:r w:rsidR="00404973" w:rsidRPr="002B1A95">
        <w:t xml:space="preserve">Subject to </w:t>
      </w:r>
      <w:r w:rsidR="002B1A95" w:rsidRPr="002B1A95">
        <w:t>subsection (</w:t>
      </w:r>
      <w:r w:rsidR="00404973" w:rsidRPr="002B1A95">
        <w:t>2), t</w:t>
      </w:r>
      <w:r w:rsidR="00A7368E" w:rsidRPr="002B1A95">
        <w:t>his instrument is</w:t>
      </w:r>
      <w:r w:rsidR="00404973" w:rsidRPr="002B1A95">
        <w:t xml:space="preserve"> made under </w:t>
      </w:r>
      <w:r w:rsidR="00216A2E" w:rsidRPr="002B1A95">
        <w:t xml:space="preserve">the </w:t>
      </w:r>
      <w:r w:rsidR="00A7368E" w:rsidRPr="002B1A95">
        <w:rPr>
          <w:i/>
        </w:rPr>
        <w:t>Income Tax Assessment Act 1997</w:t>
      </w:r>
      <w:r w:rsidR="00404973" w:rsidRPr="002B1A95">
        <w:t>.</w:t>
      </w:r>
    </w:p>
    <w:p w:rsidR="00216A2E" w:rsidRPr="002B1A95" w:rsidRDefault="00404973" w:rsidP="00404973">
      <w:pPr>
        <w:pStyle w:val="subsection"/>
      </w:pPr>
      <w:r w:rsidRPr="002B1A95">
        <w:tab/>
        <w:t>(2)</w:t>
      </w:r>
      <w:r w:rsidRPr="002B1A95">
        <w:tab/>
        <w:t>Sections 291</w:t>
      </w:r>
      <w:r w:rsidR="00782250">
        <w:noBreakHyphen/>
      </w:r>
      <w:r w:rsidRPr="002B1A95">
        <w:t>170.05</w:t>
      </w:r>
      <w:r w:rsidR="00C830F7" w:rsidRPr="002B1A95">
        <w:t xml:space="preserve"> and</w:t>
      </w:r>
      <w:r w:rsidRPr="002B1A95">
        <w:t xml:space="preserve"> 291</w:t>
      </w:r>
      <w:r w:rsidR="00782250">
        <w:noBreakHyphen/>
      </w:r>
      <w:r w:rsidRPr="002B1A95">
        <w:t>170.0</w:t>
      </w:r>
      <w:r w:rsidR="00C830F7" w:rsidRPr="002B1A95">
        <w:t>7</w:t>
      </w:r>
      <w:r w:rsidRPr="002B1A95">
        <w:t xml:space="preserve"> are made under the</w:t>
      </w:r>
      <w:r w:rsidR="00216A2E" w:rsidRPr="002B1A95">
        <w:t xml:space="preserve"> </w:t>
      </w:r>
      <w:r w:rsidR="00216A2E" w:rsidRPr="002B1A95">
        <w:rPr>
          <w:i/>
        </w:rPr>
        <w:t>Income Tax (Transitional Provisions) Act 1997</w:t>
      </w:r>
      <w:r w:rsidR="00216A2E" w:rsidRPr="002B1A95">
        <w:t>.</w:t>
      </w:r>
    </w:p>
    <w:p w:rsidR="005B63A2" w:rsidRPr="002B1A95" w:rsidRDefault="005B63A2" w:rsidP="005B63A2">
      <w:pPr>
        <w:pStyle w:val="ActHead1"/>
        <w:pageBreakBefore/>
      </w:pPr>
      <w:bookmarkStart w:id="4" w:name="_Toc49765184"/>
      <w:r w:rsidRPr="00411C46">
        <w:rPr>
          <w:rStyle w:val="CharChapNo"/>
        </w:rPr>
        <w:lastRenderedPageBreak/>
        <w:t>Chapter</w:t>
      </w:r>
      <w:r w:rsidR="002B1A95" w:rsidRPr="00411C46">
        <w:rPr>
          <w:rStyle w:val="CharChapNo"/>
        </w:rPr>
        <w:t> </w:t>
      </w:r>
      <w:r w:rsidRPr="00411C46">
        <w:rPr>
          <w:rStyle w:val="CharChapNo"/>
        </w:rPr>
        <w:t>2</w:t>
      </w:r>
      <w:r w:rsidRPr="002B1A95">
        <w:t>—</w:t>
      </w:r>
      <w:r w:rsidRPr="00411C46">
        <w:rPr>
          <w:rStyle w:val="CharChapText"/>
        </w:rPr>
        <w:t>Liability rules of general application</w:t>
      </w:r>
      <w:bookmarkEnd w:id="4"/>
    </w:p>
    <w:p w:rsidR="005B63A2" w:rsidRPr="002B1A95" w:rsidRDefault="005B63A2" w:rsidP="005B63A2">
      <w:pPr>
        <w:pStyle w:val="ActHead2"/>
      </w:pPr>
      <w:bookmarkStart w:id="5" w:name="_Toc49765185"/>
      <w:r w:rsidRPr="00411C46">
        <w:rPr>
          <w:rStyle w:val="CharPartNo"/>
        </w:rPr>
        <w:t>Part</w:t>
      </w:r>
      <w:r w:rsidR="002B1A95" w:rsidRPr="00411C46">
        <w:rPr>
          <w:rStyle w:val="CharPartNo"/>
        </w:rPr>
        <w:t> </w:t>
      </w:r>
      <w:r w:rsidRPr="00411C46">
        <w:rPr>
          <w:rStyle w:val="CharPartNo"/>
        </w:rPr>
        <w:t>2</w:t>
      </w:r>
      <w:r w:rsidR="00782250" w:rsidRPr="00411C46">
        <w:rPr>
          <w:rStyle w:val="CharPartNo"/>
        </w:rPr>
        <w:noBreakHyphen/>
      </w:r>
      <w:r w:rsidRPr="00411C46">
        <w:rPr>
          <w:rStyle w:val="CharPartNo"/>
        </w:rPr>
        <w:t>5</w:t>
      </w:r>
      <w:r w:rsidRPr="002B1A95">
        <w:t>—</w:t>
      </w:r>
      <w:r w:rsidRPr="00411C46">
        <w:rPr>
          <w:rStyle w:val="CharPartText"/>
        </w:rPr>
        <w:t>Rules about deductibility of particular kinds of amounts</w:t>
      </w:r>
      <w:bookmarkEnd w:id="5"/>
    </w:p>
    <w:p w:rsidR="005B63A2" w:rsidRPr="002B1A95" w:rsidRDefault="005B63A2" w:rsidP="005B63A2">
      <w:pPr>
        <w:pStyle w:val="ActHead3"/>
      </w:pPr>
      <w:bookmarkStart w:id="6" w:name="_Toc49765186"/>
      <w:r w:rsidRPr="00411C46">
        <w:rPr>
          <w:rStyle w:val="CharDivNo"/>
        </w:rPr>
        <w:t>Division</w:t>
      </w:r>
      <w:r w:rsidR="002B1A95" w:rsidRPr="00411C46">
        <w:rPr>
          <w:rStyle w:val="CharDivNo"/>
        </w:rPr>
        <w:t> </w:t>
      </w:r>
      <w:r w:rsidRPr="00411C46">
        <w:rPr>
          <w:rStyle w:val="CharDivNo"/>
        </w:rPr>
        <w:t>26</w:t>
      </w:r>
      <w:r w:rsidRPr="002B1A95">
        <w:t>—</w:t>
      </w:r>
      <w:r w:rsidRPr="00411C46">
        <w:rPr>
          <w:rStyle w:val="CharDivText"/>
        </w:rPr>
        <w:t>Some amounts you cannot deduct, or cannot deduct in full</w:t>
      </w:r>
      <w:bookmarkEnd w:id="6"/>
    </w:p>
    <w:p w:rsidR="005B63A2" w:rsidRPr="002B1A95" w:rsidRDefault="005B63A2" w:rsidP="005B63A2">
      <w:pPr>
        <w:pStyle w:val="ActHead5"/>
      </w:pPr>
      <w:bookmarkStart w:id="7" w:name="_Toc49765187"/>
      <w:r w:rsidRPr="00411C46">
        <w:rPr>
          <w:rStyle w:val="CharSectno"/>
        </w:rPr>
        <w:t>26</w:t>
      </w:r>
      <w:r w:rsidR="00782250" w:rsidRPr="00411C46">
        <w:rPr>
          <w:rStyle w:val="CharSectno"/>
        </w:rPr>
        <w:noBreakHyphen/>
      </w:r>
      <w:r w:rsidRPr="00411C46">
        <w:rPr>
          <w:rStyle w:val="CharSectno"/>
        </w:rPr>
        <w:t>85.01</w:t>
      </w:r>
      <w:r w:rsidRPr="002B1A95">
        <w:t xml:space="preserve">  Borrowing costs on loans to pay life insurance premiums—term insurance policy etc.</w:t>
      </w:r>
      <w:bookmarkEnd w:id="7"/>
    </w:p>
    <w:p w:rsidR="005B63A2" w:rsidRPr="002B1A95" w:rsidRDefault="005B63A2" w:rsidP="005B63A2">
      <w:pPr>
        <w:pStyle w:val="subsection"/>
      </w:pPr>
      <w:r w:rsidRPr="002B1A95">
        <w:tab/>
      </w:r>
      <w:r w:rsidRPr="002B1A95">
        <w:tab/>
        <w:t>For the purposes of subsection</w:t>
      </w:r>
      <w:r w:rsidR="002B1A95" w:rsidRPr="002B1A95">
        <w:t> </w:t>
      </w:r>
      <w:r w:rsidRPr="002B1A95">
        <w:t>26</w:t>
      </w:r>
      <w:r w:rsidR="00782250">
        <w:noBreakHyphen/>
      </w:r>
      <w:r w:rsidRPr="002B1A95">
        <w:t>85(2) of the Act, the risk component of a premium received in respect of a life insurance policy that is:</w:t>
      </w:r>
    </w:p>
    <w:p w:rsidR="005B63A2" w:rsidRPr="002B1A95" w:rsidRDefault="005B63A2" w:rsidP="005B63A2">
      <w:pPr>
        <w:pStyle w:val="paragraph"/>
      </w:pPr>
      <w:r w:rsidRPr="002B1A95">
        <w:rPr>
          <w:color w:val="000000"/>
        </w:rPr>
        <w:tab/>
        <w:t>(a)</w:t>
      </w:r>
      <w:r w:rsidRPr="002B1A95">
        <w:rPr>
          <w:color w:val="000000"/>
        </w:rPr>
        <w:tab/>
        <w:t>a term insurance policy; or</w:t>
      </w:r>
    </w:p>
    <w:p w:rsidR="005B63A2" w:rsidRPr="002B1A95" w:rsidRDefault="005B63A2" w:rsidP="005B63A2">
      <w:pPr>
        <w:pStyle w:val="paragraph"/>
      </w:pPr>
      <w:r w:rsidRPr="002B1A95">
        <w:tab/>
        <w:t>(b)</w:t>
      </w:r>
      <w:r w:rsidRPr="002B1A95">
        <w:tab/>
        <w:t>a rider or supplementary benefit attached to another policy where the sum insured is payable on death within a specified term;</w:t>
      </w:r>
    </w:p>
    <w:p w:rsidR="005B63A2" w:rsidRPr="002B1A95" w:rsidRDefault="005B63A2" w:rsidP="005B63A2">
      <w:pPr>
        <w:pStyle w:val="subsection2"/>
        <w:rPr>
          <w:color w:val="000000"/>
        </w:rPr>
      </w:pPr>
      <w:r w:rsidRPr="002B1A95">
        <w:rPr>
          <w:color w:val="000000"/>
        </w:rPr>
        <w:t>is an amount that is equal to the whole of the amount of the premium.</w:t>
      </w:r>
    </w:p>
    <w:p w:rsidR="005B63A2" w:rsidRPr="002B1A95" w:rsidRDefault="005B63A2" w:rsidP="005B63A2">
      <w:pPr>
        <w:pStyle w:val="ActHead3"/>
        <w:pageBreakBefore/>
      </w:pPr>
      <w:bookmarkStart w:id="8" w:name="_Toc49765188"/>
      <w:r w:rsidRPr="00411C46">
        <w:rPr>
          <w:rStyle w:val="CharDivNo"/>
        </w:rPr>
        <w:lastRenderedPageBreak/>
        <w:t>Division</w:t>
      </w:r>
      <w:r w:rsidR="002B1A95" w:rsidRPr="00411C46">
        <w:rPr>
          <w:rStyle w:val="CharDivNo"/>
        </w:rPr>
        <w:t> </w:t>
      </w:r>
      <w:r w:rsidRPr="00411C46">
        <w:rPr>
          <w:rStyle w:val="CharDivNo"/>
        </w:rPr>
        <w:t>30</w:t>
      </w:r>
      <w:r w:rsidRPr="002B1A95">
        <w:t>—</w:t>
      </w:r>
      <w:r w:rsidRPr="00411C46">
        <w:rPr>
          <w:rStyle w:val="CharDivText"/>
        </w:rPr>
        <w:t>Gifts or contributions</w:t>
      </w:r>
      <w:bookmarkEnd w:id="8"/>
    </w:p>
    <w:p w:rsidR="005B63A2" w:rsidRPr="002B1A95" w:rsidRDefault="005B63A2" w:rsidP="005B63A2">
      <w:pPr>
        <w:pStyle w:val="ActHead5"/>
      </w:pPr>
      <w:bookmarkStart w:id="9" w:name="_Toc49765189"/>
      <w:r w:rsidRPr="00411C46">
        <w:rPr>
          <w:rStyle w:val="CharSectno"/>
        </w:rPr>
        <w:t>30</w:t>
      </w:r>
      <w:r w:rsidR="00782250" w:rsidRPr="00411C46">
        <w:rPr>
          <w:rStyle w:val="CharSectno"/>
        </w:rPr>
        <w:noBreakHyphen/>
      </w:r>
      <w:r w:rsidRPr="00411C46">
        <w:rPr>
          <w:rStyle w:val="CharSectno"/>
        </w:rPr>
        <w:t>212.01</w:t>
      </w:r>
      <w:r w:rsidRPr="002B1A95">
        <w:t xml:space="preserve">  Valuation of gifts</w:t>
      </w:r>
      <w:bookmarkEnd w:id="9"/>
    </w:p>
    <w:p w:rsidR="005B63A2" w:rsidRPr="002B1A95" w:rsidRDefault="005B63A2" w:rsidP="005B63A2">
      <w:pPr>
        <w:pStyle w:val="subsection"/>
      </w:pPr>
      <w:r w:rsidRPr="002B1A95">
        <w:tab/>
      </w:r>
      <w:r w:rsidRPr="002B1A95">
        <w:tab/>
        <w:t>For the purposes of section</w:t>
      </w:r>
      <w:r w:rsidR="002B1A95" w:rsidRPr="002B1A95">
        <w:t> </w:t>
      </w:r>
      <w:r w:rsidRPr="002B1A95">
        <w:t>30</w:t>
      </w:r>
      <w:r w:rsidR="00782250">
        <w:noBreakHyphen/>
      </w:r>
      <w:r w:rsidRPr="002B1A95">
        <w:t>212 of the Act, this Division sets out:</w:t>
      </w:r>
    </w:p>
    <w:p w:rsidR="005B63A2" w:rsidRPr="002B1A95" w:rsidRDefault="005B63A2" w:rsidP="005B63A2">
      <w:pPr>
        <w:pStyle w:val="paragraph"/>
      </w:pPr>
      <w:r w:rsidRPr="002B1A95">
        <w:tab/>
        <w:t>(a)</w:t>
      </w:r>
      <w:r w:rsidRPr="002B1A95">
        <w:tab/>
        <w:t>the procedure for seeking a valuation from the Commissioner of a gift mentioned in that section; and</w:t>
      </w:r>
    </w:p>
    <w:p w:rsidR="005B63A2" w:rsidRPr="002B1A95" w:rsidRDefault="005B63A2" w:rsidP="005B63A2">
      <w:pPr>
        <w:pStyle w:val="paragraph"/>
      </w:pPr>
      <w:r w:rsidRPr="002B1A95">
        <w:tab/>
        <w:t>(b)</w:t>
      </w:r>
      <w:r w:rsidRPr="002B1A95">
        <w:tab/>
        <w:t>the amounts that the Commissioner may charge for making the valuation; and</w:t>
      </w:r>
    </w:p>
    <w:p w:rsidR="005B63A2" w:rsidRPr="002B1A95" w:rsidRDefault="005B63A2" w:rsidP="005B63A2">
      <w:pPr>
        <w:pStyle w:val="paragraph"/>
      </w:pPr>
      <w:r w:rsidRPr="002B1A95">
        <w:tab/>
        <w:t>(c)</w:t>
      </w:r>
      <w:r w:rsidRPr="002B1A95">
        <w:tab/>
        <w:t>arrangements for payment of those amounts.</w:t>
      </w:r>
    </w:p>
    <w:p w:rsidR="005B63A2" w:rsidRPr="002B1A95" w:rsidRDefault="005B63A2" w:rsidP="005B63A2">
      <w:pPr>
        <w:pStyle w:val="notetext"/>
      </w:pPr>
      <w:r w:rsidRPr="002B1A95">
        <w:t>Note:</w:t>
      </w:r>
      <w:r w:rsidRPr="002B1A95">
        <w:tab/>
        <w:t>Subsection</w:t>
      </w:r>
      <w:r w:rsidR="002B1A95" w:rsidRPr="002B1A95">
        <w:t> </w:t>
      </w:r>
      <w:r w:rsidRPr="002B1A95">
        <w:t>30</w:t>
      </w:r>
      <w:r w:rsidR="00782250">
        <w:noBreakHyphen/>
      </w:r>
      <w:r w:rsidRPr="002B1A95">
        <w:t>212(1) of the Act applies to a person who makes a gift that is covered by a provision of Division</w:t>
      </w:r>
      <w:r w:rsidR="002B1A95" w:rsidRPr="002B1A95">
        <w:t> </w:t>
      </w:r>
      <w:r w:rsidRPr="002B1A95">
        <w:t>30 of the Act that refers to the value of property as determined by the Commissioner.</w:t>
      </w:r>
    </w:p>
    <w:p w:rsidR="005B63A2" w:rsidRPr="002B1A95" w:rsidRDefault="005B63A2" w:rsidP="005B63A2">
      <w:pPr>
        <w:pStyle w:val="ActHead5"/>
      </w:pPr>
      <w:bookmarkStart w:id="10" w:name="_Toc49765190"/>
      <w:r w:rsidRPr="00411C46">
        <w:rPr>
          <w:rStyle w:val="CharSectno"/>
        </w:rPr>
        <w:t>30</w:t>
      </w:r>
      <w:r w:rsidR="00782250" w:rsidRPr="00411C46">
        <w:rPr>
          <w:rStyle w:val="CharSectno"/>
        </w:rPr>
        <w:noBreakHyphen/>
      </w:r>
      <w:r w:rsidRPr="00411C46">
        <w:rPr>
          <w:rStyle w:val="CharSectno"/>
        </w:rPr>
        <w:t>212.02</w:t>
      </w:r>
      <w:r w:rsidRPr="002B1A95">
        <w:t xml:space="preserve">  Application for valuation</w:t>
      </w:r>
      <w:bookmarkEnd w:id="10"/>
    </w:p>
    <w:p w:rsidR="005B63A2" w:rsidRPr="002B1A95" w:rsidRDefault="005B63A2" w:rsidP="005B63A2">
      <w:pPr>
        <w:pStyle w:val="subsection"/>
      </w:pPr>
      <w:r w:rsidRPr="002B1A95">
        <w:tab/>
      </w:r>
      <w:r w:rsidRPr="002B1A95">
        <w:tab/>
        <w:t>An application for a valuation must:</w:t>
      </w:r>
    </w:p>
    <w:p w:rsidR="005B63A2" w:rsidRPr="002B1A95" w:rsidRDefault="005B63A2" w:rsidP="005B63A2">
      <w:pPr>
        <w:pStyle w:val="paragraph"/>
      </w:pPr>
      <w:r w:rsidRPr="002B1A95">
        <w:tab/>
        <w:t>(a)</w:t>
      </w:r>
      <w:r w:rsidRPr="002B1A95">
        <w:tab/>
        <w:t>be in the approved form; and</w:t>
      </w:r>
    </w:p>
    <w:p w:rsidR="005B63A2" w:rsidRPr="002B1A95" w:rsidRDefault="005B63A2" w:rsidP="005B63A2">
      <w:pPr>
        <w:pStyle w:val="paragraph"/>
      </w:pPr>
      <w:r w:rsidRPr="002B1A95">
        <w:tab/>
        <w:t>(b)</w:t>
      </w:r>
      <w:r w:rsidRPr="002B1A95">
        <w:tab/>
        <w:t>be lodged with the Commissioner; and</w:t>
      </w:r>
    </w:p>
    <w:p w:rsidR="005B63A2" w:rsidRPr="002B1A95" w:rsidRDefault="005B63A2" w:rsidP="005B63A2">
      <w:pPr>
        <w:pStyle w:val="paragraph"/>
      </w:pPr>
      <w:r w:rsidRPr="002B1A95">
        <w:tab/>
        <w:t>(c)</w:t>
      </w:r>
      <w:r w:rsidRPr="002B1A95">
        <w:tab/>
        <w:t>include the deposit towards the charge for making the valuation required by the approved form, which must not be more than $1,000.</w:t>
      </w:r>
    </w:p>
    <w:p w:rsidR="005B63A2" w:rsidRPr="002B1A95" w:rsidRDefault="005B63A2" w:rsidP="005B63A2">
      <w:pPr>
        <w:pStyle w:val="notetext"/>
      </w:pPr>
      <w:r w:rsidRPr="002B1A95">
        <w:t>Note:</w:t>
      </w:r>
      <w:r w:rsidRPr="002B1A95">
        <w:tab/>
        <w:t xml:space="preserve">For </w:t>
      </w:r>
      <w:r w:rsidRPr="002B1A95">
        <w:rPr>
          <w:b/>
          <w:i/>
        </w:rPr>
        <w:t>approved form</w:t>
      </w:r>
      <w:r w:rsidRPr="002B1A95">
        <w:t>, see subsection</w:t>
      </w:r>
      <w:r w:rsidR="002B1A95" w:rsidRPr="002B1A95">
        <w:t> </w:t>
      </w:r>
      <w:r w:rsidRPr="002B1A95">
        <w:t>995</w:t>
      </w:r>
      <w:r w:rsidR="00782250">
        <w:noBreakHyphen/>
      </w:r>
      <w:r w:rsidRPr="002B1A95">
        <w:t>1(1) of the Act.</w:t>
      </w:r>
    </w:p>
    <w:p w:rsidR="005B63A2" w:rsidRPr="002B1A95" w:rsidRDefault="005B63A2" w:rsidP="005B63A2">
      <w:pPr>
        <w:pStyle w:val="ActHead5"/>
      </w:pPr>
      <w:bookmarkStart w:id="11" w:name="_Toc49765191"/>
      <w:r w:rsidRPr="00411C46">
        <w:rPr>
          <w:rStyle w:val="CharSectno"/>
        </w:rPr>
        <w:t>30</w:t>
      </w:r>
      <w:r w:rsidR="00782250" w:rsidRPr="00411C46">
        <w:rPr>
          <w:rStyle w:val="CharSectno"/>
        </w:rPr>
        <w:noBreakHyphen/>
      </w:r>
      <w:r w:rsidRPr="00411C46">
        <w:rPr>
          <w:rStyle w:val="CharSectno"/>
        </w:rPr>
        <w:t>212.03</w:t>
      </w:r>
      <w:r w:rsidRPr="002B1A95">
        <w:t xml:space="preserve">  Charge for making valuation</w:t>
      </w:r>
      <w:bookmarkEnd w:id="11"/>
    </w:p>
    <w:p w:rsidR="005B63A2" w:rsidRPr="002B1A95" w:rsidRDefault="005B63A2" w:rsidP="005B63A2">
      <w:pPr>
        <w:pStyle w:val="subsection"/>
      </w:pPr>
      <w:r w:rsidRPr="002B1A95">
        <w:tab/>
        <w:t>(1)</w:t>
      </w:r>
      <w:r w:rsidRPr="002B1A95">
        <w:tab/>
        <w:t>The amount of the charge for making the valuation is an amount equal to the sum of the actual cost of the valuation and all other costs to the Commissioner in obtaining the valuation.</w:t>
      </w:r>
    </w:p>
    <w:p w:rsidR="005B63A2" w:rsidRPr="002B1A95" w:rsidRDefault="005B63A2" w:rsidP="005B63A2">
      <w:pPr>
        <w:pStyle w:val="subsection"/>
      </w:pPr>
      <w:r w:rsidRPr="002B1A95">
        <w:tab/>
        <w:t>(2)</w:t>
      </w:r>
      <w:r w:rsidRPr="002B1A95">
        <w:tab/>
        <w:t>However, if the Commissioner starts the valuation but the application for the valuation is withdrawn or treated as having no effect under subsection 30</w:t>
      </w:r>
      <w:r w:rsidR="00782250">
        <w:noBreakHyphen/>
      </w:r>
      <w:r w:rsidRPr="002B1A95">
        <w:t>212.06(2), the amount of the charge for making the valuation is an amount equal to the costs to the Commissioner in obtaining the incomplete valuation.</w:t>
      </w:r>
    </w:p>
    <w:p w:rsidR="005B63A2" w:rsidRPr="002B1A95" w:rsidRDefault="005B63A2" w:rsidP="005B63A2">
      <w:pPr>
        <w:pStyle w:val="ActHead5"/>
      </w:pPr>
      <w:bookmarkStart w:id="12" w:name="_Toc49765192"/>
      <w:r w:rsidRPr="00411C46">
        <w:rPr>
          <w:rStyle w:val="CharSectno"/>
        </w:rPr>
        <w:t>30</w:t>
      </w:r>
      <w:r w:rsidR="00782250" w:rsidRPr="00411C46">
        <w:rPr>
          <w:rStyle w:val="CharSectno"/>
        </w:rPr>
        <w:noBreakHyphen/>
      </w:r>
      <w:r w:rsidRPr="00411C46">
        <w:rPr>
          <w:rStyle w:val="CharSectno"/>
        </w:rPr>
        <w:t>212.04</w:t>
      </w:r>
      <w:r w:rsidRPr="002B1A95">
        <w:t xml:space="preserve">  Advance payment of charge</w:t>
      </w:r>
      <w:bookmarkEnd w:id="12"/>
    </w:p>
    <w:p w:rsidR="005B63A2" w:rsidRPr="002B1A95" w:rsidRDefault="005B63A2" w:rsidP="005B63A2">
      <w:pPr>
        <w:pStyle w:val="subsection"/>
      </w:pPr>
      <w:r w:rsidRPr="002B1A95">
        <w:tab/>
        <w:t>(1)</w:t>
      </w:r>
      <w:r w:rsidRPr="002B1A95">
        <w:tab/>
        <w:t>The Commissioner may give the applicant a written statement:</w:t>
      </w:r>
    </w:p>
    <w:p w:rsidR="005B63A2" w:rsidRPr="002B1A95" w:rsidRDefault="005B63A2" w:rsidP="005B63A2">
      <w:pPr>
        <w:pStyle w:val="paragraph"/>
      </w:pPr>
      <w:r w:rsidRPr="002B1A95">
        <w:tab/>
        <w:t>(a)</w:t>
      </w:r>
      <w:r w:rsidRPr="002B1A95">
        <w:tab/>
        <w:t>requiring the applicant to give the Commissioner an advance payment of the charge that may be payable for making the valuation; and</w:t>
      </w:r>
    </w:p>
    <w:p w:rsidR="005B63A2" w:rsidRPr="002B1A95" w:rsidRDefault="005B63A2" w:rsidP="005B63A2">
      <w:pPr>
        <w:pStyle w:val="paragraph"/>
      </w:pPr>
      <w:r w:rsidRPr="002B1A95">
        <w:tab/>
        <w:t>(b)</w:t>
      </w:r>
      <w:r w:rsidRPr="002B1A95">
        <w:tab/>
        <w:t>stating the amount of the payment; and</w:t>
      </w:r>
    </w:p>
    <w:p w:rsidR="005B63A2" w:rsidRPr="002B1A95" w:rsidRDefault="005B63A2" w:rsidP="005B63A2">
      <w:pPr>
        <w:pStyle w:val="paragraph"/>
      </w:pPr>
      <w:r w:rsidRPr="002B1A95">
        <w:tab/>
        <w:t>(c)</w:t>
      </w:r>
      <w:r w:rsidRPr="002B1A95">
        <w:tab/>
        <w:t>explaining how the amount was worked out.</w:t>
      </w:r>
    </w:p>
    <w:p w:rsidR="005B63A2" w:rsidRPr="002B1A95" w:rsidRDefault="005B63A2" w:rsidP="005B63A2">
      <w:pPr>
        <w:pStyle w:val="subsection"/>
      </w:pPr>
      <w:r w:rsidRPr="002B1A95">
        <w:tab/>
        <w:t>(2)</w:t>
      </w:r>
      <w:r w:rsidRPr="002B1A95">
        <w:tab/>
        <w:t xml:space="preserve">The Commissioner may ask for more than one advance payment from the applicant under </w:t>
      </w:r>
      <w:r w:rsidR="002B1A95" w:rsidRPr="002B1A95">
        <w:t>subsection (</w:t>
      </w:r>
      <w:r w:rsidRPr="002B1A95">
        <w:t>1).</w:t>
      </w:r>
    </w:p>
    <w:p w:rsidR="005B63A2" w:rsidRPr="002B1A95" w:rsidRDefault="005B63A2" w:rsidP="005B63A2">
      <w:pPr>
        <w:pStyle w:val="subsection"/>
      </w:pPr>
      <w:r w:rsidRPr="002B1A95">
        <w:tab/>
        <w:t>(3)</w:t>
      </w:r>
      <w:r w:rsidRPr="002B1A95">
        <w:tab/>
        <w:t>The applicant must give the Commissioner the advance payment within 14 days after receiving the statement asking for the payment or within such longer period as the Commissioner allows.</w:t>
      </w:r>
    </w:p>
    <w:p w:rsidR="005B63A2" w:rsidRPr="002B1A95" w:rsidRDefault="005B63A2" w:rsidP="005B63A2">
      <w:pPr>
        <w:pStyle w:val="ActHead5"/>
      </w:pPr>
      <w:bookmarkStart w:id="13" w:name="_Toc49765193"/>
      <w:r w:rsidRPr="00411C46">
        <w:rPr>
          <w:rStyle w:val="CharSectno"/>
        </w:rPr>
        <w:lastRenderedPageBreak/>
        <w:t>30</w:t>
      </w:r>
      <w:r w:rsidR="00782250" w:rsidRPr="00411C46">
        <w:rPr>
          <w:rStyle w:val="CharSectno"/>
        </w:rPr>
        <w:noBreakHyphen/>
      </w:r>
      <w:r w:rsidRPr="00411C46">
        <w:rPr>
          <w:rStyle w:val="CharSectno"/>
        </w:rPr>
        <w:t>212.05</w:t>
      </w:r>
      <w:r w:rsidRPr="002B1A95">
        <w:t xml:space="preserve">  Commissioner not required to consider application until advance payment is paid</w:t>
      </w:r>
      <w:bookmarkEnd w:id="13"/>
    </w:p>
    <w:p w:rsidR="005B63A2" w:rsidRPr="002B1A95" w:rsidRDefault="005B63A2" w:rsidP="005B63A2">
      <w:pPr>
        <w:pStyle w:val="subsection"/>
      </w:pPr>
      <w:r w:rsidRPr="002B1A95">
        <w:tab/>
      </w:r>
      <w:r w:rsidRPr="002B1A95">
        <w:tab/>
        <w:t>If the Commissioner has required an advance payment of the charge under section 30</w:t>
      </w:r>
      <w:r w:rsidR="00782250">
        <w:noBreakHyphen/>
      </w:r>
      <w:r w:rsidRPr="002B1A95">
        <w:t>212.04, the Commissioner is not required to consider the application until the payment is paid.</w:t>
      </w:r>
    </w:p>
    <w:p w:rsidR="005B63A2" w:rsidRPr="002B1A95" w:rsidRDefault="005B63A2" w:rsidP="005B63A2">
      <w:pPr>
        <w:pStyle w:val="ActHead5"/>
      </w:pPr>
      <w:bookmarkStart w:id="14" w:name="_Toc49765194"/>
      <w:r w:rsidRPr="00411C46">
        <w:rPr>
          <w:rStyle w:val="CharSectno"/>
        </w:rPr>
        <w:t>30</w:t>
      </w:r>
      <w:r w:rsidR="00782250" w:rsidRPr="00411C46">
        <w:rPr>
          <w:rStyle w:val="CharSectno"/>
        </w:rPr>
        <w:noBreakHyphen/>
      </w:r>
      <w:r w:rsidRPr="00411C46">
        <w:rPr>
          <w:rStyle w:val="CharSectno"/>
        </w:rPr>
        <w:t>212.06</w:t>
      </w:r>
      <w:r w:rsidRPr="002B1A95">
        <w:t xml:space="preserve">  Applications treated as having no effect</w:t>
      </w:r>
      <w:bookmarkEnd w:id="14"/>
    </w:p>
    <w:p w:rsidR="005B63A2" w:rsidRPr="002B1A95" w:rsidRDefault="005B63A2" w:rsidP="005B63A2">
      <w:pPr>
        <w:pStyle w:val="subsection"/>
      </w:pPr>
      <w:r w:rsidRPr="002B1A95">
        <w:tab/>
        <w:t>(1)</w:t>
      </w:r>
      <w:r w:rsidRPr="002B1A95">
        <w:tab/>
        <w:t>If the application does not comply with section 30</w:t>
      </w:r>
      <w:r w:rsidR="00782250">
        <w:noBreakHyphen/>
      </w:r>
      <w:r w:rsidRPr="002B1A95">
        <w:t>212.02, the Commissioner must:</w:t>
      </w:r>
    </w:p>
    <w:p w:rsidR="005B63A2" w:rsidRPr="002B1A95" w:rsidRDefault="005B63A2" w:rsidP="005B63A2">
      <w:pPr>
        <w:pStyle w:val="paragraph"/>
      </w:pPr>
      <w:r w:rsidRPr="002B1A95">
        <w:tab/>
        <w:t>(a)</w:t>
      </w:r>
      <w:r w:rsidRPr="002B1A95">
        <w:tab/>
        <w:t>treat the application as having no effect; and</w:t>
      </w:r>
    </w:p>
    <w:p w:rsidR="005B63A2" w:rsidRPr="002B1A95" w:rsidRDefault="005B63A2" w:rsidP="005B63A2">
      <w:pPr>
        <w:pStyle w:val="paragraph"/>
      </w:pPr>
      <w:r w:rsidRPr="002B1A95">
        <w:tab/>
        <w:t>(b)</w:t>
      </w:r>
      <w:r w:rsidRPr="002B1A95">
        <w:tab/>
        <w:t>give the applicant a written statement that the application is being treated that way.</w:t>
      </w:r>
    </w:p>
    <w:p w:rsidR="005B63A2" w:rsidRPr="002B1A95" w:rsidRDefault="005B63A2" w:rsidP="005B63A2">
      <w:pPr>
        <w:pStyle w:val="subsection"/>
      </w:pPr>
      <w:r w:rsidRPr="002B1A95">
        <w:tab/>
        <w:t>(2)</w:t>
      </w:r>
      <w:r w:rsidRPr="002B1A95">
        <w:tab/>
        <w:t>If the Commissioner has required an advance payment of the charge under section 30</w:t>
      </w:r>
      <w:r w:rsidR="00782250">
        <w:noBreakHyphen/>
      </w:r>
      <w:r w:rsidRPr="002B1A95">
        <w:t>212.04, and the payment is not paid within the time mentioned in subsection 30</w:t>
      </w:r>
      <w:r w:rsidR="00782250">
        <w:noBreakHyphen/>
      </w:r>
      <w:r w:rsidRPr="002B1A95">
        <w:t>212.04(3):</w:t>
      </w:r>
    </w:p>
    <w:p w:rsidR="005B63A2" w:rsidRPr="002B1A95" w:rsidRDefault="005B63A2" w:rsidP="005B63A2">
      <w:pPr>
        <w:pStyle w:val="paragraph"/>
      </w:pPr>
      <w:r w:rsidRPr="002B1A95">
        <w:tab/>
        <w:t>(a)</w:t>
      </w:r>
      <w:r w:rsidRPr="002B1A95">
        <w:tab/>
        <w:t>the Commissioner must treat the application as having no effect after that time; and</w:t>
      </w:r>
    </w:p>
    <w:p w:rsidR="005B63A2" w:rsidRPr="002B1A95" w:rsidRDefault="005B63A2" w:rsidP="005B63A2">
      <w:pPr>
        <w:pStyle w:val="paragraph"/>
      </w:pPr>
      <w:r w:rsidRPr="002B1A95">
        <w:tab/>
        <w:t>(b)</w:t>
      </w:r>
      <w:r w:rsidRPr="002B1A95">
        <w:tab/>
        <w:t>the Commissioner must give the applicant a written statement that the application is being treated that way.</w:t>
      </w:r>
    </w:p>
    <w:p w:rsidR="005B63A2" w:rsidRPr="002B1A95" w:rsidRDefault="005B63A2" w:rsidP="005B63A2">
      <w:pPr>
        <w:pStyle w:val="notetext"/>
      </w:pPr>
      <w:r w:rsidRPr="002B1A95">
        <w:t>Note:</w:t>
      </w:r>
      <w:r w:rsidRPr="002B1A95">
        <w:tab/>
        <w:t xml:space="preserve">For an application that is treated as having no effect under </w:t>
      </w:r>
      <w:r w:rsidR="002B1A95" w:rsidRPr="002B1A95">
        <w:t>subsection (</w:t>
      </w:r>
      <w:r w:rsidRPr="002B1A95">
        <w:t>2), see subsection 30</w:t>
      </w:r>
      <w:r w:rsidR="00782250">
        <w:noBreakHyphen/>
      </w:r>
      <w:r w:rsidRPr="002B1A95">
        <w:t>212.03(2).</w:t>
      </w:r>
    </w:p>
    <w:p w:rsidR="005B63A2" w:rsidRPr="002B1A95" w:rsidRDefault="005B63A2" w:rsidP="005B63A2">
      <w:pPr>
        <w:pStyle w:val="ActHead5"/>
      </w:pPr>
      <w:bookmarkStart w:id="15" w:name="_Toc49765195"/>
      <w:r w:rsidRPr="00411C46">
        <w:rPr>
          <w:rStyle w:val="CharSectno"/>
        </w:rPr>
        <w:t>30</w:t>
      </w:r>
      <w:r w:rsidR="00782250" w:rsidRPr="00411C46">
        <w:rPr>
          <w:rStyle w:val="CharSectno"/>
        </w:rPr>
        <w:noBreakHyphen/>
      </w:r>
      <w:r w:rsidRPr="00411C46">
        <w:rPr>
          <w:rStyle w:val="CharSectno"/>
        </w:rPr>
        <w:t>212.07</w:t>
      </w:r>
      <w:r w:rsidRPr="002B1A95">
        <w:t xml:space="preserve">  Crediting and repaying valuation charges</w:t>
      </w:r>
      <w:bookmarkEnd w:id="15"/>
    </w:p>
    <w:p w:rsidR="005B63A2" w:rsidRPr="002B1A95" w:rsidRDefault="005B63A2" w:rsidP="005B63A2">
      <w:pPr>
        <w:pStyle w:val="subsection"/>
      </w:pPr>
      <w:r w:rsidRPr="002B1A95">
        <w:tab/>
        <w:t>(1)</w:t>
      </w:r>
      <w:r w:rsidRPr="002B1A95">
        <w:tab/>
        <w:t>The deposit paid under section 30</w:t>
      </w:r>
      <w:r w:rsidR="00782250">
        <w:noBreakHyphen/>
      </w:r>
      <w:r w:rsidRPr="002B1A95">
        <w:t>212.02 is to be credited against the charge for making the valuation.</w:t>
      </w:r>
    </w:p>
    <w:p w:rsidR="005B63A2" w:rsidRPr="002B1A95" w:rsidRDefault="005B63A2" w:rsidP="005B63A2">
      <w:pPr>
        <w:pStyle w:val="subsection"/>
      </w:pPr>
      <w:r w:rsidRPr="002B1A95">
        <w:tab/>
        <w:t>(2)</w:t>
      </w:r>
      <w:r w:rsidRPr="002B1A95">
        <w:tab/>
        <w:t>An advance payment of the charge paid under section 30</w:t>
      </w:r>
      <w:r w:rsidR="00782250">
        <w:noBreakHyphen/>
      </w:r>
      <w:r w:rsidRPr="002B1A95">
        <w:t>212.04 is to be credited against the charge for making the valuation.</w:t>
      </w:r>
    </w:p>
    <w:p w:rsidR="005B63A2" w:rsidRPr="002B1A95" w:rsidRDefault="005B63A2" w:rsidP="005B63A2">
      <w:pPr>
        <w:pStyle w:val="subsection"/>
      </w:pPr>
      <w:r w:rsidRPr="002B1A95">
        <w:rPr>
          <w:i/>
        </w:rPr>
        <w:tab/>
      </w:r>
      <w:r w:rsidRPr="002B1A95">
        <w:t>(3)</w:t>
      </w:r>
      <w:r w:rsidRPr="002B1A95">
        <w:tab/>
        <w:t>The charge payable for making the valuation is a debt due to the Commonwealth and recoverable in a court of competent jurisdiction.</w:t>
      </w:r>
    </w:p>
    <w:p w:rsidR="005B63A2" w:rsidRPr="002B1A95" w:rsidRDefault="005B63A2" w:rsidP="005B63A2">
      <w:pPr>
        <w:pStyle w:val="subsection"/>
      </w:pPr>
      <w:r w:rsidRPr="002B1A95">
        <w:tab/>
        <w:t>(4)</w:t>
      </w:r>
      <w:r w:rsidRPr="002B1A95">
        <w:tab/>
        <w:t xml:space="preserve">However, if the total of the amounts paid under </w:t>
      </w:r>
      <w:r w:rsidR="002B1A95" w:rsidRPr="002B1A95">
        <w:t>subsections (</w:t>
      </w:r>
      <w:r w:rsidRPr="002B1A95">
        <w:t>1) and (2) is more than the charge payable for making the valuation, the Commissioner must pay the difference to the applicant as soon as practicable.</w:t>
      </w:r>
    </w:p>
    <w:p w:rsidR="005B63A2" w:rsidRPr="002B1A95" w:rsidRDefault="005B63A2" w:rsidP="005B63A2">
      <w:pPr>
        <w:pStyle w:val="ActHead5"/>
      </w:pPr>
      <w:bookmarkStart w:id="16" w:name="_Toc49765196"/>
      <w:r w:rsidRPr="00411C46">
        <w:rPr>
          <w:rStyle w:val="CharSectno"/>
        </w:rPr>
        <w:t>30</w:t>
      </w:r>
      <w:r w:rsidR="00782250" w:rsidRPr="00411C46">
        <w:rPr>
          <w:rStyle w:val="CharSectno"/>
        </w:rPr>
        <w:noBreakHyphen/>
      </w:r>
      <w:r w:rsidRPr="00411C46">
        <w:rPr>
          <w:rStyle w:val="CharSectno"/>
        </w:rPr>
        <w:t>212.08</w:t>
      </w:r>
      <w:r w:rsidRPr="002B1A95">
        <w:t xml:space="preserve">  Valuation certificates</w:t>
      </w:r>
      <w:bookmarkEnd w:id="16"/>
    </w:p>
    <w:p w:rsidR="005B63A2" w:rsidRPr="002B1A95" w:rsidRDefault="005B63A2" w:rsidP="005B63A2">
      <w:pPr>
        <w:pStyle w:val="subsection"/>
      </w:pPr>
      <w:r w:rsidRPr="002B1A95">
        <w:tab/>
        <w:t>(1)</w:t>
      </w:r>
      <w:r w:rsidRPr="002B1A95">
        <w:tab/>
        <w:t>If the Commissioner completes the valuation, the Commissioner must give a valuation certificate to the applicant for the valuation.</w:t>
      </w:r>
    </w:p>
    <w:p w:rsidR="005B63A2" w:rsidRPr="002B1A95" w:rsidRDefault="005B63A2" w:rsidP="005B63A2">
      <w:pPr>
        <w:pStyle w:val="subsection"/>
      </w:pPr>
      <w:r w:rsidRPr="002B1A95">
        <w:tab/>
        <w:t>(2)</w:t>
      </w:r>
      <w:r w:rsidRPr="002B1A95">
        <w:tab/>
        <w:t xml:space="preserve">The Commissioner must approve, in writing, one or more forms of a valuation certificate for the purposes of </w:t>
      </w:r>
      <w:r w:rsidR="002B1A95" w:rsidRPr="002B1A95">
        <w:t>subsection (</w:t>
      </w:r>
      <w:r w:rsidRPr="002B1A95">
        <w:t>1).</w:t>
      </w:r>
    </w:p>
    <w:p w:rsidR="005B63A2" w:rsidRPr="002B1A95" w:rsidRDefault="005B63A2" w:rsidP="005B63A2">
      <w:pPr>
        <w:pStyle w:val="subsection"/>
      </w:pPr>
      <w:r w:rsidRPr="002B1A95">
        <w:tab/>
        <w:t>(3)</w:t>
      </w:r>
      <w:r w:rsidRPr="002B1A95">
        <w:tab/>
        <w:t>The certificate must include the following information:</w:t>
      </w:r>
    </w:p>
    <w:p w:rsidR="005B63A2" w:rsidRPr="002B1A95" w:rsidRDefault="005B63A2" w:rsidP="005B63A2">
      <w:pPr>
        <w:pStyle w:val="paragraph"/>
      </w:pPr>
      <w:r w:rsidRPr="002B1A95">
        <w:tab/>
        <w:t>(a)</w:t>
      </w:r>
      <w:r w:rsidRPr="002B1A95">
        <w:tab/>
        <w:t>the date on which the valuation was completed;</w:t>
      </w:r>
    </w:p>
    <w:p w:rsidR="005B63A2" w:rsidRPr="002B1A95" w:rsidRDefault="005B63A2" w:rsidP="005B63A2">
      <w:pPr>
        <w:pStyle w:val="paragraph"/>
      </w:pPr>
      <w:r w:rsidRPr="002B1A95">
        <w:lastRenderedPageBreak/>
        <w:tab/>
        <w:t>(b)</w:t>
      </w:r>
      <w:r w:rsidRPr="002B1A95">
        <w:tab/>
        <w:t>a description of any real property (including a lot and plan number, title reference and the location of the property);</w:t>
      </w:r>
    </w:p>
    <w:p w:rsidR="005B63A2" w:rsidRPr="002B1A95" w:rsidRDefault="005B63A2" w:rsidP="005B63A2">
      <w:pPr>
        <w:pStyle w:val="paragraph"/>
      </w:pPr>
      <w:r w:rsidRPr="002B1A95">
        <w:tab/>
        <w:t>(c)</w:t>
      </w:r>
      <w:r w:rsidRPr="002B1A95">
        <w:tab/>
        <w:t>a full description of property other than real property;</w:t>
      </w:r>
    </w:p>
    <w:p w:rsidR="005B63A2" w:rsidRPr="002B1A95" w:rsidRDefault="005B63A2" w:rsidP="005B63A2">
      <w:pPr>
        <w:pStyle w:val="paragraph"/>
      </w:pPr>
      <w:r w:rsidRPr="002B1A95">
        <w:tab/>
        <w:t>(d)</w:t>
      </w:r>
      <w:r w:rsidRPr="002B1A95">
        <w:tab/>
        <w:t>the period for which the valuation is in force;</w:t>
      </w:r>
    </w:p>
    <w:p w:rsidR="005B63A2" w:rsidRPr="002B1A95" w:rsidRDefault="005B63A2" w:rsidP="005B63A2">
      <w:pPr>
        <w:pStyle w:val="paragraph"/>
      </w:pPr>
      <w:r w:rsidRPr="002B1A95">
        <w:tab/>
        <w:t>(e)</w:t>
      </w:r>
      <w:r w:rsidRPr="002B1A95">
        <w:tab/>
        <w:t>a statement of the valuation.</w:t>
      </w:r>
    </w:p>
    <w:p w:rsidR="005B63A2" w:rsidRPr="002B1A95" w:rsidRDefault="005B63A2" w:rsidP="005B63A2">
      <w:pPr>
        <w:pStyle w:val="subsection"/>
      </w:pPr>
      <w:r w:rsidRPr="002B1A95">
        <w:tab/>
        <w:t>(4)</w:t>
      </w:r>
      <w:r w:rsidRPr="002B1A95">
        <w:tab/>
        <w:t>The certificate may include other information.</w:t>
      </w:r>
    </w:p>
    <w:p w:rsidR="005B63A2" w:rsidRPr="002B1A95" w:rsidRDefault="005B63A2" w:rsidP="005B63A2">
      <w:pPr>
        <w:pStyle w:val="subsection"/>
      </w:pPr>
      <w:r w:rsidRPr="002B1A95">
        <w:tab/>
        <w:t>(5)</w:t>
      </w:r>
      <w:r w:rsidRPr="002B1A95">
        <w:tab/>
        <w:t>The Commissioner must not give a valuation certificate to the applicant until:</w:t>
      </w:r>
    </w:p>
    <w:p w:rsidR="005B63A2" w:rsidRPr="002B1A95" w:rsidRDefault="005B63A2" w:rsidP="005B63A2">
      <w:pPr>
        <w:pStyle w:val="paragraph"/>
      </w:pPr>
      <w:r w:rsidRPr="002B1A95">
        <w:tab/>
        <w:t>(a)</w:t>
      </w:r>
      <w:r w:rsidRPr="002B1A95">
        <w:tab/>
        <w:t>the valuation has been completed; and</w:t>
      </w:r>
    </w:p>
    <w:p w:rsidR="005B63A2" w:rsidRPr="002B1A95" w:rsidRDefault="005B63A2" w:rsidP="005B63A2">
      <w:pPr>
        <w:pStyle w:val="paragraph"/>
      </w:pPr>
      <w:r w:rsidRPr="002B1A95">
        <w:tab/>
        <w:t>(b)</w:t>
      </w:r>
      <w:r w:rsidRPr="002B1A95">
        <w:tab/>
        <w:t>the Commissioner has received the full amount of the charge payable for making the valuation.</w:t>
      </w:r>
    </w:p>
    <w:p w:rsidR="005B63A2" w:rsidRPr="002B1A95" w:rsidRDefault="005B63A2" w:rsidP="005B63A2">
      <w:pPr>
        <w:pStyle w:val="ActHead3"/>
        <w:pageBreakBefore/>
      </w:pPr>
      <w:bookmarkStart w:id="17" w:name="_Toc49765197"/>
      <w:r w:rsidRPr="00411C46">
        <w:rPr>
          <w:rStyle w:val="CharDivNo"/>
        </w:rPr>
        <w:lastRenderedPageBreak/>
        <w:t>Division</w:t>
      </w:r>
      <w:r w:rsidR="002B1A95" w:rsidRPr="00411C46">
        <w:rPr>
          <w:rStyle w:val="CharDivNo"/>
        </w:rPr>
        <w:t> </w:t>
      </w:r>
      <w:r w:rsidRPr="00411C46">
        <w:rPr>
          <w:rStyle w:val="CharDivNo"/>
        </w:rPr>
        <w:t>31</w:t>
      </w:r>
      <w:r w:rsidRPr="002B1A95">
        <w:t>—</w:t>
      </w:r>
      <w:r w:rsidRPr="00411C46">
        <w:rPr>
          <w:rStyle w:val="CharDivText"/>
        </w:rPr>
        <w:t>Conservation covenants</w:t>
      </w:r>
      <w:bookmarkEnd w:id="17"/>
    </w:p>
    <w:p w:rsidR="005B63A2" w:rsidRPr="002B1A95" w:rsidRDefault="005B63A2" w:rsidP="005B63A2">
      <w:pPr>
        <w:pStyle w:val="ActHead5"/>
      </w:pPr>
      <w:bookmarkStart w:id="18" w:name="_Toc49765198"/>
      <w:r w:rsidRPr="00411C46">
        <w:rPr>
          <w:rStyle w:val="CharSectno"/>
        </w:rPr>
        <w:t>31</w:t>
      </w:r>
      <w:r w:rsidR="00782250" w:rsidRPr="00411C46">
        <w:rPr>
          <w:rStyle w:val="CharSectno"/>
        </w:rPr>
        <w:noBreakHyphen/>
      </w:r>
      <w:r w:rsidRPr="00411C46">
        <w:rPr>
          <w:rStyle w:val="CharSectno"/>
        </w:rPr>
        <w:t>15.01</w:t>
      </w:r>
      <w:r w:rsidRPr="002B1A95">
        <w:t xml:space="preserve">  Valuation of land</w:t>
      </w:r>
      <w:bookmarkEnd w:id="18"/>
    </w:p>
    <w:p w:rsidR="005B63A2" w:rsidRPr="002B1A95" w:rsidRDefault="005B63A2" w:rsidP="005B63A2">
      <w:pPr>
        <w:pStyle w:val="subsection"/>
      </w:pPr>
      <w:r w:rsidRPr="002B1A95">
        <w:tab/>
      </w:r>
      <w:r w:rsidRPr="002B1A95">
        <w:tab/>
        <w:t>For the purposes of section</w:t>
      </w:r>
      <w:r w:rsidR="002B1A95" w:rsidRPr="002B1A95">
        <w:t> </w:t>
      </w:r>
      <w:r w:rsidRPr="002B1A95">
        <w:t>31</w:t>
      </w:r>
      <w:r w:rsidR="00782250">
        <w:noBreakHyphen/>
      </w:r>
      <w:r w:rsidRPr="002B1A95">
        <w:t>15 of the Act, this Division sets out:</w:t>
      </w:r>
    </w:p>
    <w:p w:rsidR="005B63A2" w:rsidRPr="002B1A95" w:rsidRDefault="005B63A2" w:rsidP="005B63A2">
      <w:pPr>
        <w:pStyle w:val="paragraph"/>
      </w:pPr>
      <w:r w:rsidRPr="002B1A95">
        <w:tab/>
        <w:t>(a)</w:t>
      </w:r>
      <w:r w:rsidRPr="002B1A95">
        <w:tab/>
        <w:t>the procedure for seeking a valuation from the Commissioner of the change in the market value of the land mentioned in that section; and</w:t>
      </w:r>
    </w:p>
    <w:p w:rsidR="005B63A2" w:rsidRPr="002B1A95" w:rsidRDefault="005B63A2" w:rsidP="005B63A2">
      <w:pPr>
        <w:pStyle w:val="paragraph"/>
      </w:pPr>
      <w:r w:rsidRPr="002B1A95">
        <w:tab/>
        <w:t>(b)</w:t>
      </w:r>
      <w:r w:rsidRPr="002B1A95">
        <w:tab/>
        <w:t>the amounts that the Commissioner may charge for making the valuation; and</w:t>
      </w:r>
    </w:p>
    <w:p w:rsidR="005B63A2" w:rsidRPr="002B1A95" w:rsidRDefault="005B63A2" w:rsidP="005B63A2">
      <w:pPr>
        <w:pStyle w:val="paragraph"/>
      </w:pPr>
      <w:r w:rsidRPr="002B1A95">
        <w:tab/>
        <w:t>(c)</w:t>
      </w:r>
      <w:r w:rsidRPr="002B1A95">
        <w:tab/>
        <w:t>arrangements for payment of those amounts.</w:t>
      </w:r>
    </w:p>
    <w:p w:rsidR="005B63A2" w:rsidRPr="002B1A95" w:rsidRDefault="005B63A2" w:rsidP="005B63A2">
      <w:pPr>
        <w:pStyle w:val="notetext"/>
      </w:pPr>
      <w:r w:rsidRPr="002B1A95">
        <w:t>Note:</w:t>
      </w:r>
      <w:r w:rsidRPr="002B1A95">
        <w:tab/>
        <w:t>Section</w:t>
      </w:r>
      <w:r w:rsidR="002B1A95" w:rsidRPr="002B1A95">
        <w:t> </w:t>
      </w:r>
      <w:r w:rsidRPr="002B1A95">
        <w:t>31</w:t>
      </w:r>
      <w:r w:rsidR="00782250">
        <w:noBreakHyphen/>
      </w:r>
      <w:r w:rsidRPr="002B1A95">
        <w:t>15 of the Act applies to a person who enters into a conservation covenant over land owned by the person, if the conditions mentioned in subsection</w:t>
      </w:r>
      <w:r w:rsidR="002B1A95" w:rsidRPr="002B1A95">
        <w:t> </w:t>
      </w:r>
      <w:r w:rsidRPr="002B1A95">
        <w:t>31</w:t>
      </w:r>
      <w:r w:rsidR="00782250">
        <w:noBreakHyphen/>
      </w:r>
      <w:r w:rsidRPr="002B1A95">
        <w:t>5(2) of the Act are met.</w:t>
      </w:r>
    </w:p>
    <w:p w:rsidR="005B63A2" w:rsidRPr="002B1A95" w:rsidRDefault="005B63A2" w:rsidP="005B63A2">
      <w:pPr>
        <w:pStyle w:val="ActHead5"/>
      </w:pPr>
      <w:bookmarkStart w:id="19" w:name="_Toc49765199"/>
      <w:r w:rsidRPr="00411C46">
        <w:rPr>
          <w:rStyle w:val="CharSectno"/>
        </w:rPr>
        <w:t>31</w:t>
      </w:r>
      <w:r w:rsidR="00782250" w:rsidRPr="00411C46">
        <w:rPr>
          <w:rStyle w:val="CharSectno"/>
        </w:rPr>
        <w:noBreakHyphen/>
      </w:r>
      <w:r w:rsidRPr="00411C46">
        <w:rPr>
          <w:rStyle w:val="CharSectno"/>
        </w:rPr>
        <w:t>15.02</w:t>
      </w:r>
      <w:r w:rsidRPr="002B1A95">
        <w:t xml:space="preserve">  Application for valuation</w:t>
      </w:r>
      <w:bookmarkEnd w:id="19"/>
    </w:p>
    <w:p w:rsidR="005B63A2" w:rsidRPr="002B1A95" w:rsidRDefault="005B63A2" w:rsidP="005B63A2">
      <w:pPr>
        <w:pStyle w:val="subsection"/>
      </w:pPr>
      <w:r w:rsidRPr="002B1A95">
        <w:tab/>
      </w:r>
      <w:r w:rsidRPr="002B1A95">
        <w:tab/>
        <w:t>An application for a valuation must:</w:t>
      </w:r>
    </w:p>
    <w:p w:rsidR="005B63A2" w:rsidRPr="002B1A95" w:rsidRDefault="005B63A2" w:rsidP="005B63A2">
      <w:pPr>
        <w:pStyle w:val="paragraph"/>
      </w:pPr>
      <w:r w:rsidRPr="002B1A95">
        <w:tab/>
        <w:t>(a)</w:t>
      </w:r>
      <w:r w:rsidRPr="002B1A95">
        <w:tab/>
        <w:t>be in the approved form; and</w:t>
      </w:r>
    </w:p>
    <w:p w:rsidR="005B63A2" w:rsidRPr="002B1A95" w:rsidRDefault="005B63A2" w:rsidP="005B63A2">
      <w:pPr>
        <w:pStyle w:val="paragraph"/>
      </w:pPr>
      <w:r w:rsidRPr="002B1A95">
        <w:tab/>
        <w:t>(b)</w:t>
      </w:r>
      <w:r w:rsidRPr="002B1A95">
        <w:tab/>
        <w:t>be lodged with the Commissioner; and</w:t>
      </w:r>
    </w:p>
    <w:p w:rsidR="005B63A2" w:rsidRPr="002B1A95" w:rsidRDefault="005B63A2" w:rsidP="005B63A2">
      <w:pPr>
        <w:pStyle w:val="paragraph"/>
      </w:pPr>
      <w:r w:rsidRPr="002B1A95">
        <w:tab/>
        <w:t>(c)</w:t>
      </w:r>
      <w:r w:rsidRPr="002B1A95">
        <w:tab/>
        <w:t>include a copy of the conservation covenant; and</w:t>
      </w:r>
    </w:p>
    <w:p w:rsidR="005B63A2" w:rsidRPr="002B1A95" w:rsidRDefault="005B63A2" w:rsidP="005B63A2">
      <w:pPr>
        <w:pStyle w:val="paragraph"/>
      </w:pPr>
      <w:r w:rsidRPr="002B1A95">
        <w:tab/>
        <w:t>(d)</w:t>
      </w:r>
      <w:r w:rsidRPr="002B1A95">
        <w:tab/>
        <w:t>include the deposit towards the charge for making the valuation required by the approved form, which must not be more than $1,000.</w:t>
      </w:r>
    </w:p>
    <w:p w:rsidR="005B63A2" w:rsidRPr="002B1A95" w:rsidRDefault="005B63A2" w:rsidP="005B63A2">
      <w:pPr>
        <w:pStyle w:val="notetext"/>
      </w:pPr>
      <w:r w:rsidRPr="002B1A95">
        <w:t>Note:</w:t>
      </w:r>
      <w:r w:rsidRPr="002B1A95">
        <w:tab/>
        <w:t xml:space="preserve">For </w:t>
      </w:r>
      <w:r w:rsidRPr="002B1A95">
        <w:rPr>
          <w:b/>
          <w:i/>
        </w:rPr>
        <w:t>approved form</w:t>
      </w:r>
      <w:r w:rsidRPr="002B1A95">
        <w:t>, see subsection</w:t>
      </w:r>
      <w:r w:rsidR="002B1A95" w:rsidRPr="002B1A95">
        <w:t> </w:t>
      </w:r>
      <w:r w:rsidRPr="002B1A95">
        <w:t>995</w:t>
      </w:r>
      <w:r w:rsidR="00782250">
        <w:noBreakHyphen/>
      </w:r>
      <w:r w:rsidRPr="002B1A95">
        <w:t>1(1) of the Act.</w:t>
      </w:r>
    </w:p>
    <w:p w:rsidR="005B63A2" w:rsidRPr="002B1A95" w:rsidRDefault="005B63A2" w:rsidP="005B63A2">
      <w:pPr>
        <w:pStyle w:val="ActHead5"/>
      </w:pPr>
      <w:bookmarkStart w:id="20" w:name="_Toc49765200"/>
      <w:r w:rsidRPr="00411C46">
        <w:rPr>
          <w:rStyle w:val="CharSectno"/>
        </w:rPr>
        <w:t>31</w:t>
      </w:r>
      <w:r w:rsidR="00782250" w:rsidRPr="00411C46">
        <w:rPr>
          <w:rStyle w:val="CharSectno"/>
        </w:rPr>
        <w:noBreakHyphen/>
      </w:r>
      <w:r w:rsidRPr="00411C46">
        <w:rPr>
          <w:rStyle w:val="CharSectno"/>
        </w:rPr>
        <w:t>15.03</w:t>
      </w:r>
      <w:r w:rsidRPr="002B1A95">
        <w:t xml:space="preserve">  Charge for making valuation</w:t>
      </w:r>
      <w:bookmarkEnd w:id="20"/>
    </w:p>
    <w:p w:rsidR="005B63A2" w:rsidRPr="002B1A95" w:rsidRDefault="005B63A2" w:rsidP="005B63A2">
      <w:pPr>
        <w:pStyle w:val="subsection"/>
      </w:pPr>
      <w:r w:rsidRPr="002B1A95">
        <w:tab/>
        <w:t>(1)</w:t>
      </w:r>
      <w:r w:rsidRPr="002B1A95">
        <w:tab/>
        <w:t>The amount of the charge for making the valuation is an amount equal to the sum of the actual cost of the valuation and all other costs to the Commissioner in obtaining the valuation.</w:t>
      </w:r>
    </w:p>
    <w:p w:rsidR="005B63A2" w:rsidRPr="002B1A95" w:rsidRDefault="005B63A2" w:rsidP="005B63A2">
      <w:pPr>
        <w:pStyle w:val="subsection"/>
      </w:pPr>
      <w:r w:rsidRPr="002B1A95">
        <w:tab/>
        <w:t>(2)</w:t>
      </w:r>
      <w:r w:rsidRPr="002B1A95">
        <w:tab/>
        <w:t>However, if the Commissioner starts the valuation but the application for the valuation is withdrawn or treated as having no effect under subsection 31</w:t>
      </w:r>
      <w:r w:rsidR="00782250">
        <w:noBreakHyphen/>
      </w:r>
      <w:r w:rsidRPr="002B1A95">
        <w:t>15.06(2), the amount of the charge for making the valuation is an amount equal to the costs to the Commissioner in obtaining the incomplete valuation.</w:t>
      </w:r>
    </w:p>
    <w:p w:rsidR="005B63A2" w:rsidRPr="002B1A95" w:rsidRDefault="005B63A2" w:rsidP="005B63A2">
      <w:pPr>
        <w:pStyle w:val="ActHead5"/>
      </w:pPr>
      <w:bookmarkStart w:id="21" w:name="_Toc49765201"/>
      <w:r w:rsidRPr="00411C46">
        <w:rPr>
          <w:rStyle w:val="CharSectno"/>
        </w:rPr>
        <w:t>31</w:t>
      </w:r>
      <w:r w:rsidR="00782250" w:rsidRPr="00411C46">
        <w:rPr>
          <w:rStyle w:val="CharSectno"/>
        </w:rPr>
        <w:noBreakHyphen/>
      </w:r>
      <w:r w:rsidRPr="00411C46">
        <w:rPr>
          <w:rStyle w:val="CharSectno"/>
        </w:rPr>
        <w:t>15.04</w:t>
      </w:r>
      <w:r w:rsidRPr="002B1A95">
        <w:t xml:space="preserve">  Advance payment of charge</w:t>
      </w:r>
      <w:bookmarkEnd w:id="21"/>
    </w:p>
    <w:p w:rsidR="005B63A2" w:rsidRPr="002B1A95" w:rsidRDefault="005B63A2" w:rsidP="005B63A2">
      <w:pPr>
        <w:pStyle w:val="subsection"/>
      </w:pPr>
      <w:r w:rsidRPr="002B1A95">
        <w:tab/>
        <w:t>(1)</w:t>
      </w:r>
      <w:r w:rsidRPr="002B1A95">
        <w:tab/>
        <w:t>The Commissioner may give the applicant a written statement:</w:t>
      </w:r>
    </w:p>
    <w:p w:rsidR="005B63A2" w:rsidRPr="002B1A95" w:rsidRDefault="005B63A2" w:rsidP="005B63A2">
      <w:pPr>
        <w:pStyle w:val="paragraph"/>
      </w:pPr>
      <w:r w:rsidRPr="002B1A95">
        <w:tab/>
        <w:t>(a)</w:t>
      </w:r>
      <w:r w:rsidRPr="002B1A95">
        <w:tab/>
        <w:t>requiring the applicant to give the Commissioner an advance payment of the charge that may be payable for making the valuation; and</w:t>
      </w:r>
    </w:p>
    <w:p w:rsidR="005B63A2" w:rsidRPr="002B1A95" w:rsidRDefault="005B63A2" w:rsidP="005B63A2">
      <w:pPr>
        <w:pStyle w:val="paragraph"/>
      </w:pPr>
      <w:r w:rsidRPr="002B1A95">
        <w:tab/>
        <w:t>(b)</w:t>
      </w:r>
      <w:r w:rsidRPr="002B1A95">
        <w:tab/>
        <w:t>stating the amount of the payment; and</w:t>
      </w:r>
    </w:p>
    <w:p w:rsidR="005B63A2" w:rsidRPr="002B1A95" w:rsidRDefault="005B63A2" w:rsidP="005B63A2">
      <w:pPr>
        <w:pStyle w:val="paragraph"/>
      </w:pPr>
      <w:r w:rsidRPr="002B1A95">
        <w:tab/>
        <w:t>(c)</w:t>
      </w:r>
      <w:r w:rsidRPr="002B1A95">
        <w:tab/>
        <w:t>explaining how the amount was worked out.</w:t>
      </w:r>
    </w:p>
    <w:p w:rsidR="005B63A2" w:rsidRPr="002B1A95" w:rsidRDefault="005B63A2" w:rsidP="005B63A2">
      <w:pPr>
        <w:pStyle w:val="subsection"/>
      </w:pPr>
      <w:r w:rsidRPr="002B1A95">
        <w:tab/>
        <w:t>(2)</w:t>
      </w:r>
      <w:r w:rsidRPr="002B1A95">
        <w:tab/>
        <w:t xml:space="preserve">The Commissioner may ask for more than one advance payment from the applicant under </w:t>
      </w:r>
      <w:r w:rsidR="002B1A95" w:rsidRPr="002B1A95">
        <w:t>subsection (</w:t>
      </w:r>
      <w:r w:rsidRPr="002B1A95">
        <w:t>1).</w:t>
      </w:r>
    </w:p>
    <w:p w:rsidR="005B63A2" w:rsidRPr="002B1A95" w:rsidRDefault="005B63A2" w:rsidP="005B63A2">
      <w:pPr>
        <w:pStyle w:val="subsection"/>
      </w:pPr>
      <w:r w:rsidRPr="002B1A95">
        <w:lastRenderedPageBreak/>
        <w:tab/>
        <w:t>(3)</w:t>
      </w:r>
      <w:r w:rsidRPr="002B1A95">
        <w:tab/>
        <w:t>The applicant must give the Commissioner the advance payment within 14 days after receiving the statement asking for the payment or within such longer period as the Commissioner allows.</w:t>
      </w:r>
    </w:p>
    <w:p w:rsidR="005B63A2" w:rsidRPr="002B1A95" w:rsidRDefault="005B63A2" w:rsidP="005B63A2">
      <w:pPr>
        <w:pStyle w:val="ActHead5"/>
      </w:pPr>
      <w:bookmarkStart w:id="22" w:name="_Toc49765202"/>
      <w:r w:rsidRPr="00411C46">
        <w:rPr>
          <w:rStyle w:val="CharSectno"/>
        </w:rPr>
        <w:t>31</w:t>
      </w:r>
      <w:r w:rsidR="00782250" w:rsidRPr="00411C46">
        <w:rPr>
          <w:rStyle w:val="CharSectno"/>
        </w:rPr>
        <w:noBreakHyphen/>
      </w:r>
      <w:r w:rsidRPr="00411C46">
        <w:rPr>
          <w:rStyle w:val="CharSectno"/>
        </w:rPr>
        <w:t>15.05</w:t>
      </w:r>
      <w:r w:rsidRPr="002B1A95">
        <w:t xml:space="preserve">  Commissioner not required to consider application until advance payment is paid</w:t>
      </w:r>
      <w:bookmarkEnd w:id="22"/>
    </w:p>
    <w:p w:rsidR="005B63A2" w:rsidRPr="002B1A95" w:rsidRDefault="005B63A2" w:rsidP="005B63A2">
      <w:pPr>
        <w:pStyle w:val="subsection"/>
      </w:pPr>
      <w:r w:rsidRPr="002B1A95">
        <w:tab/>
      </w:r>
      <w:r w:rsidRPr="002B1A95">
        <w:tab/>
        <w:t>If the Commissioner has required an advance payment of the charge under section 31</w:t>
      </w:r>
      <w:r w:rsidR="00782250">
        <w:noBreakHyphen/>
      </w:r>
      <w:r w:rsidRPr="002B1A95">
        <w:t>15.04, the Commissioner is not required to consider the application until the payment is paid.</w:t>
      </w:r>
    </w:p>
    <w:p w:rsidR="005B63A2" w:rsidRPr="002B1A95" w:rsidRDefault="005B63A2" w:rsidP="005B63A2">
      <w:pPr>
        <w:pStyle w:val="ActHead5"/>
      </w:pPr>
      <w:bookmarkStart w:id="23" w:name="_Toc49765203"/>
      <w:r w:rsidRPr="00411C46">
        <w:rPr>
          <w:rStyle w:val="CharSectno"/>
        </w:rPr>
        <w:t>31</w:t>
      </w:r>
      <w:r w:rsidR="00782250" w:rsidRPr="00411C46">
        <w:rPr>
          <w:rStyle w:val="CharSectno"/>
        </w:rPr>
        <w:noBreakHyphen/>
      </w:r>
      <w:r w:rsidRPr="00411C46">
        <w:rPr>
          <w:rStyle w:val="CharSectno"/>
        </w:rPr>
        <w:t>15.06</w:t>
      </w:r>
      <w:r w:rsidRPr="002B1A95">
        <w:t xml:space="preserve">  Applications treated as having no effect</w:t>
      </w:r>
      <w:bookmarkEnd w:id="23"/>
    </w:p>
    <w:p w:rsidR="005B63A2" w:rsidRPr="002B1A95" w:rsidRDefault="005B63A2" w:rsidP="005B63A2">
      <w:pPr>
        <w:pStyle w:val="subsection"/>
      </w:pPr>
      <w:r w:rsidRPr="002B1A95">
        <w:tab/>
        <w:t>(1)</w:t>
      </w:r>
      <w:r w:rsidRPr="002B1A95">
        <w:tab/>
        <w:t>If the application for the valuation does not comply with section 31</w:t>
      </w:r>
      <w:r w:rsidR="00782250">
        <w:noBreakHyphen/>
      </w:r>
      <w:r w:rsidRPr="002B1A95">
        <w:t>15.02, the Commissioner must:</w:t>
      </w:r>
    </w:p>
    <w:p w:rsidR="005B63A2" w:rsidRPr="002B1A95" w:rsidRDefault="005B63A2" w:rsidP="005B63A2">
      <w:pPr>
        <w:pStyle w:val="paragraph"/>
      </w:pPr>
      <w:r w:rsidRPr="002B1A95">
        <w:tab/>
        <w:t>(a)</w:t>
      </w:r>
      <w:r w:rsidRPr="002B1A95">
        <w:tab/>
        <w:t>treat the application as having no effect; and</w:t>
      </w:r>
    </w:p>
    <w:p w:rsidR="005B63A2" w:rsidRPr="002B1A95" w:rsidRDefault="005B63A2" w:rsidP="005B63A2">
      <w:pPr>
        <w:pStyle w:val="paragraph"/>
      </w:pPr>
      <w:r w:rsidRPr="002B1A95">
        <w:tab/>
        <w:t>(b)</w:t>
      </w:r>
      <w:r w:rsidRPr="002B1A95">
        <w:tab/>
        <w:t>give the applicant a written statement that the application is being treated that way.</w:t>
      </w:r>
    </w:p>
    <w:p w:rsidR="005B63A2" w:rsidRPr="002B1A95" w:rsidRDefault="005B63A2" w:rsidP="005B63A2">
      <w:pPr>
        <w:pStyle w:val="subsection"/>
      </w:pPr>
      <w:r w:rsidRPr="002B1A95">
        <w:tab/>
        <w:t>(2)</w:t>
      </w:r>
      <w:r w:rsidRPr="002B1A95">
        <w:tab/>
        <w:t>If the Commissioner has required an advance payment of the charge under section 31</w:t>
      </w:r>
      <w:r w:rsidR="00782250">
        <w:noBreakHyphen/>
      </w:r>
      <w:r w:rsidRPr="002B1A95">
        <w:t>15.04, and the payment is not paid within the time mentioned in subsection 31</w:t>
      </w:r>
      <w:r w:rsidR="00782250">
        <w:noBreakHyphen/>
      </w:r>
      <w:r w:rsidRPr="002B1A95">
        <w:t>15.04(3), the Commissioner must:</w:t>
      </w:r>
    </w:p>
    <w:p w:rsidR="005B63A2" w:rsidRPr="002B1A95" w:rsidRDefault="005B63A2" w:rsidP="005B63A2">
      <w:pPr>
        <w:pStyle w:val="paragraph"/>
      </w:pPr>
      <w:r w:rsidRPr="002B1A95">
        <w:tab/>
        <w:t>(a)</w:t>
      </w:r>
      <w:r w:rsidRPr="002B1A95">
        <w:tab/>
        <w:t>treat the application as having no effect after that time; and</w:t>
      </w:r>
    </w:p>
    <w:p w:rsidR="005B63A2" w:rsidRPr="002B1A95" w:rsidRDefault="005B63A2" w:rsidP="005B63A2">
      <w:pPr>
        <w:pStyle w:val="paragraph"/>
      </w:pPr>
      <w:r w:rsidRPr="002B1A95">
        <w:tab/>
        <w:t>(b)</w:t>
      </w:r>
      <w:r w:rsidRPr="002B1A95">
        <w:tab/>
        <w:t>give the applicant a written statement that the application is being treated that way.</w:t>
      </w:r>
    </w:p>
    <w:p w:rsidR="005B63A2" w:rsidRPr="002B1A95" w:rsidRDefault="005B63A2" w:rsidP="005B63A2">
      <w:pPr>
        <w:pStyle w:val="notetext"/>
      </w:pPr>
      <w:r w:rsidRPr="002B1A95">
        <w:t>Note:</w:t>
      </w:r>
      <w:r w:rsidRPr="002B1A95">
        <w:tab/>
        <w:t xml:space="preserve">For an application that is treated as having no effect under </w:t>
      </w:r>
      <w:r w:rsidR="002B1A95" w:rsidRPr="002B1A95">
        <w:t>subsection (</w:t>
      </w:r>
      <w:r w:rsidRPr="002B1A95">
        <w:t>2), see subsection 31</w:t>
      </w:r>
      <w:r w:rsidR="00782250">
        <w:noBreakHyphen/>
      </w:r>
      <w:r w:rsidRPr="002B1A95">
        <w:t>15.03(2).</w:t>
      </w:r>
    </w:p>
    <w:p w:rsidR="005B63A2" w:rsidRPr="002B1A95" w:rsidRDefault="005B63A2" w:rsidP="005B63A2">
      <w:pPr>
        <w:pStyle w:val="ActHead5"/>
      </w:pPr>
      <w:bookmarkStart w:id="24" w:name="_Toc49765204"/>
      <w:r w:rsidRPr="00411C46">
        <w:rPr>
          <w:rStyle w:val="CharSectno"/>
        </w:rPr>
        <w:t>31</w:t>
      </w:r>
      <w:r w:rsidR="00782250" w:rsidRPr="00411C46">
        <w:rPr>
          <w:rStyle w:val="CharSectno"/>
        </w:rPr>
        <w:noBreakHyphen/>
      </w:r>
      <w:r w:rsidRPr="00411C46">
        <w:rPr>
          <w:rStyle w:val="CharSectno"/>
        </w:rPr>
        <w:t>15.07</w:t>
      </w:r>
      <w:r w:rsidRPr="002B1A95">
        <w:t xml:space="preserve">  Crediting and repaying valuation charges</w:t>
      </w:r>
      <w:bookmarkEnd w:id="24"/>
    </w:p>
    <w:p w:rsidR="005B63A2" w:rsidRPr="002B1A95" w:rsidRDefault="005B63A2" w:rsidP="005B63A2">
      <w:pPr>
        <w:pStyle w:val="subsection"/>
      </w:pPr>
      <w:r w:rsidRPr="002B1A95">
        <w:tab/>
        <w:t>(1)</w:t>
      </w:r>
      <w:r w:rsidRPr="002B1A95">
        <w:tab/>
        <w:t>The deposit paid under section 31</w:t>
      </w:r>
      <w:r w:rsidR="00782250">
        <w:noBreakHyphen/>
      </w:r>
      <w:r w:rsidRPr="002B1A95">
        <w:t>15.02 is to be credited against the charge for making the valuation.</w:t>
      </w:r>
    </w:p>
    <w:p w:rsidR="005B63A2" w:rsidRPr="002B1A95" w:rsidRDefault="005B63A2" w:rsidP="005B63A2">
      <w:pPr>
        <w:pStyle w:val="subsection"/>
      </w:pPr>
      <w:r w:rsidRPr="002B1A95">
        <w:tab/>
        <w:t>(2)</w:t>
      </w:r>
      <w:r w:rsidRPr="002B1A95">
        <w:tab/>
        <w:t>An advance payment of the charge paid under section 31</w:t>
      </w:r>
      <w:r w:rsidR="00782250">
        <w:noBreakHyphen/>
      </w:r>
      <w:r w:rsidRPr="002B1A95">
        <w:t>15.05 is to be credited against the charge for making the valuation.</w:t>
      </w:r>
    </w:p>
    <w:p w:rsidR="005B63A2" w:rsidRPr="002B1A95" w:rsidRDefault="005B63A2" w:rsidP="005B63A2">
      <w:pPr>
        <w:pStyle w:val="subsection"/>
      </w:pPr>
      <w:r w:rsidRPr="002B1A95">
        <w:tab/>
        <w:t>(3)</w:t>
      </w:r>
      <w:r w:rsidRPr="002B1A95">
        <w:tab/>
        <w:t>The charge payable for making the valuation is a debt due to the Commonwealth and recoverable in a court of competent jurisdiction.</w:t>
      </w:r>
    </w:p>
    <w:p w:rsidR="005B63A2" w:rsidRPr="002B1A95" w:rsidRDefault="005B63A2" w:rsidP="005B63A2">
      <w:pPr>
        <w:pStyle w:val="subsection"/>
      </w:pPr>
      <w:r w:rsidRPr="002B1A95">
        <w:tab/>
        <w:t>(4)</w:t>
      </w:r>
      <w:r w:rsidRPr="002B1A95">
        <w:tab/>
        <w:t xml:space="preserve">However, if the total of the amounts paid under </w:t>
      </w:r>
      <w:r w:rsidR="002B1A95" w:rsidRPr="002B1A95">
        <w:t>subsections (</w:t>
      </w:r>
      <w:r w:rsidRPr="002B1A95">
        <w:t>1) and (2) is more than the charge payable for making the valuation, the Commissioner must pay the difference to the applicant as soon as practicable.</w:t>
      </w:r>
    </w:p>
    <w:p w:rsidR="005B63A2" w:rsidRPr="002B1A95" w:rsidRDefault="005B63A2" w:rsidP="005B63A2">
      <w:pPr>
        <w:pStyle w:val="ActHead5"/>
      </w:pPr>
      <w:bookmarkStart w:id="25" w:name="_Toc49765205"/>
      <w:r w:rsidRPr="00411C46">
        <w:rPr>
          <w:rStyle w:val="CharSectno"/>
        </w:rPr>
        <w:t>31</w:t>
      </w:r>
      <w:r w:rsidR="00782250" w:rsidRPr="00411C46">
        <w:rPr>
          <w:rStyle w:val="CharSectno"/>
        </w:rPr>
        <w:noBreakHyphen/>
      </w:r>
      <w:r w:rsidRPr="00411C46">
        <w:rPr>
          <w:rStyle w:val="CharSectno"/>
        </w:rPr>
        <w:t>15.08</w:t>
      </w:r>
      <w:r w:rsidRPr="002B1A95">
        <w:t xml:space="preserve">  Valuation certificates</w:t>
      </w:r>
      <w:bookmarkEnd w:id="25"/>
    </w:p>
    <w:p w:rsidR="005B63A2" w:rsidRPr="002B1A95" w:rsidRDefault="005B63A2" w:rsidP="005B63A2">
      <w:pPr>
        <w:pStyle w:val="subsection"/>
      </w:pPr>
      <w:r w:rsidRPr="002B1A95">
        <w:tab/>
        <w:t>(1)</w:t>
      </w:r>
      <w:r w:rsidRPr="002B1A95">
        <w:tab/>
        <w:t>If the Commissioner completes the valuation, the Commissioner must give a valuation certificate to the applicant for the valuation.</w:t>
      </w:r>
    </w:p>
    <w:p w:rsidR="005B63A2" w:rsidRPr="002B1A95" w:rsidRDefault="005B63A2" w:rsidP="005B63A2">
      <w:pPr>
        <w:pStyle w:val="subsection"/>
      </w:pPr>
      <w:r w:rsidRPr="002B1A95">
        <w:tab/>
        <w:t>(2)</w:t>
      </w:r>
      <w:r w:rsidRPr="002B1A95">
        <w:tab/>
        <w:t xml:space="preserve">The Commissioner must approve, in writing, one or more forms of a valuation certificate for the purposes of </w:t>
      </w:r>
      <w:r w:rsidR="002B1A95" w:rsidRPr="002B1A95">
        <w:t>subsection (</w:t>
      </w:r>
      <w:r w:rsidRPr="002B1A95">
        <w:t>1).</w:t>
      </w:r>
    </w:p>
    <w:p w:rsidR="005B63A2" w:rsidRPr="002B1A95" w:rsidRDefault="005B63A2" w:rsidP="005B63A2">
      <w:pPr>
        <w:pStyle w:val="subsection"/>
      </w:pPr>
      <w:r w:rsidRPr="002B1A95">
        <w:lastRenderedPageBreak/>
        <w:tab/>
        <w:t>(3)</w:t>
      </w:r>
      <w:r w:rsidRPr="002B1A95">
        <w:tab/>
        <w:t>The certificate must include the following information:</w:t>
      </w:r>
    </w:p>
    <w:p w:rsidR="005B63A2" w:rsidRPr="002B1A95" w:rsidRDefault="005B63A2" w:rsidP="005B63A2">
      <w:pPr>
        <w:pStyle w:val="paragraph"/>
      </w:pPr>
      <w:r w:rsidRPr="002B1A95">
        <w:tab/>
        <w:t>(a)</w:t>
      </w:r>
      <w:r w:rsidRPr="002B1A95">
        <w:tab/>
        <w:t>the date on which the valuation was completed;</w:t>
      </w:r>
    </w:p>
    <w:p w:rsidR="005B63A2" w:rsidRPr="002B1A95" w:rsidRDefault="005B63A2" w:rsidP="005B63A2">
      <w:pPr>
        <w:pStyle w:val="paragraph"/>
      </w:pPr>
      <w:r w:rsidRPr="002B1A95">
        <w:tab/>
        <w:t>(b)</w:t>
      </w:r>
      <w:r w:rsidRPr="002B1A95">
        <w:tab/>
        <w:t>a description of the land (including a lot and plan number, title reference and the location of the land);</w:t>
      </w:r>
    </w:p>
    <w:p w:rsidR="005B63A2" w:rsidRPr="002B1A95" w:rsidRDefault="005B63A2" w:rsidP="005B63A2">
      <w:pPr>
        <w:pStyle w:val="paragraph"/>
      </w:pPr>
      <w:r w:rsidRPr="002B1A95">
        <w:tab/>
        <w:t>(c)</w:t>
      </w:r>
      <w:r w:rsidRPr="002B1A95">
        <w:tab/>
        <w:t>a statement of the market value of the land immediately before the conservation covenant was entered into;</w:t>
      </w:r>
    </w:p>
    <w:p w:rsidR="005B63A2" w:rsidRPr="002B1A95" w:rsidRDefault="005B63A2" w:rsidP="005B63A2">
      <w:pPr>
        <w:pStyle w:val="paragraph"/>
      </w:pPr>
      <w:r w:rsidRPr="002B1A95">
        <w:tab/>
        <w:t>(d)</w:t>
      </w:r>
      <w:r w:rsidRPr="002B1A95">
        <w:tab/>
        <w:t>a statement of the market value of the land immediately after the conservation covenant was entered into;</w:t>
      </w:r>
    </w:p>
    <w:p w:rsidR="005B63A2" w:rsidRPr="002B1A95" w:rsidRDefault="005B63A2" w:rsidP="005B63A2">
      <w:pPr>
        <w:pStyle w:val="paragraph"/>
      </w:pPr>
      <w:r w:rsidRPr="002B1A95">
        <w:tab/>
        <w:t>(e)</w:t>
      </w:r>
      <w:r w:rsidRPr="002B1A95">
        <w:tab/>
        <w:t xml:space="preserve">a statement of the difference between the market values mentioned in </w:t>
      </w:r>
      <w:r w:rsidR="002B1A95" w:rsidRPr="002B1A95">
        <w:t>paragraphs (</w:t>
      </w:r>
      <w:r w:rsidRPr="002B1A95">
        <w:t>c) and (d);</w:t>
      </w:r>
    </w:p>
    <w:p w:rsidR="005B63A2" w:rsidRPr="002B1A95" w:rsidRDefault="005B63A2" w:rsidP="005B63A2">
      <w:pPr>
        <w:pStyle w:val="paragraph"/>
      </w:pPr>
      <w:r w:rsidRPr="002B1A95">
        <w:tab/>
        <w:t>(f)</w:t>
      </w:r>
      <w:r w:rsidRPr="002B1A95">
        <w:tab/>
        <w:t xml:space="preserve">a statement of the extent to which the difference mentioned in </w:t>
      </w:r>
      <w:r w:rsidR="002B1A95" w:rsidRPr="002B1A95">
        <w:t>paragraph (</w:t>
      </w:r>
      <w:r w:rsidRPr="002B1A95">
        <w:t>e) is attributable to the conservation covenant being entered into.</w:t>
      </w:r>
    </w:p>
    <w:p w:rsidR="005B63A2" w:rsidRPr="002B1A95" w:rsidRDefault="005B63A2" w:rsidP="005B63A2">
      <w:pPr>
        <w:pStyle w:val="subsection"/>
      </w:pPr>
      <w:r w:rsidRPr="002B1A95">
        <w:tab/>
        <w:t>(4)</w:t>
      </w:r>
      <w:r w:rsidRPr="002B1A95">
        <w:tab/>
        <w:t>The certificate may include other information.</w:t>
      </w:r>
    </w:p>
    <w:p w:rsidR="005B63A2" w:rsidRPr="002B1A95" w:rsidRDefault="005B63A2" w:rsidP="005B63A2">
      <w:pPr>
        <w:pStyle w:val="subsection"/>
      </w:pPr>
      <w:r w:rsidRPr="002B1A95">
        <w:tab/>
        <w:t>(5)</w:t>
      </w:r>
      <w:r w:rsidRPr="002B1A95">
        <w:tab/>
        <w:t>The Commissioner must not give a valuation certificate to the applicant until:</w:t>
      </w:r>
    </w:p>
    <w:p w:rsidR="005B63A2" w:rsidRPr="002B1A95" w:rsidRDefault="005B63A2" w:rsidP="005B63A2">
      <w:pPr>
        <w:pStyle w:val="paragraph"/>
      </w:pPr>
      <w:r w:rsidRPr="002B1A95">
        <w:tab/>
        <w:t>(a)</w:t>
      </w:r>
      <w:r w:rsidRPr="002B1A95">
        <w:tab/>
        <w:t>the valuation has been completed; and</w:t>
      </w:r>
    </w:p>
    <w:p w:rsidR="005B63A2" w:rsidRPr="002B1A95" w:rsidRDefault="005B63A2" w:rsidP="005B63A2">
      <w:pPr>
        <w:pStyle w:val="paragraph"/>
      </w:pPr>
      <w:r w:rsidRPr="002B1A95">
        <w:tab/>
        <w:t>(b)</w:t>
      </w:r>
      <w:r w:rsidRPr="002B1A95">
        <w:tab/>
        <w:t>the Commissioner has received the full amount of the charge payable for making the valuation.</w:t>
      </w:r>
    </w:p>
    <w:p w:rsidR="005B63A2" w:rsidRPr="002B1A95" w:rsidRDefault="005B63A2" w:rsidP="005B63A2">
      <w:pPr>
        <w:pStyle w:val="ActHead2"/>
        <w:pageBreakBefore/>
      </w:pPr>
      <w:bookmarkStart w:id="26" w:name="_Toc49765206"/>
      <w:r w:rsidRPr="00411C46">
        <w:rPr>
          <w:rStyle w:val="CharPartNo"/>
        </w:rPr>
        <w:lastRenderedPageBreak/>
        <w:t>Part</w:t>
      </w:r>
      <w:r w:rsidR="002B1A95" w:rsidRPr="00411C46">
        <w:rPr>
          <w:rStyle w:val="CharPartNo"/>
        </w:rPr>
        <w:t> </w:t>
      </w:r>
      <w:r w:rsidRPr="00411C46">
        <w:rPr>
          <w:rStyle w:val="CharPartNo"/>
        </w:rPr>
        <w:t>2</w:t>
      </w:r>
      <w:r w:rsidR="00782250" w:rsidRPr="00411C46">
        <w:rPr>
          <w:rStyle w:val="CharPartNo"/>
        </w:rPr>
        <w:noBreakHyphen/>
      </w:r>
      <w:r w:rsidRPr="00411C46">
        <w:rPr>
          <w:rStyle w:val="CharPartNo"/>
        </w:rPr>
        <w:t>15</w:t>
      </w:r>
      <w:r w:rsidRPr="002B1A95">
        <w:t>—</w:t>
      </w:r>
      <w:r w:rsidRPr="00411C46">
        <w:rPr>
          <w:rStyle w:val="CharPartText"/>
        </w:rPr>
        <w:t>Non</w:t>
      </w:r>
      <w:r w:rsidR="00782250" w:rsidRPr="00411C46">
        <w:rPr>
          <w:rStyle w:val="CharPartText"/>
        </w:rPr>
        <w:noBreakHyphen/>
      </w:r>
      <w:r w:rsidRPr="00411C46">
        <w:rPr>
          <w:rStyle w:val="CharPartText"/>
        </w:rPr>
        <w:t>assessable income</w:t>
      </w:r>
      <w:bookmarkEnd w:id="26"/>
    </w:p>
    <w:p w:rsidR="005B63A2" w:rsidRPr="002B1A95" w:rsidRDefault="005B63A2" w:rsidP="005B63A2">
      <w:pPr>
        <w:pStyle w:val="ActHead3"/>
      </w:pPr>
      <w:bookmarkStart w:id="27" w:name="_Toc49765207"/>
      <w:r w:rsidRPr="00411C46">
        <w:rPr>
          <w:rStyle w:val="CharDivNo"/>
        </w:rPr>
        <w:t>Division</w:t>
      </w:r>
      <w:r w:rsidR="002B1A95" w:rsidRPr="00411C46">
        <w:rPr>
          <w:rStyle w:val="CharDivNo"/>
        </w:rPr>
        <w:t> </w:t>
      </w:r>
      <w:r w:rsidRPr="00411C46">
        <w:rPr>
          <w:rStyle w:val="CharDivNo"/>
        </w:rPr>
        <w:t>50</w:t>
      </w:r>
      <w:r w:rsidRPr="002B1A95">
        <w:t>—</w:t>
      </w:r>
      <w:r w:rsidRPr="00411C46">
        <w:rPr>
          <w:rStyle w:val="CharDivText"/>
        </w:rPr>
        <w:t>Exempt entities</w:t>
      </w:r>
      <w:bookmarkEnd w:id="27"/>
    </w:p>
    <w:p w:rsidR="005B63A2" w:rsidRPr="002B1A95" w:rsidRDefault="005B63A2" w:rsidP="005B63A2">
      <w:pPr>
        <w:pStyle w:val="ActHead4"/>
      </w:pPr>
      <w:bookmarkStart w:id="28" w:name="_Toc49765208"/>
      <w:r w:rsidRPr="00411C46">
        <w:rPr>
          <w:rStyle w:val="CharSubdNo"/>
        </w:rPr>
        <w:t>Subdivision</w:t>
      </w:r>
      <w:r w:rsidR="002B1A95" w:rsidRPr="00411C46">
        <w:rPr>
          <w:rStyle w:val="CharSubdNo"/>
        </w:rPr>
        <w:t> </w:t>
      </w:r>
      <w:r w:rsidRPr="00411C46">
        <w:rPr>
          <w:rStyle w:val="CharSubdNo"/>
        </w:rPr>
        <w:t>50</w:t>
      </w:r>
      <w:r w:rsidR="00782250" w:rsidRPr="00411C46">
        <w:rPr>
          <w:rStyle w:val="CharSubdNo"/>
        </w:rPr>
        <w:noBreakHyphen/>
      </w:r>
      <w:r w:rsidRPr="00411C46">
        <w:rPr>
          <w:rStyle w:val="CharSubdNo"/>
        </w:rPr>
        <w:t>A</w:t>
      </w:r>
      <w:r w:rsidRPr="002B1A95">
        <w:t>—</w:t>
      </w:r>
      <w:r w:rsidRPr="00411C46">
        <w:rPr>
          <w:rStyle w:val="CharSubdText"/>
        </w:rPr>
        <w:t>Various exempt entities</w:t>
      </w:r>
      <w:bookmarkEnd w:id="28"/>
    </w:p>
    <w:p w:rsidR="005B63A2" w:rsidRPr="002B1A95" w:rsidRDefault="005B63A2" w:rsidP="005B63A2">
      <w:pPr>
        <w:pStyle w:val="ActHead5"/>
      </w:pPr>
      <w:bookmarkStart w:id="29" w:name="_Toc49765209"/>
      <w:r w:rsidRPr="00411C46">
        <w:rPr>
          <w:rStyle w:val="CharSectno"/>
        </w:rPr>
        <w:t>50</w:t>
      </w:r>
      <w:r w:rsidR="00782250" w:rsidRPr="00411C46">
        <w:rPr>
          <w:rStyle w:val="CharSectno"/>
        </w:rPr>
        <w:noBreakHyphen/>
      </w:r>
      <w:r w:rsidRPr="00411C46">
        <w:rPr>
          <w:rStyle w:val="CharSectno"/>
        </w:rPr>
        <w:t>50.01</w:t>
      </w:r>
      <w:r w:rsidRPr="002B1A95">
        <w:t xml:space="preserve">  Prescribed institutions located outside Australia</w:t>
      </w:r>
      <w:bookmarkEnd w:id="29"/>
    </w:p>
    <w:p w:rsidR="005B63A2" w:rsidRPr="002B1A95" w:rsidRDefault="005B63A2" w:rsidP="005B63A2">
      <w:pPr>
        <w:pStyle w:val="subsection"/>
      </w:pPr>
      <w:r w:rsidRPr="002B1A95">
        <w:tab/>
      </w:r>
      <w:r w:rsidRPr="002B1A95">
        <w:tab/>
        <w:t>For the purposes of paragraph</w:t>
      </w:r>
      <w:r w:rsidR="002B1A95" w:rsidRPr="002B1A95">
        <w:t> </w:t>
      </w:r>
      <w:r w:rsidRPr="002B1A95">
        <w:t>50</w:t>
      </w:r>
      <w:r w:rsidR="00782250">
        <w:noBreakHyphen/>
      </w:r>
      <w:r w:rsidRPr="002B1A95">
        <w:t>50(1)(c) of the Act, each institution specified in an item in the following table is a prescribed institution.</w:t>
      </w:r>
    </w:p>
    <w:p w:rsidR="005B63A2" w:rsidRPr="002B1A95" w:rsidRDefault="005B63A2" w:rsidP="005B63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7797"/>
      </w:tblGrid>
      <w:tr w:rsidR="005B63A2" w:rsidRPr="002B1A95" w:rsidTr="003104D0">
        <w:trPr>
          <w:tblHeader/>
        </w:trPr>
        <w:tc>
          <w:tcPr>
            <w:tcW w:w="5000" w:type="pct"/>
            <w:gridSpan w:val="2"/>
            <w:tcBorders>
              <w:top w:val="single" w:sz="12" w:space="0" w:color="auto"/>
              <w:bottom w:val="single" w:sz="12" w:space="0" w:color="auto"/>
            </w:tcBorders>
            <w:shd w:val="clear" w:color="auto" w:fill="auto"/>
          </w:tcPr>
          <w:p w:rsidR="005B63A2" w:rsidRPr="002B1A95" w:rsidRDefault="005B63A2" w:rsidP="005B63A2">
            <w:pPr>
              <w:pStyle w:val="TableHeading"/>
            </w:pPr>
            <w:r w:rsidRPr="002B1A95">
              <w:t>Prescribed institutions located outside Australia</w:t>
            </w:r>
          </w:p>
        </w:tc>
      </w:tr>
      <w:tr w:rsidR="005B63A2" w:rsidRPr="002B1A95" w:rsidTr="003104D0">
        <w:trPr>
          <w:tblHeader/>
        </w:trPr>
        <w:tc>
          <w:tcPr>
            <w:tcW w:w="429" w:type="pct"/>
            <w:tcBorders>
              <w:top w:val="single" w:sz="12" w:space="0" w:color="auto"/>
              <w:bottom w:val="single" w:sz="12" w:space="0" w:color="auto"/>
            </w:tcBorders>
            <w:shd w:val="clear" w:color="auto" w:fill="auto"/>
          </w:tcPr>
          <w:p w:rsidR="005B63A2" w:rsidRPr="002B1A95" w:rsidRDefault="005B63A2" w:rsidP="005B63A2">
            <w:pPr>
              <w:pStyle w:val="TableHeading"/>
            </w:pPr>
            <w:r w:rsidRPr="002B1A95">
              <w:t>Item</w:t>
            </w:r>
          </w:p>
        </w:tc>
        <w:tc>
          <w:tcPr>
            <w:tcW w:w="4571" w:type="pct"/>
            <w:tcBorders>
              <w:top w:val="single" w:sz="12" w:space="0" w:color="auto"/>
              <w:bottom w:val="single" w:sz="12" w:space="0" w:color="auto"/>
            </w:tcBorders>
            <w:shd w:val="clear" w:color="auto" w:fill="auto"/>
          </w:tcPr>
          <w:p w:rsidR="005B63A2" w:rsidRPr="002B1A95" w:rsidRDefault="005B63A2" w:rsidP="005B63A2">
            <w:pPr>
              <w:pStyle w:val="TableHeading"/>
            </w:pPr>
            <w:r w:rsidRPr="002B1A95">
              <w:t>Name of institution</w:t>
            </w:r>
          </w:p>
        </w:tc>
      </w:tr>
      <w:tr w:rsidR="005B63A2" w:rsidRPr="002B1A95" w:rsidTr="003104D0">
        <w:tc>
          <w:tcPr>
            <w:tcW w:w="429" w:type="pct"/>
            <w:tcBorders>
              <w:top w:val="single" w:sz="12" w:space="0" w:color="auto"/>
            </w:tcBorders>
            <w:shd w:val="clear" w:color="auto" w:fill="auto"/>
          </w:tcPr>
          <w:p w:rsidR="005B63A2" w:rsidRPr="002B1A95" w:rsidRDefault="005B63A2" w:rsidP="005B63A2">
            <w:pPr>
              <w:pStyle w:val="Tabletext"/>
            </w:pPr>
            <w:r w:rsidRPr="002B1A95">
              <w:t>1</w:t>
            </w:r>
          </w:p>
        </w:tc>
        <w:tc>
          <w:tcPr>
            <w:tcW w:w="4571" w:type="pct"/>
            <w:tcBorders>
              <w:top w:val="single" w:sz="12" w:space="0" w:color="auto"/>
            </w:tcBorders>
            <w:shd w:val="clear" w:color="auto" w:fill="auto"/>
          </w:tcPr>
          <w:p w:rsidR="005B63A2" w:rsidRPr="002B1A95" w:rsidRDefault="005B63A2" w:rsidP="005B63A2">
            <w:pPr>
              <w:pStyle w:val="Tabletext"/>
            </w:pPr>
            <w:r w:rsidRPr="002B1A95">
              <w:t>Catholic Bishops’ Conference of the Pacific (Fiji)</w:t>
            </w:r>
          </w:p>
        </w:tc>
      </w:tr>
      <w:tr w:rsidR="005B63A2" w:rsidRPr="002B1A95" w:rsidTr="003104D0">
        <w:tc>
          <w:tcPr>
            <w:tcW w:w="429" w:type="pct"/>
            <w:shd w:val="clear" w:color="auto" w:fill="auto"/>
          </w:tcPr>
          <w:p w:rsidR="005B63A2" w:rsidRPr="002B1A95" w:rsidRDefault="005B63A2" w:rsidP="005B63A2">
            <w:pPr>
              <w:pStyle w:val="Tabletext"/>
            </w:pPr>
            <w:r w:rsidRPr="002B1A95">
              <w:t>2</w:t>
            </w:r>
          </w:p>
        </w:tc>
        <w:tc>
          <w:tcPr>
            <w:tcW w:w="4571" w:type="pct"/>
            <w:shd w:val="clear" w:color="auto" w:fill="auto"/>
          </w:tcPr>
          <w:p w:rsidR="005B63A2" w:rsidRPr="002B1A95" w:rsidRDefault="005B63A2" w:rsidP="005B63A2">
            <w:pPr>
              <w:pStyle w:val="Tabletext"/>
            </w:pPr>
            <w:r w:rsidRPr="002B1A95">
              <w:t>Catholic Diocese of Rarotonga (Cook Islands)</w:t>
            </w:r>
          </w:p>
        </w:tc>
      </w:tr>
      <w:tr w:rsidR="005B63A2" w:rsidRPr="002B1A95" w:rsidTr="003104D0">
        <w:tc>
          <w:tcPr>
            <w:tcW w:w="429" w:type="pct"/>
            <w:shd w:val="clear" w:color="auto" w:fill="auto"/>
          </w:tcPr>
          <w:p w:rsidR="005B63A2" w:rsidRPr="002B1A95" w:rsidRDefault="005B63A2" w:rsidP="005B63A2">
            <w:pPr>
              <w:pStyle w:val="Tabletext"/>
            </w:pPr>
            <w:r w:rsidRPr="002B1A95">
              <w:t>3</w:t>
            </w:r>
          </w:p>
        </w:tc>
        <w:tc>
          <w:tcPr>
            <w:tcW w:w="4571" w:type="pct"/>
            <w:shd w:val="clear" w:color="auto" w:fill="auto"/>
          </w:tcPr>
          <w:p w:rsidR="005B63A2" w:rsidRPr="002B1A95" w:rsidRDefault="005B63A2" w:rsidP="005B63A2">
            <w:pPr>
              <w:pStyle w:val="Tabletext"/>
            </w:pPr>
            <w:r w:rsidRPr="002B1A95">
              <w:t>Catholic Diocese of Bougainville (Papua New Guinea)</w:t>
            </w:r>
          </w:p>
        </w:tc>
      </w:tr>
      <w:tr w:rsidR="005B63A2" w:rsidRPr="002B1A95" w:rsidTr="003104D0">
        <w:tc>
          <w:tcPr>
            <w:tcW w:w="429" w:type="pct"/>
            <w:shd w:val="clear" w:color="auto" w:fill="auto"/>
          </w:tcPr>
          <w:p w:rsidR="005B63A2" w:rsidRPr="002B1A95" w:rsidRDefault="005B63A2" w:rsidP="005B63A2">
            <w:pPr>
              <w:pStyle w:val="Tabletext"/>
            </w:pPr>
            <w:r w:rsidRPr="002B1A95">
              <w:t>4</w:t>
            </w:r>
          </w:p>
        </w:tc>
        <w:tc>
          <w:tcPr>
            <w:tcW w:w="4571" w:type="pct"/>
            <w:shd w:val="clear" w:color="auto" w:fill="auto"/>
          </w:tcPr>
          <w:p w:rsidR="005B63A2" w:rsidRPr="002B1A95" w:rsidRDefault="005B63A2" w:rsidP="005B63A2">
            <w:pPr>
              <w:pStyle w:val="Tabletext"/>
            </w:pPr>
            <w:r w:rsidRPr="002B1A95">
              <w:t>Catholic Diocese of Port Vila (Vanuatu)</w:t>
            </w:r>
          </w:p>
        </w:tc>
      </w:tr>
      <w:tr w:rsidR="005B63A2" w:rsidRPr="002B1A95" w:rsidTr="003104D0">
        <w:tc>
          <w:tcPr>
            <w:tcW w:w="429" w:type="pct"/>
            <w:shd w:val="clear" w:color="auto" w:fill="auto"/>
          </w:tcPr>
          <w:p w:rsidR="005B63A2" w:rsidRPr="002B1A95" w:rsidRDefault="005B63A2" w:rsidP="005B63A2">
            <w:pPr>
              <w:pStyle w:val="Tabletext"/>
            </w:pPr>
            <w:r w:rsidRPr="002B1A95">
              <w:t>5</w:t>
            </w:r>
          </w:p>
        </w:tc>
        <w:tc>
          <w:tcPr>
            <w:tcW w:w="4571" w:type="pct"/>
            <w:shd w:val="clear" w:color="auto" w:fill="auto"/>
          </w:tcPr>
          <w:p w:rsidR="005B63A2" w:rsidRPr="002B1A95" w:rsidRDefault="005B63A2" w:rsidP="005B63A2">
            <w:pPr>
              <w:pStyle w:val="Tabletext"/>
            </w:pPr>
            <w:r w:rsidRPr="002B1A95">
              <w:t>Catholic Diocese of Suva (Fiji)</w:t>
            </w:r>
          </w:p>
        </w:tc>
      </w:tr>
      <w:tr w:rsidR="005B63A2" w:rsidRPr="002B1A95" w:rsidTr="003104D0">
        <w:tc>
          <w:tcPr>
            <w:tcW w:w="429" w:type="pct"/>
            <w:shd w:val="clear" w:color="auto" w:fill="auto"/>
          </w:tcPr>
          <w:p w:rsidR="005B63A2" w:rsidRPr="002B1A95" w:rsidRDefault="005B63A2" w:rsidP="005B63A2">
            <w:pPr>
              <w:pStyle w:val="Tabletext"/>
            </w:pPr>
            <w:r w:rsidRPr="002B1A95">
              <w:t>6</w:t>
            </w:r>
          </w:p>
        </w:tc>
        <w:tc>
          <w:tcPr>
            <w:tcW w:w="4571" w:type="pct"/>
            <w:shd w:val="clear" w:color="auto" w:fill="auto"/>
          </w:tcPr>
          <w:p w:rsidR="005B63A2" w:rsidRPr="002B1A95" w:rsidRDefault="005B63A2" w:rsidP="005B63A2">
            <w:pPr>
              <w:pStyle w:val="Tabletext"/>
            </w:pPr>
            <w:r w:rsidRPr="002B1A95">
              <w:t>Catholic Diocese of Noumea (New Caledonia)</w:t>
            </w:r>
          </w:p>
        </w:tc>
      </w:tr>
      <w:tr w:rsidR="005B63A2" w:rsidRPr="002B1A95" w:rsidTr="003104D0">
        <w:tc>
          <w:tcPr>
            <w:tcW w:w="429" w:type="pct"/>
            <w:shd w:val="clear" w:color="auto" w:fill="auto"/>
          </w:tcPr>
          <w:p w:rsidR="005B63A2" w:rsidRPr="002B1A95" w:rsidRDefault="005B63A2" w:rsidP="005B63A2">
            <w:pPr>
              <w:pStyle w:val="Tabletext"/>
            </w:pPr>
            <w:r w:rsidRPr="002B1A95">
              <w:t>7</w:t>
            </w:r>
          </w:p>
        </w:tc>
        <w:tc>
          <w:tcPr>
            <w:tcW w:w="4571" w:type="pct"/>
            <w:shd w:val="clear" w:color="auto" w:fill="auto"/>
          </w:tcPr>
          <w:p w:rsidR="005B63A2" w:rsidRPr="002B1A95" w:rsidRDefault="005B63A2" w:rsidP="005B63A2">
            <w:pPr>
              <w:pStyle w:val="Tabletext"/>
            </w:pPr>
            <w:r w:rsidRPr="002B1A95">
              <w:t>Catholic Diocese of Tonga</w:t>
            </w:r>
          </w:p>
        </w:tc>
      </w:tr>
      <w:tr w:rsidR="005B63A2" w:rsidRPr="002B1A95" w:rsidTr="003104D0">
        <w:tc>
          <w:tcPr>
            <w:tcW w:w="429" w:type="pct"/>
            <w:shd w:val="clear" w:color="auto" w:fill="auto"/>
          </w:tcPr>
          <w:p w:rsidR="005B63A2" w:rsidRPr="002B1A95" w:rsidRDefault="005B63A2" w:rsidP="005B63A2">
            <w:pPr>
              <w:pStyle w:val="Tabletext"/>
            </w:pPr>
            <w:r w:rsidRPr="002B1A95">
              <w:t>8</w:t>
            </w:r>
          </w:p>
        </w:tc>
        <w:tc>
          <w:tcPr>
            <w:tcW w:w="4571" w:type="pct"/>
            <w:shd w:val="clear" w:color="auto" w:fill="auto"/>
          </w:tcPr>
          <w:p w:rsidR="005B63A2" w:rsidRPr="002B1A95" w:rsidRDefault="005B63A2" w:rsidP="005B63A2">
            <w:pPr>
              <w:pStyle w:val="Tabletext"/>
            </w:pPr>
            <w:r w:rsidRPr="002B1A95">
              <w:t>Catholic Diocese of Auki (Solomon Islands)</w:t>
            </w:r>
          </w:p>
        </w:tc>
      </w:tr>
      <w:tr w:rsidR="005B63A2" w:rsidRPr="002B1A95" w:rsidTr="003104D0">
        <w:tc>
          <w:tcPr>
            <w:tcW w:w="429" w:type="pct"/>
            <w:shd w:val="clear" w:color="auto" w:fill="auto"/>
          </w:tcPr>
          <w:p w:rsidR="005B63A2" w:rsidRPr="002B1A95" w:rsidRDefault="005B63A2" w:rsidP="005B63A2">
            <w:pPr>
              <w:pStyle w:val="Tabletext"/>
            </w:pPr>
            <w:r w:rsidRPr="002B1A95">
              <w:t>9</w:t>
            </w:r>
          </w:p>
        </w:tc>
        <w:tc>
          <w:tcPr>
            <w:tcW w:w="4571" w:type="pct"/>
            <w:shd w:val="clear" w:color="auto" w:fill="auto"/>
          </w:tcPr>
          <w:p w:rsidR="005B63A2" w:rsidRPr="002B1A95" w:rsidRDefault="005B63A2" w:rsidP="005B63A2">
            <w:pPr>
              <w:pStyle w:val="Tabletext"/>
            </w:pPr>
            <w:r w:rsidRPr="002B1A95">
              <w:t>Catholic Archdiocese of Rabaul (Papua New Guinea)</w:t>
            </w:r>
          </w:p>
        </w:tc>
      </w:tr>
      <w:tr w:rsidR="005B63A2" w:rsidRPr="002B1A95" w:rsidTr="003104D0">
        <w:tc>
          <w:tcPr>
            <w:tcW w:w="429" w:type="pct"/>
            <w:shd w:val="clear" w:color="auto" w:fill="auto"/>
          </w:tcPr>
          <w:p w:rsidR="005B63A2" w:rsidRPr="002B1A95" w:rsidRDefault="005B63A2" w:rsidP="005B63A2">
            <w:pPr>
              <w:pStyle w:val="Tabletext"/>
            </w:pPr>
            <w:r w:rsidRPr="002B1A95">
              <w:t>10</w:t>
            </w:r>
          </w:p>
        </w:tc>
        <w:tc>
          <w:tcPr>
            <w:tcW w:w="4571" w:type="pct"/>
            <w:shd w:val="clear" w:color="auto" w:fill="auto"/>
          </w:tcPr>
          <w:p w:rsidR="005B63A2" w:rsidRPr="002B1A95" w:rsidRDefault="005B63A2" w:rsidP="005B63A2">
            <w:pPr>
              <w:pStyle w:val="Tabletext"/>
            </w:pPr>
            <w:r w:rsidRPr="002B1A95">
              <w:t>Diocese of Honiara Registered Trustees (Incorporated)</w:t>
            </w:r>
          </w:p>
        </w:tc>
      </w:tr>
    </w:tbl>
    <w:p w:rsidR="005B63A2" w:rsidRPr="002B1A95" w:rsidRDefault="005B63A2" w:rsidP="005B63A2">
      <w:pPr>
        <w:pStyle w:val="ActHead5"/>
      </w:pPr>
      <w:bookmarkStart w:id="30" w:name="_Toc49765210"/>
      <w:r w:rsidRPr="00411C46">
        <w:rPr>
          <w:rStyle w:val="CharSectno"/>
        </w:rPr>
        <w:t>50</w:t>
      </w:r>
      <w:r w:rsidR="00782250" w:rsidRPr="00411C46">
        <w:rPr>
          <w:rStyle w:val="CharSectno"/>
        </w:rPr>
        <w:noBreakHyphen/>
      </w:r>
      <w:r w:rsidRPr="00411C46">
        <w:rPr>
          <w:rStyle w:val="CharSectno"/>
        </w:rPr>
        <w:t>50.02</w:t>
      </w:r>
      <w:r w:rsidRPr="002B1A95">
        <w:t xml:space="preserve">  Prescribed institutions pursuing objectives principally outside Australia</w:t>
      </w:r>
      <w:bookmarkEnd w:id="30"/>
    </w:p>
    <w:p w:rsidR="005B63A2" w:rsidRPr="002B1A95" w:rsidRDefault="005B63A2" w:rsidP="005B63A2">
      <w:pPr>
        <w:pStyle w:val="subsection"/>
      </w:pPr>
      <w:r w:rsidRPr="002B1A95">
        <w:tab/>
      </w:r>
      <w:r w:rsidRPr="002B1A95">
        <w:tab/>
        <w:t>For the purposes of paragraph</w:t>
      </w:r>
      <w:r w:rsidR="002B1A95" w:rsidRPr="002B1A95">
        <w:t> </w:t>
      </w:r>
      <w:r w:rsidRPr="002B1A95">
        <w:t>50</w:t>
      </w:r>
      <w:r w:rsidR="00782250">
        <w:noBreakHyphen/>
      </w:r>
      <w:r w:rsidRPr="002B1A95">
        <w:t>50(1)(d) of the Act, each institution specified in column 1 of an item in the following table, and each institution that is a member of that institution, is a prescribed institution until the date specified (if any) in column 2 of the item.</w:t>
      </w:r>
    </w:p>
    <w:p w:rsidR="005B63A2" w:rsidRPr="002B1A95" w:rsidRDefault="005B63A2" w:rsidP="005B63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6390"/>
        <w:gridCol w:w="1407"/>
      </w:tblGrid>
      <w:tr w:rsidR="005B63A2" w:rsidRPr="002B1A95" w:rsidTr="003104D0">
        <w:trPr>
          <w:tblHeader/>
        </w:trPr>
        <w:tc>
          <w:tcPr>
            <w:tcW w:w="5000" w:type="pct"/>
            <w:gridSpan w:val="3"/>
            <w:tcBorders>
              <w:top w:val="single" w:sz="12" w:space="0" w:color="auto"/>
              <w:bottom w:val="single" w:sz="6" w:space="0" w:color="auto"/>
            </w:tcBorders>
            <w:shd w:val="clear" w:color="auto" w:fill="auto"/>
          </w:tcPr>
          <w:p w:rsidR="005B63A2" w:rsidRPr="002B1A95" w:rsidRDefault="005B63A2" w:rsidP="005B63A2">
            <w:pPr>
              <w:pStyle w:val="TableHeading"/>
            </w:pPr>
            <w:r w:rsidRPr="002B1A95">
              <w:t>Prescribed institutions pursuing objectives principally outside Australia</w:t>
            </w:r>
          </w:p>
        </w:tc>
      </w:tr>
      <w:tr w:rsidR="005B63A2" w:rsidRPr="002B1A95" w:rsidTr="003104D0">
        <w:trPr>
          <w:trHeight w:val="615"/>
          <w:tblHeader/>
        </w:trPr>
        <w:tc>
          <w:tcPr>
            <w:tcW w:w="429" w:type="pct"/>
            <w:tcBorders>
              <w:top w:val="single" w:sz="6" w:space="0" w:color="auto"/>
            </w:tcBorders>
            <w:shd w:val="clear" w:color="auto" w:fill="auto"/>
          </w:tcPr>
          <w:p w:rsidR="005B63A2" w:rsidRPr="002B1A95" w:rsidRDefault="005B63A2" w:rsidP="005B63A2">
            <w:pPr>
              <w:pStyle w:val="TableHeading"/>
            </w:pPr>
            <w:r w:rsidRPr="002B1A95">
              <w:t>Item</w:t>
            </w:r>
          </w:p>
        </w:tc>
        <w:tc>
          <w:tcPr>
            <w:tcW w:w="3746" w:type="pct"/>
            <w:tcBorders>
              <w:top w:val="single" w:sz="6" w:space="0" w:color="auto"/>
            </w:tcBorders>
            <w:shd w:val="clear" w:color="auto" w:fill="auto"/>
          </w:tcPr>
          <w:p w:rsidR="005B63A2" w:rsidRPr="002B1A95" w:rsidRDefault="005B63A2" w:rsidP="005B63A2">
            <w:pPr>
              <w:pStyle w:val="TableHeading"/>
            </w:pPr>
            <w:r w:rsidRPr="002B1A95">
              <w:t>Column 1</w:t>
            </w:r>
          </w:p>
          <w:p w:rsidR="005B63A2" w:rsidRPr="002B1A95" w:rsidRDefault="005B63A2" w:rsidP="005B63A2">
            <w:pPr>
              <w:pStyle w:val="TableHeading"/>
            </w:pPr>
            <w:r w:rsidRPr="002B1A95">
              <w:t>Name of institution</w:t>
            </w:r>
          </w:p>
        </w:tc>
        <w:tc>
          <w:tcPr>
            <w:tcW w:w="825" w:type="pct"/>
            <w:tcBorders>
              <w:top w:val="single" w:sz="6" w:space="0" w:color="auto"/>
            </w:tcBorders>
            <w:shd w:val="clear" w:color="auto" w:fill="auto"/>
          </w:tcPr>
          <w:p w:rsidR="005B63A2" w:rsidRPr="002B1A95" w:rsidRDefault="005B63A2" w:rsidP="005B63A2">
            <w:pPr>
              <w:pStyle w:val="TableHeading"/>
            </w:pPr>
            <w:r w:rsidRPr="002B1A95">
              <w:t>Column 2</w:t>
            </w:r>
          </w:p>
          <w:p w:rsidR="005B63A2" w:rsidRPr="002B1A95" w:rsidRDefault="005B63A2" w:rsidP="005B63A2">
            <w:pPr>
              <w:pStyle w:val="TableHeading"/>
            </w:pPr>
            <w:r w:rsidRPr="002B1A95">
              <w:t>Ending date</w:t>
            </w:r>
          </w:p>
        </w:tc>
      </w:tr>
      <w:tr w:rsidR="005B63A2" w:rsidRPr="002B1A95" w:rsidTr="003104D0">
        <w:tc>
          <w:tcPr>
            <w:tcW w:w="429" w:type="pct"/>
            <w:tcBorders>
              <w:top w:val="single" w:sz="12" w:space="0" w:color="auto"/>
            </w:tcBorders>
            <w:shd w:val="clear" w:color="auto" w:fill="auto"/>
          </w:tcPr>
          <w:p w:rsidR="005B63A2" w:rsidRPr="002B1A95" w:rsidRDefault="005B63A2" w:rsidP="005B63A2">
            <w:pPr>
              <w:pStyle w:val="Tabletext"/>
            </w:pPr>
            <w:r w:rsidRPr="002B1A95">
              <w:t>1</w:t>
            </w:r>
          </w:p>
        </w:tc>
        <w:tc>
          <w:tcPr>
            <w:tcW w:w="3746" w:type="pct"/>
            <w:tcBorders>
              <w:top w:val="single" w:sz="12" w:space="0" w:color="auto"/>
            </w:tcBorders>
            <w:shd w:val="clear" w:color="auto" w:fill="auto"/>
          </w:tcPr>
          <w:p w:rsidR="005B63A2" w:rsidRPr="002B1A95" w:rsidRDefault="005B63A2" w:rsidP="005B63A2">
            <w:pPr>
              <w:pStyle w:val="Tabletext"/>
            </w:pPr>
            <w:r w:rsidRPr="002B1A95">
              <w:t>Alkitab Inc</w:t>
            </w:r>
          </w:p>
        </w:tc>
        <w:tc>
          <w:tcPr>
            <w:tcW w:w="825" w:type="pct"/>
            <w:tcBorders>
              <w:top w:val="single" w:sz="12" w:space="0" w:color="auto"/>
            </w:tcBorders>
            <w:shd w:val="clear" w:color="auto" w:fill="auto"/>
          </w:tcPr>
          <w:p w:rsidR="005B63A2" w:rsidRPr="002B1A95" w:rsidRDefault="005B63A2" w:rsidP="005B63A2">
            <w:pPr>
              <w:pStyle w:val="Tabletext"/>
            </w:pPr>
            <w:r w:rsidRPr="002B1A95">
              <w:t>none</w:t>
            </w:r>
          </w:p>
        </w:tc>
      </w:tr>
      <w:tr w:rsidR="005B63A2" w:rsidRPr="002B1A95" w:rsidTr="003104D0">
        <w:tc>
          <w:tcPr>
            <w:tcW w:w="429" w:type="pct"/>
            <w:shd w:val="clear" w:color="auto" w:fill="auto"/>
          </w:tcPr>
          <w:p w:rsidR="005B63A2" w:rsidRPr="002B1A95" w:rsidRDefault="005B63A2" w:rsidP="005B63A2">
            <w:pPr>
              <w:pStyle w:val="Tabletext"/>
            </w:pPr>
            <w:r w:rsidRPr="002B1A95">
              <w:t>2</w:t>
            </w:r>
          </w:p>
        </w:tc>
        <w:tc>
          <w:tcPr>
            <w:tcW w:w="3746" w:type="pct"/>
            <w:shd w:val="clear" w:color="auto" w:fill="auto"/>
          </w:tcPr>
          <w:p w:rsidR="005B63A2" w:rsidRPr="002B1A95" w:rsidRDefault="005B63A2" w:rsidP="005B63A2">
            <w:pPr>
              <w:pStyle w:val="Tabletext"/>
            </w:pPr>
            <w:r w:rsidRPr="002B1A95">
              <w:t>Asia</w:t>
            </w:r>
            <w:r w:rsidR="00782250">
              <w:noBreakHyphen/>
            </w:r>
            <w:r w:rsidRPr="002B1A95">
              <w:t>Pacific Christadelphian Bible Mission Incorporated</w:t>
            </w:r>
          </w:p>
        </w:tc>
        <w:tc>
          <w:tcPr>
            <w:tcW w:w="825" w:type="pct"/>
            <w:shd w:val="clear" w:color="auto" w:fill="auto"/>
          </w:tcPr>
          <w:p w:rsidR="005B63A2" w:rsidRPr="002B1A95" w:rsidRDefault="005B63A2" w:rsidP="005B63A2">
            <w:pPr>
              <w:pStyle w:val="Tabletext"/>
            </w:pPr>
            <w:r w:rsidRPr="002B1A95">
              <w:t>none</w:t>
            </w:r>
          </w:p>
        </w:tc>
      </w:tr>
      <w:tr w:rsidR="005B63A2" w:rsidRPr="002B1A95" w:rsidTr="003104D0">
        <w:tc>
          <w:tcPr>
            <w:tcW w:w="429" w:type="pct"/>
            <w:shd w:val="clear" w:color="auto" w:fill="auto"/>
          </w:tcPr>
          <w:p w:rsidR="005B63A2" w:rsidRPr="002B1A95" w:rsidRDefault="005B63A2" w:rsidP="005B63A2">
            <w:pPr>
              <w:pStyle w:val="Tabletext"/>
            </w:pPr>
            <w:r w:rsidRPr="002B1A95">
              <w:t>3</w:t>
            </w:r>
          </w:p>
        </w:tc>
        <w:tc>
          <w:tcPr>
            <w:tcW w:w="3746" w:type="pct"/>
            <w:shd w:val="clear" w:color="auto" w:fill="auto"/>
          </w:tcPr>
          <w:p w:rsidR="005B63A2" w:rsidRPr="002B1A95" w:rsidRDefault="005B63A2" w:rsidP="005B63A2">
            <w:pPr>
              <w:pStyle w:val="Tabletext"/>
            </w:pPr>
            <w:r w:rsidRPr="002B1A95">
              <w:t>Australian Advisory Council of the Christian Leaders’ Training College of Papua New Guinea</w:t>
            </w:r>
          </w:p>
        </w:tc>
        <w:tc>
          <w:tcPr>
            <w:tcW w:w="825" w:type="pct"/>
            <w:shd w:val="clear" w:color="auto" w:fill="auto"/>
          </w:tcPr>
          <w:p w:rsidR="005B63A2" w:rsidRPr="002B1A95" w:rsidRDefault="005B63A2" w:rsidP="005B63A2">
            <w:pPr>
              <w:pStyle w:val="Tabletext"/>
            </w:pPr>
            <w:r w:rsidRPr="002B1A95">
              <w:t>none</w:t>
            </w:r>
          </w:p>
        </w:tc>
      </w:tr>
      <w:tr w:rsidR="005B63A2" w:rsidRPr="002B1A95" w:rsidTr="003104D0">
        <w:tc>
          <w:tcPr>
            <w:tcW w:w="429" w:type="pct"/>
            <w:shd w:val="clear" w:color="auto" w:fill="auto"/>
          </w:tcPr>
          <w:p w:rsidR="005B63A2" w:rsidRPr="002B1A95" w:rsidRDefault="005B63A2" w:rsidP="005B63A2">
            <w:pPr>
              <w:pStyle w:val="Tabletext"/>
            </w:pPr>
            <w:r w:rsidRPr="002B1A95">
              <w:t>4</w:t>
            </w:r>
          </w:p>
        </w:tc>
        <w:tc>
          <w:tcPr>
            <w:tcW w:w="3746" w:type="pct"/>
            <w:shd w:val="clear" w:color="auto" w:fill="auto"/>
          </w:tcPr>
          <w:p w:rsidR="005B63A2" w:rsidRPr="002B1A95" w:rsidRDefault="005B63A2" w:rsidP="005B63A2">
            <w:pPr>
              <w:pStyle w:val="Tabletext"/>
            </w:pPr>
            <w:r w:rsidRPr="002B1A95">
              <w:t>Australian Evangelical Alliance Incorporated (Missions Interlink)</w:t>
            </w:r>
          </w:p>
        </w:tc>
        <w:tc>
          <w:tcPr>
            <w:tcW w:w="825" w:type="pct"/>
            <w:shd w:val="clear" w:color="auto" w:fill="auto"/>
          </w:tcPr>
          <w:p w:rsidR="005B63A2" w:rsidRPr="002B1A95" w:rsidRDefault="005B63A2" w:rsidP="005B63A2">
            <w:pPr>
              <w:pStyle w:val="Tabletext"/>
            </w:pPr>
            <w:r w:rsidRPr="002B1A95">
              <w:t>none</w:t>
            </w:r>
          </w:p>
        </w:tc>
      </w:tr>
      <w:tr w:rsidR="005B63A2" w:rsidRPr="002B1A95" w:rsidTr="003104D0">
        <w:tc>
          <w:tcPr>
            <w:tcW w:w="429" w:type="pct"/>
            <w:shd w:val="clear" w:color="auto" w:fill="auto"/>
          </w:tcPr>
          <w:p w:rsidR="005B63A2" w:rsidRPr="002B1A95" w:rsidRDefault="005B63A2" w:rsidP="005B63A2">
            <w:pPr>
              <w:pStyle w:val="Tabletext"/>
            </w:pPr>
            <w:r w:rsidRPr="002B1A95">
              <w:t>5</w:t>
            </w:r>
          </w:p>
        </w:tc>
        <w:tc>
          <w:tcPr>
            <w:tcW w:w="3746" w:type="pct"/>
            <w:shd w:val="clear" w:color="auto" w:fill="auto"/>
          </w:tcPr>
          <w:p w:rsidR="005B63A2" w:rsidRPr="002B1A95" w:rsidRDefault="005B63A2" w:rsidP="005B63A2">
            <w:pPr>
              <w:pStyle w:val="Tabletext"/>
            </w:pPr>
            <w:r w:rsidRPr="002B1A95">
              <w:t>Steer Incorporated</w:t>
            </w:r>
          </w:p>
        </w:tc>
        <w:tc>
          <w:tcPr>
            <w:tcW w:w="825" w:type="pct"/>
            <w:shd w:val="clear" w:color="auto" w:fill="auto"/>
          </w:tcPr>
          <w:p w:rsidR="005B63A2" w:rsidRPr="002B1A95" w:rsidRDefault="005B63A2" w:rsidP="005B63A2">
            <w:pPr>
              <w:pStyle w:val="Tabletext"/>
            </w:pPr>
            <w:r w:rsidRPr="002B1A95">
              <w:t>none</w:t>
            </w:r>
          </w:p>
        </w:tc>
      </w:tr>
      <w:tr w:rsidR="005B63A2" w:rsidRPr="002B1A95" w:rsidTr="003104D0">
        <w:tc>
          <w:tcPr>
            <w:tcW w:w="429" w:type="pct"/>
            <w:shd w:val="clear" w:color="auto" w:fill="auto"/>
          </w:tcPr>
          <w:p w:rsidR="005B63A2" w:rsidRPr="002B1A95" w:rsidRDefault="005B63A2" w:rsidP="005B63A2">
            <w:pPr>
              <w:pStyle w:val="Tabletext"/>
            </w:pPr>
            <w:r w:rsidRPr="002B1A95">
              <w:t>6</w:t>
            </w:r>
          </w:p>
        </w:tc>
        <w:tc>
          <w:tcPr>
            <w:tcW w:w="3746" w:type="pct"/>
            <w:shd w:val="clear" w:color="auto" w:fill="auto"/>
          </w:tcPr>
          <w:p w:rsidR="005B63A2" w:rsidRPr="002B1A95" w:rsidRDefault="005B63A2" w:rsidP="005B63A2">
            <w:pPr>
              <w:pStyle w:val="Tabletext"/>
            </w:pPr>
            <w:r w:rsidRPr="002B1A95">
              <w:t>The Trustees of the Marist Missions of the Pacific</w:t>
            </w:r>
          </w:p>
        </w:tc>
        <w:tc>
          <w:tcPr>
            <w:tcW w:w="825" w:type="pct"/>
            <w:shd w:val="clear" w:color="auto" w:fill="auto"/>
          </w:tcPr>
          <w:p w:rsidR="005B63A2" w:rsidRPr="002B1A95" w:rsidRDefault="005B63A2" w:rsidP="005B63A2">
            <w:pPr>
              <w:pStyle w:val="Tabletext"/>
            </w:pPr>
            <w:r w:rsidRPr="002B1A95">
              <w:t>none</w:t>
            </w:r>
          </w:p>
        </w:tc>
      </w:tr>
      <w:tr w:rsidR="005B63A2" w:rsidRPr="002B1A95" w:rsidTr="003104D0">
        <w:tc>
          <w:tcPr>
            <w:tcW w:w="429" w:type="pct"/>
            <w:shd w:val="clear" w:color="auto" w:fill="auto"/>
          </w:tcPr>
          <w:p w:rsidR="005B63A2" w:rsidRPr="002B1A95" w:rsidRDefault="005B63A2" w:rsidP="005B63A2">
            <w:pPr>
              <w:pStyle w:val="Tabletext"/>
            </w:pPr>
            <w:r w:rsidRPr="002B1A95">
              <w:lastRenderedPageBreak/>
              <w:t>7</w:t>
            </w:r>
          </w:p>
        </w:tc>
        <w:tc>
          <w:tcPr>
            <w:tcW w:w="3746" w:type="pct"/>
            <w:shd w:val="clear" w:color="auto" w:fill="auto"/>
          </w:tcPr>
          <w:p w:rsidR="005B63A2" w:rsidRPr="002B1A95" w:rsidRDefault="005B63A2" w:rsidP="005B63A2">
            <w:pPr>
              <w:pStyle w:val="Tabletext"/>
            </w:pPr>
            <w:r w:rsidRPr="002B1A95">
              <w:t>Zebedee Investments Limited</w:t>
            </w:r>
          </w:p>
        </w:tc>
        <w:tc>
          <w:tcPr>
            <w:tcW w:w="825" w:type="pct"/>
            <w:shd w:val="clear" w:color="auto" w:fill="auto"/>
          </w:tcPr>
          <w:p w:rsidR="005B63A2" w:rsidRPr="002B1A95" w:rsidRDefault="005B63A2" w:rsidP="005B63A2">
            <w:pPr>
              <w:pStyle w:val="Tabletext"/>
            </w:pPr>
            <w:r w:rsidRPr="002B1A95">
              <w:t>none</w:t>
            </w:r>
          </w:p>
        </w:tc>
      </w:tr>
      <w:tr w:rsidR="005B63A2" w:rsidRPr="002B1A95" w:rsidTr="003104D0">
        <w:tc>
          <w:tcPr>
            <w:tcW w:w="429" w:type="pct"/>
            <w:tcBorders>
              <w:top w:val="single" w:sz="2" w:space="0" w:color="auto"/>
              <w:bottom w:val="single" w:sz="2" w:space="0" w:color="auto"/>
            </w:tcBorders>
            <w:shd w:val="clear" w:color="auto" w:fill="auto"/>
          </w:tcPr>
          <w:p w:rsidR="005B63A2" w:rsidRPr="002B1A95" w:rsidRDefault="005B63A2" w:rsidP="005B63A2">
            <w:pPr>
              <w:pStyle w:val="Tabletext"/>
            </w:pPr>
            <w:r w:rsidRPr="002B1A95">
              <w:t>8</w:t>
            </w:r>
          </w:p>
        </w:tc>
        <w:tc>
          <w:tcPr>
            <w:tcW w:w="3746" w:type="pct"/>
            <w:tcBorders>
              <w:top w:val="single" w:sz="2" w:space="0" w:color="auto"/>
              <w:bottom w:val="single" w:sz="2" w:space="0" w:color="auto"/>
            </w:tcBorders>
            <w:shd w:val="clear" w:color="auto" w:fill="auto"/>
          </w:tcPr>
          <w:p w:rsidR="005B63A2" w:rsidRPr="002B1A95" w:rsidRDefault="005B63A2" w:rsidP="005B63A2">
            <w:pPr>
              <w:pStyle w:val="Tabletext"/>
            </w:pPr>
            <w:r w:rsidRPr="002B1A95">
              <w:t>Millennium Relief and Development Services Incorporated</w:t>
            </w:r>
          </w:p>
        </w:tc>
        <w:tc>
          <w:tcPr>
            <w:tcW w:w="825" w:type="pct"/>
            <w:tcBorders>
              <w:top w:val="single" w:sz="2" w:space="0" w:color="auto"/>
              <w:bottom w:val="single" w:sz="2" w:space="0" w:color="auto"/>
            </w:tcBorders>
            <w:shd w:val="clear" w:color="auto" w:fill="auto"/>
          </w:tcPr>
          <w:p w:rsidR="005B63A2" w:rsidRPr="002B1A95" w:rsidRDefault="005B63A2" w:rsidP="005B63A2">
            <w:pPr>
              <w:pStyle w:val="Tabletext"/>
            </w:pPr>
            <w:r w:rsidRPr="002B1A95">
              <w:t>none</w:t>
            </w:r>
          </w:p>
        </w:tc>
      </w:tr>
      <w:tr w:rsidR="005B63A2" w:rsidRPr="002B1A95" w:rsidTr="003104D0">
        <w:tc>
          <w:tcPr>
            <w:tcW w:w="429" w:type="pct"/>
            <w:tcBorders>
              <w:top w:val="single" w:sz="2" w:space="0" w:color="auto"/>
              <w:bottom w:val="single" w:sz="12" w:space="0" w:color="auto"/>
            </w:tcBorders>
            <w:shd w:val="clear" w:color="auto" w:fill="auto"/>
          </w:tcPr>
          <w:p w:rsidR="005B63A2" w:rsidRPr="002B1A95" w:rsidRDefault="005B63A2" w:rsidP="005B63A2">
            <w:pPr>
              <w:pStyle w:val="Tabletext"/>
            </w:pPr>
            <w:r w:rsidRPr="002B1A95">
              <w:t>9</w:t>
            </w:r>
          </w:p>
        </w:tc>
        <w:tc>
          <w:tcPr>
            <w:tcW w:w="3746" w:type="pct"/>
            <w:tcBorders>
              <w:top w:val="single" w:sz="2" w:space="0" w:color="auto"/>
              <w:bottom w:val="single" w:sz="12" w:space="0" w:color="auto"/>
            </w:tcBorders>
            <w:shd w:val="clear" w:color="auto" w:fill="auto"/>
          </w:tcPr>
          <w:p w:rsidR="005B63A2" w:rsidRPr="002B1A95" w:rsidRDefault="005B63A2" w:rsidP="005B63A2">
            <w:pPr>
              <w:pStyle w:val="Tabletext"/>
            </w:pPr>
            <w:r w:rsidRPr="002B1A95">
              <w:t>The MITRE Corporation</w:t>
            </w:r>
          </w:p>
        </w:tc>
        <w:tc>
          <w:tcPr>
            <w:tcW w:w="825" w:type="pct"/>
            <w:tcBorders>
              <w:top w:val="single" w:sz="2" w:space="0" w:color="auto"/>
              <w:bottom w:val="single" w:sz="12" w:space="0" w:color="auto"/>
            </w:tcBorders>
            <w:shd w:val="clear" w:color="auto" w:fill="auto"/>
          </w:tcPr>
          <w:p w:rsidR="005B63A2" w:rsidRPr="002B1A95" w:rsidRDefault="005B63A2" w:rsidP="005B63A2">
            <w:pPr>
              <w:pStyle w:val="Tabletext"/>
            </w:pPr>
            <w:r w:rsidRPr="002B1A95">
              <w:t>30</w:t>
            </w:r>
            <w:r w:rsidR="002B1A95" w:rsidRPr="002B1A95">
              <w:t> </w:t>
            </w:r>
            <w:r w:rsidRPr="002B1A95">
              <w:t>June 2022</w:t>
            </w:r>
          </w:p>
        </w:tc>
      </w:tr>
    </w:tbl>
    <w:p w:rsidR="005B63A2" w:rsidRPr="002B1A95" w:rsidRDefault="005B63A2" w:rsidP="005B63A2">
      <w:pPr>
        <w:pStyle w:val="ActHead5"/>
      </w:pPr>
      <w:bookmarkStart w:id="31" w:name="_Toc49765211"/>
      <w:r w:rsidRPr="00411C46">
        <w:rPr>
          <w:rStyle w:val="CharSectno"/>
        </w:rPr>
        <w:t>50</w:t>
      </w:r>
      <w:r w:rsidR="00782250" w:rsidRPr="00411C46">
        <w:rPr>
          <w:rStyle w:val="CharSectno"/>
        </w:rPr>
        <w:noBreakHyphen/>
      </w:r>
      <w:r w:rsidRPr="00411C46">
        <w:rPr>
          <w:rStyle w:val="CharSectno"/>
        </w:rPr>
        <w:t>55.01</w:t>
      </w:r>
      <w:r w:rsidRPr="002B1A95">
        <w:t xml:space="preserve">  Prescribed institutions for items</w:t>
      </w:r>
      <w:r w:rsidR="002B1A95" w:rsidRPr="002B1A95">
        <w:t> </w:t>
      </w:r>
      <w:r w:rsidRPr="002B1A95">
        <w:t>1.3, 1.4, 6.1 and 6.2 in Division</w:t>
      </w:r>
      <w:r w:rsidR="002B1A95" w:rsidRPr="002B1A95">
        <w:t> </w:t>
      </w:r>
      <w:r w:rsidRPr="002B1A95">
        <w:t>50</w:t>
      </w:r>
      <w:bookmarkEnd w:id="31"/>
    </w:p>
    <w:p w:rsidR="005B63A2" w:rsidRPr="002B1A95" w:rsidRDefault="005B63A2" w:rsidP="005B63A2">
      <w:pPr>
        <w:pStyle w:val="subsection"/>
      </w:pPr>
      <w:r w:rsidRPr="002B1A95">
        <w:tab/>
      </w:r>
      <w:r w:rsidRPr="002B1A95">
        <w:tab/>
        <w:t>For the purposes of paragraph</w:t>
      </w:r>
      <w:r w:rsidR="002B1A95" w:rsidRPr="002B1A95">
        <w:t> </w:t>
      </w:r>
      <w:r w:rsidRPr="002B1A95">
        <w:t>50</w:t>
      </w:r>
      <w:r w:rsidR="00782250">
        <w:noBreakHyphen/>
      </w:r>
      <w:r w:rsidRPr="002B1A95">
        <w:t>55(1)(c) of the Act, each institution mentioned in an item in the following table is a prescribed institution until the date specified (if any) in column 2 for the item.</w:t>
      </w:r>
    </w:p>
    <w:p w:rsidR="005B63A2" w:rsidRPr="002B1A95" w:rsidRDefault="005B63A2" w:rsidP="005B63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6388"/>
        <w:gridCol w:w="1409"/>
      </w:tblGrid>
      <w:tr w:rsidR="005B63A2" w:rsidRPr="002B1A95" w:rsidTr="003104D0">
        <w:trPr>
          <w:tblHeader/>
        </w:trPr>
        <w:tc>
          <w:tcPr>
            <w:tcW w:w="5000" w:type="pct"/>
            <w:gridSpan w:val="3"/>
            <w:tcBorders>
              <w:top w:val="single" w:sz="12" w:space="0" w:color="auto"/>
              <w:bottom w:val="single" w:sz="6" w:space="0" w:color="auto"/>
            </w:tcBorders>
            <w:shd w:val="clear" w:color="auto" w:fill="auto"/>
          </w:tcPr>
          <w:p w:rsidR="005B63A2" w:rsidRPr="002B1A95" w:rsidRDefault="005B63A2" w:rsidP="005B63A2">
            <w:pPr>
              <w:pStyle w:val="TableHeading"/>
            </w:pPr>
            <w:r w:rsidRPr="002B1A95">
              <w:t>Prescribed institutions for items</w:t>
            </w:r>
            <w:r w:rsidR="002B1A95" w:rsidRPr="002B1A95">
              <w:t> </w:t>
            </w:r>
            <w:r w:rsidRPr="002B1A95">
              <w:t>1.3, 1.4, 6.1 and 6.2 in Division</w:t>
            </w:r>
            <w:r w:rsidR="002B1A95" w:rsidRPr="002B1A95">
              <w:t> </w:t>
            </w:r>
            <w:r w:rsidRPr="002B1A95">
              <w:t>50</w:t>
            </w:r>
          </w:p>
        </w:tc>
      </w:tr>
      <w:tr w:rsidR="005B63A2" w:rsidRPr="002B1A95" w:rsidTr="003104D0">
        <w:trPr>
          <w:tblHeader/>
        </w:trPr>
        <w:tc>
          <w:tcPr>
            <w:tcW w:w="429" w:type="pct"/>
            <w:tcBorders>
              <w:top w:val="single" w:sz="6" w:space="0" w:color="auto"/>
              <w:bottom w:val="single" w:sz="12" w:space="0" w:color="auto"/>
            </w:tcBorders>
            <w:shd w:val="clear" w:color="auto" w:fill="auto"/>
          </w:tcPr>
          <w:p w:rsidR="005B63A2" w:rsidRPr="002B1A95" w:rsidRDefault="005B63A2" w:rsidP="005B63A2">
            <w:pPr>
              <w:pStyle w:val="TableHeading"/>
            </w:pPr>
            <w:r w:rsidRPr="002B1A95">
              <w:t>Item</w:t>
            </w:r>
          </w:p>
        </w:tc>
        <w:tc>
          <w:tcPr>
            <w:tcW w:w="3745" w:type="pct"/>
            <w:tcBorders>
              <w:top w:val="single" w:sz="6" w:space="0" w:color="auto"/>
              <w:bottom w:val="single" w:sz="12" w:space="0" w:color="auto"/>
            </w:tcBorders>
            <w:shd w:val="clear" w:color="auto" w:fill="auto"/>
          </w:tcPr>
          <w:p w:rsidR="005B63A2" w:rsidRPr="002B1A95" w:rsidRDefault="005B63A2" w:rsidP="005B63A2">
            <w:pPr>
              <w:pStyle w:val="TableHeading"/>
            </w:pPr>
            <w:r w:rsidRPr="002B1A95">
              <w:t>Column 1</w:t>
            </w:r>
          </w:p>
          <w:p w:rsidR="005B63A2" w:rsidRPr="002B1A95" w:rsidRDefault="005B63A2" w:rsidP="005B63A2">
            <w:pPr>
              <w:pStyle w:val="TableHeading"/>
            </w:pPr>
            <w:r w:rsidRPr="002B1A95">
              <w:t>Name of institution</w:t>
            </w:r>
          </w:p>
        </w:tc>
        <w:tc>
          <w:tcPr>
            <w:tcW w:w="825" w:type="pct"/>
            <w:tcBorders>
              <w:top w:val="single" w:sz="6" w:space="0" w:color="auto"/>
              <w:bottom w:val="single" w:sz="12" w:space="0" w:color="auto"/>
            </w:tcBorders>
            <w:shd w:val="clear" w:color="auto" w:fill="auto"/>
          </w:tcPr>
          <w:p w:rsidR="005B63A2" w:rsidRPr="002B1A95" w:rsidRDefault="005B63A2" w:rsidP="005B63A2">
            <w:pPr>
              <w:pStyle w:val="TableHeading"/>
            </w:pPr>
            <w:r w:rsidRPr="002B1A95">
              <w:t>Column 2</w:t>
            </w:r>
          </w:p>
          <w:p w:rsidR="005B63A2" w:rsidRPr="002B1A95" w:rsidRDefault="005B63A2" w:rsidP="005B63A2">
            <w:pPr>
              <w:pStyle w:val="TableHeading"/>
            </w:pPr>
            <w:r w:rsidRPr="002B1A95">
              <w:t>Ending date</w:t>
            </w:r>
          </w:p>
        </w:tc>
      </w:tr>
      <w:tr w:rsidR="005B63A2" w:rsidRPr="002B1A95" w:rsidTr="003104D0">
        <w:tc>
          <w:tcPr>
            <w:tcW w:w="429" w:type="pct"/>
            <w:tcBorders>
              <w:top w:val="single" w:sz="12" w:space="0" w:color="auto"/>
              <w:bottom w:val="single" w:sz="12" w:space="0" w:color="auto"/>
            </w:tcBorders>
            <w:shd w:val="clear" w:color="auto" w:fill="auto"/>
          </w:tcPr>
          <w:p w:rsidR="005B63A2" w:rsidRPr="002B1A95" w:rsidRDefault="005B63A2" w:rsidP="005B63A2">
            <w:pPr>
              <w:pStyle w:val="Tabletext"/>
            </w:pPr>
            <w:r w:rsidRPr="002B1A95">
              <w:t>1</w:t>
            </w:r>
          </w:p>
        </w:tc>
        <w:tc>
          <w:tcPr>
            <w:tcW w:w="3745" w:type="pct"/>
            <w:tcBorders>
              <w:top w:val="single" w:sz="12" w:space="0" w:color="auto"/>
              <w:bottom w:val="single" w:sz="12" w:space="0" w:color="auto"/>
            </w:tcBorders>
            <w:shd w:val="clear" w:color="auto" w:fill="auto"/>
          </w:tcPr>
          <w:p w:rsidR="005B63A2" w:rsidRPr="002B1A95" w:rsidRDefault="005B63A2" w:rsidP="005B63A2">
            <w:pPr>
              <w:pStyle w:val="Tabletext"/>
            </w:pPr>
            <w:r w:rsidRPr="002B1A95">
              <w:t>Kiribati Phoenix Islands Protected Area Conservation Trust</w:t>
            </w:r>
          </w:p>
        </w:tc>
        <w:tc>
          <w:tcPr>
            <w:tcW w:w="825" w:type="pct"/>
            <w:tcBorders>
              <w:top w:val="single" w:sz="12" w:space="0" w:color="auto"/>
              <w:bottom w:val="single" w:sz="12" w:space="0" w:color="auto"/>
            </w:tcBorders>
            <w:shd w:val="clear" w:color="auto" w:fill="auto"/>
          </w:tcPr>
          <w:p w:rsidR="005B63A2" w:rsidRPr="002B1A95" w:rsidRDefault="005B63A2" w:rsidP="005B63A2">
            <w:pPr>
              <w:pStyle w:val="Tabletext"/>
            </w:pPr>
            <w:r w:rsidRPr="002B1A95">
              <w:t>30</w:t>
            </w:r>
            <w:r w:rsidR="002B1A95" w:rsidRPr="002B1A95">
              <w:t> </w:t>
            </w:r>
            <w:r w:rsidRPr="002B1A95">
              <w:t>June 2023</w:t>
            </w:r>
          </w:p>
        </w:tc>
      </w:tr>
    </w:tbl>
    <w:p w:rsidR="005B63A2" w:rsidRPr="002B1A95" w:rsidRDefault="005B63A2" w:rsidP="005B63A2">
      <w:pPr>
        <w:pStyle w:val="ActHead3"/>
        <w:pageBreakBefore/>
      </w:pPr>
      <w:bookmarkStart w:id="32" w:name="_Toc49765212"/>
      <w:r w:rsidRPr="00411C46">
        <w:rPr>
          <w:rStyle w:val="CharDivNo"/>
        </w:rPr>
        <w:lastRenderedPageBreak/>
        <w:t>Division</w:t>
      </w:r>
      <w:r w:rsidR="002B1A95" w:rsidRPr="00411C46">
        <w:rPr>
          <w:rStyle w:val="CharDivNo"/>
        </w:rPr>
        <w:t> </w:t>
      </w:r>
      <w:r w:rsidRPr="00411C46">
        <w:rPr>
          <w:rStyle w:val="CharDivNo"/>
        </w:rPr>
        <w:t>51</w:t>
      </w:r>
      <w:r w:rsidRPr="002B1A95">
        <w:t>—</w:t>
      </w:r>
      <w:r w:rsidRPr="00411C46">
        <w:rPr>
          <w:rStyle w:val="CharDivText"/>
        </w:rPr>
        <w:t>Exempt amounts</w:t>
      </w:r>
      <w:bookmarkEnd w:id="32"/>
    </w:p>
    <w:p w:rsidR="005B63A2" w:rsidRPr="002B1A95" w:rsidRDefault="005B63A2" w:rsidP="005B63A2">
      <w:pPr>
        <w:pStyle w:val="ActHead5"/>
      </w:pPr>
      <w:bookmarkStart w:id="33" w:name="_Toc49765213"/>
      <w:r w:rsidRPr="00411C46">
        <w:rPr>
          <w:rStyle w:val="CharSectno"/>
        </w:rPr>
        <w:t>51</w:t>
      </w:r>
      <w:r w:rsidR="00782250" w:rsidRPr="00411C46">
        <w:rPr>
          <w:rStyle w:val="CharSectno"/>
        </w:rPr>
        <w:noBreakHyphen/>
      </w:r>
      <w:r w:rsidRPr="00411C46">
        <w:rPr>
          <w:rStyle w:val="CharSectno"/>
        </w:rPr>
        <w:t>5.01</w:t>
      </w:r>
      <w:r w:rsidRPr="002B1A95">
        <w:t xml:space="preserve">  Defence allowances</w:t>
      </w:r>
      <w:bookmarkEnd w:id="33"/>
    </w:p>
    <w:p w:rsidR="005B63A2" w:rsidRPr="002B1A95" w:rsidRDefault="005B63A2" w:rsidP="005B63A2">
      <w:pPr>
        <w:pStyle w:val="subsection"/>
      </w:pPr>
      <w:r w:rsidRPr="002B1A95">
        <w:tab/>
        <w:t>(1)</w:t>
      </w:r>
      <w:r w:rsidRPr="002B1A95">
        <w:tab/>
        <w:t>For the purposes of items</w:t>
      </w:r>
      <w:r w:rsidR="002B1A95" w:rsidRPr="002B1A95">
        <w:t> </w:t>
      </w:r>
      <w:r w:rsidRPr="002B1A95">
        <w:t>1.1 and 1.2 of section</w:t>
      </w:r>
      <w:r w:rsidR="002B1A95" w:rsidRPr="002B1A95">
        <w:t> </w:t>
      </w:r>
      <w:r w:rsidRPr="002B1A95">
        <w:t>51</w:t>
      </w:r>
      <w:r w:rsidR="00782250">
        <w:noBreakHyphen/>
      </w:r>
      <w:r w:rsidRPr="002B1A95">
        <w:t>5 of the Act, an allowance specified in an item of the following table is prescribed if the allowance is either:</w:t>
      </w:r>
    </w:p>
    <w:p w:rsidR="005B63A2" w:rsidRPr="002B1A95" w:rsidRDefault="005B63A2" w:rsidP="005B63A2">
      <w:pPr>
        <w:pStyle w:val="paragraph"/>
      </w:pPr>
      <w:r w:rsidRPr="002B1A95">
        <w:tab/>
        <w:t>(a)</w:t>
      </w:r>
      <w:r w:rsidRPr="002B1A95">
        <w:tab/>
        <w:t>paid under the specified provision of the 2013 allowances determination; or</w:t>
      </w:r>
    </w:p>
    <w:p w:rsidR="005B63A2" w:rsidRPr="002B1A95" w:rsidRDefault="005B63A2" w:rsidP="005B63A2">
      <w:pPr>
        <w:pStyle w:val="paragraph"/>
      </w:pPr>
      <w:r w:rsidRPr="002B1A95">
        <w:tab/>
        <w:t>(b)</w:t>
      </w:r>
      <w:r w:rsidRPr="002B1A95">
        <w:tab/>
        <w:t>paid under the specified provision of the conditions determination.</w:t>
      </w:r>
    </w:p>
    <w:p w:rsidR="005B63A2" w:rsidRPr="002B1A95" w:rsidRDefault="005B63A2" w:rsidP="005B63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4790"/>
        <w:gridCol w:w="3007"/>
      </w:tblGrid>
      <w:tr w:rsidR="005B63A2" w:rsidRPr="002B1A95" w:rsidTr="003104D0">
        <w:trPr>
          <w:tblHeader/>
        </w:trPr>
        <w:tc>
          <w:tcPr>
            <w:tcW w:w="5000" w:type="pct"/>
            <w:gridSpan w:val="3"/>
            <w:tcBorders>
              <w:top w:val="single" w:sz="12" w:space="0" w:color="auto"/>
              <w:bottom w:val="single" w:sz="6" w:space="0" w:color="auto"/>
            </w:tcBorders>
            <w:shd w:val="clear" w:color="auto" w:fill="auto"/>
          </w:tcPr>
          <w:p w:rsidR="005B63A2" w:rsidRPr="002B1A95" w:rsidRDefault="005B63A2" w:rsidP="005B63A2">
            <w:pPr>
              <w:pStyle w:val="TableHeading"/>
            </w:pPr>
            <w:r w:rsidRPr="002B1A95">
              <w:t>Prescribed allowances</w:t>
            </w:r>
          </w:p>
        </w:tc>
      </w:tr>
      <w:tr w:rsidR="005B63A2" w:rsidRPr="002B1A95" w:rsidTr="003104D0">
        <w:trPr>
          <w:tblHeader/>
        </w:trPr>
        <w:tc>
          <w:tcPr>
            <w:tcW w:w="429" w:type="pct"/>
            <w:tcBorders>
              <w:top w:val="single" w:sz="6" w:space="0" w:color="auto"/>
              <w:bottom w:val="single" w:sz="12" w:space="0" w:color="auto"/>
            </w:tcBorders>
            <w:shd w:val="clear" w:color="auto" w:fill="auto"/>
          </w:tcPr>
          <w:p w:rsidR="005B63A2" w:rsidRPr="002B1A95" w:rsidRDefault="005B63A2" w:rsidP="005B63A2">
            <w:pPr>
              <w:pStyle w:val="TableHeading"/>
            </w:pPr>
            <w:r w:rsidRPr="002B1A95">
              <w:t>Item</w:t>
            </w:r>
          </w:p>
        </w:tc>
        <w:tc>
          <w:tcPr>
            <w:tcW w:w="2808" w:type="pct"/>
            <w:tcBorders>
              <w:top w:val="single" w:sz="6" w:space="0" w:color="auto"/>
              <w:bottom w:val="single" w:sz="12" w:space="0" w:color="auto"/>
            </w:tcBorders>
            <w:shd w:val="clear" w:color="auto" w:fill="auto"/>
          </w:tcPr>
          <w:p w:rsidR="005B63A2" w:rsidRPr="002B1A95" w:rsidRDefault="005B63A2" w:rsidP="005B63A2">
            <w:pPr>
              <w:pStyle w:val="TableHeading"/>
            </w:pPr>
            <w:r w:rsidRPr="002B1A95">
              <w:t>Column 1</w:t>
            </w:r>
          </w:p>
          <w:p w:rsidR="005B63A2" w:rsidRPr="002B1A95" w:rsidRDefault="005B63A2" w:rsidP="005B63A2">
            <w:pPr>
              <w:pStyle w:val="TableHeading"/>
            </w:pPr>
            <w:r w:rsidRPr="002B1A95">
              <w:t>Allowance</w:t>
            </w:r>
          </w:p>
        </w:tc>
        <w:tc>
          <w:tcPr>
            <w:tcW w:w="1763" w:type="pct"/>
            <w:tcBorders>
              <w:top w:val="single" w:sz="6" w:space="0" w:color="auto"/>
              <w:bottom w:val="single" w:sz="12" w:space="0" w:color="auto"/>
            </w:tcBorders>
            <w:shd w:val="clear" w:color="auto" w:fill="auto"/>
          </w:tcPr>
          <w:p w:rsidR="005B63A2" w:rsidRPr="002B1A95" w:rsidRDefault="005B63A2" w:rsidP="005B63A2">
            <w:pPr>
              <w:pStyle w:val="TableHeading"/>
            </w:pPr>
            <w:r w:rsidRPr="002B1A95">
              <w:t>Column 2</w:t>
            </w:r>
          </w:p>
          <w:p w:rsidR="005B63A2" w:rsidRPr="002B1A95" w:rsidRDefault="005B63A2" w:rsidP="005B63A2">
            <w:pPr>
              <w:pStyle w:val="TableHeading"/>
            </w:pPr>
            <w:r w:rsidRPr="002B1A95">
              <w:t>Provision</w:t>
            </w:r>
          </w:p>
        </w:tc>
      </w:tr>
      <w:tr w:rsidR="005B63A2" w:rsidRPr="002B1A95" w:rsidTr="003104D0">
        <w:tc>
          <w:tcPr>
            <w:tcW w:w="429" w:type="pct"/>
            <w:tcBorders>
              <w:top w:val="single" w:sz="12" w:space="0" w:color="auto"/>
            </w:tcBorders>
            <w:shd w:val="clear" w:color="auto" w:fill="auto"/>
          </w:tcPr>
          <w:p w:rsidR="005B63A2" w:rsidRPr="002B1A95" w:rsidRDefault="005B63A2" w:rsidP="005B63A2">
            <w:pPr>
              <w:pStyle w:val="Tabletext"/>
            </w:pPr>
            <w:r w:rsidRPr="002B1A95">
              <w:t>1</w:t>
            </w:r>
          </w:p>
        </w:tc>
        <w:tc>
          <w:tcPr>
            <w:tcW w:w="2808" w:type="pct"/>
            <w:tcBorders>
              <w:top w:val="single" w:sz="12" w:space="0" w:color="auto"/>
            </w:tcBorders>
            <w:shd w:val="clear" w:color="auto" w:fill="auto"/>
          </w:tcPr>
          <w:p w:rsidR="005B63A2" w:rsidRPr="002B1A95" w:rsidRDefault="005B63A2" w:rsidP="005B63A2">
            <w:pPr>
              <w:pStyle w:val="Tabletext"/>
            </w:pPr>
            <w:r w:rsidRPr="002B1A95">
              <w:t>Separation allowance</w:t>
            </w:r>
          </w:p>
        </w:tc>
        <w:tc>
          <w:tcPr>
            <w:tcW w:w="1763" w:type="pct"/>
            <w:tcBorders>
              <w:top w:val="single" w:sz="12" w:space="0" w:color="auto"/>
            </w:tcBorders>
            <w:shd w:val="clear" w:color="auto" w:fill="auto"/>
          </w:tcPr>
          <w:p w:rsidR="005B63A2" w:rsidRPr="002B1A95" w:rsidRDefault="005B63A2" w:rsidP="005B63A2">
            <w:pPr>
              <w:pStyle w:val="Tabletext"/>
            </w:pPr>
            <w:r w:rsidRPr="002B1A95">
              <w:t>Division B.3 of the 2013 allowances determination</w:t>
            </w:r>
          </w:p>
        </w:tc>
      </w:tr>
      <w:tr w:rsidR="005B63A2" w:rsidRPr="002B1A95" w:rsidTr="003104D0">
        <w:tc>
          <w:tcPr>
            <w:tcW w:w="429" w:type="pct"/>
            <w:shd w:val="clear" w:color="auto" w:fill="auto"/>
          </w:tcPr>
          <w:p w:rsidR="005B63A2" w:rsidRPr="002B1A95" w:rsidRDefault="005B63A2" w:rsidP="005B63A2">
            <w:pPr>
              <w:pStyle w:val="Tabletext"/>
            </w:pPr>
            <w:r w:rsidRPr="002B1A95">
              <w:t>2</w:t>
            </w:r>
          </w:p>
        </w:tc>
        <w:tc>
          <w:tcPr>
            <w:tcW w:w="2808" w:type="pct"/>
            <w:shd w:val="clear" w:color="auto" w:fill="auto"/>
          </w:tcPr>
          <w:p w:rsidR="005B63A2" w:rsidRPr="002B1A95" w:rsidRDefault="005B63A2" w:rsidP="005B63A2">
            <w:pPr>
              <w:pStyle w:val="Tabletext"/>
            </w:pPr>
            <w:r w:rsidRPr="002B1A95">
              <w:t>Disturbance allowance</w:t>
            </w:r>
          </w:p>
        </w:tc>
        <w:tc>
          <w:tcPr>
            <w:tcW w:w="1763" w:type="pct"/>
            <w:shd w:val="clear" w:color="auto" w:fill="auto"/>
          </w:tcPr>
          <w:p w:rsidR="005B63A2" w:rsidRPr="002B1A95" w:rsidRDefault="005B63A2" w:rsidP="005B63A2">
            <w:pPr>
              <w:pStyle w:val="Tabletext"/>
            </w:pPr>
            <w:r w:rsidRPr="002B1A95">
              <w:t>Division</w:t>
            </w:r>
            <w:r w:rsidR="002B1A95" w:rsidRPr="002B1A95">
              <w:t> </w:t>
            </w:r>
            <w:r w:rsidRPr="002B1A95">
              <w:t>1 of Part</w:t>
            </w:r>
            <w:r w:rsidR="002B1A95" w:rsidRPr="002B1A95">
              <w:t> </w:t>
            </w:r>
            <w:r w:rsidRPr="002B1A95">
              <w:t>1 of Chapter</w:t>
            </w:r>
            <w:r w:rsidR="002B1A95" w:rsidRPr="002B1A95">
              <w:t> </w:t>
            </w:r>
            <w:r w:rsidRPr="002B1A95">
              <w:t>6 of the conditions determination</w:t>
            </w:r>
          </w:p>
        </w:tc>
      </w:tr>
      <w:tr w:rsidR="005B63A2" w:rsidRPr="002B1A95" w:rsidTr="003104D0">
        <w:tc>
          <w:tcPr>
            <w:tcW w:w="429" w:type="pct"/>
            <w:shd w:val="clear" w:color="auto" w:fill="auto"/>
          </w:tcPr>
          <w:p w:rsidR="005B63A2" w:rsidRPr="002B1A95" w:rsidRDefault="005B63A2" w:rsidP="005B63A2">
            <w:pPr>
              <w:pStyle w:val="Tabletext"/>
            </w:pPr>
            <w:r w:rsidRPr="002B1A95">
              <w:t>3</w:t>
            </w:r>
          </w:p>
        </w:tc>
        <w:tc>
          <w:tcPr>
            <w:tcW w:w="2808" w:type="pct"/>
            <w:shd w:val="clear" w:color="auto" w:fill="auto"/>
          </w:tcPr>
          <w:p w:rsidR="005B63A2" w:rsidRPr="002B1A95" w:rsidRDefault="005B63A2" w:rsidP="005B63A2">
            <w:pPr>
              <w:pStyle w:val="Tabletext"/>
            </w:pPr>
            <w:r w:rsidRPr="002B1A95">
              <w:t>Rent allowance paid to a member without dependants or to a member with dependants (unaccompanied)</w:t>
            </w:r>
          </w:p>
        </w:tc>
        <w:tc>
          <w:tcPr>
            <w:tcW w:w="1763" w:type="pct"/>
            <w:shd w:val="clear" w:color="auto" w:fill="auto"/>
          </w:tcPr>
          <w:p w:rsidR="005B63A2" w:rsidRPr="002B1A95" w:rsidRDefault="005B63A2" w:rsidP="005B63A2">
            <w:pPr>
              <w:pStyle w:val="Tabletext"/>
            </w:pPr>
            <w:r w:rsidRPr="002B1A95">
              <w:t>Division</w:t>
            </w:r>
            <w:r w:rsidR="002B1A95" w:rsidRPr="002B1A95">
              <w:t> </w:t>
            </w:r>
            <w:r w:rsidRPr="002B1A95">
              <w:t>1 of Part</w:t>
            </w:r>
            <w:r w:rsidR="002B1A95" w:rsidRPr="002B1A95">
              <w:t> </w:t>
            </w:r>
            <w:r w:rsidRPr="002B1A95">
              <w:t>8 of Chapter</w:t>
            </w:r>
            <w:r w:rsidR="002B1A95" w:rsidRPr="002B1A95">
              <w:t> </w:t>
            </w:r>
            <w:r w:rsidRPr="002B1A95">
              <w:t>7 of the conditions determination</w:t>
            </w:r>
          </w:p>
        </w:tc>
      </w:tr>
      <w:tr w:rsidR="005B63A2" w:rsidRPr="002B1A95" w:rsidTr="003104D0">
        <w:tc>
          <w:tcPr>
            <w:tcW w:w="429" w:type="pct"/>
            <w:shd w:val="clear" w:color="auto" w:fill="auto"/>
          </w:tcPr>
          <w:p w:rsidR="005B63A2" w:rsidRPr="002B1A95" w:rsidRDefault="005B63A2" w:rsidP="005B63A2">
            <w:pPr>
              <w:pStyle w:val="Tabletext"/>
            </w:pPr>
            <w:r w:rsidRPr="002B1A95">
              <w:t>4</w:t>
            </w:r>
          </w:p>
        </w:tc>
        <w:tc>
          <w:tcPr>
            <w:tcW w:w="2808" w:type="pct"/>
            <w:shd w:val="clear" w:color="auto" w:fill="auto"/>
          </w:tcPr>
          <w:p w:rsidR="005B63A2" w:rsidRPr="002B1A95" w:rsidRDefault="005B63A2" w:rsidP="005B63A2">
            <w:pPr>
              <w:pStyle w:val="Tabletext"/>
            </w:pPr>
            <w:r w:rsidRPr="002B1A95">
              <w:t>Education assistance</w:t>
            </w:r>
          </w:p>
        </w:tc>
        <w:tc>
          <w:tcPr>
            <w:tcW w:w="1763" w:type="pct"/>
            <w:shd w:val="clear" w:color="auto" w:fill="auto"/>
          </w:tcPr>
          <w:p w:rsidR="005B63A2" w:rsidRPr="002B1A95" w:rsidRDefault="005B63A2" w:rsidP="005B63A2">
            <w:pPr>
              <w:pStyle w:val="Tabletext"/>
            </w:pPr>
            <w:r w:rsidRPr="002B1A95">
              <w:t>Part</w:t>
            </w:r>
            <w:r w:rsidR="002B1A95" w:rsidRPr="002B1A95">
              <w:t> </w:t>
            </w:r>
            <w:r w:rsidRPr="002B1A95">
              <w:t>4 of Chapter</w:t>
            </w:r>
            <w:r w:rsidR="002B1A95" w:rsidRPr="002B1A95">
              <w:t> </w:t>
            </w:r>
            <w:r w:rsidRPr="002B1A95">
              <w:t>8 of the conditions determination</w:t>
            </w:r>
          </w:p>
        </w:tc>
      </w:tr>
      <w:tr w:rsidR="005B63A2" w:rsidRPr="002B1A95" w:rsidTr="003104D0">
        <w:tc>
          <w:tcPr>
            <w:tcW w:w="429" w:type="pct"/>
            <w:shd w:val="clear" w:color="auto" w:fill="auto"/>
          </w:tcPr>
          <w:p w:rsidR="005B63A2" w:rsidRPr="002B1A95" w:rsidRDefault="005B63A2" w:rsidP="005B63A2">
            <w:pPr>
              <w:pStyle w:val="Tabletext"/>
            </w:pPr>
            <w:r w:rsidRPr="002B1A95">
              <w:t>5</w:t>
            </w:r>
          </w:p>
        </w:tc>
        <w:tc>
          <w:tcPr>
            <w:tcW w:w="2808" w:type="pct"/>
            <w:shd w:val="clear" w:color="auto" w:fill="auto"/>
          </w:tcPr>
          <w:p w:rsidR="005B63A2" w:rsidRPr="002B1A95" w:rsidRDefault="005B63A2" w:rsidP="005B63A2">
            <w:pPr>
              <w:pStyle w:val="Tabletext"/>
            </w:pPr>
            <w:r w:rsidRPr="002B1A95">
              <w:t>Transfer allowance</w:t>
            </w:r>
          </w:p>
        </w:tc>
        <w:tc>
          <w:tcPr>
            <w:tcW w:w="1763" w:type="pct"/>
            <w:shd w:val="clear" w:color="auto" w:fill="auto"/>
          </w:tcPr>
          <w:p w:rsidR="005B63A2" w:rsidRPr="002B1A95" w:rsidRDefault="005B63A2" w:rsidP="005B63A2">
            <w:pPr>
              <w:pStyle w:val="Tabletext"/>
            </w:pPr>
            <w:r w:rsidRPr="002B1A95">
              <w:t>Division</w:t>
            </w:r>
            <w:r w:rsidR="002B1A95" w:rsidRPr="002B1A95">
              <w:t> </w:t>
            </w:r>
            <w:r w:rsidRPr="002B1A95">
              <w:t>3 of Part</w:t>
            </w:r>
            <w:r w:rsidR="002B1A95" w:rsidRPr="002B1A95">
              <w:t> </w:t>
            </w:r>
            <w:r w:rsidRPr="002B1A95">
              <w:t>3 of Chapter</w:t>
            </w:r>
            <w:r w:rsidR="002B1A95" w:rsidRPr="002B1A95">
              <w:t> </w:t>
            </w:r>
            <w:r w:rsidRPr="002B1A95">
              <w:t>14 of the conditions determination</w:t>
            </w:r>
          </w:p>
        </w:tc>
      </w:tr>
      <w:tr w:rsidR="005B63A2" w:rsidRPr="002B1A95" w:rsidTr="003104D0">
        <w:tc>
          <w:tcPr>
            <w:tcW w:w="429" w:type="pct"/>
            <w:shd w:val="clear" w:color="auto" w:fill="auto"/>
          </w:tcPr>
          <w:p w:rsidR="005B63A2" w:rsidRPr="002B1A95" w:rsidRDefault="005B63A2" w:rsidP="005B63A2">
            <w:pPr>
              <w:pStyle w:val="Tabletext"/>
            </w:pPr>
            <w:r w:rsidRPr="002B1A95">
              <w:t>6</w:t>
            </w:r>
          </w:p>
        </w:tc>
        <w:tc>
          <w:tcPr>
            <w:tcW w:w="2808" w:type="pct"/>
            <w:shd w:val="clear" w:color="auto" w:fill="auto"/>
          </w:tcPr>
          <w:p w:rsidR="005B63A2" w:rsidRPr="002B1A95" w:rsidRDefault="005B63A2" w:rsidP="005B63A2">
            <w:pPr>
              <w:pStyle w:val="Tabletext"/>
            </w:pPr>
            <w:r w:rsidRPr="002B1A95">
              <w:t>Reimbursement of education costs for a child educated at the location of a member’s long</w:t>
            </w:r>
            <w:r w:rsidR="00782250">
              <w:noBreakHyphen/>
            </w:r>
            <w:r w:rsidRPr="002B1A95">
              <w:t>term posting overseas</w:t>
            </w:r>
          </w:p>
        </w:tc>
        <w:tc>
          <w:tcPr>
            <w:tcW w:w="1763" w:type="pct"/>
            <w:shd w:val="clear" w:color="auto" w:fill="auto"/>
          </w:tcPr>
          <w:p w:rsidR="005B63A2" w:rsidRPr="002B1A95" w:rsidRDefault="005B63A2" w:rsidP="005B63A2">
            <w:pPr>
              <w:pStyle w:val="Tabletext"/>
            </w:pPr>
            <w:r w:rsidRPr="002B1A95">
              <w:t>Part</w:t>
            </w:r>
            <w:r w:rsidR="002B1A95" w:rsidRPr="002B1A95">
              <w:t> </w:t>
            </w:r>
            <w:r w:rsidRPr="002B1A95">
              <w:t>6 of Chapter</w:t>
            </w:r>
            <w:r w:rsidR="002B1A95" w:rsidRPr="002B1A95">
              <w:t> </w:t>
            </w:r>
            <w:r w:rsidRPr="002B1A95">
              <w:t>15 of the conditions determination</w:t>
            </w:r>
          </w:p>
        </w:tc>
      </w:tr>
      <w:tr w:rsidR="005B63A2" w:rsidRPr="002B1A95" w:rsidTr="003104D0">
        <w:tc>
          <w:tcPr>
            <w:tcW w:w="429" w:type="pct"/>
            <w:tcBorders>
              <w:bottom w:val="single" w:sz="2" w:space="0" w:color="auto"/>
            </w:tcBorders>
            <w:shd w:val="clear" w:color="auto" w:fill="auto"/>
          </w:tcPr>
          <w:p w:rsidR="005B63A2" w:rsidRPr="002B1A95" w:rsidRDefault="005B63A2" w:rsidP="005B63A2">
            <w:pPr>
              <w:pStyle w:val="Tabletext"/>
            </w:pPr>
            <w:r w:rsidRPr="002B1A95">
              <w:t>7</w:t>
            </w:r>
          </w:p>
        </w:tc>
        <w:tc>
          <w:tcPr>
            <w:tcW w:w="2808" w:type="pct"/>
            <w:tcBorders>
              <w:bottom w:val="single" w:sz="2" w:space="0" w:color="auto"/>
            </w:tcBorders>
            <w:shd w:val="clear" w:color="auto" w:fill="auto"/>
          </w:tcPr>
          <w:p w:rsidR="005B63A2" w:rsidRPr="002B1A95" w:rsidRDefault="005B63A2" w:rsidP="005B63A2">
            <w:pPr>
              <w:pStyle w:val="Tabletext"/>
            </w:pPr>
            <w:r w:rsidRPr="002B1A95">
              <w:t>Reimbursement of education costs for a child educated in Australia while the member is on a long</w:t>
            </w:r>
            <w:r w:rsidR="00782250">
              <w:noBreakHyphen/>
            </w:r>
            <w:r w:rsidRPr="002B1A95">
              <w:t>term posting overseas</w:t>
            </w:r>
          </w:p>
        </w:tc>
        <w:tc>
          <w:tcPr>
            <w:tcW w:w="1763" w:type="pct"/>
            <w:tcBorders>
              <w:bottom w:val="single" w:sz="2" w:space="0" w:color="auto"/>
            </w:tcBorders>
            <w:shd w:val="clear" w:color="auto" w:fill="auto"/>
          </w:tcPr>
          <w:p w:rsidR="005B63A2" w:rsidRPr="002B1A95" w:rsidRDefault="005B63A2" w:rsidP="005B63A2">
            <w:pPr>
              <w:pStyle w:val="Tabletext"/>
            </w:pPr>
            <w:r w:rsidRPr="002B1A95">
              <w:t>Division</w:t>
            </w:r>
            <w:r w:rsidR="002B1A95" w:rsidRPr="002B1A95">
              <w:t> </w:t>
            </w:r>
            <w:r w:rsidRPr="002B1A95">
              <w:t>5 of Part</w:t>
            </w:r>
            <w:r w:rsidR="002B1A95" w:rsidRPr="002B1A95">
              <w:t> </w:t>
            </w:r>
            <w:r w:rsidRPr="002B1A95">
              <w:t>6 of Chapter</w:t>
            </w:r>
            <w:r w:rsidR="002B1A95" w:rsidRPr="002B1A95">
              <w:t> </w:t>
            </w:r>
            <w:r w:rsidRPr="002B1A95">
              <w:t>15 of the conditions determination</w:t>
            </w:r>
          </w:p>
        </w:tc>
      </w:tr>
      <w:tr w:rsidR="005B63A2" w:rsidRPr="002B1A95" w:rsidTr="003104D0">
        <w:tc>
          <w:tcPr>
            <w:tcW w:w="429" w:type="pct"/>
            <w:tcBorders>
              <w:top w:val="single" w:sz="2" w:space="0" w:color="auto"/>
              <w:bottom w:val="single" w:sz="12" w:space="0" w:color="auto"/>
            </w:tcBorders>
            <w:shd w:val="clear" w:color="auto" w:fill="auto"/>
          </w:tcPr>
          <w:p w:rsidR="005B63A2" w:rsidRPr="002B1A95" w:rsidRDefault="005B63A2" w:rsidP="005B63A2">
            <w:pPr>
              <w:pStyle w:val="Tabletext"/>
            </w:pPr>
            <w:r w:rsidRPr="002B1A95">
              <w:t>8</w:t>
            </w:r>
          </w:p>
        </w:tc>
        <w:tc>
          <w:tcPr>
            <w:tcW w:w="2808" w:type="pct"/>
            <w:tcBorders>
              <w:top w:val="single" w:sz="2" w:space="0" w:color="auto"/>
              <w:bottom w:val="single" w:sz="12" w:space="0" w:color="auto"/>
            </w:tcBorders>
            <w:shd w:val="clear" w:color="auto" w:fill="auto"/>
          </w:tcPr>
          <w:p w:rsidR="005B63A2" w:rsidRPr="002B1A95" w:rsidRDefault="005B63A2" w:rsidP="005B63A2">
            <w:pPr>
              <w:pStyle w:val="Tabletext"/>
            </w:pPr>
            <w:r w:rsidRPr="002B1A95">
              <w:t>Deployment allowance</w:t>
            </w:r>
          </w:p>
        </w:tc>
        <w:tc>
          <w:tcPr>
            <w:tcW w:w="1763" w:type="pct"/>
            <w:tcBorders>
              <w:top w:val="single" w:sz="2" w:space="0" w:color="auto"/>
              <w:bottom w:val="single" w:sz="12" w:space="0" w:color="auto"/>
            </w:tcBorders>
            <w:shd w:val="clear" w:color="auto" w:fill="auto"/>
          </w:tcPr>
          <w:p w:rsidR="005B63A2" w:rsidRPr="002B1A95" w:rsidRDefault="005B63A2" w:rsidP="005B63A2">
            <w:pPr>
              <w:pStyle w:val="Tabletext"/>
            </w:pPr>
            <w:r w:rsidRPr="002B1A95">
              <w:t>Division</w:t>
            </w:r>
            <w:r w:rsidR="002B1A95" w:rsidRPr="002B1A95">
              <w:t> </w:t>
            </w:r>
            <w:r w:rsidRPr="002B1A95">
              <w:t>1 of Part</w:t>
            </w:r>
            <w:r w:rsidR="002B1A95" w:rsidRPr="002B1A95">
              <w:t> </w:t>
            </w:r>
            <w:r w:rsidRPr="002B1A95">
              <w:t>7 of Chapter</w:t>
            </w:r>
            <w:r w:rsidR="002B1A95" w:rsidRPr="002B1A95">
              <w:t> </w:t>
            </w:r>
            <w:r w:rsidRPr="002B1A95">
              <w:t>17 of the conditions determination</w:t>
            </w:r>
          </w:p>
        </w:tc>
      </w:tr>
    </w:tbl>
    <w:p w:rsidR="005B63A2" w:rsidRPr="002B1A95" w:rsidRDefault="005B63A2" w:rsidP="005B63A2">
      <w:pPr>
        <w:pStyle w:val="Tabletext"/>
      </w:pPr>
    </w:p>
    <w:p w:rsidR="005B63A2" w:rsidRPr="002B1A95" w:rsidRDefault="005B63A2" w:rsidP="005B63A2">
      <w:pPr>
        <w:pStyle w:val="subsection"/>
      </w:pPr>
      <w:r w:rsidRPr="002B1A95">
        <w:tab/>
        <w:t>(2)</w:t>
      </w:r>
      <w:r w:rsidRPr="002B1A95">
        <w:tab/>
        <w:t>In this instrument:</w:t>
      </w:r>
    </w:p>
    <w:p w:rsidR="005B63A2" w:rsidRPr="002B1A95" w:rsidRDefault="005B63A2" w:rsidP="005B63A2">
      <w:pPr>
        <w:pStyle w:val="Definition"/>
      </w:pPr>
      <w:r w:rsidRPr="002B1A95">
        <w:rPr>
          <w:b/>
          <w:i/>
        </w:rPr>
        <w:t>2013 allowances determination</w:t>
      </w:r>
      <w:r w:rsidRPr="002B1A95">
        <w:t xml:space="preserve"> means </w:t>
      </w:r>
      <w:r w:rsidRPr="002B1A95">
        <w:rPr>
          <w:i/>
        </w:rPr>
        <w:t>DFRT Determination No.</w:t>
      </w:r>
      <w:r w:rsidR="002B1A95" w:rsidRPr="002B1A95">
        <w:rPr>
          <w:i/>
        </w:rPr>
        <w:t> </w:t>
      </w:r>
      <w:r w:rsidRPr="002B1A95">
        <w:rPr>
          <w:i/>
        </w:rPr>
        <w:t>11 of 2013, ADF Allowances</w:t>
      </w:r>
      <w:r w:rsidRPr="002B1A95">
        <w:t>, made under section</w:t>
      </w:r>
      <w:r w:rsidR="002B1A95" w:rsidRPr="002B1A95">
        <w:t> </w:t>
      </w:r>
      <w:r w:rsidRPr="002B1A95">
        <w:t xml:space="preserve">58H of the </w:t>
      </w:r>
      <w:r w:rsidRPr="002B1A95">
        <w:rPr>
          <w:i/>
        </w:rPr>
        <w:t>Defence Act 1903</w:t>
      </w:r>
      <w:r w:rsidRPr="002B1A95">
        <w:t>.</w:t>
      </w:r>
    </w:p>
    <w:p w:rsidR="005B63A2" w:rsidRPr="002B1A95" w:rsidRDefault="005B63A2" w:rsidP="005B63A2">
      <w:pPr>
        <w:pStyle w:val="notetext"/>
      </w:pPr>
      <w:r w:rsidRPr="002B1A95">
        <w:t>Note:</w:t>
      </w:r>
      <w:r w:rsidRPr="002B1A95">
        <w:tab/>
        <w:t>The 2013 allowances determination could in 2020 be viewed on the Defence Force Remuneration Tribunal’s website (http://dfrt.gov.au).</w:t>
      </w:r>
    </w:p>
    <w:p w:rsidR="005B63A2" w:rsidRPr="002B1A95" w:rsidRDefault="005B63A2" w:rsidP="005B63A2">
      <w:pPr>
        <w:pStyle w:val="Definition"/>
      </w:pPr>
      <w:r w:rsidRPr="002B1A95">
        <w:rPr>
          <w:b/>
          <w:i/>
        </w:rPr>
        <w:t>conditions determination</w:t>
      </w:r>
      <w:r w:rsidRPr="002B1A95">
        <w:t xml:space="preserve"> means </w:t>
      </w:r>
      <w:r w:rsidRPr="002B1A95">
        <w:rPr>
          <w:i/>
        </w:rPr>
        <w:t>Defence Determination</w:t>
      </w:r>
      <w:r w:rsidR="002B1A95" w:rsidRPr="002B1A95">
        <w:rPr>
          <w:i/>
        </w:rPr>
        <w:t> </w:t>
      </w:r>
      <w:r w:rsidRPr="002B1A95">
        <w:rPr>
          <w:i/>
        </w:rPr>
        <w:t>2016/19, Conditions of service</w:t>
      </w:r>
      <w:r w:rsidRPr="002B1A95">
        <w:t>, made under section</w:t>
      </w:r>
      <w:r w:rsidR="002B1A95" w:rsidRPr="002B1A95">
        <w:t> </w:t>
      </w:r>
      <w:r w:rsidRPr="002B1A95">
        <w:t xml:space="preserve">58B of the </w:t>
      </w:r>
      <w:r w:rsidRPr="002B1A95">
        <w:rPr>
          <w:i/>
        </w:rPr>
        <w:t>Defence Act 1903</w:t>
      </w:r>
      <w:r w:rsidRPr="002B1A95">
        <w:t>.</w:t>
      </w:r>
    </w:p>
    <w:p w:rsidR="005B63A2" w:rsidRPr="002B1A95" w:rsidRDefault="005B63A2" w:rsidP="005B63A2">
      <w:pPr>
        <w:pStyle w:val="ActHead2"/>
        <w:pageBreakBefore/>
      </w:pPr>
      <w:bookmarkStart w:id="34" w:name="_Toc49765214"/>
      <w:r w:rsidRPr="00411C46">
        <w:rPr>
          <w:rStyle w:val="CharPartNo"/>
        </w:rPr>
        <w:lastRenderedPageBreak/>
        <w:t>Part</w:t>
      </w:r>
      <w:r w:rsidR="002B1A95" w:rsidRPr="00411C46">
        <w:rPr>
          <w:rStyle w:val="CharPartNo"/>
        </w:rPr>
        <w:t> </w:t>
      </w:r>
      <w:r w:rsidRPr="00411C46">
        <w:rPr>
          <w:rStyle w:val="CharPartNo"/>
        </w:rPr>
        <w:t>2</w:t>
      </w:r>
      <w:r w:rsidR="00782250" w:rsidRPr="00411C46">
        <w:rPr>
          <w:rStyle w:val="CharPartNo"/>
        </w:rPr>
        <w:noBreakHyphen/>
      </w:r>
      <w:r w:rsidRPr="00411C46">
        <w:rPr>
          <w:rStyle w:val="CharPartNo"/>
        </w:rPr>
        <w:t>20</w:t>
      </w:r>
      <w:r w:rsidRPr="002B1A95">
        <w:t>—</w:t>
      </w:r>
      <w:r w:rsidRPr="00411C46">
        <w:rPr>
          <w:rStyle w:val="CharPartText"/>
        </w:rPr>
        <w:t>Tax offsets</w:t>
      </w:r>
      <w:bookmarkEnd w:id="34"/>
    </w:p>
    <w:p w:rsidR="005B63A2" w:rsidRPr="002B1A95" w:rsidRDefault="005B63A2" w:rsidP="005B63A2">
      <w:pPr>
        <w:pStyle w:val="ActHead3"/>
      </w:pPr>
      <w:bookmarkStart w:id="35" w:name="_Toc49765215"/>
      <w:r w:rsidRPr="00411C46">
        <w:rPr>
          <w:rStyle w:val="CharDivNo"/>
        </w:rPr>
        <w:t>Division</w:t>
      </w:r>
      <w:r w:rsidR="002B1A95" w:rsidRPr="00411C46">
        <w:rPr>
          <w:rStyle w:val="CharDivNo"/>
        </w:rPr>
        <w:t> </w:t>
      </w:r>
      <w:r w:rsidRPr="00411C46">
        <w:rPr>
          <w:rStyle w:val="CharDivNo"/>
        </w:rPr>
        <w:t>61</w:t>
      </w:r>
      <w:r w:rsidRPr="002B1A95">
        <w:t>—</w:t>
      </w:r>
      <w:r w:rsidRPr="00411C46">
        <w:rPr>
          <w:rStyle w:val="CharDivText"/>
        </w:rPr>
        <w:t>Generally applicable tax offsets</w:t>
      </w:r>
      <w:bookmarkEnd w:id="35"/>
    </w:p>
    <w:p w:rsidR="005B63A2" w:rsidRPr="002B1A95" w:rsidRDefault="005B63A2" w:rsidP="005B63A2">
      <w:pPr>
        <w:pStyle w:val="ActHead4"/>
      </w:pPr>
      <w:bookmarkStart w:id="36" w:name="_Toc49765216"/>
      <w:r w:rsidRPr="00411C46">
        <w:rPr>
          <w:rStyle w:val="CharSubdNo"/>
          <w:rFonts w:eastAsiaTheme="majorEastAsia"/>
        </w:rPr>
        <w:t>Subdivision</w:t>
      </w:r>
      <w:r w:rsidR="002B1A95" w:rsidRPr="00411C46">
        <w:rPr>
          <w:rStyle w:val="CharSubdNo"/>
          <w:rFonts w:eastAsiaTheme="majorEastAsia"/>
        </w:rPr>
        <w:t> </w:t>
      </w:r>
      <w:r w:rsidRPr="00411C46">
        <w:rPr>
          <w:rStyle w:val="CharSubdNo"/>
          <w:rFonts w:eastAsiaTheme="majorEastAsia"/>
        </w:rPr>
        <w:t>61</w:t>
      </w:r>
      <w:r w:rsidR="00782250" w:rsidRPr="00411C46">
        <w:rPr>
          <w:rStyle w:val="CharSubdNo"/>
          <w:rFonts w:eastAsiaTheme="majorEastAsia"/>
        </w:rPr>
        <w:noBreakHyphen/>
      </w:r>
      <w:r w:rsidRPr="00411C46">
        <w:rPr>
          <w:rStyle w:val="CharSubdNo"/>
          <w:rFonts w:eastAsiaTheme="majorEastAsia"/>
        </w:rPr>
        <w:t>G</w:t>
      </w:r>
      <w:r w:rsidRPr="002B1A95">
        <w:t>—</w:t>
      </w:r>
      <w:r w:rsidRPr="00411C46">
        <w:rPr>
          <w:rStyle w:val="CharSubdText"/>
          <w:rFonts w:eastAsiaTheme="majorEastAsia"/>
        </w:rPr>
        <w:t>Private health insurance offset complementary to Part</w:t>
      </w:r>
      <w:r w:rsidR="002B1A95" w:rsidRPr="00411C46">
        <w:rPr>
          <w:rStyle w:val="CharSubdText"/>
          <w:rFonts w:eastAsiaTheme="majorEastAsia"/>
        </w:rPr>
        <w:t> </w:t>
      </w:r>
      <w:r w:rsidRPr="00411C46">
        <w:rPr>
          <w:rStyle w:val="CharSubdText"/>
          <w:rFonts w:eastAsiaTheme="majorEastAsia"/>
        </w:rPr>
        <w:t>2</w:t>
      </w:r>
      <w:r w:rsidR="00782250" w:rsidRPr="00411C46">
        <w:rPr>
          <w:rStyle w:val="CharSubdText"/>
          <w:rFonts w:eastAsiaTheme="majorEastAsia"/>
        </w:rPr>
        <w:noBreakHyphen/>
      </w:r>
      <w:r w:rsidRPr="00411C46">
        <w:rPr>
          <w:rStyle w:val="CharSubdText"/>
          <w:rFonts w:eastAsiaTheme="majorEastAsia"/>
        </w:rPr>
        <w:t>2 of the Private Health Insurance Act 2007</w:t>
      </w:r>
      <w:bookmarkEnd w:id="36"/>
    </w:p>
    <w:p w:rsidR="005B63A2" w:rsidRPr="002B1A95" w:rsidRDefault="005B63A2" w:rsidP="005B63A2">
      <w:pPr>
        <w:pStyle w:val="ActHead5"/>
      </w:pPr>
      <w:bookmarkStart w:id="37" w:name="_Toc49765217"/>
      <w:r w:rsidRPr="00411C46">
        <w:rPr>
          <w:rStyle w:val="CharSectno"/>
        </w:rPr>
        <w:t>61</w:t>
      </w:r>
      <w:r w:rsidR="00782250" w:rsidRPr="00411C46">
        <w:rPr>
          <w:rStyle w:val="CharSectno"/>
        </w:rPr>
        <w:noBreakHyphen/>
      </w:r>
      <w:r w:rsidRPr="00411C46">
        <w:rPr>
          <w:rStyle w:val="CharSectno"/>
        </w:rPr>
        <w:t>220.01</w:t>
      </w:r>
      <w:r w:rsidRPr="002B1A95">
        <w:t xml:space="preserve">  Private health insurer to provide annual statement to PHIIB if requested</w:t>
      </w:r>
      <w:bookmarkEnd w:id="37"/>
    </w:p>
    <w:p w:rsidR="005B63A2" w:rsidRPr="002B1A95" w:rsidRDefault="005B63A2" w:rsidP="005B63A2">
      <w:pPr>
        <w:pStyle w:val="subsection"/>
      </w:pPr>
      <w:r w:rsidRPr="002B1A95">
        <w:tab/>
        <w:t>(1)</w:t>
      </w:r>
      <w:r w:rsidRPr="002B1A95">
        <w:tab/>
        <w:t xml:space="preserve">If, during a financial year, a PHIIB insured during an earlier financial year under a complying health insurance policy by a private health insurer (within the meaning of the </w:t>
      </w:r>
      <w:r w:rsidRPr="002B1A95">
        <w:rPr>
          <w:i/>
          <w:iCs/>
          <w:color w:val="000000"/>
          <w:szCs w:val="22"/>
        </w:rPr>
        <w:t>Private Health Insurance Act 2007</w:t>
      </w:r>
      <w:r w:rsidRPr="002B1A95">
        <w:rPr>
          <w:iCs/>
          <w:color w:val="000000"/>
          <w:szCs w:val="22"/>
        </w:rPr>
        <w:t xml:space="preserve">) </w:t>
      </w:r>
      <w:r w:rsidRPr="002B1A95">
        <w:t>requests a statement about that policy for that earlier year, the private health insurer must provide a statement in accordance with this section.</w:t>
      </w:r>
    </w:p>
    <w:p w:rsidR="005B63A2" w:rsidRPr="002B1A95" w:rsidRDefault="005B63A2" w:rsidP="005B63A2">
      <w:pPr>
        <w:pStyle w:val="notetext"/>
      </w:pPr>
      <w:r w:rsidRPr="002B1A95">
        <w:t>Note:</w:t>
      </w:r>
      <w:r w:rsidRPr="002B1A95">
        <w:tab/>
        <w:t xml:space="preserve">For </w:t>
      </w:r>
      <w:r w:rsidRPr="002B1A95">
        <w:rPr>
          <w:b/>
          <w:i/>
        </w:rPr>
        <w:t>complying health insurance policy</w:t>
      </w:r>
      <w:r w:rsidRPr="002B1A95">
        <w:t xml:space="preserve"> and </w:t>
      </w:r>
      <w:r w:rsidRPr="002B1A95">
        <w:rPr>
          <w:b/>
          <w:i/>
        </w:rPr>
        <w:t>PHIIB</w:t>
      </w:r>
      <w:r w:rsidRPr="002B1A95">
        <w:t>, see subsection</w:t>
      </w:r>
      <w:r w:rsidR="002B1A95" w:rsidRPr="002B1A95">
        <w:t> </w:t>
      </w:r>
      <w:r w:rsidRPr="002B1A95">
        <w:t>995</w:t>
      </w:r>
      <w:r w:rsidR="00782250">
        <w:noBreakHyphen/>
      </w:r>
      <w:r w:rsidRPr="002B1A95">
        <w:t>1(1) of the Act.</w:t>
      </w:r>
    </w:p>
    <w:p w:rsidR="005B63A2" w:rsidRPr="002B1A95" w:rsidRDefault="005B63A2" w:rsidP="005B63A2">
      <w:pPr>
        <w:pStyle w:val="subsection"/>
      </w:pPr>
      <w:r w:rsidRPr="002B1A95">
        <w:tab/>
        <w:t>(2)</w:t>
      </w:r>
      <w:r w:rsidRPr="002B1A95">
        <w:tab/>
        <w:t>The statement must be in the approved form, and provided to the PHIIB within 14 days after the day the request is received.</w:t>
      </w:r>
    </w:p>
    <w:p w:rsidR="005B63A2" w:rsidRPr="002B1A95" w:rsidRDefault="005B63A2" w:rsidP="005B63A2">
      <w:pPr>
        <w:pStyle w:val="notetext"/>
      </w:pPr>
      <w:r w:rsidRPr="002B1A95">
        <w:t>Note:</w:t>
      </w:r>
      <w:r w:rsidRPr="002B1A95">
        <w:tab/>
        <w:t xml:space="preserve">For </w:t>
      </w:r>
      <w:r w:rsidRPr="002B1A95">
        <w:rPr>
          <w:b/>
          <w:bCs/>
          <w:i/>
          <w:iCs/>
        </w:rPr>
        <w:t>approved form</w:t>
      </w:r>
      <w:r w:rsidRPr="002B1A95">
        <w:t>, see subsection</w:t>
      </w:r>
      <w:r w:rsidR="002B1A95" w:rsidRPr="002B1A95">
        <w:t> </w:t>
      </w:r>
      <w:r w:rsidRPr="002B1A95">
        <w:t>995</w:t>
      </w:r>
      <w:r w:rsidR="00782250">
        <w:noBreakHyphen/>
      </w:r>
      <w:r w:rsidRPr="002B1A95">
        <w:t>1(1) of the Act.</w:t>
      </w:r>
    </w:p>
    <w:p w:rsidR="005B63A2" w:rsidRPr="002B1A95" w:rsidRDefault="005B63A2" w:rsidP="005B63A2">
      <w:pPr>
        <w:pStyle w:val="subsection"/>
      </w:pPr>
      <w:r w:rsidRPr="002B1A95">
        <w:tab/>
        <w:t>(3)</w:t>
      </w:r>
      <w:r w:rsidRPr="002B1A95">
        <w:tab/>
        <w:t>The statement may include information in relation to the following:</w:t>
      </w:r>
    </w:p>
    <w:p w:rsidR="005B63A2" w:rsidRPr="002B1A95" w:rsidRDefault="005B63A2" w:rsidP="005B63A2">
      <w:pPr>
        <w:pStyle w:val="paragraph"/>
      </w:pPr>
      <w:r w:rsidRPr="002B1A95">
        <w:tab/>
        <w:t>(a)</w:t>
      </w:r>
      <w:r w:rsidRPr="002B1A95">
        <w:tab/>
        <w:t>the complying health insurance policy held by the PHIIB and payments made under the policy;</w:t>
      </w:r>
    </w:p>
    <w:p w:rsidR="005B63A2" w:rsidRPr="002B1A95" w:rsidRDefault="005B63A2" w:rsidP="005B63A2">
      <w:pPr>
        <w:pStyle w:val="paragraph"/>
      </w:pPr>
      <w:r w:rsidRPr="002B1A95">
        <w:tab/>
        <w:t>(b)</w:t>
      </w:r>
      <w:r w:rsidRPr="002B1A95">
        <w:tab/>
        <w:t>the premium, or amounts in respect of the premium, paid during the earlier financial year in relation to the policy;</w:t>
      </w:r>
    </w:p>
    <w:p w:rsidR="005B63A2" w:rsidRPr="002B1A95" w:rsidRDefault="005B63A2" w:rsidP="005B63A2">
      <w:pPr>
        <w:pStyle w:val="paragraph"/>
      </w:pPr>
      <w:r w:rsidRPr="002B1A95">
        <w:tab/>
        <w:t>(c)</w:t>
      </w:r>
      <w:r w:rsidRPr="002B1A95">
        <w:tab/>
        <w:t>any reductions of the premium payable, or an amount payable, during the earlier financial year.</w:t>
      </w:r>
    </w:p>
    <w:p w:rsidR="005B63A2" w:rsidRPr="002B1A95" w:rsidRDefault="005B63A2" w:rsidP="005B63A2">
      <w:pPr>
        <w:pStyle w:val="ActHead2"/>
        <w:pageBreakBefore/>
      </w:pPr>
      <w:bookmarkStart w:id="38" w:name="_Toc49765218"/>
      <w:r w:rsidRPr="00411C46">
        <w:rPr>
          <w:rStyle w:val="CharPartNo"/>
        </w:rPr>
        <w:lastRenderedPageBreak/>
        <w:t>Part</w:t>
      </w:r>
      <w:r w:rsidR="002B1A95" w:rsidRPr="00411C46">
        <w:rPr>
          <w:rStyle w:val="CharPartNo"/>
        </w:rPr>
        <w:t> </w:t>
      </w:r>
      <w:r w:rsidRPr="00411C46">
        <w:rPr>
          <w:rStyle w:val="CharPartNo"/>
        </w:rPr>
        <w:t>2</w:t>
      </w:r>
      <w:r w:rsidR="00782250" w:rsidRPr="00411C46">
        <w:rPr>
          <w:rStyle w:val="CharPartNo"/>
        </w:rPr>
        <w:noBreakHyphen/>
      </w:r>
      <w:r w:rsidRPr="00411C46">
        <w:rPr>
          <w:rStyle w:val="CharPartNo"/>
        </w:rPr>
        <w:t>25</w:t>
      </w:r>
      <w:r w:rsidRPr="002B1A95">
        <w:t>—</w:t>
      </w:r>
      <w:r w:rsidRPr="00411C46">
        <w:rPr>
          <w:rStyle w:val="CharPartText"/>
        </w:rPr>
        <w:t>Trading stock</w:t>
      </w:r>
      <w:bookmarkEnd w:id="38"/>
    </w:p>
    <w:p w:rsidR="005B63A2" w:rsidRPr="002B1A95" w:rsidRDefault="005B63A2" w:rsidP="005B63A2">
      <w:pPr>
        <w:pStyle w:val="ActHead3"/>
      </w:pPr>
      <w:bookmarkStart w:id="39" w:name="_Toc49765219"/>
      <w:r w:rsidRPr="00411C46">
        <w:rPr>
          <w:rStyle w:val="CharDivNo"/>
        </w:rPr>
        <w:t>Division</w:t>
      </w:r>
      <w:r w:rsidR="002B1A95" w:rsidRPr="00411C46">
        <w:rPr>
          <w:rStyle w:val="CharDivNo"/>
        </w:rPr>
        <w:t> </w:t>
      </w:r>
      <w:r w:rsidRPr="00411C46">
        <w:rPr>
          <w:rStyle w:val="CharDivNo"/>
        </w:rPr>
        <w:t>70</w:t>
      </w:r>
      <w:r w:rsidRPr="002B1A95">
        <w:t>—</w:t>
      </w:r>
      <w:r w:rsidRPr="00411C46">
        <w:rPr>
          <w:rStyle w:val="CharDivText"/>
        </w:rPr>
        <w:t>Trading stock</w:t>
      </w:r>
      <w:bookmarkEnd w:id="39"/>
    </w:p>
    <w:p w:rsidR="005B63A2" w:rsidRPr="002B1A95" w:rsidRDefault="005B63A2" w:rsidP="005B63A2">
      <w:pPr>
        <w:pStyle w:val="ActHead4"/>
      </w:pPr>
      <w:bookmarkStart w:id="40" w:name="_Toc49765220"/>
      <w:r w:rsidRPr="00411C46">
        <w:rPr>
          <w:rStyle w:val="CharSubdNo"/>
        </w:rPr>
        <w:t>Subdivision</w:t>
      </w:r>
      <w:r w:rsidR="002B1A95" w:rsidRPr="00411C46">
        <w:rPr>
          <w:rStyle w:val="CharSubdNo"/>
        </w:rPr>
        <w:t> </w:t>
      </w:r>
      <w:r w:rsidRPr="00411C46">
        <w:rPr>
          <w:rStyle w:val="CharSubdNo"/>
        </w:rPr>
        <w:t>70</w:t>
      </w:r>
      <w:r w:rsidR="00782250" w:rsidRPr="00411C46">
        <w:rPr>
          <w:rStyle w:val="CharSubdNo"/>
        </w:rPr>
        <w:noBreakHyphen/>
      </w:r>
      <w:r w:rsidRPr="00411C46">
        <w:rPr>
          <w:rStyle w:val="CharSubdNo"/>
        </w:rPr>
        <w:t>C</w:t>
      </w:r>
      <w:r w:rsidRPr="002B1A95">
        <w:t>—</w:t>
      </w:r>
      <w:r w:rsidRPr="00411C46">
        <w:rPr>
          <w:rStyle w:val="CharSubdText"/>
        </w:rPr>
        <w:t>Accounting for trading stock you hold at the start or end of the income year</w:t>
      </w:r>
      <w:bookmarkEnd w:id="40"/>
    </w:p>
    <w:p w:rsidR="005B63A2" w:rsidRPr="002B1A95" w:rsidRDefault="005B63A2" w:rsidP="005B63A2">
      <w:pPr>
        <w:pStyle w:val="ActHead5"/>
      </w:pPr>
      <w:bookmarkStart w:id="41" w:name="_Toc49765221"/>
      <w:r w:rsidRPr="00411C46">
        <w:rPr>
          <w:rStyle w:val="CharSectno"/>
        </w:rPr>
        <w:t>70</w:t>
      </w:r>
      <w:r w:rsidR="00782250" w:rsidRPr="00411C46">
        <w:rPr>
          <w:rStyle w:val="CharSectno"/>
        </w:rPr>
        <w:noBreakHyphen/>
      </w:r>
      <w:r w:rsidRPr="00411C46">
        <w:rPr>
          <w:rStyle w:val="CharSectno"/>
        </w:rPr>
        <w:t>55.01</w:t>
      </w:r>
      <w:r w:rsidRPr="002B1A95">
        <w:t xml:space="preserve">  Cost of natural increase of live stock</w:t>
      </w:r>
      <w:bookmarkEnd w:id="41"/>
    </w:p>
    <w:p w:rsidR="005B63A2" w:rsidRPr="002B1A95" w:rsidRDefault="005B63A2" w:rsidP="005B63A2">
      <w:pPr>
        <w:pStyle w:val="subsection"/>
      </w:pPr>
      <w:r w:rsidRPr="002B1A95">
        <w:tab/>
      </w:r>
      <w:r w:rsidRPr="002B1A95">
        <w:tab/>
        <w:t>For the purposes of paragraph</w:t>
      </w:r>
      <w:r w:rsidR="002B1A95" w:rsidRPr="002B1A95">
        <w:t> </w:t>
      </w:r>
      <w:r w:rsidRPr="002B1A95">
        <w:t>70</w:t>
      </w:r>
      <w:r w:rsidR="00782250">
        <w:noBreakHyphen/>
      </w:r>
      <w:r w:rsidRPr="002B1A95">
        <w:t>55(1)(b) of the Act, the cost prescribed for each animal in a class of live stock specified in column 1 of an item in the following table is the amount specified in column 2 of that item.</w:t>
      </w:r>
    </w:p>
    <w:p w:rsidR="005B63A2" w:rsidRPr="002B1A95" w:rsidRDefault="005B63A2" w:rsidP="005B63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5B63A2" w:rsidRPr="002B1A95" w:rsidTr="003104D0">
        <w:trPr>
          <w:tblHeader/>
        </w:trPr>
        <w:tc>
          <w:tcPr>
            <w:tcW w:w="5000" w:type="pct"/>
            <w:gridSpan w:val="3"/>
            <w:tcBorders>
              <w:top w:val="single" w:sz="12" w:space="0" w:color="auto"/>
              <w:bottom w:val="single" w:sz="6" w:space="0" w:color="auto"/>
            </w:tcBorders>
            <w:shd w:val="clear" w:color="auto" w:fill="auto"/>
          </w:tcPr>
          <w:p w:rsidR="005B63A2" w:rsidRPr="002B1A95" w:rsidRDefault="005B63A2" w:rsidP="005B63A2">
            <w:pPr>
              <w:pStyle w:val="TableHeading"/>
            </w:pPr>
            <w:r w:rsidRPr="002B1A95">
              <w:t>Cost of natural increase of live stock</w:t>
            </w:r>
          </w:p>
        </w:tc>
      </w:tr>
      <w:tr w:rsidR="005B63A2" w:rsidRPr="002B1A95" w:rsidTr="003104D0">
        <w:trPr>
          <w:tblHeader/>
        </w:trPr>
        <w:tc>
          <w:tcPr>
            <w:tcW w:w="429" w:type="pct"/>
            <w:tcBorders>
              <w:top w:val="single" w:sz="6" w:space="0" w:color="auto"/>
              <w:bottom w:val="single" w:sz="12" w:space="0" w:color="auto"/>
            </w:tcBorders>
            <w:shd w:val="clear" w:color="auto" w:fill="auto"/>
          </w:tcPr>
          <w:p w:rsidR="005B63A2" w:rsidRPr="002B1A95" w:rsidRDefault="005B63A2" w:rsidP="005B63A2">
            <w:pPr>
              <w:pStyle w:val="TableHeading"/>
            </w:pPr>
            <w:r w:rsidRPr="002B1A95">
              <w:t>Item</w:t>
            </w:r>
          </w:p>
        </w:tc>
        <w:tc>
          <w:tcPr>
            <w:tcW w:w="2285" w:type="pct"/>
            <w:tcBorders>
              <w:top w:val="single" w:sz="6" w:space="0" w:color="auto"/>
              <w:bottom w:val="single" w:sz="12" w:space="0" w:color="auto"/>
            </w:tcBorders>
            <w:shd w:val="clear" w:color="auto" w:fill="auto"/>
          </w:tcPr>
          <w:p w:rsidR="005B63A2" w:rsidRPr="002B1A95" w:rsidRDefault="005B63A2" w:rsidP="005B63A2">
            <w:pPr>
              <w:pStyle w:val="TableHeading"/>
            </w:pPr>
            <w:r w:rsidRPr="002B1A95">
              <w:t>Column 1</w:t>
            </w:r>
          </w:p>
          <w:p w:rsidR="005B63A2" w:rsidRPr="002B1A95" w:rsidRDefault="005B63A2" w:rsidP="005B63A2">
            <w:pPr>
              <w:pStyle w:val="TableHeading"/>
            </w:pPr>
            <w:r w:rsidRPr="002B1A95">
              <w:t>Class of live stock</w:t>
            </w:r>
          </w:p>
        </w:tc>
        <w:tc>
          <w:tcPr>
            <w:tcW w:w="2286" w:type="pct"/>
            <w:tcBorders>
              <w:top w:val="single" w:sz="6" w:space="0" w:color="auto"/>
              <w:bottom w:val="single" w:sz="12" w:space="0" w:color="auto"/>
            </w:tcBorders>
            <w:shd w:val="clear" w:color="auto" w:fill="auto"/>
          </w:tcPr>
          <w:p w:rsidR="005B63A2" w:rsidRPr="002B1A95" w:rsidRDefault="005B63A2" w:rsidP="005B63A2">
            <w:pPr>
              <w:pStyle w:val="TableHeading"/>
            </w:pPr>
            <w:r w:rsidRPr="002B1A95">
              <w:t>Column 2</w:t>
            </w:r>
          </w:p>
          <w:p w:rsidR="005B63A2" w:rsidRPr="002B1A95" w:rsidRDefault="005B63A2" w:rsidP="005B63A2">
            <w:pPr>
              <w:pStyle w:val="TableHeading"/>
            </w:pPr>
            <w:r w:rsidRPr="002B1A95">
              <w:t>Cost $</w:t>
            </w:r>
          </w:p>
        </w:tc>
      </w:tr>
      <w:tr w:rsidR="005B63A2" w:rsidRPr="002B1A95" w:rsidTr="003104D0">
        <w:tc>
          <w:tcPr>
            <w:tcW w:w="429" w:type="pct"/>
            <w:tcBorders>
              <w:top w:val="single" w:sz="12" w:space="0" w:color="auto"/>
            </w:tcBorders>
            <w:shd w:val="clear" w:color="auto" w:fill="auto"/>
          </w:tcPr>
          <w:p w:rsidR="005B63A2" w:rsidRPr="002B1A95" w:rsidRDefault="005B63A2" w:rsidP="005B63A2">
            <w:pPr>
              <w:pStyle w:val="Tabletext"/>
            </w:pPr>
            <w:r w:rsidRPr="002B1A95">
              <w:t>1</w:t>
            </w:r>
          </w:p>
        </w:tc>
        <w:tc>
          <w:tcPr>
            <w:tcW w:w="2285" w:type="pct"/>
            <w:tcBorders>
              <w:top w:val="single" w:sz="12" w:space="0" w:color="auto"/>
            </w:tcBorders>
            <w:shd w:val="clear" w:color="auto" w:fill="auto"/>
          </w:tcPr>
          <w:p w:rsidR="005B63A2" w:rsidRPr="002B1A95" w:rsidRDefault="005B63A2" w:rsidP="005B63A2">
            <w:pPr>
              <w:pStyle w:val="Tabletext"/>
            </w:pPr>
            <w:r w:rsidRPr="002B1A95">
              <w:t>cattle</w:t>
            </w:r>
          </w:p>
        </w:tc>
        <w:tc>
          <w:tcPr>
            <w:tcW w:w="2286" w:type="pct"/>
            <w:tcBorders>
              <w:top w:val="single" w:sz="12" w:space="0" w:color="auto"/>
            </w:tcBorders>
            <w:shd w:val="clear" w:color="auto" w:fill="auto"/>
          </w:tcPr>
          <w:p w:rsidR="005B63A2" w:rsidRPr="002B1A95" w:rsidRDefault="005B63A2" w:rsidP="005B63A2">
            <w:pPr>
              <w:pStyle w:val="Tabletext"/>
            </w:pPr>
            <w:r w:rsidRPr="002B1A95">
              <w:t>20.00</w:t>
            </w:r>
          </w:p>
        </w:tc>
      </w:tr>
      <w:tr w:rsidR="005B63A2" w:rsidRPr="002B1A95" w:rsidTr="003104D0">
        <w:tc>
          <w:tcPr>
            <w:tcW w:w="429" w:type="pct"/>
            <w:shd w:val="clear" w:color="auto" w:fill="auto"/>
          </w:tcPr>
          <w:p w:rsidR="005B63A2" w:rsidRPr="002B1A95" w:rsidRDefault="005B63A2" w:rsidP="005B63A2">
            <w:pPr>
              <w:pStyle w:val="Tabletext"/>
            </w:pPr>
            <w:r w:rsidRPr="002B1A95">
              <w:t>2</w:t>
            </w:r>
          </w:p>
        </w:tc>
        <w:tc>
          <w:tcPr>
            <w:tcW w:w="2285" w:type="pct"/>
            <w:shd w:val="clear" w:color="auto" w:fill="auto"/>
          </w:tcPr>
          <w:p w:rsidR="005B63A2" w:rsidRPr="002B1A95" w:rsidRDefault="005B63A2" w:rsidP="005B63A2">
            <w:pPr>
              <w:pStyle w:val="Tabletext"/>
            </w:pPr>
            <w:r w:rsidRPr="002B1A95">
              <w:t>deer</w:t>
            </w:r>
          </w:p>
        </w:tc>
        <w:tc>
          <w:tcPr>
            <w:tcW w:w="2286" w:type="pct"/>
            <w:shd w:val="clear" w:color="auto" w:fill="auto"/>
          </w:tcPr>
          <w:p w:rsidR="005B63A2" w:rsidRPr="002B1A95" w:rsidRDefault="005B63A2" w:rsidP="005B63A2">
            <w:pPr>
              <w:pStyle w:val="Tabletext"/>
            </w:pPr>
            <w:r w:rsidRPr="002B1A95">
              <w:t>20.00</w:t>
            </w:r>
          </w:p>
        </w:tc>
      </w:tr>
      <w:tr w:rsidR="005B63A2" w:rsidRPr="002B1A95" w:rsidTr="003104D0">
        <w:tc>
          <w:tcPr>
            <w:tcW w:w="429" w:type="pct"/>
            <w:shd w:val="clear" w:color="auto" w:fill="auto"/>
          </w:tcPr>
          <w:p w:rsidR="005B63A2" w:rsidRPr="002B1A95" w:rsidRDefault="005B63A2" w:rsidP="005B63A2">
            <w:pPr>
              <w:pStyle w:val="Tabletext"/>
            </w:pPr>
            <w:r w:rsidRPr="002B1A95">
              <w:t>3</w:t>
            </w:r>
          </w:p>
        </w:tc>
        <w:tc>
          <w:tcPr>
            <w:tcW w:w="2285" w:type="pct"/>
            <w:shd w:val="clear" w:color="auto" w:fill="auto"/>
          </w:tcPr>
          <w:p w:rsidR="005B63A2" w:rsidRPr="002B1A95" w:rsidRDefault="005B63A2" w:rsidP="005B63A2">
            <w:pPr>
              <w:pStyle w:val="Tabletext"/>
            </w:pPr>
            <w:r w:rsidRPr="002B1A95">
              <w:t>emus</w:t>
            </w:r>
          </w:p>
        </w:tc>
        <w:tc>
          <w:tcPr>
            <w:tcW w:w="2286" w:type="pct"/>
            <w:shd w:val="clear" w:color="auto" w:fill="auto"/>
          </w:tcPr>
          <w:p w:rsidR="005B63A2" w:rsidRPr="002B1A95" w:rsidRDefault="005B63A2" w:rsidP="005B63A2">
            <w:pPr>
              <w:pStyle w:val="Tabletext"/>
            </w:pPr>
            <w:r w:rsidRPr="002B1A95">
              <w:t>8.00</w:t>
            </w:r>
          </w:p>
        </w:tc>
      </w:tr>
      <w:tr w:rsidR="005B63A2" w:rsidRPr="002B1A95" w:rsidTr="003104D0">
        <w:tc>
          <w:tcPr>
            <w:tcW w:w="429" w:type="pct"/>
            <w:shd w:val="clear" w:color="auto" w:fill="auto"/>
          </w:tcPr>
          <w:p w:rsidR="005B63A2" w:rsidRPr="002B1A95" w:rsidRDefault="005B63A2" w:rsidP="005B63A2">
            <w:pPr>
              <w:pStyle w:val="Tabletext"/>
            </w:pPr>
            <w:r w:rsidRPr="002B1A95">
              <w:t>4</w:t>
            </w:r>
          </w:p>
        </w:tc>
        <w:tc>
          <w:tcPr>
            <w:tcW w:w="2285" w:type="pct"/>
            <w:shd w:val="clear" w:color="auto" w:fill="auto"/>
          </w:tcPr>
          <w:p w:rsidR="005B63A2" w:rsidRPr="002B1A95" w:rsidRDefault="005B63A2" w:rsidP="005B63A2">
            <w:pPr>
              <w:pStyle w:val="Tabletext"/>
            </w:pPr>
            <w:r w:rsidRPr="002B1A95">
              <w:t>goats</w:t>
            </w:r>
          </w:p>
        </w:tc>
        <w:tc>
          <w:tcPr>
            <w:tcW w:w="2286" w:type="pct"/>
            <w:shd w:val="clear" w:color="auto" w:fill="auto"/>
          </w:tcPr>
          <w:p w:rsidR="005B63A2" w:rsidRPr="002B1A95" w:rsidRDefault="005B63A2" w:rsidP="005B63A2">
            <w:pPr>
              <w:pStyle w:val="Tabletext"/>
            </w:pPr>
            <w:r w:rsidRPr="002B1A95">
              <w:t>4.00</w:t>
            </w:r>
          </w:p>
        </w:tc>
      </w:tr>
      <w:tr w:rsidR="005B63A2" w:rsidRPr="002B1A95" w:rsidTr="003104D0">
        <w:tc>
          <w:tcPr>
            <w:tcW w:w="429" w:type="pct"/>
            <w:shd w:val="clear" w:color="auto" w:fill="auto"/>
          </w:tcPr>
          <w:p w:rsidR="005B63A2" w:rsidRPr="002B1A95" w:rsidRDefault="005B63A2" w:rsidP="005B63A2">
            <w:pPr>
              <w:pStyle w:val="Tabletext"/>
            </w:pPr>
            <w:r w:rsidRPr="002B1A95">
              <w:t>5</w:t>
            </w:r>
          </w:p>
        </w:tc>
        <w:tc>
          <w:tcPr>
            <w:tcW w:w="2285" w:type="pct"/>
            <w:shd w:val="clear" w:color="auto" w:fill="auto"/>
          </w:tcPr>
          <w:p w:rsidR="005B63A2" w:rsidRPr="002B1A95" w:rsidRDefault="005B63A2" w:rsidP="005B63A2">
            <w:pPr>
              <w:pStyle w:val="Tabletext"/>
            </w:pPr>
            <w:r w:rsidRPr="002B1A95">
              <w:t>horses</w:t>
            </w:r>
          </w:p>
        </w:tc>
        <w:tc>
          <w:tcPr>
            <w:tcW w:w="2286" w:type="pct"/>
            <w:shd w:val="clear" w:color="auto" w:fill="auto"/>
          </w:tcPr>
          <w:p w:rsidR="005B63A2" w:rsidRPr="002B1A95" w:rsidRDefault="005B63A2" w:rsidP="005B63A2">
            <w:pPr>
              <w:pStyle w:val="Tabletext"/>
            </w:pPr>
            <w:r w:rsidRPr="002B1A95">
              <w:t>20.00</w:t>
            </w:r>
          </w:p>
        </w:tc>
      </w:tr>
      <w:tr w:rsidR="005B63A2" w:rsidRPr="002B1A95" w:rsidTr="003104D0">
        <w:tc>
          <w:tcPr>
            <w:tcW w:w="429" w:type="pct"/>
            <w:shd w:val="clear" w:color="auto" w:fill="auto"/>
          </w:tcPr>
          <w:p w:rsidR="005B63A2" w:rsidRPr="002B1A95" w:rsidRDefault="005B63A2" w:rsidP="005B63A2">
            <w:pPr>
              <w:pStyle w:val="Tabletext"/>
            </w:pPr>
            <w:r w:rsidRPr="002B1A95">
              <w:t>6</w:t>
            </w:r>
          </w:p>
        </w:tc>
        <w:tc>
          <w:tcPr>
            <w:tcW w:w="2285" w:type="pct"/>
            <w:shd w:val="clear" w:color="auto" w:fill="auto"/>
          </w:tcPr>
          <w:p w:rsidR="005B63A2" w:rsidRPr="002B1A95" w:rsidRDefault="005B63A2" w:rsidP="005B63A2">
            <w:pPr>
              <w:pStyle w:val="Tabletext"/>
            </w:pPr>
            <w:r w:rsidRPr="002B1A95">
              <w:t>pigs</w:t>
            </w:r>
          </w:p>
        </w:tc>
        <w:tc>
          <w:tcPr>
            <w:tcW w:w="2286" w:type="pct"/>
            <w:shd w:val="clear" w:color="auto" w:fill="auto"/>
          </w:tcPr>
          <w:p w:rsidR="005B63A2" w:rsidRPr="002B1A95" w:rsidRDefault="005B63A2" w:rsidP="005B63A2">
            <w:pPr>
              <w:pStyle w:val="Tabletext"/>
            </w:pPr>
            <w:r w:rsidRPr="002B1A95">
              <w:t>12.00</w:t>
            </w:r>
          </w:p>
        </w:tc>
      </w:tr>
      <w:tr w:rsidR="005B63A2" w:rsidRPr="002B1A95" w:rsidTr="003104D0">
        <w:tc>
          <w:tcPr>
            <w:tcW w:w="429" w:type="pct"/>
            <w:tcBorders>
              <w:bottom w:val="single" w:sz="2" w:space="0" w:color="auto"/>
            </w:tcBorders>
            <w:shd w:val="clear" w:color="auto" w:fill="auto"/>
          </w:tcPr>
          <w:p w:rsidR="005B63A2" w:rsidRPr="002B1A95" w:rsidRDefault="005B63A2" w:rsidP="005B63A2">
            <w:pPr>
              <w:pStyle w:val="Tabletext"/>
            </w:pPr>
            <w:r w:rsidRPr="002B1A95">
              <w:t>7</w:t>
            </w:r>
          </w:p>
        </w:tc>
        <w:tc>
          <w:tcPr>
            <w:tcW w:w="2285" w:type="pct"/>
            <w:tcBorders>
              <w:bottom w:val="single" w:sz="2" w:space="0" w:color="auto"/>
            </w:tcBorders>
            <w:shd w:val="clear" w:color="auto" w:fill="auto"/>
          </w:tcPr>
          <w:p w:rsidR="005B63A2" w:rsidRPr="002B1A95" w:rsidRDefault="005B63A2" w:rsidP="005B63A2">
            <w:pPr>
              <w:pStyle w:val="Tabletext"/>
            </w:pPr>
            <w:r w:rsidRPr="002B1A95">
              <w:t>poultry</w:t>
            </w:r>
          </w:p>
        </w:tc>
        <w:tc>
          <w:tcPr>
            <w:tcW w:w="2286" w:type="pct"/>
            <w:tcBorders>
              <w:bottom w:val="single" w:sz="2" w:space="0" w:color="auto"/>
            </w:tcBorders>
            <w:shd w:val="clear" w:color="auto" w:fill="auto"/>
          </w:tcPr>
          <w:p w:rsidR="005B63A2" w:rsidRPr="002B1A95" w:rsidRDefault="005B63A2" w:rsidP="005B63A2">
            <w:pPr>
              <w:pStyle w:val="Tabletext"/>
            </w:pPr>
            <w:r w:rsidRPr="002B1A95">
              <w:t>0.35</w:t>
            </w:r>
          </w:p>
        </w:tc>
      </w:tr>
      <w:tr w:rsidR="005B63A2" w:rsidRPr="002B1A95" w:rsidTr="003104D0">
        <w:tc>
          <w:tcPr>
            <w:tcW w:w="429" w:type="pct"/>
            <w:tcBorders>
              <w:top w:val="single" w:sz="2" w:space="0" w:color="auto"/>
              <w:bottom w:val="single" w:sz="12" w:space="0" w:color="auto"/>
            </w:tcBorders>
            <w:shd w:val="clear" w:color="auto" w:fill="auto"/>
          </w:tcPr>
          <w:p w:rsidR="005B63A2" w:rsidRPr="002B1A95" w:rsidRDefault="005B63A2" w:rsidP="005B63A2">
            <w:pPr>
              <w:pStyle w:val="Tabletext"/>
            </w:pPr>
            <w:r w:rsidRPr="002B1A95">
              <w:t>8</w:t>
            </w:r>
          </w:p>
        </w:tc>
        <w:tc>
          <w:tcPr>
            <w:tcW w:w="2285" w:type="pct"/>
            <w:tcBorders>
              <w:top w:val="single" w:sz="2" w:space="0" w:color="auto"/>
              <w:bottom w:val="single" w:sz="12" w:space="0" w:color="auto"/>
            </w:tcBorders>
            <w:shd w:val="clear" w:color="auto" w:fill="auto"/>
          </w:tcPr>
          <w:p w:rsidR="005B63A2" w:rsidRPr="002B1A95" w:rsidRDefault="005B63A2" w:rsidP="005B63A2">
            <w:pPr>
              <w:pStyle w:val="Tabletext"/>
            </w:pPr>
            <w:r w:rsidRPr="002B1A95">
              <w:t>sheep</w:t>
            </w:r>
          </w:p>
        </w:tc>
        <w:tc>
          <w:tcPr>
            <w:tcW w:w="2286" w:type="pct"/>
            <w:tcBorders>
              <w:top w:val="single" w:sz="2" w:space="0" w:color="auto"/>
              <w:bottom w:val="single" w:sz="12" w:space="0" w:color="auto"/>
            </w:tcBorders>
            <w:shd w:val="clear" w:color="auto" w:fill="auto"/>
          </w:tcPr>
          <w:p w:rsidR="005B63A2" w:rsidRPr="002B1A95" w:rsidRDefault="005B63A2" w:rsidP="005B63A2">
            <w:pPr>
              <w:pStyle w:val="Tabletext"/>
            </w:pPr>
            <w:r w:rsidRPr="002B1A95">
              <w:t>4.00</w:t>
            </w:r>
          </w:p>
        </w:tc>
      </w:tr>
    </w:tbl>
    <w:p w:rsidR="005B63A2" w:rsidRPr="002B1A95" w:rsidRDefault="005B63A2" w:rsidP="005B63A2">
      <w:pPr>
        <w:pStyle w:val="ActHead2"/>
        <w:pageBreakBefore/>
      </w:pPr>
      <w:bookmarkStart w:id="42" w:name="_Toc49765222"/>
      <w:r w:rsidRPr="00411C46">
        <w:rPr>
          <w:rStyle w:val="CharPartNo"/>
        </w:rPr>
        <w:lastRenderedPageBreak/>
        <w:t>Part</w:t>
      </w:r>
      <w:r w:rsidR="002B1A95" w:rsidRPr="00411C46">
        <w:rPr>
          <w:rStyle w:val="CharPartNo"/>
        </w:rPr>
        <w:t> </w:t>
      </w:r>
      <w:r w:rsidRPr="00411C46">
        <w:rPr>
          <w:rStyle w:val="CharPartNo"/>
        </w:rPr>
        <w:t>2</w:t>
      </w:r>
      <w:r w:rsidR="00782250" w:rsidRPr="00411C46">
        <w:rPr>
          <w:rStyle w:val="CharPartNo"/>
        </w:rPr>
        <w:noBreakHyphen/>
      </w:r>
      <w:r w:rsidRPr="00411C46">
        <w:rPr>
          <w:rStyle w:val="CharPartNo"/>
        </w:rPr>
        <w:t>40</w:t>
      </w:r>
      <w:r w:rsidRPr="002B1A95">
        <w:t>—</w:t>
      </w:r>
      <w:r w:rsidRPr="00411C46">
        <w:rPr>
          <w:rStyle w:val="CharPartText"/>
        </w:rPr>
        <w:t>Rules affecting employees and other taxpayers receiving PAYG withholding payments</w:t>
      </w:r>
      <w:bookmarkEnd w:id="42"/>
    </w:p>
    <w:p w:rsidR="005B63A2" w:rsidRPr="002B1A95" w:rsidRDefault="005B63A2" w:rsidP="005B63A2">
      <w:pPr>
        <w:pStyle w:val="ActHead3"/>
      </w:pPr>
      <w:bookmarkStart w:id="43" w:name="_Toc49765223"/>
      <w:r w:rsidRPr="00411C46">
        <w:rPr>
          <w:rStyle w:val="CharDivNo"/>
        </w:rPr>
        <w:t>Division</w:t>
      </w:r>
      <w:r w:rsidR="002B1A95" w:rsidRPr="00411C46">
        <w:rPr>
          <w:rStyle w:val="CharDivNo"/>
        </w:rPr>
        <w:t> </w:t>
      </w:r>
      <w:r w:rsidRPr="00411C46">
        <w:rPr>
          <w:rStyle w:val="CharDivNo"/>
        </w:rPr>
        <w:t>83A</w:t>
      </w:r>
      <w:r w:rsidRPr="002B1A95">
        <w:t>—</w:t>
      </w:r>
      <w:r w:rsidRPr="00411C46">
        <w:rPr>
          <w:rStyle w:val="CharDivText"/>
        </w:rPr>
        <w:t>Employee share schemes</w:t>
      </w:r>
      <w:bookmarkEnd w:id="43"/>
    </w:p>
    <w:p w:rsidR="005B63A2" w:rsidRPr="002B1A95" w:rsidRDefault="005B63A2" w:rsidP="005B63A2">
      <w:pPr>
        <w:pStyle w:val="ActHead4"/>
      </w:pPr>
      <w:bookmarkStart w:id="44" w:name="_Toc49765224"/>
      <w:r w:rsidRPr="00411C46">
        <w:rPr>
          <w:rStyle w:val="CharSubdNo"/>
        </w:rPr>
        <w:t>Subdivision</w:t>
      </w:r>
      <w:r w:rsidR="002B1A95" w:rsidRPr="00411C46">
        <w:rPr>
          <w:rStyle w:val="CharSubdNo"/>
        </w:rPr>
        <w:t> </w:t>
      </w:r>
      <w:r w:rsidRPr="00411C46">
        <w:rPr>
          <w:rStyle w:val="CharSubdNo"/>
        </w:rPr>
        <w:t>83A</w:t>
      </w:r>
      <w:r w:rsidR="00782250" w:rsidRPr="00411C46">
        <w:rPr>
          <w:rStyle w:val="CharSubdNo"/>
        </w:rPr>
        <w:noBreakHyphen/>
      </w:r>
      <w:r w:rsidRPr="00411C46">
        <w:rPr>
          <w:rStyle w:val="CharSubdNo"/>
        </w:rPr>
        <w:t>A</w:t>
      </w:r>
      <w:r w:rsidRPr="002B1A95">
        <w:t>—</w:t>
      </w:r>
      <w:r w:rsidRPr="00411C46">
        <w:rPr>
          <w:rStyle w:val="CharSubdText"/>
        </w:rPr>
        <w:t>Objects of Division and key concepts</w:t>
      </w:r>
      <w:bookmarkEnd w:id="44"/>
    </w:p>
    <w:p w:rsidR="005B63A2" w:rsidRPr="002B1A95" w:rsidRDefault="005B63A2" w:rsidP="005B63A2">
      <w:pPr>
        <w:pStyle w:val="ActHead5"/>
      </w:pPr>
      <w:bookmarkStart w:id="45" w:name="_Toc49765225"/>
      <w:r w:rsidRPr="00411C46">
        <w:rPr>
          <w:rStyle w:val="CharSectno"/>
        </w:rPr>
        <w:t>83A</w:t>
      </w:r>
      <w:r w:rsidR="00782250" w:rsidRPr="00411C46">
        <w:rPr>
          <w:rStyle w:val="CharSectno"/>
        </w:rPr>
        <w:noBreakHyphen/>
      </w:r>
      <w:r w:rsidRPr="00411C46">
        <w:rPr>
          <w:rStyle w:val="CharSectno"/>
        </w:rPr>
        <w:t>5.01</w:t>
      </w:r>
      <w:r w:rsidRPr="002B1A95">
        <w:t xml:space="preserve">  Object of Division</w:t>
      </w:r>
      <w:r w:rsidR="002B1A95" w:rsidRPr="002B1A95">
        <w:t> </w:t>
      </w:r>
      <w:r w:rsidRPr="002B1A95">
        <w:t>83A</w:t>
      </w:r>
      <w:bookmarkEnd w:id="45"/>
    </w:p>
    <w:p w:rsidR="005B63A2" w:rsidRPr="002B1A95" w:rsidRDefault="005B63A2" w:rsidP="005B63A2">
      <w:pPr>
        <w:pStyle w:val="subsection"/>
      </w:pPr>
      <w:r w:rsidRPr="002B1A95">
        <w:tab/>
      </w:r>
      <w:r w:rsidRPr="002B1A95">
        <w:rPr>
          <w:vertAlign w:val="superscript"/>
        </w:rPr>
        <w:t xml:space="preserve"> </w:t>
      </w:r>
      <w:r w:rsidRPr="002B1A95">
        <w:tab/>
        <w:t>For the purposes of Division</w:t>
      </w:r>
      <w:r w:rsidR="002B1A95" w:rsidRPr="002B1A95">
        <w:t> </w:t>
      </w:r>
      <w:r w:rsidRPr="002B1A95">
        <w:t>83A of the Act, this Division preserves rules under the former Division</w:t>
      </w:r>
      <w:r w:rsidR="002B1A95" w:rsidRPr="002B1A95">
        <w:t> </w:t>
      </w:r>
      <w:r w:rsidRPr="002B1A95">
        <w:t>13A of Part</w:t>
      </w:r>
      <w:r w:rsidR="002B1A95" w:rsidRPr="002B1A95">
        <w:t> </w:t>
      </w:r>
      <w:r w:rsidRPr="002B1A95">
        <w:t xml:space="preserve">III of the </w:t>
      </w:r>
      <w:r w:rsidRPr="002B1A95">
        <w:rPr>
          <w:i/>
        </w:rPr>
        <w:t xml:space="preserve">Income Tax Assessment Act 1936 </w:t>
      </w:r>
      <w:r w:rsidRPr="002B1A95">
        <w:t>about valuing unlisted rights to acquire shares under an employee share scheme.</w:t>
      </w:r>
    </w:p>
    <w:p w:rsidR="005B63A2" w:rsidRPr="002B1A95" w:rsidRDefault="005B63A2" w:rsidP="005B63A2">
      <w:pPr>
        <w:pStyle w:val="ActHead4"/>
      </w:pPr>
      <w:bookmarkStart w:id="46" w:name="_Toc49765226"/>
      <w:r w:rsidRPr="00411C46">
        <w:rPr>
          <w:rStyle w:val="CharSubdNo"/>
        </w:rPr>
        <w:t>Subdivision</w:t>
      </w:r>
      <w:r w:rsidR="002B1A95" w:rsidRPr="00411C46">
        <w:rPr>
          <w:rStyle w:val="CharSubdNo"/>
        </w:rPr>
        <w:t> </w:t>
      </w:r>
      <w:r w:rsidRPr="00411C46">
        <w:rPr>
          <w:rStyle w:val="CharSubdNo"/>
        </w:rPr>
        <w:t>83A</w:t>
      </w:r>
      <w:r w:rsidR="00782250" w:rsidRPr="00411C46">
        <w:rPr>
          <w:rStyle w:val="CharSubdNo"/>
        </w:rPr>
        <w:noBreakHyphen/>
      </w:r>
      <w:r w:rsidRPr="00411C46">
        <w:rPr>
          <w:rStyle w:val="CharSubdNo"/>
        </w:rPr>
        <w:t>E</w:t>
      </w:r>
      <w:r w:rsidRPr="002B1A95">
        <w:t>—</w:t>
      </w:r>
      <w:r w:rsidRPr="00411C46">
        <w:rPr>
          <w:rStyle w:val="CharSubdText"/>
        </w:rPr>
        <w:t>Miscellaneous</w:t>
      </w:r>
      <w:bookmarkEnd w:id="46"/>
    </w:p>
    <w:p w:rsidR="005B63A2" w:rsidRPr="002B1A95" w:rsidRDefault="005B63A2" w:rsidP="005B63A2">
      <w:pPr>
        <w:pStyle w:val="ActHead5"/>
      </w:pPr>
      <w:bookmarkStart w:id="47" w:name="_Toc49765227"/>
      <w:r w:rsidRPr="00411C46">
        <w:rPr>
          <w:rStyle w:val="CharSectno"/>
        </w:rPr>
        <w:t>83A</w:t>
      </w:r>
      <w:r w:rsidR="00782250" w:rsidRPr="00411C46">
        <w:rPr>
          <w:rStyle w:val="CharSectno"/>
        </w:rPr>
        <w:noBreakHyphen/>
      </w:r>
      <w:r w:rsidRPr="00411C46">
        <w:rPr>
          <w:rStyle w:val="CharSectno"/>
        </w:rPr>
        <w:t>315.01</w:t>
      </w:r>
      <w:r w:rsidRPr="002B1A95">
        <w:t xml:space="preserve">  Value of certain ESS interests</w:t>
      </w:r>
      <w:bookmarkEnd w:id="47"/>
    </w:p>
    <w:p w:rsidR="005B63A2" w:rsidRPr="002B1A95" w:rsidRDefault="005B63A2" w:rsidP="005B63A2">
      <w:pPr>
        <w:pStyle w:val="subsection"/>
      </w:pPr>
      <w:r w:rsidRPr="002B1A95">
        <w:tab/>
        <w:t>(1)</w:t>
      </w:r>
      <w:r w:rsidRPr="002B1A95">
        <w:tab/>
        <w:t>For the purposes of subsection</w:t>
      </w:r>
      <w:r w:rsidR="002B1A95" w:rsidRPr="002B1A95">
        <w:t> </w:t>
      </w:r>
      <w:r w:rsidRPr="002B1A95">
        <w:t>83A</w:t>
      </w:r>
      <w:r w:rsidR="00782250">
        <w:noBreakHyphen/>
      </w:r>
      <w:r w:rsidRPr="002B1A95">
        <w:t>315(1) of the Act, the amount specified, in relation to an ESS interest that is an unlisted right that must be exercised within 15 years after the day when the beneficial interest in the right was acquired is, at the choice of the individual:</w:t>
      </w:r>
    </w:p>
    <w:p w:rsidR="005B63A2" w:rsidRPr="002B1A95" w:rsidRDefault="005B63A2" w:rsidP="005B63A2">
      <w:pPr>
        <w:pStyle w:val="paragraph"/>
      </w:pPr>
      <w:r w:rsidRPr="002B1A95">
        <w:tab/>
        <w:t>(a)</w:t>
      </w:r>
      <w:r w:rsidRPr="002B1A95">
        <w:tab/>
        <w:t>the market value of the right; or</w:t>
      </w:r>
    </w:p>
    <w:p w:rsidR="005B63A2" w:rsidRPr="002B1A95" w:rsidRDefault="005B63A2" w:rsidP="005B63A2">
      <w:pPr>
        <w:pStyle w:val="paragraph"/>
      </w:pPr>
      <w:r w:rsidRPr="002B1A95">
        <w:tab/>
        <w:t>(b)</w:t>
      </w:r>
      <w:r w:rsidRPr="002B1A95">
        <w:tab/>
        <w:t>the value worked out in accordance with sections 83A</w:t>
      </w:r>
      <w:r w:rsidR="00782250">
        <w:noBreakHyphen/>
      </w:r>
      <w:r w:rsidRPr="002B1A95">
        <w:t>315.02 to 83A</w:t>
      </w:r>
      <w:r w:rsidR="00782250">
        <w:noBreakHyphen/>
      </w:r>
      <w:r w:rsidRPr="002B1A95">
        <w:t>315.09.</w:t>
      </w:r>
    </w:p>
    <w:p w:rsidR="005B63A2" w:rsidRPr="002B1A95" w:rsidRDefault="005B63A2" w:rsidP="005B63A2">
      <w:pPr>
        <w:pStyle w:val="subsection"/>
      </w:pPr>
      <w:r w:rsidRPr="002B1A95">
        <w:tab/>
        <w:t>(2)</w:t>
      </w:r>
      <w:r w:rsidRPr="002B1A95">
        <w:tab/>
        <w:t>However, if the deferred taxing point for the ESS interest is:</w:t>
      </w:r>
    </w:p>
    <w:p w:rsidR="005B63A2" w:rsidRPr="002B1A95" w:rsidRDefault="005B63A2" w:rsidP="005B63A2">
      <w:pPr>
        <w:pStyle w:val="paragraph"/>
      </w:pPr>
      <w:r w:rsidRPr="002B1A95">
        <w:tab/>
        <w:t>(a)</w:t>
      </w:r>
      <w:r w:rsidRPr="002B1A95">
        <w:tab/>
        <w:t>the day when the individual disposes of the interest (other than by exercising the right); or</w:t>
      </w:r>
    </w:p>
    <w:p w:rsidR="005B63A2" w:rsidRPr="002B1A95" w:rsidRDefault="005B63A2" w:rsidP="005B63A2">
      <w:pPr>
        <w:pStyle w:val="paragraph"/>
      </w:pPr>
      <w:r w:rsidRPr="002B1A95">
        <w:tab/>
        <w:t>(b)</w:t>
      </w:r>
      <w:r w:rsidRPr="002B1A95">
        <w:tab/>
        <w:t>if the individual exercises the right—the day when the individual disposes of the beneficial interest in the share acquired by exercising the right;</w:t>
      </w:r>
    </w:p>
    <w:p w:rsidR="005B63A2" w:rsidRPr="002B1A95" w:rsidRDefault="005B63A2" w:rsidP="005B63A2">
      <w:pPr>
        <w:pStyle w:val="subsection2"/>
      </w:pPr>
      <w:r w:rsidRPr="002B1A95">
        <w:t>the amount specified in relation to the right is the market value of the right or share acquired by exercising the right.</w:t>
      </w:r>
    </w:p>
    <w:p w:rsidR="005B63A2" w:rsidRPr="002B1A95" w:rsidRDefault="005B63A2" w:rsidP="005B63A2">
      <w:pPr>
        <w:pStyle w:val="ActHead5"/>
      </w:pPr>
      <w:bookmarkStart w:id="48" w:name="_Toc49765228"/>
      <w:r w:rsidRPr="00411C46">
        <w:rPr>
          <w:rStyle w:val="CharSectno"/>
        </w:rPr>
        <w:t>83A</w:t>
      </w:r>
      <w:r w:rsidR="00782250" w:rsidRPr="00411C46">
        <w:rPr>
          <w:rStyle w:val="CharSectno"/>
        </w:rPr>
        <w:noBreakHyphen/>
      </w:r>
      <w:r w:rsidRPr="00411C46">
        <w:rPr>
          <w:rStyle w:val="CharSectno"/>
        </w:rPr>
        <w:t>315.02</w:t>
      </w:r>
      <w:r w:rsidRPr="002B1A95">
        <w:t xml:space="preserve">  Valuing unlisted rights</w:t>
      </w:r>
      <w:bookmarkEnd w:id="48"/>
    </w:p>
    <w:p w:rsidR="005B63A2" w:rsidRPr="002B1A95" w:rsidRDefault="005B63A2" w:rsidP="005B63A2">
      <w:pPr>
        <w:pStyle w:val="subsection"/>
      </w:pPr>
      <w:r w:rsidRPr="002B1A95">
        <w:tab/>
        <w:t>(1)</w:t>
      </w:r>
      <w:r w:rsidRPr="002B1A95">
        <w:tab/>
        <w:t>The value of the unlisted right on a particular day is the greater of:</w:t>
      </w:r>
    </w:p>
    <w:p w:rsidR="005B63A2" w:rsidRPr="002B1A95" w:rsidRDefault="005B63A2" w:rsidP="005B63A2">
      <w:pPr>
        <w:pStyle w:val="paragraph"/>
      </w:pPr>
      <w:r w:rsidRPr="002B1A95">
        <w:tab/>
        <w:t>(a)</w:t>
      </w:r>
      <w:r w:rsidRPr="002B1A95">
        <w:tab/>
        <w:t>the market value, on the particular day, of the share that may be acquired by exercising the right, less the lowest amount that must be paid to exercise the right to acquire the beneficial interest in</w:t>
      </w:r>
      <w:r w:rsidRPr="002B1A95">
        <w:rPr>
          <w:i/>
        </w:rPr>
        <w:t xml:space="preserve"> </w:t>
      </w:r>
      <w:r w:rsidRPr="002B1A95">
        <w:t>the share; and</w:t>
      </w:r>
    </w:p>
    <w:p w:rsidR="005B63A2" w:rsidRPr="002B1A95" w:rsidRDefault="005B63A2" w:rsidP="005B63A2">
      <w:pPr>
        <w:pStyle w:val="paragraph"/>
      </w:pPr>
      <w:r w:rsidRPr="002B1A95">
        <w:tab/>
        <w:t>(b)</w:t>
      </w:r>
      <w:r w:rsidRPr="002B1A95">
        <w:tab/>
        <w:t>subject to sections 83A</w:t>
      </w:r>
      <w:r w:rsidR="00782250">
        <w:noBreakHyphen/>
      </w:r>
      <w:r w:rsidRPr="002B1A95">
        <w:t>315.03 and 83A</w:t>
      </w:r>
      <w:r w:rsidR="00782250">
        <w:noBreakHyphen/>
      </w:r>
      <w:r w:rsidRPr="002B1A95">
        <w:t>315.04, the value, on the particular day, of the right to acquire the beneficial interest in the share worked out in accordance with sections 83A</w:t>
      </w:r>
      <w:r w:rsidR="00782250">
        <w:noBreakHyphen/>
      </w:r>
      <w:r w:rsidRPr="002B1A95">
        <w:t>315.05 to 83A</w:t>
      </w:r>
      <w:r w:rsidR="00782250">
        <w:noBreakHyphen/>
      </w:r>
      <w:r w:rsidRPr="002B1A95">
        <w:t>315.09.</w:t>
      </w:r>
    </w:p>
    <w:p w:rsidR="005B63A2" w:rsidRPr="002B1A95" w:rsidRDefault="005B63A2" w:rsidP="005B63A2">
      <w:pPr>
        <w:pStyle w:val="subsection"/>
      </w:pPr>
      <w:r w:rsidRPr="002B1A95">
        <w:tab/>
        <w:t>(2)</w:t>
      </w:r>
      <w:r w:rsidRPr="002B1A95">
        <w:tab/>
        <w:t>In working out the value of a right for the purposes of this Division, anything that would prevent or restrict conversion of the right to money is to be disregarded.</w:t>
      </w:r>
    </w:p>
    <w:p w:rsidR="005B63A2" w:rsidRPr="002B1A95" w:rsidRDefault="005B63A2" w:rsidP="005B63A2">
      <w:pPr>
        <w:pStyle w:val="ActHead5"/>
      </w:pPr>
      <w:bookmarkStart w:id="49" w:name="_Toc49765229"/>
      <w:r w:rsidRPr="00411C46">
        <w:rPr>
          <w:rStyle w:val="CharSectno"/>
        </w:rPr>
        <w:lastRenderedPageBreak/>
        <w:t>83A</w:t>
      </w:r>
      <w:r w:rsidR="00782250" w:rsidRPr="00411C46">
        <w:rPr>
          <w:rStyle w:val="CharSectno"/>
        </w:rPr>
        <w:noBreakHyphen/>
      </w:r>
      <w:r w:rsidRPr="00411C46">
        <w:rPr>
          <w:rStyle w:val="CharSectno"/>
        </w:rPr>
        <w:t>315.03</w:t>
      </w:r>
      <w:r w:rsidRPr="002B1A95">
        <w:t xml:space="preserve">  Exercise price of right nil or cannot be determined</w:t>
      </w:r>
      <w:bookmarkEnd w:id="49"/>
    </w:p>
    <w:p w:rsidR="005B63A2" w:rsidRPr="002B1A95" w:rsidRDefault="005B63A2" w:rsidP="005B63A2">
      <w:pPr>
        <w:pStyle w:val="subsection"/>
      </w:pPr>
      <w:r w:rsidRPr="002B1A95">
        <w:tab/>
      </w:r>
      <w:r w:rsidRPr="002B1A95">
        <w:tab/>
        <w:t>If the lowest amount that must be paid to exercise the right to acquire the beneficial interest in a share is nil or cannot be determined, the value of the right on a particular day is the same as the market value of the share on that day.</w:t>
      </w:r>
    </w:p>
    <w:p w:rsidR="005B63A2" w:rsidRPr="002B1A95" w:rsidRDefault="005B63A2" w:rsidP="005B63A2">
      <w:pPr>
        <w:pStyle w:val="ActHead5"/>
      </w:pPr>
      <w:bookmarkStart w:id="50" w:name="_Toc49765230"/>
      <w:r w:rsidRPr="00411C46">
        <w:rPr>
          <w:rStyle w:val="CharSectno"/>
        </w:rPr>
        <w:t>83A</w:t>
      </w:r>
      <w:r w:rsidR="00782250" w:rsidRPr="00411C46">
        <w:rPr>
          <w:rStyle w:val="CharSectno"/>
        </w:rPr>
        <w:noBreakHyphen/>
      </w:r>
      <w:r w:rsidRPr="00411C46">
        <w:rPr>
          <w:rStyle w:val="CharSectno"/>
        </w:rPr>
        <w:t>315.04</w:t>
      </w:r>
      <w:r w:rsidRPr="002B1A95">
        <w:t xml:space="preserve">  Value of beneficial interests</w:t>
      </w:r>
      <w:bookmarkEnd w:id="50"/>
    </w:p>
    <w:p w:rsidR="005B63A2" w:rsidRPr="002B1A95" w:rsidRDefault="005B63A2" w:rsidP="005B63A2">
      <w:pPr>
        <w:pStyle w:val="subsection"/>
      </w:pPr>
      <w:r w:rsidRPr="002B1A95">
        <w:tab/>
      </w:r>
      <w:r w:rsidRPr="002B1A95">
        <w:tab/>
        <w:t>To avoid doubt, if an individual acquires the beneficial interest in a share or right, the value that is applicable for the purposes of this Division is the value of the share or right, not the value of the interest in the share or right.</w:t>
      </w:r>
    </w:p>
    <w:p w:rsidR="005B63A2" w:rsidRPr="002B1A95" w:rsidRDefault="005B63A2" w:rsidP="005B63A2">
      <w:pPr>
        <w:pStyle w:val="ActHead5"/>
      </w:pPr>
      <w:bookmarkStart w:id="51" w:name="_Toc49765231"/>
      <w:r w:rsidRPr="00411C46">
        <w:rPr>
          <w:rStyle w:val="CharSectno"/>
        </w:rPr>
        <w:t>83A</w:t>
      </w:r>
      <w:r w:rsidR="00782250" w:rsidRPr="00411C46">
        <w:rPr>
          <w:rStyle w:val="CharSectno"/>
        </w:rPr>
        <w:noBreakHyphen/>
      </w:r>
      <w:r w:rsidRPr="00411C46">
        <w:rPr>
          <w:rStyle w:val="CharSectno"/>
        </w:rPr>
        <w:t>315.05</w:t>
      </w:r>
      <w:r w:rsidRPr="002B1A95">
        <w:t xml:space="preserve">  Working out the value of a right to acquire the beneficial interest in a share</w:t>
      </w:r>
      <w:bookmarkEnd w:id="51"/>
    </w:p>
    <w:p w:rsidR="005B63A2" w:rsidRPr="002B1A95" w:rsidRDefault="005B63A2" w:rsidP="005B63A2">
      <w:pPr>
        <w:pStyle w:val="subsection"/>
      </w:pPr>
      <w:r w:rsidRPr="002B1A95">
        <w:tab/>
      </w:r>
      <w:r w:rsidRPr="002B1A95">
        <w:tab/>
        <w:t>For the purposes of paragraph 83A</w:t>
      </w:r>
      <w:r w:rsidR="00782250">
        <w:noBreakHyphen/>
      </w:r>
      <w:r w:rsidRPr="002B1A95">
        <w:t>315.02(1)(b), work out the value, on the particular day, of the right to acquire the beneficial interest in the share, using the following method statement.</w:t>
      </w:r>
    </w:p>
    <w:p w:rsidR="005B63A2" w:rsidRPr="002B1A95" w:rsidRDefault="005B63A2" w:rsidP="005B63A2">
      <w:pPr>
        <w:pStyle w:val="BoxHeadItalic"/>
      </w:pPr>
      <w:r w:rsidRPr="002B1A95">
        <w:t>Method statement</w:t>
      </w:r>
    </w:p>
    <w:p w:rsidR="005B63A2" w:rsidRPr="002B1A95" w:rsidRDefault="005B63A2" w:rsidP="005B63A2">
      <w:pPr>
        <w:pStyle w:val="BoxStep"/>
      </w:pPr>
      <w:r w:rsidRPr="002B1A95">
        <w:t>Step 1:</w:t>
      </w:r>
      <w:r w:rsidRPr="002B1A95">
        <w:tab/>
        <w:t xml:space="preserve">Apply the following formula. The result is the </w:t>
      </w:r>
      <w:r w:rsidRPr="002B1A95">
        <w:rPr>
          <w:b/>
          <w:i/>
        </w:rPr>
        <w:t>calculation percentage</w:t>
      </w:r>
      <w:r w:rsidRPr="002B1A95">
        <w:t>.</w:t>
      </w:r>
    </w:p>
    <w:p w:rsidR="005B63A2" w:rsidRPr="002B1A95" w:rsidRDefault="005B63A2" w:rsidP="005B63A2">
      <w:pPr>
        <w:pStyle w:val="BoxStep"/>
      </w:pPr>
      <w:r w:rsidRPr="002B1A95">
        <w:tab/>
      </w:r>
      <w:r w:rsidRPr="002B1A95">
        <w:tab/>
      </w:r>
      <w:r w:rsidRPr="002B1A95">
        <w:rPr>
          <w:position w:val="-54"/>
        </w:rPr>
        <w:object w:dxaOrig="4200" w:dyaOrig="1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pt;height:60pt" o:ole="">
            <v:imagedata r:id="rId21" o:title=""/>
          </v:shape>
          <o:OLEObject Type="Embed" ProgID="Equation.DSMT4" ShapeID="_x0000_i1025" DrawAspect="Content" ObjectID="_1660378720" r:id="rId22"/>
        </w:object>
      </w:r>
    </w:p>
    <w:p w:rsidR="005B63A2" w:rsidRPr="002B1A95" w:rsidRDefault="005B63A2" w:rsidP="005B63A2">
      <w:pPr>
        <w:pStyle w:val="BoxStep"/>
      </w:pPr>
      <w:r w:rsidRPr="002B1A95">
        <w:t>Step 2:</w:t>
      </w:r>
      <w:r w:rsidRPr="002B1A95">
        <w:tab/>
        <w:t>If the calculation percentage is less than 50%, the value of the right is nil.</w:t>
      </w:r>
    </w:p>
    <w:p w:rsidR="005B63A2" w:rsidRPr="002B1A95" w:rsidRDefault="005B63A2" w:rsidP="005B63A2">
      <w:pPr>
        <w:pStyle w:val="BoxStep"/>
      </w:pPr>
      <w:r w:rsidRPr="002B1A95">
        <w:tab/>
        <w:t>If the calculation percentage is equal to, or greater than, 50% but less than 110%, the value of the right is the value worked out under section 83A</w:t>
      </w:r>
      <w:r w:rsidR="00782250">
        <w:noBreakHyphen/>
      </w:r>
      <w:r w:rsidRPr="002B1A95">
        <w:t>315.08.</w:t>
      </w:r>
    </w:p>
    <w:p w:rsidR="005B63A2" w:rsidRPr="002B1A95" w:rsidRDefault="005B63A2" w:rsidP="005B63A2">
      <w:pPr>
        <w:pStyle w:val="BoxStep"/>
      </w:pPr>
      <w:r w:rsidRPr="002B1A95">
        <w:tab/>
        <w:t>If the calculation percentage is equal to, or greater than, 110%, the value of the right is the value worked out under section 83A</w:t>
      </w:r>
      <w:r w:rsidR="00782250">
        <w:noBreakHyphen/>
      </w:r>
      <w:r w:rsidRPr="002B1A95">
        <w:t>315.09.</w:t>
      </w:r>
    </w:p>
    <w:p w:rsidR="005B63A2" w:rsidRPr="002B1A95" w:rsidRDefault="005B63A2" w:rsidP="005B63A2">
      <w:pPr>
        <w:pStyle w:val="ActHead5"/>
      </w:pPr>
      <w:bookmarkStart w:id="52" w:name="_Toc49765232"/>
      <w:r w:rsidRPr="00411C46">
        <w:rPr>
          <w:rStyle w:val="CharSectno"/>
        </w:rPr>
        <w:t>83A</w:t>
      </w:r>
      <w:r w:rsidR="00782250" w:rsidRPr="00411C46">
        <w:rPr>
          <w:rStyle w:val="CharSectno"/>
        </w:rPr>
        <w:noBreakHyphen/>
      </w:r>
      <w:r w:rsidRPr="00411C46">
        <w:rPr>
          <w:rStyle w:val="CharSectno"/>
        </w:rPr>
        <w:t>315.08</w:t>
      </w:r>
      <w:r w:rsidRPr="002B1A95">
        <w:t xml:space="preserve">  Calculation percentages of 50% or more, and less than 110%</w:t>
      </w:r>
      <w:bookmarkEnd w:id="52"/>
    </w:p>
    <w:p w:rsidR="005B63A2" w:rsidRPr="002B1A95" w:rsidRDefault="005B63A2" w:rsidP="005B63A2">
      <w:pPr>
        <w:pStyle w:val="subsection"/>
      </w:pPr>
      <w:r w:rsidRPr="002B1A95">
        <w:tab/>
        <w:t>(1)</w:t>
      </w:r>
      <w:r w:rsidRPr="002B1A95">
        <w:tab/>
        <w:t xml:space="preserve">To work out the value of the right under this section, select the percentage (the </w:t>
      </w:r>
      <w:r w:rsidRPr="002B1A95">
        <w:rPr>
          <w:b/>
          <w:i/>
        </w:rPr>
        <w:t>calculation percentage</w:t>
      </w:r>
      <w:r w:rsidRPr="002B1A95">
        <w:t>) from an item in the following tables that corresponds to:</w:t>
      </w:r>
    </w:p>
    <w:p w:rsidR="005B63A2" w:rsidRPr="002B1A95" w:rsidRDefault="005B63A2" w:rsidP="005B63A2">
      <w:pPr>
        <w:pStyle w:val="paragraph"/>
      </w:pPr>
      <w:r w:rsidRPr="002B1A95">
        <w:tab/>
        <w:t>(a)</w:t>
      </w:r>
      <w:r w:rsidRPr="002B1A95">
        <w:tab/>
        <w:t>the period, in months, from the particular day (referred to in section 83A</w:t>
      </w:r>
      <w:r w:rsidR="00782250">
        <w:noBreakHyphen/>
      </w:r>
      <w:r w:rsidRPr="002B1A95">
        <w:t xml:space="preserve">315.02) until the last day on which the right may be exercised (the </w:t>
      </w:r>
      <w:r w:rsidRPr="002B1A95">
        <w:rPr>
          <w:b/>
          <w:i/>
        </w:rPr>
        <w:t>exercise period</w:t>
      </w:r>
      <w:r w:rsidRPr="002B1A95">
        <w:t>); and</w:t>
      </w:r>
    </w:p>
    <w:p w:rsidR="005B63A2" w:rsidRPr="002B1A95" w:rsidRDefault="005B63A2" w:rsidP="005B63A2">
      <w:pPr>
        <w:pStyle w:val="paragraph"/>
      </w:pPr>
      <w:r w:rsidRPr="002B1A95">
        <w:tab/>
        <w:t>(b)</w:t>
      </w:r>
      <w:r w:rsidRPr="002B1A95">
        <w:tab/>
        <w:t>the calculation percentage;</w:t>
      </w:r>
    </w:p>
    <w:p w:rsidR="005B63A2" w:rsidRPr="002B1A95" w:rsidRDefault="005B63A2" w:rsidP="005B63A2">
      <w:pPr>
        <w:pStyle w:val="subsection2"/>
      </w:pPr>
      <w:r w:rsidRPr="002B1A95">
        <w:t>and then multiply the amount, or lowest amount, that must be paid to exercise the right by the calculation percentage. The result is the</w:t>
      </w:r>
      <w:r w:rsidRPr="002B1A95">
        <w:rPr>
          <w:b/>
          <w:i/>
        </w:rPr>
        <w:t xml:space="preserve"> </w:t>
      </w:r>
      <w:r w:rsidRPr="002B1A95">
        <w:t>value of the right.</w:t>
      </w:r>
    </w:p>
    <w:p w:rsidR="005B63A2" w:rsidRPr="002B1A95" w:rsidRDefault="005B63A2" w:rsidP="005B63A2">
      <w:pPr>
        <w:pStyle w:val="notetext"/>
      </w:pPr>
      <w:r w:rsidRPr="002B1A95">
        <w:lastRenderedPageBreak/>
        <w:t>Note:</w:t>
      </w:r>
      <w:r w:rsidRPr="002B1A95">
        <w:tab/>
        <w:t>The following assumptions were used to work out the calculation percentages:</w:t>
      </w:r>
    </w:p>
    <w:p w:rsidR="005B63A2" w:rsidRPr="002B1A95" w:rsidRDefault="005B63A2" w:rsidP="005B63A2">
      <w:pPr>
        <w:pStyle w:val="notepara"/>
      </w:pPr>
      <w:r w:rsidRPr="002B1A95">
        <w:t>(a)</w:t>
      </w:r>
      <w:r w:rsidRPr="002B1A95">
        <w:tab/>
        <w:t>a risk</w:t>
      </w:r>
      <w:r w:rsidR="00782250">
        <w:noBreakHyphen/>
      </w:r>
      <w:r w:rsidRPr="002B1A95">
        <w:t>free interest rate of 4%;</w:t>
      </w:r>
    </w:p>
    <w:p w:rsidR="005B63A2" w:rsidRPr="002B1A95" w:rsidRDefault="005B63A2" w:rsidP="005B63A2">
      <w:pPr>
        <w:pStyle w:val="notepara"/>
      </w:pPr>
      <w:r w:rsidRPr="002B1A95">
        <w:t>(b)</w:t>
      </w:r>
      <w:r w:rsidRPr="002B1A95">
        <w:tab/>
        <w:t>a dividend yield of 4%;</w:t>
      </w:r>
    </w:p>
    <w:p w:rsidR="005B63A2" w:rsidRPr="002B1A95" w:rsidRDefault="005B63A2" w:rsidP="005B63A2">
      <w:pPr>
        <w:pStyle w:val="notepara"/>
      </w:pPr>
      <w:r w:rsidRPr="002B1A95">
        <w:t>(c)</w:t>
      </w:r>
      <w:r w:rsidRPr="002B1A95">
        <w:tab/>
        <w:t>volatility of 12%.</w:t>
      </w:r>
    </w:p>
    <w:p w:rsidR="005B63A2" w:rsidRPr="002B1A95" w:rsidRDefault="005B63A2" w:rsidP="005B63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23"/>
        <w:gridCol w:w="1163"/>
        <w:gridCol w:w="1018"/>
        <w:gridCol w:w="1018"/>
        <w:gridCol w:w="1018"/>
        <w:gridCol w:w="1018"/>
        <w:gridCol w:w="873"/>
        <w:gridCol w:w="872"/>
        <w:gridCol w:w="826"/>
      </w:tblGrid>
      <w:tr w:rsidR="005B63A2" w:rsidRPr="002B1A95" w:rsidTr="003104D0">
        <w:trPr>
          <w:tblHeader/>
        </w:trPr>
        <w:tc>
          <w:tcPr>
            <w:tcW w:w="5000" w:type="pct"/>
            <w:gridSpan w:val="9"/>
            <w:tcBorders>
              <w:top w:val="single" w:sz="12" w:space="0" w:color="auto"/>
              <w:bottom w:val="single" w:sz="6" w:space="0" w:color="auto"/>
            </w:tcBorders>
            <w:shd w:val="clear" w:color="auto" w:fill="auto"/>
          </w:tcPr>
          <w:p w:rsidR="005B63A2" w:rsidRPr="002B1A95" w:rsidRDefault="005B63A2" w:rsidP="005B63A2">
            <w:pPr>
              <w:pStyle w:val="TableHeading"/>
            </w:pPr>
            <w:r w:rsidRPr="002B1A95">
              <w:t>Calculation percentages 50 to 92.5</w:t>
            </w:r>
          </w:p>
        </w:tc>
      </w:tr>
      <w:tr w:rsidR="005B63A2" w:rsidRPr="002B1A95" w:rsidTr="003104D0">
        <w:trPr>
          <w:tblHeader/>
        </w:trPr>
        <w:tc>
          <w:tcPr>
            <w:tcW w:w="423" w:type="pct"/>
            <w:vMerge w:val="restart"/>
            <w:tcBorders>
              <w:top w:val="single" w:sz="6" w:space="0" w:color="auto"/>
            </w:tcBorders>
            <w:shd w:val="clear" w:color="auto" w:fill="auto"/>
          </w:tcPr>
          <w:p w:rsidR="005B63A2" w:rsidRPr="002B1A95" w:rsidRDefault="005B63A2" w:rsidP="005B63A2">
            <w:pPr>
              <w:pStyle w:val="TableHeading"/>
            </w:pPr>
            <w:r w:rsidRPr="002B1A95">
              <w:t>Item</w:t>
            </w:r>
          </w:p>
        </w:tc>
        <w:tc>
          <w:tcPr>
            <w:tcW w:w="682" w:type="pct"/>
            <w:vMerge w:val="restart"/>
            <w:tcBorders>
              <w:top w:val="single" w:sz="6" w:space="0" w:color="auto"/>
            </w:tcBorders>
            <w:shd w:val="clear" w:color="auto" w:fill="auto"/>
          </w:tcPr>
          <w:p w:rsidR="005B63A2" w:rsidRPr="002B1A95" w:rsidRDefault="005B63A2" w:rsidP="005B63A2">
            <w:pPr>
              <w:pStyle w:val="TableHeading"/>
            </w:pPr>
            <w:r w:rsidRPr="002B1A95">
              <w:t>Exercise period (months)</w:t>
            </w:r>
          </w:p>
        </w:tc>
        <w:tc>
          <w:tcPr>
            <w:tcW w:w="3895" w:type="pct"/>
            <w:gridSpan w:val="7"/>
            <w:tcBorders>
              <w:top w:val="single" w:sz="6" w:space="0" w:color="auto"/>
              <w:bottom w:val="nil"/>
            </w:tcBorders>
            <w:shd w:val="clear" w:color="auto" w:fill="auto"/>
          </w:tcPr>
          <w:p w:rsidR="005B63A2" w:rsidRPr="002B1A95" w:rsidRDefault="005B63A2" w:rsidP="005B63A2">
            <w:pPr>
              <w:pStyle w:val="TableHeading"/>
            </w:pPr>
            <w:r w:rsidRPr="002B1A95">
              <w:t>Calculation percentages</w:t>
            </w:r>
          </w:p>
        </w:tc>
      </w:tr>
      <w:tr w:rsidR="005B63A2" w:rsidRPr="002B1A95" w:rsidTr="003104D0">
        <w:trPr>
          <w:tblHeader/>
        </w:trPr>
        <w:tc>
          <w:tcPr>
            <w:tcW w:w="423" w:type="pct"/>
            <w:vMerge/>
            <w:tcBorders>
              <w:bottom w:val="single" w:sz="12" w:space="0" w:color="auto"/>
            </w:tcBorders>
            <w:shd w:val="clear" w:color="auto" w:fill="auto"/>
          </w:tcPr>
          <w:p w:rsidR="005B63A2" w:rsidRPr="002B1A95" w:rsidRDefault="005B63A2" w:rsidP="005B63A2">
            <w:pPr>
              <w:pStyle w:val="TableHeading"/>
            </w:pPr>
          </w:p>
        </w:tc>
        <w:tc>
          <w:tcPr>
            <w:tcW w:w="682" w:type="pct"/>
            <w:vMerge/>
            <w:tcBorders>
              <w:bottom w:val="single" w:sz="12" w:space="0" w:color="auto"/>
            </w:tcBorders>
            <w:shd w:val="clear" w:color="auto" w:fill="auto"/>
          </w:tcPr>
          <w:p w:rsidR="005B63A2" w:rsidRPr="002B1A95" w:rsidRDefault="005B63A2" w:rsidP="005B63A2">
            <w:pPr>
              <w:pStyle w:val="TableHeading"/>
            </w:pPr>
          </w:p>
        </w:tc>
        <w:tc>
          <w:tcPr>
            <w:tcW w:w="597" w:type="pct"/>
            <w:tcBorders>
              <w:top w:val="nil"/>
              <w:bottom w:val="single" w:sz="12" w:space="0" w:color="auto"/>
            </w:tcBorders>
            <w:shd w:val="clear" w:color="auto" w:fill="auto"/>
          </w:tcPr>
          <w:p w:rsidR="005B63A2" w:rsidRPr="002B1A95" w:rsidRDefault="005B63A2" w:rsidP="005B63A2">
            <w:pPr>
              <w:pStyle w:val="TableHeading"/>
            </w:pPr>
            <w:r w:rsidRPr="002B1A95">
              <w:t>50 to 60</w:t>
            </w:r>
          </w:p>
        </w:tc>
        <w:tc>
          <w:tcPr>
            <w:tcW w:w="597" w:type="pct"/>
            <w:tcBorders>
              <w:top w:val="nil"/>
              <w:bottom w:val="single" w:sz="12" w:space="0" w:color="auto"/>
            </w:tcBorders>
            <w:shd w:val="clear" w:color="auto" w:fill="auto"/>
          </w:tcPr>
          <w:p w:rsidR="005B63A2" w:rsidRPr="002B1A95" w:rsidRDefault="005B63A2" w:rsidP="005B63A2">
            <w:pPr>
              <w:pStyle w:val="TableHeading"/>
            </w:pPr>
            <w:r w:rsidRPr="002B1A95">
              <w:t>60 to 70</w:t>
            </w:r>
          </w:p>
        </w:tc>
        <w:tc>
          <w:tcPr>
            <w:tcW w:w="597" w:type="pct"/>
            <w:tcBorders>
              <w:top w:val="nil"/>
              <w:bottom w:val="single" w:sz="12" w:space="0" w:color="auto"/>
            </w:tcBorders>
            <w:shd w:val="clear" w:color="auto" w:fill="auto"/>
          </w:tcPr>
          <w:p w:rsidR="005B63A2" w:rsidRPr="002B1A95" w:rsidRDefault="005B63A2" w:rsidP="005B63A2">
            <w:pPr>
              <w:pStyle w:val="TableHeading"/>
            </w:pPr>
            <w:r w:rsidRPr="002B1A95">
              <w:t>70 to 75</w:t>
            </w:r>
          </w:p>
        </w:tc>
        <w:tc>
          <w:tcPr>
            <w:tcW w:w="597" w:type="pct"/>
            <w:tcBorders>
              <w:top w:val="nil"/>
              <w:bottom w:val="single" w:sz="12" w:space="0" w:color="auto"/>
            </w:tcBorders>
            <w:shd w:val="clear" w:color="auto" w:fill="auto"/>
          </w:tcPr>
          <w:p w:rsidR="005B63A2" w:rsidRPr="002B1A95" w:rsidRDefault="005B63A2" w:rsidP="005B63A2">
            <w:pPr>
              <w:pStyle w:val="TableHeading"/>
            </w:pPr>
            <w:r w:rsidRPr="002B1A95">
              <w:t>75 to 80</w:t>
            </w:r>
          </w:p>
        </w:tc>
        <w:tc>
          <w:tcPr>
            <w:tcW w:w="512" w:type="pct"/>
            <w:tcBorders>
              <w:top w:val="nil"/>
              <w:bottom w:val="single" w:sz="12" w:space="0" w:color="auto"/>
            </w:tcBorders>
            <w:shd w:val="clear" w:color="auto" w:fill="auto"/>
          </w:tcPr>
          <w:p w:rsidR="005B63A2" w:rsidRPr="002B1A95" w:rsidRDefault="005B63A2" w:rsidP="005B63A2">
            <w:pPr>
              <w:pStyle w:val="TableHeading"/>
            </w:pPr>
            <w:r w:rsidRPr="002B1A95">
              <w:t>80 to 85</w:t>
            </w:r>
          </w:p>
        </w:tc>
        <w:tc>
          <w:tcPr>
            <w:tcW w:w="511" w:type="pct"/>
            <w:tcBorders>
              <w:top w:val="nil"/>
              <w:bottom w:val="single" w:sz="12" w:space="0" w:color="auto"/>
            </w:tcBorders>
            <w:shd w:val="clear" w:color="auto" w:fill="auto"/>
          </w:tcPr>
          <w:p w:rsidR="005B63A2" w:rsidRPr="002B1A95" w:rsidRDefault="005B63A2" w:rsidP="005B63A2">
            <w:pPr>
              <w:pStyle w:val="TableHeading"/>
            </w:pPr>
            <w:r w:rsidRPr="002B1A95">
              <w:t>85 to 90</w:t>
            </w:r>
          </w:p>
        </w:tc>
        <w:tc>
          <w:tcPr>
            <w:tcW w:w="485" w:type="pct"/>
            <w:tcBorders>
              <w:top w:val="nil"/>
              <w:bottom w:val="single" w:sz="12" w:space="0" w:color="auto"/>
            </w:tcBorders>
            <w:shd w:val="clear" w:color="auto" w:fill="auto"/>
          </w:tcPr>
          <w:p w:rsidR="005B63A2" w:rsidRPr="002B1A95" w:rsidRDefault="005B63A2" w:rsidP="005B63A2">
            <w:pPr>
              <w:pStyle w:val="TableHeading"/>
            </w:pPr>
            <w:r w:rsidRPr="002B1A95">
              <w:t>90 to 92.5</w:t>
            </w:r>
          </w:p>
        </w:tc>
      </w:tr>
      <w:tr w:rsidR="005B63A2" w:rsidRPr="002B1A95" w:rsidTr="003104D0">
        <w:tc>
          <w:tcPr>
            <w:tcW w:w="423" w:type="pct"/>
            <w:tcBorders>
              <w:top w:val="single" w:sz="12" w:space="0" w:color="auto"/>
            </w:tcBorders>
            <w:shd w:val="clear" w:color="auto" w:fill="auto"/>
          </w:tcPr>
          <w:p w:rsidR="005B63A2" w:rsidRPr="002B1A95" w:rsidRDefault="005B63A2" w:rsidP="005B63A2">
            <w:pPr>
              <w:pStyle w:val="Tabletext"/>
            </w:pPr>
            <w:r w:rsidRPr="002B1A95">
              <w:t>1</w:t>
            </w:r>
          </w:p>
        </w:tc>
        <w:tc>
          <w:tcPr>
            <w:tcW w:w="682" w:type="pct"/>
            <w:tcBorders>
              <w:top w:val="single" w:sz="12" w:space="0" w:color="auto"/>
            </w:tcBorders>
            <w:shd w:val="clear" w:color="auto" w:fill="auto"/>
          </w:tcPr>
          <w:p w:rsidR="005B63A2" w:rsidRPr="002B1A95" w:rsidRDefault="005B63A2" w:rsidP="005B63A2">
            <w:pPr>
              <w:pStyle w:val="Tabletext"/>
            </w:pPr>
            <w:r w:rsidRPr="002B1A95">
              <w:t>168 to 180</w:t>
            </w:r>
          </w:p>
        </w:tc>
        <w:tc>
          <w:tcPr>
            <w:tcW w:w="597" w:type="pct"/>
            <w:tcBorders>
              <w:top w:val="single" w:sz="12" w:space="0" w:color="auto"/>
            </w:tcBorders>
            <w:shd w:val="clear" w:color="auto" w:fill="auto"/>
          </w:tcPr>
          <w:p w:rsidR="005B63A2" w:rsidRPr="002B1A95" w:rsidRDefault="005B63A2" w:rsidP="005B63A2">
            <w:pPr>
              <w:pStyle w:val="Tabletext"/>
            </w:pPr>
            <w:r w:rsidRPr="002B1A95">
              <w:t>0.5%</w:t>
            </w:r>
          </w:p>
        </w:tc>
        <w:tc>
          <w:tcPr>
            <w:tcW w:w="597" w:type="pct"/>
            <w:tcBorders>
              <w:top w:val="single" w:sz="12" w:space="0" w:color="auto"/>
            </w:tcBorders>
            <w:shd w:val="clear" w:color="auto" w:fill="auto"/>
          </w:tcPr>
          <w:p w:rsidR="005B63A2" w:rsidRPr="002B1A95" w:rsidRDefault="005B63A2" w:rsidP="005B63A2">
            <w:pPr>
              <w:pStyle w:val="Tabletext"/>
            </w:pPr>
            <w:r w:rsidRPr="002B1A95">
              <w:t>1.3%</w:t>
            </w:r>
          </w:p>
        </w:tc>
        <w:tc>
          <w:tcPr>
            <w:tcW w:w="597" w:type="pct"/>
            <w:tcBorders>
              <w:top w:val="single" w:sz="12" w:space="0" w:color="auto"/>
            </w:tcBorders>
            <w:shd w:val="clear" w:color="auto" w:fill="auto"/>
          </w:tcPr>
          <w:p w:rsidR="005B63A2" w:rsidRPr="002B1A95" w:rsidRDefault="005B63A2" w:rsidP="005B63A2">
            <w:pPr>
              <w:pStyle w:val="Tabletext"/>
            </w:pPr>
            <w:r w:rsidRPr="002B1A95">
              <w:t>2.6%</w:t>
            </w:r>
          </w:p>
        </w:tc>
        <w:tc>
          <w:tcPr>
            <w:tcW w:w="597" w:type="pct"/>
            <w:tcBorders>
              <w:top w:val="single" w:sz="12" w:space="0" w:color="auto"/>
            </w:tcBorders>
            <w:shd w:val="clear" w:color="auto" w:fill="auto"/>
          </w:tcPr>
          <w:p w:rsidR="005B63A2" w:rsidRPr="002B1A95" w:rsidRDefault="005B63A2" w:rsidP="005B63A2">
            <w:pPr>
              <w:pStyle w:val="Tabletext"/>
            </w:pPr>
            <w:r w:rsidRPr="002B1A95">
              <w:t>3.5%</w:t>
            </w:r>
          </w:p>
        </w:tc>
        <w:tc>
          <w:tcPr>
            <w:tcW w:w="512" w:type="pct"/>
            <w:tcBorders>
              <w:top w:val="single" w:sz="12" w:space="0" w:color="auto"/>
            </w:tcBorders>
            <w:shd w:val="clear" w:color="auto" w:fill="auto"/>
          </w:tcPr>
          <w:p w:rsidR="005B63A2" w:rsidRPr="002B1A95" w:rsidRDefault="005B63A2" w:rsidP="005B63A2">
            <w:pPr>
              <w:pStyle w:val="Tabletext"/>
            </w:pPr>
            <w:r w:rsidRPr="002B1A95">
              <w:t>4.6%</w:t>
            </w:r>
          </w:p>
        </w:tc>
        <w:tc>
          <w:tcPr>
            <w:tcW w:w="511" w:type="pct"/>
            <w:tcBorders>
              <w:top w:val="single" w:sz="12" w:space="0" w:color="auto"/>
            </w:tcBorders>
            <w:shd w:val="clear" w:color="auto" w:fill="auto"/>
          </w:tcPr>
          <w:p w:rsidR="005B63A2" w:rsidRPr="002B1A95" w:rsidRDefault="005B63A2" w:rsidP="005B63A2">
            <w:pPr>
              <w:pStyle w:val="Tabletext"/>
            </w:pPr>
            <w:r w:rsidRPr="002B1A95">
              <w:t>5.8%</w:t>
            </w:r>
          </w:p>
        </w:tc>
        <w:tc>
          <w:tcPr>
            <w:tcW w:w="485" w:type="pct"/>
            <w:tcBorders>
              <w:top w:val="single" w:sz="12" w:space="0" w:color="auto"/>
            </w:tcBorders>
            <w:shd w:val="clear" w:color="auto" w:fill="auto"/>
          </w:tcPr>
          <w:p w:rsidR="005B63A2" w:rsidRPr="002B1A95" w:rsidRDefault="005B63A2" w:rsidP="005B63A2">
            <w:pPr>
              <w:pStyle w:val="Tabletext"/>
            </w:pPr>
            <w:r w:rsidRPr="002B1A95">
              <w:t>7.1%</w:t>
            </w:r>
          </w:p>
        </w:tc>
      </w:tr>
      <w:tr w:rsidR="005B63A2" w:rsidRPr="002B1A95" w:rsidTr="003104D0">
        <w:tc>
          <w:tcPr>
            <w:tcW w:w="423" w:type="pct"/>
            <w:shd w:val="clear" w:color="auto" w:fill="auto"/>
          </w:tcPr>
          <w:p w:rsidR="005B63A2" w:rsidRPr="002B1A95" w:rsidRDefault="005B63A2" w:rsidP="005B63A2">
            <w:pPr>
              <w:pStyle w:val="Tabletext"/>
            </w:pPr>
            <w:r w:rsidRPr="002B1A95">
              <w:t>2</w:t>
            </w:r>
          </w:p>
        </w:tc>
        <w:tc>
          <w:tcPr>
            <w:tcW w:w="682" w:type="pct"/>
            <w:shd w:val="clear" w:color="auto" w:fill="auto"/>
          </w:tcPr>
          <w:p w:rsidR="005B63A2" w:rsidRPr="002B1A95" w:rsidRDefault="005B63A2" w:rsidP="005B63A2">
            <w:pPr>
              <w:pStyle w:val="Tabletext"/>
            </w:pPr>
            <w:r w:rsidRPr="002B1A95">
              <w:t>156 to 168</w:t>
            </w:r>
          </w:p>
        </w:tc>
        <w:tc>
          <w:tcPr>
            <w:tcW w:w="597" w:type="pct"/>
            <w:shd w:val="clear" w:color="auto" w:fill="auto"/>
          </w:tcPr>
          <w:p w:rsidR="005B63A2" w:rsidRPr="002B1A95" w:rsidRDefault="005B63A2" w:rsidP="005B63A2">
            <w:pPr>
              <w:pStyle w:val="Tabletext"/>
            </w:pPr>
            <w:r w:rsidRPr="002B1A95">
              <w:t>0.4%</w:t>
            </w:r>
          </w:p>
        </w:tc>
        <w:tc>
          <w:tcPr>
            <w:tcW w:w="597" w:type="pct"/>
            <w:shd w:val="clear" w:color="auto" w:fill="auto"/>
          </w:tcPr>
          <w:p w:rsidR="005B63A2" w:rsidRPr="002B1A95" w:rsidRDefault="005B63A2" w:rsidP="005B63A2">
            <w:pPr>
              <w:pStyle w:val="Tabletext"/>
            </w:pPr>
            <w:r w:rsidRPr="002B1A95">
              <w:t>1.2%</w:t>
            </w:r>
          </w:p>
        </w:tc>
        <w:tc>
          <w:tcPr>
            <w:tcW w:w="597" w:type="pct"/>
            <w:shd w:val="clear" w:color="auto" w:fill="auto"/>
          </w:tcPr>
          <w:p w:rsidR="005B63A2" w:rsidRPr="002B1A95" w:rsidRDefault="005B63A2" w:rsidP="005B63A2">
            <w:pPr>
              <w:pStyle w:val="Tabletext"/>
            </w:pPr>
            <w:r w:rsidRPr="002B1A95">
              <w:t>2.5%</w:t>
            </w:r>
          </w:p>
        </w:tc>
        <w:tc>
          <w:tcPr>
            <w:tcW w:w="597" w:type="pct"/>
            <w:shd w:val="clear" w:color="auto" w:fill="auto"/>
          </w:tcPr>
          <w:p w:rsidR="005B63A2" w:rsidRPr="002B1A95" w:rsidRDefault="005B63A2" w:rsidP="005B63A2">
            <w:pPr>
              <w:pStyle w:val="Tabletext"/>
            </w:pPr>
            <w:r w:rsidRPr="002B1A95">
              <w:t>3.4%</w:t>
            </w:r>
          </w:p>
        </w:tc>
        <w:tc>
          <w:tcPr>
            <w:tcW w:w="512" w:type="pct"/>
            <w:shd w:val="clear" w:color="auto" w:fill="auto"/>
          </w:tcPr>
          <w:p w:rsidR="005B63A2" w:rsidRPr="002B1A95" w:rsidRDefault="005B63A2" w:rsidP="005B63A2">
            <w:pPr>
              <w:pStyle w:val="Tabletext"/>
            </w:pPr>
            <w:r w:rsidRPr="002B1A95">
              <w:t>4.4%</w:t>
            </w:r>
          </w:p>
        </w:tc>
        <w:tc>
          <w:tcPr>
            <w:tcW w:w="511" w:type="pct"/>
            <w:shd w:val="clear" w:color="auto" w:fill="auto"/>
          </w:tcPr>
          <w:p w:rsidR="005B63A2" w:rsidRPr="002B1A95" w:rsidRDefault="005B63A2" w:rsidP="005B63A2">
            <w:pPr>
              <w:pStyle w:val="Tabletext"/>
            </w:pPr>
            <w:r w:rsidRPr="002B1A95">
              <w:t>5.7%</w:t>
            </w:r>
          </w:p>
        </w:tc>
        <w:tc>
          <w:tcPr>
            <w:tcW w:w="485" w:type="pct"/>
            <w:shd w:val="clear" w:color="auto" w:fill="auto"/>
          </w:tcPr>
          <w:p w:rsidR="005B63A2" w:rsidRPr="002B1A95" w:rsidRDefault="005B63A2" w:rsidP="005B63A2">
            <w:pPr>
              <w:pStyle w:val="Tabletext"/>
            </w:pPr>
            <w:r w:rsidRPr="002B1A95">
              <w:t>7.1%</w:t>
            </w:r>
          </w:p>
        </w:tc>
      </w:tr>
      <w:tr w:rsidR="005B63A2" w:rsidRPr="002B1A95" w:rsidTr="003104D0">
        <w:tc>
          <w:tcPr>
            <w:tcW w:w="423" w:type="pct"/>
            <w:shd w:val="clear" w:color="auto" w:fill="auto"/>
          </w:tcPr>
          <w:p w:rsidR="005B63A2" w:rsidRPr="002B1A95" w:rsidRDefault="005B63A2" w:rsidP="005B63A2">
            <w:pPr>
              <w:pStyle w:val="Tabletext"/>
            </w:pPr>
            <w:r w:rsidRPr="002B1A95">
              <w:t>3</w:t>
            </w:r>
          </w:p>
        </w:tc>
        <w:tc>
          <w:tcPr>
            <w:tcW w:w="682" w:type="pct"/>
            <w:shd w:val="clear" w:color="auto" w:fill="auto"/>
          </w:tcPr>
          <w:p w:rsidR="005B63A2" w:rsidRPr="002B1A95" w:rsidRDefault="005B63A2" w:rsidP="005B63A2">
            <w:pPr>
              <w:pStyle w:val="Tabletext"/>
            </w:pPr>
            <w:r w:rsidRPr="002B1A95">
              <w:t>144 to 156</w:t>
            </w:r>
          </w:p>
        </w:tc>
        <w:tc>
          <w:tcPr>
            <w:tcW w:w="597" w:type="pct"/>
            <w:shd w:val="clear" w:color="auto" w:fill="auto"/>
          </w:tcPr>
          <w:p w:rsidR="005B63A2" w:rsidRPr="002B1A95" w:rsidRDefault="005B63A2" w:rsidP="005B63A2">
            <w:pPr>
              <w:pStyle w:val="Tabletext"/>
            </w:pPr>
            <w:r w:rsidRPr="002B1A95">
              <w:t>0.4%</w:t>
            </w:r>
          </w:p>
        </w:tc>
        <w:tc>
          <w:tcPr>
            <w:tcW w:w="597" w:type="pct"/>
            <w:shd w:val="clear" w:color="auto" w:fill="auto"/>
          </w:tcPr>
          <w:p w:rsidR="005B63A2" w:rsidRPr="002B1A95" w:rsidRDefault="005B63A2" w:rsidP="005B63A2">
            <w:pPr>
              <w:pStyle w:val="Tabletext"/>
            </w:pPr>
            <w:r w:rsidRPr="002B1A95">
              <w:t>1.0%</w:t>
            </w:r>
          </w:p>
        </w:tc>
        <w:tc>
          <w:tcPr>
            <w:tcW w:w="597" w:type="pct"/>
            <w:shd w:val="clear" w:color="auto" w:fill="auto"/>
          </w:tcPr>
          <w:p w:rsidR="005B63A2" w:rsidRPr="002B1A95" w:rsidRDefault="005B63A2" w:rsidP="005B63A2">
            <w:pPr>
              <w:pStyle w:val="Tabletext"/>
            </w:pPr>
            <w:r w:rsidRPr="002B1A95">
              <w:t>2.3%</w:t>
            </w:r>
          </w:p>
        </w:tc>
        <w:tc>
          <w:tcPr>
            <w:tcW w:w="597" w:type="pct"/>
            <w:shd w:val="clear" w:color="auto" w:fill="auto"/>
          </w:tcPr>
          <w:p w:rsidR="005B63A2" w:rsidRPr="002B1A95" w:rsidRDefault="005B63A2" w:rsidP="005B63A2">
            <w:pPr>
              <w:pStyle w:val="Tabletext"/>
            </w:pPr>
            <w:r w:rsidRPr="002B1A95">
              <w:t>3.2%</w:t>
            </w:r>
          </w:p>
        </w:tc>
        <w:tc>
          <w:tcPr>
            <w:tcW w:w="512" w:type="pct"/>
            <w:shd w:val="clear" w:color="auto" w:fill="auto"/>
          </w:tcPr>
          <w:p w:rsidR="005B63A2" w:rsidRPr="002B1A95" w:rsidRDefault="005B63A2" w:rsidP="005B63A2">
            <w:pPr>
              <w:pStyle w:val="Tabletext"/>
            </w:pPr>
            <w:r w:rsidRPr="002B1A95">
              <w:t>4.3%</w:t>
            </w:r>
          </w:p>
        </w:tc>
        <w:tc>
          <w:tcPr>
            <w:tcW w:w="511" w:type="pct"/>
            <w:shd w:val="clear" w:color="auto" w:fill="auto"/>
          </w:tcPr>
          <w:p w:rsidR="005B63A2" w:rsidRPr="002B1A95" w:rsidRDefault="005B63A2" w:rsidP="005B63A2">
            <w:pPr>
              <w:pStyle w:val="Tabletext"/>
            </w:pPr>
            <w:r w:rsidRPr="002B1A95">
              <w:t>5.5%</w:t>
            </w:r>
          </w:p>
        </w:tc>
        <w:tc>
          <w:tcPr>
            <w:tcW w:w="485" w:type="pct"/>
            <w:shd w:val="clear" w:color="auto" w:fill="auto"/>
          </w:tcPr>
          <w:p w:rsidR="005B63A2" w:rsidRPr="002B1A95" w:rsidRDefault="005B63A2" w:rsidP="005B63A2">
            <w:pPr>
              <w:pStyle w:val="Tabletext"/>
            </w:pPr>
            <w:r w:rsidRPr="002B1A95">
              <w:t>7.0%</w:t>
            </w:r>
          </w:p>
        </w:tc>
      </w:tr>
      <w:tr w:rsidR="005B63A2" w:rsidRPr="002B1A95" w:rsidTr="003104D0">
        <w:tc>
          <w:tcPr>
            <w:tcW w:w="423" w:type="pct"/>
            <w:shd w:val="clear" w:color="auto" w:fill="auto"/>
          </w:tcPr>
          <w:p w:rsidR="005B63A2" w:rsidRPr="002B1A95" w:rsidRDefault="005B63A2" w:rsidP="005B63A2">
            <w:pPr>
              <w:pStyle w:val="Tabletext"/>
            </w:pPr>
            <w:r w:rsidRPr="002B1A95">
              <w:t>4</w:t>
            </w:r>
          </w:p>
        </w:tc>
        <w:tc>
          <w:tcPr>
            <w:tcW w:w="682" w:type="pct"/>
            <w:shd w:val="clear" w:color="auto" w:fill="auto"/>
          </w:tcPr>
          <w:p w:rsidR="005B63A2" w:rsidRPr="002B1A95" w:rsidRDefault="005B63A2" w:rsidP="005B63A2">
            <w:pPr>
              <w:pStyle w:val="Tabletext"/>
            </w:pPr>
            <w:r w:rsidRPr="002B1A95">
              <w:t>132 to 144</w:t>
            </w:r>
          </w:p>
        </w:tc>
        <w:tc>
          <w:tcPr>
            <w:tcW w:w="597" w:type="pct"/>
            <w:shd w:val="clear" w:color="auto" w:fill="auto"/>
          </w:tcPr>
          <w:p w:rsidR="005B63A2" w:rsidRPr="002B1A95" w:rsidRDefault="005B63A2" w:rsidP="005B63A2">
            <w:pPr>
              <w:pStyle w:val="Tabletext"/>
            </w:pPr>
            <w:r w:rsidRPr="002B1A95">
              <w:t>0.3%</w:t>
            </w:r>
          </w:p>
        </w:tc>
        <w:tc>
          <w:tcPr>
            <w:tcW w:w="597" w:type="pct"/>
            <w:shd w:val="clear" w:color="auto" w:fill="auto"/>
          </w:tcPr>
          <w:p w:rsidR="005B63A2" w:rsidRPr="002B1A95" w:rsidRDefault="005B63A2" w:rsidP="005B63A2">
            <w:pPr>
              <w:pStyle w:val="Tabletext"/>
            </w:pPr>
            <w:r w:rsidRPr="002B1A95">
              <w:t>0.9%</w:t>
            </w:r>
          </w:p>
        </w:tc>
        <w:tc>
          <w:tcPr>
            <w:tcW w:w="597" w:type="pct"/>
            <w:shd w:val="clear" w:color="auto" w:fill="auto"/>
          </w:tcPr>
          <w:p w:rsidR="005B63A2" w:rsidRPr="002B1A95" w:rsidRDefault="005B63A2" w:rsidP="005B63A2">
            <w:pPr>
              <w:pStyle w:val="Tabletext"/>
            </w:pPr>
            <w:r w:rsidRPr="002B1A95">
              <w:t>2.2%</w:t>
            </w:r>
          </w:p>
        </w:tc>
        <w:tc>
          <w:tcPr>
            <w:tcW w:w="597" w:type="pct"/>
            <w:shd w:val="clear" w:color="auto" w:fill="auto"/>
          </w:tcPr>
          <w:p w:rsidR="005B63A2" w:rsidRPr="002B1A95" w:rsidRDefault="005B63A2" w:rsidP="005B63A2">
            <w:pPr>
              <w:pStyle w:val="Tabletext"/>
            </w:pPr>
            <w:r w:rsidRPr="002B1A95">
              <w:t>3.0%</w:t>
            </w:r>
          </w:p>
        </w:tc>
        <w:tc>
          <w:tcPr>
            <w:tcW w:w="512" w:type="pct"/>
            <w:shd w:val="clear" w:color="auto" w:fill="auto"/>
          </w:tcPr>
          <w:p w:rsidR="005B63A2" w:rsidRPr="002B1A95" w:rsidRDefault="005B63A2" w:rsidP="005B63A2">
            <w:pPr>
              <w:pStyle w:val="Tabletext"/>
            </w:pPr>
            <w:r w:rsidRPr="002B1A95">
              <w:t>4.1%</w:t>
            </w:r>
          </w:p>
        </w:tc>
        <w:tc>
          <w:tcPr>
            <w:tcW w:w="511" w:type="pct"/>
            <w:shd w:val="clear" w:color="auto" w:fill="auto"/>
          </w:tcPr>
          <w:p w:rsidR="005B63A2" w:rsidRPr="002B1A95" w:rsidRDefault="005B63A2" w:rsidP="005B63A2">
            <w:pPr>
              <w:pStyle w:val="Tabletext"/>
            </w:pPr>
            <w:r w:rsidRPr="002B1A95">
              <w:t>5.4%</w:t>
            </w:r>
          </w:p>
        </w:tc>
        <w:tc>
          <w:tcPr>
            <w:tcW w:w="485" w:type="pct"/>
            <w:shd w:val="clear" w:color="auto" w:fill="auto"/>
          </w:tcPr>
          <w:p w:rsidR="005B63A2" w:rsidRPr="002B1A95" w:rsidRDefault="005B63A2" w:rsidP="005B63A2">
            <w:pPr>
              <w:pStyle w:val="Tabletext"/>
            </w:pPr>
            <w:r w:rsidRPr="002B1A95">
              <w:t>6.8%</w:t>
            </w:r>
          </w:p>
        </w:tc>
      </w:tr>
      <w:tr w:rsidR="005B63A2" w:rsidRPr="002B1A95" w:rsidTr="003104D0">
        <w:tc>
          <w:tcPr>
            <w:tcW w:w="423" w:type="pct"/>
            <w:shd w:val="clear" w:color="auto" w:fill="auto"/>
          </w:tcPr>
          <w:p w:rsidR="005B63A2" w:rsidRPr="002B1A95" w:rsidRDefault="005B63A2" w:rsidP="005B63A2">
            <w:pPr>
              <w:pStyle w:val="Tabletext"/>
            </w:pPr>
            <w:r w:rsidRPr="002B1A95">
              <w:t>5</w:t>
            </w:r>
          </w:p>
        </w:tc>
        <w:tc>
          <w:tcPr>
            <w:tcW w:w="682" w:type="pct"/>
            <w:shd w:val="clear" w:color="auto" w:fill="auto"/>
          </w:tcPr>
          <w:p w:rsidR="005B63A2" w:rsidRPr="002B1A95" w:rsidRDefault="005B63A2" w:rsidP="005B63A2">
            <w:pPr>
              <w:pStyle w:val="Tabletext"/>
            </w:pPr>
            <w:r w:rsidRPr="002B1A95">
              <w:t>120 to 132</w:t>
            </w:r>
          </w:p>
        </w:tc>
        <w:tc>
          <w:tcPr>
            <w:tcW w:w="597" w:type="pct"/>
            <w:shd w:val="clear" w:color="auto" w:fill="auto"/>
          </w:tcPr>
          <w:p w:rsidR="005B63A2" w:rsidRPr="002B1A95" w:rsidRDefault="005B63A2" w:rsidP="005B63A2">
            <w:pPr>
              <w:pStyle w:val="Tabletext"/>
            </w:pPr>
            <w:r w:rsidRPr="002B1A95">
              <w:t>0.2%</w:t>
            </w:r>
          </w:p>
        </w:tc>
        <w:tc>
          <w:tcPr>
            <w:tcW w:w="597" w:type="pct"/>
            <w:shd w:val="clear" w:color="auto" w:fill="auto"/>
          </w:tcPr>
          <w:p w:rsidR="005B63A2" w:rsidRPr="002B1A95" w:rsidRDefault="005B63A2" w:rsidP="005B63A2">
            <w:pPr>
              <w:pStyle w:val="Tabletext"/>
            </w:pPr>
            <w:r w:rsidRPr="002B1A95">
              <w:t>0.8%</w:t>
            </w:r>
          </w:p>
        </w:tc>
        <w:tc>
          <w:tcPr>
            <w:tcW w:w="597" w:type="pct"/>
            <w:shd w:val="clear" w:color="auto" w:fill="auto"/>
          </w:tcPr>
          <w:p w:rsidR="005B63A2" w:rsidRPr="002B1A95" w:rsidRDefault="005B63A2" w:rsidP="005B63A2">
            <w:pPr>
              <w:pStyle w:val="Tabletext"/>
            </w:pPr>
            <w:r w:rsidRPr="002B1A95">
              <w:t>2.0%</w:t>
            </w:r>
          </w:p>
        </w:tc>
        <w:tc>
          <w:tcPr>
            <w:tcW w:w="597" w:type="pct"/>
            <w:shd w:val="clear" w:color="auto" w:fill="auto"/>
          </w:tcPr>
          <w:p w:rsidR="005B63A2" w:rsidRPr="002B1A95" w:rsidRDefault="005B63A2" w:rsidP="005B63A2">
            <w:pPr>
              <w:pStyle w:val="Tabletext"/>
            </w:pPr>
            <w:r w:rsidRPr="002B1A95">
              <w:t>2.8%</w:t>
            </w:r>
          </w:p>
        </w:tc>
        <w:tc>
          <w:tcPr>
            <w:tcW w:w="512" w:type="pct"/>
            <w:shd w:val="clear" w:color="auto" w:fill="auto"/>
          </w:tcPr>
          <w:p w:rsidR="005B63A2" w:rsidRPr="002B1A95" w:rsidRDefault="005B63A2" w:rsidP="005B63A2">
            <w:pPr>
              <w:pStyle w:val="Tabletext"/>
            </w:pPr>
            <w:r w:rsidRPr="002B1A95">
              <w:t>3.9%</w:t>
            </w:r>
          </w:p>
        </w:tc>
        <w:tc>
          <w:tcPr>
            <w:tcW w:w="511" w:type="pct"/>
            <w:shd w:val="clear" w:color="auto" w:fill="auto"/>
          </w:tcPr>
          <w:p w:rsidR="005B63A2" w:rsidRPr="002B1A95" w:rsidRDefault="005B63A2" w:rsidP="005B63A2">
            <w:pPr>
              <w:pStyle w:val="Tabletext"/>
            </w:pPr>
            <w:r w:rsidRPr="002B1A95">
              <w:t>5.2%</w:t>
            </w:r>
          </w:p>
        </w:tc>
        <w:tc>
          <w:tcPr>
            <w:tcW w:w="485" w:type="pct"/>
            <w:shd w:val="clear" w:color="auto" w:fill="auto"/>
          </w:tcPr>
          <w:p w:rsidR="005B63A2" w:rsidRPr="002B1A95" w:rsidRDefault="005B63A2" w:rsidP="005B63A2">
            <w:pPr>
              <w:pStyle w:val="Tabletext"/>
            </w:pPr>
            <w:r w:rsidRPr="002B1A95">
              <w:t>6.6%</w:t>
            </w:r>
          </w:p>
        </w:tc>
      </w:tr>
      <w:tr w:rsidR="005B63A2" w:rsidRPr="002B1A95" w:rsidTr="003104D0">
        <w:tc>
          <w:tcPr>
            <w:tcW w:w="423" w:type="pct"/>
            <w:shd w:val="clear" w:color="auto" w:fill="auto"/>
          </w:tcPr>
          <w:p w:rsidR="005B63A2" w:rsidRPr="002B1A95" w:rsidRDefault="005B63A2" w:rsidP="005B63A2">
            <w:pPr>
              <w:pStyle w:val="Tabletext"/>
            </w:pPr>
            <w:r w:rsidRPr="002B1A95">
              <w:t>6</w:t>
            </w:r>
          </w:p>
        </w:tc>
        <w:tc>
          <w:tcPr>
            <w:tcW w:w="682" w:type="pct"/>
            <w:shd w:val="clear" w:color="auto" w:fill="auto"/>
          </w:tcPr>
          <w:p w:rsidR="005B63A2" w:rsidRPr="002B1A95" w:rsidRDefault="005B63A2" w:rsidP="005B63A2">
            <w:pPr>
              <w:pStyle w:val="Tabletext"/>
            </w:pPr>
            <w:r w:rsidRPr="002B1A95">
              <w:t>108 to 120</w:t>
            </w:r>
          </w:p>
        </w:tc>
        <w:tc>
          <w:tcPr>
            <w:tcW w:w="597" w:type="pct"/>
            <w:shd w:val="clear" w:color="auto" w:fill="auto"/>
          </w:tcPr>
          <w:p w:rsidR="005B63A2" w:rsidRPr="002B1A95" w:rsidRDefault="005B63A2" w:rsidP="005B63A2">
            <w:pPr>
              <w:pStyle w:val="Tabletext"/>
            </w:pPr>
            <w:r w:rsidRPr="002B1A95">
              <w:t>0.2%</w:t>
            </w:r>
          </w:p>
        </w:tc>
        <w:tc>
          <w:tcPr>
            <w:tcW w:w="597" w:type="pct"/>
            <w:shd w:val="clear" w:color="auto" w:fill="auto"/>
          </w:tcPr>
          <w:p w:rsidR="005B63A2" w:rsidRPr="002B1A95" w:rsidRDefault="005B63A2" w:rsidP="005B63A2">
            <w:pPr>
              <w:pStyle w:val="Tabletext"/>
            </w:pPr>
            <w:r w:rsidRPr="002B1A95">
              <w:t>0.7%</w:t>
            </w:r>
          </w:p>
        </w:tc>
        <w:tc>
          <w:tcPr>
            <w:tcW w:w="597" w:type="pct"/>
            <w:shd w:val="clear" w:color="auto" w:fill="auto"/>
          </w:tcPr>
          <w:p w:rsidR="005B63A2" w:rsidRPr="002B1A95" w:rsidRDefault="005B63A2" w:rsidP="005B63A2">
            <w:pPr>
              <w:pStyle w:val="Tabletext"/>
            </w:pPr>
            <w:r w:rsidRPr="002B1A95">
              <w:t>1.8%</w:t>
            </w:r>
          </w:p>
        </w:tc>
        <w:tc>
          <w:tcPr>
            <w:tcW w:w="597" w:type="pct"/>
            <w:shd w:val="clear" w:color="auto" w:fill="auto"/>
          </w:tcPr>
          <w:p w:rsidR="005B63A2" w:rsidRPr="002B1A95" w:rsidRDefault="005B63A2" w:rsidP="005B63A2">
            <w:pPr>
              <w:pStyle w:val="Tabletext"/>
            </w:pPr>
            <w:r w:rsidRPr="002B1A95">
              <w:t>2.6%</w:t>
            </w:r>
          </w:p>
        </w:tc>
        <w:tc>
          <w:tcPr>
            <w:tcW w:w="512" w:type="pct"/>
            <w:shd w:val="clear" w:color="auto" w:fill="auto"/>
          </w:tcPr>
          <w:p w:rsidR="005B63A2" w:rsidRPr="002B1A95" w:rsidRDefault="005B63A2" w:rsidP="005B63A2">
            <w:pPr>
              <w:pStyle w:val="Tabletext"/>
            </w:pPr>
            <w:r w:rsidRPr="002B1A95">
              <w:t>3.7%</w:t>
            </w:r>
          </w:p>
        </w:tc>
        <w:tc>
          <w:tcPr>
            <w:tcW w:w="511" w:type="pct"/>
            <w:shd w:val="clear" w:color="auto" w:fill="auto"/>
          </w:tcPr>
          <w:p w:rsidR="005B63A2" w:rsidRPr="002B1A95" w:rsidRDefault="005B63A2" w:rsidP="005B63A2">
            <w:pPr>
              <w:pStyle w:val="Tabletext"/>
            </w:pPr>
            <w:r w:rsidRPr="002B1A95">
              <w:t>4.9%</w:t>
            </w:r>
          </w:p>
        </w:tc>
        <w:tc>
          <w:tcPr>
            <w:tcW w:w="485" w:type="pct"/>
            <w:shd w:val="clear" w:color="auto" w:fill="auto"/>
          </w:tcPr>
          <w:p w:rsidR="005B63A2" w:rsidRPr="002B1A95" w:rsidRDefault="005B63A2" w:rsidP="005B63A2">
            <w:pPr>
              <w:pStyle w:val="Tabletext"/>
            </w:pPr>
            <w:r w:rsidRPr="002B1A95">
              <w:t>6.4%</w:t>
            </w:r>
          </w:p>
        </w:tc>
      </w:tr>
      <w:tr w:rsidR="005B63A2" w:rsidRPr="002B1A95" w:rsidTr="003104D0">
        <w:tc>
          <w:tcPr>
            <w:tcW w:w="423" w:type="pct"/>
            <w:shd w:val="clear" w:color="auto" w:fill="auto"/>
          </w:tcPr>
          <w:p w:rsidR="005B63A2" w:rsidRPr="002B1A95" w:rsidRDefault="005B63A2" w:rsidP="005B63A2">
            <w:pPr>
              <w:pStyle w:val="Tabletext"/>
            </w:pPr>
            <w:r w:rsidRPr="002B1A95">
              <w:t>7</w:t>
            </w:r>
          </w:p>
        </w:tc>
        <w:tc>
          <w:tcPr>
            <w:tcW w:w="682" w:type="pct"/>
            <w:shd w:val="clear" w:color="auto" w:fill="auto"/>
          </w:tcPr>
          <w:p w:rsidR="005B63A2" w:rsidRPr="002B1A95" w:rsidRDefault="005B63A2" w:rsidP="005B63A2">
            <w:pPr>
              <w:pStyle w:val="Tabletext"/>
            </w:pPr>
            <w:r w:rsidRPr="002B1A95">
              <w:t>96 to 108</w:t>
            </w:r>
          </w:p>
        </w:tc>
        <w:tc>
          <w:tcPr>
            <w:tcW w:w="597" w:type="pct"/>
            <w:shd w:val="clear" w:color="auto" w:fill="auto"/>
          </w:tcPr>
          <w:p w:rsidR="005B63A2" w:rsidRPr="002B1A95" w:rsidRDefault="005B63A2" w:rsidP="005B63A2">
            <w:pPr>
              <w:pStyle w:val="Tabletext"/>
            </w:pPr>
            <w:r w:rsidRPr="002B1A95">
              <w:t>0.1%</w:t>
            </w:r>
          </w:p>
        </w:tc>
        <w:tc>
          <w:tcPr>
            <w:tcW w:w="597" w:type="pct"/>
            <w:shd w:val="clear" w:color="auto" w:fill="auto"/>
          </w:tcPr>
          <w:p w:rsidR="005B63A2" w:rsidRPr="002B1A95" w:rsidRDefault="005B63A2" w:rsidP="005B63A2">
            <w:pPr>
              <w:pStyle w:val="Tabletext"/>
            </w:pPr>
            <w:r w:rsidRPr="002B1A95">
              <w:t>0.6%</w:t>
            </w:r>
          </w:p>
        </w:tc>
        <w:tc>
          <w:tcPr>
            <w:tcW w:w="597" w:type="pct"/>
            <w:shd w:val="clear" w:color="auto" w:fill="auto"/>
          </w:tcPr>
          <w:p w:rsidR="005B63A2" w:rsidRPr="002B1A95" w:rsidRDefault="005B63A2" w:rsidP="005B63A2">
            <w:pPr>
              <w:pStyle w:val="Tabletext"/>
            </w:pPr>
            <w:r w:rsidRPr="002B1A95">
              <w:t>1.6%</w:t>
            </w:r>
          </w:p>
        </w:tc>
        <w:tc>
          <w:tcPr>
            <w:tcW w:w="597" w:type="pct"/>
            <w:shd w:val="clear" w:color="auto" w:fill="auto"/>
          </w:tcPr>
          <w:p w:rsidR="005B63A2" w:rsidRPr="002B1A95" w:rsidRDefault="005B63A2" w:rsidP="005B63A2">
            <w:pPr>
              <w:pStyle w:val="Tabletext"/>
            </w:pPr>
            <w:r w:rsidRPr="002B1A95">
              <w:t>2.4%</w:t>
            </w:r>
          </w:p>
        </w:tc>
        <w:tc>
          <w:tcPr>
            <w:tcW w:w="512" w:type="pct"/>
            <w:shd w:val="clear" w:color="auto" w:fill="auto"/>
          </w:tcPr>
          <w:p w:rsidR="005B63A2" w:rsidRPr="002B1A95" w:rsidRDefault="005B63A2" w:rsidP="005B63A2">
            <w:pPr>
              <w:pStyle w:val="Tabletext"/>
            </w:pPr>
            <w:r w:rsidRPr="002B1A95">
              <w:t>3.4%</w:t>
            </w:r>
          </w:p>
        </w:tc>
        <w:tc>
          <w:tcPr>
            <w:tcW w:w="511" w:type="pct"/>
            <w:shd w:val="clear" w:color="auto" w:fill="auto"/>
          </w:tcPr>
          <w:p w:rsidR="005B63A2" w:rsidRPr="002B1A95" w:rsidRDefault="005B63A2" w:rsidP="005B63A2">
            <w:pPr>
              <w:pStyle w:val="Tabletext"/>
            </w:pPr>
            <w:r w:rsidRPr="002B1A95">
              <w:t>4.6%</w:t>
            </w:r>
          </w:p>
        </w:tc>
        <w:tc>
          <w:tcPr>
            <w:tcW w:w="485" w:type="pct"/>
            <w:shd w:val="clear" w:color="auto" w:fill="auto"/>
          </w:tcPr>
          <w:p w:rsidR="005B63A2" w:rsidRPr="002B1A95" w:rsidRDefault="005B63A2" w:rsidP="005B63A2">
            <w:pPr>
              <w:pStyle w:val="Tabletext"/>
            </w:pPr>
            <w:r w:rsidRPr="002B1A95">
              <w:t>6.1%</w:t>
            </w:r>
          </w:p>
        </w:tc>
      </w:tr>
      <w:tr w:rsidR="005B63A2" w:rsidRPr="002B1A95" w:rsidTr="003104D0">
        <w:tc>
          <w:tcPr>
            <w:tcW w:w="423" w:type="pct"/>
            <w:shd w:val="clear" w:color="auto" w:fill="auto"/>
          </w:tcPr>
          <w:p w:rsidR="005B63A2" w:rsidRPr="002B1A95" w:rsidRDefault="005B63A2" w:rsidP="005B63A2">
            <w:pPr>
              <w:pStyle w:val="Tabletext"/>
            </w:pPr>
            <w:r w:rsidRPr="002B1A95">
              <w:t>8</w:t>
            </w:r>
          </w:p>
        </w:tc>
        <w:tc>
          <w:tcPr>
            <w:tcW w:w="682" w:type="pct"/>
            <w:shd w:val="clear" w:color="auto" w:fill="auto"/>
          </w:tcPr>
          <w:p w:rsidR="005B63A2" w:rsidRPr="002B1A95" w:rsidRDefault="005B63A2" w:rsidP="005B63A2">
            <w:pPr>
              <w:pStyle w:val="Tabletext"/>
            </w:pPr>
            <w:r w:rsidRPr="002B1A95">
              <w:t>84 to 96</w:t>
            </w:r>
          </w:p>
        </w:tc>
        <w:tc>
          <w:tcPr>
            <w:tcW w:w="597" w:type="pct"/>
            <w:shd w:val="clear" w:color="auto" w:fill="auto"/>
          </w:tcPr>
          <w:p w:rsidR="005B63A2" w:rsidRPr="002B1A95" w:rsidRDefault="005B63A2" w:rsidP="005B63A2">
            <w:pPr>
              <w:pStyle w:val="Tabletext"/>
            </w:pPr>
            <w:r w:rsidRPr="002B1A95">
              <w:t>0.1%</w:t>
            </w:r>
          </w:p>
        </w:tc>
        <w:tc>
          <w:tcPr>
            <w:tcW w:w="597" w:type="pct"/>
            <w:shd w:val="clear" w:color="auto" w:fill="auto"/>
          </w:tcPr>
          <w:p w:rsidR="005B63A2" w:rsidRPr="002B1A95" w:rsidRDefault="005B63A2" w:rsidP="005B63A2">
            <w:pPr>
              <w:pStyle w:val="Tabletext"/>
            </w:pPr>
            <w:r w:rsidRPr="002B1A95">
              <w:t>0.4%</w:t>
            </w:r>
          </w:p>
        </w:tc>
        <w:tc>
          <w:tcPr>
            <w:tcW w:w="597" w:type="pct"/>
            <w:shd w:val="clear" w:color="auto" w:fill="auto"/>
          </w:tcPr>
          <w:p w:rsidR="005B63A2" w:rsidRPr="002B1A95" w:rsidRDefault="005B63A2" w:rsidP="005B63A2">
            <w:pPr>
              <w:pStyle w:val="Tabletext"/>
            </w:pPr>
            <w:r w:rsidRPr="002B1A95">
              <w:t>1.3%</w:t>
            </w:r>
          </w:p>
        </w:tc>
        <w:tc>
          <w:tcPr>
            <w:tcW w:w="597" w:type="pct"/>
            <w:shd w:val="clear" w:color="auto" w:fill="auto"/>
          </w:tcPr>
          <w:p w:rsidR="005B63A2" w:rsidRPr="002B1A95" w:rsidRDefault="005B63A2" w:rsidP="005B63A2">
            <w:pPr>
              <w:pStyle w:val="Tabletext"/>
            </w:pPr>
            <w:r w:rsidRPr="002B1A95">
              <w:t>2.1%</w:t>
            </w:r>
          </w:p>
        </w:tc>
        <w:tc>
          <w:tcPr>
            <w:tcW w:w="512" w:type="pct"/>
            <w:shd w:val="clear" w:color="auto" w:fill="auto"/>
          </w:tcPr>
          <w:p w:rsidR="005B63A2" w:rsidRPr="002B1A95" w:rsidRDefault="005B63A2" w:rsidP="005B63A2">
            <w:pPr>
              <w:pStyle w:val="Tabletext"/>
            </w:pPr>
            <w:r w:rsidRPr="002B1A95">
              <w:t>3.0%</w:t>
            </w:r>
          </w:p>
        </w:tc>
        <w:tc>
          <w:tcPr>
            <w:tcW w:w="511" w:type="pct"/>
            <w:shd w:val="clear" w:color="auto" w:fill="auto"/>
          </w:tcPr>
          <w:p w:rsidR="005B63A2" w:rsidRPr="002B1A95" w:rsidRDefault="005B63A2" w:rsidP="005B63A2">
            <w:pPr>
              <w:pStyle w:val="Tabletext"/>
            </w:pPr>
            <w:r w:rsidRPr="002B1A95">
              <w:t>4.3%</w:t>
            </w:r>
          </w:p>
        </w:tc>
        <w:tc>
          <w:tcPr>
            <w:tcW w:w="485" w:type="pct"/>
            <w:shd w:val="clear" w:color="auto" w:fill="auto"/>
          </w:tcPr>
          <w:p w:rsidR="005B63A2" w:rsidRPr="002B1A95" w:rsidRDefault="005B63A2" w:rsidP="005B63A2">
            <w:pPr>
              <w:pStyle w:val="Tabletext"/>
            </w:pPr>
            <w:r w:rsidRPr="002B1A95">
              <w:t>5.8%</w:t>
            </w:r>
          </w:p>
        </w:tc>
      </w:tr>
      <w:tr w:rsidR="005B63A2" w:rsidRPr="002B1A95" w:rsidTr="003104D0">
        <w:tc>
          <w:tcPr>
            <w:tcW w:w="423" w:type="pct"/>
            <w:shd w:val="clear" w:color="auto" w:fill="auto"/>
          </w:tcPr>
          <w:p w:rsidR="005B63A2" w:rsidRPr="002B1A95" w:rsidRDefault="005B63A2" w:rsidP="005B63A2">
            <w:pPr>
              <w:pStyle w:val="Tabletext"/>
            </w:pPr>
            <w:r w:rsidRPr="002B1A95">
              <w:t>9</w:t>
            </w:r>
          </w:p>
        </w:tc>
        <w:tc>
          <w:tcPr>
            <w:tcW w:w="682" w:type="pct"/>
            <w:shd w:val="clear" w:color="auto" w:fill="auto"/>
          </w:tcPr>
          <w:p w:rsidR="005B63A2" w:rsidRPr="002B1A95" w:rsidRDefault="005B63A2" w:rsidP="005B63A2">
            <w:pPr>
              <w:pStyle w:val="Tabletext"/>
            </w:pPr>
            <w:r w:rsidRPr="002B1A95">
              <w:t>72 to 84</w:t>
            </w:r>
          </w:p>
        </w:tc>
        <w:tc>
          <w:tcPr>
            <w:tcW w:w="597" w:type="pct"/>
            <w:shd w:val="clear" w:color="auto" w:fill="auto"/>
          </w:tcPr>
          <w:p w:rsidR="005B63A2" w:rsidRPr="002B1A95" w:rsidRDefault="005B63A2" w:rsidP="005B63A2">
            <w:pPr>
              <w:pStyle w:val="Tabletext"/>
            </w:pPr>
            <w:r w:rsidRPr="002B1A95">
              <w:t>0.1%</w:t>
            </w:r>
          </w:p>
        </w:tc>
        <w:tc>
          <w:tcPr>
            <w:tcW w:w="597" w:type="pct"/>
            <w:shd w:val="clear" w:color="auto" w:fill="auto"/>
          </w:tcPr>
          <w:p w:rsidR="005B63A2" w:rsidRPr="002B1A95" w:rsidRDefault="005B63A2" w:rsidP="005B63A2">
            <w:pPr>
              <w:pStyle w:val="Tabletext"/>
            </w:pPr>
            <w:r w:rsidRPr="002B1A95">
              <w:t>0.3%</w:t>
            </w:r>
          </w:p>
        </w:tc>
        <w:tc>
          <w:tcPr>
            <w:tcW w:w="597" w:type="pct"/>
            <w:shd w:val="clear" w:color="auto" w:fill="auto"/>
          </w:tcPr>
          <w:p w:rsidR="005B63A2" w:rsidRPr="002B1A95" w:rsidRDefault="005B63A2" w:rsidP="005B63A2">
            <w:pPr>
              <w:pStyle w:val="Tabletext"/>
            </w:pPr>
            <w:r w:rsidRPr="002B1A95">
              <w:t>1.1%</w:t>
            </w:r>
          </w:p>
        </w:tc>
        <w:tc>
          <w:tcPr>
            <w:tcW w:w="597" w:type="pct"/>
            <w:shd w:val="clear" w:color="auto" w:fill="auto"/>
          </w:tcPr>
          <w:p w:rsidR="005B63A2" w:rsidRPr="002B1A95" w:rsidRDefault="005B63A2" w:rsidP="005B63A2">
            <w:pPr>
              <w:pStyle w:val="Tabletext"/>
            </w:pPr>
            <w:r w:rsidRPr="002B1A95">
              <w:t>1.7%</w:t>
            </w:r>
          </w:p>
        </w:tc>
        <w:tc>
          <w:tcPr>
            <w:tcW w:w="512" w:type="pct"/>
            <w:shd w:val="clear" w:color="auto" w:fill="auto"/>
          </w:tcPr>
          <w:p w:rsidR="005B63A2" w:rsidRPr="002B1A95" w:rsidRDefault="005B63A2" w:rsidP="005B63A2">
            <w:pPr>
              <w:pStyle w:val="Tabletext"/>
            </w:pPr>
            <w:r w:rsidRPr="002B1A95">
              <w:t>2.7%</w:t>
            </w:r>
          </w:p>
        </w:tc>
        <w:tc>
          <w:tcPr>
            <w:tcW w:w="511" w:type="pct"/>
            <w:shd w:val="clear" w:color="auto" w:fill="auto"/>
          </w:tcPr>
          <w:p w:rsidR="005B63A2" w:rsidRPr="002B1A95" w:rsidRDefault="005B63A2" w:rsidP="005B63A2">
            <w:pPr>
              <w:pStyle w:val="Tabletext"/>
            </w:pPr>
            <w:r w:rsidRPr="002B1A95">
              <w:t>3.9%</w:t>
            </w:r>
          </w:p>
        </w:tc>
        <w:tc>
          <w:tcPr>
            <w:tcW w:w="485" w:type="pct"/>
            <w:shd w:val="clear" w:color="auto" w:fill="auto"/>
          </w:tcPr>
          <w:p w:rsidR="005B63A2" w:rsidRPr="002B1A95" w:rsidRDefault="005B63A2" w:rsidP="005B63A2">
            <w:pPr>
              <w:pStyle w:val="Tabletext"/>
            </w:pPr>
            <w:r w:rsidRPr="002B1A95">
              <w:t>5.4%</w:t>
            </w:r>
          </w:p>
        </w:tc>
      </w:tr>
      <w:tr w:rsidR="005B63A2" w:rsidRPr="002B1A95" w:rsidTr="003104D0">
        <w:tc>
          <w:tcPr>
            <w:tcW w:w="423" w:type="pct"/>
            <w:shd w:val="clear" w:color="auto" w:fill="auto"/>
          </w:tcPr>
          <w:p w:rsidR="005B63A2" w:rsidRPr="002B1A95" w:rsidRDefault="005B63A2" w:rsidP="005B63A2">
            <w:pPr>
              <w:pStyle w:val="Tabletext"/>
            </w:pPr>
            <w:r w:rsidRPr="002B1A95">
              <w:t>10</w:t>
            </w:r>
          </w:p>
        </w:tc>
        <w:tc>
          <w:tcPr>
            <w:tcW w:w="682" w:type="pct"/>
            <w:shd w:val="clear" w:color="auto" w:fill="auto"/>
          </w:tcPr>
          <w:p w:rsidR="005B63A2" w:rsidRPr="002B1A95" w:rsidRDefault="005B63A2" w:rsidP="005B63A2">
            <w:pPr>
              <w:pStyle w:val="Tabletext"/>
            </w:pPr>
            <w:r w:rsidRPr="002B1A95">
              <w:t>60 to 72</w:t>
            </w:r>
          </w:p>
        </w:tc>
        <w:tc>
          <w:tcPr>
            <w:tcW w:w="597" w:type="pct"/>
            <w:shd w:val="clear" w:color="auto" w:fill="auto"/>
          </w:tcPr>
          <w:p w:rsidR="005B63A2" w:rsidRPr="002B1A95" w:rsidRDefault="005B63A2" w:rsidP="005B63A2">
            <w:pPr>
              <w:pStyle w:val="Tabletext"/>
            </w:pPr>
            <w:r w:rsidRPr="002B1A95">
              <w:t>0.0%</w:t>
            </w:r>
          </w:p>
        </w:tc>
        <w:tc>
          <w:tcPr>
            <w:tcW w:w="597" w:type="pct"/>
            <w:shd w:val="clear" w:color="auto" w:fill="auto"/>
          </w:tcPr>
          <w:p w:rsidR="005B63A2" w:rsidRPr="002B1A95" w:rsidRDefault="005B63A2" w:rsidP="005B63A2">
            <w:pPr>
              <w:pStyle w:val="Tabletext"/>
            </w:pPr>
            <w:r w:rsidRPr="002B1A95">
              <w:t>0.2%</w:t>
            </w:r>
          </w:p>
        </w:tc>
        <w:tc>
          <w:tcPr>
            <w:tcW w:w="597" w:type="pct"/>
            <w:shd w:val="clear" w:color="auto" w:fill="auto"/>
          </w:tcPr>
          <w:p w:rsidR="005B63A2" w:rsidRPr="002B1A95" w:rsidRDefault="005B63A2" w:rsidP="005B63A2">
            <w:pPr>
              <w:pStyle w:val="Tabletext"/>
            </w:pPr>
            <w:r w:rsidRPr="002B1A95">
              <w:t>0.8%</w:t>
            </w:r>
          </w:p>
        </w:tc>
        <w:tc>
          <w:tcPr>
            <w:tcW w:w="597" w:type="pct"/>
            <w:shd w:val="clear" w:color="auto" w:fill="auto"/>
          </w:tcPr>
          <w:p w:rsidR="005B63A2" w:rsidRPr="002B1A95" w:rsidRDefault="005B63A2" w:rsidP="005B63A2">
            <w:pPr>
              <w:pStyle w:val="Tabletext"/>
            </w:pPr>
            <w:r w:rsidRPr="002B1A95">
              <w:t>1.4%</w:t>
            </w:r>
          </w:p>
        </w:tc>
        <w:tc>
          <w:tcPr>
            <w:tcW w:w="512" w:type="pct"/>
            <w:shd w:val="clear" w:color="auto" w:fill="auto"/>
          </w:tcPr>
          <w:p w:rsidR="005B63A2" w:rsidRPr="002B1A95" w:rsidRDefault="005B63A2" w:rsidP="005B63A2">
            <w:pPr>
              <w:pStyle w:val="Tabletext"/>
            </w:pPr>
            <w:r w:rsidRPr="002B1A95">
              <w:t>2.2%</w:t>
            </w:r>
          </w:p>
        </w:tc>
        <w:tc>
          <w:tcPr>
            <w:tcW w:w="511" w:type="pct"/>
            <w:shd w:val="clear" w:color="auto" w:fill="auto"/>
          </w:tcPr>
          <w:p w:rsidR="005B63A2" w:rsidRPr="002B1A95" w:rsidRDefault="005B63A2" w:rsidP="005B63A2">
            <w:pPr>
              <w:pStyle w:val="Tabletext"/>
            </w:pPr>
            <w:r w:rsidRPr="002B1A95">
              <w:t>3.4%</w:t>
            </w:r>
          </w:p>
        </w:tc>
        <w:tc>
          <w:tcPr>
            <w:tcW w:w="485" w:type="pct"/>
            <w:shd w:val="clear" w:color="auto" w:fill="auto"/>
          </w:tcPr>
          <w:p w:rsidR="005B63A2" w:rsidRPr="002B1A95" w:rsidRDefault="005B63A2" w:rsidP="005B63A2">
            <w:pPr>
              <w:pStyle w:val="Tabletext"/>
            </w:pPr>
            <w:r w:rsidRPr="002B1A95">
              <w:t>4.9%</w:t>
            </w:r>
          </w:p>
        </w:tc>
      </w:tr>
      <w:tr w:rsidR="005B63A2" w:rsidRPr="002B1A95" w:rsidTr="003104D0">
        <w:tc>
          <w:tcPr>
            <w:tcW w:w="423" w:type="pct"/>
            <w:shd w:val="clear" w:color="auto" w:fill="auto"/>
          </w:tcPr>
          <w:p w:rsidR="005B63A2" w:rsidRPr="002B1A95" w:rsidRDefault="005B63A2" w:rsidP="005B63A2">
            <w:pPr>
              <w:pStyle w:val="Tabletext"/>
            </w:pPr>
            <w:r w:rsidRPr="002B1A95">
              <w:t>11</w:t>
            </w:r>
          </w:p>
        </w:tc>
        <w:tc>
          <w:tcPr>
            <w:tcW w:w="682" w:type="pct"/>
            <w:shd w:val="clear" w:color="auto" w:fill="auto"/>
          </w:tcPr>
          <w:p w:rsidR="005B63A2" w:rsidRPr="002B1A95" w:rsidRDefault="005B63A2" w:rsidP="005B63A2">
            <w:pPr>
              <w:pStyle w:val="Tabletext"/>
            </w:pPr>
            <w:r w:rsidRPr="002B1A95">
              <w:t>48 to 60</w:t>
            </w:r>
          </w:p>
        </w:tc>
        <w:tc>
          <w:tcPr>
            <w:tcW w:w="597" w:type="pct"/>
            <w:shd w:val="clear" w:color="auto" w:fill="auto"/>
          </w:tcPr>
          <w:p w:rsidR="005B63A2" w:rsidRPr="002B1A95" w:rsidRDefault="005B63A2" w:rsidP="005B63A2">
            <w:pPr>
              <w:pStyle w:val="Tabletext"/>
            </w:pPr>
            <w:r w:rsidRPr="002B1A95">
              <w:t>0.0%</w:t>
            </w:r>
          </w:p>
        </w:tc>
        <w:tc>
          <w:tcPr>
            <w:tcW w:w="597" w:type="pct"/>
            <w:shd w:val="clear" w:color="auto" w:fill="auto"/>
          </w:tcPr>
          <w:p w:rsidR="005B63A2" w:rsidRPr="002B1A95" w:rsidRDefault="005B63A2" w:rsidP="005B63A2">
            <w:pPr>
              <w:pStyle w:val="Tabletext"/>
            </w:pPr>
            <w:r w:rsidRPr="002B1A95">
              <w:t>0.1%</w:t>
            </w:r>
          </w:p>
        </w:tc>
        <w:tc>
          <w:tcPr>
            <w:tcW w:w="597" w:type="pct"/>
            <w:shd w:val="clear" w:color="auto" w:fill="auto"/>
          </w:tcPr>
          <w:p w:rsidR="005B63A2" w:rsidRPr="002B1A95" w:rsidRDefault="005B63A2" w:rsidP="005B63A2">
            <w:pPr>
              <w:pStyle w:val="Tabletext"/>
            </w:pPr>
            <w:r w:rsidRPr="002B1A95">
              <w:t>0.5%</w:t>
            </w:r>
          </w:p>
        </w:tc>
        <w:tc>
          <w:tcPr>
            <w:tcW w:w="597" w:type="pct"/>
            <w:shd w:val="clear" w:color="auto" w:fill="auto"/>
          </w:tcPr>
          <w:p w:rsidR="005B63A2" w:rsidRPr="002B1A95" w:rsidRDefault="005B63A2" w:rsidP="005B63A2">
            <w:pPr>
              <w:pStyle w:val="Tabletext"/>
            </w:pPr>
            <w:r w:rsidRPr="002B1A95">
              <w:t>1.0%</w:t>
            </w:r>
          </w:p>
        </w:tc>
        <w:tc>
          <w:tcPr>
            <w:tcW w:w="512" w:type="pct"/>
            <w:shd w:val="clear" w:color="auto" w:fill="auto"/>
          </w:tcPr>
          <w:p w:rsidR="005B63A2" w:rsidRPr="002B1A95" w:rsidRDefault="005B63A2" w:rsidP="005B63A2">
            <w:pPr>
              <w:pStyle w:val="Tabletext"/>
            </w:pPr>
            <w:r w:rsidRPr="002B1A95">
              <w:t>1.7%</w:t>
            </w:r>
          </w:p>
        </w:tc>
        <w:tc>
          <w:tcPr>
            <w:tcW w:w="511" w:type="pct"/>
            <w:shd w:val="clear" w:color="auto" w:fill="auto"/>
          </w:tcPr>
          <w:p w:rsidR="005B63A2" w:rsidRPr="002B1A95" w:rsidRDefault="005B63A2" w:rsidP="005B63A2">
            <w:pPr>
              <w:pStyle w:val="Tabletext"/>
            </w:pPr>
            <w:r w:rsidRPr="002B1A95">
              <w:t>2.8%</w:t>
            </w:r>
          </w:p>
        </w:tc>
        <w:tc>
          <w:tcPr>
            <w:tcW w:w="485" w:type="pct"/>
            <w:shd w:val="clear" w:color="auto" w:fill="auto"/>
          </w:tcPr>
          <w:p w:rsidR="005B63A2" w:rsidRPr="002B1A95" w:rsidRDefault="005B63A2" w:rsidP="005B63A2">
            <w:pPr>
              <w:pStyle w:val="Tabletext"/>
            </w:pPr>
            <w:r w:rsidRPr="002B1A95">
              <w:t>4.2%</w:t>
            </w:r>
          </w:p>
        </w:tc>
      </w:tr>
      <w:tr w:rsidR="005B63A2" w:rsidRPr="002B1A95" w:rsidTr="003104D0">
        <w:tc>
          <w:tcPr>
            <w:tcW w:w="423" w:type="pct"/>
            <w:shd w:val="clear" w:color="auto" w:fill="auto"/>
          </w:tcPr>
          <w:p w:rsidR="005B63A2" w:rsidRPr="002B1A95" w:rsidRDefault="005B63A2" w:rsidP="005B63A2">
            <w:pPr>
              <w:pStyle w:val="Tabletext"/>
            </w:pPr>
            <w:r w:rsidRPr="002B1A95">
              <w:t>12</w:t>
            </w:r>
          </w:p>
        </w:tc>
        <w:tc>
          <w:tcPr>
            <w:tcW w:w="682" w:type="pct"/>
            <w:shd w:val="clear" w:color="auto" w:fill="auto"/>
          </w:tcPr>
          <w:p w:rsidR="005B63A2" w:rsidRPr="002B1A95" w:rsidRDefault="005B63A2" w:rsidP="005B63A2">
            <w:pPr>
              <w:pStyle w:val="Tabletext"/>
            </w:pPr>
            <w:r w:rsidRPr="002B1A95">
              <w:t>36 to 48</w:t>
            </w:r>
          </w:p>
        </w:tc>
        <w:tc>
          <w:tcPr>
            <w:tcW w:w="597" w:type="pct"/>
            <w:shd w:val="clear" w:color="auto" w:fill="auto"/>
          </w:tcPr>
          <w:p w:rsidR="005B63A2" w:rsidRPr="002B1A95" w:rsidRDefault="005B63A2" w:rsidP="005B63A2">
            <w:pPr>
              <w:pStyle w:val="Tabletext"/>
            </w:pPr>
            <w:r w:rsidRPr="002B1A95">
              <w:t>0.0%</w:t>
            </w:r>
          </w:p>
        </w:tc>
        <w:tc>
          <w:tcPr>
            <w:tcW w:w="597" w:type="pct"/>
            <w:shd w:val="clear" w:color="auto" w:fill="auto"/>
          </w:tcPr>
          <w:p w:rsidR="005B63A2" w:rsidRPr="002B1A95" w:rsidRDefault="005B63A2" w:rsidP="005B63A2">
            <w:pPr>
              <w:pStyle w:val="Tabletext"/>
            </w:pPr>
            <w:r w:rsidRPr="002B1A95">
              <w:t>0.0%</w:t>
            </w:r>
          </w:p>
        </w:tc>
        <w:tc>
          <w:tcPr>
            <w:tcW w:w="597" w:type="pct"/>
            <w:shd w:val="clear" w:color="auto" w:fill="auto"/>
          </w:tcPr>
          <w:p w:rsidR="005B63A2" w:rsidRPr="002B1A95" w:rsidRDefault="005B63A2" w:rsidP="005B63A2">
            <w:pPr>
              <w:pStyle w:val="Tabletext"/>
            </w:pPr>
            <w:r w:rsidRPr="002B1A95">
              <w:t>0.3%</w:t>
            </w:r>
          </w:p>
        </w:tc>
        <w:tc>
          <w:tcPr>
            <w:tcW w:w="597" w:type="pct"/>
            <w:shd w:val="clear" w:color="auto" w:fill="auto"/>
          </w:tcPr>
          <w:p w:rsidR="005B63A2" w:rsidRPr="002B1A95" w:rsidRDefault="005B63A2" w:rsidP="005B63A2">
            <w:pPr>
              <w:pStyle w:val="Tabletext"/>
            </w:pPr>
            <w:r w:rsidRPr="002B1A95">
              <w:t>0.6%</w:t>
            </w:r>
          </w:p>
        </w:tc>
        <w:tc>
          <w:tcPr>
            <w:tcW w:w="512" w:type="pct"/>
            <w:shd w:val="clear" w:color="auto" w:fill="auto"/>
          </w:tcPr>
          <w:p w:rsidR="005B63A2" w:rsidRPr="002B1A95" w:rsidRDefault="005B63A2" w:rsidP="005B63A2">
            <w:pPr>
              <w:pStyle w:val="Tabletext"/>
            </w:pPr>
            <w:r w:rsidRPr="002B1A95">
              <w:t>1.2%</w:t>
            </w:r>
          </w:p>
        </w:tc>
        <w:tc>
          <w:tcPr>
            <w:tcW w:w="511" w:type="pct"/>
            <w:shd w:val="clear" w:color="auto" w:fill="auto"/>
          </w:tcPr>
          <w:p w:rsidR="005B63A2" w:rsidRPr="002B1A95" w:rsidRDefault="005B63A2" w:rsidP="005B63A2">
            <w:pPr>
              <w:pStyle w:val="Tabletext"/>
            </w:pPr>
            <w:r w:rsidRPr="002B1A95">
              <w:t>2.1%</w:t>
            </w:r>
          </w:p>
        </w:tc>
        <w:tc>
          <w:tcPr>
            <w:tcW w:w="485" w:type="pct"/>
            <w:shd w:val="clear" w:color="auto" w:fill="auto"/>
          </w:tcPr>
          <w:p w:rsidR="005B63A2" w:rsidRPr="002B1A95" w:rsidRDefault="005B63A2" w:rsidP="005B63A2">
            <w:pPr>
              <w:pStyle w:val="Tabletext"/>
            </w:pPr>
            <w:r w:rsidRPr="002B1A95">
              <w:t>3.4%</w:t>
            </w:r>
          </w:p>
        </w:tc>
      </w:tr>
      <w:tr w:rsidR="005B63A2" w:rsidRPr="002B1A95" w:rsidTr="003104D0">
        <w:tc>
          <w:tcPr>
            <w:tcW w:w="423" w:type="pct"/>
            <w:shd w:val="clear" w:color="auto" w:fill="auto"/>
          </w:tcPr>
          <w:p w:rsidR="005B63A2" w:rsidRPr="002B1A95" w:rsidRDefault="005B63A2" w:rsidP="005B63A2">
            <w:pPr>
              <w:pStyle w:val="Tabletext"/>
            </w:pPr>
            <w:r w:rsidRPr="002B1A95">
              <w:t>13</w:t>
            </w:r>
          </w:p>
        </w:tc>
        <w:tc>
          <w:tcPr>
            <w:tcW w:w="682" w:type="pct"/>
            <w:shd w:val="clear" w:color="auto" w:fill="auto"/>
          </w:tcPr>
          <w:p w:rsidR="005B63A2" w:rsidRPr="002B1A95" w:rsidRDefault="005B63A2" w:rsidP="005B63A2">
            <w:pPr>
              <w:pStyle w:val="Tabletext"/>
            </w:pPr>
            <w:r w:rsidRPr="002B1A95">
              <w:t>24 to 36</w:t>
            </w:r>
          </w:p>
        </w:tc>
        <w:tc>
          <w:tcPr>
            <w:tcW w:w="597" w:type="pct"/>
            <w:shd w:val="clear" w:color="auto" w:fill="auto"/>
          </w:tcPr>
          <w:p w:rsidR="005B63A2" w:rsidRPr="002B1A95" w:rsidRDefault="005B63A2" w:rsidP="005B63A2">
            <w:pPr>
              <w:pStyle w:val="Tabletext"/>
            </w:pPr>
            <w:r w:rsidRPr="002B1A95">
              <w:t>0.0%</w:t>
            </w:r>
          </w:p>
        </w:tc>
        <w:tc>
          <w:tcPr>
            <w:tcW w:w="597" w:type="pct"/>
            <w:shd w:val="clear" w:color="auto" w:fill="auto"/>
          </w:tcPr>
          <w:p w:rsidR="005B63A2" w:rsidRPr="002B1A95" w:rsidRDefault="005B63A2" w:rsidP="005B63A2">
            <w:pPr>
              <w:pStyle w:val="Tabletext"/>
            </w:pPr>
            <w:r w:rsidRPr="002B1A95">
              <w:t>0.0%</w:t>
            </w:r>
          </w:p>
        </w:tc>
        <w:tc>
          <w:tcPr>
            <w:tcW w:w="597" w:type="pct"/>
            <w:shd w:val="clear" w:color="auto" w:fill="auto"/>
          </w:tcPr>
          <w:p w:rsidR="005B63A2" w:rsidRPr="002B1A95" w:rsidRDefault="005B63A2" w:rsidP="005B63A2">
            <w:pPr>
              <w:pStyle w:val="Tabletext"/>
            </w:pPr>
            <w:r w:rsidRPr="002B1A95">
              <w:t>0.1%</w:t>
            </w:r>
          </w:p>
        </w:tc>
        <w:tc>
          <w:tcPr>
            <w:tcW w:w="597" w:type="pct"/>
            <w:shd w:val="clear" w:color="auto" w:fill="auto"/>
          </w:tcPr>
          <w:p w:rsidR="005B63A2" w:rsidRPr="002B1A95" w:rsidRDefault="005B63A2" w:rsidP="005B63A2">
            <w:pPr>
              <w:pStyle w:val="Tabletext"/>
            </w:pPr>
            <w:r w:rsidRPr="002B1A95">
              <w:t>0.3%</w:t>
            </w:r>
          </w:p>
        </w:tc>
        <w:tc>
          <w:tcPr>
            <w:tcW w:w="512" w:type="pct"/>
            <w:shd w:val="clear" w:color="auto" w:fill="auto"/>
          </w:tcPr>
          <w:p w:rsidR="005B63A2" w:rsidRPr="002B1A95" w:rsidRDefault="005B63A2" w:rsidP="005B63A2">
            <w:pPr>
              <w:pStyle w:val="Tabletext"/>
            </w:pPr>
            <w:r w:rsidRPr="002B1A95">
              <w:t>0.6%</w:t>
            </w:r>
          </w:p>
        </w:tc>
        <w:tc>
          <w:tcPr>
            <w:tcW w:w="511" w:type="pct"/>
            <w:shd w:val="clear" w:color="auto" w:fill="auto"/>
          </w:tcPr>
          <w:p w:rsidR="005B63A2" w:rsidRPr="002B1A95" w:rsidRDefault="005B63A2" w:rsidP="005B63A2">
            <w:pPr>
              <w:pStyle w:val="Tabletext"/>
            </w:pPr>
            <w:r w:rsidRPr="002B1A95">
              <w:t>1.3%</w:t>
            </w:r>
          </w:p>
        </w:tc>
        <w:tc>
          <w:tcPr>
            <w:tcW w:w="485" w:type="pct"/>
            <w:shd w:val="clear" w:color="auto" w:fill="auto"/>
          </w:tcPr>
          <w:p w:rsidR="005B63A2" w:rsidRPr="002B1A95" w:rsidRDefault="005B63A2" w:rsidP="005B63A2">
            <w:pPr>
              <w:pStyle w:val="Tabletext"/>
            </w:pPr>
            <w:r w:rsidRPr="002B1A95">
              <w:t>2.4%</w:t>
            </w:r>
          </w:p>
        </w:tc>
      </w:tr>
      <w:tr w:rsidR="005B63A2" w:rsidRPr="002B1A95" w:rsidTr="003104D0">
        <w:tc>
          <w:tcPr>
            <w:tcW w:w="423" w:type="pct"/>
            <w:shd w:val="clear" w:color="auto" w:fill="auto"/>
          </w:tcPr>
          <w:p w:rsidR="005B63A2" w:rsidRPr="002B1A95" w:rsidRDefault="005B63A2" w:rsidP="005B63A2">
            <w:pPr>
              <w:pStyle w:val="Tabletext"/>
            </w:pPr>
            <w:r w:rsidRPr="002B1A95">
              <w:t>14</w:t>
            </w:r>
          </w:p>
        </w:tc>
        <w:tc>
          <w:tcPr>
            <w:tcW w:w="682" w:type="pct"/>
            <w:shd w:val="clear" w:color="auto" w:fill="auto"/>
          </w:tcPr>
          <w:p w:rsidR="005B63A2" w:rsidRPr="002B1A95" w:rsidRDefault="005B63A2" w:rsidP="005B63A2">
            <w:pPr>
              <w:pStyle w:val="Tabletext"/>
            </w:pPr>
            <w:r w:rsidRPr="002B1A95">
              <w:t>18 to 24</w:t>
            </w:r>
          </w:p>
        </w:tc>
        <w:tc>
          <w:tcPr>
            <w:tcW w:w="597" w:type="pct"/>
            <w:shd w:val="clear" w:color="auto" w:fill="auto"/>
          </w:tcPr>
          <w:p w:rsidR="005B63A2" w:rsidRPr="002B1A95" w:rsidRDefault="005B63A2" w:rsidP="005B63A2">
            <w:pPr>
              <w:pStyle w:val="Tabletext"/>
            </w:pPr>
            <w:r w:rsidRPr="002B1A95">
              <w:t>0.0%</w:t>
            </w:r>
          </w:p>
        </w:tc>
        <w:tc>
          <w:tcPr>
            <w:tcW w:w="597" w:type="pct"/>
            <w:shd w:val="clear" w:color="auto" w:fill="auto"/>
          </w:tcPr>
          <w:p w:rsidR="005B63A2" w:rsidRPr="002B1A95" w:rsidRDefault="005B63A2" w:rsidP="005B63A2">
            <w:pPr>
              <w:pStyle w:val="Tabletext"/>
            </w:pPr>
            <w:r w:rsidRPr="002B1A95">
              <w:t>0.0%</w:t>
            </w:r>
          </w:p>
        </w:tc>
        <w:tc>
          <w:tcPr>
            <w:tcW w:w="597" w:type="pct"/>
            <w:shd w:val="clear" w:color="auto" w:fill="auto"/>
          </w:tcPr>
          <w:p w:rsidR="005B63A2" w:rsidRPr="002B1A95" w:rsidRDefault="005B63A2" w:rsidP="005B63A2">
            <w:pPr>
              <w:pStyle w:val="Tabletext"/>
            </w:pPr>
            <w:r w:rsidRPr="002B1A95">
              <w:t>0.0%</w:t>
            </w:r>
          </w:p>
        </w:tc>
        <w:tc>
          <w:tcPr>
            <w:tcW w:w="597" w:type="pct"/>
            <w:shd w:val="clear" w:color="auto" w:fill="auto"/>
          </w:tcPr>
          <w:p w:rsidR="005B63A2" w:rsidRPr="002B1A95" w:rsidRDefault="005B63A2" w:rsidP="005B63A2">
            <w:pPr>
              <w:pStyle w:val="Tabletext"/>
            </w:pPr>
            <w:r w:rsidRPr="002B1A95">
              <w:t>0.1%</w:t>
            </w:r>
          </w:p>
        </w:tc>
        <w:tc>
          <w:tcPr>
            <w:tcW w:w="512" w:type="pct"/>
            <w:shd w:val="clear" w:color="auto" w:fill="auto"/>
          </w:tcPr>
          <w:p w:rsidR="005B63A2" w:rsidRPr="002B1A95" w:rsidRDefault="005B63A2" w:rsidP="005B63A2">
            <w:pPr>
              <w:pStyle w:val="Tabletext"/>
            </w:pPr>
            <w:r w:rsidRPr="002B1A95">
              <w:t>0.3%</w:t>
            </w:r>
          </w:p>
        </w:tc>
        <w:tc>
          <w:tcPr>
            <w:tcW w:w="511" w:type="pct"/>
            <w:shd w:val="clear" w:color="auto" w:fill="auto"/>
          </w:tcPr>
          <w:p w:rsidR="005B63A2" w:rsidRPr="002B1A95" w:rsidRDefault="005B63A2" w:rsidP="005B63A2">
            <w:pPr>
              <w:pStyle w:val="Tabletext"/>
            </w:pPr>
            <w:r w:rsidRPr="002B1A95">
              <w:t>0.9%</w:t>
            </w:r>
          </w:p>
        </w:tc>
        <w:tc>
          <w:tcPr>
            <w:tcW w:w="485" w:type="pct"/>
            <w:shd w:val="clear" w:color="auto" w:fill="auto"/>
          </w:tcPr>
          <w:p w:rsidR="005B63A2" w:rsidRPr="002B1A95" w:rsidRDefault="005B63A2" w:rsidP="005B63A2">
            <w:pPr>
              <w:pStyle w:val="Tabletext"/>
            </w:pPr>
            <w:r w:rsidRPr="002B1A95">
              <w:t>1.8%</w:t>
            </w:r>
          </w:p>
        </w:tc>
      </w:tr>
      <w:tr w:rsidR="005B63A2" w:rsidRPr="002B1A95" w:rsidTr="003104D0">
        <w:tc>
          <w:tcPr>
            <w:tcW w:w="423" w:type="pct"/>
            <w:shd w:val="clear" w:color="auto" w:fill="auto"/>
          </w:tcPr>
          <w:p w:rsidR="005B63A2" w:rsidRPr="002B1A95" w:rsidRDefault="005B63A2" w:rsidP="005B63A2">
            <w:pPr>
              <w:pStyle w:val="Tabletext"/>
            </w:pPr>
            <w:r w:rsidRPr="002B1A95">
              <w:t>15</w:t>
            </w:r>
          </w:p>
        </w:tc>
        <w:tc>
          <w:tcPr>
            <w:tcW w:w="682" w:type="pct"/>
            <w:shd w:val="clear" w:color="auto" w:fill="auto"/>
          </w:tcPr>
          <w:p w:rsidR="005B63A2" w:rsidRPr="002B1A95" w:rsidRDefault="005B63A2" w:rsidP="005B63A2">
            <w:pPr>
              <w:pStyle w:val="Tabletext"/>
            </w:pPr>
            <w:r w:rsidRPr="002B1A95">
              <w:t>12 to 18</w:t>
            </w:r>
          </w:p>
        </w:tc>
        <w:tc>
          <w:tcPr>
            <w:tcW w:w="597" w:type="pct"/>
            <w:shd w:val="clear" w:color="auto" w:fill="auto"/>
          </w:tcPr>
          <w:p w:rsidR="005B63A2" w:rsidRPr="002B1A95" w:rsidRDefault="005B63A2" w:rsidP="005B63A2">
            <w:pPr>
              <w:pStyle w:val="Tabletext"/>
            </w:pPr>
            <w:r w:rsidRPr="002B1A95">
              <w:t>0.0%</w:t>
            </w:r>
          </w:p>
        </w:tc>
        <w:tc>
          <w:tcPr>
            <w:tcW w:w="597" w:type="pct"/>
            <w:shd w:val="clear" w:color="auto" w:fill="auto"/>
          </w:tcPr>
          <w:p w:rsidR="005B63A2" w:rsidRPr="002B1A95" w:rsidRDefault="005B63A2" w:rsidP="005B63A2">
            <w:pPr>
              <w:pStyle w:val="Tabletext"/>
            </w:pPr>
            <w:r w:rsidRPr="002B1A95">
              <w:t>0.0%</w:t>
            </w:r>
          </w:p>
        </w:tc>
        <w:tc>
          <w:tcPr>
            <w:tcW w:w="597" w:type="pct"/>
            <w:shd w:val="clear" w:color="auto" w:fill="auto"/>
          </w:tcPr>
          <w:p w:rsidR="005B63A2" w:rsidRPr="002B1A95" w:rsidRDefault="005B63A2" w:rsidP="005B63A2">
            <w:pPr>
              <w:pStyle w:val="Tabletext"/>
            </w:pPr>
            <w:r w:rsidRPr="002B1A95">
              <w:t>0.0%</w:t>
            </w:r>
          </w:p>
        </w:tc>
        <w:tc>
          <w:tcPr>
            <w:tcW w:w="597" w:type="pct"/>
            <w:shd w:val="clear" w:color="auto" w:fill="auto"/>
          </w:tcPr>
          <w:p w:rsidR="005B63A2" w:rsidRPr="002B1A95" w:rsidRDefault="005B63A2" w:rsidP="005B63A2">
            <w:pPr>
              <w:pStyle w:val="Tabletext"/>
            </w:pPr>
            <w:r w:rsidRPr="002B1A95">
              <w:t>0.0%</w:t>
            </w:r>
          </w:p>
        </w:tc>
        <w:tc>
          <w:tcPr>
            <w:tcW w:w="512" w:type="pct"/>
            <w:shd w:val="clear" w:color="auto" w:fill="auto"/>
          </w:tcPr>
          <w:p w:rsidR="005B63A2" w:rsidRPr="002B1A95" w:rsidRDefault="005B63A2" w:rsidP="005B63A2">
            <w:pPr>
              <w:pStyle w:val="Tabletext"/>
            </w:pPr>
            <w:r w:rsidRPr="002B1A95">
              <w:t>0.1%</w:t>
            </w:r>
          </w:p>
        </w:tc>
        <w:tc>
          <w:tcPr>
            <w:tcW w:w="511" w:type="pct"/>
            <w:shd w:val="clear" w:color="auto" w:fill="auto"/>
          </w:tcPr>
          <w:p w:rsidR="005B63A2" w:rsidRPr="002B1A95" w:rsidRDefault="005B63A2" w:rsidP="005B63A2">
            <w:pPr>
              <w:pStyle w:val="Tabletext"/>
            </w:pPr>
            <w:r w:rsidRPr="002B1A95">
              <w:t>0.4%</w:t>
            </w:r>
          </w:p>
        </w:tc>
        <w:tc>
          <w:tcPr>
            <w:tcW w:w="485" w:type="pct"/>
            <w:shd w:val="clear" w:color="auto" w:fill="auto"/>
          </w:tcPr>
          <w:p w:rsidR="005B63A2" w:rsidRPr="002B1A95" w:rsidRDefault="005B63A2" w:rsidP="005B63A2">
            <w:pPr>
              <w:pStyle w:val="Tabletext"/>
            </w:pPr>
            <w:r w:rsidRPr="002B1A95">
              <w:t>1.1%</w:t>
            </w:r>
          </w:p>
        </w:tc>
      </w:tr>
      <w:tr w:rsidR="005B63A2" w:rsidRPr="002B1A95" w:rsidTr="003104D0">
        <w:tc>
          <w:tcPr>
            <w:tcW w:w="423" w:type="pct"/>
            <w:shd w:val="clear" w:color="auto" w:fill="auto"/>
          </w:tcPr>
          <w:p w:rsidR="005B63A2" w:rsidRPr="002B1A95" w:rsidRDefault="005B63A2" w:rsidP="005B63A2">
            <w:pPr>
              <w:pStyle w:val="Tabletext"/>
            </w:pPr>
            <w:r w:rsidRPr="002B1A95">
              <w:t>16</w:t>
            </w:r>
          </w:p>
        </w:tc>
        <w:tc>
          <w:tcPr>
            <w:tcW w:w="682" w:type="pct"/>
            <w:shd w:val="clear" w:color="auto" w:fill="auto"/>
          </w:tcPr>
          <w:p w:rsidR="005B63A2" w:rsidRPr="002B1A95" w:rsidRDefault="005B63A2" w:rsidP="005B63A2">
            <w:pPr>
              <w:pStyle w:val="Tabletext"/>
            </w:pPr>
            <w:r w:rsidRPr="002B1A95">
              <w:t>9 to 12</w:t>
            </w:r>
          </w:p>
        </w:tc>
        <w:tc>
          <w:tcPr>
            <w:tcW w:w="597" w:type="pct"/>
            <w:shd w:val="clear" w:color="auto" w:fill="auto"/>
          </w:tcPr>
          <w:p w:rsidR="005B63A2" w:rsidRPr="002B1A95" w:rsidRDefault="005B63A2" w:rsidP="005B63A2">
            <w:pPr>
              <w:pStyle w:val="Tabletext"/>
            </w:pPr>
            <w:r w:rsidRPr="002B1A95">
              <w:t>0.0%</w:t>
            </w:r>
          </w:p>
        </w:tc>
        <w:tc>
          <w:tcPr>
            <w:tcW w:w="597" w:type="pct"/>
            <w:shd w:val="clear" w:color="auto" w:fill="auto"/>
          </w:tcPr>
          <w:p w:rsidR="005B63A2" w:rsidRPr="002B1A95" w:rsidRDefault="005B63A2" w:rsidP="005B63A2">
            <w:pPr>
              <w:pStyle w:val="Tabletext"/>
            </w:pPr>
            <w:r w:rsidRPr="002B1A95">
              <w:t>0.0%</w:t>
            </w:r>
          </w:p>
        </w:tc>
        <w:tc>
          <w:tcPr>
            <w:tcW w:w="597" w:type="pct"/>
            <w:shd w:val="clear" w:color="auto" w:fill="auto"/>
          </w:tcPr>
          <w:p w:rsidR="005B63A2" w:rsidRPr="002B1A95" w:rsidRDefault="005B63A2" w:rsidP="005B63A2">
            <w:pPr>
              <w:pStyle w:val="Tabletext"/>
            </w:pPr>
            <w:r w:rsidRPr="002B1A95">
              <w:t>0.0%</w:t>
            </w:r>
          </w:p>
        </w:tc>
        <w:tc>
          <w:tcPr>
            <w:tcW w:w="597" w:type="pct"/>
            <w:shd w:val="clear" w:color="auto" w:fill="auto"/>
          </w:tcPr>
          <w:p w:rsidR="005B63A2" w:rsidRPr="002B1A95" w:rsidRDefault="005B63A2" w:rsidP="005B63A2">
            <w:pPr>
              <w:pStyle w:val="Tabletext"/>
            </w:pPr>
            <w:r w:rsidRPr="002B1A95">
              <w:t>0.0%</w:t>
            </w:r>
          </w:p>
        </w:tc>
        <w:tc>
          <w:tcPr>
            <w:tcW w:w="512" w:type="pct"/>
            <w:shd w:val="clear" w:color="auto" w:fill="auto"/>
          </w:tcPr>
          <w:p w:rsidR="005B63A2" w:rsidRPr="002B1A95" w:rsidRDefault="005B63A2" w:rsidP="005B63A2">
            <w:pPr>
              <w:pStyle w:val="Tabletext"/>
            </w:pPr>
            <w:r w:rsidRPr="002B1A95">
              <w:t>0.1%</w:t>
            </w:r>
          </w:p>
        </w:tc>
        <w:tc>
          <w:tcPr>
            <w:tcW w:w="511" w:type="pct"/>
            <w:shd w:val="clear" w:color="auto" w:fill="auto"/>
          </w:tcPr>
          <w:p w:rsidR="005B63A2" w:rsidRPr="002B1A95" w:rsidRDefault="005B63A2" w:rsidP="005B63A2">
            <w:pPr>
              <w:pStyle w:val="Tabletext"/>
            </w:pPr>
            <w:r w:rsidRPr="002B1A95">
              <w:t>0.2%</w:t>
            </w:r>
          </w:p>
        </w:tc>
        <w:tc>
          <w:tcPr>
            <w:tcW w:w="485" w:type="pct"/>
            <w:shd w:val="clear" w:color="auto" w:fill="auto"/>
          </w:tcPr>
          <w:p w:rsidR="005B63A2" w:rsidRPr="002B1A95" w:rsidRDefault="005B63A2" w:rsidP="005B63A2">
            <w:pPr>
              <w:pStyle w:val="Tabletext"/>
            </w:pPr>
            <w:r w:rsidRPr="002B1A95">
              <w:t>0.8%</w:t>
            </w:r>
          </w:p>
        </w:tc>
      </w:tr>
      <w:tr w:rsidR="005B63A2" w:rsidRPr="002B1A95" w:rsidTr="003104D0">
        <w:tc>
          <w:tcPr>
            <w:tcW w:w="423" w:type="pct"/>
            <w:shd w:val="clear" w:color="auto" w:fill="auto"/>
          </w:tcPr>
          <w:p w:rsidR="005B63A2" w:rsidRPr="002B1A95" w:rsidRDefault="005B63A2" w:rsidP="005B63A2">
            <w:pPr>
              <w:pStyle w:val="Tabletext"/>
            </w:pPr>
            <w:r w:rsidRPr="002B1A95">
              <w:t>17</w:t>
            </w:r>
          </w:p>
        </w:tc>
        <w:tc>
          <w:tcPr>
            <w:tcW w:w="682" w:type="pct"/>
            <w:shd w:val="clear" w:color="auto" w:fill="auto"/>
          </w:tcPr>
          <w:p w:rsidR="005B63A2" w:rsidRPr="002B1A95" w:rsidRDefault="005B63A2" w:rsidP="005B63A2">
            <w:pPr>
              <w:pStyle w:val="Tabletext"/>
            </w:pPr>
            <w:r w:rsidRPr="002B1A95">
              <w:t>6 to 9</w:t>
            </w:r>
          </w:p>
        </w:tc>
        <w:tc>
          <w:tcPr>
            <w:tcW w:w="597" w:type="pct"/>
            <w:shd w:val="clear" w:color="auto" w:fill="auto"/>
          </w:tcPr>
          <w:p w:rsidR="005B63A2" w:rsidRPr="002B1A95" w:rsidRDefault="005B63A2" w:rsidP="005B63A2">
            <w:pPr>
              <w:pStyle w:val="Tabletext"/>
            </w:pPr>
            <w:r w:rsidRPr="002B1A95">
              <w:t>0.0%</w:t>
            </w:r>
          </w:p>
        </w:tc>
        <w:tc>
          <w:tcPr>
            <w:tcW w:w="597" w:type="pct"/>
            <w:shd w:val="clear" w:color="auto" w:fill="auto"/>
          </w:tcPr>
          <w:p w:rsidR="005B63A2" w:rsidRPr="002B1A95" w:rsidRDefault="005B63A2" w:rsidP="005B63A2">
            <w:pPr>
              <w:pStyle w:val="Tabletext"/>
            </w:pPr>
            <w:r w:rsidRPr="002B1A95">
              <w:t>0.0%</w:t>
            </w:r>
          </w:p>
        </w:tc>
        <w:tc>
          <w:tcPr>
            <w:tcW w:w="597" w:type="pct"/>
            <w:shd w:val="clear" w:color="auto" w:fill="auto"/>
          </w:tcPr>
          <w:p w:rsidR="005B63A2" w:rsidRPr="002B1A95" w:rsidRDefault="005B63A2" w:rsidP="005B63A2">
            <w:pPr>
              <w:pStyle w:val="Tabletext"/>
            </w:pPr>
            <w:r w:rsidRPr="002B1A95">
              <w:t>0.0%</w:t>
            </w:r>
          </w:p>
        </w:tc>
        <w:tc>
          <w:tcPr>
            <w:tcW w:w="597" w:type="pct"/>
            <w:shd w:val="clear" w:color="auto" w:fill="auto"/>
          </w:tcPr>
          <w:p w:rsidR="005B63A2" w:rsidRPr="002B1A95" w:rsidRDefault="005B63A2" w:rsidP="005B63A2">
            <w:pPr>
              <w:pStyle w:val="Tabletext"/>
            </w:pPr>
            <w:r w:rsidRPr="002B1A95">
              <w:t>0.0%</w:t>
            </w:r>
          </w:p>
        </w:tc>
        <w:tc>
          <w:tcPr>
            <w:tcW w:w="512" w:type="pct"/>
            <w:shd w:val="clear" w:color="auto" w:fill="auto"/>
          </w:tcPr>
          <w:p w:rsidR="005B63A2" w:rsidRPr="002B1A95" w:rsidRDefault="005B63A2" w:rsidP="005B63A2">
            <w:pPr>
              <w:pStyle w:val="Tabletext"/>
            </w:pPr>
            <w:r w:rsidRPr="002B1A95">
              <w:t>0.0%</w:t>
            </w:r>
          </w:p>
        </w:tc>
        <w:tc>
          <w:tcPr>
            <w:tcW w:w="511" w:type="pct"/>
            <w:shd w:val="clear" w:color="auto" w:fill="auto"/>
          </w:tcPr>
          <w:p w:rsidR="005B63A2" w:rsidRPr="002B1A95" w:rsidRDefault="005B63A2" w:rsidP="005B63A2">
            <w:pPr>
              <w:pStyle w:val="Tabletext"/>
            </w:pPr>
            <w:r w:rsidRPr="002B1A95">
              <w:t>0.1%</w:t>
            </w:r>
          </w:p>
        </w:tc>
        <w:tc>
          <w:tcPr>
            <w:tcW w:w="485" w:type="pct"/>
            <w:shd w:val="clear" w:color="auto" w:fill="auto"/>
          </w:tcPr>
          <w:p w:rsidR="005B63A2" w:rsidRPr="002B1A95" w:rsidRDefault="005B63A2" w:rsidP="005B63A2">
            <w:pPr>
              <w:pStyle w:val="Tabletext"/>
            </w:pPr>
            <w:r w:rsidRPr="002B1A95">
              <w:t>0.4%</w:t>
            </w:r>
          </w:p>
        </w:tc>
      </w:tr>
      <w:tr w:rsidR="005B63A2" w:rsidRPr="002B1A95" w:rsidTr="003104D0">
        <w:tc>
          <w:tcPr>
            <w:tcW w:w="423" w:type="pct"/>
            <w:tcBorders>
              <w:bottom w:val="single" w:sz="2" w:space="0" w:color="auto"/>
            </w:tcBorders>
            <w:shd w:val="clear" w:color="auto" w:fill="auto"/>
          </w:tcPr>
          <w:p w:rsidR="005B63A2" w:rsidRPr="002B1A95" w:rsidRDefault="005B63A2" w:rsidP="005B63A2">
            <w:pPr>
              <w:pStyle w:val="Tabletext"/>
            </w:pPr>
            <w:r w:rsidRPr="002B1A95">
              <w:t>18</w:t>
            </w:r>
          </w:p>
        </w:tc>
        <w:tc>
          <w:tcPr>
            <w:tcW w:w="682" w:type="pct"/>
            <w:tcBorders>
              <w:bottom w:val="single" w:sz="2" w:space="0" w:color="auto"/>
            </w:tcBorders>
            <w:shd w:val="clear" w:color="auto" w:fill="auto"/>
          </w:tcPr>
          <w:p w:rsidR="005B63A2" w:rsidRPr="002B1A95" w:rsidRDefault="005B63A2" w:rsidP="005B63A2">
            <w:pPr>
              <w:pStyle w:val="Tabletext"/>
            </w:pPr>
            <w:r w:rsidRPr="002B1A95">
              <w:t>3 to 6</w:t>
            </w:r>
          </w:p>
        </w:tc>
        <w:tc>
          <w:tcPr>
            <w:tcW w:w="597" w:type="pct"/>
            <w:tcBorders>
              <w:bottom w:val="single" w:sz="2" w:space="0" w:color="auto"/>
            </w:tcBorders>
            <w:shd w:val="clear" w:color="auto" w:fill="auto"/>
          </w:tcPr>
          <w:p w:rsidR="005B63A2" w:rsidRPr="002B1A95" w:rsidRDefault="005B63A2" w:rsidP="005B63A2">
            <w:pPr>
              <w:pStyle w:val="Tabletext"/>
            </w:pPr>
            <w:r w:rsidRPr="002B1A95">
              <w:t>0.0%</w:t>
            </w:r>
          </w:p>
        </w:tc>
        <w:tc>
          <w:tcPr>
            <w:tcW w:w="597" w:type="pct"/>
            <w:tcBorders>
              <w:bottom w:val="single" w:sz="2" w:space="0" w:color="auto"/>
            </w:tcBorders>
            <w:shd w:val="clear" w:color="auto" w:fill="auto"/>
          </w:tcPr>
          <w:p w:rsidR="005B63A2" w:rsidRPr="002B1A95" w:rsidRDefault="005B63A2" w:rsidP="005B63A2">
            <w:pPr>
              <w:pStyle w:val="Tabletext"/>
            </w:pPr>
            <w:r w:rsidRPr="002B1A95">
              <w:t>0.0%</w:t>
            </w:r>
          </w:p>
        </w:tc>
        <w:tc>
          <w:tcPr>
            <w:tcW w:w="597" w:type="pct"/>
            <w:tcBorders>
              <w:bottom w:val="single" w:sz="2" w:space="0" w:color="auto"/>
            </w:tcBorders>
            <w:shd w:val="clear" w:color="auto" w:fill="auto"/>
          </w:tcPr>
          <w:p w:rsidR="005B63A2" w:rsidRPr="002B1A95" w:rsidRDefault="005B63A2" w:rsidP="005B63A2">
            <w:pPr>
              <w:pStyle w:val="Tabletext"/>
            </w:pPr>
            <w:r w:rsidRPr="002B1A95">
              <w:t>0.0%</w:t>
            </w:r>
          </w:p>
        </w:tc>
        <w:tc>
          <w:tcPr>
            <w:tcW w:w="597" w:type="pct"/>
            <w:tcBorders>
              <w:bottom w:val="single" w:sz="2" w:space="0" w:color="auto"/>
            </w:tcBorders>
            <w:shd w:val="clear" w:color="auto" w:fill="auto"/>
          </w:tcPr>
          <w:p w:rsidR="005B63A2" w:rsidRPr="002B1A95" w:rsidRDefault="005B63A2" w:rsidP="005B63A2">
            <w:pPr>
              <w:pStyle w:val="Tabletext"/>
            </w:pPr>
            <w:r w:rsidRPr="002B1A95">
              <w:t>0.0%</w:t>
            </w:r>
          </w:p>
        </w:tc>
        <w:tc>
          <w:tcPr>
            <w:tcW w:w="512" w:type="pct"/>
            <w:tcBorders>
              <w:bottom w:val="single" w:sz="2" w:space="0" w:color="auto"/>
            </w:tcBorders>
            <w:shd w:val="clear" w:color="auto" w:fill="auto"/>
          </w:tcPr>
          <w:p w:rsidR="005B63A2" w:rsidRPr="002B1A95" w:rsidRDefault="005B63A2" w:rsidP="005B63A2">
            <w:pPr>
              <w:pStyle w:val="Tabletext"/>
            </w:pPr>
            <w:r w:rsidRPr="002B1A95">
              <w:t>0.0%</w:t>
            </w:r>
          </w:p>
        </w:tc>
        <w:tc>
          <w:tcPr>
            <w:tcW w:w="511" w:type="pct"/>
            <w:tcBorders>
              <w:bottom w:val="single" w:sz="2" w:space="0" w:color="auto"/>
            </w:tcBorders>
            <w:shd w:val="clear" w:color="auto" w:fill="auto"/>
          </w:tcPr>
          <w:p w:rsidR="005B63A2" w:rsidRPr="002B1A95" w:rsidRDefault="005B63A2" w:rsidP="005B63A2">
            <w:pPr>
              <w:pStyle w:val="Tabletext"/>
            </w:pPr>
            <w:r w:rsidRPr="002B1A95">
              <w:t>0.0%</w:t>
            </w:r>
          </w:p>
        </w:tc>
        <w:tc>
          <w:tcPr>
            <w:tcW w:w="485" w:type="pct"/>
            <w:tcBorders>
              <w:bottom w:val="single" w:sz="2" w:space="0" w:color="auto"/>
            </w:tcBorders>
            <w:shd w:val="clear" w:color="auto" w:fill="auto"/>
          </w:tcPr>
          <w:p w:rsidR="005B63A2" w:rsidRPr="002B1A95" w:rsidRDefault="005B63A2" w:rsidP="005B63A2">
            <w:pPr>
              <w:pStyle w:val="Tabletext"/>
            </w:pPr>
            <w:r w:rsidRPr="002B1A95">
              <w:t>0.1%</w:t>
            </w:r>
          </w:p>
        </w:tc>
      </w:tr>
      <w:tr w:rsidR="005B63A2" w:rsidRPr="002B1A95" w:rsidTr="003104D0">
        <w:tc>
          <w:tcPr>
            <w:tcW w:w="423" w:type="pct"/>
            <w:tcBorders>
              <w:top w:val="single" w:sz="2" w:space="0" w:color="auto"/>
              <w:bottom w:val="single" w:sz="12" w:space="0" w:color="auto"/>
            </w:tcBorders>
            <w:shd w:val="clear" w:color="auto" w:fill="auto"/>
          </w:tcPr>
          <w:p w:rsidR="005B63A2" w:rsidRPr="002B1A95" w:rsidRDefault="005B63A2" w:rsidP="005B63A2">
            <w:pPr>
              <w:pStyle w:val="Tabletext"/>
            </w:pPr>
            <w:r w:rsidRPr="002B1A95">
              <w:t>19</w:t>
            </w:r>
          </w:p>
        </w:tc>
        <w:tc>
          <w:tcPr>
            <w:tcW w:w="682" w:type="pct"/>
            <w:tcBorders>
              <w:top w:val="single" w:sz="2" w:space="0" w:color="auto"/>
              <w:bottom w:val="single" w:sz="12" w:space="0" w:color="auto"/>
            </w:tcBorders>
            <w:shd w:val="clear" w:color="auto" w:fill="auto"/>
          </w:tcPr>
          <w:p w:rsidR="005B63A2" w:rsidRPr="002B1A95" w:rsidRDefault="005B63A2" w:rsidP="005B63A2">
            <w:pPr>
              <w:pStyle w:val="Tabletext"/>
            </w:pPr>
            <w:r w:rsidRPr="002B1A95">
              <w:t>0 to 3</w:t>
            </w:r>
          </w:p>
        </w:tc>
        <w:tc>
          <w:tcPr>
            <w:tcW w:w="597" w:type="pct"/>
            <w:tcBorders>
              <w:top w:val="single" w:sz="2" w:space="0" w:color="auto"/>
              <w:bottom w:val="single" w:sz="12" w:space="0" w:color="auto"/>
            </w:tcBorders>
            <w:shd w:val="clear" w:color="auto" w:fill="auto"/>
          </w:tcPr>
          <w:p w:rsidR="005B63A2" w:rsidRPr="002B1A95" w:rsidRDefault="005B63A2" w:rsidP="005B63A2">
            <w:pPr>
              <w:pStyle w:val="Tabletext"/>
            </w:pPr>
            <w:r w:rsidRPr="002B1A95">
              <w:t>0.0%</w:t>
            </w:r>
          </w:p>
        </w:tc>
        <w:tc>
          <w:tcPr>
            <w:tcW w:w="597" w:type="pct"/>
            <w:tcBorders>
              <w:top w:val="single" w:sz="2" w:space="0" w:color="auto"/>
              <w:bottom w:val="single" w:sz="12" w:space="0" w:color="auto"/>
            </w:tcBorders>
            <w:shd w:val="clear" w:color="auto" w:fill="auto"/>
          </w:tcPr>
          <w:p w:rsidR="005B63A2" w:rsidRPr="002B1A95" w:rsidRDefault="005B63A2" w:rsidP="005B63A2">
            <w:pPr>
              <w:pStyle w:val="Tabletext"/>
            </w:pPr>
            <w:r w:rsidRPr="002B1A95">
              <w:t>0.0%</w:t>
            </w:r>
          </w:p>
        </w:tc>
        <w:tc>
          <w:tcPr>
            <w:tcW w:w="597" w:type="pct"/>
            <w:tcBorders>
              <w:top w:val="single" w:sz="2" w:space="0" w:color="auto"/>
              <w:bottom w:val="single" w:sz="12" w:space="0" w:color="auto"/>
            </w:tcBorders>
            <w:shd w:val="clear" w:color="auto" w:fill="auto"/>
          </w:tcPr>
          <w:p w:rsidR="005B63A2" w:rsidRPr="002B1A95" w:rsidRDefault="005B63A2" w:rsidP="005B63A2">
            <w:pPr>
              <w:pStyle w:val="Tabletext"/>
            </w:pPr>
            <w:r w:rsidRPr="002B1A95">
              <w:t>0.0%</w:t>
            </w:r>
          </w:p>
        </w:tc>
        <w:tc>
          <w:tcPr>
            <w:tcW w:w="597" w:type="pct"/>
            <w:tcBorders>
              <w:top w:val="single" w:sz="2" w:space="0" w:color="auto"/>
              <w:bottom w:val="single" w:sz="12" w:space="0" w:color="auto"/>
            </w:tcBorders>
            <w:shd w:val="clear" w:color="auto" w:fill="auto"/>
          </w:tcPr>
          <w:p w:rsidR="005B63A2" w:rsidRPr="002B1A95" w:rsidRDefault="005B63A2" w:rsidP="005B63A2">
            <w:pPr>
              <w:pStyle w:val="Tabletext"/>
            </w:pPr>
            <w:r w:rsidRPr="002B1A95">
              <w:t>0.0%</w:t>
            </w:r>
          </w:p>
        </w:tc>
        <w:tc>
          <w:tcPr>
            <w:tcW w:w="512" w:type="pct"/>
            <w:tcBorders>
              <w:top w:val="single" w:sz="2" w:space="0" w:color="auto"/>
              <w:bottom w:val="single" w:sz="12" w:space="0" w:color="auto"/>
            </w:tcBorders>
            <w:shd w:val="clear" w:color="auto" w:fill="auto"/>
          </w:tcPr>
          <w:p w:rsidR="005B63A2" w:rsidRPr="002B1A95" w:rsidRDefault="005B63A2" w:rsidP="005B63A2">
            <w:pPr>
              <w:pStyle w:val="Tabletext"/>
            </w:pPr>
            <w:r w:rsidRPr="002B1A95">
              <w:t>0.0%</w:t>
            </w:r>
          </w:p>
        </w:tc>
        <w:tc>
          <w:tcPr>
            <w:tcW w:w="511" w:type="pct"/>
            <w:tcBorders>
              <w:top w:val="single" w:sz="2" w:space="0" w:color="auto"/>
              <w:bottom w:val="single" w:sz="12" w:space="0" w:color="auto"/>
            </w:tcBorders>
            <w:shd w:val="clear" w:color="auto" w:fill="auto"/>
          </w:tcPr>
          <w:p w:rsidR="005B63A2" w:rsidRPr="002B1A95" w:rsidRDefault="005B63A2" w:rsidP="005B63A2">
            <w:pPr>
              <w:pStyle w:val="Tabletext"/>
            </w:pPr>
            <w:r w:rsidRPr="002B1A95">
              <w:t>0.0%</w:t>
            </w:r>
          </w:p>
        </w:tc>
        <w:tc>
          <w:tcPr>
            <w:tcW w:w="485" w:type="pct"/>
            <w:tcBorders>
              <w:top w:val="single" w:sz="2" w:space="0" w:color="auto"/>
              <w:bottom w:val="single" w:sz="12" w:space="0" w:color="auto"/>
            </w:tcBorders>
            <w:shd w:val="clear" w:color="auto" w:fill="auto"/>
          </w:tcPr>
          <w:p w:rsidR="005B63A2" w:rsidRPr="002B1A95" w:rsidRDefault="005B63A2" w:rsidP="005B63A2">
            <w:pPr>
              <w:pStyle w:val="Tabletext"/>
            </w:pPr>
            <w:r w:rsidRPr="002B1A95">
              <w:t>0.0%</w:t>
            </w:r>
          </w:p>
        </w:tc>
      </w:tr>
    </w:tbl>
    <w:p w:rsidR="005B63A2" w:rsidRPr="002B1A95" w:rsidRDefault="005B63A2" w:rsidP="005B63A2">
      <w:pPr>
        <w:pStyle w:val="Tabletext"/>
      </w:pPr>
    </w:p>
    <w:tbl>
      <w:tblPr>
        <w:tblW w:w="5000" w:type="pct"/>
        <w:tblBorders>
          <w:top w:val="single" w:sz="6" w:space="0" w:color="auto"/>
          <w:bottom w:val="single" w:sz="2" w:space="0" w:color="auto"/>
          <w:insideH w:val="single" w:sz="2" w:space="0" w:color="auto"/>
        </w:tblBorders>
        <w:tblLook w:val="0000" w:firstRow="0" w:lastRow="0" w:firstColumn="0" w:lastColumn="0" w:noHBand="0" w:noVBand="0"/>
      </w:tblPr>
      <w:tblGrid>
        <w:gridCol w:w="723"/>
        <w:gridCol w:w="10"/>
        <w:gridCol w:w="1153"/>
        <w:gridCol w:w="1018"/>
        <w:gridCol w:w="1018"/>
        <w:gridCol w:w="1018"/>
        <w:gridCol w:w="1018"/>
        <w:gridCol w:w="873"/>
        <w:gridCol w:w="872"/>
        <w:gridCol w:w="826"/>
      </w:tblGrid>
      <w:tr w:rsidR="005B63A2" w:rsidRPr="002B1A95" w:rsidTr="003104D0">
        <w:trPr>
          <w:tblHeader/>
        </w:trPr>
        <w:tc>
          <w:tcPr>
            <w:tcW w:w="5000" w:type="pct"/>
            <w:gridSpan w:val="10"/>
            <w:tcBorders>
              <w:top w:val="single" w:sz="12" w:space="0" w:color="auto"/>
              <w:bottom w:val="single" w:sz="6" w:space="0" w:color="auto"/>
            </w:tcBorders>
            <w:shd w:val="clear" w:color="auto" w:fill="auto"/>
          </w:tcPr>
          <w:p w:rsidR="005B63A2" w:rsidRPr="002B1A95" w:rsidRDefault="005B63A2" w:rsidP="005B63A2">
            <w:pPr>
              <w:pStyle w:val="TableHeading"/>
            </w:pPr>
            <w:r w:rsidRPr="002B1A95">
              <w:t>Calculation percentages 92.5 to less than to 110</w:t>
            </w:r>
          </w:p>
        </w:tc>
      </w:tr>
      <w:tr w:rsidR="005B63A2" w:rsidRPr="002B1A95" w:rsidTr="003104D0">
        <w:trPr>
          <w:tblHeader/>
        </w:trPr>
        <w:tc>
          <w:tcPr>
            <w:tcW w:w="429" w:type="pct"/>
            <w:gridSpan w:val="2"/>
            <w:vMerge w:val="restart"/>
            <w:tcBorders>
              <w:top w:val="single" w:sz="6" w:space="0" w:color="auto"/>
            </w:tcBorders>
            <w:shd w:val="clear" w:color="auto" w:fill="auto"/>
          </w:tcPr>
          <w:p w:rsidR="005B63A2" w:rsidRPr="002B1A95" w:rsidRDefault="005B63A2" w:rsidP="005B63A2">
            <w:pPr>
              <w:pStyle w:val="TableHeading"/>
            </w:pPr>
            <w:r w:rsidRPr="002B1A95">
              <w:t>Item</w:t>
            </w:r>
          </w:p>
        </w:tc>
        <w:tc>
          <w:tcPr>
            <w:tcW w:w="676" w:type="pct"/>
            <w:vMerge w:val="restart"/>
            <w:tcBorders>
              <w:top w:val="single" w:sz="6" w:space="0" w:color="auto"/>
            </w:tcBorders>
            <w:shd w:val="clear" w:color="auto" w:fill="auto"/>
          </w:tcPr>
          <w:p w:rsidR="005B63A2" w:rsidRPr="002B1A95" w:rsidRDefault="005B63A2" w:rsidP="005B63A2">
            <w:pPr>
              <w:pStyle w:val="TableHeading"/>
            </w:pPr>
            <w:r w:rsidRPr="002B1A95">
              <w:t>Exercise period (months)</w:t>
            </w:r>
          </w:p>
        </w:tc>
        <w:tc>
          <w:tcPr>
            <w:tcW w:w="3895" w:type="pct"/>
            <w:gridSpan w:val="7"/>
            <w:tcBorders>
              <w:top w:val="single" w:sz="6" w:space="0" w:color="auto"/>
              <w:bottom w:val="nil"/>
            </w:tcBorders>
            <w:shd w:val="clear" w:color="auto" w:fill="auto"/>
          </w:tcPr>
          <w:p w:rsidR="005B63A2" w:rsidRPr="002B1A95" w:rsidRDefault="005B63A2" w:rsidP="005B63A2">
            <w:pPr>
              <w:pStyle w:val="TableHeading"/>
            </w:pPr>
            <w:r w:rsidRPr="002B1A95">
              <w:t>Calculation percentage</w:t>
            </w:r>
          </w:p>
        </w:tc>
      </w:tr>
      <w:tr w:rsidR="005B63A2" w:rsidRPr="002B1A95" w:rsidTr="003104D0">
        <w:trPr>
          <w:tblHeader/>
        </w:trPr>
        <w:tc>
          <w:tcPr>
            <w:tcW w:w="429" w:type="pct"/>
            <w:gridSpan w:val="2"/>
            <w:vMerge/>
            <w:tcBorders>
              <w:bottom w:val="single" w:sz="12" w:space="0" w:color="auto"/>
            </w:tcBorders>
            <w:shd w:val="clear" w:color="auto" w:fill="auto"/>
          </w:tcPr>
          <w:p w:rsidR="005B63A2" w:rsidRPr="002B1A95" w:rsidRDefault="005B63A2" w:rsidP="005B63A2">
            <w:pPr>
              <w:pStyle w:val="TableHeading"/>
            </w:pPr>
          </w:p>
        </w:tc>
        <w:tc>
          <w:tcPr>
            <w:tcW w:w="676" w:type="pct"/>
            <w:vMerge/>
            <w:tcBorders>
              <w:bottom w:val="single" w:sz="12" w:space="0" w:color="auto"/>
            </w:tcBorders>
            <w:shd w:val="clear" w:color="auto" w:fill="auto"/>
          </w:tcPr>
          <w:p w:rsidR="005B63A2" w:rsidRPr="002B1A95" w:rsidRDefault="005B63A2" w:rsidP="005B63A2">
            <w:pPr>
              <w:pStyle w:val="TableHeading"/>
            </w:pPr>
          </w:p>
        </w:tc>
        <w:tc>
          <w:tcPr>
            <w:tcW w:w="597" w:type="pct"/>
            <w:tcBorders>
              <w:top w:val="nil"/>
              <w:bottom w:val="single" w:sz="12" w:space="0" w:color="auto"/>
            </w:tcBorders>
            <w:shd w:val="clear" w:color="auto" w:fill="auto"/>
          </w:tcPr>
          <w:p w:rsidR="005B63A2" w:rsidRPr="002B1A95" w:rsidRDefault="005B63A2" w:rsidP="005B63A2">
            <w:pPr>
              <w:pStyle w:val="TableHeading"/>
            </w:pPr>
            <w:r w:rsidRPr="002B1A95">
              <w:t>92.5 to 95</w:t>
            </w:r>
          </w:p>
        </w:tc>
        <w:tc>
          <w:tcPr>
            <w:tcW w:w="597" w:type="pct"/>
            <w:tcBorders>
              <w:top w:val="nil"/>
              <w:bottom w:val="single" w:sz="12" w:space="0" w:color="auto"/>
            </w:tcBorders>
            <w:shd w:val="clear" w:color="auto" w:fill="auto"/>
          </w:tcPr>
          <w:p w:rsidR="005B63A2" w:rsidRPr="002B1A95" w:rsidRDefault="005B63A2" w:rsidP="005B63A2">
            <w:pPr>
              <w:pStyle w:val="TableHeading"/>
            </w:pPr>
            <w:r w:rsidRPr="002B1A95">
              <w:t>95 to 97.5</w:t>
            </w:r>
          </w:p>
        </w:tc>
        <w:tc>
          <w:tcPr>
            <w:tcW w:w="597" w:type="pct"/>
            <w:tcBorders>
              <w:top w:val="nil"/>
              <w:bottom w:val="single" w:sz="12" w:space="0" w:color="auto"/>
            </w:tcBorders>
            <w:shd w:val="clear" w:color="auto" w:fill="auto"/>
          </w:tcPr>
          <w:p w:rsidR="005B63A2" w:rsidRPr="002B1A95" w:rsidRDefault="005B63A2" w:rsidP="005B63A2">
            <w:pPr>
              <w:pStyle w:val="TableHeading"/>
            </w:pPr>
            <w:r w:rsidRPr="002B1A95">
              <w:t>97.5 to 100</w:t>
            </w:r>
          </w:p>
        </w:tc>
        <w:tc>
          <w:tcPr>
            <w:tcW w:w="597" w:type="pct"/>
            <w:tcBorders>
              <w:top w:val="nil"/>
              <w:bottom w:val="single" w:sz="12" w:space="0" w:color="auto"/>
            </w:tcBorders>
            <w:shd w:val="clear" w:color="auto" w:fill="auto"/>
          </w:tcPr>
          <w:p w:rsidR="005B63A2" w:rsidRPr="002B1A95" w:rsidRDefault="005B63A2" w:rsidP="005B63A2">
            <w:pPr>
              <w:pStyle w:val="TableHeading"/>
            </w:pPr>
            <w:r w:rsidRPr="002B1A95">
              <w:t>100 to 102.5</w:t>
            </w:r>
          </w:p>
        </w:tc>
        <w:tc>
          <w:tcPr>
            <w:tcW w:w="512" w:type="pct"/>
            <w:tcBorders>
              <w:top w:val="nil"/>
              <w:bottom w:val="single" w:sz="12" w:space="0" w:color="auto"/>
            </w:tcBorders>
            <w:shd w:val="clear" w:color="auto" w:fill="auto"/>
          </w:tcPr>
          <w:p w:rsidR="005B63A2" w:rsidRPr="002B1A95" w:rsidRDefault="005B63A2" w:rsidP="005B63A2">
            <w:pPr>
              <w:pStyle w:val="TableHeading"/>
            </w:pPr>
            <w:r w:rsidRPr="002B1A95">
              <w:t>102.5 to 105</w:t>
            </w:r>
          </w:p>
        </w:tc>
        <w:tc>
          <w:tcPr>
            <w:tcW w:w="511" w:type="pct"/>
            <w:tcBorders>
              <w:top w:val="nil"/>
              <w:bottom w:val="single" w:sz="12" w:space="0" w:color="auto"/>
            </w:tcBorders>
            <w:shd w:val="clear" w:color="auto" w:fill="auto"/>
          </w:tcPr>
          <w:p w:rsidR="005B63A2" w:rsidRPr="002B1A95" w:rsidRDefault="005B63A2" w:rsidP="005B63A2">
            <w:pPr>
              <w:pStyle w:val="TableHeading"/>
            </w:pPr>
            <w:r w:rsidRPr="002B1A95">
              <w:t>105 to 107.5</w:t>
            </w:r>
          </w:p>
        </w:tc>
        <w:tc>
          <w:tcPr>
            <w:tcW w:w="485" w:type="pct"/>
            <w:tcBorders>
              <w:top w:val="nil"/>
              <w:bottom w:val="single" w:sz="12" w:space="0" w:color="auto"/>
            </w:tcBorders>
            <w:shd w:val="clear" w:color="auto" w:fill="auto"/>
          </w:tcPr>
          <w:p w:rsidR="005B63A2" w:rsidRPr="002B1A95" w:rsidRDefault="005B63A2" w:rsidP="005B63A2">
            <w:pPr>
              <w:pStyle w:val="TableHeading"/>
            </w:pPr>
            <w:r w:rsidRPr="002B1A95">
              <w:t>107.5 to less than to 110</w:t>
            </w:r>
          </w:p>
        </w:tc>
      </w:tr>
      <w:tr w:rsidR="005B63A2" w:rsidRPr="002B1A95" w:rsidTr="003104D0">
        <w:tblPrEx>
          <w:tblBorders>
            <w:top w:val="single" w:sz="4" w:space="0" w:color="auto"/>
          </w:tblBorders>
        </w:tblPrEx>
        <w:tc>
          <w:tcPr>
            <w:tcW w:w="423" w:type="pct"/>
            <w:tcBorders>
              <w:top w:val="single" w:sz="12" w:space="0" w:color="auto"/>
            </w:tcBorders>
            <w:shd w:val="clear" w:color="auto" w:fill="auto"/>
          </w:tcPr>
          <w:p w:rsidR="005B63A2" w:rsidRPr="002B1A95" w:rsidRDefault="005B63A2" w:rsidP="005B63A2">
            <w:pPr>
              <w:pStyle w:val="Tabletext"/>
            </w:pPr>
            <w:r w:rsidRPr="002B1A95">
              <w:t>20</w:t>
            </w:r>
          </w:p>
        </w:tc>
        <w:tc>
          <w:tcPr>
            <w:tcW w:w="682" w:type="pct"/>
            <w:gridSpan w:val="2"/>
            <w:tcBorders>
              <w:top w:val="single" w:sz="12" w:space="0" w:color="auto"/>
            </w:tcBorders>
            <w:shd w:val="clear" w:color="auto" w:fill="auto"/>
          </w:tcPr>
          <w:p w:rsidR="005B63A2" w:rsidRPr="002B1A95" w:rsidRDefault="005B63A2" w:rsidP="005B63A2">
            <w:pPr>
              <w:pStyle w:val="Tabletext"/>
            </w:pPr>
            <w:r w:rsidRPr="002B1A95">
              <w:t>168 to 180</w:t>
            </w:r>
          </w:p>
        </w:tc>
        <w:tc>
          <w:tcPr>
            <w:tcW w:w="597" w:type="pct"/>
            <w:tcBorders>
              <w:top w:val="single" w:sz="12" w:space="0" w:color="auto"/>
            </w:tcBorders>
            <w:shd w:val="clear" w:color="auto" w:fill="auto"/>
          </w:tcPr>
          <w:p w:rsidR="005B63A2" w:rsidRPr="002B1A95" w:rsidRDefault="005B63A2" w:rsidP="005B63A2">
            <w:pPr>
              <w:pStyle w:val="Tabletext"/>
            </w:pPr>
            <w:r w:rsidRPr="002B1A95">
              <w:t>7.9%</w:t>
            </w:r>
          </w:p>
        </w:tc>
        <w:tc>
          <w:tcPr>
            <w:tcW w:w="597" w:type="pct"/>
            <w:tcBorders>
              <w:top w:val="single" w:sz="12" w:space="0" w:color="auto"/>
            </w:tcBorders>
            <w:shd w:val="clear" w:color="auto" w:fill="auto"/>
          </w:tcPr>
          <w:p w:rsidR="005B63A2" w:rsidRPr="002B1A95" w:rsidRDefault="005B63A2" w:rsidP="005B63A2">
            <w:pPr>
              <w:pStyle w:val="Tabletext"/>
            </w:pPr>
            <w:r w:rsidRPr="002B1A95">
              <w:t>8.6%</w:t>
            </w:r>
          </w:p>
        </w:tc>
        <w:tc>
          <w:tcPr>
            <w:tcW w:w="597" w:type="pct"/>
            <w:tcBorders>
              <w:top w:val="single" w:sz="12" w:space="0" w:color="auto"/>
            </w:tcBorders>
            <w:shd w:val="clear" w:color="auto" w:fill="auto"/>
          </w:tcPr>
          <w:p w:rsidR="005B63A2" w:rsidRPr="002B1A95" w:rsidRDefault="005B63A2" w:rsidP="005B63A2">
            <w:pPr>
              <w:pStyle w:val="Tabletext"/>
            </w:pPr>
            <w:r w:rsidRPr="002B1A95">
              <w:t>9.4%</w:t>
            </w:r>
          </w:p>
        </w:tc>
        <w:tc>
          <w:tcPr>
            <w:tcW w:w="597" w:type="pct"/>
            <w:tcBorders>
              <w:top w:val="single" w:sz="12" w:space="0" w:color="auto"/>
            </w:tcBorders>
            <w:shd w:val="clear" w:color="auto" w:fill="auto"/>
          </w:tcPr>
          <w:p w:rsidR="005B63A2" w:rsidRPr="002B1A95" w:rsidRDefault="005B63A2" w:rsidP="005B63A2">
            <w:pPr>
              <w:pStyle w:val="Tabletext"/>
            </w:pPr>
            <w:r w:rsidRPr="002B1A95">
              <w:t>10.3%</w:t>
            </w:r>
          </w:p>
        </w:tc>
        <w:tc>
          <w:tcPr>
            <w:tcW w:w="512" w:type="pct"/>
            <w:tcBorders>
              <w:top w:val="single" w:sz="12" w:space="0" w:color="auto"/>
            </w:tcBorders>
            <w:shd w:val="clear" w:color="auto" w:fill="auto"/>
          </w:tcPr>
          <w:p w:rsidR="005B63A2" w:rsidRPr="002B1A95" w:rsidRDefault="005B63A2" w:rsidP="005B63A2">
            <w:pPr>
              <w:pStyle w:val="Tabletext"/>
            </w:pPr>
            <w:r w:rsidRPr="002B1A95">
              <w:t>11.2%</w:t>
            </w:r>
          </w:p>
        </w:tc>
        <w:tc>
          <w:tcPr>
            <w:tcW w:w="511" w:type="pct"/>
            <w:tcBorders>
              <w:top w:val="single" w:sz="12" w:space="0" w:color="auto"/>
            </w:tcBorders>
            <w:shd w:val="clear" w:color="auto" w:fill="auto"/>
          </w:tcPr>
          <w:p w:rsidR="005B63A2" w:rsidRPr="002B1A95" w:rsidRDefault="005B63A2" w:rsidP="005B63A2">
            <w:pPr>
              <w:pStyle w:val="Tabletext"/>
            </w:pPr>
            <w:r w:rsidRPr="002B1A95">
              <w:t>12.2%</w:t>
            </w:r>
          </w:p>
        </w:tc>
        <w:tc>
          <w:tcPr>
            <w:tcW w:w="485" w:type="pct"/>
            <w:tcBorders>
              <w:top w:val="single" w:sz="12" w:space="0" w:color="auto"/>
            </w:tcBorders>
            <w:shd w:val="clear" w:color="auto" w:fill="auto"/>
          </w:tcPr>
          <w:p w:rsidR="005B63A2" w:rsidRPr="002B1A95" w:rsidRDefault="005B63A2" w:rsidP="005B63A2">
            <w:pPr>
              <w:pStyle w:val="Tabletext"/>
            </w:pPr>
            <w:r w:rsidRPr="002B1A95">
              <w:t>13.3%</w:t>
            </w:r>
          </w:p>
        </w:tc>
      </w:tr>
      <w:tr w:rsidR="005B63A2" w:rsidRPr="002B1A95" w:rsidTr="003104D0">
        <w:tblPrEx>
          <w:tblBorders>
            <w:top w:val="single" w:sz="4" w:space="0" w:color="auto"/>
          </w:tblBorders>
        </w:tblPrEx>
        <w:tc>
          <w:tcPr>
            <w:tcW w:w="423" w:type="pct"/>
            <w:shd w:val="clear" w:color="auto" w:fill="auto"/>
          </w:tcPr>
          <w:p w:rsidR="005B63A2" w:rsidRPr="002B1A95" w:rsidRDefault="005B63A2" w:rsidP="005B63A2">
            <w:pPr>
              <w:pStyle w:val="Tabletext"/>
            </w:pPr>
            <w:r w:rsidRPr="002B1A95">
              <w:t>21</w:t>
            </w:r>
          </w:p>
        </w:tc>
        <w:tc>
          <w:tcPr>
            <w:tcW w:w="682" w:type="pct"/>
            <w:gridSpan w:val="2"/>
            <w:shd w:val="clear" w:color="auto" w:fill="auto"/>
          </w:tcPr>
          <w:p w:rsidR="005B63A2" w:rsidRPr="002B1A95" w:rsidRDefault="005B63A2" w:rsidP="005B63A2">
            <w:pPr>
              <w:pStyle w:val="Tabletext"/>
            </w:pPr>
            <w:r w:rsidRPr="002B1A95">
              <w:t>156 to 168</w:t>
            </w:r>
          </w:p>
        </w:tc>
        <w:tc>
          <w:tcPr>
            <w:tcW w:w="597" w:type="pct"/>
            <w:shd w:val="clear" w:color="auto" w:fill="auto"/>
          </w:tcPr>
          <w:p w:rsidR="005B63A2" w:rsidRPr="002B1A95" w:rsidRDefault="005B63A2" w:rsidP="005B63A2">
            <w:pPr>
              <w:pStyle w:val="Tabletext"/>
            </w:pPr>
            <w:r w:rsidRPr="002B1A95">
              <w:t>7.8%</w:t>
            </w:r>
          </w:p>
        </w:tc>
        <w:tc>
          <w:tcPr>
            <w:tcW w:w="597" w:type="pct"/>
            <w:shd w:val="clear" w:color="auto" w:fill="auto"/>
          </w:tcPr>
          <w:p w:rsidR="005B63A2" w:rsidRPr="002B1A95" w:rsidRDefault="005B63A2" w:rsidP="005B63A2">
            <w:pPr>
              <w:pStyle w:val="Tabletext"/>
            </w:pPr>
            <w:r w:rsidRPr="002B1A95">
              <w:t>8.6%</w:t>
            </w:r>
          </w:p>
        </w:tc>
        <w:tc>
          <w:tcPr>
            <w:tcW w:w="597" w:type="pct"/>
            <w:shd w:val="clear" w:color="auto" w:fill="auto"/>
          </w:tcPr>
          <w:p w:rsidR="005B63A2" w:rsidRPr="002B1A95" w:rsidRDefault="005B63A2" w:rsidP="005B63A2">
            <w:pPr>
              <w:pStyle w:val="Tabletext"/>
            </w:pPr>
            <w:r w:rsidRPr="002B1A95">
              <w:t>9.4%</w:t>
            </w:r>
          </w:p>
        </w:tc>
        <w:tc>
          <w:tcPr>
            <w:tcW w:w="597" w:type="pct"/>
            <w:shd w:val="clear" w:color="auto" w:fill="auto"/>
          </w:tcPr>
          <w:p w:rsidR="005B63A2" w:rsidRPr="002B1A95" w:rsidRDefault="005B63A2" w:rsidP="005B63A2">
            <w:pPr>
              <w:pStyle w:val="Tabletext"/>
            </w:pPr>
            <w:r w:rsidRPr="002B1A95">
              <w:t>10.3%</w:t>
            </w:r>
          </w:p>
        </w:tc>
        <w:tc>
          <w:tcPr>
            <w:tcW w:w="512" w:type="pct"/>
            <w:shd w:val="clear" w:color="auto" w:fill="auto"/>
          </w:tcPr>
          <w:p w:rsidR="005B63A2" w:rsidRPr="002B1A95" w:rsidRDefault="005B63A2" w:rsidP="005B63A2">
            <w:pPr>
              <w:pStyle w:val="Tabletext"/>
            </w:pPr>
            <w:r w:rsidRPr="002B1A95">
              <w:t>11.2%</w:t>
            </w:r>
          </w:p>
        </w:tc>
        <w:tc>
          <w:tcPr>
            <w:tcW w:w="511" w:type="pct"/>
            <w:shd w:val="clear" w:color="auto" w:fill="auto"/>
          </w:tcPr>
          <w:p w:rsidR="005B63A2" w:rsidRPr="002B1A95" w:rsidRDefault="005B63A2" w:rsidP="005B63A2">
            <w:pPr>
              <w:pStyle w:val="Tabletext"/>
            </w:pPr>
            <w:r w:rsidRPr="002B1A95">
              <w:t>12.2%</w:t>
            </w:r>
          </w:p>
        </w:tc>
        <w:tc>
          <w:tcPr>
            <w:tcW w:w="485" w:type="pct"/>
            <w:shd w:val="clear" w:color="auto" w:fill="auto"/>
          </w:tcPr>
          <w:p w:rsidR="005B63A2" w:rsidRPr="002B1A95" w:rsidRDefault="005B63A2" w:rsidP="005B63A2">
            <w:pPr>
              <w:pStyle w:val="Tabletext"/>
            </w:pPr>
            <w:r w:rsidRPr="002B1A95">
              <w:t>13.3%</w:t>
            </w:r>
          </w:p>
        </w:tc>
      </w:tr>
      <w:tr w:rsidR="005B63A2" w:rsidRPr="002B1A95" w:rsidTr="003104D0">
        <w:tblPrEx>
          <w:tblBorders>
            <w:top w:val="single" w:sz="4" w:space="0" w:color="auto"/>
          </w:tblBorders>
        </w:tblPrEx>
        <w:tc>
          <w:tcPr>
            <w:tcW w:w="423" w:type="pct"/>
            <w:shd w:val="clear" w:color="auto" w:fill="auto"/>
          </w:tcPr>
          <w:p w:rsidR="005B63A2" w:rsidRPr="002B1A95" w:rsidRDefault="005B63A2" w:rsidP="005B63A2">
            <w:pPr>
              <w:pStyle w:val="Tabletext"/>
            </w:pPr>
            <w:r w:rsidRPr="002B1A95">
              <w:t>22</w:t>
            </w:r>
          </w:p>
        </w:tc>
        <w:tc>
          <w:tcPr>
            <w:tcW w:w="682" w:type="pct"/>
            <w:gridSpan w:val="2"/>
            <w:shd w:val="clear" w:color="auto" w:fill="auto"/>
          </w:tcPr>
          <w:p w:rsidR="005B63A2" w:rsidRPr="002B1A95" w:rsidRDefault="005B63A2" w:rsidP="005B63A2">
            <w:pPr>
              <w:pStyle w:val="Tabletext"/>
            </w:pPr>
            <w:r w:rsidRPr="002B1A95">
              <w:t>144 to 156</w:t>
            </w:r>
          </w:p>
        </w:tc>
        <w:tc>
          <w:tcPr>
            <w:tcW w:w="597" w:type="pct"/>
            <w:shd w:val="clear" w:color="auto" w:fill="auto"/>
          </w:tcPr>
          <w:p w:rsidR="005B63A2" w:rsidRPr="002B1A95" w:rsidRDefault="005B63A2" w:rsidP="005B63A2">
            <w:pPr>
              <w:pStyle w:val="Tabletext"/>
            </w:pPr>
            <w:r w:rsidRPr="002B1A95">
              <w:t>7.7%</w:t>
            </w:r>
          </w:p>
        </w:tc>
        <w:tc>
          <w:tcPr>
            <w:tcW w:w="597" w:type="pct"/>
            <w:shd w:val="clear" w:color="auto" w:fill="auto"/>
          </w:tcPr>
          <w:p w:rsidR="005B63A2" w:rsidRPr="002B1A95" w:rsidRDefault="005B63A2" w:rsidP="005B63A2">
            <w:pPr>
              <w:pStyle w:val="Tabletext"/>
            </w:pPr>
            <w:r w:rsidRPr="002B1A95">
              <w:t>8.5%</w:t>
            </w:r>
          </w:p>
        </w:tc>
        <w:tc>
          <w:tcPr>
            <w:tcW w:w="597" w:type="pct"/>
            <w:shd w:val="clear" w:color="auto" w:fill="auto"/>
          </w:tcPr>
          <w:p w:rsidR="005B63A2" w:rsidRPr="002B1A95" w:rsidRDefault="005B63A2" w:rsidP="005B63A2">
            <w:pPr>
              <w:pStyle w:val="Tabletext"/>
            </w:pPr>
            <w:r w:rsidRPr="002B1A95">
              <w:t>9.4%</w:t>
            </w:r>
          </w:p>
        </w:tc>
        <w:tc>
          <w:tcPr>
            <w:tcW w:w="597" w:type="pct"/>
            <w:shd w:val="clear" w:color="auto" w:fill="auto"/>
          </w:tcPr>
          <w:p w:rsidR="005B63A2" w:rsidRPr="002B1A95" w:rsidRDefault="005B63A2" w:rsidP="005B63A2">
            <w:pPr>
              <w:pStyle w:val="Tabletext"/>
            </w:pPr>
            <w:r w:rsidRPr="002B1A95">
              <w:t>10.3%</w:t>
            </w:r>
          </w:p>
        </w:tc>
        <w:tc>
          <w:tcPr>
            <w:tcW w:w="512" w:type="pct"/>
            <w:shd w:val="clear" w:color="auto" w:fill="auto"/>
          </w:tcPr>
          <w:p w:rsidR="005B63A2" w:rsidRPr="002B1A95" w:rsidRDefault="005B63A2" w:rsidP="005B63A2">
            <w:pPr>
              <w:pStyle w:val="Tabletext"/>
            </w:pPr>
            <w:r w:rsidRPr="002B1A95">
              <w:t>11.2%</w:t>
            </w:r>
          </w:p>
        </w:tc>
        <w:tc>
          <w:tcPr>
            <w:tcW w:w="511" w:type="pct"/>
            <w:shd w:val="clear" w:color="auto" w:fill="auto"/>
          </w:tcPr>
          <w:p w:rsidR="005B63A2" w:rsidRPr="002B1A95" w:rsidRDefault="005B63A2" w:rsidP="005B63A2">
            <w:pPr>
              <w:pStyle w:val="Tabletext"/>
            </w:pPr>
            <w:r w:rsidRPr="002B1A95">
              <w:t>12.2%</w:t>
            </w:r>
          </w:p>
        </w:tc>
        <w:tc>
          <w:tcPr>
            <w:tcW w:w="485" w:type="pct"/>
            <w:shd w:val="clear" w:color="auto" w:fill="auto"/>
          </w:tcPr>
          <w:p w:rsidR="005B63A2" w:rsidRPr="002B1A95" w:rsidRDefault="005B63A2" w:rsidP="005B63A2">
            <w:pPr>
              <w:pStyle w:val="Tabletext"/>
            </w:pPr>
            <w:r w:rsidRPr="002B1A95">
              <w:t>13.3%</w:t>
            </w:r>
          </w:p>
        </w:tc>
      </w:tr>
      <w:tr w:rsidR="005B63A2" w:rsidRPr="002B1A95" w:rsidTr="003104D0">
        <w:tblPrEx>
          <w:tblBorders>
            <w:top w:val="single" w:sz="4" w:space="0" w:color="auto"/>
          </w:tblBorders>
        </w:tblPrEx>
        <w:tc>
          <w:tcPr>
            <w:tcW w:w="423" w:type="pct"/>
            <w:shd w:val="clear" w:color="auto" w:fill="auto"/>
          </w:tcPr>
          <w:p w:rsidR="005B63A2" w:rsidRPr="002B1A95" w:rsidRDefault="005B63A2" w:rsidP="005B63A2">
            <w:pPr>
              <w:pStyle w:val="Tabletext"/>
            </w:pPr>
            <w:r w:rsidRPr="002B1A95">
              <w:t>23</w:t>
            </w:r>
          </w:p>
        </w:tc>
        <w:tc>
          <w:tcPr>
            <w:tcW w:w="682" w:type="pct"/>
            <w:gridSpan w:val="2"/>
            <w:shd w:val="clear" w:color="auto" w:fill="auto"/>
          </w:tcPr>
          <w:p w:rsidR="005B63A2" w:rsidRPr="002B1A95" w:rsidRDefault="005B63A2" w:rsidP="005B63A2">
            <w:pPr>
              <w:pStyle w:val="Tabletext"/>
            </w:pPr>
            <w:r w:rsidRPr="002B1A95">
              <w:t>132 to 144</w:t>
            </w:r>
          </w:p>
        </w:tc>
        <w:tc>
          <w:tcPr>
            <w:tcW w:w="597" w:type="pct"/>
            <w:shd w:val="clear" w:color="auto" w:fill="auto"/>
          </w:tcPr>
          <w:p w:rsidR="005B63A2" w:rsidRPr="002B1A95" w:rsidRDefault="005B63A2" w:rsidP="005B63A2">
            <w:pPr>
              <w:pStyle w:val="Tabletext"/>
            </w:pPr>
            <w:r w:rsidRPr="002B1A95">
              <w:t>7.6%</w:t>
            </w:r>
          </w:p>
        </w:tc>
        <w:tc>
          <w:tcPr>
            <w:tcW w:w="597" w:type="pct"/>
            <w:shd w:val="clear" w:color="auto" w:fill="auto"/>
          </w:tcPr>
          <w:p w:rsidR="005B63A2" w:rsidRPr="002B1A95" w:rsidRDefault="005B63A2" w:rsidP="005B63A2">
            <w:pPr>
              <w:pStyle w:val="Tabletext"/>
            </w:pPr>
            <w:r w:rsidRPr="002B1A95">
              <w:t>8.4%</w:t>
            </w:r>
          </w:p>
        </w:tc>
        <w:tc>
          <w:tcPr>
            <w:tcW w:w="597" w:type="pct"/>
            <w:shd w:val="clear" w:color="auto" w:fill="auto"/>
          </w:tcPr>
          <w:p w:rsidR="005B63A2" w:rsidRPr="002B1A95" w:rsidRDefault="005B63A2" w:rsidP="005B63A2">
            <w:pPr>
              <w:pStyle w:val="Tabletext"/>
            </w:pPr>
            <w:r w:rsidRPr="002B1A95">
              <w:t>9.3%</w:t>
            </w:r>
          </w:p>
        </w:tc>
        <w:tc>
          <w:tcPr>
            <w:tcW w:w="597" w:type="pct"/>
            <w:shd w:val="clear" w:color="auto" w:fill="auto"/>
          </w:tcPr>
          <w:p w:rsidR="005B63A2" w:rsidRPr="002B1A95" w:rsidRDefault="005B63A2" w:rsidP="005B63A2">
            <w:pPr>
              <w:pStyle w:val="Tabletext"/>
            </w:pPr>
            <w:r w:rsidRPr="002B1A95">
              <w:t>10.2%</w:t>
            </w:r>
          </w:p>
        </w:tc>
        <w:tc>
          <w:tcPr>
            <w:tcW w:w="512" w:type="pct"/>
            <w:shd w:val="clear" w:color="auto" w:fill="auto"/>
          </w:tcPr>
          <w:p w:rsidR="005B63A2" w:rsidRPr="002B1A95" w:rsidRDefault="005B63A2" w:rsidP="005B63A2">
            <w:pPr>
              <w:pStyle w:val="Tabletext"/>
            </w:pPr>
            <w:r w:rsidRPr="002B1A95">
              <w:t>11.2%</w:t>
            </w:r>
          </w:p>
        </w:tc>
        <w:tc>
          <w:tcPr>
            <w:tcW w:w="511" w:type="pct"/>
            <w:shd w:val="clear" w:color="auto" w:fill="auto"/>
          </w:tcPr>
          <w:p w:rsidR="005B63A2" w:rsidRPr="002B1A95" w:rsidRDefault="005B63A2" w:rsidP="005B63A2">
            <w:pPr>
              <w:pStyle w:val="Tabletext"/>
            </w:pPr>
            <w:r w:rsidRPr="002B1A95">
              <w:t>12.2%</w:t>
            </w:r>
          </w:p>
        </w:tc>
        <w:tc>
          <w:tcPr>
            <w:tcW w:w="485" w:type="pct"/>
            <w:shd w:val="clear" w:color="auto" w:fill="auto"/>
          </w:tcPr>
          <w:p w:rsidR="005B63A2" w:rsidRPr="002B1A95" w:rsidRDefault="005B63A2" w:rsidP="005B63A2">
            <w:pPr>
              <w:pStyle w:val="Tabletext"/>
            </w:pPr>
            <w:r w:rsidRPr="002B1A95">
              <w:t>13.3%</w:t>
            </w:r>
          </w:p>
        </w:tc>
      </w:tr>
      <w:tr w:rsidR="005B63A2" w:rsidRPr="002B1A95" w:rsidTr="003104D0">
        <w:tblPrEx>
          <w:tblBorders>
            <w:top w:val="single" w:sz="4" w:space="0" w:color="auto"/>
          </w:tblBorders>
        </w:tblPrEx>
        <w:tc>
          <w:tcPr>
            <w:tcW w:w="423" w:type="pct"/>
            <w:shd w:val="clear" w:color="auto" w:fill="auto"/>
          </w:tcPr>
          <w:p w:rsidR="005B63A2" w:rsidRPr="002B1A95" w:rsidRDefault="005B63A2" w:rsidP="005B63A2">
            <w:pPr>
              <w:pStyle w:val="Tabletext"/>
            </w:pPr>
            <w:r w:rsidRPr="002B1A95">
              <w:t>24</w:t>
            </w:r>
          </w:p>
        </w:tc>
        <w:tc>
          <w:tcPr>
            <w:tcW w:w="682" w:type="pct"/>
            <w:gridSpan w:val="2"/>
            <w:shd w:val="clear" w:color="auto" w:fill="auto"/>
          </w:tcPr>
          <w:p w:rsidR="005B63A2" w:rsidRPr="002B1A95" w:rsidRDefault="005B63A2" w:rsidP="005B63A2">
            <w:pPr>
              <w:pStyle w:val="Tabletext"/>
            </w:pPr>
            <w:r w:rsidRPr="002B1A95">
              <w:t>120 to 132</w:t>
            </w:r>
          </w:p>
        </w:tc>
        <w:tc>
          <w:tcPr>
            <w:tcW w:w="597" w:type="pct"/>
            <w:shd w:val="clear" w:color="auto" w:fill="auto"/>
          </w:tcPr>
          <w:p w:rsidR="005B63A2" w:rsidRPr="002B1A95" w:rsidRDefault="005B63A2" w:rsidP="005B63A2">
            <w:pPr>
              <w:pStyle w:val="Tabletext"/>
            </w:pPr>
            <w:r w:rsidRPr="002B1A95">
              <w:t>7.5%</w:t>
            </w:r>
          </w:p>
        </w:tc>
        <w:tc>
          <w:tcPr>
            <w:tcW w:w="597" w:type="pct"/>
            <w:shd w:val="clear" w:color="auto" w:fill="auto"/>
          </w:tcPr>
          <w:p w:rsidR="005B63A2" w:rsidRPr="002B1A95" w:rsidRDefault="005B63A2" w:rsidP="005B63A2">
            <w:pPr>
              <w:pStyle w:val="Tabletext"/>
            </w:pPr>
            <w:r w:rsidRPr="002B1A95">
              <w:t>8.3%</w:t>
            </w:r>
          </w:p>
        </w:tc>
        <w:tc>
          <w:tcPr>
            <w:tcW w:w="597" w:type="pct"/>
            <w:shd w:val="clear" w:color="auto" w:fill="auto"/>
          </w:tcPr>
          <w:p w:rsidR="005B63A2" w:rsidRPr="002B1A95" w:rsidRDefault="005B63A2" w:rsidP="005B63A2">
            <w:pPr>
              <w:pStyle w:val="Tabletext"/>
            </w:pPr>
            <w:r w:rsidRPr="002B1A95">
              <w:t>9.2%</w:t>
            </w:r>
          </w:p>
        </w:tc>
        <w:tc>
          <w:tcPr>
            <w:tcW w:w="597" w:type="pct"/>
            <w:shd w:val="clear" w:color="auto" w:fill="auto"/>
          </w:tcPr>
          <w:p w:rsidR="005B63A2" w:rsidRPr="002B1A95" w:rsidRDefault="005B63A2" w:rsidP="005B63A2">
            <w:pPr>
              <w:pStyle w:val="Tabletext"/>
            </w:pPr>
            <w:r w:rsidRPr="002B1A95">
              <w:t>10.2%</w:t>
            </w:r>
          </w:p>
        </w:tc>
        <w:tc>
          <w:tcPr>
            <w:tcW w:w="512" w:type="pct"/>
            <w:shd w:val="clear" w:color="auto" w:fill="auto"/>
          </w:tcPr>
          <w:p w:rsidR="005B63A2" w:rsidRPr="002B1A95" w:rsidRDefault="005B63A2" w:rsidP="005B63A2">
            <w:pPr>
              <w:pStyle w:val="Tabletext"/>
            </w:pPr>
            <w:r w:rsidRPr="002B1A95">
              <w:t>11.2%</w:t>
            </w:r>
          </w:p>
        </w:tc>
        <w:tc>
          <w:tcPr>
            <w:tcW w:w="511" w:type="pct"/>
            <w:shd w:val="clear" w:color="auto" w:fill="auto"/>
          </w:tcPr>
          <w:p w:rsidR="005B63A2" w:rsidRPr="002B1A95" w:rsidRDefault="005B63A2" w:rsidP="005B63A2">
            <w:pPr>
              <w:pStyle w:val="Tabletext"/>
            </w:pPr>
            <w:r w:rsidRPr="002B1A95">
              <w:t>12.2%</w:t>
            </w:r>
          </w:p>
        </w:tc>
        <w:tc>
          <w:tcPr>
            <w:tcW w:w="485" w:type="pct"/>
            <w:shd w:val="clear" w:color="auto" w:fill="auto"/>
          </w:tcPr>
          <w:p w:rsidR="005B63A2" w:rsidRPr="002B1A95" w:rsidRDefault="005B63A2" w:rsidP="005B63A2">
            <w:pPr>
              <w:pStyle w:val="Tabletext"/>
            </w:pPr>
            <w:r w:rsidRPr="002B1A95">
              <w:t>13.3%</w:t>
            </w:r>
          </w:p>
        </w:tc>
      </w:tr>
      <w:tr w:rsidR="005B63A2" w:rsidRPr="002B1A95" w:rsidTr="003104D0">
        <w:tblPrEx>
          <w:tblBorders>
            <w:top w:val="single" w:sz="4" w:space="0" w:color="auto"/>
          </w:tblBorders>
        </w:tblPrEx>
        <w:tc>
          <w:tcPr>
            <w:tcW w:w="423" w:type="pct"/>
            <w:shd w:val="clear" w:color="auto" w:fill="auto"/>
          </w:tcPr>
          <w:p w:rsidR="005B63A2" w:rsidRPr="002B1A95" w:rsidRDefault="005B63A2" w:rsidP="005B63A2">
            <w:pPr>
              <w:pStyle w:val="Tabletext"/>
            </w:pPr>
            <w:r w:rsidRPr="002B1A95">
              <w:t>25</w:t>
            </w:r>
          </w:p>
        </w:tc>
        <w:tc>
          <w:tcPr>
            <w:tcW w:w="682" w:type="pct"/>
            <w:gridSpan w:val="2"/>
            <w:shd w:val="clear" w:color="auto" w:fill="auto"/>
          </w:tcPr>
          <w:p w:rsidR="005B63A2" w:rsidRPr="002B1A95" w:rsidRDefault="005B63A2" w:rsidP="005B63A2">
            <w:pPr>
              <w:pStyle w:val="Tabletext"/>
            </w:pPr>
            <w:r w:rsidRPr="002B1A95">
              <w:t>108 to 120</w:t>
            </w:r>
          </w:p>
        </w:tc>
        <w:tc>
          <w:tcPr>
            <w:tcW w:w="597" w:type="pct"/>
            <w:shd w:val="clear" w:color="auto" w:fill="auto"/>
          </w:tcPr>
          <w:p w:rsidR="005B63A2" w:rsidRPr="002B1A95" w:rsidRDefault="005B63A2" w:rsidP="005B63A2">
            <w:pPr>
              <w:pStyle w:val="Tabletext"/>
            </w:pPr>
            <w:r w:rsidRPr="002B1A95">
              <w:t>7.2%</w:t>
            </w:r>
          </w:p>
        </w:tc>
        <w:tc>
          <w:tcPr>
            <w:tcW w:w="597" w:type="pct"/>
            <w:shd w:val="clear" w:color="auto" w:fill="auto"/>
          </w:tcPr>
          <w:p w:rsidR="005B63A2" w:rsidRPr="002B1A95" w:rsidRDefault="005B63A2" w:rsidP="005B63A2">
            <w:pPr>
              <w:pStyle w:val="Tabletext"/>
            </w:pPr>
            <w:r w:rsidRPr="002B1A95">
              <w:t>8.1%</w:t>
            </w:r>
          </w:p>
        </w:tc>
        <w:tc>
          <w:tcPr>
            <w:tcW w:w="597" w:type="pct"/>
            <w:shd w:val="clear" w:color="auto" w:fill="auto"/>
          </w:tcPr>
          <w:p w:rsidR="005B63A2" w:rsidRPr="002B1A95" w:rsidRDefault="005B63A2" w:rsidP="005B63A2">
            <w:pPr>
              <w:pStyle w:val="Tabletext"/>
            </w:pPr>
            <w:r w:rsidRPr="002B1A95">
              <w:t>9.1%</w:t>
            </w:r>
          </w:p>
        </w:tc>
        <w:tc>
          <w:tcPr>
            <w:tcW w:w="597" w:type="pct"/>
            <w:shd w:val="clear" w:color="auto" w:fill="auto"/>
          </w:tcPr>
          <w:p w:rsidR="005B63A2" w:rsidRPr="002B1A95" w:rsidRDefault="005B63A2" w:rsidP="005B63A2">
            <w:pPr>
              <w:pStyle w:val="Tabletext"/>
            </w:pPr>
            <w:r w:rsidRPr="002B1A95">
              <w:t>10.0%</w:t>
            </w:r>
          </w:p>
        </w:tc>
        <w:tc>
          <w:tcPr>
            <w:tcW w:w="512" w:type="pct"/>
            <w:shd w:val="clear" w:color="auto" w:fill="auto"/>
          </w:tcPr>
          <w:p w:rsidR="005B63A2" w:rsidRPr="002B1A95" w:rsidRDefault="005B63A2" w:rsidP="005B63A2">
            <w:pPr>
              <w:pStyle w:val="Tabletext"/>
            </w:pPr>
            <w:r w:rsidRPr="002B1A95">
              <w:t>11.1%</w:t>
            </w:r>
          </w:p>
        </w:tc>
        <w:tc>
          <w:tcPr>
            <w:tcW w:w="511" w:type="pct"/>
            <w:shd w:val="clear" w:color="auto" w:fill="auto"/>
          </w:tcPr>
          <w:p w:rsidR="005B63A2" w:rsidRPr="002B1A95" w:rsidRDefault="005B63A2" w:rsidP="005B63A2">
            <w:pPr>
              <w:pStyle w:val="Tabletext"/>
            </w:pPr>
            <w:r w:rsidRPr="002B1A95">
              <w:t>12.1%</w:t>
            </w:r>
          </w:p>
        </w:tc>
        <w:tc>
          <w:tcPr>
            <w:tcW w:w="485" w:type="pct"/>
            <w:shd w:val="clear" w:color="auto" w:fill="auto"/>
          </w:tcPr>
          <w:p w:rsidR="005B63A2" w:rsidRPr="002B1A95" w:rsidRDefault="005B63A2" w:rsidP="005B63A2">
            <w:pPr>
              <w:pStyle w:val="Tabletext"/>
            </w:pPr>
            <w:r w:rsidRPr="002B1A95">
              <w:t>13.3%</w:t>
            </w:r>
          </w:p>
        </w:tc>
      </w:tr>
      <w:tr w:rsidR="005B63A2" w:rsidRPr="002B1A95" w:rsidTr="003104D0">
        <w:tblPrEx>
          <w:tblBorders>
            <w:top w:val="single" w:sz="4" w:space="0" w:color="auto"/>
          </w:tblBorders>
        </w:tblPrEx>
        <w:tc>
          <w:tcPr>
            <w:tcW w:w="423" w:type="pct"/>
            <w:shd w:val="clear" w:color="auto" w:fill="auto"/>
          </w:tcPr>
          <w:p w:rsidR="005B63A2" w:rsidRPr="002B1A95" w:rsidRDefault="005B63A2" w:rsidP="005B63A2">
            <w:pPr>
              <w:pStyle w:val="Tabletext"/>
            </w:pPr>
            <w:r w:rsidRPr="002B1A95">
              <w:t>26</w:t>
            </w:r>
          </w:p>
        </w:tc>
        <w:tc>
          <w:tcPr>
            <w:tcW w:w="682" w:type="pct"/>
            <w:gridSpan w:val="2"/>
            <w:shd w:val="clear" w:color="auto" w:fill="auto"/>
          </w:tcPr>
          <w:p w:rsidR="005B63A2" w:rsidRPr="002B1A95" w:rsidRDefault="005B63A2" w:rsidP="005B63A2">
            <w:pPr>
              <w:pStyle w:val="Tabletext"/>
            </w:pPr>
            <w:r w:rsidRPr="002B1A95">
              <w:t>96 to 108</w:t>
            </w:r>
          </w:p>
        </w:tc>
        <w:tc>
          <w:tcPr>
            <w:tcW w:w="597" w:type="pct"/>
            <w:shd w:val="clear" w:color="auto" w:fill="auto"/>
          </w:tcPr>
          <w:p w:rsidR="005B63A2" w:rsidRPr="002B1A95" w:rsidRDefault="005B63A2" w:rsidP="005B63A2">
            <w:pPr>
              <w:pStyle w:val="Tabletext"/>
            </w:pPr>
            <w:r w:rsidRPr="002B1A95">
              <w:t>7.0%</w:t>
            </w:r>
          </w:p>
        </w:tc>
        <w:tc>
          <w:tcPr>
            <w:tcW w:w="597" w:type="pct"/>
            <w:shd w:val="clear" w:color="auto" w:fill="auto"/>
          </w:tcPr>
          <w:p w:rsidR="005B63A2" w:rsidRPr="002B1A95" w:rsidRDefault="005B63A2" w:rsidP="005B63A2">
            <w:pPr>
              <w:pStyle w:val="Tabletext"/>
            </w:pPr>
            <w:r w:rsidRPr="002B1A95">
              <w:t>7.9%</w:t>
            </w:r>
          </w:p>
        </w:tc>
        <w:tc>
          <w:tcPr>
            <w:tcW w:w="597" w:type="pct"/>
            <w:shd w:val="clear" w:color="auto" w:fill="auto"/>
          </w:tcPr>
          <w:p w:rsidR="005B63A2" w:rsidRPr="002B1A95" w:rsidRDefault="005B63A2" w:rsidP="005B63A2">
            <w:pPr>
              <w:pStyle w:val="Tabletext"/>
            </w:pPr>
            <w:r w:rsidRPr="002B1A95">
              <w:t>8.8%</w:t>
            </w:r>
          </w:p>
        </w:tc>
        <w:tc>
          <w:tcPr>
            <w:tcW w:w="597" w:type="pct"/>
            <w:shd w:val="clear" w:color="auto" w:fill="auto"/>
          </w:tcPr>
          <w:p w:rsidR="005B63A2" w:rsidRPr="002B1A95" w:rsidRDefault="005B63A2" w:rsidP="005B63A2">
            <w:pPr>
              <w:pStyle w:val="Tabletext"/>
            </w:pPr>
            <w:r w:rsidRPr="002B1A95">
              <w:t>9.8%</w:t>
            </w:r>
          </w:p>
        </w:tc>
        <w:tc>
          <w:tcPr>
            <w:tcW w:w="512" w:type="pct"/>
            <w:shd w:val="clear" w:color="auto" w:fill="auto"/>
          </w:tcPr>
          <w:p w:rsidR="005B63A2" w:rsidRPr="002B1A95" w:rsidRDefault="005B63A2" w:rsidP="005B63A2">
            <w:pPr>
              <w:pStyle w:val="Tabletext"/>
            </w:pPr>
            <w:r w:rsidRPr="002B1A95">
              <w:t>10.9%</w:t>
            </w:r>
          </w:p>
        </w:tc>
        <w:tc>
          <w:tcPr>
            <w:tcW w:w="511" w:type="pct"/>
            <w:shd w:val="clear" w:color="auto" w:fill="auto"/>
          </w:tcPr>
          <w:p w:rsidR="005B63A2" w:rsidRPr="002B1A95" w:rsidRDefault="005B63A2" w:rsidP="005B63A2">
            <w:pPr>
              <w:pStyle w:val="Tabletext"/>
            </w:pPr>
            <w:r w:rsidRPr="002B1A95">
              <w:t>12.0%</w:t>
            </w:r>
          </w:p>
        </w:tc>
        <w:tc>
          <w:tcPr>
            <w:tcW w:w="485" w:type="pct"/>
            <w:shd w:val="clear" w:color="auto" w:fill="auto"/>
          </w:tcPr>
          <w:p w:rsidR="005B63A2" w:rsidRPr="002B1A95" w:rsidRDefault="005B63A2" w:rsidP="005B63A2">
            <w:pPr>
              <w:pStyle w:val="Tabletext"/>
            </w:pPr>
            <w:r w:rsidRPr="002B1A95">
              <w:t>13.2%</w:t>
            </w:r>
          </w:p>
        </w:tc>
      </w:tr>
      <w:tr w:rsidR="005B63A2" w:rsidRPr="002B1A95" w:rsidTr="003104D0">
        <w:tblPrEx>
          <w:tblBorders>
            <w:top w:val="single" w:sz="4" w:space="0" w:color="auto"/>
          </w:tblBorders>
        </w:tblPrEx>
        <w:tc>
          <w:tcPr>
            <w:tcW w:w="423" w:type="pct"/>
            <w:shd w:val="clear" w:color="auto" w:fill="auto"/>
          </w:tcPr>
          <w:p w:rsidR="005B63A2" w:rsidRPr="002B1A95" w:rsidRDefault="005B63A2" w:rsidP="005B63A2">
            <w:pPr>
              <w:pStyle w:val="Tabletext"/>
            </w:pPr>
            <w:r w:rsidRPr="002B1A95">
              <w:lastRenderedPageBreak/>
              <w:t>27</w:t>
            </w:r>
          </w:p>
        </w:tc>
        <w:tc>
          <w:tcPr>
            <w:tcW w:w="682" w:type="pct"/>
            <w:gridSpan w:val="2"/>
            <w:shd w:val="clear" w:color="auto" w:fill="auto"/>
          </w:tcPr>
          <w:p w:rsidR="005B63A2" w:rsidRPr="002B1A95" w:rsidRDefault="005B63A2" w:rsidP="005B63A2">
            <w:pPr>
              <w:pStyle w:val="Tabletext"/>
            </w:pPr>
            <w:r w:rsidRPr="002B1A95">
              <w:t>84 to 96</w:t>
            </w:r>
          </w:p>
        </w:tc>
        <w:tc>
          <w:tcPr>
            <w:tcW w:w="597" w:type="pct"/>
            <w:shd w:val="clear" w:color="auto" w:fill="auto"/>
          </w:tcPr>
          <w:p w:rsidR="005B63A2" w:rsidRPr="002B1A95" w:rsidRDefault="005B63A2" w:rsidP="005B63A2">
            <w:pPr>
              <w:pStyle w:val="Tabletext"/>
            </w:pPr>
            <w:r w:rsidRPr="002B1A95">
              <w:t>6.6%</w:t>
            </w:r>
          </w:p>
        </w:tc>
        <w:tc>
          <w:tcPr>
            <w:tcW w:w="597" w:type="pct"/>
            <w:shd w:val="clear" w:color="auto" w:fill="auto"/>
          </w:tcPr>
          <w:p w:rsidR="005B63A2" w:rsidRPr="002B1A95" w:rsidRDefault="005B63A2" w:rsidP="005B63A2">
            <w:pPr>
              <w:pStyle w:val="Tabletext"/>
            </w:pPr>
            <w:r w:rsidRPr="002B1A95">
              <w:t>7.6%</w:t>
            </w:r>
          </w:p>
        </w:tc>
        <w:tc>
          <w:tcPr>
            <w:tcW w:w="597" w:type="pct"/>
            <w:shd w:val="clear" w:color="auto" w:fill="auto"/>
          </w:tcPr>
          <w:p w:rsidR="005B63A2" w:rsidRPr="002B1A95" w:rsidRDefault="005B63A2" w:rsidP="005B63A2">
            <w:pPr>
              <w:pStyle w:val="Tabletext"/>
            </w:pPr>
            <w:r w:rsidRPr="002B1A95">
              <w:t>8.5%</w:t>
            </w:r>
          </w:p>
        </w:tc>
        <w:tc>
          <w:tcPr>
            <w:tcW w:w="597" w:type="pct"/>
            <w:shd w:val="clear" w:color="auto" w:fill="auto"/>
          </w:tcPr>
          <w:p w:rsidR="005B63A2" w:rsidRPr="002B1A95" w:rsidRDefault="005B63A2" w:rsidP="005B63A2">
            <w:pPr>
              <w:pStyle w:val="Tabletext"/>
            </w:pPr>
            <w:r w:rsidRPr="002B1A95">
              <w:t>9.6%</w:t>
            </w:r>
          </w:p>
        </w:tc>
        <w:tc>
          <w:tcPr>
            <w:tcW w:w="512" w:type="pct"/>
            <w:shd w:val="clear" w:color="auto" w:fill="auto"/>
          </w:tcPr>
          <w:p w:rsidR="005B63A2" w:rsidRPr="002B1A95" w:rsidRDefault="005B63A2" w:rsidP="005B63A2">
            <w:pPr>
              <w:pStyle w:val="Tabletext"/>
            </w:pPr>
            <w:r w:rsidRPr="002B1A95">
              <w:t>10.7%</w:t>
            </w:r>
          </w:p>
        </w:tc>
        <w:tc>
          <w:tcPr>
            <w:tcW w:w="511" w:type="pct"/>
            <w:shd w:val="clear" w:color="auto" w:fill="auto"/>
          </w:tcPr>
          <w:p w:rsidR="005B63A2" w:rsidRPr="002B1A95" w:rsidRDefault="005B63A2" w:rsidP="005B63A2">
            <w:pPr>
              <w:pStyle w:val="Tabletext"/>
            </w:pPr>
            <w:r w:rsidRPr="002B1A95">
              <w:t>11.8%</w:t>
            </w:r>
          </w:p>
        </w:tc>
        <w:tc>
          <w:tcPr>
            <w:tcW w:w="485" w:type="pct"/>
            <w:shd w:val="clear" w:color="auto" w:fill="auto"/>
          </w:tcPr>
          <w:p w:rsidR="005B63A2" w:rsidRPr="002B1A95" w:rsidRDefault="005B63A2" w:rsidP="005B63A2">
            <w:pPr>
              <w:pStyle w:val="Tabletext"/>
            </w:pPr>
            <w:r w:rsidRPr="002B1A95">
              <w:t>13.0%</w:t>
            </w:r>
          </w:p>
        </w:tc>
      </w:tr>
      <w:tr w:rsidR="005B63A2" w:rsidRPr="002B1A95" w:rsidTr="003104D0">
        <w:tblPrEx>
          <w:tblBorders>
            <w:top w:val="single" w:sz="4" w:space="0" w:color="auto"/>
          </w:tblBorders>
        </w:tblPrEx>
        <w:tc>
          <w:tcPr>
            <w:tcW w:w="423" w:type="pct"/>
            <w:shd w:val="clear" w:color="auto" w:fill="auto"/>
          </w:tcPr>
          <w:p w:rsidR="005B63A2" w:rsidRPr="002B1A95" w:rsidRDefault="005B63A2" w:rsidP="005B63A2">
            <w:pPr>
              <w:pStyle w:val="Tabletext"/>
            </w:pPr>
            <w:r w:rsidRPr="002B1A95">
              <w:t>28</w:t>
            </w:r>
          </w:p>
        </w:tc>
        <w:tc>
          <w:tcPr>
            <w:tcW w:w="682" w:type="pct"/>
            <w:gridSpan w:val="2"/>
            <w:shd w:val="clear" w:color="auto" w:fill="auto"/>
          </w:tcPr>
          <w:p w:rsidR="005B63A2" w:rsidRPr="002B1A95" w:rsidRDefault="005B63A2" w:rsidP="005B63A2">
            <w:pPr>
              <w:pStyle w:val="Tabletext"/>
            </w:pPr>
            <w:r w:rsidRPr="002B1A95">
              <w:t>72 to 84</w:t>
            </w:r>
          </w:p>
        </w:tc>
        <w:tc>
          <w:tcPr>
            <w:tcW w:w="597" w:type="pct"/>
            <w:shd w:val="clear" w:color="auto" w:fill="auto"/>
          </w:tcPr>
          <w:p w:rsidR="005B63A2" w:rsidRPr="002B1A95" w:rsidRDefault="005B63A2" w:rsidP="005B63A2">
            <w:pPr>
              <w:pStyle w:val="Tabletext"/>
            </w:pPr>
            <w:r w:rsidRPr="002B1A95">
              <w:t>6.2%</w:t>
            </w:r>
          </w:p>
        </w:tc>
        <w:tc>
          <w:tcPr>
            <w:tcW w:w="597" w:type="pct"/>
            <w:shd w:val="clear" w:color="auto" w:fill="auto"/>
          </w:tcPr>
          <w:p w:rsidR="005B63A2" w:rsidRPr="002B1A95" w:rsidRDefault="005B63A2" w:rsidP="005B63A2">
            <w:pPr>
              <w:pStyle w:val="Tabletext"/>
            </w:pPr>
            <w:r w:rsidRPr="002B1A95">
              <w:t>7.2%</w:t>
            </w:r>
          </w:p>
        </w:tc>
        <w:tc>
          <w:tcPr>
            <w:tcW w:w="597" w:type="pct"/>
            <w:shd w:val="clear" w:color="auto" w:fill="auto"/>
          </w:tcPr>
          <w:p w:rsidR="005B63A2" w:rsidRPr="002B1A95" w:rsidRDefault="005B63A2" w:rsidP="005B63A2">
            <w:pPr>
              <w:pStyle w:val="Tabletext"/>
            </w:pPr>
            <w:r w:rsidRPr="002B1A95">
              <w:t>8.2%</w:t>
            </w:r>
          </w:p>
        </w:tc>
        <w:tc>
          <w:tcPr>
            <w:tcW w:w="597" w:type="pct"/>
            <w:shd w:val="clear" w:color="auto" w:fill="auto"/>
          </w:tcPr>
          <w:p w:rsidR="005B63A2" w:rsidRPr="002B1A95" w:rsidRDefault="005B63A2" w:rsidP="005B63A2">
            <w:pPr>
              <w:pStyle w:val="Tabletext"/>
            </w:pPr>
            <w:r w:rsidRPr="002B1A95">
              <w:t>9.2%</w:t>
            </w:r>
          </w:p>
        </w:tc>
        <w:tc>
          <w:tcPr>
            <w:tcW w:w="512" w:type="pct"/>
            <w:shd w:val="clear" w:color="auto" w:fill="auto"/>
          </w:tcPr>
          <w:p w:rsidR="005B63A2" w:rsidRPr="002B1A95" w:rsidRDefault="005B63A2" w:rsidP="005B63A2">
            <w:pPr>
              <w:pStyle w:val="Tabletext"/>
            </w:pPr>
            <w:r w:rsidRPr="002B1A95">
              <w:t>10.4%</w:t>
            </w:r>
          </w:p>
        </w:tc>
        <w:tc>
          <w:tcPr>
            <w:tcW w:w="511" w:type="pct"/>
            <w:shd w:val="clear" w:color="auto" w:fill="auto"/>
          </w:tcPr>
          <w:p w:rsidR="005B63A2" w:rsidRPr="002B1A95" w:rsidRDefault="005B63A2" w:rsidP="005B63A2">
            <w:pPr>
              <w:pStyle w:val="Tabletext"/>
            </w:pPr>
            <w:r w:rsidRPr="002B1A95">
              <w:t>11.6%</w:t>
            </w:r>
          </w:p>
        </w:tc>
        <w:tc>
          <w:tcPr>
            <w:tcW w:w="485" w:type="pct"/>
            <w:shd w:val="clear" w:color="auto" w:fill="auto"/>
          </w:tcPr>
          <w:p w:rsidR="005B63A2" w:rsidRPr="002B1A95" w:rsidRDefault="005B63A2" w:rsidP="005B63A2">
            <w:pPr>
              <w:pStyle w:val="Tabletext"/>
            </w:pPr>
            <w:r w:rsidRPr="002B1A95">
              <w:t>12.8%</w:t>
            </w:r>
          </w:p>
        </w:tc>
      </w:tr>
      <w:tr w:rsidR="005B63A2" w:rsidRPr="002B1A95" w:rsidTr="003104D0">
        <w:tblPrEx>
          <w:tblBorders>
            <w:top w:val="single" w:sz="4" w:space="0" w:color="auto"/>
          </w:tblBorders>
        </w:tblPrEx>
        <w:tc>
          <w:tcPr>
            <w:tcW w:w="423" w:type="pct"/>
            <w:shd w:val="clear" w:color="auto" w:fill="auto"/>
          </w:tcPr>
          <w:p w:rsidR="005B63A2" w:rsidRPr="002B1A95" w:rsidRDefault="005B63A2" w:rsidP="005B63A2">
            <w:pPr>
              <w:pStyle w:val="Tabletext"/>
            </w:pPr>
            <w:r w:rsidRPr="002B1A95">
              <w:t>29</w:t>
            </w:r>
          </w:p>
        </w:tc>
        <w:tc>
          <w:tcPr>
            <w:tcW w:w="682" w:type="pct"/>
            <w:gridSpan w:val="2"/>
            <w:shd w:val="clear" w:color="auto" w:fill="auto"/>
          </w:tcPr>
          <w:p w:rsidR="005B63A2" w:rsidRPr="002B1A95" w:rsidRDefault="005B63A2" w:rsidP="005B63A2">
            <w:pPr>
              <w:pStyle w:val="Tabletext"/>
            </w:pPr>
            <w:r w:rsidRPr="002B1A95">
              <w:t>60 to 72</w:t>
            </w:r>
          </w:p>
        </w:tc>
        <w:tc>
          <w:tcPr>
            <w:tcW w:w="597" w:type="pct"/>
            <w:shd w:val="clear" w:color="auto" w:fill="auto"/>
          </w:tcPr>
          <w:p w:rsidR="005B63A2" w:rsidRPr="002B1A95" w:rsidRDefault="005B63A2" w:rsidP="005B63A2">
            <w:pPr>
              <w:pStyle w:val="Tabletext"/>
            </w:pPr>
            <w:r w:rsidRPr="002B1A95">
              <w:t>5.7%</w:t>
            </w:r>
          </w:p>
        </w:tc>
        <w:tc>
          <w:tcPr>
            <w:tcW w:w="597" w:type="pct"/>
            <w:shd w:val="clear" w:color="auto" w:fill="auto"/>
          </w:tcPr>
          <w:p w:rsidR="005B63A2" w:rsidRPr="002B1A95" w:rsidRDefault="005B63A2" w:rsidP="005B63A2">
            <w:pPr>
              <w:pStyle w:val="Tabletext"/>
            </w:pPr>
            <w:r w:rsidRPr="002B1A95">
              <w:t>6.7%</w:t>
            </w:r>
          </w:p>
        </w:tc>
        <w:tc>
          <w:tcPr>
            <w:tcW w:w="597" w:type="pct"/>
            <w:shd w:val="clear" w:color="auto" w:fill="auto"/>
          </w:tcPr>
          <w:p w:rsidR="005B63A2" w:rsidRPr="002B1A95" w:rsidRDefault="005B63A2" w:rsidP="005B63A2">
            <w:pPr>
              <w:pStyle w:val="Tabletext"/>
            </w:pPr>
            <w:r w:rsidRPr="002B1A95">
              <w:t>7.7%</w:t>
            </w:r>
          </w:p>
        </w:tc>
        <w:tc>
          <w:tcPr>
            <w:tcW w:w="597" w:type="pct"/>
            <w:shd w:val="clear" w:color="auto" w:fill="auto"/>
          </w:tcPr>
          <w:p w:rsidR="005B63A2" w:rsidRPr="002B1A95" w:rsidRDefault="005B63A2" w:rsidP="005B63A2">
            <w:pPr>
              <w:pStyle w:val="Tabletext"/>
            </w:pPr>
            <w:r w:rsidRPr="002B1A95">
              <w:t>8.8%</w:t>
            </w:r>
          </w:p>
        </w:tc>
        <w:tc>
          <w:tcPr>
            <w:tcW w:w="512" w:type="pct"/>
            <w:shd w:val="clear" w:color="auto" w:fill="auto"/>
          </w:tcPr>
          <w:p w:rsidR="005B63A2" w:rsidRPr="002B1A95" w:rsidRDefault="005B63A2" w:rsidP="005B63A2">
            <w:pPr>
              <w:pStyle w:val="Tabletext"/>
            </w:pPr>
            <w:r w:rsidRPr="002B1A95">
              <w:t>9.9%</w:t>
            </w:r>
          </w:p>
        </w:tc>
        <w:tc>
          <w:tcPr>
            <w:tcW w:w="511" w:type="pct"/>
            <w:shd w:val="clear" w:color="auto" w:fill="auto"/>
          </w:tcPr>
          <w:p w:rsidR="005B63A2" w:rsidRPr="002B1A95" w:rsidRDefault="005B63A2" w:rsidP="005B63A2">
            <w:pPr>
              <w:pStyle w:val="Tabletext"/>
            </w:pPr>
            <w:r w:rsidRPr="002B1A95">
              <w:t>11.2%</w:t>
            </w:r>
          </w:p>
        </w:tc>
        <w:tc>
          <w:tcPr>
            <w:tcW w:w="485" w:type="pct"/>
            <w:shd w:val="clear" w:color="auto" w:fill="auto"/>
          </w:tcPr>
          <w:p w:rsidR="005B63A2" w:rsidRPr="002B1A95" w:rsidRDefault="005B63A2" w:rsidP="005B63A2">
            <w:pPr>
              <w:pStyle w:val="Tabletext"/>
            </w:pPr>
            <w:r w:rsidRPr="002B1A95">
              <w:t>12.5%</w:t>
            </w:r>
          </w:p>
        </w:tc>
      </w:tr>
      <w:tr w:rsidR="005B63A2" w:rsidRPr="002B1A95" w:rsidTr="003104D0">
        <w:tblPrEx>
          <w:tblBorders>
            <w:top w:val="single" w:sz="4" w:space="0" w:color="auto"/>
          </w:tblBorders>
        </w:tblPrEx>
        <w:tc>
          <w:tcPr>
            <w:tcW w:w="423" w:type="pct"/>
            <w:shd w:val="clear" w:color="auto" w:fill="auto"/>
          </w:tcPr>
          <w:p w:rsidR="005B63A2" w:rsidRPr="002B1A95" w:rsidRDefault="005B63A2" w:rsidP="005B63A2">
            <w:pPr>
              <w:pStyle w:val="Tabletext"/>
            </w:pPr>
            <w:r w:rsidRPr="002B1A95">
              <w:t>30</w:t>
            </w:r>
          </w:p>
        </w:tc>
        <w:tc>
          <w:tcPr>
            <w:tcW w:w="682" w:type="pct"/>
            <w:gridSpan w:val="2"/>
            <w:shd w:val="clear" w:color="auto" w:fill="auto"/>
          </w:tcPr>
          <w:p w:rsidR="005B63A2" w:rsidRPr="002B1A95" w:rsidRDefault="005B63A2" w:rsidP="005B63A2">
            <w:pPr>
              <w:pStyle w:val="Tabletext"/>
            </w:pPr>
            <w:r w:rsidRPr="002B1A95">
              <w:t>48 to 60</w:t>
            </w:r>
          </w:p>
        </w:tc>
        <w:tc>
          <w:tcPr>
            <w:tcW w:w="597" w:type="pct"/>
            <w:shd w:val="clear" w:color="auto" w:fill="auto"/>
          </w:tcPr>
          <w:p w:rsidR="005B63A2" w:rsidRPr="002B1A95" w:rsidRDefault="005B63A2" w:rsidP="005B63A2">
            <w:pPr>
              <w:pStyle w:val="Tabletext"/>
            </w:pPr>
            <w:r w:rsidRPr="002B1A95">
              <w:t>5.1%</w:t>
            </w:r>
          </w:p>
        </w:tc>
        <w:tc>
          <w:tcPr>
            <w:tcW w:w="597" w:type="pct"/>
            <w:shd w:val="clear" w:color="auto" w:fill="auto"/>
          </w:tcPr>
          <w:p w:rsidR="005B63A2" w:rsidRPr="002B1A95" w:rsidRDefault="005B63A2" w:rsidP="005B63A2">
            <w:pPr>
              <w:pStyle w:val="Tabletext"/>
            </w:pPr>
            <w:r w:rsidRPr="002B1A95">
              <w:t>6.0%</w:t>
            </w:r>
          </w:p>
        </w:tc>
        <w:tc>
          <w:tcPr>
            <w:tcW w:w="597" w:type="pct"/>
            <w:shd w:val="clear" w:color="auto" w:fill="auto"/>
          </w:tcPr>
          <w:p w:rsidR="005B63A2" w:rsidRPr="002B1A95" w:rsidRDefault="005B63A2" w:rsidP="005B63A2">
            <w:pPr>
              <w:pStyle w:val="Tabletext"/>
            </w:pPr>
            <w:r w:rsidRPr="002B1A95">
              <w:t>7.0%</w:t>
            </w:r>
          </w:p>
        </w:tc>
        <w:tc>
          <w:tcPr>
            <w:tcW w:w="597" w:type="pct"/>
            <w:shd w:val="clear" w:color="auto" w:fill="auto"/>
          </w:tcPr>
          <w:p w:rsidR="005B63A2" w:rsidRPr="002B1A95" w:rsidRDefault="005B63A2" w:rsidP="005B63A2">
            <w:pPr>
              <w:pStyle w:val="Tabletext"/>
            </w:pPr>
            <w:r w:rsidRPr="002B1A95">
              <w:t>8.2%</w:t>
            </w:r>
          </w:p>
        </w:tc>
        <w:tc>
          <w:tcPr>
            <w:tcW w:w="512" w:type="pct"/>
            <w:shd w:val="clear" w:color="auto" w:fill="auto"/>
          </w:tcPr>
          <w:p w:rsidR="005B63A2" w:rsidRPr="002B1A95" w:rsidRDefault="005B63A2" w:rsidP="005B63A2">
            <w:pPr>
              <w:pStyle w:val="Tabletext"/>
            </w:pPr>
            <w:r w:rsidRPr="002B1A95">
              <w:t>9.4%</w:t>
            </w:r>
          </w:p>
        </w:tc>
        <w:tc>
          <w:tcPr>
            <w:tcW w:w="511" w:type="pct"/>
            <w:shd w:val="clear" w:color="auto" w:fill="auto"/>
          </w:tcPr>
          <w:p w:rsidR="005B63A2" w:rsidRPr="002B1A95" w:rsidRDefault="005B63A2" w:rsidP="005B63A2">
            <w:pPr>
              <w:pStyle w:val="Tabletext"/>
            </w:pPr>
            <w:r w:rsidRPr="002B1A95">
              <w:t>10.7%</w:t>
            </w:r>
          </w:p>
        </w:tc>
        <w:tc>
          <w:tcPr>
            <w:tcW w:w="485" w:type="pct"/>
            <w:shd w:val="clear" w:color="auto" w:fill="auto"/>
          </w:tcPr>
          <w:p w:rsidR="005B63A2" w:rsidRPr="002B1A95" w:rsidRDefault="005B63A2" w:rsidP="005B63A2">
            <w:pPr>
              <w:pStyle w:val="Tabletext"/>
            </w:pPr>
            <w:r w:rsidRPr="002B1A95">
              <w:t>12.1%</w:t>
            </w:r>
          </w:p>
        </w:tc>
      </w:tr>
      <w:tr w:rsidR="005B63A2" w:rsidRPr="002B1A95" w:rsidTr="003104D0">
        <w:tblPrEx>
          <w:tblBorders>
            <w:top w:val="single" w:sz="4" w:space="0" w:color="auto"/>
          </w:tblBorders>
        </w:tblPrEx>
        <w:tc>
          <w:tcPr>
            <w:tcW w:w="423" w:type="pct"/>
            <w:shd w:val="clear" w:color="auto" w:fill="auto"/>
          </w:tcPr>
          <w:p w:rsidR="005B63A2" w:rsidRPr="002B1A95" w:rsidRDefault="005B63A2" w:rsidP="005B63A2">
            <w:pPr>
              <w:pStyle w:val="Tabletext"/>
            </w:pPr>
            <w:r w:rsidRPr="002B1A95">
              <w:t>31</w:t>
            </w:r>
          </w:p>
        </w:tc>
        <w:tc>
          <w:tcPr>
            <w:tcW w:w="682" w:type="pct"/>
            <w:gridSpan w:val="2"/>
            <w:shd w:val="clear" w:color="auto" w:fill="auto"/>
          </w:tcPr>
          <w:p w:rsidR="005B63A2" w:rsidRPr="002B1A95" w:rsidRDefault="005B63A2" w:rsidP="005B63A2">
            <w:pPr>
              <w:pStyle w:val="Tabletext"/>
            </w:pPr>
            <w:r w:rsidRPr="002B1A95">
              <w:t>36 to 48</w:t>
            </w:r>
          </w:p>
        </w:tc>
        <w:tc>
          <w:tcPr>
            <w:tcW w:w="597" w:type="pct"/>
            <w:shd w:val="clear" w:color="auto" w:fill="auto"/>
          </w:tcPr>
          <w:p w:rsidR="005B63A2" w:rsidRPr="002B1A95" w:rsidRDefault="005B63A2" w:rsidP="005B63A2">
            <w:pPr>
              <w:pStyle w:val="Tabletext"/>
            </w:pPr>
            <w:r w:rsidRPr="002B1A95">
              <w:t>4.2%</w:t>
            </w:r>
          </w:p>
        </w:tc>
        <w:tc>
          <w:tcPr>
            <w:tcW w:w="597" w:type="pct"/>
            <w:shd w:val="clear" w:color="auto" w:fill="auto"/>
          </w:tcPr>
          <w:p w:rsidR="005B63A2" w:rsidRPr="002B1A95" w:rsidRDefault="005B63A2" w:rsidP="005B63A2">
            <w:pPr>
              <w:pStyle w:val="Tabletext"/>
            </w:pPr>
            <w:r w:rsidRPr="002B1A95">
              <w:t>5.2%</w:t>
            </w:r>
          </w:p>
        </w:tc>
        <w:tc>
          <w:tcPr>
            <w:tcW w:w="597" w:type="pct"/>
            <w:shd w:val="clear" w:color="auto" w:fill="auto"/>
          </w:tcPr>
          <w:p w:rsidR="005B63A2" w:rsidRPr="002B1A95" w:rsidRDefault="005B63A2" w:rsidP="005B63A2">
            <w:pPr>
              <w:pStyle w:val="Tabletext"/>
            </w:pPr>
            <w:r w:rsidRPr="002B1A95">
              <w:t>6.2%</w:t>
            </w:r>
          </w:p>
        </w:tc>
        <w:tc>
          <w:tcPr>
            <w:tcW w:w="597" w:type="pct"/>
            <w:shd w:val="clear" w:color="auto" w:fill="auto"/>
          </w:tcPr>
          <w:p w:rsidR="005B63A2" w:rsidRPr="002B1A95" w:rsidRDefault="005B63A2" w:rsidP="005B63A2">
            <w:pPr>
              <w:pStyle w:val="Tabletext"/>
            </w:pPr>
            <w:r w:rsidRPr="002B1A95">
              <w:t>7.4%</w:t>
            </w:r>
          </w:p>
        </w:tc>
        <w:tc>
          <w:tcPr>
            <w:tcW w:w="512" w:type="pct"/>
            <w:shd w:val="clear" w:color="auto" w:fill="auto"/>
          </w:tcPr>
          <w:p w:rsidR="005B63A2" w:rsidRPr="002B1A95" w:rsidRDefault="005B63A2" w:rsidP="005B63A2">
            <w:pPr>
              <w:pStyle w:val="Tabletext"/>
            </w:pPr>
            <w:r w:rsidRPr="002B1A95">
              <w:t>8.6%</w:t>
            </w:r>
          </w:p>
        </w:tc>
        <w:tc>
          <w:tcPr>
            <w:tcW w:w="511" w:type="pct"/>
            <w:shd w:val="clear" w:color="auto" w:fill="auto"/>
          </w:tcPr>
          <w:p w:rsidR="005B63A2" w:rsidRPr="002B1A95" w:rsidRDefault="005B63A2" w:rsidP="005B63A2">
            <w:pPr>
              <w:pStyle w:val="Tabletext"/>
            </w:pPr>
            <w:r w:rsidRPr="002B1A95">
              <w:t>10.0%</w:t>
            </w:r>
          </w:p>
        </w:tc>
        <w:tc>
          <w:tcPr>
            <w:tcW w:w="485" w:type="pct"/>
            <w:shd w:val="clear" w:color="auto" w:fill="auto"/>
          </w:tcPr>
          <w:p w:rsidR="005B63A2" w:rsidRPr="002B1A95" w:rsidRDefault="005B63A2" w:rsidP="005B63A2">
            <w:pPr>
              <w:pStyle w:val="Tabletext"/>
            </w:pPr>
            <w:r w:rsidRPr="002B1A95">
              <w:t>11.4%</w:t>
            </w:r>
          </w:p>
        </w:tc>
      </w:tr>
      <w:tr w:rsidR="005B63A2" w:rsidRPr="002B1A95" w:rsidTr="003104D0">
        <w:tblPrEx>
          <w:tblBorders>
            <w:top w:val="single" w:sz="4" w:space="0" w:color="auto"/>
          </w:tblBorders>
        </w:tblPrEx>
        <w:tc>
          <w:tcPr>
            <w:tcW w:w="423" w:type="pct"/>
            <w:shd w:val="clear" w:color="auto" w:fill="auto"/>
          </w:tcPr>
          <w:p w:rsidR="005B63A2" w:rsidRPr="002B1A95" w:rsidRDefault="005B63A2" w:rsidP="005B63A2">
            <w:pPr>
              <w:pStyle w:val="Tabletext"/>
            </w:pPr>
            <w:r w:rsidRPr="002B1A95">
              <w:t>32</w:t>
            </w:r>
          </w:p>
        </w:tc>
        <w:tc>
          <w:tcPr>
            <w:tcW w:w="682" w:type="pct"/>
            <w:gridSpan w:val="2"/>
            <w:shd w:val="clear" w:color="auto" w:fill="auto"/>
          </w:tcPr>
          <w:p w:rsidR="005B63A2" w:rsidRPr="002B1A95" w:rsidRDefault="005B63A2" w:rsidP="005B63A2">
            <w:pPr>
              <w:pStyle w:val="Tabletext"/>
            </w:pPr>
            <w:r w:rsidRPr="002B1A95">
              <w:t>24 to 36</w:t>
            </w:r>
          </w:p>
        </w:tc>
        <w:tc>
          <w:tcPr>
            <w:tcW w:w="597" w:type="pct"/>
            <w:shd w:val="clear" w:color="auto" w:fill="auto"/>
          </w:tcPr>
          <w:p w:rsidR="005B63A2" w:rsidRPr="002B1A95" w:rsidRDefault="005B63A2" w:rsidP="005B63A2">
            <w:pPr>
              <w:pStyle w:val="Tabletext"/>
            </w:pPr>
            <w:r w:rsidRPr="002B1A95">
              <w:t>3.2%</w:t>
            </w:r>
          </w:p>
        </w:tc>
        <w:tc>
          <w:tcPr>
            <w:tcW w:w="597" w:type="pct"/>
            <w:shd w:val="clear" w:color="auto" w:fill="auto"/>
          </w:tcPr>
          <w:p w:rsidR="005B63A2" w:rsidRPr="002B1A95" w:rsidRDefault="005B63A2" w:rsidP="005B63A2">
            <w:pPr>
              <w:pStyle w:val="Tabletext"/>
            </w:pPr>
            <w:r w:rsidRPr="002B1A95">
              <w:t>4.1%</w:t>
            </w:r>
          </w:p>
        </w:tc>
        <w:tc>
          <w:tcPr>
            <w:tcW w:w="597" w:type="pct"/>
            <w:shd w:val="clear" w:color="auto" w:fill="auto"/>
          </w:tcPr>
          <w:p w:rsidR="005B63A2" w:rsidRPr="002B1A95" w:rsidRDefault="005B63A2" w:rsidP="005B63A2">
            <w:pPr>
              <w:pStyle w:val="Tabletext"/>
            </w:pPr>
            <w:r w:rsidRPr="002B1A95">
              <w:t>5.1%</w:t>
            </w:r>
          </w:p>
        </w:tc>
        <w:tc>
          <w:tcPr>
            <w:tcW w:w="597" w:type="pct"/>
            <w:shd w:val="clear" w:color="auto" w:fill="auto"/>
          </w:tcPr>
          <w:p w:rsidR="005B63A2" w:rsidRPr="002B1A95" w:rsidRDefault="005B63A2" w:rsidP="005B63A2">
            <w:pPr>
              <w:pStyle w:val="Tabletext"/>
            </w:pPr>
            <w:r w:rsidRPr="002B1A95">
              <w:t>6.3%</w:t>
            </w:r>
          </w:p>
        </w:tc>
        <w:tc>
          <w:tcPr>
            <w:tcW w:w="512" w:type="pct"/>
            <w:shd w:val="clear" w:color="auto" w:fill="auto"/>
          </w:tcPr>
          <w:p w:rsidR="005B63A2" w:rsidRPr="002B1A95" w:rsidRDefault="005B63A2" w:rsidP="005B63A2">
            <w:pPr>
              <w:pStyle w:val="Tabletext"/>
            </w:pPr>
            <w:r w:rsidRPr="002B1A95">
              <w:t>7.6%</w:t>
            </w:r>
          </w:p>
        </w:tc>
        <w:tc>
          <w:tcPr>
            <w:tcW w:w="511" w:type="pct"/>
            <w:shd w:val="clear" w:color="auto" w:fill="auto"/>
          </w:tcPr>
          <w:p w:rsidR="005B63A2" w:rsidRPr="002B1A95" w:rsidRDefault="005B63A2" w:rsidP="005B63A2">
            <w:pPr>
              <w:pStyle w:val="Tabletext"/>
            </w:pPr>
            <w:r w:rsidRPr="002B1A95">
              <w:t>9.0%</w:t>
            </w:r>
          </w:p>
        </w:tc>
        <w:tc>
          <w:tcPr>
            <w:tcW w:w="485" w:type="pct"/>
            <w:shd w:val="clear" w:color="auto" w:fill="auto"/>
          </w:tcPr>
          <w:p w:rsidR="005B63A2" w:rsidRPr="002B1A95" w:rsidRDefault="005B63A2" w:rsidP="005B63A2">
            <w:pPr>
              <w:pStyle w:val="Tabletext"/>
            </w:pPr>
            <w:r w:rsidRPr="002B1A95">
              <w:t>10.5%</w:t>
            </w:r>
          </w:p>
        </w:tc>
      </w:tr>
      <w:tr w:rsidR="005B63A2" w:rsidRPr="002B1A95" w:rsidTr="003104D0">
        <w:tblPrEx>
          <w:tblBorders>
            <w:top w:val="single" w:sz="4" w:space="0" w:color="auto"/>
          </w:tblBorders>
        </w:tblPrEx>
        <w:tc>
          <w:tcPr>
            <w:tcW w:w="423" w:type="pct"/>
            <w:shd w:val="clear" w:color="auto" w:fill="auto"/>
          </w:tcPr>
          <w:p w:rsidR="005B63A2" w:rsidRPr="002B1A95" w:rsidRDefault="005B63A2" w:rsidP="005B63A2">
            <w:pPr>
              <w:pStyle w:val="Tabletext"/>
            </w:pPr>
            <w:r w:rsidRPr="002B1A95">
              <w:t>33</w:t>
            </w:r>
          </w:p>
        </w:tc>
        <w:tc>
          <w:tcPr>
            <w:tcW w:w="682" w:type="pct"/>
            <w:gridSpan w:val="2"/>
            <w:shd w:val="clear" w:color="auto" w:fill="auto"/>
          </w:tcPr>
          <w:p w:rsidR="005B63A2" w:rsidRPr="002B1A95" w:rsidRDefault="005B63A2" w:rsidP="005B63A2">
            <w:pPr>
              <w:pStyle w:val="Tabletext"/>
            </w:pPr>
            <w:r w:rsidRPr="002B1A95">
              <w:t>18 to 24</w:t>
            </w:r>
          </w:p>
        </w:tc>
        <w:tc>
          <w:tcPr>
            <w:tcW w:w="597" w:type="pct"/>
            <w:shd w:val="clear" w:color="auto" w:fill="auto"/>
          </w:tcPr>
          <w:p w:rsidR="005B63A2" w:rsidRPr="002B1A95" w:rsidRDefault="005B63A2" w:rsidP="005B63A2">
            <w:pPr>
              <w:pStyle w:val="Tabletext"/>
            </w:pPr>
            <w:r w:rsidRPr="002B1A95">
              <w:t>2.5%</w:t>
            </w:r>
          </w:p>
        </w:tc>
        <w:tc>
          <w:tcPr>
            <w:tcW w:w="597" w:type="pct"/>
            <w:shd w:val="clear" w:color="auto" w:fill="auto"/>
          </w:tcPr>
          <w:p w:rsidR="005B63A2" w:rsidRPr="002B1A95" w:rsidRDefault="005B63A2" w:rsidP="005B63A2">
            <w:pPr>
              <w:pStyle w:val="Tabletext"/>
            </w:pPr>
            <w:r w:rsidRPr="002B1A95">
              <w:t>3.4%</w:t>
            </w:r>
          </w:p>
        </w:tc>
        <w:tc>
          <w:tcPr>
            <w:tcW w:w="597" w:type="pct"/>
            <w:shd w:val="clear" w:color="auto" w:fill="auto"/>
          </w:tcPr>
          <w:p w:rsidR="005B63A2" w:rsidRPr="002B1A95" w:rsidRDefault="005B63A2" w:rsidP="005B63A2">
            <w:pPr>
              <w:pStyle w:val="Tabletext"/>
            </w:pPr>
            <w:r w:rsidRPr="002B1A95">
              <w:t>4.4%</w:t>
            </w:r>
          </w:p>
        </w:tc>
        <w:tc>
          <w:tcPr>
            <w:tcW w:w="597" w:type="pct"/>
            <w:shd w:val="clear" w:color="auto" w:fill="auto"/>
          </w:tcPr>
          <w:p w:rsidR="005B63A2" w:rsidRPr="002B1A95" w:rsidRDefault="005B63A2" w:rsidP="005B63A2">
            <w:pPr>
              <w:pStyle w:val="Tabletext"/>
            </w:pPr>
            <w:r w:rsidRPr="002B1A95">
              <w:t>5.5%</w:t>
            </w:r>
          </w:p>
        </w:tc>
        <w:tc>
          <w:tcPr>
            <w:tcW w:w="512" w:type="pct"/>
            <w:shd w:val="clear" w:color="auto" w:fill="auto"/>
          </w:tcPr>
          <w:p w:rsidR="005B63A2" w:rsidRPr="002B1A95" w:rsidRDefault="005B63A2" w:rsidP="005B63A2">
            <w:pPr>
              <w:pStyle w:val="Tabletext"/>
            </w:pPr>
            <w:r w:rsidRPr="002B1A95">
              <w:t>6.8%</w:t>
            </w:r>
          </w:p>
        </w:tc>
        <w:tc>
          <w:tcPr>
            <w:tcW w:w="511" w:type="pct"/>
            <w:shd w:val="clear" w:color="auto" w:fill="auto"/>
          </w:tcPr>
          <w:p w:rsidR="005B63A2" w:rsidRPr="002B1A95" w:rsidRDefault="005B63A2" w:rsidP="005B63A2">
            <w:pPr>
              <w:pStyle w:val="Tabletext"/>
            </w:pPr>
            <w:r w:rsidRPr="002B1A95">
              <w:t>8.3%</w:t>
            </w:r>
          </w:p>
        </w:tc>
        <w:tc>
          <w:tcPr>
            <w:tcW w:w="485" w:type="pct"/>
            <w:shd w:val="clear" w:color="auto" w:fill="auto"/>
          </w:tcPr>
          <w:p w:rsidR="005B63A2" w:rsidRPr="002B1A95" w:rsidRDefault="005B63A2" w:rsidP="005B63A2">
            <w:pPr>
              <w:pStyle w:val="Tabletext"/>
            </w:pPr>
            <w:r w:rsidRPr="002B1A95">
              <w:t>9.9%</w:t>
            </w:r>
          </w:p>
        </w:tc>
      </w:tr>
      <w:tr w:rsidR="005B63A2" w:rsidRPr="002B1A95" w:rsidTr="003104D0">
        <w:tblPrEx>
          <w:tblBorders>
            <w:top w:val="single" w:sz="4" w:space="0" w:color="auto"/>
          </w:tblBorders>
        </w:tblPrEx>
        <w:tc>
          <w:tcPr>
            <w:tcW w:w="423" w:type="pct"/>
            <w:shd w:val="clear" w:color="auto" w:fill="auto"/>
          </w:tcPr>
          <w:p w:rsidR="005B63A2" w:rsidRPr="002B1A95" w:rsidRDefault="005B63A2" w:rsidP="005B63A2">
            <w:pPr>
              <w:pStyle w:val="Tabletext"/>
            </w:pPr>
            <w:r w:rsidRPr="002B1A95">
              <w:t>34</w:t>
            </w:r>
          </w:p>
        </w:tc>
        <w:tc>
          <w:tcPr>
            <w:tcW w:w="682" w:type="pct"/>
            <w:gridSpan w:val="2"/>
            <w:shd w:val="clear" w:color="auto" w:fill="auto"/>
          </w:tcPr>
          <w:p w:rsidR="005B63A2" w:rsidRPr="002B1A95" w:rsidRDefault="005B63A2" w:rsidP="005B63A2">
            <w:pPr>
              <w:pStyle w:val="Tabletext"/>
            </w:pPr>
            <w:r w:rsidRPr="002B1A95">
              <w:t>12 to 18</w:t>
            </w:r>
          </w:p>
        </w:tc>
        <w:tc>
          <w:tcPr>
            <w:tcW w:w="597" w:type="pct"/>
            <w:shd w:val="clear" w:color="auto" w:fill="auto"/>
          </w:tcPr>
          <w:p w:rsidR="005B63A2" w:rsidRPr="002B1A95" w:rsidRDefault="005B63A2" w:rsidP="005B63A2">
            <w:pPr>
              <w:pStyle w:val="Tabletext"/>
            </w:pPr>
            <w:r w:rsidRPr="002B1A95">
              <w:t>1.7%</w:t>
            </w:r>
          </w:p>
        </w:tc>
        <w:tc>
          <w:tcPr>
            <w:tcW w:w="597" w:type="pct"/>
            <w:shd w:val="clear" w:color="auto" w:fill="auto"/>
          </w:tcPr>
          <w:p w:rsidR="005B63A2" w:rsidRPr="002B1A95" w:rsidRDefault="005B63A2" w:rsidP="005B63A2">
            <w:pPr>
              <w:pStyle w:val="Tabletext"/>
            </w:pPr>
            <w:r w:rsidRPr="002B1A95">
              <w:t>2.5%</w:t>
            </w:r>
          </w:p>
        </w:tc>
        <w:tc>
          <w:tcPr>
            <w:tcW w:w="597" w:type="pct"/>
            <w:shd w:val="clear" w:color="auto" w:fill="auto"/>
          </w:tcPr>
          <w:p w:rsidR="005B63A2" w:rsidRPr="002B1A95" w:rsidRDefault="005B63A2" w:rsidP="005B63A2">
            <w:pPr>
              <w:pStyle w:val="Tabletext"/>
            </w:pPr>
            <w:r w:rsidRPr="002B1A95">
              <w:t>3.4%</w:t>
            </w:r>
          </w:p>
        </w:tc>
        <w:tc>
          <w:tcPr>
            <w:tcW w:w="597" w:type="pct"/>
            <w:shd w:val="clear" w:color="auto" w:fill="auto"/>
          </w:tcPr>
          <w:p w:rsidR="005B63A2" w:rsidRPr="002B1A95" w:rsidRDefault="005B63A2" w:rsidP="005B63A2">
            <w:pPr>
              <w:pStyle w:val="Tabletext"/>
            </w:pPr>
            <w:r w:rsidRPr="002B1A95">
              <w:t>4.6%</w:t>
            </w:r>
          </w:p>
        </w:tc>
        <w:tc>
          <w:tcPr>
            <w:tcW w:w="512" w:type="pct"/>
            <w:shd w:val="clear" w:color="auto" w:fill="auto"/>
          </w:tcPr>
          <w:p w:rsidR="005B63A2" w:rsidRPr="002B1A95" w:rsidRDefault="005B63A2" w:rsidP="005B63A2">
            <w:pPr>
              <w:pStyle w:val="Tabletext"/>
            </w:pPr>
            <w:r w:rsidRPr="002B1A95">
              <w:t>6.0%</w:t>
            </w:r>
          </w:p>
        </w:tc>
        <w:tc>
          <w:tcPr>
            <w:tcW w:w="511" w:type="pct"/>
            <w:shd w:val="clear" w:color="auto" w:fill="auto"/>
          </w:tcPr>
          <w:p w:rsidR="005B63A2" w:rsidRPr="002B1A95" w:rsidRDefault="005B63A2" w:rsidP="005B63A2">
            <w:pPr>
              <w:pStyle w:val="Tabletext"/>
            </w:pPr>
            <w:r w:rsidRPr="002B1A95">
              <w:t>7.5%</w:t>
            </w:r>
          </w:p>
        </w:tc>
        <w:tc>
          <w:tcPr>
            <w:tcW w:w="485" w:type="pct"/>
            <w:shd w:val="clear" w:color="auto" w:fill="auto"/>
          </w:tcPr>
          <w:p w:rsidR="005B63A2" w:rsidRPr="002B1A95" w:rsidRDefault="005B63A2" w:rsidP="005B63A2">
            <w:pPr>
              <w:pStyle w:val="Tabletext"/>
            </w:pPr>
            <w:r w:rsidRPr="002B1A95">
              <w:t>9.2%</w:t>
            </w:r>
          </w:p>
        </w:tc>
      </w:tr>
      <w:tr w:rsidR="005B63A2" w:rsidRPr="002B1A95" w:rsidTr="003104D0">
        <w:tblPrEx>
          <w:tblBorders>
            <w:top w:val="single" w:sz="4" w:space="0" w:color="auto"/>
          </w:tblBorders>
        </w:tblPrEx>
        <w:tc>
          <w:tcPr>
            <w:tcW w:w="423" w:type="pct"/>
            <w:shd w:val="clear" w:color="auto" w:fill="auto"/>
          </w:tcPr>
          <w:p w:rsidR="005B63A2" w:rsidRPr="002B1A95" w:rsidRDefault="005B63A2" w:rsidP="005B63A2">
            <w:pPr>
              <w:pStyle w:val="Tabletext"/>
            </w:pPr>
            <w:r w:rsidRPr="002B1A95">
              <w:t>35</w:t>
            </w:r>
          </w:p>
        </w:tc>
        <w:tc>
          <w:tcPr>
            <w:tcW w:w="682" w:type="pct"/>
            <w:gridSpan w:val="2"/>
            <w:shd w:val="clear" w:color="auto" w:fill="auto"/>
          </w:tcPr>
          <w:p w:rsidR="005B63A2" w:rsidRPr="002B1A95" w:rsidRDefault="005B63A2" w:rsidP="005B63A2">
            <w:pPr>
              <w:pStyle w:val="Tabletext"/>
            </w:pPr>
            <w:r w:rsidRPr="002B1A95">
              <w:t>9 to 12</w:t>
            </w:r>
          </w:p>
        </w:tc>
        <w:tc>
          <w:tcPr>
            <w:tcW w:w="597" w:type="pct"/>
            <w:shd w:val="clear" w:color="auto" w:fill="auto"/>
          </w:tcPr>
          <w:p w:rsidR="005B63A2" w:rsidRPr="002B1A95" w:rsidRDefault="005B63A2" w:rsidP="005B63A2">
            <w:pPr>
              <w:pStyle w:val="Tabletext"/>
            </w:pPr>
            <w:r w:rsidRPr="002B1A95">
              <w:t>1.3%</w:t>
            </w:r>
          </w:p>
        </w:tc>
        <w:tc>
          <w:tcPr>
            <w:tcW w:w="597" w:type="pct"/>
            <w:shd w:val="clear" w:color="auto" w:fill="auto"/>
          </w:tcPr>
          <w:p w:rsidR="005B63A2" w:rsidRPr="002B1A95" w:rsidRDefault="005B63A2" w:rsidP="005B63A2">
            <w:pPr>
              <w:pStyle w:val="Tabletext"/>
            </w:pPr>
            <w:r w:rsidRPr="002B1A95">
              <w:t>2.0%</w:t>
            </w:r>
          </w:p>
        </w:tc>
        <w:tc>
          <w:tcPr>
            <w:tcW w:w="597" w:type="pct"/>
            <w:shd w:val="clear" w:color="auto" w:fill="auto"/>
          </w:tcPr>
          <w:p w:rsidR="005B63A2" w:rsidRPr="002B1A95" w:rsidRDefault="005B63A2" w:rsidP="005B63A2">
            <w:pPr>
              <w:pStyle w:val="Tabletext"/>
            </w:pPr>
            <w:r w:rsidRPr="002B1A95">
              <w:t>2.9%</w:t>
            </w:r>
          </w:p>
        </w:tc>
        <w:tc>
          <w:tcPr>
            <w:tcW w:w="597" w:type="pct"/>
            <w:shd w:val="clear" w:color="auto" w:fill="auto"/>
          </w:tcPr>
          <w:p w:rsidR="005B63A2" w:rsidRPr="002B1A95" w:rsidRDefault="005B63A2" w:rsidP="005B63A2">
            <w:pPr>
              <w:pStyle w:val="Tabletext"/>
            </w:pPr>
            <w:r w:rsidRPr="002B1A95">
              <w:t>4.0%</w:t>
            </w:r>
          </w:p>
        </w:tc>
        <w:tc>
          <w:tcPr>
            <w:tcW w:w="512" w:type="pct"/>
            <w:shd w:val="clear" w:color="auto" w:fill="auto"/>
          </w:tcPr>
          <w:p w:rsidR="005B63A2" w:rsidRPr="002B1A95" w:rsidRDefault="005B63A2" w:rsidP="005B63A2">
            <w:pPr>
              <w:pStyle w:val="Tabletext"/>
            </w:pPr>
            <w:r w:rsidRPr="002B1A95">
              <w:t>5.4%</w:t>
            </w:r>
          </w:p>
        </w:tc>
        <w:tc>
          <w:tcPr>
            <w:tcW w:w="511" w:type="pct"/>
            <w:shd w:val="clear" w:color="auto" w:fill="auto"/>
          </w:tcPr>
          <w:p w:rsidR="005B63A2" w:rsidRPr="002B1A95" w:rsidRDefault="005B63A2" w:rsidP="005B63A2">
            <w:pPr>
              <w:pStyle w:val="Tabletext"/>
            </w:pPr>
            <w:r w:rsidRPr="002B1A95">
              <w:t>7.0%</w:t>
            </w:r>
          </w:p>
        </w:tc>
        <w:tc>
          <w:tcPr>
            <w:tcW w:w="485" w:type="pct"/>
            <w:shd w:val="clear" w:color="auto" w:fill="auto"/>
          </w:tcPr>
          <w:p w:rsidR="005B63A2" w:rsidRPr="002B1A95" w:rsidRDefault="005B63A2" w:rsidP="005B63A2">
            <w:pPr>
              <w:pStyle w:val="Tabletext"/>
            </w:pPr>
            <w:r w:rsidRPr="002B1A95">
              <w:t>8.8%</w:t>
            </w:r>
          </w:p>
        </w:tc>
      </w:tr>
      <w:tr w:rsidR="005B63A2" w:rsidRPr="002B1A95" w:rsidTr="003104D0">
        <w:tblPrEx>
          <w:tblBorders>
            <w:top w:val="single" w:sz="4" w:space="0" w:color="auto"/>
          </w:tblBorders>
        </w:tblPrEx>
        <w:tc>
          <w:tcPr>
            <w:tcW w:w="423" w:type="pct"/>
            <w:shd w:val="clear" w:color="auto" w:fill="auto"/>
          </w:tcPr>
          <w:p w:rsidR="005B63A2" w:rsidRPr="002B1A95" w:rsidRDefault="005B63A2" w:rsidP="005B63A2">
            <w:pPr>
              <w:pStyle w:val="Tabletext"/>
            </w:pPr>
            <w:r w:rsidRPr="002B1A95">
              <w:t>36</w:t>
            </w:r>
          </w:p>
        </w:tc>
        <w:tc>
          <w:tcPr>
            <w:tcW w:w="682" w:type="pct"/>
            <w:gridSpan w:val="2"/>
            <w:shd w:val="clear" w:color="auto" w:fill="auto"/>
          </w:tcPr>
          <w:p w:rsidR="005B63A2" w:rsidRPr="002B1A95" w:rsidRDefault="005B63A2" w:rsidP="005B63A2">
            <w:pPr>
              <w:pStyle w:val="Tabletext"/>
            </w:pPr>
            <w:r w:rsidRPr="002B1A95">
              <w:t>6 to 9</w:t>
            </w:r>
          </w:p>
        </w:tc>
        <w:tc>
          <w:tcPr>
            <w:tcW w:w="597" w:type="pct"/>
            <w:shd w:val="clear" w:color="auto" w:fill="auto"/>
          </w:tcPr>
          <w:p w:rsidR="005B63A2" w:rsidRPr="002B1A95" w:rsidRDefault="005B63A2" w:rsidP="005B63A2">
            <w:pPr>
              <w:pStyle w:val="Tabletext"/>
            </w:pPr>
            <w:r w:rsidRPr="002B1A95">
              <w:t>0.8%</w:t>
            </w:r>
          </w:p>
        </w:tc>
        <w:tc>
          <w:tcPr>
            <w:tcW w:w="597" w:type="pct"/>
            <w:shd w:val="clear" w:color="auto" w:fill="auto"/>
          </w:tcPr>
          <w:p w:rsidR="005B63A2" w:rsidRPr="002B1A95" w:rsidRDefault="005B63A2" w:rsidP="005B63A2">
            <w:pPr>
              <w:pStyle w:val="Tabletext"/>
            </w:pPr>
            <w:r w:rsidRPr="002B1A95">
              <w:t>1.4%</w:t>
            </w:r>
          </w:p>
        </w:tc>
        <w:tc>
          <w:tcPr>
            <w:tcW w:w="597" w:type="pct"/>
            <w:shd w:val="clear" w:color="auto" w:fill="auto"/>
          </w:tcPr>
          <w:p w:rsidR="005B63A2" w:rsidRPr="002B1A95" w:rsidRDefault="005B63A2" w:rsidP="005B63A2">
            <w:pPr>
              <w:pStyle w:val="Tabletext"/>
            </w:pPr>
            <w:r w:rsidRPr="002B1A95">
              <w:t>2.2%</w:t>
            </w:r>
          </w:p>
        </w:tc>
        <w:tc>
          <w:tcPr>
            <w:tcW w:w="597" w:type="pct"/>
            <w:shd w:val="clear" w:color="auto" w:fill="auto"/>
          </w:tcPr>
          <w:p w:rsidR="005B63A2" w:rsidRPr="002B1A95" w:rsidRDefault="005B63A2" w:rsidP="005B63A2">
            <w:pPr>
              <w:pStyle w:val="Tabletext"/>
            </w:pPr>
            <w:r w:rsidRPr="002B1A95">
              <w:t>3.3%</w:t>
            </w:r>
          </w:p>
        </w:tc>
        <w:tc>
          <w:tcPr>
            <w:tcW w:w="512" w:type="pct"/>
            <w:shd w:val="clear" w:color="auto" w:fill="auto"/>
          </w:tcPr>
          <w:p w:rsidR="005B63A2" w:rsidRPr="002B1A95" w:rsidRDefault="005B63A2" w:rsidP="005B63A2">
            <w:pPr>
              <w:pStyle w:val="Tabletext"/>
            </w:pPr>
            <w:r w:rsidRPr="002B1A95">
              <w:t>4.7%</w:t>
            </w:r>
          </w:p>
        </w:tc>
        <w:tc>
          <w:tcPr>
            <w:tcW w:w="511" w:type="pct"/>
            <w:shd w:val="clear" w:color="auto" w:fill="auto"/>
          </w:tcPr>
          <w:p w:rsidR="005B63A2" w:rsidRPr="002B1A95" w:rsidRDefault="005B63A2" w:rsidP="005B63A2">
            <w:pPr>
              <w:pStyle w:val="Tabletext"/>
            </w:pPr>
            <w:r w:rsidRPr="002B1A95">
              <w:t>6.4%</w:t>
            </w:r>
          </w:p>
        </w:tc>
        <w:tc>
          <w:tcPr>
            <w:tcW w:w="485" w:type="pct"/>
            <w:shd w:val="clear" w:color="auto" w:fill="auto"/>
          </w:tcPr>
          <w:p w:rsidR="005B63A2" w:rsidRPr="002B1A95" w:rsidRDefault="005B63A2" w:rsidP="005B63A2">
            <w:pPr>
              <w:pStyle w:val="Tabletext"/>
            </w:pPr>
            <w:r w:rsidRPr="002B1A95">
              <w:t>8.3%</w:t>
            </w:r>
          </w:p>
        </w:tc>
      </w:tr>
      <w:tr w:rsidR="005B63A2" w:rsidRPr="002B1A95" w:rsidTr="003104D0">
        <w:tblPrEx>
          <w:tblBorders>
            <w:top w:val="single" w:sz="4" w:space="0" w:color="auto"/>
          </w:tblBorders>
        </w:tblPrEx>
        <w:tc>
          <w:tcPr>
            <w:tcW w:w="423" w:type="pct"/>
            <w:tcBorders>
              <w:bottom w:val="single" w:sz="2" w:space="0" w:color="auto"/>
            </w:tcBorders>
            <w:shd w:val="clear" w:color="auto" w:fill="auto"/>
          </w:tcPr>
          <w:p w:rsidR="005B63A2" w:rsidRPr="002B1A95" w:rsidRDefault="005B63A2" w:rsidP="005B63A2">
            <w:pPr>
              <w:pStyle w:val="Tabletext"/>
            </w:pPr>
            <w:r w:rsidRPr="002B1A95">
              <w:t>37</w:t>
            </w:r>
          </w:p>
        </w:tc>
        <w:tc>
          <w:tcPr>
            <w:tcW w:w="682" w:type="pct"/>
            <w:gridSpan w:val="2"/>
            <w:tcBorders>
              <w:bottom w:val="single" w:sz="2" w:space="0" w:color="auto"/>
            </w:tcBorders>
            <w:shd w:val="clear" w:color="auto" w:fill="auto"/>
          </w:tcPr>
          <w:p w:rsidR="005B63A2" w:rsidRPr="002B1A95" w:rsidRDefault="005B63A2" w:rsidP="005B63A2">
            <w:pPr>
              <w:pStyle w:val="Tabletext"/>
            </w:pPr>
            <w:r w:rsidRPr="002B1A95">
              <w:t>3 to 6</w:t>
            </w:r>
          </w:p>
        </w:tc>
        <w:tc>
          <w:tcPr>
            <w:tcW w:w="597" w:type="pct"/>
            <w:tcBorders>
              <w:bottom w:val="single" w:sz="2" w:space="0" w:color="auto"/>
            </w:tcBorders>
            <w:shd w:val="clear" w:color="auto" w:fill="auto"/>
          </w:tcPr>
          <w:p w:rsidR="005B63A2" w:rsidRPr="002B1A95" w:rsidRDefault="005B63A2" w:rsidP="005B63A2">
            <w:pPr>
              <w:pStyle w:val="Tabletext"/>
            </w:pPr>
            <w:r w:rsidRPr="002B1A95">
              <w:t>0.3%</w:t>
            </w:r>
          </w:p>
        </w:tc>
        <w:tc>
          <w:tcPr>
            <w:tcW w:w="597" w:type="pct"/>
            <w:tcBorders>
              <w:bottom w:val="single" w:sz="2" w:space="0" w:color="auto"/>
            </w:tcBorders>
            <w:shd w:val="clear" w:color="auto" w:fill="auto"/>
          </w:tcPr>
          <w:p w:rsidR="005B63A2" w:rsidRPr="002B1A95" w:rsidRDefault="005B63A2" w:rsidP="005B63A2">
            <w:pPr>
              <w:pStyle w:val="Tabletext"/>
            </w:pPr>
            <w:r w:rsidRPr="002B1A95">
              <w:t>0.6%</w:t>
            </w:r>
          </w:p>
        </w:tc>
        <w:tc>
          <w:tcPr>
            <w:tcW w:w="597" w:type="pct"/>
            <w:tcBorders>
              <w:bottom w:val="single" w:sz="2" w:space="0" w:color="auto"/>
            </w:tcBorders>
            <w:shd w:val="clear" w:color="auto" w:fill="auto"/>
          </w:tcPr>
          <w:p w:rsidR="005B63A2" w:rsidRPr="002B1A95" w:rsidRDefault="005B63A2" w:rsidP="005B63A2">
            <w:pPr>
              <w:pStyle w:val="Tabletext"/>
            </w:pPr>
            <w:r w:rsidRPr="002B1A95">
              <w:t>1.3%</w:t>
            </w:r>
          </w:p>
        </w:tc>
        <w:tc>
          <w:tcPr>
            <w:tcW w:w="597" w:type="pct"/>
            <w:tcBorders>
              <w:bottom w:val="single" w:sz="2" w:space="0" w:color="auto"/>
            </w:tcBorders>
            <w:shd w:val="clear" w:color="auto" w:fill="auto"/>
          </w:tcPr>
          <w:p w:rsidR="005B63A2" w:rsidRPr="002B1A95" w:rsidRDefault="005B63A2" w:rsidP="005B63A2">
            <w:pPr>
              <w:pStyle w:val="Tabletext"/>
            </w:pPr>
            <w:r w:rsidRPr="002B1A95">
              <w:t>2.4%</w:t>
            </w:r>
          </w:p>
        </w:tc>
        <w:tc>
          <w:tcPr>
            <w:tcW w:w="512" w:type="pct"/>
            <w:tcBorders>
              <w:bottom w:val="single" w:sz="2" w:space="0" w:color="auto"/>
            </w:tcBorders>
            <w:shd w:val="clear" w:color="auto" w:fill="auto"/>
          </w:tcPr>
          <w:p w:rsidR="005B63A2" w:rsidRPr="002B1A95" w:rsidRDefault="005B63A2" w:rsidP="005B63A2">
            <w:pPr>
              <w:pStyle w:val="Tabletext"/>
            </w:pPr>
            <w:r w:rsidRPr="002B1A95">
              <w:t>3.8%</w:t>
            </w:r>
          </w:p>
        </w:tc>
        <w:tc>
          <w:tcPr>
            <w:tcW w:w="511" w:type="pct"/>
            <w:tcBorders>
              <w:bottom w:val="single" w:sz="2" w:space="0" w:color="auto"/>
            </w:tcBorders>
            <w:shd w:val="clear" w:color="auto" w:fill="auto"/>
          </w:tcPr>
          <w:p w:rsidR="005B63A2" w:rsidRPr="002B1A95" w:rsidRDefault="005B63A2" w:rsidP="005B63A2">
            <w:pPr>
              <w:pStyle w:val="Tabletext"/>
            </w:pPr>
            <w:r w:rsidRPr="002B1A95">
              <w:t>5.7%</w:t>
            </w:r>
          </w:p>
        </w:tc>
        <w:tc>
          <w:tcPr>
            <w:tcW w:w="485" w:type="pct"/>
            <w:tcBorders>
              <w:bottom w:val="single" w:sz="2" w:space="0" w:color="auto"/>
            </w:tcBorders>
            <w:shd w:val="clear" w:color="auto" w:fill="auto"/>
          </w:tcPr>
          <w:p w:rsidR="005B63A2" w:rsidRPr="002B1A95" w:rsidRDefault="005B63A2" w:rsidP="005B63A2">
            <w:pPr>
              <w:pStyle w:val="Tabletext"/>
            </w:pPr>
            <w:r w:rsidRPr="002B1A95">
              <w:t>7.8%</w:t>
            </w:r>
          </w:p>
        </w:tc>
      </w:tr>
      <w:tr w:rsidR="005B63A2" w:rsidRPr="002B1A95" w:rsidTr="003104D0">
        <w:tblPrEx>
          <w:tblBorders>
            <w:top w:val="single" w:sz="4" w:space="0" w:color="auto"/>
          </w:tblBorders>
        </w:tblPrEx>
        <w:tc>
          <w:tcPr>
            <w:tcW w:w="423" w:type="pct"/>
            <w:tcBorders>
              <w:top w:val="single" w:sz="2" w:space="0" w:color="auto"/>
              <w:bottom w:val="single" w:sz="12" w:space="0" w:color="auto"/>
            </w:tcBorders>
            <w:shd w:val="clear" w:color="auto" w:fill="auto"/>
          </w:tcPr>
          <w:p w:rsidR="005B63A2" w:rsidRPr="002B1A95" w:rsidRDefault="005B63A2" w:rsidP="005B63A2">
            <w:pPr>
              <w:pStyle w:val="Tabletext"/>
            </w:pPr>
            <w:r w:rsidRPr="002B1A95">
              <w:t>38</w:t>
            </w:r>
          </w:p>
        </w:tc>
        <w:tc>
          <w:tcPr>
            <w:tcW w:w="682" w:type="pct"/>
            <w:gridSpan w:val="2"/>
            <w:tcBorders>
              <w:top w:val="single" w:sz="2" w:space="0" w:color="auto"/>
              <w:bottom w:val="single" w:sz="12" w:space="0" w:color="auto"/>
            </w:tcBorders>
            <w:shd w:val="clear" w:color="auto" w:fill="auto"/>
          </w:tcPr>
          <w:p w:rsidR="005B63A2" w:rsidRPr="002B1A95" w:rsidRDefault="005B63A2" w:rsidP="005B63A2">
            <w:pPr>
              <w:pStyle w:val="Tabletext"/>
            </w:pPr>
            <w:r w:rsidRPr="002B1A95">
              <w:t>0 to 3</w:t>
            </w:r>
          </w:p>
        </w:tc>
        <w:tc>
          <w:tcPr>
            <w:tcW w:w="597" w:type="pct"/>
            <w:tcBorders>
              <w:top w:val="single" w:sz="2" w:space="0" w:color="auto"/>
              <w:bottom w:val="single" w:sz="12" w:space="0" w:color="auto"/>
            </w:tcBorders>
            <w:shd w:val="clear" w:color="auto" w:fill="auto"/>
          </w:tcPr>
          <w:p w:rsidR="005B63A2" w:rsidRPr="002B1A95" w:rsidRDefault="005B63A2" w:rsidP="005B63A2">
            <w:pPr>
              <w:pStyle w:val="Tabletext"/>
            </w:pPr>
            <w:r w:rsidRPr="002B1A95">
              <w:t>0.0%</w:t>
            </w:r>
          </w:p>
        </w:tc>
        <w:tc>
          <w:tcPr>
            <w:tcW w:w="597" w:type="pct"/>
            <w:tcBorders>
              <w:top w:val="single" w:sz="2" w:space="0" w:color="auto"/>
              <w:bottom w:val="single" w:sz="12" w:space="0" w:color="auto"/>
            </w:tcBorders>
            <w:shd w:val="clear" w:color="auto" w:fill="auto"/>
          </w:tcPr>
          <w:p w:rsidR="005B63A2" w:rsidRPr="002B1A95" w:rsidRDefault="005B63A2" w:rsidP="005B63A2">
            <w:pPr>
              <w:pStyle w:val="Tabletext"/>
            </w:pPr>
            <w:r w:rsidRPr="002B1A95">
              <w:t>0.1%</w:t>
            </w:r>
          </w:p>
        </w:tc>
        <w:tc>
          <w:tcPr>
            <w:tcW w:w="597" w:type="pct"/>
            <w:tcBorders>
              <w:top w:val="single" w:sz="2" w:space="0" w:color="auto"/>
              <w:bottom w:val="single" w:sz="12" w:space="0" w:color="auto"/>
            </w:tcBorders>
            <w:shd w:val="clear" w:color="auto" w:fill="auto"/>
          </w:tcPr>
          <w:p w:rsidR="005B63A2" w:rsidRPr="002B1A95" w:rsidRDefault="005B63A2" w:rsidP="005B63A2">
            <w:pPr>
              <w:pStyle w:val="Tabletext"/>
            </w:pPr>
            <w:r w:rsidRPr="002B1A95">
              <w:t>0.5%</w:t>
            </w:r>
          </w:p>
        </w:tc>
        <w:tc>
          <w:tcPr>
            <w:tcW w:w="597" w:type="pct"/>
            <w:tcBorders>
              <w:top w:val="single" w:sz="2" w:space="0" w:color="auto"/>
              <w:bottom w:val="single" w:sz="12" w:space="0" w:color="auto"/>
            </w:tcBorders>
            <w:shd w:val="clear" w:color="auto" w:fill="auto"/>
          </w:tcPr>
          <w:p w:rsidR="005B63A2" w:rsidRPr="002B1A95" w:rsidRDefault="005B63A2" w:rsidP="005B63A2">
            <w:pPr>
              <w:pStyle w:val="Tabletext"/>
            </w:pPr>
            <w:r w:rsidRPr="002B1A95">
              <w:t>1.4%</w:t>
            </w:r>
          </w:p>
        </w:tc>
        <w:tc>
          <w:tcPr>
            <w:tcW w:w="512" w:type="pct"/>
            <w:tcBorders>
              <w:top w:val="single" w:sz="2" w:space="0" w:color="auto"/>
              <w:bottom w:val="single" w:sz="12" w:space="0" w:color="auto"/>
            </w:tcBorders>
            <w:shd w:val="clear" w:color="auto" w:fill="auto"/>
          </w:tcPr>
          <w:p w:rsidR="005B63A2" w:rsidRPr="002B1A95" w:rsidRDefault="005B63A2" w:rsidP="005B63A2">
            <w:pPr>
              <w:pStyle w:val="Tabletext"/>
            </w:pPr>
            <w:r w:rsidRPr="002B1A95">
              <w:t>3.0%</w:t>
            </w:r>
          </w:p>
        </w:tc>
        <w:tc>
          <w:tcPr>
            <w:tcW w:w="511" w:type="pct"/>
            <w:tcBorders>
              <w:top w:val="single" w:sz="2" w:space="0" w:color="auto"/>
              <w:bottom w:val="single" w:sz="12" w:space="0" w:color="auto"/>
            </w:tcBorders>
            <w:shd w:val="clear" w:color="auto" w:fill="auto"/>
          </w:tcPr>
          <w:p w:rsidR="005B63A2" w:rsidRPr="002B1A95" w:rsidRDefault="005B63A2" w:rsidP="005B63A2">
            <w:pPr>
              <w:pStyle w:val="Tabletext"/>
            </w:pPr>
            <w:r w:rsidRPr="002B1A95">
              <w:t>5.1%</w:t>
            </w:r>
          </w:p>
        </w:tc>
        <w:tc>
          <w:tcPr>
            <w:tcW w:w="485" w:type="pct"/>
            <w:tcBorders>
              <w:top w:val="single" w:sz="2" w:space="0" w:color="auto"/>
              <w:bottom w:val="single" w:sz="12" w:space="0" w:color="auto"/>
            </w:tcBorders>
            <w:shd w:val="clear" w:color="auto" w:fill="auto"/>
          </w:tcPr>
          <w:p w:rsidR="005B63A2" w:rsidRPr="002B1A95" w:rsidRDefault="005B63A2" w:rsidP="005B63A2">
            <w:pPr>
              <w:pStyle w:val="Tabletext"/>
            </w:pPr>
            <w:r w:rsidRPr="002B1A95">
              <w:t>7.5%</w:t>
            </w:r>
          </w:p>
        </w:tc>
      </w:tr>
    </w:tbl>
    <w:p w:rsidR="005B63A2" w:rsidRPr="002B1A95" w:rsidRDefault="005B63A2" w:rsidP="005B63A2">
      <w:pPr>
        <w:pStyle w:val="Tabletext"/>
      </w:pPr>
    </w:p>
    <w:p w:rsidR="005B63A2" w:rsidRPr="002B1A95" w:rsidRDefault="005B63A2" w:rsidP="005B63A2">
      <w:pPr>
        <w:pStyle w:val="subsection"/>
      </w:pPr>
      <w:r w:rsidRPr="002B1A95">
        <w:tab/>
        <w:t>(2)</w:t>
      </w:r>
      <w:r w:rsidRPr="002B1A95">
        <w:tab/>
        <w:t>If, in relation to a particular right:</w:t>
      </w:r>
    </w:p>
    <w:p w:rsidR="005B63A2" w:rsidRPr="002B1A95" w:rsidRDefault="005B63A2" w:rsidP="005B63A2">
      <w:pPr>
        <w:pStyle w:val="paragraph"/>
      </w:pPr>
      <w:r w:rsidRPr="002B1A95">
        <w:tab/>
        <w:t>(a)</w:t>
      </w:r>
      <w:r w:rsidRPr="002B1A95">
        <w:tab/>
        <w:t>the exercise period; or</w:t>
      </w:r>
    </w:p>
    <w:p w:rsidR="005B63A2" w:rsidRPr="002B1A95" w:rsidRDefault="005B63A2" w:rsidP="005B63A2">
      <w:pPr>
        <w:pStyle w:val="paragraph"/>
      </w:pPr>
      <w:r w:rsidRPr="002B1A95">
        <w:tab/>
        <w:t>(b)</w:t>
      </w:r>
      <w:r w:rsidRPr="002B1A95">
        <w:tab/>
        <w:t>the calculation percentage;</w:t>
      </w:r>
    </w:p>
    <w:p w:rsidR="005B63A2" w:rsidRPr="002B1A95" w:rsidRDefault="005B63A2" w:rsidP="005B63A2">
      <w:pPr>
        <w:pStyle w:val="subsection2"/>
      </w:pPr>
      <w:r w:rsidRPr="002B1A95">
        <w:t xml:space="preserve">is the top of one range in the table in </w:t>
      </w:r>
      <w:r w:rsidR="002B1A95" w:rsidRPr="002B1A95">
        <w:t>subsection (</w:t>
      </w:r>
      <w:r w:rsidRPr="002B1A95">
        <w:t>1) and is also the bottom of another range in the table, it is taken to be in the lower range and not in the higher range.</w:t>
      </w:r>
    </w:p>
    <w:p w:rsidR="005B63A2" w:rsidRPr="002B1A95" w:rsidRDefault="005B63A2" w:rsidP="005B63A2">
      <w:pPr>
        <w:pStyle w:val="ActHead5"/>
      </w:pPr>
      <w:bookmarkStart w:id="53" w:name="_Toc49765233"/>
      <w:r w:rsidRPr="00411C46">
        <w:rPr>
          <w:rStyle w:val="CharSectno"/>
        </w:rPr>
        <w:t>83A</w:t>
      </w:r>
      <w:r w:rsidR="00782250" w:rsidRPr="00411C46">
        <w:rPr>
          <w:rStyle w:val="CharSectno"/>
        </w:rPr>
        <w:noBreakHyphen/>
      </w:r>
      <w:r w:rsidRPr="00411C46">
        <w:rPr>
          <w:rStyle w:val="CharSectno"/>
        </w:rPr>
        <w:t>315.09</w:t>
      </w:r>
      <w:r w:rsidRPr="002B1A95">
        <w:t xml:space="preserve">  Base percentages for calculation percentages of 110% or more</w:t>
      </w:r>
      <w:bookmarkEnd w:id="53"/>
    </w:p>
    <w:p w:rsidR="005B63A2" w:rsidRPr="002B1A95" w:rsidRDefault="005B63A2" w:rsidP="005B63A2">
      <w:pPr>
        <w:pStyle w:val="subsection"/>
      </w:pPr>
      <w:r w:rsidRPr="002B1A95">
        <w:tab/>
        <w:t>(1)</w:t>
      </w:r>
      <w:r w:rsidRPr="002B1A95">
        <w:tab/>
        <w:t>The value of the right worked out under this section, is the amount worked out using the following formula:</w:t>
      </w:r>
    </w:p>
    <w:p w:rsidR="005B63A2" w:rsidRPr="002B1A95" w:rsidRDefault="005B63A2" w:rsidP="005B63A2">
      <w:pPr>
        <w:pStyle w:val="subsection"/>
      </w:pPr>
      <w:r w:rsidRPr="002B1A95">
        <w:tab/>
      </w:r>
      <w:r w:rsidRPr="002B1A95">
        <w:tab/>
      </w:r>
      <w:r w:rsidRPr="002B1A95">
        <w:rPr>
          <w:position w:val="-34"/>
        </w:rPr>
        <w:object w:dxaOrig="5660" w:dyaOrig="859">
          <v:shape id="_x0000_i1026" type="#_x0000_t75" style="width:282pt;height:42.75pt" o:ole="">
            <v:imagedata r:id="rId23" o:title=""/>
          </v:shape>
          <o:OLEObject Type="Embed" ProgID="Equation.DSMT4" ShapeID="_x0000_i1026" DrawAspect="Content" ObjectID="_1660378721" r:id="rId24"/>
        </w:object>
      </w:r>
    </w:p>
    <w:p w:rsidR="005B63A2" w:rsidRPr="002B1A95" w:rsidRDefault="005B63A2" w:rsidP="005B63A2">
      <w:pPr>
        <w:pStyle w:val="subsection"/>
      </w:pPr>
      <w:r w:rsidRPr="002B1A95">
        <w:tab/>
      </w:r>
      <w:r w:rsidRPr="002B1A95">
        <w:tab/>
        <w:t>where:</w:t>
      </w:r>
    </w:p>
    <w:p w:rsidR="005B63A2" w:rsidRPr="002B1A95" w:rsidRDefault="005B63A2" w:rsidP="005B63A2">
      <w:pPr>
        <w:pStyle w:val="Definition"/>
      </w:pPr>
      <w:r w:rsidRPr="002B1A95">
        <w:rPr>
          <w:b/>
          <w:i/>
        </w:rPr>
        <w:t>additional percentage</w:t>
      </w:r>
      <w:r w:rsidRPr="002B1A95">
        <w:t xml:space="preserve">, for a right with an exercise period specified in an item in column 1 of the table in </w:t>
      </w:r>
      <w:r w:rsidR="002B1A95" w:rsidRPr="002B1A95">
        <w:t>subsection (</w:t>
      </w:r>
      <w:r w:rsidRPr="002B1A95">
        <w:t>2), is the percentage specified in column 3 of the item.</w:t>
      </w:r>
    </w:p>
    <w:p w:rsidR="005B63A2" w:rsidRPr="002B1A95" w:rsidRDefault="005B63A2" w:rsidP="005B63A2">
      <w:pPr>
        <w:pStyle w:val="Definition"/>
      </w:pPr>
      <w:r w:rsidRPr="002B1A95">
        <w:rPr>
          <w:b/>
          <w:i/>
        </w:rPr>
        <w:t>base percentage</w:t>
      </w:r>
      <w:r w:rsidRPr="002B1A95">
        <w:t xml:space="preserve">, for a right with an exercise period specified in an item in column 1 of the table in </w:t>
      </w:r>
      <w:r w:rsidR="002B1A95" w:rsidRPr="002B1A95">
        <w:t>subsection (</w:t>
      </w:r>
      <w:r w:rsidRPr="002B1A95">
        <w:t>2), is the percentage specified in column 2 of the item.</w:t>
      </w:r>
    </w:p>
    <w:p w:rsidR="005B63A2" w:rsidRPr="002B1A95" w:rsidRDefault="005B63A2" w:rsidP="005B63A2">
      <w:pPr>
        <w:pStyle w:val="Definition"/>
      </w:pPr>
      <w:r w:rsidRPr="002B1A95">
        <w:rPr>
          <w:b/>
          <w:i/>
        </w:rPr>
        <w:lastRenderedPageBreak/>
        <w:t>excess</w:t>
      </w:r>
      <w:r w:rsidRPr="002B1A95">
        <w:rPr>
          <w:i/>
        </w:rPr>
        <w:t xml:space="preserve"> </w:t>
      </w:r>
      <w:r w:rsidRPr="002B1A95">
        <w:t>is the amount worked out using the following formula, disregarding any fraction:</w:t>
      </w:r>
    </w:p>
    <w:p w:rsidR="005B63A2" w:rsidRPr="002B1A95" w:rsidRDefault="005B63A2" w:rsidP="005B63A2">
      <w:pPr>
        <w:pStyle w:val="Definition"/>
      </w:pPr>
      <w:r w:rsidRPr="002B1A95">
        <w:rPr>
          <w:position w:val="-44"/>
        </w:rPr>
        <w:object w:dxaOrig="2560" w:dyaOrig="980">
          <v:shape id="_x0000_i1027" type="#_x0000_t75" style="width:127.5pt;height:48pt" o:ole="">
            <v:imagedata r:id="rId25" o:title=""/>
          </v:shape>
          <o:OLEObject Type="Embed" ProgID="Equation.DSMT4" ShapeID="_x0000_i1027" DrawAspect="Content" ObjectID="_1660378722" r:id="rId26"/>
        </w:object>
      </w:r>
    </w:p>
    <w:p w:rsidR="005B63A2" w:rsidRPr="002B1A95" w:rsidRDefault="005B63A2" w:rsidP="005B63A2">
      <w:pPr>
        <w:pStyle w:val="Definition"/>
      </w:pPr>
      <w:r w:rsidRPr="002B1A95">
        <w:rPr>
          <w:b/>
          <w:i/>
        </w:rPr>
        <w:t>exercise period</w:t>
      </w:r>
      <w:r w:rsidRPr="002B1A95">
        <w:rPr>
          <w:b/>
        </w:rPr>
        <w:t xml:space="preserve"> </w:t>
      </w:r>
      <w:r w:rsidRPr="002B1A95">
        <w:t>for a right is the period, in months, from the particular day (referred to in section 83A</w:t>
      </w:r>
      <w:r w:rsidR="00782250">
        <w:noBreakHyphen/>
      </w:r>
      <w:r w:rsidRPr="002B1A95">
        <w:t>315.02) until the last day on which the right may be exercised.</w:t>
      </w:r>
    </w:p>
    <w:p w:rsidR="005B63A2" w:rsidRPr="002B1A95" w:rsidRDefault="005B63A2" w:rsidP="005B63A2">
      <w:pPr>
        <w:pStyle w:val="subsection"/>
      </w:pPr>
      <w:r w:rsidRPr="002B1A95">
        <w:tab/>
        <w:t>(2)</w:t>
      </w:r>
      <w:r w:rsidRPr="002B1A95">
        <w:tab/>
        <w:t xml:space="preserve">The following table sets out base percentages and additional percentages for the purposes of </w:t>
      </w:r>
      <w:r w:rsidR="002B1A95" w:rsidRPr="002B1A95">
        <w:t>subsection (</w:t>
      </w:r>
      <w:r w:rsidRPr="002B1A95">
        <w:t>1).</w:t>
      </w:r>
    </w:p>
    <w:p w:rsidR="005B63A2" w:rsidRPr="002B1A95" w:rsidRDefault="005B63A2" w:rsidP="005B63A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75"/>
        <w:gridCol w:w="2293"/>
        <w:gridCol w:w="2966"/>
        <w:gridCol w:w="2595"/>
      </w:tblGrid>
      <w:tr w:rsidR="005B63A2" w:rsidRPr="002B1A95" w:rsidTr="005B63A2">
        <w:trPr>
          <w:tblHeader/>
        </w:trPr>
        <w:tc>
          <w:tcPr>
            <w:tcW w:w="5000" w:type="pct"/>
            <w:gridSpan w:val="4"/>
            <w:tcBorders>
              <w:top w:val="single" w:sz="12" w:space="0" w:color="auto"/>
              <w:bottom w:val="single" w:sz="2" w:space="0" w:color="auto"/>
            </w:tcBorders>
            <w:shd w:val="clear" w:color="auto" w:fill="auto"/>
          </w:tcPr>
          <w:p w:rsidR="005B63A2" w:rsidRPr="002B1A95" w:rsidRDefault="005B63A2" w:rsidP="005B63A2">
            <w:pPr>
              <w:pStyle w:val="TableHeading"/>
            </w:pPr>
            <w:r w:rsidRPr="002B1A95">
              <w:t>Base percentages and additional percentages</w:t>
            </w:r>
          </w:p>
        </w:tc>
      </w:tr>
      <w:tr w:rsidR="005B63A2" w:rsidRPr="002B1A95" w:rsidTr="005B63A2">
        <w:trPr>
          <w:tblHeader/>
        </w:trPr>
        <w:tc>
          <w:tcPr>
            <w:tcW w:w="396" w:type="pct"/>
            <w:tcBorders>
              <w:top w:val="single" w:sz="2" w:space="0" w:color="auto"/>
              <w:bottom w:val="single" w:sz="12" w:space="0" w:color="auto"/>
            </w:tcBorders>
            <w:shd w:val="clear" w:color="auto" w:fill="auto"/>
          </w:tcPr>
          <w:p w:rsidR="005B63A2" w:rsidRPr="002B1A95" w:rsidRDefault="005B63A2" w:rsidP="005B63A2">
            <w:pPr>
              <w:pStyle w:val="TableHeading"/>
            </w:pPr>
            <w:r w:rsidRPr="002B1A95">
              <w:t>Item</w:t>
            </w:r>
          </w:p>
        </w:tc>
        <w:tc>
          <w:tcPr>
            <w:tcW w:w="1344" w:type="pct"/>
            <w:tcBorders>
              <w:top w:val="single" w:sz="2" w:space="0" w:color="auto"/>
              <w:bottom w:val="single" w:sz="12" w:space="0" w:color="auto"/>
            </w:tcBorders>
            <w:shd w:val="clear" w:color="auto" w:fill="auto"/>
          </w:tcPr>
          <w:p w:rsidR="005B63A2" w:rsidRPr="002B1A95" w:rsidRDefault="005B63A2" w:rsidP="005B63A2">
            <w:pPr>
              <w:pStyle w:val="TableHeading"/>
            </w:pPr>
            <w:r w:rsidRPr="002B1A95">
              <w:t>Column 1</w:t>
            </w:r>
          </w:p>
          <w:p w:rsidR="005B63A2" w:rsidRPr="002B1A95" w:rsidRDefault="005B63A2" w:rsidP="005B63A2">
            <w:pPr>
              <w:pStyle w:val="TableHeading"/>
            </w:pPr>
            <w:r w:rsidRPr="002B1A95">
              <w:t>Exercise period (months)</w:t>
            </w:r>
          </w:p>
        </w:tc>
        <w:tc>
          <w:tcPr>
            <w:tcW w:w="1739" w:type="pct"/>
            <w:tcBorders>
              <w:top w:val="single" w:sz="2" w:space="0" w:color="auto"/>
              <w:bottom w:val="single" w:sz="12" w:space="0" w:color="auto"/>
            </w:tcBorders>
            <w:shd w:val="clear" w:color="auto" w:fill="auto"/>
          </w:tcPr>
          <w:p w:rsidR="005B63A2" w:rsidRPr="002B1A95" w:rsidRDefault="005B63A2" w:rsidP="005B63A2">
            <w:pPr>
              <w:pStyle w:val="TableHeading"/>
            </w:pPr>
            <w:r w:rsidRPr="002B1A95">
              <w:t>Column 2</w:t>
            </w:r>
          </w:p>
          <w:p w:rsidR="005B63A2" w:rsidRPr="002B1A95" w:rsidRDefault="005B63A2" w:rsidP="005B63A2">
            <w:pPr>
              <w:pStyle w:val="TableHeading"/>
            </w:pPr>
            <w:r w:rsidRPr="002B1A95">
              <w:t>Base percentage</w:t>
            </w:r>
          </w:p>
        </w:tc>
        <w:tc>
          <w:tcPr>
            <w:tcW w:w="1522" w:type="pct"/>
            <w:tcBorders>
              <w:top w:val="single" w:sz="2" w:space="0" w:color="auto"/>
              <w:bottom w:val="single" w:sz="12" w:space="0" w:color="auto"/>
            </w:tcBorders>
            <w:shd w:val="clear" w:color="auto" w:fill="auto"/>
          </w:tcPr>
          <w:p w:rsidR="005B63A2" w:rsidRPr="002B1A95" w:rsidRDefault="005B63A2" w:rsidP="005B63A2">
            <w:pPr>
              <w:pStyle w:val="TableHeading"/>
            </w:pPr>
            <w:r w:rsidRPr="002B1A95">
              <w:t>Column 3</w:t>
            </w:r>
          </w:p>
          <w:p w:rsidR="005B63A2" w:rsidRPr="002B1A95" w:rsidRDefault="005B63A2" w:rsidP="005B63A2">
            <w:pPr>
              <w:pStyle w:val="TableHeading"/>
            </w:pPr>
            <w:r w:rsidRPr="002B1A95">
              <w:t>Additional percentage</w:t>
            </w:r>
          </w:p>
        </w:tc>
      </w:tr>
      <w:tr w:rsidR="005B63A2" w:rsidRPr="002B1A95" w:rsidTr="005B63A2">
        <w:tc>
          <w:tcPr>
            <w:tcW w:w="396" w:type="pct"/>
            <w:tcBorders>
              <w:top w:val="single" w:sz="12" w:space="0" w:color="auto"/>
            </w:tcBorders>
            <w:shd w:val="clear" w:color="auto" w:fill="auto"/>
          </w:tcPr>
          <w:p w:rsidR="005B63A2" w:rsidRPr="002B1A95" w:rsidRDefault="005B63A2" w:rsidP="005B63A2">
            <w:pPr>
              <w:pStyle w:val="Tabletext"/>
            </w:pPr>
            <w:r w:rsidRPr="002B1A95">
              <w:t>1</w:t>
            </w:r>
          </w:p>
        </w:tc>
        <w:tc>
          <w:tcPr>
            <w:tcW w:w="1344" w:type="pct"/>
            <w:tcBorders>
              <w:top w:val="single" w:sz="12" w:space="0" w:color="auto"/>
            </w:tcBorders>
            <w:shd w:val="clear" w:color="auto" w:fill="auto"/>
          </w:tcPr>
          <w:p w:rsidR="005B63A2" w:rsidRPr="002B1A95" w:rsidRDefault="005B63A2" w:rsidP="005B63A2">
            <w:pPr>
              <w:pStyle w:val="Tabletext"/>
            </w:pPr>
            <w:r w:rsidRPr="002B1A95">
              <w:t>168 to 180</w:t>
            </w:r>
          </w:p>
        </w:tc>
        <w:tc>
          <w:tcPr>
            <w:tcW w:w="1739" w:type="pct"/>
            <w:tcBorders>
              <w:top w:val="single" w:sz="12" w:space="0" w:color="auto"/>
            </w:tcBorders>
            <w:shd w:val="clear" w:color="auto" w:fill="auto"/>
          </w:tcPr>
          <w:p w:rsidR="005B63A2" w:rsidRPr="002B1A95" w:rsidRDefault="005B63A2" w:rsidP="005B63A2">
            <w:pPr>
              <w:pStyle w:val="Tabletext"/>
            </w:pPr>
            <w:r w:rsidRPr="002B1A95">
              <w:t>13.3%</w:t>
            </w:r>
          </w:p>
        </w:tc>
        <w:tc>
          <w:tcPr>
            <w:tcW w:w="1522" w:type="pct"/>
            <w:tcBorders>
              <w:top w:val="single" w:sz="12" w:space="0" w:color="auto"/>
            </w:tcBorders>
            <w:shd w:val="clear" w:color="auto" w:fill="auto"/>
          </w:tcPr>
          <w:p w:rsidR="005B63A2" w:rsidRPr="002B1A95" w:rsidRDefault="005B63A2" w:rsidP="005B63A2">
            <w:pPr>
              <w:pStyle w:val="Tabletext"/>
            </w:pPr>
            <w:r w:rsidRPr="002B1A95">
              <w:t>0.5%</w:t>
            </w:r>
          </w:p>
        </w:tc>
      </w:tr>
      <w:tr w:rsidR="005B63A2" w:rsidRPr="002B1A95" w:rsidTr="005B63A2">
        <w:tc>
          <w:tcPr>
            <w:tcW w:w="396" w:type="pct"/>
            <w:shd w:val="clear" w:color="auto" w:fill="auto"/>
          </w:tcPr>
          <w:p w:rsidR="005B63A2" w:rsidRPr="002B1A95" w:rsidRDefault="005B63A2" w:rsidP="005B63A2">
            <w:pPr>
              <w:pStyle w:val="Tabletext"/>
            </w:pPr>
            <w:r w:rsidRPr="002B1A95">
              <w:t>2</w:t>
            </w:r>
          </w:p>
        </w:tc>
        <w:tc>
          <w:tcPr>
            <w:tcW w:w="1344" w:type="pct"/>
            <w:shd w:val="clear" w:color="auto" w:fill="auto"/>
          </w:tcPr>
          <w:p w:rsidR="005B63A2" w:rsidRPr="002B1A95" w:rsidRDefault="005B63A2" w:rsidP="005B63A2">
            <w:pPr>
              <w:pStyle w:val="Tabletext"/>
            </w:pPr>
            <w:r w:rsidRPr="002B1A95">
              <w:t>156 to 168</w:t>
            </w:r>
          </w:p>
        </w:tc>
        <w:tc>
          <w:tcPr>
            <w:tcW w:w="1739" w:type="pct"/>
            <w:shd w:val="clear" w:color="auto" w:fill="auto"/>
          </w:tcPr>
          <w:p w:rsidR="005B63A2" w:rsidRPr="002B1A95" w:rsidRDefault="005B63A2" w:rsidP="005B63A2">
            <w:pPr>
              <w:pStyle w:val="Tabletext"/>
            </w:pPr>
            <w:r w:rsidRPr="002B1A95">
              <w:t>13.3%</w:t>
            </w:r>
          </w:p>
        </w:tc>
        <w:tc>
          <w:tcPr>
            <w:tcW w:w="1522" w:type="pct"/>
            <w:shd w:val="clear" w:color="auto" w:fill="auto"/>
          </w:tcPr>
          <w:p w:rsidR="005B63A2" w:rsidRPr="002B1A95" w:rsidRDefault="005B63A2" w:rsidP="005B63A2">
            <w:pPr>
              <w:pStyle w:val="Tabletext"/>
            </w:pPr>
            <w:r w:rsidRPr="002B1A95">
              <w:t>0.5%</w:t>
            </w:r>
          </w:p>
        </w:tc>
      </w:tr>
      <w:tr w:rsidR="005B63A2" w:rsidRPr="002B1A95" w:rsidTr="005B63A2">
        <w:tc>
          <w:tcPr>
            <w:tcW w:w="396" w:type="pct"/>
            <w:shd w:val="clear" w:color="auto" w:fill="auto"/>
          </w:tcPr>
          <w:p w:rsidR="005B63A2" w:rsidRPr="002B1A95" w:rsidRDefault="005B63A2" w:rsidP="005B63A2">
            <w:pPr>
              <w:pStyle w:val="Tabletext"/>
            </w:pPr>
            <w:r w:rsidRPr="002B1A95">
              <w:t>3</w:t>
            </w:r>
          </w:p>
        </w:tc>
        <w:tc>
          <w:tcPr>
            <w:tcW w:w="1344" w:type="pct"/>
            <w:shd w:val="clear" w:color="auto" w:fill="auto"/>
          </w:tcPr>
          <w:p w:rsidR="005B63A2" w:rsidRPr="002B1A95" w:rsidRDefault="005B63A2" w:rsidP="005B63A2">
            <w:pPr>
              <w:pStyle w:val="Tabletext"/>
            </w:pPr>
            <w:r w:rsidRPr="002B1A95">
              <w:t>144 to 156</w:t>
            </w:r>
          </w:p>
        </w:tc>
        <w:tc>
          <w:tcPr>
            <w:tcW w:w="1739" w:type="pct"/>
            <w:shd w:val="clear" w:color="auto" w:fill="auto"/>
          </w:tcPr>
          <w:p w:rsidR="005B63A2" w:rsidRPr="002B1A95" w:rsidRDefault="005B63A2" w:rsidP="005B63A2">
            <w:pPr>
              <w:pStyle w:val="Tabletext"/>
            </w:pPr>
            <w:r w:rsidRPr="002B1A95">
              <w:t>13.3%</w:t>
            </w:r>
          </w:p>
        </w:tc>
        <w:tc>
          <w:tcPr>
            <w:tcW w:w="1522" w:type="pct"/>
            <w:shd w:val="clear" w:color="auto" w:fill="auto"/>
          </w:tcPr>
          <w:p w:rsidR="005B63A2" w:rsidRPr="002B1A95" w:rsidRDefault="005B63A2" w:rsidP="005B63A2">
            <w:pPr>
              <w:pStyle w:val="Tabletext"/>
            </w:pPr>
            <w:r w:rsidRPr="002B1A95">
              <w:t>0.5%</w:t>
            </w:r>
          </w:p>
        </w:tc>
      </w:tr>
      <w:tr w:rsidR="005B63A2" w:rsidRPr="002B1A95" w:rsidTr="005B63A2">
        <w:tc>
          <w:tcPr>
            <w:tcW w:w="396" w:type="pct"/>
            <w:shd w:val="clear" w:color="auto" w:fill="auto"/>
          </w:tcPr>
          <w:p w:rsidR="005B63A2" w:rsidRPr="002B1A95" w:rsidRDefault="005B63A2" w:rsidP="005B63A2">
            <w:pPr>
              <w:pStyle w:val="Tabletext"/>
            </w:pPr>
            <w:r w:rsidRPr="002B1A95">
              <w:t>4</w:t>
            </w:r>
          </w:p>
        </w:tc>
        <w:tc>
          <w:tcPr>
            <w:tcW w:w="1344" w:type="pct"/>
            <w:shd w:val="clear" w:color="auto" w:fill="auto"/>
          </w:tcPr>
          <w:p w:rsidR="005B63A2" w:rsidRPr="002B1A95" w:rsidRDefault="005B63A2" w:rsidP="005B63A2">
            <w:pPr>
              <w:pStyle w:val="Tabletext"/>
            </w:pPr>
            <w:r w:rsidRPr="002B1A95">
              <w:t>132 to 144</w:t>
            </w:r>
          </w:p>
        </w:tc>
        <w:tc>
          <w:tcPr>
            <w:tcW w:w="1739" w:type="pct"/>
            <w:shd w:val="clear" w:color="auto" w:fill="auto"/>
          </w:tcPr>
          <w:p w:rsidR="005B63A2" w:rsidRPr="002B1A95" w:rsidRDefault="005B63A2" w:rsidP="005B63A2">
            <w:pPr>
              <w:pStyle w:val="Tabletext"/>
            </w:pPr>
            <w:r w:rsidRPr="002B1A95">
              <w:t>13.3%</w:t>
            </w:r>
          </w:p>
        </w:tc>
        <w:tc>
          <w:tcPr>
            <w:tcW w:w="1522" w:type="pct"/>
            <w:shd w:val="clear" w:color="auto" w:fill="auto"/>
          </w:tcPr>
          <w:p w:rsidR="005B63A2" w:rsidRPr="002B1A95" w:rsidRDefault="005B63A2" w:rsidP="005B63A2">
            <w:pPr>
              <w:pStyle w:val="Tabletext"/>
            </w:pPr>
            <w:r w:rsidRPr="002B1A95">
              <w:t>0.6%</w:t>
            </w:r>
          </w:p>
        </w:tc>
      </w:tr>
      <w:tr w:rsidR="005B63A2" w:rsidRPr="002B1A95" w:rsidTr="005B63A2">
        <w:tc>
          <w:tcPr>
            <w:tcW w:w="396" w:type="pct"/>
            <w:shd w:val="clear" w:color="auto" w:fill="auto"/>
          </w:tcPr>
          <w:p w:rsidR="005B63A2" w:rsidRPr="002B1A95" w:rsidRDefault="005B63A2" w:rsidP="005B63A2">
            <w:pPr>
              <w:pStyle w:val="Tabletext"/>
            </w:pPr>
            <w:r w:rsidRPr="002B1A95">
              <w:t>5</w:t>
            </w:r>
          </w:p>
        </w:tc>
        <w:tc>
          <w:tcPr>
            <w:tcW w:w="1344" w:type="pct"/>
            <w:shd w:val="clear" w:color="auto" w:fill="auto"/>
          </w:tcPr>
          <w:p w:rsidR="005B63A2" w:rsidRPr="002B1A95" w:rsidRDefault="005B63A2" w:rsidP="005B63A2">
            <w:pPr>
              <w:pStyle w:val="Tabletext"/>
            </w:pPr>
            <w:r w:rsidRPr="002B1A95">
              <w:t>120 to 132</w:t>
            </w:r>
          </w:p>
        </w:tc>
        <w:tc>
          <w:tcPr>
            <w:tcW w:w="1739" w:type="pct"/>
            <w:shd w:val="clear" w:color="auto" w:fill="auto"/>
          </w:tcPr>
          <w:p w:rsidR="005B63A2" w:rsidRPr="002B1A95" w:rsidRDefault="005B63A2" w:rsidP="005B63A2">
            <w:pPr>
              <w:pStyle w:val="Tabletext"/>
            </w:pPr>
            <w:r w:rsidRPr="002B1A95">
              <w:t>13.3%</w:t>
            </w:r>
          </w:p>
        </w:tc>
        <w:tc>
          <w:tcPr>
            <w:tcW w:w="1522" w:type="pct"/>
            <w:shd w:val="clear" w:color="auto" w:fill="auto"/>
          </w:tcPr>
          <w:p w:rsidR="005B63A2" w:rsidRPr="002B1A95" w:rsidRDefault="005B63A2" w:rsidP="005B63A2">
            <w:pPr>
              <w:pStyle w:val="Tabletext"/>
            </w:pPr>
            <w:r w:rsidRPr="002B1A95">
              <w:t>0.6%</w:t>
            </w:r>
          </w:p>
        </w:tc>
      </w:tr>
      <w:tr w:rsidR="005B63A2" w:rsidRPr="002B1A95" w:rsidTr="005B63A2">
        <w:tc>
          <w:tcPr>
            <w:tcW w:w="396" w:type="pct"/>
            <w:shd w:val="clear" w:color="auto" w:fill="auto"/>
          </w:tcPr>
          <w:p w:rsidR="005B63A2" w:rsidRPr="002B1A95" w:rsidRDefault="005B63A2" w:rsidP="005B63A2">
            <w:pPr>
              <w:pStyle w:val="Tabletext"/>
            </w:pPr>
            <w:r w:rsidRPr="002B1A95">
              <w:t>6</w:t>
            </w:r>
          </w:p>
        </w:tc>
        <w:tc>
          <w:tcPr>
            <w:tcW w:w="1344" w:type="pct"/>
            <w:shd w:val="clear" w:color="auto" w:fill="auto"/>
          </w:tcPr>
          <w:p w:rsidR="005B63A2" w:rsidRPr="002B1A95" w:rsidRDefault="005B63A2" w:rsidP="005B63A2">
            <w:pPr>
              <w:pStyle w:val="Tabletext"/>
            </w:pPr>
            <w:r w:rsidRPr="002B1A95">
              <w:t>108 to 120</w:t>
            </w:r>
          </w:p>
        </w:tc>
        <w:tc>
          <w:tcPr>
            <w:tcW w:w="1739" w:type="pct"/>
            <w:shd w:val="clear" w:color="auto" w:fill="auto"/>
          </w:tcPr>
          <w:p w:rsidR="005B63A2" w:rsidRPr="002B1A95" w:rsidRDefault="005B63A2" w:rsidP="005B63A2">
            <w:pPr>
              <w:pStyle w:val="Tabletext"/>
            </w:pPr>
            <w:r w:rsidRPr="002B1A95">
              <w:t>13.3%</w:t>
            </w:r>
          </w:p>
        </w:tc>
        <w:tc>
          <w:tcPr>
            <w:tcW w:w="1522" w:type="pct"/>
            <w:shd w:val="clear" w:color="auto" w:fill="auto"/>
          </w:tcPr>
          <w:p w:rsidR="005B63A2" w:rsidRPr="002B1A95" w:rsidRDefault="005B63A2" w:rsidP="005B63A2">
            <w:pPr>
              <w:pStyle w:val="Tabletext"/>
            </w:pPr>
            <w:r w:rsidRPr="002B1A95">
              <w:t>0.6%</w:t>
            </w:r>
          </w:p>
        </w:tc>
      </w:tr>
      <w:tr w:rsidR="005B63A2" w:rsidRPr="002B1A95" w:rsidTr="005B63A2">
        <w:tc>
          <w:tcPr>
            <w:tcW w:w="396" w:type="pct"/>
            <w:shd w:val="clear" w:color="auto" w:fill="auto"/>
          </w:tcPr>
          <w:p w:rsidR="005B63A2" w:rsidRPr="002B1A95" w:rsidRDefault="005B63A2" w:rsidP="005B63A2">
            <w:pPr>
              <w:pStyle w:val="Tabletext"/>
            </w:pPr>
            <w:r w:rsidRPr="002B1A95">
              <w:t>7</w:t>
            </w:r>
          </w:p>
        </w:tc>
        <w:tc>
          <w:tcPr>
            <w:tcW w:w="1344" w:type="pct"/>
            <w:shd w:val="clear" w:color="auto" w:fill="auto"/>
          </w:tcPr>
          <w:p w:rsidR="005B63A2" w:rsidRPr="002B1A95" w:rsidRDefault="005B63A2" w:rsidP="005B63A2">
            <w:pPr>
              <w:pStyle w:val="Tabletext"/>
            </w:pPr>
            <w:r w:rsidRPr="002B1A95">
              <w:t>96 to 108</w:t>
            </w:r>
          </w:p>
        </w:tc>
        <w:tc>
          <w:tcPr>
            <w:tcW w:w="1739" w:type="pct"/>
            <w:shd w:val="clear" w:color="auto" w:fill="auto"/>
          </w:tcPr>
          <w:p w:rsidR="005B63A2" w:rsidRPr="002B1A95" w:rsidRDefault="005B63A2" w:rsidP="005B63A2">
            <w:pPr>
              <w:pStyle w:val="Tabletext"/>
            </w:pPr>
            <w:r w:rsidRPr="002B1A95">
              <w:t>13.2%</w:t>
            </w:r>
          </w:p>
        </w:tc>
        <w:tc>
          <w:tcPr>
            <w:tcW w:w="1522" w:type="pct"/>
            <w:shd w:val="clear" w:color="auto" w:fill="auto"/>
          </w:tcPr>
          <w:p w:rsidR="005B63A2" w:rsidRPr="002B1A95" w:rsidRDefault="005B63A2" w:rsidP="005B63A2">
            <w:pPr>
              <w:pStyle w:val="Tabletext"/>
            </w:pPr>
            <w:r w:rsidRPr="002B1A95">
              <w:t>0.6%</w:t>
            </w:r>
          </w:p>
        </w:tc>
      </w:tr>
      <w:tr w:rsidR="005B63A2" w:rsidRPr="002B1A95" w:rsidTr="005B63A2">
        <w:tc>
          <w:tcPr>
            <w:tcW w:w="396" w:type="pct"/>
            <w:shd w:val="clear" w:color="auto" w:fill="auto"/>
          </w:tcPr>
          <w:p w:rsidR="005B63A2" w:rsidRPr="002B1A95" w:rsidRDefault="005B63A2" w:rsidP="005B63A2">
            <w:pPr>
              <w:pStyle w:val="Tabletext"/>
            </w:pPr>
            <w:r w:rsidRPr="002B1A95">
              <w:t>8</w:t>
            </w:r>
          </w:p>
        </w:tc>
        <w:tc>
          <w:tcPr>
            <w:tcW w:w="1344" w:type="pct"/>
            <w:shd w:val="clear" w:color="auto" w:fill="auto"/>
          </w:tcPr>
          <w:p w:rsidR="005B63A2" w:rsidRPr="002B1A95" w:rsidRDefault="005B63A2" w:rsidP="005B63A2">
            <w:pPr>
              <w:pStyle w:val="Tabletext"/>
            </w:pPr>
            <w:r w:rsidRPr="002B1A95">
              <w:t>84 to 96</w:t>
            </w:r>
          </w:p>
        </w:tc>
        <w:tc>
          <w:tcPr>
            <w:tcW w:w="1739" w:type="pct"/>
            <w:shd w:val="clear" w:color="auto" w:fill="auto"/>
          </w:tcPr>
          <w:p w:rsidR="005B63A2" w:rsidRPr="002B1A95" w:rsidRDefault="005B63A2" w:rsidP="005B63A2">
            <w:pPr>
              <w:pStyle w:val="Tabletext"/>
            </w:pPr>
            <w:r w:rsidRPr="002B1A95">
              <w:t>13.0%</w:t>
            </w:r>
          </w:p>
        </w:tc>
        <w:tc>
          <w:tcPr>
            <w:tcW w:w="1522" w:type="pct"/>
            <w:shd w:val="clear" w:color="auto" w:fill="auto"/>
          </w:tcPr>
          <w:p w:rsidR="005B63A2" w:rsidRPr="002B1A95" w:rsidRDefault="005B63A2" w:rsidP="005B63A2">
            <w:pPr>
              <w:pStyle w:val="Tabletext"/>
            </w:pPr>
            <w:r w:rsidRPr="002B1A95">
              <w:t>0.6%</w:t>
            </w:r>
          </w:p>
        </w:tc>
      </w:tr>
      <w:tr w:rsidR="005B63A2" w:rsidRPr="002B1A95" w:rsidTr="005B63A2">
        <w:tc>
          <w:tcPr>
            <w:tcW w:w="396" w:type="pct"/>
            <w:shd w:val="clear" w:color="auto" w:fill="auto"/>
          </w:tcPr>
          <w:p w:rsidR="005B63A2" w:rsidRPr="002B1A95" w:rsidRDefault="005B63A2" w:rsidP="005B63A2">
            <w:pPr>
              <w:pStyle w:val="Tabletext"/>
            </w:pPr>
            <w:r w:rsidRPr="002B1A95">
              <w:t>9</w:t>
            </w:r>
          </w:p>
        </w:tc>
        <w:tc>
          <w:tcPr>
            <w:tcW w:w="1344" w:type="pct"/>
            <w:shd w:val="clear" w:color="auto" w:fill="auto"/>
          </w:tcPr>
          <w:p w:rsidR="005B63A2" w:rsidRPr="002B1A95" w:rsidRDefault="005B63A2" w:rsidP="005B63A2">
            <w:pPr>
              <w:pStyle w:val="Tabletext"/>
            </w:pPr>
            <w:r w:rsidRPr="002B1A95">
              <w:t>72 to 84</w:t>
            </w:r>
          </w:p>
        </w:tc>
        <w:tc>
          <w:tcPr>
            <w:tcW w:w="1739" w:type="pct"/>
            <w:shd w:val="clear" w:color="auto" w:fill="auto"/>
          </w:tcPr>
          <w:p w:rsidR="005B63A2" w:rsidRPr="002B1A95" w:rsidRDefault="005B63A2" w:rsidP="005B63A2">
            <w:pPr>
              <w:pStyle w:val="Tabletext"/>
            </w:pPr>
            <w:r w:rsidRPr="002B1A95">
              <w:t>12.8%</w:t>
            </w:r>
          </w:p>
        </w:tc>
        <w:tc>
          <w:tcPr>
            <w:tcW w:w="1522" w:type="pct"/>
            <w:shd w:val="clear" w:color="auto" w:fill="auto"/>
          </w:tcPr>
          <w:p w:rsidR="005B63A2" w:rsidRPr="002B1A95" w:rsidRDefault="005B63A2" w:rsidP="005B63A2">
            <w:pPr>
              <w:pStyle w:val="Tabletext"/>
            </w:pPr>
            <w:r w:rsidRPr="002B1A95">
              <w:t>0.7%</w:t>
            </w:r>
          </w:p>
        </w:tc>
      </w:tr>
      <w:tr w:rsidR="005B63A2" w:rsidRPr="002B1A95" w:rsidTr="005B63A2">
        <w:tc>
          <w:tcPr>
            <w:tcW w:w="396" w:type="pct"/>
            <w:shd w:val="clear" w:color="auto" w:fill="auto"/>
          </w:tcPr>
          <w:p w:rsidR="005B63A2" w:rsidRPr="002B1A95" w:rsidRDefault="005B63A2" w:rsidP="005B63A2">
            <w:pPr>
              <w:pStyle w:val="Tabletext"/>
            </w:pPr>
            <w:r w:rsidRPr="002B1A95">
              <w:t>10</w:t>
            </w:r>
          </w:p>
        </w:tc>
        <w:tc>
          <w:tcPr>
            <w:tcW w:w="1344" w:type="pct"/>
            <w:shd w:val="clear" w:color="auto" w:fill="auto"/>
          </w:tcPr>
          <w:p w:rsidR="005B63A2" w:rsidRPr="002B1A95" w:rsidRDefault="005B63A2" w:rsidP="005B63A2">
            <w:pPr>
              <w:pStyle w:val="Tabletext"/>
            </w:pPr>
            <w:r w:rsidRPr="002B1A95">
              <w:t>60 to 72</w:t>
            </w:r>
          </w:p>
        </w:tc>
        <w:tc>
          <w:tcPr>
            <w:tcW w:w="1739" w:type="pct"/>
            <w:shd w:val="clear" w:color="auto" w:fill="auto"/>
          </w:tcPr>
          <w:p w:rsidR="005B63A2" w:rsidRPr="002B1A95" w:rsidRDefault="005B63A2" w:rsidP="005B63A2">
            <w:pPr>
              <w:pStyle w:val="Tabletext"/>
            </w:pPr>
            <w:r w:rsidRPr="002B1A95">
              <w:t>12.5%</w:t>
            </w:r>
          </w:p>
        </w:tc>
        <w:tc>
          <w:tcPr>
            <w:tcW w:w="1522" w:type="pct"/>
            <w:shd w:val="clear" w:color="auto" w:fill="auto"/>
          </w:tcPr>
          <w:p w:rsidR="005B63A2" w:rsidRPr="002B1A95" w:rsidRDefault="005B63A2" w:rsidP="005B63A2">
            <w:pPr>
              <w:pStyle w:val="Tabletext"/>
            </w:pPr>
            <w:r w:rsidRPr="002B1A95">
              <w:t>0.7%</w:t>
            </w:r>
          </w:p>
        </w:tc>
      </w:tr>
      <w:tr w:rsidR="005B63A2" w:rsidRPr="002B1A95" w:rsidTr="005B63A2">
        <w:tc>
          <w:tcPr>
            <w:tcW w:w="396" w:type="pct"/>
            <w:shd w:val="clear" w:color="auto" w:fill="auto"/>
          </w:tcPr>
          <w:p w:rsidR="005B63A2" w:rsidRPr="002B1A95" w:rsidRDefault="005B63A2" w:rsidP="005B63A2">
            <w:pPr>
              <w:pStyle w:val="Tabletext"/>
            </w:pPr>
            <w:r w:rsidRPr="002B1A95">
              <w:t>11</w:t>
            </w:r>
          </w:p>
        </w:tc>
        <w:tc>
          <w:tcPr>
            <w:tcW w:w="1344" w:type="pct"/>
            <w:shd w:val="clear" w:color="auto" w:fill="auto"/>
          </w:tcPr>
          <w:p w:rsidR="005B63A2" w:rsidRPr="002B1A95" w:rsidRDefault="005B63A2" w:rsidP="005B63A2">
            <w:pPr>
              <w:pStyle w:val="Tabletext"/>
            </w:pPr>
            <w:r w:rsidRPr="002B1A95">
              <w:t>48 to 60</w:t>
            </w:r>
          </w:p>
        </w:tc>
        <w:tc>
          <w:tcPr>
            <w:tcW w:w="1739" w:type="pct"/>
            <w:shd w:val="clear" w:color="auto" w:fill="auto"/>
          </w:tcPr>
          <w:p w:rsidR="005B63A2" w:rsidRPr="002B1A95" w:rsidRDefault="005B63A2" w:rsidP="005B63A2">
            <w:pPr>
              <w:pStyle w:val="Tabletext"/>
            </w:pPr>
            <w:r w:rsidRPr="002B1A95">
              <w:t>12.1%</w:t>
            </w:r>
          </w:p>
        </w:tc>
        <w:tc>
          <w:tcPr>
            <w:tcW w:w="1522" w:type="pct"/>
            <w:shd w:val="clear" w:color="auto" w:fill="auto"/>
          </w:tcPr>
          <w:p w:rsidR="005B63A2" w:rsidRPr="002B1A95" w:rsidRDefault="005B63A2" w:rsidP="005B63A2">
            <w:pPr>
              <w:pStyle w:val="Tabletext"/>
            </w:pPr>
            <w:r w:rsidRPr="002B1A95">
              <w:t>0.7%</w:t>
            </w:r>
          </w:p>
        </w:tc>
      </w:tr>
      <w:tr w:rsidR="005B63A2" w:rsidRPr="002B1A95" w:rsidTr="005B63A2">
        <w:tc>
          <w:tcPr>
            <w:tcW w:w="396" w:type="pct"/>
            <w:shd w:val="clear" w:color="auto" w:fill="auto"/>
          </w:tcPr>
          <w:p w:rsidR="005B63A2" w:rsidRPr="002B1A95" w:rsidRDefault="005B63A2" w:rsidP="005B63A2">
            <w:pPr>
              <w:pStyle w:val="Tabletext"/>
            </w:pPr>
            <w:r w:rsidRPr="002B1A95">
              <w:t>12</w:t>
            </w:r>
          </w:p>
        </w:tc>
        <w:tc>
          <w:tcPr>
            <w:tcW w:w="1344" w:type="pct"/>
            <w:shd w:val="clear" w:color="auto" w:fill="auto"/>
          </w:tcPr>
          <w:p w:rsidR="005B63A2" w:rsidRPr="002B1A95" w:rsidRDefault="005B63A2" w:rsidP="005B63A2">
            <w:pPr>
              <w:pStyle w:val="Tabletext"/>
            </w:pPr>
            <w:r w:rsidRPr="002B1A95">
              <w:t>36 to 48</w:t>
            </w:r>
          </w:p>
        </w:tc>
        <w:tc>
          <w:tcPr>
            <w:tcW w:w="1739" w:type="pct"/>
            <w:shd w:val="clear" w:color="auto" w:fill="auto"/>
          </w:tcPr>
          <w:p w:rsidR="005B63A2" w:rsidRPr="002B1A95" w:rsidRDefault="005B63A2" w:rsidP="005B63A2">
            <w:pPr>
              <w:pStyle w:val="Tabletext"/>
            </w:pPr>
            <w:r w:rsidRPr="002B1A95">
              <w:t>11.4%</w:t>
            </w:r>
          </w:p>
        </w:tc>
        <w:tc>
          <w:tcPr>
            <w:tcW w:w="1522" w:type="pct"/>
            <w:shd w:val="clear" w:color="auto" w:fill="auto"/>
          </w:tcPr>
          <w:p w:rsidR="005B63A2" w:rsidRPr="002B1A95" w:rsidRDefault="005B63A2" w:rsidP="005B63A2">
            <w:pPr>
              <w:pStyle w:val="Tabletext"/>
            </w:pPr>
            <w:r w:rsidRPr="002B1A95">
              <w:t>0.8%</w:t>
            </w:r>
          </w:p>
        </w:tc>
      </w:tr>
      <w:tr w:rsidR="005B63A2" w:rsidRPr="002B1A95" w:rsidTr="005B63A2">
        <w:tc>
          <w:tcPr>
            <w:tcW w:w="396" w:type="pct"/>
            <w:shd w:val="clear" w:color="auto" w:fill="auto"/>
          </w:tcPr>
          <w:p w:rsidR="005B63A2" w:rsidRPr="002B1A95" w:rsidRDefault="005B63A2" w:rsidP="005B63A2">
            <w:pPr>
              <w:pStyle w:val="Tabletext"/>
            </w:pPr>
            <w:r w:rsidRPr="002B1A95">
              <w:t>13</w:t>
            </w:r>
          </w:p>
        </w:tc>
        <w:tc>
          <w:tcPr>
            <w:tcW w:w="1344" w:type="pct"/>
            <w:shd w:val="clear" w:color="auto" w:fill="auto"/>
          </w:tcPr>
          <w:p w:rsidR="005B63A2" w:rsidRPr="002B1A95" w:rsidRDefault="005B63A2" w:rsidP="005B63A2">
            <w:pPr>
              <w:pStyle w:val="Tabletext"/>
            </w:pPr>
            <w:r w:rsidRPr="002B1A95">
              <w:t>24 to 36</w:t>
            </w:r>
          </w:p>
        </w:tc>
        <w:tc>
          <w:tcPr>
            <w:tcW w:w="1739" w:type="pct"/>
            <w:shd w:val="clear" w:color="auto" w:fill="auto"/>
          </w:tcPr>
          <w:p w:rsidR="005B63A2" w:rsidRPr="002B1A95" w:rsidRDefault="005B63A2" w:rsidP="005B63A2">
            <w:pPr>
              <w:pStyle w:val="Tabletext"/>
            </w:pPr>
            <w:r w:rsidRPr="002B1A95">
              <w:t>10.5%</w:t>
            </w:r>
          </w:p>
        </w:tc>
        <w:tc>
          <w:tcPr>
            <w:tcW w:w="1522" w:type="pct"/>
            <w:shd w:val="clear" w:color="auto" w:fill="auto"/>
          </w:tcPr>
          <w:p w:rsidR="005B63A2" w:rsidRPr="002B1A95" w:rsidRDefault="005B63A2" w:rsidP="005B63A2">
            <w:pPr>
              <w:pStyle w:val="Tabletext"/>
            </w:pPr>
            <w:r w:rsidRPr="002B1A95">
              <w:t>0.8%</w:t>
            </w:r>
          </w:p>
        </w:tc>
      </w:tr>
      <w:tr w:rsidR="005B63A2" w:rsidRPr="002B1A95" w:rsidTr="005B63A2">
        <w:tc>
          <w:tcPr>
            <w:tcW w:w="396" w:type="pct"/>
            <w:shd w:val="clear" w:color="auto" w:fill="auto"/>
          </w:tcPr>
          <w:p w:rsidR="005B63A2" w:rsidRPr="002B1A95" w:rsidRDefault="005B63A2" w:rsidP="005B63A2">
            <w:pPr>
              <w:pStyle w:val="Tabletext"/>
            </w:pPr>
            <w:r w:rsidRPr="002B1A95">
              <w:t>14</w:t>
            </w:r>
          </w:p>
        </w:tc>
        <w:tc>
          <w:tcPr>
            <w:tcW w:w="1344" w:type="pct"/>
            <w:shd w:val="clear" w:color="auto" w:fill="auto"/>
          </w:tcPr>
          <w:p w:rsidR="005B63A2" w:rsidRPr="002B1A95" w:rsidRDefault="005B63A2" w:rsidP="005B63A2">
            <w:pPr>
              <w:pStyle w:val="Tabletext"/>
            </w:pPr>
            <w:r w:rsidRPr="002B1A95">
              <w:t>18 to 24</w:t>
            </w:r>
          </w:p>
        </w:tc>
        <w:tc>
          <w:tcPr>
            <w:tcW w:w="1739" w:type="pct"/>
            <w:shd w:val="clear" w:color="auto" w:fill="auto"/>
          </w:tcPr>
          <w:p w:rsidR="005B63A2" w:rsidRPr="002B1A95" w:rsidRDefault="005B63A2" w:rsidP="005B63A2">
            <w:pPr>
              <w:pStyle w:val="Tabletext"/>
            </w:pPr>
            <w:r w:rsidRPr="002B1A95">
              <w:t>9.9%</w:t>
            </w:r>
          </w:p>
        </w:tc>
        <w:tc>
          <w:tcPr>
            <w:tcW w:w="1522" w:type="pct"/>
            <w:shd w:val="clear" w:color="auto" w:fill="auto"/>
          </w:tcPr>
          <w:p w:rsidR="005B63A2" w:rsidRPr="002B1A95" w:rsidRDefault="005B63A2" w:rsidP="005B63A2">
            <w:pPr>
              <w:pStyle w:val="Tabletext"/>
            </w:pPr>
            <w:r w:rsidRPr="002B1A95">
              <w:t>0.8%</w:t>
            </w:r>
          </w:p>
        </w:tc>
      </w:tr>
      <w:tr w:rsidR="005B63A2" w:rsidRPr="002B1A95" w:rsidTr="005B63A2">
        <w:tc>
          <w:tcPr>
            <w:tcW w:w="396" w:type="pct"/>
            <w:shd w:val="clear" w:color="auto" w:fill="auto"/>
          </w:tcPr>
          <w:p w:rsidR="005B63A2" w:rsidRPr="002B1A95" w:rsidRDefault="005B63A2" w:rsidP="005B63A2">
            <w:pPr>
              <w:pStyle w:val="Tabletext"/>
            </w:pPr>
            <w:r w:rsidRPr="002B1A95">
              <w:t>15</w:t>
            </w:r>
          </w:p>
        </w:tc>
        <w:tc>
          <w:tcPr>
            <w:tcW w:w="1344" w:type="pct"/>
            <w:shd w:val="clear" w:color="auto" w:fill="auto"/>
          </w:tcPr>
          <w:p w:rsidR="005B63A2" w:rsidRPr="002B1A95" w:rsidRDefault="005B63A2" w:rsidP="005B63A2">
            <w:pPr>
              <w:pStyle w:val="Tabletext"/>
            </w:pPr>
            <w:r w:rsidRPr="002B1A95">
              <w:t>12 to 18</w:t>
            </w:r>
          </w:p>
        </w:tc>
        <w:tc>
          <w:tcPr>
            <w:tcW w:w="1739" w:type="pct"/>
            <w:shd w:val="clear" w:color="auto" w:fill="auto"/>
          </w:tcPr>
          <w:p w:rsidR="005B63A2" w:rsidRPr="002B1A95" w:rsidRDefault="005B63A2" w:rsidP="005B63A2">
            <w:pPr>
              <w:pStyle w:val="Tabletext"/>
            </w:pPr>
            <w:r w:rsidRPr="002B1A95">
              <w:t>9.2%</w:t>
            </w:r>
          </w:p>
        </w:tc>
        <w:tc>
          <w:tcPr>
            <w:tcW w:w="1522" w:type="pct"/>
            <w:shd w:val="clear" w:color="auto" w:fill="auto"/>
          </w:tcPr>
          <w:p w:rsidR="005B63A2" w:rsidRPr="002B1A95" w:rsidRDefault="005B63A2" w:rsidP="005B63A2">
            <w:pPr>
              <w:pStyle w:val="Tabletext"/>
            </w:pPr>
            <w:r w:rsidRPr="002B1A95">
              <w:t>0.9%</w:t>
            </w:r>
          </w:p>
        </w:tc>
      </w:tr>
      <w:tr w:rsidR="005B63A2" w:rsidRPr="002B1A95" w:rsidTr="005B63A2">
        <w:tc>
          <w:tcPr>
            <w:tcW w:w="396" w:type="pct"/>
            <w:shd w:val="clear" w:color="auto" w:fill="auto"/>
          </w:tcPr>
          <w:p w:rsidR="005B63A2" w:rsidRPr="002B1A95" w:rsidRDefault="005B63A2" w:rsidP="005B63A2">
            <w:pPr>
              <w:pStyle w:val="Tabletext"/>
            </w:pPr>
            <w:r w:rsidRPr="002B1A95">
              <w:t>16</w:t>
            </w:r>
          </w:p>
        </w:tc>
        <w:tc>
          <w:tcPr>
            <w:tcW w:w="1344" w:type="pct"/>
            <w:shd w:val="clear" w:color="auto" w:fill="auto"/>
          </w:tcPr>
          <w:p w:rsidR="005B63A2" w:rsidRPr="002B1A95" w:rsidRDefault="005B63A2" w:rsidP="005B63A2">
            <w:pPr>
              <w:pStyle w:val="Tabletext"/>
            </w:pPr>
            <w:r w:rsidRPr="002B1A95">
              <w:t>9 to 12</w:t>
            </w:r>
          </w:p>
        </w:tc>
        <w:tc>
          <w:tcPr>
            <w:tcW w:w="1739" w:type="pct"/>
            <w:shd w:val="clear" w:color="auto" w:fill="auto"/>
          </w:tcPr>
          <w:p w:rsidR="005B63A2" w:rsidRPr="002B1A95" w:rsidRDefault="005B63A2" w:rsidP="005B63A2">
            <w:pPr>
              <w:pStyle w:val="Tabletext"/>
            </w:pPr>
            <w:r w:rsidRPr="002B1A95">
              <w:t>8.8%</w:t>
            </w:r>
          </w:p>
        </w:tc>
        <w:tc>
          <w:tcPr>
            <w:tcW w:w="1522" w:type="pct"/>
            <w:shd w:val="clear" w:color="auto" w:fill="auto"/>
          </w:tcPr>
          <w:p w:rsidR="005B63A2" w:rsidRPr="002B1A95" w:rsidRDefault="005B63A2" w:rsidP="005B63A2">
            <w:pPr>
              <w:pStyle w:val="Tabletext"/>
            </w:pPr>
            <w:r w:rsidRPr="002B1A95">
              <w:t>0.9%</w:t>
            </w:r>
          </w:p>
        </w:tc>
      </w:tr>
      <w:tr w:rsidR="005B63A2" w:rsidRPr="002B1A95" w:rsidTr="005B63A2">
        <w:tc>
          <w:tcPr>
            <w:tcW w:w="396" w:type="pct"/>
            <w:shd w:val="clear" w:color="auto" w:fill="auto"/>
          </w:tcPr>
          <w:p w:rsidR="005B63A2" w:rsidRPr="002B1A95" w:rsidRDefault="005B63A2" w:rsidP="005B63A2">
            <w:pPr>
              <w:pStyle w:val="Tabletext"/>
            </w:pPr>
            <w:r w:rsidRPr="002B1A95">
              <w:t>17</w:t>
            </w:r>
          </w:p>
        </w:tc>
        <w:tc>
          <w:tcPr>
            <w:tcW w:w="1344" w:type="pct"/>
            <w:shd w:val="clear" w:color="auto" w:fill="auto"/>
          </w:tcPr>
          <w:p w:rsidR="005B63A2" w:rsidRPr="002B1A95" w:rsidRDefault="005B63A2" w:rsidP="005B63A2">
            <w:pPr>
              <w:pStyle w:val="Tabletext"/>
            </w:pPr>
            <w:r w:rsidRPr="002B1A95">
              <w:t>6 to 9</w:t>
            </w:r>
          </w:p>
        </w:tc>
        <w:tc>
          <w:tcPr>
            <w:tcW w:w="1739" w:type="pct"/>
            <w:shd w:val="clear" w:color="auto" w:fill="auto"/>
          </w:tcPr>
          <w:p w:rsidR="005B63A2" w:rsidRPr="002B1A95" w:rsidRDefault="005B63A2" w:rsidP="005B63A2">
            <w:pPr>
              <w:pStyle w:val="Tabletext"/>
            </w:pPr>
            <w:r w:rsidRPr="002B1A95">
              <w:t>8.3%</w:t>
            </w:r>
          </w:p>
        </w:tc>
        <w:tc>
          <w:tcPr>
            <w:tcW w:w="1522" w:type="pct"/>
            <w:shd w:val="clear" w:color="auto" w:fill="auto"/>
          </w:tcPr>
          <w:p w:rsidR="005B63A2" w:rsidRPr="002B1A95" w:rsidRDefault="005B63A2" w:rsidP="005B63A2">
            <w:pPr>
              <w:pStyle w:val="Tabletext"/>
            </w:pPr>
            <w:r w:rsidRPr="002B1A95">
              <w:t>0.9%</w:t>
            </w:r>
          </w:p>
        </w:tc>
      </w:tr>
      <w:tr w:rsidR="005B63A2" w:rsidRPr="002B1A95" w:rsidTr="005B63A2">
        <w:tc>
          <w:tcPr>
            <w:tcW w:w="396" w:type="pct"/>
            <w:tcBorders>
              <w:bottom w:val="single" w:sz="4" w:space="0" w:color="auto"/>
            </w:tcBorders>
            <w:shd w:val="clear" w:color="auto" w:fill="auto"/>
          </w:tcPr>
          <w:p w:rsidR="005B63A2" w:rsidRPr="002B1A95" w:rsidRDefault="005B63A2" w:rsidP="005B63A2">
            <w:pPr>
              <w:pStyle w:val="Tabletext"/>
            </w:pPr>
            <w:r w:rsidRPr="002B1A95">
              <w:t>18</w:t>
            </w:r>
          </w:p>
        </w:tc>
        <w:tc>
          <w:tcPr>
            <w:tcW w:w="1344" w:type="pct"/>
            <w:tcBorders>
              <w:bottom w:val="single" w:sz="4" w:space="0" w:color="auto"/>
            </w:tcBorders>
            <w:shd w:val="clear" w:color="auto" w:fill="auto"/>
          </w:tcPr>
          <w:p w:rsidR="005B63A2" w:rsidRPr="002B1A95" w:rsidRDefault="005B63A2" w:rsidP="005B63A2">
            <w:pPr>
              <w:pStyle w:val="Tabletext"/>
            </w:pPr>
            <w:r w:rsidRPr="002B1A95">
              <w:t>3 to 6</w:t>
            </w:r>
          </w:p>
        </w:tc>
        <w:tc>
          <w:tcPr>
            <w:tcW w:w="1739" w:type="pct"/>
            <w:tcBorders>
              <w:bottom w:val="single" w:sz="4" w:space="0" w:color="auto"/>
            </w:tcBorders>
            <w:shd w:val="clear" w:color="auto" w:fill="auto"/>
          </w:tcPr>
          <w:p w:rsidR="005B63A2" w:rsidRPr="002B1A95" w:rsidRDefault="005B63A2" w:rsidP="005B63A2">
            <w:pPr>
              <w:pStyle w:val="Tabletext"/>
            </w:pPr>
            <w:r w:rsidRPr="002B1A95">
              <w:t>7.8%</w:t>
            </w:r>
          </w:p>
        </w:tc>
        <w:tc>
          <w:tcPr>
            <w:tcW w:w="1522" w:type="pct"/>
            <w:tcBorders>
              <w:bottom w:val="single" w:sz="4" w:space="0" w:color="auto"/>
            </w:tcBorders>
            <w:shd w:val="clear" w:color="auto" w:fill="auto"/>
          </w:tcPr>
          <w:p w:rsidR="005B63A2" w:rsidRPr="002B1A95" w:rsidRDefault="005B63A2" w:rsidP="005B63A2">
            <w:pPr>
              <w:pStyle w:val="Tabletext"/>
            </w:pPr>
            <w:r w:rsidRPr="002B1A95">
              <w:t>0.9%</w:t>
            </w:r>
          </w:p>
        </w:tc>
      </w:tr>
      <w:tr w:rsidR="005B63A2" w:rsidRPr="002B1A95" w:rsidTr="005B63A2">
        <w:tc>
          <w:tcPr>
            <w:tcW w:w="396" w:type="pct"/>
            <w:tcBorders>
              <w:bottom w:val="single" w:sz="12" w:space="0" w:color="auto"/>
            </w:tcBorders>
            <w:shd w:val="clear" w:color="auto" w:fill="auto"/>
          </w:tcPr>
          <w:p w:rsidR="005B63A2" w:rsidRPr="002B1A95" w:rsidRDefault="005B63A2" w:rsidP="005B63A2">
            <w:pPr>
              <w:pStyle w:val="Tabletext"/>
            </w:pPr>
            <w:r w:rsidRPr="002B1A95">
              <w:t>19</w:t>
            </w:r>
          </w:p>
        </w:tc>
        <w:tc>
          <w:tcPr>
            <w:tcW w:w="1344" w:type="pct"/>
            <w:tcBorders>
              <w:bottom w:val="single" w:sz="12" w:space="0" w:color="auto"/>
            </w:tcBorders>
            <w:shd w:val="clear" w:color="auto" w:fill="auto"/>
          </w:tcPr>
          <w:p w:rsidR="005B63A2" w:rsidRPr="002B1A95" w:rsidRDefault="005B63A2" w:rsidP="005B63A2">
            <w:pPr>
              <w:pStyle w:val="Tabletext"/>
            </w:pPr>
            <w:r w:rsidRPr="002B1A95">
              <w:t>0 to 3</w:t>
            </w:r>
          </w:p>
        </w:tc>
        <w:tc>
          <w:tcPr>
            <w:tcW w:w="1739" w:type="pct"/>
            <w:tcBorders>
              <w:bottom w:val="single" w:sz="12" w:space="0" w:color="auto"/>
            </w:tcBorders>
            <w:shd w:val="clear" w:color="auto" w:fill="auto"/>
          </w:tcPr>
          <w:p w:rsidR="005B63A2" w:rsidRPr="002B1A95" w:rsidRDefault="005B63A2" w:rsidP="005B63A2">
            <w:pPr>
              <w:pStyle w:val="Tabletext"/>
            </w:pPr>
            <w:r w:rsidRPr="002B1A95">
              <w:t>7.5%</w:t>
            </w:r>
          </w:p>
        </w:tc>
        <w:tc>
          <w:tcPr>
            <w:tcW w:w="1522" w:type="pct"/>
            <w:tcBorders>
              <w:bottom w:val="single" w:sz="12" w:space="0" w:color="auto"/>
            </w:tcBorders>
            <w:shd w:val="clear" w:color="auto" w:fill="auto"/>
          </w:tcPr>
          <w:p w:rsidR="005B63A2" w:rsidRPr="002B1A95" w:rsidRDefault="005B63A2" w:rsidP="005B63A2">
            <w:pPr>
              <w:pStyle w:val="Tabletext"/>
            </w:pPr>
            <w:r w:rsidRPr="002B1A95">
              <w:t>1.0%</w:t>
            </w:r>
          </w:p>
        </w:tc>
      </w:tr>
    </w:tbl>
    <w:p w:rsidR="005B63A2" w:rsidRPr="002B1A95" w:rsidRDefault="005B63A2" w:rsidP="005B63A2">
      <w:pPr>
        <w:pStyle w:val="notetext"/>
      </w:pPr>
      <w:r w:rsidRPr="002B1A95">
        <w:t>Note:</w:t>
      </w:r>
      <w:r w:rsidRPr="002B1A95">
        <w:tab/>
        <w:t>The following assumptions were used to work out the base percentages:</w:t>
      </w:r>
    </w:p>
    <w:p w:rsidR="005B63A2" w:rsidRPr="002B1A95" w:rsidRDefault="005B63A2" w:rsidP="005B63A2">
      <w:pPr>
        <w:pStyle w:val="notepara"/>
      </w:pPr>
      <w:r w:rsidRPr="002B1A95">
        <w:t>(a)</w:t>
      </w:r>
      <w:r w:rsidRPr="002B1A95">
        <w:tab/>
        <w:t>a risk</w:t>
      </w:r>
      <w:r w:rsidR="00782250">
        <w:noBreakHyphen/>
      </w:r>
      <w:r w:rsidRPr="002B1A95">
        <w:t>free interest rate of 4%;</w:t>
      </w:r>
    </w:p>
    <w:p w:rsidR="005B63A2" w:rsidRPr="002B1A95" w:rsidRDefault="005B63A2" w:rsidP="005B63A2">
      <w:pPr>
        <w:pStyle w:val="notepara"/>
      </w:pPr>
      <w:r w:rsidRPr="002B1A95">
        <w:t>(b)</w:t>
      </w:r>
      <w:r w:rsidRPr="002B1A95">
        <w:tab/>
        <w:t>a dividend yield of 4%;</w:t>
      </w:r>
    </w:p>
    <w:p w:rsidR="005B63A2" w:rsidRPr="002B1A95" w:rsidRDefault="005B63A2" w:rsidP="005B63A2">
      <w:pPr>
        <w:pStyle w:val="notepara"/>
      </w:pPr>
      <w:r w:rsidRPr="002B1A95">
        <w:t>(c)</w:t>
      </w:r>
      <w:r w:rsidRPr="002B1A95">
        <w:tab/>
        <w:t>volatility of 12%.</w:t>
      </w:r>
    </w:p>
    <w:p w:rsidR="005B63A2" w:rsidRPr="002B1A95" w:rsidRDefault="005B63A2" w:rsidP="005B63A2">
      <w:pPr>
        <w:pStyle w:val="subsection"/>
      </w:pPr>
      <w:r w:rsidRPr="002B1A95">
        <w:lastRenderedPageBreak/>
        <w:tab/>
        <w:t>(3)</w:t>
      </w:r>
      <w:r w:rsidRPr="002B1A95">
        <w:tab/>
        <w:t xml:space="preserve">If the exercise period is the top of one range in the table in </w:t>
      </w:r>
      <w:r w:rsidR="002B1A95" w:rsidRPr="002B1A95">
        <w:t>subsection (</w:t>
      </w:r>
      <w:r w:rsidRPr="002B1A95">
        <w:t>2) and is also the bottom of another range in the table, it is taken to be in the lower range and not in the higher range.</w:t>
      </w:r>
    </w:p>
    <w:p w:rsidR="005B63A2" w:rsidRPr="002B1A95" w:rsidRDefault="005B63A2" w:rsidP="005B63A2">
      <w:pPr>
        <w:pStyle w:val="ActHead1"/>
        <w:pageBreakBefore/>
      </w:pPr>
      <w:bookmarkStart w:id="54" w:name="_Toc49765234"/>
      <w:r w:rsidRPr="00411C46">
        <w:rPr>
          <w:rStyle w:val="CharChapNo"/>
        </w:rPr>
        <w:lastRenderedPageBreak/>
        <w:t>Chapter</w:t>
      </w:r>
      <w:r w:rsidR="002B1A95" w:rsidRPr="00411C46">
        <w:rPr>
          <w:rStyle w:val="CharChapNo"/>
        </w:rPr>
        <w:t> </w:t>
      </w:r>
      <w:r w:rsidRPr="00411C46">
        <w:rPr>
          <w:rStyle w:val="CharChapNo"/>
        </w:rPr>
        <w:t>3</w:t>
      </w:r>
      <w:r w:rsidRPr="002B1A95">
        <w:t>—</w:t>
      </w:r>
      <w:r w:rsidRPr="00411C46">
        <w:rPr>
          <w:rStyle w:val="CharChapText"/>
        </w:rPr>
        <w:t>Specialist liability rules</w:t>
      </w:r>
      <w:bookmarkEnd w:id="54"/>
    </w:p>
    <w:p w:rsidR="005B63A2" w:rsidRPr="002B1A95" w:rsidRDefault="005B63A2" w:rsidP="005B63A2">
      <w:pPr>
        <w:pStyle w:val="ActHead2"/>
      </w:pPr>
      <w:bookmarkStart w:id="55" w:name="_Toc49765235"/>
      <w:r w:rsidRPr="00411C46">
        <w:rPr>
          <w:rStyle w:val="CharPartNo"/>
        </w:rPr>
        <w:t>Part</w:t>
      </w:r>
      <w:r w:rsidR="002B1A95" w:rsidRPr="00411C46">
        <w:rPr>
          <w:rStyle w:val="CharPartNo"/>
        </w:rPr>
        <w:t> </w:t>
      </w:r>
      <w:r w:rsidRPr="00411C46">
        <w:rPr>
          <w:rStyle w:val="CharPartNo"/>
        </w:rPr>
        <w:t>3</w:t>
      </w:r>
      <w:r w:rsidR="00782250" w:rsidRPr="00411C46">
        <w:rPr>
          <w:rStyle w:val="CharPartNo"/>
        </w:rPr>
        <w:noBreakHyphen/>
      </w:r>
      <w:r w:rsidRPr="00411C46">
        <w:rPr>
          <w:rStyle w:val="CharPartNo"/>
        </w:rPr>
        <w:t>30</w:t>
      </w:r>
      <w:r w:rsidRPr="002B1A95">
        <w:t>—</w:t>
      </w:r>
      <w:r w:rsidRPr="00411C46">
        <w:rPr>
          <w:rStyle w:val="CharPartText"/>
        </w:rPr>
        <w:t>Superannuation</w:t>
      </w:r>
      <w:bookmarkEnd w:id="55"/>
    </w:p>
    <w:p w:rsidR="005B63A2" w:rsidRPr="002B1A95" w:rsidRDefault="005B63A2" w:rsidP="005B63A2">
      <w:pPr>
        <w:pStyle w:val="ActHead3"/>
      </w:pPr>
      <w:bookmarkStart w:id="56" w:name="_Toc49765236"/>
      <w:r w:rsidRPr="00411C46">
        <w:rPr>
          <w:rStyle w:val="CharDivNo"/>
        </w:rPr>
        <w:t>Division</w:t>
      </w:r>
      <w:r w:rsidR="002B1A95" w:rsidRPr="00411C46">
        <w:rPr>
          <w:rStyle w:val="CharDivNo"/>
        </w:rPr>
        <w:t> </w:t>
      </w:r>
      <w:r w:rsidRPr="00411C46">
        <w:rPr>
          <w:rStyle w:val="CharDivNo"/>
        </w:rPr>
        <w:t>290</w:t>
      </w:r>
      <w:r w:rsidRPr="002B1A95">
        <w:t>—</w:t>
      </w:r>
      <w:r w:rsidRPr="00411C46">
        <w:rPr>
          <w:rStyle w:val="CharDivText"/>
        </w:rPr>
        <w:t>Contributions to superannuation funds</w:t>
      </w:r>
      <w:bookmarkEnd w:id="56"/>
    </w:p>
    <w:p w:rsidR="005B63A2" w:rsidRPr="002B1A95" w:rsidRDefault="005B63A2" w:rsidP="005B63A2">
      <w:pPr>
        <w:pStyle w:val="ActHead4"/>
      </w:pPr>
      <w:bookmarkStart w:id="57" w:name="_Toc49765237"/>
      <w:r w:rsidRPr="00411C46">
        <w:rPr>
          <w:rStyle w:val="CharSubdNo"/>
          <w:rFonts w:eastAsiaTheme="majorEastAsia"/>
        </w:rPr>
        <w:t>Subdivision</w:t>
      </w:r>
      <w:r w:rsidR="002B1A95" w:rsidRPr="00411C46">
        <w:rPr>
          <w:rStyle w:val="CharSubdNo"/>
          <w:rFonts w:eastAsiaTheme="majorEastAsia"/>
        </w:rPr>
        <w:t> </w:t>
      </w:r>
      <w:r w:rsidRPr="00411C46">
        <w:rPr>
          <w:rStyle w:val="CharSubdNo"/>
          <w:rFonts w:eastAsiaTheme="majorEastAsia"/>
        </w:rPr>
        <w:t>290</w:t>
      </w:r>
      <w:r w:rsidR="00782250" w:rsidRPr="00411C46">
        <w:rPr>
          <w:rStyle w:val="CharSubdNo"/>
          <w:rFonts w:eastAsiaTheme="majorEastAsia"/>
        </w:rPr>
        <w:noBreakHyphen/>
      </w:r>
      <w:r w:rsidRPr="00411C46">
        <w:rPr>
          <w:rStyle w:val="CharSubdNo"/>
          <w:rFonts w:eastAsiaTheme="majorEastAsia"/>
        </w:rPr>
        <w:t>C</w:t>
      </w:r>
      <w:r w:rsidRPr="002B1A95">
        <w:t>—</w:t>
      </w:r>
      <w:r w:rsidRPr="00411C46">
        <w:rPr>
          <w:rStyle w:val="CharSubdText"/>
          <w:rFonts w:eastAsiaTheme="majorEastAsia"/>
        </w:rPr>
        <w:t>Deducting personal contributions</w:t>
      </w:r>
      <w:bookmarkEnd w:id="57"/>
    </w:p>
    <w:p w:rsidR="005B63A2" w:rsidRPr="002B1A95" w:rsidRDefault="005B63A2" w:rsidP="005B63A2">
      <w:pPr>
        <w:pStyle w:val="ActHead5"/>
      </w:pPr>
      <w:bookmarkStart w:id="58" w:name="_Toc49765238"/>
      <w:r w:rsidRPr="00411C46">
        <w:rPr>
          <w:rStyle w:val="CharSectno"/>
        </w:rPr>
        <w:t>290</w:t>
      </w:r>
      <w:r w:rsidR="00782250" w:rsidRPr="00411C46">
        <w:rPr>
          <w:rStyle w:val="CharSectno"/>
        </w:rPr>
        <w:noBreakHyphen/>
      </w:r>
      <w:r w:rsidRPr="00411C46">
        <w:rPr>
          <w:rStyle w:val="CharSectno"/>
        </w:rPr>
        <w:t>155.01</w:t>
      </w:r>
      <w:r w:rsidRPr="002B1A95">
        <w:t xml:space="preserve">  Complying superannuation fund condition—prescribed superannuation funds</w:t>
      </w:r>
      <w:bookmarkEnd w:id="58"/>
    </w:p>
    <w:p w:rsidR="005B63A2" w:rsidRPr="002B1A95" w:rsidRDefault="005B63A2" w:rsidP="005B63A2">
      <w:pPr>
        <w:pStyle w:val="subsection"/>
      </w:pPr>
      <w:r w:rsidRPr="002B1A95">
        <w:tab/>
      </w:r>
      <w:r w:rsidRPr="002B1A95">
        <w:tab/>
        <w:t>A superannuation fund is of a kind prescribed for the purposes of subparagraph</w:t>
      </w:r>
      <w:r w:rsidR="002B1A95" w:rsidRPr="002B1A95">
        <w:t> </w:t>
      </w:r>
      <w:r w:rsidRPr="002B1A95">
        <w:t>290</w:t>
      </w:r>
      <w:r w:rsidR="00782250">
        <w:noBreakHyphen/>
      </w:r>
      <w:r w:rsidRPr="002B1A95">
        <w:t>155(1)(a)(iii) of the Act if:</w:t>
      </w:r>
    </w:p>
    <w:p w:rsidR="005B63A2" w:rsidRPr="002B1A95" w:rsidRDefault="005B63A2" w:rsidP="005B63A2">
      <w:pPr>
        <w:pStyle w:val="paragraph"/>
      </w:pPr>
      <w:r w:rsidRPr="002B1A95">
        <w:tab/>
        <w:t>(a)</w:t>
      </w:r>
      <w:r w:rsidRPr="002B1A95">
        <w:tab/>
        <w:t>the fund has one or more members that have a superannuation interest in the fund that is a defined benefit interest; and</w:t>
      </w:r>
    </w:p>
    <w:p w:rsidR="005B63A2" w:rsidRPr="002B1A95" w:rsidRDefault="005B63A2" w:rsidP="005B63A2">
      <w:pPr>
        <w:pStyle w:val="paragraph"/>
      </w:pPr>
      <w:r w:rsidRPr="002B1A95">
        <w:tab/>
        <w:t>(b)</w:t>
      </w:r>
      <w:r w:rsidRPr="002B1A95">
        <w:tab/>
        <w:t>the trustee of the fund elects to have this section apply to the fund; and</w:t>
      </w:r>
    </w:p>
    <w:p w:rsidR="005B63A2" w:rsidRPr="002B1A95" w:rsidRDefault="005B63A2" w:rsidP="005B63A2">
      <w:pPr>
        <w:pStyle w:val="paragraph"/>
      </w:pPr>
      <w:r w:rsidRPr="002B1A95">
        <w:tab/>
        <w:t>(c)</w:t>
      </w:r>
      <w:r w:rsidRPr="002B1A95">
        <w:tab/>
        <w:t>the election:</w:t>
      </w:r>
    </w:p>
    <w:p w:rsidR="005B63A2" w:rsidRPr="002B1A95" w:rsidRDefault="005B63A2" w:rsidP="005B63A2">
      <w:pPr>
        <w:pStyle w:val="paragraphsub"/>
      </w:pPr>
      <w:r w:rsidRPr="002B1A95">
        <w:tab/>
        <w:t>(i)</w:t>
      </w:r>
      <w:r w:rsidRPr="002B1A95">
        <w:tab/>
        <w:t>is made before the start of the income year of the fund in which the contribution is made; and</w:t>
      </w:r>
    </w:p>
    <w:p w:rsidR="005B63A2" w:rsidRPr="002B1A95" w:rsidRDefault="005B63A2" w:rsidP="005B63A2">
      <w:pPr>
        <w:pStyle w:val="paragraphsub"/>
      </w:pPr>
      <w:r w:rsidRPr="002B1A95">
        <w:tab/>
        <w:t>(ii)</w:t>
      </w:r>
      <w:r w:rsidRPr="002B1A95">
        <w:tab/>
        <w:t>is not revoked before the start of that year; and</w:t>
      </w:r>
    </w:p>
    <w:p w:rsidR="005B63A2" w:rsidRPr="002B1A95" w:rsidRDefault="005B63A2" w:rsidP="005B63A2">
      <w:pPr>
        <w:pStyle w:val="paragraphsub"/>
      </w:pPr>
      <w:r w:rsidRPr="002B1A95">
        <w:tab/>
        <w:t>(iii)</w:t>
      </w:r>
      <w:r w:rsidRPr="002B1A95">
        <w:tab/>
        <w:t>is made by notifying the Commissioner in the approved form.</w:t>
      </w:r>
    </w:p>
    <w:p w:rsidR="005B63A2" w:rsidRPr="002B1A95" w:rsidRDefault="005B63A2" w:rsidP="005B63A2">
      <w:pPr>
        <w:pStyle w:val="notetext"/>
      </w:pPr>
      <w:r w:rsidRPr="002B1A95">
        <w:t>Note:</w:t>
      </w:r>
      <w:r w:rsidRPr="002B1A95">
        <w:tab/>
        <w:t xml:space="preserve">For </w:t>
      </w:r>
      <w:r w:rsidRPr="002B1A95">
        <w:rPr>
          <w:b/>
          <w:i/>
        </w:rPr>
        <w:t>approved form</w:t>
      </w:r>
      <w:r w:rsidRPr="002B1A95">
        <w:t>, see subsection</w:t>
      </w:r>
      <w:r w:rsidR="002B1A95" w:rsidRPr="002B1A95">
        <w:t> </w:t>
      </w:r>
      <w:r w:rsidRPr="002B1A95">
        <w:t>995</w:t>
      </w:r>
      <w:r w:rsidR="00782250">
        <w:noBreakHyphen/>
      </w:r>
      <w:r w:rsidRPr="002B1A95">
        <w:t>1(1) of the Act.</w:t>
      </w:r>
    </w:p>
    <w:p w:rsidR="005B63A2" w:rsidRPr="002B1A95" w:rsidRDefault="005B63A2" w:rsidP="005B63A2">
      <w:pPr>
        <w:pStyle w:val="ActHead5"/>
      </w:pPr>
      <w:bookmarkStart w:id="59" w:name="_Toc49765239"/>
      <w:r w:rsidRPr="00411C46">
        <w:rPr>
          <w:rStyle w:val="CharSectno"/>
        </w:rPr>
        <w:t>290</w:t>
      </w:r>
      <w:r w:rsidR="00782250" w:rsidRPr="00411C46">
        <w:rPr>
          <w:rStyle w:val="CharSectno"/>
        </w:rPr>
        <w:noBreakHyphen/>
      </w:r>
      <w:r w:rsidRPr="00411C46">
        <w:rPr>
          <w:rStyle w:val="CharSectno"/>
        </w:rPr>
        <w:t>155.05</w:t>
      </w:r>
      <w:r w:rsidRPr="002B1A95">
        <w:t xml:space="preserve">  Complying superannuation fund condition—prescribed contributions and superannuation funds</w:t>
      </w:r>
      <w:bookmarkEnd w:id="59"/>
    </w:p>
    <w:p w:rsidR="005B63A2" w:rsidRPr="002B1A95" w:rsidRDefault="005B63A2" w:rsidP="005B63A2">
      <w:pPr>
        <w:pStyle w:val="subsection"/>
      </w:pPr>
      <w:r w:rsidRPr="002B1A95">
        <w:tab/>
      </w:r>
      <w:r w:rsidRPr="002B1A95">
        <w:tab/>
        <w:t>For the purposes of paragraph</w:t>
      </w:r>
      <w:r w:rsidR="002B1A95" w:rsidRPr="002B1A95">
        <w:t> </w:t>
      </w:r>
      <w:r w:rsidRPr="002B1A95">
        <w:t>290</w:t>
      </w:r>
      <w:r w:rsidR="00782250">
        <w:noBreakHyphen/>
      </w:r>
      <w:r w:rsidRPr="002B1A95">
        <w:t>155(1)(b) of the Act, a contribution to a superannuation fund is a prescribed kind of contribution to a prescribed kind of superannuation fund if:</w:t>
      </w:r>
    </w:p>
    <w:p w:rsidR="005B63A2" w:rsidRPr="002B1A95" w:rsidRDefault="005B63A2" w:rsidP="005B63A2">
      <w:pPr>
        <w:pStyle w:val="paragraph"/>
      </w:pPr>
      <w:r w:rsidRPr="002B1A95">
        <w:tab/>
        <w:t>(a)</w:t>
      </w:r>
      <w:r w:rsidRPr="002B1A95">
        <w:tab/>
        <w:t>the contribution is a contribution made to a defined benefit interest; and</w:t>
      </w:r>
    </w:p>
    <w:p w:rsidR="005B63A2" w:rsidRPr="002B1A95" w:rsidRDefault="005B63A2" w:rsidP="005B63A2">
      <w:pPr>
        <w:pStyle w:val="paragraph"/>
      </w:pPr>
      <w:r w:rsidRPr="002B1A95">
        <w:tab/>
        <w:t>(b)</w:t>
      </w:r>
      <w:r w:rsidRPr="002B1A95">
        <w:tab/>
        <w:t>the superannuation fund is a fund in relation to which the trustee of the fund has elected that this section apply and the election:</w:t>
      </w:r>
    </w:p>
    <w:p w:rsidR="005B63A2" w:rsidRPr="002B1A95" w:rsidRDefault="005B63A2" w:rsidP="005B63A2">
      <w:pPr>
        <w:pStyle w:val="paragraphsub"/>
      </w:pPr>
      <w:r w:rsidRPr="002B1A95">
        <w:tab/>
        <w:t>(i)</w:t>
      </w:r>
      <w:r w:rsidRPr="002B1A95">
        <w:tab/>
        <w:t>is made before the start of the income year of the fund in which the contribution is made; and</w:t>
      </w:r>
    </w:p>
    <w:p w:rsidR="005B63A2" w:rsidRPr="002B1A95" w:rsidRDefault="005B63A2" w:rsidP="005B63A2">
      <w:pPr>
        <w:pStyle w:val="paragraphsub"/>
      </w:pPr>
      <w:r w:rsidRPr="002B1A95">
        <w:tab/>
        <w:t>(ii)</w:t>
      </w:r>
      <w:r w:rsidRPr="002B1A95">
        <w:tab/>
        <w:t>is not revoked before the start of that year; and</w:t>
      </w:r>
    </w:p>
    <w:p w:rsidR="005B63A2" w:rsidRPr="002B1A95" w:rsidRDefault="005B63A2" w:rsidP="005B63A2">
      <w:pPr>
        <w:pStyle w:val="paragraphsub"/>
      </w:pPr>
      <w:r w:rsidRPr="002B1A95">
        <w:tab/>
        <w:t>(iii)</w:t>
      </w:r>
      <w:r w:rsidRPr="002B1A95">
        <w:tab/>
        <w:t>is made by notifying the Commissioner in the approved form.</w:t>
      </w:r>
    </w:p>
    <w:p w:rsidR="005B63A2" w:rsidRPr="002B1A95" w:rsidRDefault="005B63A2" w:rsidP="005B63A2">
      <w:pPr>
        <w:pStyle w:val="notetext"/>
      </w:pPr>
      <w:r w:rsidRPr="002B1A95">
        <w:t>Note:</w:t>
      </w:r>
      <w:r w:rsidRPr="002B1A95">
        <w:tab/>
        <w:t xml:space="preserve">For </w:t>
      </w:r>
      <w:r w:rsidRPr="002B1A95">
        <w:rPr>
          <w:b/>
          <w:i/>
        </w:rPr>
        <w:t>approved form</w:t>
      </w:r>
      <w:r w:rsidRPr="002B1A95">
        <w:t>, see subsection</w:t>
      </w:r>
      <w:r w:rsidR="002B1A95" w:rsidRPr="002B1A95">
        <w:t> </w:t>
      </w:r>
      <w:r w:rsidRPr="002B1A95">
        <w:t>995</w:t>
      </w:r>
      <w:r w:rsidR="00782250">
        <w:noBreakHyphen/>
      </w:r>
      <w:r w:rsidRPr="002B1A95">
        <w:t>1(1) of the Act.</w:t>
      </w:r>
    </w:p>
    <w:p w:rsidR="005B63A2" w:rsidRPr="002B1A95" w:rsidRDefault="005B63A2" w:rsidP="005B63A2">
      <w:pPr>
        <w:pStyle w:val="ActHead5"/>
      </w:pPr>
      <w:bookmarkStart w:id="60" w:name="_Toc49765240"/>
      <w:r w:rsidRPr="00411C46">
        <w:rPr>
          <w:rStyle w:val="CharSectno"/>
        </w:rPr>
        <w:t>290</w:t>
      </w:r>
      <w:r w:rsidR="00782250" w:rsidRPr="00411C46">
        <w:rPr>
          <w:rStyle w:val="CharSectno"/>
        </w:rPr>
        <w:noBreakHyphen/>
      </w:r>
      <w:r w:rsidRPr="00411C46">
        <w:rPr>
          <w:rStyle w:val="CharSectno"/>
        </w:rPr>
        <w:t>170.01</w:t>
      </w:r>
      <w:r w:rsidRPr="002B1A95">
        <w:t xml:space="preserve">  Notice of intent to deduct contributions—contributions</w:t>
      </w:r>
      <w:r w:rsidR="00782250">
        <w:noBreakHyphen/>
      </w:r>
      <w:r w:rsidRPr="002B1A95">
        <w:t>splitting applications</w:t>
      </w:r>
      <w:bookmarkEnd w:id="60"/>
    </w:p>
    <w:p w:rsidR="005B63A2" w:rsidRPr="002B1A95" w:rsidRDefault="005B63A2" w:rsidP="005B63A2">
      <w:pPr>
        <w:pStyle w:val="subsection"/>
      </w:pPr>
      <w:r w:rsidRPr="002B1A95">
        <w:tab/>
      </w:r>
      <w:r w:rsidRPr="002B1A95">
        <w:tab/>
        <w:t xml:space="preserve">For </w:t>
      </w:r>
      <w:r w:rsidRPr="002B1A95">
        <w:rPr>
          <w:color w:val="000000"/>
        </w:rPr>
        <w:t xml:space="preserve">the purposes of </w:t>
      </w:r>
      <w:r w:rsidRPr="002B1A95">
        <w:t>subparagraph</w:t>
      </w:r>
      <w:r w:rsidR="002B1A95" w:rsidRPr="002B1A95">
        <w:t> </w:t>
      </w:r>
      <w:r w:rsidRPr="002B1A95">
        <w:t>290</w:t>
      </w:r>
      <w:r w:rsidR="00782250">
        <w:noBreakHyphen/>
      </w:r>
      <w:r w:rsidRPr="002B1A95">
        <w:t>170(2)(d)(i) of the Act, each of the following is a contributions</w:t>
      </w:r>
      <w:r w:rsidR="00782250">
        <w:noBreakHyphen/>
      </w:r>
      <w:r w:rsidRPr="002B1A95">
        <w:t>splitting application:</w:t>
      </w:r>
    </w:p>
    <w:p w:rsidR="005B63A2" w:rsidRPr="002B1A95" w:rsidRDefault="005B63A2" w:rsidP="005B63A2">
      <w:pPr>
        <w:pStyle w:val="paragraph"/>
      </w:pPr>
      <w:r w:rsidRPr="002B1A95">
        <w:rPr>
          <w:color w:val="000000"/>
        </w:rPr>
        <w:tab/>
        <w:t>(a)</w:t>
      </w:r>
      <w:r w:rsidRPr="002B1A95">
        <w:rPr>
          <w:color w:val="000000"/>
        </w:rPr>
        <w:tab/>
        <w:t>an application under regulation</w:t>
      </w:r>
      <w:r w:rsidR="002B1A95" w:rsidRPr="002B1A95">
        <w:rPr>
          <w:color w:val="000000"/>
        </w:rPr>
        <w:t> </w:t>
      </w:r>
      <w:r w:rsidRPr="002B1A95">
        <w:rPr>
          <w:color w:val="000000"/>
        </w:rPr>
        <w:t>6.44 (application to roll over, transfer or allot an amount of contributions) of the SIS Regulations;</w:t>
      </w:r>
    </w:p>
    <w:p w:rsidR="005B63A2" w:rsidRPr="002B1A95" w:rsidRDefault="005B63A2" w:rsidP="005B63A2">
      <w:pPr>
        <w:pStyle w:val="paragraph"/>
      </w:pPr>
      <w:r w:rsidRPr="002B1A95">
        <w:lastRenderedPageBreak/>
        <w:tab/>
        <w:t>(b)</w:t>
      </w:r>
      <w:r w:rsidRPr="002B1A95">
        <w:tab/>
        <w:t>an application under regulation</w:t>
      </w:r>
      <w:r w:rsidR="002B1A95" w:rsidRPr="002B1A95">
        <w:t> </w:t>
      </w:r>
      <w:r w:rsidRPr="002B1A95">
        <w:t>4.41 (application to roll over, transfer or allot an amount of contributions) of the RSA Regulations;</w:t>
      </w:r>
    </w:p>
    <w:p w:rsidR="005B63A2" w:rsidRPr="002B1A95" w:rsidRDefault="005B63A2" w:rsidP="005B63A2">
      <w:pPr>
        <w:pStyle w:val="paragraph"/>
      </w:pPr>
      <w:r w:rsidRPr="002B1A95">
        <w:tab/>
        <w:t>(c)</w:t>
      </w:r>
      <w:r w:rsidRPr="002B1A95">
        <w:tab/>
        <w:t>an application to deal with an amount in a way that would result in the amount becoming a contributions</w:t>
      </w:r>
      <w:r w:rsidR="00782250">
        <w:noBreakHyphen/>
      </w:r>
      <w:r w:rsidRPr="002B1A95">
        <w:t>splitting superannuation benefit in accordance with the SIS Regulations or the RSA Regulations.</w:t>
      </w:r>
    </w:p>
    <w:p w:rsidR="005B63A2" w:rsidRPr="002B1A95" w:rsidRDefault="005B63A2" w:rsidP="002F07B9">
      <w:pPr>
        <w:pStyle w:val="ActHead3"/>
        <w:pageBreakBefore/>
        <w:rPr>
          <w:color w:val="000000"/>
        </w:rPr>
      </w:pPr>
      <w:bookmarkStart w:id="61" w:name="_Toc49765241"/>
      <w:r w:rsidRPr="00411C46">
        <w:rPr>
          <w:rStyle w:val="CharDivNo"/>
        </w:rPr>
        <w:lastRenderedPageBreak/>
        <w:t>Division</w:t>
      </w:r>
      <w:r w:rsidR="002B1A95" w:rsidRPr="00411C46">
        <w:rPr>
          <w:rStyle w:val="CharDivNo"/>
        </w:rPr>
        <w:t> </w:t>
      </w:r>
      <w:r w:rsidRPr="00411C46">
        <w:rPr>
          <w:rStyle w:val="CharDivNo"/>
        </w:rPr>
        <w:t>291</w:t>
      </w:r>
      <w:r w:rsidRPr="002B1A95">
        <w:t>—</w:t>
      </w:r>
      <w:r w:rsidRPr="00411C46">
        <w:rPr>
          <w:rStyle w:val="CharDivText"/>
        </w:rPr>
        <w:t>Excess concessional contributions</w:t>
      </w:r>
      <w:bookmarkEnd w:id="61"/>
    </w:p>
    <w:p w:rsidR="005B63A2" w:rsidRPr="002B1A95" w:rsidRDefault="005B63A2" w:rsidP="005B63A2">
      <w:pPr>
        <w:pStyle w:val="ActHead4"/>
      </w:pPr>
      <w:bookmarkStart w:id="62" w:name="_Toc49765242"/>
      <w:r w:rsidRPr="00411C46">
        <w:rPr>
          <w:rStyle w:val="CharSubdNo"/>
          <w:rFonts w:eastAsiaTheme="majorEastAsia"/>
        </w:rPr>
        <w:t>Subdivision</w:t>
      </w:r>
      <w:r w:rsidR="002B1A95" w:rsidRPr="00411C46">
        <w:rPr>
          <w:rStyle w:val="CharSubdNo"/>
          <w:rFonts w:eastAsiaTheme="majorEastAsia"/>
        </w:rPr>
        <w:t> </w:t>
      </w:r>
      <w:r w:rsidRPr="00411C46">
        <w:rPr>
          <w:rStyle w:val="CharSubdNo"/>
          <w:rFonts w:eastAsiaTheme="majorEastAsia"/>
        </w:rPr>
        <w:t>291</w:t>
      </w:r>
      <w:r w:rsidR="00782250" w:rsidRPr="00411C46">
        <w:rPr>
          <w:rStyle w:val="CharSubdNo"/>
          <w:rFonts w:eastAsiaTheme="majorEastAsia"/>
        </w:rPr>
        <w:noBreakHyphen/>
      </w:r>
      <w:r w:rsidRPr="00411C46">
        <w:rPr>
          <w:rStyle w:val="CharSubdNo"/>
          <w:rFonts w:eastAsiaTheme="majorEastAsia"/>
        </w:rPr>
        <w:t>B</w:t>
      </w:r>
      <w:r w:rsidRPr="002B1A95">
        <w:rPr>
          <w:rFonts w:eastAsiaTheme="majorEastAsia"/>
        </w:rPr>
        <w:t>—</w:t>
      </w:r>
      <w:r w:rsidRPr="00411C46">
        <w:rPr>
          <w:rStyle w:val="CharSubdText"/>
          <w:rFonts w:eastAsiaTheme="majorEastAsia"/>
        </w:rPr>
        <w:t>Excess concessional contributions</w:t>
      </w:r>
      <w:bookmarkEnd w:id="62"/>
    </w:p>
    <w:p w:rsidR="005B63A2" w:rsidRPr="002B1A95" w:rsidRDefault="005B63A2" w:rsidP="005B63A2">
      <w:pPr>
        <w:pStyle w:val="ActHead5"/>
      </w:pPr>
      <w:bookmarkStart w:id="63" w:name="_Toc49765243"/>
      <w:r w:rsidRPr="00411C46">
        <w:rPr>
          <w:rStyle w:val="CharSectno"/>
        </w:rPr>
        <w:t>291</w:t>
      </w:r>
      <w:r w:rsidR="00782250" w:rsidRPr="00411C46">
        <w:rPr>
          <w:rStyle w:val="CharSectno"/>
        </w:rPr>
        <w:noBreakHyphen/>
      </w:r>
      <w:r w:rsidRPr="00411C46">
        <w:rPr>
          <w:rStyle w:val="CharSectno"/>
        </w:rPr>
        <w:t>25.01</w:t>
      </w:r>
      <w:r w:rsidRPr="002B1A95">
        <w:t xml:space="preserve">  Concessional contributions for a financial year</w:t>
      </w:r>
      <w:bookmarkEnd w:id="63"/>
    </w:p>
    <w:p w:rsidR="005B63A2" w:rsidRPr="002B1A95" w:rsidRDefault="005B63A2" w:rsidP="005B63A2">
      <w:pPr>
        <w:pStyle w:val="subsection"/>
        <w:rPr>
          <w:color w:val="000000"/>
        </w:rPr>
      </w:pPr>
      <w:r w:rsidRPr="002B1A95">
        <w:rPr>
          <w:color w:val="000000"/>
        </w:rPr>
        <w:tab/>
        <w:t>(1)</w:t>
      </w:r>
      <w:r w:rsidRPr="002B1A95">
        <w:rPr>
          <w:color w:val="000000"/>
        </w:rPr>
        <w:tab/>
        <w:t xml:space="preserve">For the purposes of </w:t>
      </w:r>
      <w:r w:rsidRPr="002B1A95">
        <w:t>subsection</w:t>
      </w:r>
      <w:r w:rsidR="002B1A95" w:rsidRPr="002B1A95">
        <w:t> </w:t>
      </w:r>
      <w:r w:rsidRPr="002B1A95">
        <w:t>291</w:t>
      </w:r>
      <w:r w:rsidR="00782250">
        <w:noBreakHyphen/>
      </w:r>
      <w:r w:rsidRPr="002B1A95">
        <w:t>25(3)</w:t>
      </w:r>
      <w:r w:rsidRPr="002B1A95">
        <w:rPr>
          <w:color w:val="000000"/>
        </w:rPr>
        <w:t xml:space="preserve"> of the Act, this section specifies conditions for the allocation of an amount in a complying superannuation plan.</w:t>
      </w:r>
    </w:p>
    <w:p w:rsidR="005B63A2" w:rsidRPr="002B1A95" w:rsidRDefault="005B63A2" w:rsidP="005B63A2">
      <w:pPr>
        <w:pStyle w:val="notetext"/>
      </w:pPr>
      <w:r w:rsidRPr="002B1A95">
        <w:t>Note:</w:t>
      </w:r>
      <w:r w:rsidRPr="002B1A95">
        <w:tab/>
        <w:t>If the amount meets the conditions of this section it will be an amount covered under subsection</w:t>
      </w:r>
      <w:r w:rsidR="002B1A95" w:rsidRPr="002B1A95">
        <w:t> </w:t>
      </w:r>
      <w:r w:rsidRPr="002B1A95">
        <w:t>291</w:t>
      </w:r>
      <w:r w:rsidR="00782250">
        <w:noBreakHyphen/>
      </w:r>
      <w:r w:rsidRPr="002B1A95">
        <w:t>25(3) of the Act. Such amounts are counted in determining an individual’s concessional contributions for a financial year.</w:t>
      </w:r>
    </w:p>
    <w:p w:rsidR="005B63A2" w:rsidRPr="002B1A95" w:rsidRDefault="005B63A2" w:rsidP="005B63A2">
      <w:pPr>
        <w:pStyle w:val="SubsectionHead"/>
      </w:pPr>
      <w:r w:rsidRPr="002B1A95">
        <w:t>Conditions—general</w:t>
      </w:r>
    </w:p>
    <w:p w:rsidR="005B63A2" w:rsidRPr="002B1A95" w:rsidRDefault="005B63A2" w:rsidP="005B63A2">
      <w:pPr>
        <w:pStyle w:val="subsection"/>
        <w:rPr>
          <w:color w:val="000000"/>
        </w:rPr>
      </w:pPr>
      <w:r w:rsidRPr="002B1A95">
        <w:rPr>
          <w:color w:val="000000"/>
        </w:rPr>
        <w:tab/>
        <w:t>(2)</w:t>
      </w:r>
      <w:r w:rsidRPr="002B1A95">
        <w:rPr>
          <w:color w:val="000000"/>
        </w:rPr>
        <w:tab/>
        <w:t>The conditions are that the amount is:</w:t>
      </w:r>
    </w:p>
    <w:p w:rsidR="005B63A2" w:rsidRPr="002B1A95" w:rsidRDefault="005B63A2" w:rsidP="005B63A2">
      <w:pPr>
        <w:pStyle w:val="paragraph"/>
      </w:pPr>
      <w:r w:rsidRPr="002B1A95">
        <w:rPr>
          <w:color w:val="000000"/>
        </w:rPr>
        <w:tab/>
        <w:t>(a)</w:t>
      </w:r>
      <w:r w:rsidRPr="002B1A95">
        <w:rPr>
          <w:color w:val="000000"/>
        </w:rPr>
        <w:tab/>
        <w:t>allocated under Division</w:t>
      </w:r>
      <w:r w:rsidR="002B1A95" w:rsidRPr="002B1A95">
        <w:rPr>
          <w:color w:val="000000"/>
        </w:rPr>
        <w:t> </w:t>
      </w:r>
      <w:r w:rsidRPr="002B1A95">
        <w:rPr>
          <w:color w:val="000000"/>
        </w:rPr>
        <w:t>7.2 of the SIS Regulations; and</w:t>
      </w:r>
    </w:p>
    <w:p w:rsidR="005B63A2" w:rsidRPr="002B1A95" w:rsidRDefault="005B63A2" w:rsidP="005B63A2">
      <w:pPr>
        <w:pStyle w:val="paragraph"/>
      </w:pPr>
      <w:r w:rsidRPr="002B1A95">
        <w:tab/>
        <w:t>(b)</w:t>
      </w:r>
      <w:r w:rsidRPr="002B1A95">
        <w:tab/>
        <w:t>an assessable contribution; and</w:t>
      </w:r>
    </w:p>
    <w:p w:rsidR="005B63A2" w:rsidRPr="002B1A95" w:rsidRDefault="005B63A2" w:rsidP="005B63A2">
      <w:pPr>
        <w:pStyle w:val="paragraph"/>
      </w:pPr>
      <w:r w:rsidRPr="002B1A95">
        <w:tab/>
        <w:t>(c)</w:t>
      </w:r>
      <w:r w:rsidRPr="002B1A95">
        <w:tab/>
        <w:t xml:space="preserve">not </w:t>
      </w:r>
      <w:r w:rsidRPr="002B1A95">
        <w:rPr>
          <w:color w:val="000000"/>
        </w:rPr>
        <w:t>an amount mentioned in item</w:t>
      </w:r>
      <w:r w:rsidR="002B1A95" w:rsidRPr="002B1A95">
        <w:rPr>
          <w:color w:val="000000"/>
        </w:rPr>
        <w:t> </w:t>
      </w:r>
      <w:r w:rsidRPr="002B1A95">
        <w:rPr>
          <w:color w:val="000000"/>
        </w:rPr>
        <w:t>2 of the table in subsection</w:t>
      </w:r>
      <w:r w:rsidR="002B1A95" w:rsidRPr="002B1A95">
        <w:rPr>
          <w:color w:val="000000"/>
        </w:rPr>
        <w:t> </w:t>
      </w:r>
      <w:r w:rsidRPr="002B1A95">
        <w:rPr>
          <w:color w:val="000000"/>
        </w:rPr>
        <w:t>295</w:t>
      </w:r>
      <w:r w:rsidR="00782250">
        <w:rPr>
          <w:color w:val="000000"/>
        </w:rPr>
        <w:noBreakHyphen/>
      </w:r>
      <w:r w:rsidRPr="002B1A95">
        <w:rPr>
          <w:color w:val="000000"/>
        </w:rPr>
        <w:t>190(1) of the Act</w:t>
      </w:r>
      <w:r w:rsidRPr="002B1A95">
        <w:t>; and</w:t>
      </w:r>
    </w:p>
    <w:p w:rsidR="005B63A2" w:rsidRPr="002B1A95" w:rsidRDefault="005B63A2" w:rsidP="005B63A2">
      <w:pPr>
        <w:pStyle w:val="paragraph"/>
      </w:pPr>
      <w:r w:rsidRPr="002B1A95">
        <w:tab/>
        <w:t>(d)</w:t>
      </w:r>
      <w:r w:rsidRPr="002B1A95">
        <w:tab/>
        <w:t>not an amount mentioned in subsection</w:t>
      </w:r>
      <w:r w:rsidR="002B1A95" w:rsidRPr="002B1A95">
        <w:t> </w:t>
      </w:r>
      <w:r w:rsidRPr="002B1A95">
        <w:t>295</w:t>
      </w:r>
      <w:r w:rsidR="00782250">
        <w:noBreakHyphen/>
      </w:r>
      <w:r w:rsidRPr="002B1A95">
        <w:t>200(2) of the Act.</w:t>
      </w:r>
    </w:p>
    <w:p w:rsidR="005B63A2" w:rsidRPr="002B1A95" w:rsidRDefault="005B63A2" w:rsidP="005B63A2">
      <w:pPr>
        <w:pStyle w:val="SubsectionHead"/>
      </w:pPr>
      <w:r w:rsidRPr="002B1A95">
        <w:t>Conditions—amount allocated from a reserve</w:t>
      </w:r>
    </w:p>
    <w:p w:rsidR="005B63A2" w:rsidRPr="002B1A95" w:rsidRDefault="005B63A2" w:rsidP="005B63A2">
      <w:pPr>
        <w:pStyle w:val="subsection"/>
      </w:pPr>
      <w:r w:rsidRPr="002B1A95">
        <w:tab/>
        <w:t>(3)</w:t>
      </w:r>
      <w:r w:rsidRPr="002B1A95">
        <w:tab/>
        <w:t xml:space="preserve">If the amount is allocated from a reserve and the amount does not meet the conditions in </w:t>
      </w:r>
      <w:r w:rsidR="002B1A95" w:rsidRPr="002B1A95">
        <w:t>subsection (</w:t>
      </w:r>
      <w:r w:rsidRPr="002B1A95">
        <w:t xml:space="preserve">2), the conditions are that neither </w:t>
      </w:r>
      <w:r w:rsidR="002B1A95" w:rsidRPr="002B1A95">
        <w:t>subsection (</w:t>
      </w:r>
      <w:r w:rsidRPr="002B1A95">
        <w:t>4) nor (5) applies to the amount.</w:t>
      </w:r>
    </w:p>
    <w:p w:rsidR="005B63A2" w:rsidRPr="002B1A95" w:rsidRDefault="005B63A2" w:rsidP="005B63A2">
      <w:pPr>
        <w:pStyle w:val="subsection"/>
      </w:pPr>
      <w:r w:rsidRPr="002B1A95">
        <w:tab/>
        <w:t>(4)</w:t>
      </w:r>
      <w:r w:rsidRPr="002B1A95">
        <w:tab/>
        <w:t>This subsection applies if:</w:t>
      </w:r>
    </w:p>
    <w:p w:rsidR="005B63A2" w:rsidRPr="002B1A95" w:rsidRDefault="005B63A2" w:rsidP="005B63A2">
      <w:pPr>
        <w:pStyle w:val="paragraph"/>
      </w:pPr>
      <w:r w:rsidRPr="002B1A95">
        <w:tab/>
        <w:t>(a)</w:t>
      </w:r>
      <w:r w:rsidRPr="002B1A95">
        <w:tab/>
        <w:t>the amount is allocated, in a fair and reasonable manner:</w:t>
      </w:r>
    </w:p>
    <w:p w:rsidR="005B63A2" w:rsidRPr="002B1A95" w:rsidRDefault="005B63A2" w:rsidP="005B63A2">
      <w:pPr>
        <w:pStyle w:val="paragraphsub"/>
      </w:pPr>
      <w:r w:rsidRPr="002B1A95">
        <w:tab/>
        <w:t>(i)</w:t>
      </w:r>
      <w:r w:rsidRPr="002B1A95">
        <w:tab/>
        <w:t>to an account for every member of the complying superannuation plan; or</w:t>
      </w:r>
    </w:p>
    <w:p w:rsidR="005B63A2" w:rsidRPr="002B1A95" w:rsidRDefault="005B63A2" w:rsidP="005B63A2">
      <w:pPr>
        <w:pStyle w:val="paragraphsub"/>
      </w:pPr>
      <w:r w:rsidRPr="002B1A95">
        <w:tab/>
        <w:t>(ii)</w:t>
      </w:r>
      <w:r w:rsidRPr="002B1A95">
        <w:tab/>
        <w:t>if the member is a member of a class of members of the complying superannuation plan, and the amount in the reserve relates only to that class of members—to an account for every member of the class; and</w:t>
      </w:r>
    </w:p>
    <w:p w:rsidR="005B63A2" w:rsidRPr="002B1A95" w:rsidRDefault="005B63A2" w:rsidP="005B63A2">
      <w:pPr>
        <w:pStyle w:val="paragraph"/>
      </w:pPr>
      <w:r w:rsidRPr="002B1A95">
        <w:rPr>
          <w:color w:val="000000"/>
        </w:rPr>
        <w:tab/>
        <w:t>(b)</w:t>
      </w:r>
      <w:r w:rsidRPr="002B1A95">
        <w:rPr>
          <w:color w:val="000000"/>
        </w:rPr>
        <w:tab/>
      </w:r>
      <w:r w:rsidRPr="002B1A95">
        <w:t>the amount that is allocated for the financial year is less than 5% of the value of the member’s interest in the complying superannuation plan at the time of allocation; and</w:t>
      </w:r>
    </w:p>
    <w:p w:rsidR="005B63A2" w:rsidRPr="002B1A95" w:rsidRDefault="005B63A2" w:rsidP="005B63A2">
      <w:pPr>
        <w:pStyle w:val="paragraph"/>
      </w:pPr>
      <w:r w:rsidRPr="002B1A95">
        <w:tab/>
        <w:t>(c)</w:t>
      </w:r>
      <w:r w:rsidRPr="002B1A95">
        <w:tab/>
        <w:t>the amount would not be assessable income of the complying superannuation plan if it were made as a contribution.</w:t>
      </w:r>
    </w:p>
    <w:p w:rsidR="005B63A2" w:rsidRPr="002B1A95" w:rsidRDefault="005B63A2" w:rsidP="005B63A2">
      <w:pPr>
        <w:pStyle w:val="subsection"/>
      </w:pPr>
      <w:r w:rsidRPr="002B1A95">
        <w:tab/>
        <w:t>(5)</w:t>
      </w:r>
      <w:r w:rsidRPr="002B1A95">
        <w:tab/>
        <w:t xml:space="preserve">This subsection applies if </w:t>
      </w:r>
      <w:r w:rsidRPr="002B1A95">
        <w:rPr>
          <w:color w:val="000000"/>
        </w:rPr>
        <w:t xml:space="preserve">the amount is allocated from a reserve used solely for the purpose of enabling the complying superannuation plan to discharge all or part of its liabilities (contingent or not), as soon as they become due, in respect of superannuation income stream benefits that are payable by the complying superannuation plan at that time, and </w:t>
      </w:r>
      <w:r w:rsidRPr="002B1A95">
        <w:t>any of the following applies:</w:t>
      </w:r>
    </w:p>
    <w:p w:rsidR="005B63A2" w:rsidRPr="002B1A95" w:rsidRDefault="005B63A2" w:rsidP="005B63A2">
      <w:pPr>
        <w:pStyle w:val="paragraph"/>
      </w:pPr>
      <w:r w:rsidRPr="002B1A95">
        <w:rPr>
          <w:color w:val="000000"/>
        </w:rPr>
        <w:tab/>
        <w:t>(a)</w:t>
      </w:r>
      <w:r w:rsidRPr="002B1A95">
        <w:rPr>
          <w:color w:val="000000"/>
        </w:rPr>
        <w:tab/>
      </w:r>
      <w:r w:rsidRPr="002B1A95">
        <w:t>the amount has been allocated to satisfy a pension liability of the plan paid during the financial year;</w:t>
      </w:r>
    </w:p>
    <w:p w:rsidR="005B63A2" w:rsidRPr="002B1A95" w:rsidRDefault="005B63A2" w:rsidP="005B63A2">
      <w:pPr>
        <w:pStyle w:val="paragraph"/>
      </w:pPr>
      <w:r w:rsidRPr="002B1A95">
        <w:lastRenderedPageBreak/>
        <w:tab/>
        <w:t>(b)</w:t>
      </w:r>
      <w:r w:rsidRPr="002B1A95">
        <w:tab/>
        <w:t>on the commutation of a superannuation income stream, except as a result of the death of the primary beneficiary, the amount is allocated to the recipient of the superannuation income stream, to commence another superannuation income stream, as soon as practicable;</w:t>
      </w:r>
    </w:p>
    <w:p w:rsidR="005B63A2" w:rsidRPr="002B1A95" w:rsidRDefault="005B63A2" w:rsidP="005B63A2">
      <w:pPr>
        <w:pStyle w:val="paragraph"/>
      </w:pPr>
      <w:r w:rsidRPr="002B1A95">
        <w:tab/>
        <w:t>(c)</w:t>
      </w:r>
      <w:r w:rsidRPr="002B1A95">
        <w:tab/>
        <w:t>on the commutation of a superannuation income stream as a result of the death of the primary beneficiary, the amount:</w:t>
      </w:r>
    </w:p>
    <w:p w:rsidR="005B63A2" w:rsidRPr="002B1A95" w:rsidRDefault="005B63A2" w:rsidP="005B63A2">
      <w:pPr>
        <w:pStyle w:val="paragraphsub"/>
      </w:pPr>
      <w:r w:rsidRPr="002B1A95">
        <w:rPr>
          <w:color w:val="000000"/>
        </w:rPr>
        <w:tab/>
        <w:t>(</w:t>
      </w:r>
      <w:r w:rsidRPr="002B1A95">
        <w:t>i)</w:t>
      </w:r>
      <w:r w:rsidRPr="002B1A95">
        <w:tab/>
        <w:t>is allocated to a death benefits dependant to discharge liabilities in respect of a superannuation income stream benefit that is payable by the plan as a result of the death; or</w:t>
      </w:r>
    </w:p>
    <w:p w:rsidR="005B63A2" w:rsidRPr="002B1A95" w:rsidRDefault="005B63A2" w:rsidP="005B63A2">
      <w:pPr>
        <w:pStyle w:val="paragraphsub"/>
      </w:pPr>
      <w:r w:rsidRPr="002B1A95">
        <w:tab/>
        <w:t>(ii)</w:t>
      </w:r>
      <w:r w:rsidRPr="002B1A95">
        <w:tab/>
        <w:t xml:space="preserve">if </w:t>
      </w:r>
      <w:r w:rsidR="002B1A95" w:rsidRPr="002B1A95">
        <w:t>subparagraph (</w:t>
      </w:r>
      <w:r w:rsidRPr="002B1A95">
        <w:t>i) does not apply—is paid as a superannuation lump sum and as a superannuation death benefit;</w:t>
      </w:r>
    </w:p>
    <w:p w:rsidR="005B63A2" w:rsidRPr="002B1A95" w:rsidRDefault="005B63A2" w:rsidP="005B63A2">
      <w:pPr>
        <w:pStyle w:val="paragraph"/>
      </w:pPr>
      <w:r w:rsidRPr="002B1A95">
        <w:tab/>
      </w:r>
      <w:r w:rsidRPr="002B1A95">
        <w:tab/>
        <w:t>as soon as practicable.</w:t>
      </w:r>
    </w:p>
    <w:p w:rsidR="005B63A2" w:rsidRPr="002B1A95" w:rsidRDefault="005B63A2" w:rsidP="005B63A2">
      <w:pPr>
        <w:pStyle w:val="subsection"/>
      </w:pPr>
      <w:r w:rsidRPr="002B1A95">
        <w:tab/>
        <w:t>(6)</w:t>
      </w:r>
      <w:r w:rsidRPr="002B1A95">
        <w:tab/>
        <w:t>If the amount is allocated from a reserve in lieu of a contribution to the complying superannuation plan (less any allowance for tax) which would have been assessable income of the complying superannuation plan, the amount that is allocated is to be multiplied by 1.176.</w:t>
      </w:r>
    </w:p>
    <w:p w:rsidR="005B63A2" w:rsidRPr="002B1A95" w:rsidRDefault="005B63A2" w:rsidP="005B63A2">
      <w:pPr>
        <w:pStyle w:val="notetext"/>
      </w:pPr>
      <w:r w:rsidRPr="002B1A95">
        <w:t>Example:</w:t>
      </w:r>
      <w:r w:rsidRPr="002B1A95">
        <w:tab/>
        <w:t xml:space="preserve">An employer has an obligation to make a $1,000 contribution. Instead of the employer making a contribution to the </w:t>
      </w:r>
      <w:r w:rsidRPr="002B1A95">
        <w:rPr>
          <w:color w:val="000000"/>
        </w:rPr>
        <w:t>complying superannuation plan</w:t>
      </w:r>
      <w:r w:rsidRPr="002B1A95">
        <w:t xml:space="preserve">, the trustee allocates $850 to the member’s account (which is an amount equivalent to the amount that would be credited to the account after tax was paid). Under </w:t>
      </w:r>
      <w:r w:rsidR="002B1A95" w:rsidRPr="002B1A95">
        <w:t>subsection (</w:t>
      </w:r>
      <w:r w:rsidRPr="002B1A95">
        <w:t>6), the amount of $850 is to be multiplied by 1.176 to work out the amount that is taken to be allocated.</w:t>
      </w:r>
    </w:p>
    <w:p w:rsidR="005B63A2" w:rsidRPr="002B1A95" w:rsidRDefault="005B63A2" w:rsidP="005B63A2">
      <w:pPr>
        <w:pStyle w:val="ActHead4"/>
      </w:pPr>
      <w:bookmarkStart w:id="64" w:name="_Toc49765244"/>
      <w:r w:rsidRPr="00411C46">
        <w:rPr>
          <w:rStyle w:val="CharSubdNo"/>
          <w:rFonts w:eastAsiaTheme="majorEastAsia"/>
        </w:rPr>
        <w:t>Subdivision</w:t>
      </w:r>
      <w:r w:rsidR="002B1A95" w:rsidRPr="00411C46">
        <w:rPr>
          <w:rStyle w:val="CharSubdNo"/>
          <w:rFonts w:eastAsiaTheme="majorEastAsia"/>
        </w:rPr>
        <w:t> </w:t>
      </w:r>
      <w:r w:rsidRPr="00411C46">
        <w:rPr>
          <w:rStyle w:val="CharSubdNo"/>
          <w:rFonts w:eastAsiaTheme="majorEastAsia"/>
        </w:rPr>
        <w:t>291</w:t>
      </w:r>
      <w:r w:rsidR="00782250" w:rsidRPr="00411C46">
        <w:rPr>
          <w:rStyle w:val="CharSubdNo"/>
          <w:rFonts w:eastAsiaTheme="majorEastAsia"/>
        </w:rPr>
        <w:noBreakHyphen/>
      </w:r>
      <w:r w:rsidRPr="00411C46">
        <w:rPr>
          <w:rStyle w:val="CharSubdNo"/>
          <w:rFonts w:eastAsiaTheme="majorEastAsia"/>
        </w:rPr>
        <w:t>C</w:t>
      </w:r>
      <w:r w:rsidRPr="002B1A95">
        <w:t>—</w:t>
      </w:r>
      <w:r w:rsidRPr="00411C46">
        <w:rPr>
          <w:rStyle w:val="CharSubdText"/>
          <w:rFonts w:eastAsiaTheme="majorEastAsia"/>
        </w:rPr>
        <w:t>Modifications for defined benefit interests</w:t>
      </w:r>
      <w:bookmarkEnd w:id="64"/>
    </w:p>
    <w:p w:rsidR="005B63A2" w:rsidRPr="002B1A95" w:rsidRDefault="005B63A2" w:rsidP="005B63A2">
      <w:pPr>
        <w:pStyle w:val="ActHead5"/>
      </w:pPr>
      <w:bookmarkStart w:id="65" w:name="_Toc49765245"/>
      <w:r w:rsidRPr="00411C46">
        <w:rPr>
          <w:rStyle w:val="CharSectno"/>
        </w:rPr>
        <w:t>291</w:t>
      </w:r>
      <w:r w:rsidR="00782250" w:rsidRPr="00411C46">
        <w:rPr>
          <w:rStyle w:val="CharSectno"/>
        </w:rPr>
        <w:noBreakHyphen/>
      </w:r>
      <w:r w:rsidRPr="00411C46">
        <w:rPr>
          <w:rStyle w:val="CharSectno"/>
        </w:rPr>
        <w:t>170.01</w:t>
      </w:r>
      <w:r w:rsidRPr="002B1A95">
        <w:t xml:space="preserve">  Treatment of superannuation sub</w:t>
      </w:r>
      <w:r w:rsidR="00782250">
        <w:noBreakHyphen/>
      </w:r>
      <w:r w:rsidRPr="002B1A95">
        <w:t>funds</w:t>
      </w:r>
      <w:bookmarkEnd w:id="65"/>
    </w:p>
    <w:p w:rsidR="005B63A2" w:rsidRPr="002B1A95" w:rsidRDefault="005B63A2" w:rsidP="005B63A2">
      <w:pPr>
        <w:pStyle w:val="subsection"/>
      </w:pPr>
      <w:r w:rsidRPr="002B1A95">
        <w:tab/>
      </w:r>
      <w:r w:rsidRPr="002B1A95">
        <w:tab/>
        <w:t>If there are 2 or more superannuation sub</w:t>
      </w:r>
      <w:r w:rsidR="00782250">
        <w:noBreakHyphen/>
      </w:r>
      <w:r w:rsidRPr="002B1A95">
        <w:t>funds in relation to defined benefit members of a superannuation fund, apply this Subdivision and Schedule</w:t>
      </w:r>
      <w:r w:rsidR="002B1A95" w:rsidRPr="002B1A95">
        <w:t> </w:t>
      </w:r>
      <w:r w:rsidRPr="002B1A95">
        <w:t>1A to the superannuation fund separately in respect of each superannuation sub</w:t>
      </w:r>
      <w:r w:rsidR="00782250">
        <w:noBreakHyphen/>
      </w:r>
      <w:r w:rsidRPr="002B1A95">
        <w:t>fund.</w:t>
      </w:r>
    </w:p>
    <w:p w:rsidR="005B63A2" w:rsidRPr="002B1A95" w:rsidRDefault="005B63A2" w:rsidP="005B63A2">
      <w:pPr>
        <w:pStyle w:val="ActHead5"/>
      </w:pPr>
      <w:bookmarkStart w:id="66" w:name="_Toc49765246"/>
      <w:r w:rsidRPr="00411C46">
        <w:rPr>
          <w:rStyle w:val="CharSectno"/>
        </w:rPr>
        <w:t>291</w:t>
      </w:r>
      <w:r w:rsidR="00782250" w:rsidRPr="00411C46">
        <w:rPr>
          <w:rStyle w:val="CharSectno"/>
        </w:rPr>
        <w:noBreakHyphen/>
      </w:r>
      <w:r w:rsidRPr="00411C46">
        <w:rPr>
          <w:rStyle w:val="CharSectno"/>
        </w:rPr>
        <w:t>170.02</w:t>
      </w:r>
      <w:r w:rsidRPr="002B1A95">
        <w:t xml:space="preserve">  Notional taxed contributions—contributions for funds with 5 or more defined benefit members</w:t>
      </w:r>
      <w:bookmarkEnd w:id="66"/>
    </w:p>
    <w:p w:rsidR="005B63A2" w:rsidRPr="002B1A95" w:rsidRDefault="005B63A2" w:rsidP="005B63A2">
      <w:pPr>
        <w:pStyle w:val="subsection"/>
      </w:pPr>
      <w:r w:rsidRPr="002B1A95">
        <w:tab/>
        <w:t>(1)</w:t>
      </w:r>
      <w:r w:rsidRPr="002B1A95">
        <w:tab/>
        <w:t>For the purposes of subsection</w:t>
      </w:r>
      <w:r w:rsidR="002B1A95" w:rsidRPr="002B1A95">
        <w:t> </w:t>
      </w:r>
      <w:r w:rsidRPr="002B1A95">
        <w:t>291</w:t>
      </w:r>
      <w:r w:rsidR="00782250">
        <w:noBreakHyphen/>
      </w:r>
      <w:r w:rsidRPr="002B1A95">
        <w:t xml:space="preserve">170(1) of the Act, this section gives the meaning of </w:t>
      </w:r>
      <w:r w:rsidRPr="002B1A95">
        <w:rPr>
          <w:b/>
          <w:i/>
        </w:rPr>
        <w:t>notional taxed contributions</w:t>
      </w:r>
      <w:r w:rsidRPr="002B1A95">
        <w:t xml:space="preserve"> for a financial year in respect of the defined benefit interest of a member of:</w:t>
      </w:r>
    </w:p>
    <w:p w:rsidR="005B63A2" w:rsidRPr="002B1A95" w:rsidRDefault="005B63A2" w:rsidP="005B63A2">
      <w:pPr>
        <w:pStyle w:val="paragraph"/>
      </w:pPr>
      <w:r w:rsidRPr="002B1A95">
        <w:rPr>
          <w:color w:val="000000"/>
        </w:rPr>
        <w:tab/>
        <w:t>(a)</w:t>
      </w:r>
      <w:r w:rsidRPr="002B1A95">
        <w:rPr>
          <w:color w:val="000000"/>
        </w:rPr>
        <w:tab/>
      </w:r>
      <w:r w:rsidRPr="002B1A95">
        <w:t xml:space="preserve">a superannuation fund </w:t>
      </w:r>
      <w:r w:rsidRPr="002B1A95">
        <w:rPr>
          <w:color w:val="000000"/>
        </w:rPr>
        <w:t>that has 5 or more defined benefit members (</w:t>
      </w:r>
      <w:r w:rsidRPr="002B1A95">
        <w:t xml:space="preserve">other than a fund to which </w:t>
      </w:r>
      <w:r w:rsidR="002B1A95" w:rsidRPr="002B1A95">
        <w:t>paragraph (</w:t>
      </w:r>
      <w:r w:rsidRPr="002B1A95">
        <w:t>6)(a) of this section applies)</w:t>
      </w:r>
      <w:r w:rsidRPr="002B1A95">
        <w:rPr>
          <w:color w:val="000000"/>
        </w:rPr>
        <w:t>; or</w:t>
      </w:r>
    </w:p>
    <w:p w:rsidR="005B63A2" w:rsidRPr="002B1A95" w:rsidRDefault="005B63A2" w:rsidP="005B63A2">
      <w:pPr>
        <w:pStyle w:val="paragraph"/>
      </w:pPr>
      <w:r w:rsidRPr="002B1A95">
        <w:tab/>
        <w:t>(b)</w:t>
      </w:r>
      <w:r w:rsidRPr="002B1A95">
        <w:tab/>
        <w:t xml:space="preserve">a superannuation fund to which </w:t>
      </w:r>
      <w:r w:rsidR="002B1A95" w:rsidRPr="002B1A95">
        <w:t>subsection (</w:t>
      </w:r>
      <w:r w:rsidRPr="002B1A95">
        <w:t>3), (4), (5) or (6) of this section applies.</w:t>
      </w:r>
    </w:p>
    <w:p w:rsidR="005B63A2" w:rsidRPr="002B1A95" w:rsidRDefault="005B63A2" w:rsidP="005B63A2">
      <w:pPr>
        <w:pStyle w:val="notetext"/>
      </w:pPr>
      <w:r w:rsidRPr="002B1A95">
        <w:t>Note:</w:t>
      </w:r>
      <w:r w:rsidRPr="002B1A95">
        <w:tab/>
        <w:t>Section 291</w:t>
      </w:r>
      <w:r w:rsidR="00782250">
        <w:noBreakHyphen/>
      </w:r>
      <w:r w:rsidRPr="002B1A95">
        <w:t>170.04 specifies circumstances in which, despite this section, the amount of notional taxed contributions is nil.</w:t>
      </w:r>
    </w:p>
    <w:p w:rsidR="005B63A2" w:rsidRPr="002B1A95" w:rsidRDefault="005B63A2" w:rsidP="005B63A2">
      <w:pPr>
        <w:pStyle w:val="subsection"/>
      </w:pPr>
      <w:r w:rsidRPr="002B1A95">
        <w:rPr>
          <w:color w:val="000000"/>
        </w:rPr>
        <w:tab/>
        <w:t>(2)</w:t>
      </w:r>
      <w:r w:rsidRPr="002B1A95">
        <w:rPr>
          <w:color w:val="000000"/>
        </w:rPr>
        <w:tab/>
        <w:t xml:space="preserve">The </w:t>
      </w:r>
      <w:r w:rsidRPr="002B1A95">
        <w:rPr>
          <w:b/>
          <w:i/>
          <w:color w:val="000000"/>
        </w:rPr>
        <w:t>notional taxed contributions</w:t>
      </w:r>
      <w:r w:rsidRPr="002B1A95">
        <w:rPr>
          <w:b/>
          <w:color w:val="000000"/>
        </w:rPr>
        <w:t xml:space="preserve"> </w:t>
      </w:r>
      <w:r w:rsidRPr="002B1A95">
        <w:rPr>
          <w:color w:val="000000"/>
        </w:rPr>
        <w:t>are the contributions that are determined by the trustee of the superannuation fund to be notional taxed contributions, using the method set out in Schedule</w:t>
      </w:r>
      <w:r w:rsidR="002B1A95" w:rsidRPr="002B1A95">
        <w:rPr>
          <w:color w:val="000000"/>
        </w:rPr>
        <w:t> </w:t>
      </w:r>
      <w:r w:rsidRPr="002B1A95">
        <w:rPr>
          <w:color w:val="000000"/>
        </w:rPr>
        <w:t>1A.</w:t>
      </w:r>
    </w:p>
    <w:p w:rsidR="005B63A2" w:rsidRPr="002B1A95" w:rsidRDefault="005B63A2" w:rsidP="005B63A2">
      <w:pPr>
        <w:pStyle w:val="subsection"/>
      </w:pPr>
      <w:r w:rsidRPr="002B1A95">
        <w:lastRenderedPageBreak/>
        <w:tab/>
        <w:t>(3)</w:t>
      </w:r>
      <w:r w:rsidRPr="002B1A95">
        <w:tab/>
        <w:t>If a superannuation fund has 5 or more defined benefit members on 1</w:t>
      </w:r>
      <w:r w:rsidR="002B1A95" w:rsidRPr="002B1A95">
        <w:t> </w:t>
      </w:r>
      <w:r w:rsidRPr="002B1A95">
        <w:t>July 2007, this subsection applies to the fund even if the number of defined benefit members of the fund becomes less than 5 at any time on or after 1</w:t>
      </w:r>
      <w:r w:rsidR="002B1A95" w:rsidRPr="002B1A95">
        <w:t> </w:t>
      </w:r>
      <w:r w:rsidRPr="002B1A95">
        <w:t>July 2007.</w:t>
      </w:r>
    </w:p>
    <w:p w:rsidR="005B63A2" w:rsidRPr="002B1A95" w:rsidRDefault="005B63A2" w:rsidP="005B63A2">
      <w:pPr>
        <w:pStyle w:val="subsection"/>
      </w:pPr>
      <w:r w:rsidRPr="002B1A95">
        <w:tab/>
        <w:t>(4)</w:t>
      </w:r>
      <w:r w:rsidRPr="002B1A95">
        <w:tab/>
        <w:t>This subsection applies to a superannuation fund if:</w:t>
      </w:r>
    </w:p>
    <w:p w:rsidR="005B63A2" w:rsidRPr="002B1A95" w:rsidRDefault="005B63A2" w:rsidP="005B63A2">
      <w:pPr>
        <w:pStyle w:val="paragraph"/>
      </w:pPr>
      <w:r w:rsidRPr="002B1A95">
        <w:rPr>
          <w:color w:val="000000"/>
        </w:rPr>
        <w:tab/>
        <w:t>(a)</w:t>
      </w:r>
      <w:r w:rsidRPr="002B1A95">
        <w:rPr>
          <w:color w:val="000000"/>
        </w:rPr>
        <w:tab/>
        <w:t>the fund had 5 or more defined benefit members at any time before 1</w:t>
      </w:r>
      <w:r w:rsidR="002B1A95" w:rsidRPr="002B1A95">
        <w:rPr>
          <w:color w:val="000000"/>
        </w:rPr>
        <w:t> </w:t>
      </w:r>
      <w:r w:rsidRPr="002B1A95">
        <w:rPr>
          <w:color w:val="000000"/>
        </w:rPr>
        <w:t>July 2007; and</w:t>
      </w:r>
    </w:p>
    <w:p w:rsidR="005B63A2" w:rsidRPr="002B1A95" w:rsidRDefault="005B63A2" w:rsidP="005B63A2">
      <w:pPr>
        <w:pStyle w:val="paragraph"/>
      </w:pPr>
      <w:r w:rsidRPr="002B1A95">
        <w:tab/>
        <w:t>(b)</w:t>
      </w:r>
      <w:r w:rsidRPr="002B1A95">
        <w:tab/>
        <w:t>the fund had fewer than 5 defined benefit members on 1</w:t>
      </w:r>
      <w:r w:rsidR="002B1A95" w:rsidRPr="002B1A95">
        <w:t> </w:t>
      </w:r>
      <w:r w:rsidRPr="002B1A95">
        <w:t>July 2007; and</w:t>
      </w:r>
    </w:p>
    <w:p w:rsidR="005B63A2" w:rsidRPr="002B1A95" w:rsidRDefault="005B63A2" w:rsidP="005B63A2">
      <w:pPr>
        <w:pStyle w:val="paragraph"/>
      </w:pPr>
      <w:r w:rsidRPr="002B1A95">
        <w:tab/>
        <w:t>(c)</w:t>
      </w:r>
      <w:r w:rsidRPr="002B1A95">
        <w:tab/>
        <w:t>the fund had been in existence for 5 or more years at 1</w:t>
      </w:r>
      <w:r w:rsidR="002B1A95" w:rsidRPr="002B1A95">
        <w:t> </w:t>
      </w:r>
      <w:r w:rsidRPr="002B1A95">
        <w:t>July 2007; and</w:t>
      </w:r>
    </w:p>
    <w:p w:rsidR="005B63A2" w:rsidRPr="002B1A95" w:rsidRDefault="005B63A2" w:rsidP="005B63A2">
      <w:pPr>
        <w:pStyle w:val="paragraph"/>
      </w:pPr>
      <w:r w:rsidRPr="002B1A95">
        <w:tab/>
        <w:t>(d)</w:t>
      </w:r>
      <w:r w:rsidRPr="002B1A95">
        <w:tab/>
        <w:t>the trustee of the fund is an RSE licensee; and</w:t>
      </w:r>
    </w:p>
    <w:p w:rsidR="005B63A2" w:rsidRPr="002B1A95" w:rsidRDefault="005B63A2" w:rsidP="005B63A2">
      <w:pPr>
        <w:pStyle w:val="paragraph"/>
      </w:pPr>
      <w:r w:rsidRPr="002B1A95">
        <w:tab/>
        <w:t>(e)</w:t>
      </w:r>
      <w:r w:rsidRPr="002B1A95">
        <w:tab/>
        <w:t>the employer</w:t>
      </w:r>
      <w:r w:rsidR="00782250">
        <w:noBreakHyphen/>
      </w:r>
      <w:r w:rsidRPr="002B1A95">
        <w:t>sponsor of the fund deals with each of the defined benefit members at arm’s length.</w:t>
      </w:r>
    </w:p>
    <w:p w:rsidR="005B63A2" w:rsidRPr="002B1A95" w:rsidRDefault="005B63A2" w:rsidP="005B63A2">
      <w:pPr>
        <w:pStyle w:val="subsection"/>
      </w:pPr>
      <w:r w:rsidRPr="002B1A95">
        <w:tab/>
        <w:t>(5)</w:t>
      </w:r>
      <w:r w:rsidRPr="002B1A95">
        <w:tab/>
        <w:t>If:</w:t>
      </w:r>
    </w:p>
    <w:p w:rsidR="005B63A2" w:rsidRPr="002B1A95" w:rsidRDefault="005B63A2" w:rsidP="005B63A2">
      <w:pPr>
        <w:pStyle w:val="paragraph"/>
      </w:pPr>
      <w:r w:rsidRPr="002B1A95">
        <w:tab/>
        <w:t>(a)</w:t>
      </w:r>
      <w:r w:rsidRPr="002B1A95">
        <w:tab/>
      </w:r>
      <w:r w:rsidR="002B1A95" w:rsidRPr="002B1A95">
        <w:t>subsection (</w:t>
      </w:r>
      <w:r w:rsidRPr="002B1A95">
        <w:t>3) or (4) applies to a superannuation fund (</w:t>
      </w:r>
      <w:r w:rsidRPr="002B1A95">
        <w:rPr>
          <w:b/>
          <w:i/>
        </w:rPr>
        <w:t>fund 1</w:t>
      </w:r>
      <w:r w:rsidRPr="002B1A95">
        <w:t>); and</w:t>
      </w:r>
    </w:p>
    <w:p w:rsidR="005B63A2" w:rsidRPr="002B1A95" w:rsidRDefault="005B63A2" w:rsidP="005B63A2">
      <w:pPr>
        <w:pStyle w:val="paragraph"/>
      </w:pPr>
      <w:r w:rsidRPr="002B1A95">
        <w:tab/>
        <w:t>(b)</w:t>
      </w:r>
      <w:r w:rsidRPr="002B1A95">
        <w:tab/>
        <w:t>the defined benefit members of fund 1 are transferred to another superannuation fund (</w:t>
      </w:r>
      <w:r w:rsidRPr="002B1A95">
        <w:rPr>
          <w:b/>
          <w:i/>
        </w:rPr>
        <w:t>fund 2</w:t>
      </w:r>
      <w:r w:rsidRPr="002B1A95">
        <w:t>) on or after 1</w:t>
      </w:r>
      <w:r w:rsidR="002B1A95" w:rsidRPr="002B1A95">
        <w:t> </w:t>
      </w:r>
      <w:r w:rsidRPr="002B1A95">
        <w:t>July 2007 (whether directly or through a series of transfers between superannuation funds); and</w:t>
      </w:r>
    </w:p>
    <w:p w:rsidR="005B63A2" w:rsidRPr="002B1A95" w:rsidRDefault="005B63A2" w:rsidP="005B63A2">
      <w:pPr>
        <w:pStyle w:val="paragraph"/>
      </w:pPr>
      <w:r w:rsidRPr="002B1A95">
        <w:rPr>
          <w:color w:val="000000"/>
        </w:rPr>
        <w:tab/>
      </w:r>
      <w:r w:rsidRPr="002B1A95">
        <w:t>(c)</w:t>
      </w:r>
      <w:r w:rsidRPr="002B1A95">
        <w:tab/>
        <w:t>the trustee of fund 2 is an RSE licensee; and</w:t>
      </w:r>
    </w:p>
    <w:p w:rsidR="005B63A2" w:rsidRPr="002B1A95" w:rsidRDefault="005B63A2" w:rsidP="005B63A2">
      <w:pPr>
        <w:pStyle w:val="paragraph"/>
        <w:rPr>
          <w:color w:val="000000"/>
        </w:rPr>
      </w:pPr>
      <w:r w:rsidRPr="002B1A95">
        <w:rPr>
          <w:color w:val="000000"/>
        </w:rPr>
        <w:tab/>
      </w:r>
      <w:r w:rsidRPr="002B1A95">
        <w:t>(d)</w:t>
      </w:r>
      <w:r w:rsidRPr="002B1A95">
        <w:tab/>
        <w:t>the employer</w:t>
      </w:r>
      <w:r w:rsidR="00782250">
        <w:noBreakHyphen/>
      </w:r>
      <w:r w:rsidRPr="002B1A95">
        <w:t>sponsor of fund 2 deals with each of the defined benefit members of fund 2 at arm’s length;</w:t>
      </w:r>
    </w:p>
    <w:p w:rsidR="005B63A2" w:rsidRPr="002B1A95" w:rsidRDefault="005B63A2" w:rsidP="005B63A2">
      <w:pPr>
        <w:pStyle w:val="subsection2"/>
      </w:pPr>
      <w:r w:rsidRPr="002B1A95">
        <w:t>this subsection applies to fund 2.</w:t>
      </w:r>
    </w:p>
    <w:p w:rsidR="005B63A2" w:rsidRPr="002B1A95" w:rsidRDefault="005B63A2" w:rsidP="005B63A2">
      <w:pPr>
        <w:pStyle w:val="subsection"/>
      </w:pPr>
      <w:r w:rsidRPr="002B1A95">
        <w:tab/>
        <w:t>(6)</w:t>
      </w:r>
      <w:r w:rsidRPr="002B1A95">
        <w:tab/>
        <w:t>This subsection applies to a superannuation fund if:</w:t>
      </w:r>
    </w:p>
    <w:p w:rsidR="005B63A2" w:rsidRPr="002B1A95" w:rsidRDefault="005B63A2" w:rsidP="005B63A2">
      <w:pPr>
        <w:pStyle w:val="paragraph"/>
        <w:rPr>
          <w:color w:val="000000"/>
        </w:rPr>
      </w:pPr>
      <w:r w:rsidRPr="002B1A95">
        <w:rPr>
          <w:color w:val="000000"/>
        </w:rPr>
        <w:tab/>
        <w:t>(a)</w:t>
      </w:r>
      <w:r w:rsidRPr="002B1A95">
        <w:rPr>
          <w:color w:val="000000"/>
        </w:rPr>
        <w:tab/>
        <w:t>the fund had no defined benefit members on 30</w:t>
      </w:r>
      <w:r w:rsidR="002B1A95" w:rsidRPr="002B1A95">
        <w:rPr>
          <w:color w:val="000000"/>
        </w:rPr>
        <w:t> </w:t>
      </w:r>
      <w:r w:rsidRPr="002B1A95">
        <w:rPr>
          <w:color w:val="000000"/>
        </w:rPr>
        <w:t>June 2007; and</w:t>
      </w:r>
    </w:p>
    <w:p w:rsidR="005B63A2" w:rsidRPr="002B1A95" w:rsidRDefault="005B63A2" w:rsidP="005B63A2">
      <w:pPr>
        <w:pStyle w:val="paragraph"/>
      </w:pPr>
      <w:r w:rsidRPr="002B1A95">
        <w:tab/>
        <w:t>(b)</w:t>
      </w:r>
      <w:r w:rsidRPr="002B1A95">
        <w:tab/>
        <w:t>a person became a defined benefit member of the fund after that date; and</w:t>
      </w:r>
    </w:p>
    <w:p w:rsidR="005B63A2" w:rsidRPr="002B1A95" w:rsidRDefault="005B63A2" w:rsidP="005B63A2">
      <w:pPr>
        <w:pStyle w:val="paragraph"/>
      </w:pPr>
      <w:r w:rsidRPr="002B1A95">
        <w:tab/>
        <w:t>(c)</w:t>
      </w:r>
      <w:r w:rsidRPr="002B1A95">
        <w:tab/>
        <w:t>the number of defined benefit members of the fund (including the person) is at least 50; and</w:t>
      </w:r>
    </w:p>
    <w:p w:rsidR="005B63A2" w:rsidRPr="002B1A95" w:rsidRDefault="005B63A2" w:rsidP="005B63A2">
      <w:pPr>
        <w:pStyle w:val="paragraph"/>
      </w:pPr>
      <w:r w:rsidRPr="002B1A95">
        <w:tab/>
        <w:t>(d)</w:t>
      </w:r>
      <w:r w:rsidRPr="002B1A95">
        <w:tab/>
        <w:t>the employer</w:t>
      </w:r>
      <w:r w:rsidR="00782250">
        <w:noBreakHyphen/>
      </w:r>
      <w:r w:rsidRPr="002B1A95">
        <w:t>sponsor of the fund deals with each of the defined benefit members at arm’s length.</w:t>
      </w:r>
    </w:p>
    <w:p w:rsidR="005B63A2" w:rsidRPr="002B1A95" w:rsidRDefault="005B63A2" w:rsidP="005B63A2">
      <w:pPr>
        <w:pStyle w:val="ActHead5"/>
      </w:pPr>
      <w:bookmarkStart w:id="67" w:name="_Toc49765247"/>
      <w:r w:rsidRPr="00411C46">
        <w:rPr>
          <w:rStyle w:val="CharSectno"/>
        </w:rPr>
        <w:t>291</w:t>
      </w:r>
      <w:r w:rsidR="00782250" w:rsidRPr="00411C46">
        <w:rPr>
          <w:rStyle w:val="CharSectno"/>
        </w:rPr>
        <w:noBreakHyphen/>
      </w:r>
      <w:r w:rsidRPr="00411C46">
        <w:rPr>
          <w:rStyle w:val="CharSectno"/>
        </w:rPr>
        <w:t>170.03</w:t>
      </w:r>
      <w:r w:rsidRPr="002B1A95">
        <w:t xml:space="preserve">  Notional taxed contributions—contributions for funds to which section 291</w:t>
      </w:r>
      <w:r w:rsidR="00782250">
        <w:noBreakHyphen/>
      </w:r>
      <w:r w:rsidRPr="002B1A95">
        <w:t>170.02 does not apply</w:t>
      </w:r>
      <w:bookmarkEnd w:id="67"/>
    </w:p>
    <w:p w:rsidR="005B63A2" w:rsidRPr="002B1A95" w:rsidRDefault="005B63A2" w:rsidP="005B63A2">
      <w:pPr>
        <w:pStyle w:val="subsection"/>
      </w:pPr>
      <w:r w:rsidRPr="002B1A95">
        <w:tab/>
        <w:t>(1)</w:t>
      </w:r>
      <w:r w:rsidRPr="002B1A95">
        <w:tab/>
        <w:t>For the purposes of subsection</w:t>
      </w:r>
      <w:r w:rsidR="002B1A95" w:rsidRPr="002B1A95">
        <w:t> </w:t>
      </w:r>
      <w:r w:rsidRPr="002B1A95">
        <w:t>291</w:t>
      </w:r>
      <w:r w:rsidR="00782250">
        <w:noBreakHyphen/>
      </w:r>
      <w:r w:rsidRPr="002B1A95">
        <w:t xml:space="preserve">170(1) of the Act, this section gives the meaning of </w:t>
      </w:r>
      <w:r w:rsidRPr="002B1A95">
        <w:rPr>
          <w:b/>
          <w:i/>
        </w:rPr>
        <w:t>notional taxed contributions</w:t>
      </w:r>
      <w:r w:rsidRPr="002B1A95">
        <w:t xml:space="preserve"> for a financial year in respect of the defined benefit interest of a member of a superannuation </w:t>
      </w:r>
      <w:r w:rsidRPr="002B1A95">
        <w:rPr>
          <w:color w:val="000000"/>
        </w:rPr>
        <w:t>fund</w:t>
      </w:r>
      <w:r w:rsidRPr="002B1A95">
        <w:t xml:space="preserve"> (other than a superannuation </w:t>
      </w:r>
      <w:r w:rsidRPr="002B1A95">
        <w:rPr>
          <w:color w:val="000000"/>
        </w:rPr>
        <w:t>fund</w:t>
      </w:r>
      <w:r w:rsidRPr="002B1A95">
        <w:t xml:space="preserve"> to which section 291</w:t>
      </w:r>
      <w:r w:rsidR="00782250">
        <w:noBreakHyphen/>
      </w:r>
      <w:r w:rsidRPr="002B1A95">
        <w:t xml:space="preserve">170.02 </w:t>
      </w:r>
      <w:r w:rsidRPr="002B1A95">
        <w:rPr>
          <w:color w:val="000000"/>
        </w:rPr>
        <w:t xml:space="preserve">of this instrument </w:t>
      </w:r>
      <w:r w:rsidRPr="002B1A95">
        <w:t>applies).</w:t>
      </w:r>
    </w:p>
    <w:p w:rsidR="005B63A2" w:rsidRPr="002B1A95" w:rsidRDefault="005B63A2" w:rsidP="005B63A2">
      <w:pPr>
        <w:pStyle w:val="notetext"/>
      </w:pPr>
      <w:r w:rsidRPr="002B1A95">
        <w:t>Note:</w:t>
      </w:r>
      <w:r w:rsidRPr="002B1A95">
        <w:tab/>
        <w:t>Section 291</w:t>
      </w:r>
      <w:r w:rsidR="00782250">
        <w:noBreakHyphen/>
      </w:r>
      <w:r w:rsidRPr="002B1A95">
        <w:t>170.04 specifies circumstances in which, despite this section, the amount of notional taxed contributions is nil.</w:t>
      </w:r>
    </w:p>
    <w:p w:rsidR="005B63A2" w:rsidRPr="002B1A95" w:rsidRDefault="005B63A2" w:rsidP="005B63A2">
      <w:pPr>
        <w:pStyle w:val="subsection"/>
      </w:pPr>
      <w:r w:rsidRPr="002B1A95">
        <w:tab/>
        <w:t>(2)</w:t>
      </w:r>
      <w:r w:rsidRPr="002B1A95">
        <w:tab/>
        <w:t xml:space="preserve">The member’s </w:t>
      </w:r>
      <w:r w:rsidRPr="002B1A95">
        <w:rPr>
          <w:b/>
          <w:i/>
        </w:rPr>
        <w:t>notional taxed contributions</w:t>
      </w:r>
      <w:r w:rsidRPr="002B1A95">
        <w:t xml:space="preserve"> for the financial year are:</w:t>
      </w:r>
    </w:p>
    <w:p w:rsidR="005B63A2" w:rsidRPr="002B1A95" w:rsidRDefault="005B63A2" w:rsidP="005B63A2">
      <w:pPr>
        <w:pStyle w:val="paragraph"/>
      </w:pPr>
      <w:r w:rsidRPr="002B1A95">
        <w:tab/>
        <w:t>(a)</w:t>
      </w:r>
      <w:r w:rsidRPr="002B1A95">
        <w:tab/>
        <w:t xml:space="preserve">the amounts of assessable contributions which have been allocated to the member in the financial year in accordance with </w:t>
      </w:r>
      <w:r w:rsidR="002B1A95" w:rsidRPr="002B1A95">
        <w:t>subsection (</w:t>
      </w:r>
      <w:r w:rsidRPr="002B1A95">
        <w:t>3); and</w:t>
      </w:r>
    </w:p>
    <w:p w:rsidR="005B63A2" w:rsidRPr="002B1A95" w:rsidRDefault="005B63A2" w:rsidP="005B63A2">
      <w:pPr>
        <w:pStyle w:val="paragraph"/>
      </w:pPr>
      <w:r w:rsidRPr="002B1A95">
        <w:tab/>
        <w:t>(b)</w:t>
      </w:r>
      <w:r w:rsidRPr="002B1A95">
        <w:tab/>
        <w:t xml:space="preserve">if an amount is allocated to the member from a reserve, other than in the circumstances mentioned in </w:t>
      </w:r>
      <w:r w:rsidR="002B1A95" w:rsidRPr="002B1A95">
        <w:t>subsection (</w:t>
      </w:r>
      <w:r w:rsidRPr="002B1A95">
        <w:t>4):</w:t>
      </w:r>
    </w:p>
    <w:p w:rsidR="005B63A2" w:rsidRPr="002B1A95" w:rsidRDefault="005B63A2" w:rsidP="005B63A2">
      <w:pPr>
        <w:pStyle w:val="paragraphsub"/>
      </w:pPr>
      <w:r w:rsidRPr="002B1A95">
        <w:tab/>
        <w:t>(i)</w:t>
      </w:r>
      <w:r w:rsidRPr="002B1A95">
        <w:tab/>
        <w:t xml:space="preserve">the amount, unless </w:t>
      </w:r>
      <w:r w:rsidR="002B1A95" w:rsidRPr="002B1A95">
        <w:t>subparagraph (</w:t>
      </w:r>
      <w:r w:rsidRPr="002B1A95">
        <w:t>ii) applies; or</w:t>
      </w:r>
    </w:p>
    <w:p w:rsidR="005B63A2" w:rsidRPr="002B1A95" w:rsidRDefault="005B63A2" w:rsidP="005B63A2">
      <w:pPr>
        <w:pStyle w:val="paragraphsub"/>
      </w:pPr>
      <w:r w:rsidRPr="002B1A95">
        <w:lastRenderedPageBreak/>
        <w:tab/>
        <w:t>(ii)</w:t>
      </w:r>
      <w:r w:rsidRPr="002B1A95">
        <w:tab/>
        <w:t>if the amount is allocated in lieu of a contribution to the fund (less any allowance for tax) which would have been assessable income of the fund—the amount multiplied by 1.176.</w:t>
      </w:r>
    </w:p>
    <w:p w:rsidR="005B63A2" w:rsidRPr="002B1A95" w:rsidRDefault="005B63A2" w:rsidP="005B63A2">
      <w:pPr>
        <w:pStyle w:val="notetext"/>
      </w:pPr>
      <w:r w:rsidRPr="002B1A95">
        <w:t>Example:</w:t>
      </w:r>
      <w:r w:rsidRPr="002B1A95">
        <w:tab/>
      </w:r>
      <w:r w:rsidRPr="002B1A95">
        <w:rPr>
          <w:color w:val="000000"/>
        </w:rPr>
        <w:t xml:space="preserve">An employer has an obligation to make a $1,000 contribution. Instead of the employer making a contribution to the fund, the trustee allocates $850 to the member’s account (which is an amount </w:t>
      </w:r>
      <w:r w:rsidRPr="002B1A95">
        <w:t>equivalent</w:t>
      </w:r>
      <w:r w:rsidRPr="002B1A95">
        <w:rPr>
          <w:color w:val="000000"/>
        </w:rPr>
        <w:t xml:space="preserve"> to the amount that would be credited to the account after tax was paid). For the purposes of </w:t>
      </w:r>
      <w:r w:rsidR="002B1A95" w:rsidRPr="002B1A95">
        <w:rPr>
          <w:color w:val="000000"/>
        </w:rPr>
        <w:t>subparagraph (</w:t>
      </w:r>
      <w:r w:rsidRPr="002B1A95">
        <w:rPr>
          <w:color w:val="000000"/>
        </w:rPr>
        <w:t>b)(ii), t</w:t>
      </w:r>
      <w:r w:rsidRPr="002B1A95">
        <w:t>he amount of $850 is to be multiplied by 1.176.</w:t>
      </w:r>
    </w:p>
    <w:p w:rsidR="005B63A2" w:rsidRPr="002B1A95" w:rsidRDefault="005B63A2" w:rsidP="005B63A2">
      <w:pPr>
        <w:pStyle w:val="subsection"/>
      </w:pPr>
      <w:r w:rsidRPr="002B1A95">
        <w:tab/>
        <w:t>(3)</w:t>
      </w:r>
      <w:r w:rsidRPr="002B1A95">
        <w:tab/>
        <w:t>An amount of assessable contributions is allocated to a member in accordance with this subsection if the trustee of the fund allocates the amount:</w:t>
      </w:r>
    </w:p>
    <w:p w:rsidR="005B63A2" w:rsidRPr="002B1A95" w:rsidRDefault="005B63A2" w:rsidP="005B63A2">
      <w:pPr>
        <w:pStyle w:val="paragraph"/>
      </w:pPr>
      <w:r w:rsidRPr="002B1A95">
        <w:tab/>
        <w:t>(a)</w:t>
      </w:r>
      <w:r w:rsidRPr="002B1A95">
        <w:tab/>
        <w:t>to the member:</w:t>
      </w:r>
    </w:p>
    <w:p w:rsidR="005B63A2" w:rsidRPr="002B1A95" w:rsidRDefault="005B63A2" w:rsidP="005B63A2">
      <w:pPr>
        <w:pStyle w:val="paragraphsub"/>
      </w:pPr>
      <w:r w:rsidRPr="002B1A95">
        <w:tab/>
        <w:t>(i)</w:t>
      </w:r>
      <w:r w:rsidRPr="002B1A95">
        <w:tab/>
        <w:t>within 28 days after the end of the month in which the trustee receives the amount; or</w:t>
      </w:r>
    </w:p>
    <w:p w:rsidR="005B63A2" w:rsidRPr="002B1A95" w:rsidRDefault="005B63A2" w:rsidP="005B63A2">
      <w:pPr>
        <w:pStyle w:val="paragraphsub"/>
      </w:pPr>
      <w:r w:rsidRPr="002B1A95">
        <w:tab/>
        <w:t>(ii)</w:t>
      </w:r>
      <w:r w:rsidRPr="002B1A95">
        <w:tab/>
        <w:t xml:space="preserve">if it is not reasonably practicable to comply with </w:t>
      </w:r>
      <w:r w:rsidR="002B1A95" w:rsidRPr="002B1A95">
        <w:t>subparagraph (</w:t>
      </w:r>
      <w:r w:rsidRPr="002B1A95">
        <w:t>i)—within a longer period that is reasonable in the circumstances; and</w:t>
      </w:r>
    </w:p>
    <w:p w:rsidR="005B63A2" w:rsidRPr="002B1A95" w:rsidRDefault="005B63A2" w:rsidP="005B63A2">
      <w:pPr>
        <w:pStyle w:val="paragraph"/>
      </w:pPr>
      <w:r w:rsidRPr="002B1A95">
        <w:tab/>
        <w:t>(b)</w:t>
      </w:r>
      <w:r w:rsidRPr="002B1A95">
        <w:tab/>
        <w:t>having regard to the present and prospective liabilities of the fund to its members.</w:t>
      </w:r>
    </w:p>
    <w:p w:rsidR="005B63A2" w:rsidRPr="002B1A95" w:rsidRDefault="005B63A2" w:rsidP="005B63A2">
      <w:pPr>
        <w:pStyle w:val="subsection"/>
      </w:pPr>
      <w:r w:rsidRPr="002B1A95">
        <w:tab/>
        <w:t>(4)</w:t>
      </w:r>
      <w:r w:rsidRPr="002B1A95">
        <w:tab/>
        <w:t xml:space="preserve">For the purposes of </w:t>
      </w:r>
      <w:r w:rsidR="002B1A95" w:rsidRPr="002B1A95">
        <w:t>paragraph (</w:t>
      </w:r>
      <w:r w:rsidRPr="002B1A95">
        <w:t>2)(b), the circumstances are that:</w:t>
      </w:r>
    </w:p>
    <w:p w:rsidR="005B63A2" w:rsidRPr="002B1A95" w:rsidRDefault="005B63A2" w:rsidP="005B63A2">
      <w:pPr>
        <w:pStyle w:val="paragraph"/>
      </w:pPr>
      <w:r w:rsidRPr="002B1A95">
        <w:tab/>
        <w:t>(a)</w:t>
      </w:r>
      <w:r w:rsidRPr="002B1A95">
        <w:tab/>
        <w:t>the amount is allocated from a reserve used solely for the purpose of enabling the fund to discharge all or part of its liabilities (contingent or not), as soon as they become due, in respect of superannuation income stream benefits that are payable by the fund at that time; and</w:t>
      </w:r>
    </w:p>
    <w:p w:rsidR="005B63A2" w:rsidRPr="002B1A95" w:rsidRDefault="005B63A2" w:rsidP="005B63A2">
      <w:pPr>
        <w:pStyle w:val="paragraph"/>
      </w:pPr>
      <w:r w:rsidRPr="002B1A95">
        <w:tab/>
        <w:t>(b)</w:t>
      </w:r>
      <w:r w:rsidRPr="002B1A95">
        <w:tab/>
        <w:t xml:space="preserve">any of the circumstances in </w:t>
      </w:r>
      <w:r w:rsidR="002B1A95" w:rsidRPr="002B1A95">
        <w:t>subsection (</w:t>
      </w:r>
      <w:r w:rsidRPr="002B1A95">
        <w:t>5) apply.</w:t>
      </w:r>
    </w:p>
    <w:p w:rsidR="005B63A2" w:rsidRPr="002B1A95" w:rsidRDefault="005B63A2" w:rsidP="005B63A2">
      <w:pPr>
        <w:pStyle w:val="subsection"/>
      </w:pPr>
      <w:r w:rsidRPr="002B1A95">
        <w:tab/>
        <w:t>(5)</w:t>
      </w:r>
      <w:r w:rsidRPr="002B1A95">
        <w:tab/>
        <w:t xml:space="preserve">For the purposes of </w:t>
      </w:r>
      <w:r w:rsidR="002B1A95" w:rsidRPr="002B1A95">
        <w:t>paragraph (</w:t>
      </w:r>
      <w:r w:rsidRPr="002B1A95">
        <w:t>4)(b), the circumstances are the following:</w:t>
      </w:r>
    </w:p>
    <w:p w:rsidR="005B63A2" w:rsidRPr="002B1A95" w:rsidRDefault="005B63A2" w:rsidP="005B63A2">
      <w:pPr>
        <w:pStyle w:val="paragraph"/>
      </w:pPr>
      <w:r w:rsidRPr="002B1A95">
        <w:rPr>
          <w:color w:val="000000"/>
        </w:rPr>
        <w:tab/>
        <w:t>(a)</w:t>
      </w:r>
      <w:r w:rsidRPr="002B1A95">
        <w:tab/>
        <w:t>the amount has been allocated to satisfy a pension liability of the fund paid during the financial year;</w:t>
      </w:r>
    </w:p>
    <w:p w:rsidR="005B63A2" w:rsidRPr="002B1A95" w:rsidRDefault="005B63A2" w:rsidP="005B63A2">
      <w:pPr>
        <w:pStyle w:val="paragraph"/>
      </w:pPr>
      <w:r w:rsidRPr="002B1A95">
        <w:tab/>
        <w:t>(b)</w:t>
      </w:r>
      <w:r w:rsidRPr="002B1A95">
        <w:tab/>
        <w:t>on the commutation of a superannuation income stream, except as a result of the death of the primary beneficiary, the amount is allocated to the recipient of the superannuation income stream, to commence another superannuation income stream, as soon as practicable;</w:t>
      </w:r>
    </w:p>
    <w:p w:rsidR="005B63A2" w:rsidRPr="002B1A95" w:rsidRDefault="005B63A2" w:rsidP="005B63A2">
      <w:pPr>
        <w:pStyle w:val="paragraph"/>
      </w:pPr>
      <w:r w:rsidRPr="002B1A95">
        <w:tab/>
        <w:t>(c)</w:t>
      </w:r>
      <w:r w:rsidRPr="002B1A95">
        <w:tab/>
        <w:t>on the commutation of a superannuation income stream as a result of the death of the primary beneficiary, the amount:</w:t>
      </w:r>
    </w:p>
    <w:p w:rsidR="005B63A2" w:rsidRPr="002B1A95" w:rsidRDefault="005B63A2" w:rsidP="005B63A2">
      <w:pPr>
        <w:pStyle w:val="paragraphsub"/>
      </w:pPr>
      <w:r w:rsidRPr="002B1A95">
        <w:rPr>
          <w:color w:val="000000"/>
        </w:rPr>
        <w:tab/>
        <w:t>(i</w:t>
      </w:r>
      <w:r w:rsidRPr="002B1A95">
        <w:t>)</w:t>
      </w:r>
      <w:r w:rsidRPr="002B1A95">
        <w:tab/>
        <w:t>is allocated to a death benefits dependant to discharge liabilities in respect of a superannuation income stream benefit that is payable by the fund as a result of the death; or</w:t>
      </w:r>
    </w:p>
    <w:p w:rsidR="005B63A2" w:rsidRPr="002B1A95" w:rsidRDefault="005B63A2" w:rsidP="005B63A2">
      <w:pPr>
        <w:pStyle w:val="paragraphsub"/>
        <w:rPr>
          <w:color w:val="000000"/>
        </w:rPr>
      </w:pPr>
      <w:r w:rsidRPr="002B1A95">
        <w:tab/>
        <w:t>(ii)</w:t>
      </w:r>
      <w:r w:rsidRPr="002B1A95">
        <w:tab/>
        <w:t xml:space="preserve">if </w:t>
      </w:r>
      <w:r w:rsidR="002B1A95" w:rsidRPr="002B1A95">
        <w:t>subparagraph (</w:t>
      </w:r>
      <w:r w:rsidRPr="002B1A95">
        <w:t>i) does not apply—is paid as a superannuation lump sum and as a superannuation death benefit;</w:t>
      </w:r>
    </w:p>
    <w:p w:rsidR="005B63A2" w:rsidRPr="002B1A95" w:rsidRDefault="005B63A2" w:rsidP="005B63A2">
      <w:pPr>
        <w:pStyle w:val="paragraph"/>
      </w:pPr>
      <w:r w:rsidRPr="002B1A95">
        <w:tab/>
      </w:r>
      <w:r w:rsidRPr="002B1A95">
        <w:tab/>
        <w:t>as soon as practicable.</w:t>
      </w:r>
    </w:p>
    <w:p w:rsidR="005B63A2" w:rsidRPr="002B1A95" w:rsidRDefault="005B63A2" w:rsidP="005B63A2">
      <w:pPr>
        <w:pStyle w:val="ActHead5"/>
      </w:pPr>
      <w:bookmarkStart w:id="68" w:name="_Toc49765248"/>
      <w:r w:rsidRPr="00411C46">
        <w:rPr>
          <w:rStyle w:val="CharSectno"/>
        </w:rPr>
        <w:t>291</w:t>
      </w:r>
      <w:r w:rsidR="00782250" w:rsidRPr="00411C46">
        <w:rPr>
          <w:rStyle w:val="CharSectno"/>
        </w:rPr>
        <w:noBreakHyphen/>
      </w:r>
      <w:r w:rsidRPr="00411C46">
        <w:rPr>
          <w:rStyle w:val="CharSectno"/>
        </w:rPr>
        <w:t>170.04</w:t>
      </w:r>
      <w:r w:rsidRPr="002B1A95">
        <w:t xml:space="preserve">  Notional taxed contributions—nil amount</w:t>
      </w:r>
      <w:bookmarkEnd w:id="68"/>
    </w:p>
    <w:p w:rsidR="005B63A2" w:rsidRPr="002B1A95" w:rsidRDefault="005B63A2" w:rsidP="005B63A2">
      <w:pPr>
        <w:pStyle w:val="subsection"/>
      </w:pPr>
      <w:r w:rsidRPr="002B1A95">
        <w:rPr>
          <w:color w:val="000000"/>
        </w:rPr>
        <w:tab/>
        <w:t>(1)</w:t>
      </w:r>
      <w:r w:rsidRPr="002B1A95">
        <w:rPr>
          <w:color w:val="000000"/>
        </w:rPr>
        <w:tab/>
        <w:t>For the purposes of subsection</w:t>
      </w:r>
      <w:r w:rsidR="002B1A95" w:rsidRPr="002B1A95">
        <w:rPr>
          <w:color w:val="000000"/>
        </w:rPr>
        <w:t> </w:t>
      </w:r>
      <w:r w:rsidRPr="002B1A95">
        <w:rPr>
          <w:color w:val="000000"/>
        </w:rPr>
        <w:t>291</w:t>
      </w:r>
      <w:r w:rsidR="00782250">
        <w:rPr>
          <w:color w:val="000000"/>
        </w:rPr>
        <w:noBreakHyphen/>
      </w:r>
      <w:r w:rsidRPr="002B1A95">
        <w:t xml:space="preserve">170(1) of the Act, this section specifies circumstances in which the amount of notional taxed contributions for a financial year in respect of the defined benefit interest of a member of a superannuation </w:t>
      </w:r>
      <w:r w:rsidRPr="002B1A95">
        <w:rPr>
          <w:color w:val="000000"/>
        </w:rPr>
        <w:t>fund</w:t>
      </w:r>
      <w:r w:rsidRPr="002B1A95">
        <w:t xml:space="preserve"> is nil.</w:t>
      </w:r>
    </w:p>
    <w:p w:rsidR="005B63A2" w:rsidRPr="002B1A95" w:rsidRDefault="005B63A2" w:rsidP="005B63A2">
      <w:pPr>
        <w:pStyle w:val="subsection"/>
      </w:pPr>
      <w:r w:rsidRPr="002B1A95">
        <w:lastRenderedPageBreak/>
        <w:tab/>
        <w:t>(2)</w:t>
      </w:r>
      <w:r w:rsidRPr="002B1A95">
        <w:tab/>
        <w:t>This section applies despite sections 291</w:t>
      </w:r>
      <w:r w:rsidR="00782250">
        <w:noBreakHyphen/>
      </w:r>
      <w:r w:rsidRPr="002B1A95">
        <w:t>170.02 and 291</w:t>
      </w:r>
      <w:r w:rsidR="00782250">
        <w:noBreakHyphen/>
      </w:r>
      <w:r w:rsidRPr="002B1A95">
        <w:t>170.03.</w:t>
      </w:r>
    </w:p>
    <w:p w:rsidR="005B63A2" w:rsidRPr="002B1A95" w:rsidRDefault="005B63A2" w:rsidP="005B63A2">
      <w:pPr>
        <w:pStyle w:val="subsection"/>
      </w:pPr>
      <w:r w:rsidRPr="002B1A95">
        <w:tab/>
        <w:t>(3)</w:t>
      </w:r>
      <w:r w:rsidRPr="002B1A95">
        <w:tab/>
        <w:t>A circumstance is that:</w:t>
      </w:r>
    </w:p>
    <w:p w:rsidR="005B63A2" w:rsidRPr="002B1A95" w:rsidRDefault="005B63A2" w:rsidP="005B63A2">
      <w:pPr>
        <w:pStyle w:val="paragraph"/>
      </w:pPr>
      <w:r w:rsidRPr="002B1A95">
        <w:rPr>
          <w:color w:val="000000"/>
        </w:rPr>
        <w:tab/>
        <w:t>(a)</w:t>
      </w:r>
      <w:r w:rsidRPr="002B1A95">
        <w:rPr>
          <w:color w:val="000000"/>
        </w:rPr>
        <w:tab/>
        <w:t>the defined benefit interest is held in a public sector superannuation scheme; and</w:t>
      </w:r>
    </w:p>
    <w:p w:rsidR="005B63A2" w:rsidRPr="002B1A95" w:rsidRDefault="005B63A2" w:rsidP="005B63A2">
      <w:pPr>
        <w:pStyle w:val="paragraph"/>
      </w:pPr>
      <w:r w:rsidRPr="002B1A95">
        <w:tab/>
        <w:t>(b)</w:t>
      </w:r>
      <w:r w:rsidRPr="002B1A95">
        <w:tab/>
        <w:t>none of the interest is sourced to any extent from:</w:t>
      </w:r>
    </w:p>
    <w:p w:rsidR="005B63A2" w:rsidRPr="002B1A95" w:rsidRDefault="005B63A2" w:rsidP="005B63A2">
      <w:pPr>
        <w:pStyle w:val="paragraphsub"/>
      </w:pPr>
      <w:r w:rsidRPr="002B1A95">
        <w:rPr>
          <w:color w:val="000000"/>
        </w:rPr>
        <w:tab/>
        <w:t>(i)</w:t>
      </w:r>
      <w:r w:rsidRPr="002B1A95">
        <w:rPr>
          <w:color w:val="000000"/>
        </w:rPr>
        <w:tab/>
        <w:t>contributions made into a superannuation fund; or</w:t>
      </w:r>
    </w:p>
    <w:p w:rsidR="005B63A2" w:rsidRPr="002B1A95" w:rsidRDefault="005B63A2" w:rsidP="005B63A2">
      <w:pPr>
        <w:pStyle w:val="paragraphsub"/>
      </w:pPr>
      <w:r w:rsidRPr="002B1A95">
        <w:tab/>
        <w:t>(ii)</w:t>
      </w:r>
      <w:r w:rsidRPr="002B1A95">
        <w:tab/>
        <w:t>earnings on such contributions;</w:t>
      </w:r>
    </w:p>
    <w:p w:rsidR="005B63A2" w:rsidRPr="002B1A95" w:rsidRDefault="005B63A2" w:rsidP="005B63A2">
      <w:pPr>
        <w:pStyle w:val="paragraph"/>
        <w:rPr>
          <w:color w:val="000000"/>
        </w:rPr>
      </w:pPr>
      <w:r w:rsidRPr="002B1A95">
        <w:rPr>
          <w:color w:val="000000"/>
        </w:rPr>
        <w:tab/>
      </w:r>
      <w:r w:rsidRPr="002B1A95">
        <w:rPr>
          <w:color w:val="000000"/>
        </w:rPr>
        <w:tab/>
        <w:t>unless the interest is an element taxed in the fund that is attributable to one or more roll</w:t>
      </w:r>
      <w:r w:rsidR="00782250">
        <w:rPr>
          <w:color w:val="000000"/>
        </w:rPr>
        <w:noBreakHyphen/>
      </w:r>
      <w:r w:rsidRPr="002B1A95">
        <w:rPr>
          <w:color w:val="000000"/>
        </w:rPr>
        <w:t>over superannuation benefits.</w:t>
      </w:r>
    </w:p>
    <w:p w:rsidR="005B63A2" w:rsidRPr="002B1A95" w:rsidRDefault="005B63A2" w:rsidP="005B63A2">
      <w:pPr>
        <w:pStyle w:val="subsection"/>
      </w:pPr>
      <w:r w:rsidRPr="002B1A95">
        <w:tab/>
        <w:t>(4)</w:t>
      </w:r>
      <w:r w:rsidRPr="002B1A95">
        <w:tab/>
        <w:t>A circumstance is that, for the whole of the financial year:</w:t>
      </w:r>
    </w:p>
    <w:p w:rsidR="005B63A2" w:rsidRPr="002B1A95" w:rsidRDefault="005B63A2" w:rsidP="005B63A2">
      <w:pPr>
        <w:pStyle w:val="paragraph"/>
      </w:pPr>
      <w:r w:rsidRPr="002B1A95">
        <w:rPr>
          <w:color w:val="000000"/>
        </w:rPr>
        <w:tab/>
        <w:t>(a)</w:t>
      </w:r>
      <w:r w:rsidRPr="002B1A95">
        <w:rPr>
          <w:color w:val="000000"/>
        </w:rPr>
        <w:tab/>
        <w:t>section 291</w:t>
      </w:r>
      <w:r w:rsidR="00782250">
        <w:rPr>
          <w:color w:val="000000"/>
        </w:rPr>
        <w:noBreakHyphen/>
      </w:r>
      <w:r w:rsidRPr="002B1A95">
        <w:rPr>
          <w:color w:val="000000"/>
        </w:rPr>
        <w:t xml:space="preserve">170.02 applied in relation to the </w:t>
      </w:r>
      <w:r w:rsidRPr="002B1A95">
        <w:t xml:space="preserve">superannuation </w:t>
      </w:r>
      <w:r w:rsidRPr="002B1A95">
        <w:rPr>
          <w:color w:val="000000"/>
        </w:rPr>
        <w:t>fund; and</w:t>
      </w:r>
    </w:p>
    <w:p w:rsidR="005B63A2" w:rsidRPr="002B1A95" w:rsidRDefault="005B63A2" w:rsidP="005B63A2">
      <w:pPr>
        <w:pStyle w:val="paragraph"/>
      </w:pPr>
      <w:r w:rsidRPr="002B1A95">
        <w:tab/>
        <w:t>(b)</w:t>
      </w:r>
      <w:r w:rsidRPr="002B1A95">
        <w:tab/>
        <w:t>the member was a non</w:t>
      </w:r>
      <w:r w:rsidR="00782250">
        <w:noBreakHyphen/>
      </w:r>
      <w:r w:rsidRPr="002B1A95">
        <w:t xml:space="preserve">accruing member of the fund for the financial year (see </w:t>
      </w:r>
      <w:r w:rsidR="002B1A95" w:rsidRPr="002B1A95">
        <w:t>subsections (</w:t>
      </w:r>
      <w:r w:rsidRPr="002B1A95">
        <w:t>5) to (8) of this section).</w:t>
      </w:r>
    </w:p>
    <w:p w:rsidR="005B63A2" w:rsidRPr="002B1A95" w:rsidRDefault="005B63A2" w:rsidP="005B63A2">
      <w:pPr>
        <w:pStyle w:val="subsection"/>
      </w:pPr>
      <w:r w:rsidRPr="002B1A95">
        <w:tab/>
        <w:t>(5)</w:t>
      </w:r>
      <w:r w:rsidRPr="002B1A95">
        <w:tab/>
        <w:t xml:space="preserve">The member was a </w:t>
      </w:r>
      <w:r w:rsidRPr="002B1A95">
        <w:rPr>
          <w:b/>
          <w:i/>
        </w:rPr>
        <w:t>non</w:t>
      </w:r>
      <w:r w:rsidR="00782250">
        <w:rPr>
          <w:b/>
          <w:i/>
        </w:rPr>
        <w:noBreakHyphen/>
      </w:r>
      <w:r w:rsidRPr="002B1A95">
        <w:rPr>
          <w:b/>
          <w:i/>
        </w:rPr>
        <w:t>accruing member</w:t>
      </w:r>
      <w:r w:rsidRPr="002B1A95">
        <w:t xml:space="preserve"> of the fund for the financial year if the member had no membership of the fund during the financial year other than membership as:</w:t>
      </w:r>
    </w:p>
    <w:p w:rsidR="005B63A2" w:rsidRPr="002B1A95" w:rsidRDefault="005B63A2" w:rsidP="005B63A2">
      <w:pPr>
        <w:pStyle w:val="paragraph"/>
      </w:pPr>
      <w:r w:rsidRPr="002B1A95">
        <w:tab/>
        <w:t>(a)</w:t>
      </w:r>
      <w:r w:rsidRPr="002B1A95">
        <w:tab/>
        <w:t>an on</w:t>
      </w:r>
      <w:r w:rsidR="00782250">
        <w:noBreakHyphen/>
      </w:r>
      <w:r w:rsidRPr="002B1A95">
        <w:t>hold member; or</w:t>
      </w:r>
    </w:p>
    <w:p w:rsidR="005B63A2" w:rsidRPr="002B1A95" w:rsidRDefault="005B63A2" w:rsidP="005B63A2">
      <w:pPr>
        <w:pStyle w:val="paragraph"/>
      </w:pPr>
      <w:r w:rsidRPr="002B1A95">
        <w:tab/>
        <w:t>(b)</w:t>
      </w:r>
      <w:r w:rsidRPr="002B1A95">
        <w:tab/>
        <w:t>a pensioned member.</w:t>
      </w:r>
    </w:p>
    <w:p w:rsidR="005B63A2" w:rsidRPr="002B1A95" w:rsidRDefault="005B63A2" w:rsidP="005B63A2">
      <w:pPr>
        <w:pStyle w:val="notetext"/>
      </w:pPr>
      <w:r w:rsidRPr="002B1A95">
        <w:t>Note:</w:t>
      </w:r>
      <w:r w:rsidRPr="002B1A95">
        <w:tab/>
        <w:t>A member could be an on</w:t>
      </w:r>
      <w:r w:rsidR="00782250">
        <w:noBreakHyphen/>
      </w:r>
      <w:r w:rsidRPr="002B1A95">
        <w:t>hold member of a fund for part of a financial year, and a pensioned member of the fund for another part of the financial year.</w:t>
      </w:r>
    </w:p>
    <w:p w:rsidR="005B63A2" w:rsidRPr="002B1A95" w:rsidRDefault="005B63A2" w:rsidP="005B63A2">
      <w:pPr>
        <w:pStyle w:val="subsection"/>
      </w:pPr>
      <w:r w:rsidRPr="002B1A95">
        <w:tab/>
        <w:t>(6)</w:t>
      </w:r>
      <w:r w:rsidRPr="002B1A95">
        <w:tab/>
        <w:t xml:space="preserve">The member was an </w:t>
      </w:r>
      <w:r w:rsidRPr="002B1A95">
        <w:rPr>
          <w:b/>
          <w:i/>
        </w:rPr>
        <w:t>on</w:t>
      </w:r>
      <w:r w:rsidR="00782250">
        <w:rPr>
          <w:b/>
          <w:i/>
        </w:rPr>
        <w:noBreakHyphen/>
      </w:r>
      <w:r w:rsidRPr="002B1A95">
        <w:rPr>
          <w:b/>
          <w:i/>
        </w:rPr>
        <w:t>hold member</w:t>
      </w:r>
      <w:r w:rsidRPr="002B1A95">
        <w:t xml:space="preserve"> of the fund if:</w:t>
      </w:r>
    </w:p>
    <w:p w:rsidR="005B63A2" w:rsidRPr="002B1A95" w:rsidRDefault="005B63A2" w:rsidP="005B63A2">
      <w:pPr>
        <w:pStyle w:val="paragraph"/>
      </w:pPr>
      <w:r w:rsidRPr="002B1A95">
        <w:rPr>
          <w:color w:val="000000"/>
        </w:rPr>
        <w:tab/>
        <w:t>(a)</w:t>
      </w:r>
      <w:r w:rsidRPr="002B1A95">
        <w:rPr>
          <w:color w:val="000000"/>
        </w:rPr>
        <w:tab/>
        <w:t>the member had a benefit entitlement in the fund, but no employer</w:t>
      </w:r>
      <w:r w:rsidR="00782250">
        <w:rPr>
          <w:color w:val="000000"/>
        </w:rPr>
        <w:noBreakHyphen/>
      </w:r>
      <w:r w:rsidRPr="002B1A95">
        <w:rPr>
          <w:color w:val="000000"/>
        </w:rPr>
        <w:t>provided benefits accrued to the member; and</w:t>
      </w:r>
    </w:p>
    <w:p w:rsidR="005B63A2" w:rsidRPr="002B1A95" w:rsidRDefault="005B63A2" w:rsidP="005B63A2">
      <w:pPr>
        <w:pStyle w:val="paragraph"/>
      </w:pPr>
      <w:r w:rsidRPr="002B1A95">
        <w:tab/>
        <w:t>(b)</w:t>
      </w:r>
      <w:r w:rsidRPr="002B1A95">
        <w:tab/>
        <w:t>the rules of the fund provided that the benefit:</w:t>
      </w:r>
    </w:p>
    <w:p w:rsidR="005B63A2" w:rsidRPr="002B1A95" w:rsidRDefault="005B63A2" w:rsidP="005B63A2">
      <w:pPr>
        <w:pStyle w:val="paragraphsub"/>
      </w:pPr>
      <w:r w:rsidRPr="002B1A95">
        <w:rPr>
          <w:color w:val="000000"/>
        </w:rPr>
        <w:tab/>
        <w:t>(i)</w:t>
      </w:r>
      <w:r w:rsidRPr="002B1A95">
        <w:rPr>
          <w:color w:val="000000"/>
        </w:rPr>
        <w:tab/>
        <w:t>was not to increase in nominal terms; or</w:t>
      </w:r>
    </w:p>
    <w:p w:rsidR="005B63A2" w:rsidRPr="002B1A95" w:rsidRDefault="005B63A2" w:rsidP="005B63A2">
      <w:pPr>
        <w:pStyle w:val="paragraphsub"/>
      </w:pPr>
      <w:r w:rsidRPr="002B1A95">
        <w:tab/>
        <w:t>(ii)</w:t>
      </w:r>
      <w:r w:rsidRPr="002B1A95">
        <w:tab/>
        <w:t>was to increase at a rate reflecting general price increases (for example, in accordance with the Consumer Price Index); or</w:t>
      </w:r>
    </w:p>
    <w:p w:rsidR="005B63A2" w:rsidRPr="002B1A95" w:rsidRDefault="005B63A2" w:rsidP="005B63A2">
      <w:pPr>
        <w:pStyle w:val="paragraphsub"/>
      </w:pPr>
      <w:r w:rsidRPr="002B1A95">
        <w:tab/>
        <w:t>(iii)</w:t>
      </w:r>
      <w:r w:rsidRPr="002B1A95">
        <w:tab/>
        <w:t>was to increase at a rate reflecting the general level of salary growth or salary growth for relevant fund membership (for example, in accordance with average weekly earnings, or average weekly ordinary time earnings, published by the Australian Statistician); or</w:t>
      </w:r>
    </w:p>
    <w:p w:rsidR="005B63A2" w:rsidRPr="002B1A95" w:rsidRDefault="005B63A2" w:rsidP="005B63A2">
      <w:pPr>
        <w:pStyle w:val="paragraphsub"/>
      </w:pPr>
      <w:r w:rsidRPr="002B1A95">
        <w:tab/>
        <w:t>(iv)</w:t>
      </w:r>
      <w:r w:rsidRPr="002B1A95">
        <w:tab/>
        <w:t>was to increase at the rate (if any) at which the salary on which the member’s benefit was based increased; or</w:t>
      </w:r>
    </w:p>
    <w:p w:rsidR="005B63A2" w:rsidRPr="002B1A95" w:rsidRDefault="005B63A2" w:rsidP="005B63A2">
      <w:pPr>
        <w:pStyle w:val="paragraphsub"/>
      </w:pPr>
      <w:r w:rsidRPr="002B1A95">
        <w:tab/>
        <w:t>(v)</w:t>
      </w:r>
      <w:r w:rsidRPr="002B1A95">
        <w:tab/>
        <w:t>was to increase at a rate reflecting the earning rate of the assets of the fund or the part of the fund to which the member belonged; or</w:t>
      </w:r>
    </w:p>
    <w:p w:rsidR="005B63A2" w:rsidRPr="002B1A95" w:rsidRDefault="005B63A2" w:rsidP="005B63A2">
      <w:pPr>
        <w:pStyle w:val="paragraphsub"/>
      </w:pPr>
      <w:r w:rsidRPr="002B1A95">
        <w:tab/>
        <w:t>(vi)</w:t>
      </w:r>
      <w:r w:rsidRPr="002B1A95">
        <w:tab/>
        <w:t>in the case of a deferred benefit—was to increase at a rate reflecting any reduction in the expected period in which pension payments were to be made and any deferral of the date when payments would start; or</w:t>
      </w:r>
    </w:p>
    <w:p w:rsidR="005B63A2" w:rsidRPr="002B1A95" w:rsidRDefault="005B63A2" w:rsidP="005B63A2">
      <w:pPr>
        <w:pStyle w:val="paragraphsub"/>
      </w:pPr>
      <w:r w:rsidRPr="002B1A95">
        <w:tab/>
        <w:t>(vii)</w:t>
      </w:r>
      <w:r w:rsidRPr="002B1A95">
        <w:tab/>
        <w:t xml:space="preserve">was to increase at a regular rate, or a rate worked out using a formula, that an actuary considered would not result in an increase that was more than the greatest of the increases mentioned in </w:t>
      </w:r>
      <w:r w:rsidR="002B1A95" w:rsidRPr="002B1A95">
        <w:t>subparagraphs (</w:t>
      </w:r>
      <w:r w:rsidRPr="002B1A95">
        <w:t>i) to (vi).</w:t>
      </w:r>
    </w:p>
    <w:p w:rsidR="005B63A2" w:rsidRPr="002B1A95" w:rsidRDefault="005B63A2" w:rsidP="005B63A2">
      <w:pPr>
        <w:pStyle w:val="subsection"/>
      </w:pPr>
      <w:r w:rsidRPr="002B1A95">
        <w:tab/>
        <w:t>(7)</w:t>
      </w:r>
      <w:r w:rsidRPr="002B1A95">
        <w:tab/>
        <w:t xml:space="preserve">The member was a </w:t>
      </w:r>
      <w:r w:rsidRPr="002B1A95">
        <w:rPr>
          <w:b/>
          <w:i/>
        </w:rPr>
        <w:t>pensioned member</w:t>
      </w:r>
      <w:r w:rsidRPr="002B1A95">
        <w:t xml:space="preserve"> of the fund if:</w:t>
      </w:r>
    </w:p>
    <w:p w:rsidR="005B63A2" w:rsidRPr="002B1A95" w:rsidRDefault="005B63A2" w:rsidP="005B63A2">
      <w:pPr>
        <w:pStyle w:val="paragraph"/>
      </w:pPr>
      <w:r w:rsidRPr="002B1A95">
        <w:rPr>
          <w:color w:val="000000"/>
        </w:rPr>
        <w:lastRenderedPageBreak/>
        <w:tab/>
        <w:t>(a)</w:t>
      </w:r>
      <w:r w:rsidRPr="002B1A95">
        <w:rPr>
          <w:color w:val="000000"/>
        </w:rPr>
        <w:tab/>
        <w:t xml:space="preserve">the member’s membership of the fund consisted only of the member receiving pension payments from the </w:t>
      </w:r>
      <w:r w:rsidRPr="002B1A95">
        <w:t xml:space="preserve">superannuation </w:t>
      </w:r>
      <w:r w:rsidRPr="002B1A95">
        <w:rPr>
          <w:color w:val="000000"/>
        </w:rPr>
        <w:t>fund; and</w:t>
      </w:r>
    </w:p>
    <w:p w:rsidR="005B63A2" w:rsidRPr="002B1A95" w:rsidRDefault="005B63A2" w:rsidP="005B63A2">
      <w:pPr>
        <w:pStyle w:val="paragraph"/>
      </w:pPr>
      <w:r w:rsidRPr="002B1A95">
        <w:tab/>
        <w:t>(b)</w:t>
      </w:r>
      <w:r w:rsidRPr="002B1A95">
        <w:tab/>
        <w:t>any of the following applied:</w:t>
      </w:r>
    </w:p>
    <w:p w:rsidR="005B63A2" w:rsidRPr="002B1A95" w:rsidRDefault="005B63A2" w:rsidP="005B63A2">
      <w:pPr>
        <w:pStyle w:val="paragraphsub"/>
      </w:pPr>
      <w:r w:rsidRPr="002B1A95">
        <w:rPr>
          <w:color w:val="000000"/>
        </w:rPr>
        <w:tab/>
        <w:t>(i)</w:t>
      </w:r>
      <w:r w:rsidRPr="002B1A95">
        <w:rPr>
          <w:color w:val="000000"/>
        </w:rPr>
        <w:tab/>
        <w:t>the pension payments were always the same amount;</w:t>
      </w:r>
    </w:p>
    <w:p w:rsidR="005B63A2" w:rsidRPr="002B1A95" w:rsidRDefault="005B63A2" w:rsidP="005B63A2">
      <w:pPr>
        <w:pStyle w:val="paragraphsub"/>
      </w:pPr>
      <w:r w:rsidRPr="002B1A95">
        <w:tab/>
        <w:t>(ii)</w:t>
      </w:r>
      <w:r w:rsidRPr="002B1A95">
        <w:tab/>
        <w:t>the pension payments were paid from an account that related only to the member, and no employer contributions were paid to the account for the benefit of the member;</w:t>
      </w:r>
    </w:p>
    <w:p w:rsidR="005B63A2" w:rsidRPr="002B1A95" w:rsidRDefault="005B63A2" w:rsidP="005B63A2">
      <w:pPr>
        <w:pStyle w:val="paragraphsub"/>
      </w:pPr>
      <w:r w:rsidRPr="002B1A95">
        <w:tab/>
        <w:t>(iii)</w:t>
      </w:r>
      <w:r w:rsidRPr="002B1A95">
        <w:tab/>
        <w:t>the pension payments increased at rates that were consistent with the rates prescribed under the rules of the fund that applied when the pension commenced to be paid.</w:t>
      </w:r>
    </w:p>
    <w:p w:rsidR="005B63A2" w:rsidRPr="002B1A95" w:rsidRDefault="005B63A2" w:rsidP="005B63A2">
      <w:pPr>
        <w:pStyle w:val="subsection"/>
        <w:rPr>
          <w:color w:val="000000"/>
        </w:rPr>
      </w:pPr>
      <w:r w:rsidRPr="002B1A95">
        <w:rPr>
          <w:color w:val="000000"/>
        </w:rPr>
        <w:tab/>
        <w:t>(8)</w:t>
      </w:r>
      <w:r w:rsidRPr="002B1A95">
        <w:rPr>
          <w:color w:val="000000"/>
        </w:rPr>
        <w:tab/>
        <w:t>For the purposes of determining whether a defined benefit member is a non</w:t>
      </w:r>
      <w:r w:rsidR="00782250">
        <w:rPr>
          <w:color w:val="000000"/>
        </w:rPr>
        <w:noBreakHyphen/>
      </w:r>
      <w:r w:rsidRPr="002B1A95">
        <w:rPr>
          <w:color w:val="000000"/>
        </w:rPr>
        <w:t>accruing member of the fund for a period, any employer contributions paid to the fund for the period to meet partially, or wholly, unfunded benefit liabilities of the fund are not to be treated as employer contributions for the benefit of the member for the period.</w:t>
      </w:r>
    </w:p>
    <w:p w:rsidR="005B63A2" w:rsidRPr="002B1A95" w:rsidRDefault="005B63A2" w:rsidP="005B63A2">
      <w:pPr>
        <w:pStyle w:val="ActHead5"/>
        <w:rPr>
          <w:b w:val="0"/>
        </w:rPr>
      </w:pPr>
      <w:bookmarkStart w:id="69" w:name="_Toc49765249"/>
      <w:r w:rsidRPr="00411C46">
        <w:rPr>
          <w:rStyle w:val="CharSectno"/>
        </w:rPr>
        <w:t>291</w:t>
      </w:r>
      <w:r w:rsidR="00782250" w:rsidRPr="00411C46">
        <w:rPr>
          <w:rStyle w:val="CharSectno"/>
        </w:rPr>
        <w:noBreakHyphen/>
      </w:r>
      <w:r w:rsidRPr="00411C46">
        <w:rPr>
          <w:rStyle w:val="CharSectno"/>
        </w:rPr>
        <w:t>170.05</w:t>
      </w:r>
      <w:r w:rsidRPr="002B1A95">
        <w:t xml:space="preserve">  Notional taxed contributions—conditions for paragraph</w:t>
      </w:r>
      <w:r w:rsidR="002B1A95" w:rsidRPr="002B1A95">
        <w:t> </w:t>
      </w:r>
      <w:r w:rsidRPr="002B1A95">
        <w:t>291</w:t>
      </w:r>
      <w:r w:rsidR="00782250">
        <w:noBreakHyphen/>
      </w:r>
      <w:r w:rsidRPr="002B1A95">
        <w:t>170(2)(d) and subparagraph</w:t>
      </w:r>
      <w:r w:rsidR="002B1A95" w:rsidRPr="002B1A95">
        <w:t> </w:t>
      </w:r>
      <w:r w:rsidRPr="002B1A95">
        <w:t>291</w:t>
      </w:r>
      <w:r w:rsidR="00782250">
        <w:noBreakHyphen/>
      </w:r>
      <w:r w:rsidRPr="002B1A95">
        <w:t xml:space="preserve">170(3)(e)(ii) of the </w:t>
      </w:r>
      <w:r w:rsidRPr="002B1A95">
        <w:rPr>
          <w:i/>
        </w:rPr>
        <w:t>Income Tax (Transitional Provisions) Act 1997</w:t>
      </w:r>
      <w:bookmarkEnd w:id="69"/>
    </w:p>
    <w:p w:rsidR="005B63A2" w:rsidRPr="002B1A95" w:rsidRDefault="005B63A2" w:rsidP="005B63A2">
      <w:pPr>
        <w:pStyle w:val="subsection"/>
      </w:pPr>
      <w:r w:rsidRPr="002B1A95">
        <w:tab/>
        <w:t>(1)</w:t>
      </w:r>
      <w:r w:rsidRPr="002B1A95">
        <w:tab/>
        <w:t>For the purposes of paragraph</w:t>
      </w:r>
      <w:r w:rsidR="002B1A95" w:rsidRPr="002B1A95">
        <w:t> </w:t>
      </w:r>
      <w:r w:rsidRPr="002B1A95">
        <w:t>291</w:t>
      </w:r>
      <w:r w:rsidR="00782250">
        <w:noBreakHyphen/>
      </w:r>
      <w:r w:rsidRPr="002B1A95">
        <w:t>170(2)(d) and subparagraph</w:t>
      </w:r>
      <w:r w:rsidR="002B1A95" w:rsidRPr="002B1A95">
        <w:t> </w:t>
      </w:r>
      <w:r w:rsidRPr="002B1A95">
        <w:t>291</w:t>
      </w:r>
      <w:r w:rsidR="00782250">
        <w:noBreakHyphen/>
      </w:r>
      <w:r w:rsidRPr="002B1A95">
        <w:t xml:space="preserve">170(3)(e)(ii) of the </w:t>
      </w:r>
      <w:r w:rsidRPr="002B1A95">
        <w:rPr>
          <w:i/>
        </w:rPr>
        <w:t>Income Tax (Transitional Provisions) Act 1997</w:t>
      </w:r>
      <w:r w:rsidRPr="002B1A95">
        <w:t>, this section:</w:t>
      </w:r>
    </w:p>
    <w:p w:rsidR="005B63A2" w:rsidRPr="002B1A95" w:rsidRDefault="005B63A2" w:rsidP="005B63A2">
      <w:pPr>
        <w:pStyle w:val="paragraph"/>
      </w:pPr>
      <w:r w:rsidRPr="002B1A95">
        <w:rPr>
          <w:color w:val="000000"/>
        </w:rPr>
        <w:tab/>
        <w:t>(a)</w:t>
      </w:r>
      <w:r w:rsidRPr="002B1A95">
        <w:rPr>
          <w:color w:val="000000"/>
        </w:rPr>
        <w:tab/>
        <w:t xml:space="preserve">applies in relation to a </w:t>
      </w:r>
      <w:r w:rsidRPr="002B1A95">
        <w:t xml:space="preserve">superannuation </w:t>
      </w:r>
      <w:r w:rsidRPr="002B1A95">
        <w:rPr>
          <w:color w:val="000000"/>
        </w:rPr>
        <w:t>fund to which section 291</w:t>
      </w:r>
      <w:r w:rsidR="00782250">
        <w:rPr>
          <w:color w:val="000000"/>
        </w:rPr>
        <w:noBreakHyphen/>
      </w:r>
      <w:r w:rsidRPr="002B1A95">
        <w:rPr>
          <w:color w:val="000000"/>
        </w:rPr>
        <w:t>170.02 of this instrument applies; and</w:t>
      </w:r>
    </w:p>
    <w:p w:rsidR="005B63A2" w:rsidRPr="002B1A95" w:rsidRDefault="005B63A2" w:rsidP="005B63A2">
      <w:pPr>
        <w:pStyle w:val="paragraph"/>
      </w:pPr>
      <w:r w:rsidRPr="002B1A95">
        <w:tab/>
        <w:t>(b)</w:t>
      </w:r>
      <w:r w:rsidRPr="002B1A95">
        <w:tab/>
        <w:t>specifies the conditions that are to be satisfied in relation to establishing whether a defined benefit member of the fund’s notional taxed contributions for a financial year in respect of a defined benefit interest in the fund are equal to the member’s basic concessional contributions cap for the financial year.</w:t>
      </w:r>
    </w:p>
    <w:p w:rsidR="005B63A2" w:rsidRPr="002B1A95" w:rsidRDefault="005B63A2" w:rsidP="005B63A2">
      <w:pPr>
        <w:pStyle w:val="subsection"/>
      </w:pPr>
      <w:r w:rsidRPr="002B1A95">
        <w:tab/>
        <w:t>(2)</w:t>
      </w:r>
      <w:r w:rsidRPr="002B1A95">
        <w:tab/>
        <w:t>A condition is that between 5</w:t>
      </w:r>
      <w:r w:rsidR="002B1A95" w:rsidRPr="002B1A95">
        <w:t> </w:t>
      </w:r>
      <w:r w:rsidRPr="002B1A95">
        <w:t>September 2006 and the time at which the new entrant rate</w:t>
      </w:r>
      <w:r w:rsidRPr="002B1A95">
        <w:rPr>
          <w:b/>
        </w:rPr>
        <w:t xml:space="preserve"> </w:t>
      </w:r>
      <w:r w:rsidRPr="002B1A95">
        <w:t>for the defined benefit member is worked out using Schedule</w:t>
      </w:r>
      <w:r w:rsidR="002B1A95" w:rsidRPr="002B1A95">
        <w:t> </w:t>
      </w:r>
      <w:r w:rsidRPr="002B1A95">
        <w:t>1A:</w:t>
      </w:r>
    </w:p>
    <w:p w:rsidR="005B63A2" w:rsidRPr="002B1A95" w:rsidRDefault="005B63A2" w:rsidP="005B63A2">
      <w:pPr>
        <w:pStyle w:val="paragraph"/>
      </w:pPr>
      <w:r w:rsidRPr="002B1A95">
        <w:tab/>
        <w:t>(a)</w:t>
      </w:r>
      <w:r w:rsidRPr="002B1A95">
        <w:tab/>
        <w:t xml:space="preserve">the rules of any superannuation </w:t>
      </w:r>
      <w:r w:rsidRPr="002B1A95">
        <w:rPr>
          <w:color w:val="000000"/>
        </w:rPr>
        <w:t>fund</w:t>
      </w:r>
      <w:r w:rsidRPr="002B1A95">
        <w:t xml:space="preserve"> in which a relevant 2006 interest was held during that period have not changed to improve the member’s benefit; and</w:t>
      </w:r>
    </w:p>
    <w:p w:rsidR="005B63A2" w:rsidRPr="002B1A95" w:rsidRDefault="005B63A2" w:rsidP="005B63A2">
      <w:pPr>
        <w:pStyle w:val="paragraph"/>
      </w:pPr>
      <w:r w:rsidRPr="002B1A95">
        <w:tab/>
        <w:t>(b)</w:t>
      </w:r>
      <w:r w:rsidRPr="002B1A95">
        <w:tab/>
        <w:t>any of the following apply:</w:t>
      </w:r>
    </w:p>
    <w:p w:rsidR="005B63A2" w:rsidRPr="002B1A95" w:rsidRDefault="005B63A2" w:rsidP="005B63A2">
      <w:pPr>
        <w:pStyle w:val="paragraphsub"/>
      </w:pPr>
      <w:r w:rsidRPr="002B1A95">
        <w:tab/>
        <w:t>(i)</w:t>
      </w:r>
      <w:r w:rsidRPr="002B1A95">
        <w:tab/>
        <w:t>the member has not moved to a new benefit category;</w:t>
      </w:r>
    </w:p>
    <w:p w:rsidR="005B63A2" w:rsidRPr="002B1A95" w:rsidRDefault="005B63A2" w:rsidP="005B63A2">
      <w:pPr>
        <w:pStyle w:val="paragraphsub"/>
      </w:pPr>
      <w:r w:rsidRPr="002B1A95">
        <w:tab/>
        <w:t>(ii)</w:t>
      </w:r>
      <w:r w:rsidRPr="002B1A95">
        <w:tab/>
        <w:t>the member has moved to a new benefit category but the new benefit category does not provide the member with an improved level of benefit;</w:t>
      </w:r>
    </w:p>
    <w:p w:rsidR="005B63A2" w:rsidRPr="002B1A95" w:rsidRDefault="005B63A2" w:rsidP="005B63A2">
      <w:pPr>
        <w:pStyle w:val="paragraphsub"/>
      </w:pPr>
      <w:r w:rsidRPr="002B1A95">
        <w:tab/>
        <w:t>(iii)</w:t>
      </w:r>
      <w:r w:rsidRPr="002B1A95">
        <w:tab/>
        <w:t xml:space="preserve">the member has moved to a new benefit category but the move was only as a result of the necessary application of the rules of a superannuation </w:t>
      </w:r>
      <w:r w:rsidRPr="002B1A95">
        <w:rPr>
          <w:color w:val="000000"/>
        </w:rPr>
        <w:t>fund</w:t>
      </w:r>
      <w:r w:rsidRPr="002B1A95">
        <w:t xml:space="preserve"> referred to in </w:t>
      </w:r>
      <w:r w:rsidR="002B1A95" w:rsidRPr="002B1A95">
        <w:t>paragraph (</w:t>
      </w:r>
      <w:r w:rsidRPr="002B1A95">
        <w:t>a) that were, or of legislation that was, in force on 5</w:t>
      </w:r>
      <w:r w:rsidR="002B1A95" w:rsidRPr="002B1A95">
        <w:t> </w:t>
      </w:r>
      <w:r w:rsidRPr="002B1A95">
        <w:t>September 2006 and the member had no control over the application of the rules or legislation.</w:t>
      </w:r>
    </w:p>
    <w:p w:rsidR="005B63A2" w:rsidRPr="002B1A95" w:rsidRDefault="005B63A2" w:rsidP="005B63A2">
      <w:pPr>
        <w:pStyle w:val="subsection"/>
      </w:pPr>
      <w:r w:rsidRPr="002B1A95">
        <w:lastRenderedPageBreak/>
        <w:tab/>
        <w:t>(3)</w:t>
      </w:r>
      <w:r w:rsidRPr="002B1A95">
        <w:tab/>
        <w:t>A condition is that the new entrant rate</w:t>
      </w:r>
      <w:r w:rsidRPr="002B1A95">
        <w:rPr>
          <w:b/>
        </w:rPr>
        <w:t xml:space="preserve"> </w:t>
      </w:r>
      <w:r w:rsidRPr="002B1A95">
        <w:t>for the defined benefit member, as worked out using Schedule</w:t>
      </w:r>
      <w:r w:rsidR="002B1A95" w:rsidRPr="002B1A95">
        <w:t> </w:t>
      </w:r>
      <w:r w:rsidRPr="002B1A95">
        <w:t>1A:</w:t>
      </w:r>
    </w:p>
    <w:p w:rsidR="005B63A2" w:rsidRPr="002B1A95" w:rsidRDefault="005B63A2" w:rsidP="005B63A2">
      <w:pPr>
        <w:pStyle w:val="paragraph"/>
      </w:pPr>
      <w:r w:rsidRPr="002B1A95">
        <w:tab/>
        <w:t>(a)</w:t>
      </w:r>
      <w:r w:rsidRPr="002B1A95">
        <w:tab/>
        <w:t>has not increased since it was first worked out using Schedule</w:t>
      </w:r>
      <w:r w:rsidR="002B1A95" w:rsidRPr="002B1A95">
        <w:t> </w:t>
      </w:r>
      <w:r w:rsidRPr="002B1A95">
        <w:t>1A; or</w:t>
      </w:r>
    </w:p>
    <w:p w:rsidR="005B63A2" w:rsidRPr="002B1A95" w:rsidRDefault="005B63A2" w:rsidP="005B63A2">
      <w:pPr>
        <w:pStyle w:val="paragraph"/>
      </w:pPr>
      <w:r w:rsidRPr="002B1A95">
        <w:tab/>
        <w:t>(b)</w:t>
      </w:r>
      <w:r w:rsidRPr="002B1A95">
        <w:tab/>
        <w:t>has increased since it was first worked out using Schedule</w:t>
      </w:r>
      <w:r w:rsidR="002B1A95" w:rsidRPr="002B1A95">
        <w:t> </w:t>
      </w:r>
      <w:r w:rsidRPr="002B1A95">
        <w:t>1A only as a result of the following:</w:t>
      </w:r>
    </w:p>
    <w:p w:rsidR="005B63A2" w:rsidRPr="002B1A95" w:rsidRDefault="005B63A2" w:rsidP="005B63A2">
      <w:pPr>
        <w:pStyle w:val="paragraphsub"/>
      </w:pPr>
      <w:r w:rsidRPr="002B1A95">
        <w:tab/>
        <w:t>(i)</w:t>
      </w:r>
      <w:r w:rsidRPr="002B1A95">
        <w:tab/>
        <w:t xml:space="preserve">a change to the rules of a superannuation </w:t>
      </w:r>
      <w:r w:rsidRPr="002B1A95">
        <w:rPr>
          <w:color w:val="000000"/>
        </w:rPr>
        <w:t>fund</w:t>
      </w:r>
      <w:r w:rsidRPr="002B1A95">
        <w:t xml:space="preserve"> in which a relevant 2006 interest is or was held that increases a benefit as a result of a change that is made to satisfy the requirements of the </w:t>
      </w:r>
      <w:r w:rsidRPr="002B1A95">
        <w:rPr>
          <w:i/>
        </w:rPr>
        <w:t>Superannuation Guarantee (Administration) Act 1992</w:t>
      </w:r>
      <w:r w:rsidRPr="002B1A95">
        <w:t>;</w:t>
      </w:r>
    </w:p>
    <w:p w:rsidR="005B63A2" w:rsidRPr="002B1A95" w:rsidRDefault="005B63A2" w:rsidP="005B63A2">
      <w:pPr>
        <w:pStyle w:val="paragraphsub"/>
      </w:pPr>
      <w:r w:rsidRPr="002B1A95">
        <w:tab/>
        <w:t>(ii)</w:t>
      </w:r>
      <w:r w:rsidRPr="002B1A95">
        <w:tab/>
        <w:t xml:space="preserve">the member moving to a new benefit category because of the necessary application of the rules of a superannuation </w:t>
      </w:r>
      <w:r w:rsidRPr="002B1A95">
        <w:rPr>
          <w:color w:val="000000"/>
        </w:rPr>
        <w:t>fund</w:t>
      </w:r>
      <w:r w:rsidRPr="002B1A95">
        <w:t xml:space="preserve"> referred to in </w:t>
      </w:r>
      <w:r w:rsidR="002B1A95" w:rsidRPr="002B1A95">
        <w:t>subparagraph (</w:t>
      </w:r>
      <w:r w:rsidRPr="002B1A95">
        <w:t>i) that were, or of legislation that was, in force on 5</w:t>
      </w:r>
      <w:r w:rsidR="002B1A95" w:rsidRPr="002B1A95">
        <w:t> </w:t>
      </w:r>
      <w:r w:rsidRPr="002B1A95">
        <w:t>September 2006, if the member had no control over the application of the rules or legislation.</w:t>
      </w:r>
    </w:p>
    <w:p w:rsidR="005B63A2" w:rsidRPr="002B1A95" w:rsidRDefault="005B63A2" w:rsidP="005B63A2">
      <w:pPr>
        <w:pStyle w:val="subsection"/>
      </w:pPr>
      <w:r w:rsidRPr="002B1A95">
        <w:tab/>
        <w:t>(4)</w:t>
      </w:r>
      <w:r w:rsidRPr="002B1A95">
        <w:tab/>
        <w:t>A condition is that the method of calculating the defined benefit member’s superannuation salary:</w:t>
      </w:r>
    </w:p>
    <w:p w:rsidR="005B63A2" w:rsidRPr="002B1A95" w:rsidRDefault="005B63A2" w:rsidP="005B63A2">
      <w:pPr>
        <w:pStyle w:val="paragraph"/>
      </w:pPr>
      <w:r w:rsidRPr="002B1A95">
        <w:rPr>
          <w:color w:val="000000"/>
        </w:rPr>
        <w:tab/>
        <w:t>(a)</w:t>
      </w:r>
      <w:r w:rsidRPr="002B1A95">
        <w:rPr>
          <w:color w:val="000000"/>
        </w:rPr>
        <w:tab/>
        <w:t>has not been changed, in a way that would increase the salary, since 5</w:t>
      </w:r>
      <w:r w:rsidR="002B1A95" w:rsidRPr="002B1A95">
        <w:rPr>
          <w:color w:val="000000"/>
        </w:rPr>
        <w:t> </w:t>
      </w:r>
      <w:r w:rsidRPr="002B1A95">
        <w:rPr>
          <w:color w:val="000000"/>
        </w:rPr>
        <w:t>September 2006; or</w:t>
      </w:r>
    </w:p>
    <w:p w:rsidR="005B63A2" w:rsidRPr="002B1A95" w:rsidRDefault="005B63A2" w:rsidP="005B63A2">
      <w:pPr>
        <w:pStyle w:val="paragraph"/>
      </w:pPr>
      <w:r w:rsidRPr="002B1A95">
        <w:tab/>
        <w:t>(b)</w:t>
      </w:r>
      <w:r w:rsidRPr="002B1A95">
        <w:tab/>
        <w:t>has changed since 5</w:t>
      </w:r>
      <w:r w:rsidR="002B1A95" w:rsidRPr="002B1A95">
        <w:t> </w:t>
      </w:r>
      <w:r w:rsidRPr="002B1A95">
        <w:t xml:space="preserve">September 2006 only as a result of a change to the rules of a superannuation </w:t>
      </w:r>
      <w:r w:rsidRPr="002B1A95">
        <w:rPr>
          <w:color w:val="000000"/>
        </w:rPr>
        <w:t>fund</w:t>
      </w:r>
      <w:r w:rsidRPr="002B1A95">
        <w:t xml:space="preserve"> in which a relevant 2006 interest is or was held that increases a benefit as a result of a change that is made to satisfy the requirements of the </w:t>
      </w:r>
      <w:r w:rsidRPr="002B1A95">
        <w:rPr>
          <w:i/>
        </w:rPr>
        <w:t>Superannuation Guarantee (Administration) Act 1992</w:t>
      </w:r>
      <w:r w:rsidRPr="002B1A95">
        <w:t>.</w:t>
      </w:r>
    </w:p>
    <w:p w:rsidR="005B63A2" w:rsidRPr="002B1A95" w:rsidRDefault="005B63A2" w:rsidP="005B63A2">
      <w:pPr>
        <w:pStyle w:val="subsection"/>
      </w:pPr>
      <w:r w:rsidRPr="002B1A95">
        <w:tab/>
        <w:t>(5)</w:t>
      </w:r>
      <w:r w:rsidRPr="002B1A95">
        <w:tab/>
        <w:t>A condition is that either:</w:t>
      </w:r>
    </w:p>
    <w:p w:rsidR="005B63A2" w:rsidRPr="002B1A95" w:rsidRDefault="005B63A2" w:rsidP="005B63A2">
      <w:pPr>
        <w:pStyle w:val="paragraph"/>
      </w:pPr>
      <w:r w:rsidRPr="002B1A95">
        <w:tab/>
        <w:t>(a)</w:t>
      </w:r>
      <w:r w:rsidRPr="002B1A95">
        <w:tab/>
        <w:t>the rate of the defined benefit member’s superannuation salary has not increased, since 5</w:t>
      </w:r>
      <w:r w:rsidR="002B1A95" w:rsidRPr="002B1A95">
        <w:t> </w:t>
      </w:r>
      <w:r w:rsidRPr="002B1A95">
        <w:t>September 2006, by more than:</w:t>
      </w:r>
    </w:p>
    <w:p w:rsidR="005B63A2" w:rsidRPr="002B1A95" w:rsidRDefault="005B63A2" w:rsidP="005B63A2">
      <w:pPr>
        <w:pStyle w:val="paragraphsub"/>
      </w:pPr>
      <w:r w:rsidRPr="002B1A95">
        <w:tab/>
        <w:t>(i)</w:t>
      </w:r>
      <w:r w:rsidRPr="002B1A95">
        <w:tab/>
        <w:t>50% in 1 year; or</w:t>
      </w:r>
    </w:p>
    <w:p w:rsidR="005B63A2" w:rsidRPr="002B1A95" w:rsidRDefault="005B63A2" w:rsidP="005B63A2">
      <w:pPr>
        <w:pStyle w:val="paragraphsub"/>
      </w:pPr>
      <w:r w:rsidRPr="002B1A95">
        <w:tab/>
        <w:t>(ii)</w:t>
      </w:r>
      <w:r w:rsidRPr="002B1A95">
        <w:tab/>
        <w:t>75% over 3 years; or</w:t>
      </w:r>
    </w:p>
    <w:p w:rsidR="005B63A2" w:rsidRPr="002B1A95" w:rsidRDefault="005B63A2" w:rsidP="005B63A2">
      <w:pPr>
        <w:pStyle w:val="paragraph"/>
      </w:pPr>
      <w:r w:rsidRPr="002B1A95">
        <w:tab/>
        <w:t>(b)</w:t>
      </w:r>
      <w:r w:rsidRPr="002B1A95">
        <w:tab/>
        <w:t xml:space="preserve">the rate of superannuation salary has increased by more than the rate in </w:t>
      </w:r>
      <w:r w:rsidR="002B1A95" w:rsidRPr="002B1A95">
        <w:t>subparagraph (</w:t>
      </w:r>
      <w:r w:rsidRPr="002B1A95">
        <w:t>a)(i) or (ii) and:</w:t>
      </w:r>
    </w:p>
    <w:p w:rsidR="005B63A2" w:rsidRPr="002B1A95" w:rsidRDefault="005B63A2" w:rsidP="005B63A2">
      <w:pPr>
        <w:pStyle w:val="paragraphsub"/>
      </w:pPr>
      <w:r w:rsidRPr="002B1A95">
        <w:tab/>
        <w:t>(i)</w:t>
      </w:r>
      <w:r w:rsidRPr="002B1A95">
        <w:tab/>
        <w:t>the employer</w:t>
      </w:r>
      <w:r w:rsidR="00782250">
        <w:noBreakHyphen/>
      </w:r>
      <w:r w:rsidRPr="002B1A95">
        <w:t xml:space="preserve">sponsor of the superannuation </w:t>
      </w:r>
      <w:r w:rsidRPr="002B1A95">
        <w:rPr>
          <w:color w:val="000000"/>
        </w:rPr>
        <w:t>fund</w:t>
      </w:r>
      <w:r w:rsidRPr="002B1A95">
        <w:t xml:space="preserve"> in which, immediately after the rate increase, a relevant 2006 interest was held has advised the trustee of that fund that the increase in the rate is on an arm’s length basis; and</w:t>
      </w:r>
    </w:p>
    <w:p w:rsidR="005B63A2" w:rsidRPr="002B1A95" w:rsidRDefault="005B63A2" w:rsidP="005B63A2">
      <w:pPr>
        <w:pStyle w:val="paragraphsub"/>
      </w:pPr>
      <w:r w:rsidRPr="002B1A95">
        <w:tab/>
        <w:t>(ii)</w:t>
      </w:r>
      <w:r w:rsidRPr="002B1A95">
        <w:tab/>
        <w:t xml:space="preserve">the trustee of a superannuation </w:t>
      </w:r>
      <w:r w:rsidRPr="002B1A95">
        <w:rPr>
          <w:color w:val="000000"/>
        </w:rPr>
        <w:t>fund</w:t>
      </w:r>
      <w:r w:rsidRPr="002B1A95">
        <w:t xml:space="preserve"> in which a relevant 2006 interest was held after the rate increase notified the Commissioner, in writing, of the increase in the rate as soon as practicable after the increase occurred.</w:t>
      </w:r>
    </w:p>
    <w:p w:rsidR="005B63A2" w:rsidRPr="002B1A95" w:rsidRDefault="005B63A2" w:rsidP="005B63A2">
      <w:pPr>
        <w:pStyle w:val="subsection"/>
        <w:rPr>
          <w:color w:val="000000"/>
        </w:rPr>
      </w:pPr>
      <w:r w:rsidRPr="002B1A95">
        <w:rPr>
          <w:color w:val="000000"/>
        </w:rPr>
        <w:tab/>
        <w:t>(6)</w:t>
      </w:r>
      <w:r w:rsidRPr="002B1A95">
        <w:rPr>
          <w:color w:val="000000"/>
        </w:rPr>
        <w:tab/>
        <w:t>A condition is that no trustee or employer</w:t>
      </w:r>
      <w:r w:rsidR="00782250">
        <w:rPr>
          <w:color w:val="000000"/>
        </w:rPr>
        <w:noBreakHyphen/>
      </w:r>
      <w:r w:rsidRPr="002B1A95">
        <w:rPr>
          <w:color w:val="000000"/>
        </w:rPr>
        <w:t xml:space="preserve">sponsor of any </w:t>
      </w:r>
      <w:r w:rsidRPr="002B1A95">
        <w:t xml:space="preserve">superannuation </w:t>
      </w:r>
      <w:r w:rsidRPr="002B1A95">
        <w:rPr>
          <w:color w:val="000000"/>
        </w:rPr>
        <w:t xml:space="preserve">fund in </w:t>
      </w:r>
      <w:r w:rsidRPr="002B1A95">
        <w:t xml:space="preserve">which a relevant 2006 interest is or was held </w:t>
      </w:r>
      <w:r w:rsidRPr="002B1A95">
        <w:rPr>
          <w:color w:val="000000"/>
        </w:rPr>
        <w:t>has exercised a discretion to pay a benefit that is greater than the benefit that was assumed for the purpose of calculating the new entrant rate since 5</w:t>
      </w:r>
      <w:r w:rsidR="002B1A95" w:rsidRPr="002B1A95">
        <w:rPr>
          <w:color w:val="000000"/>
        </w:rPr>
        <w:t> </w:t>
      </w:r>
      <w:r w:rsidRPr="002B1A95">
        <w:rPr>
          <w:color w:val="000000"/>
        </w:rPr>
        <w:t>September 2006.</w:t>
      </w:r>
    </w:p>
    <w:p w:rsidR="005B63A2" w:rsidRPr="002B1A95" w:rsidRDefault="005B63A2" w:rsidP="005B63A2">
      <w:pPr>
        <w:pStyle w:val="ActHead5"/>
      </w:pPr>
      <w:bookmarkStart w:id="70" w:name="_Toc49765250"/>
      <w:r w:rsidRPr="00411C46">
        <w:rPr>
          <w:rStyle w:val="CharSectno"/>
        </w:rPr>
        <w:lastRenderedPageBreak/>
        <w:t>291</w:t>
      </w:r>
      <w:r w:rsidR="00782250" w:rsidRPr="00411C46">
        <w:rPr>
          <w:rStyle w:val="CharSectno"/>
        </w:rPr>
        <w:noBreakHyphen/>
      </w:r>
      <w:r w:rsidRPr="00411C46">
        <w:rPr>
          <w:rStyle w:val="CharSectno"/>
        </w:rPr>
        <w:t>170.07</w:t>
      </w:r>
      <w:r w:rsidRPr="002B1A95">
        <w:t xml:space="preserve">  Notional taxed contributions—conditions for paragraph</w:t>
      </w:r>
      <w:r w:rsidR="002B1A95" w:rsidRPr="002B1A95">
        <w:t> </w:t>
      </w:r>
      <w:r w:rsidRPr="002B1A95">
        <w:t>291</w:t>
      </w:r>
      <w:r w:rsidR="00782250">
        <w:noBreakHyphen/>
      </w:r>
      <w:r w:rsidRPr="002B1A95">
        <w:t>170(4)(d) and subparagraph</w:t>
      </w:r>
      <w:r w:rsidR="002B1A95" w:rsidRPr="002B1A95">
        <w:t> </w:t>
      </w:r>
      <w:r w:rsidRPr="002B1A95">
        <w:t>291</w:t>
      </w:r>
      <w:r w:rsidR="00782250">
        <w:noBreakHyphen/>
      </w:r>
      <w:r w:rsidRPr="002B1A95">
        <w:t xml:space="preserve">170(5)(e)(ii) of the </w:t>
      </w:r>
      <w:r w:rsidRPr="002B1A95">
        <w:rPr>
          <w:i/>
        </w:rPr>
        <w:t>Income Tax (Transitional Provisions) Act 1997</w:t>
      </w:r>
      <w:bookmarkEnd w:id="70"/>
    </w:p>
    <w:p w:rsidR="005B63A2" w:rsidRPr="002B1A95" w:rsidRDefault="005B63A2" w:rsidP="005B63A2">
      <w:pPr>
        <w:pStyle w:val="subsection"/>
      </w:pPr>
      <w:r w:rsidRPr="002B1A95">
        <w:tab/>
        <w:t>(1)</w:t>
      </w:r>
      <w:r w:rsidRPr="002B1A95">
        <w:tab/>
        <w:t>For the purposes of paragraph</w:t>
      </w:r>
      <w:r w:rsidR="002B1A95" w:rsidRPr="002B1A95">
        <w:t> </w:t>
      </w:r>
      <w:r w:rsidRPr="002B1A95">
        <w:t>291</w:t>
      </w:r>
      <w:r w:rsidR="00782250">
        <w:noBreakHyphen/>
      </w:r>
      <w:r w:rsidRPr="002B1A95">
        <w:t>170(4)(d) and subparagraph</w:t>
      </w:r>
      <w:r w:rsidR="002B1A95" w:rsidRPr="002B1A95">
        <w:t> </w:t>
      </w:r>
      <w:r w:rsidRPr="002B1A95">
        <w:t>291</w:t>
      </w:r>
      <w:r w:rsidR="00782250">
        <w:noBreakHyphen/>
      </w:r>
      <w:r w:rsidRPr="002B1A95">
        <w:t xml:space="preserve">170(5)(e)(ii) of the </w:t>
      </w:r>
      <w:r w:rsidRPr="002B1A95">
        <w:rPr>
          <w:i/>
        </w:rPr>
        <w:t>Income Tax (Transitional Provisions) Act 1997</w:t>
      </w:r>
      <w:r w:rsidRPr="002B1A95">
        <w:t>, this section:</w:t>
      </w:r>
    </w:p>
    <w:p w:rsidR="005B63A2" w:rsidRPr="002B1A95" w:rsidRDefault="005B63A2" w:rsidP="005B63A2">
      <w:pPr>
        <w:pStyle w:val="paragraph"/>
      </w:pPr>
      <w:r w:rsidRPr="002B1A95">
        <w:tab/>
        <w:t>(a)</w:t>
      </w:r>
      <w:r w:rsidRPr="002B1A95">
        <w:tab/>
      </w:r>
      <w:r w:rsidRPr="002B1A95">
        <w:rPr>
          <w:color w:val="000000"/>
        </w:rPr>
        <w:t xml:space="preserve">applies in relation to a </w:t>
      </w:r>
      <w:r w:rsidRPr="002B1A95">
        <w:t xml:space="preserve">superannuation </w:t>
      </w:r>
      <w:r w:rsidRPr="002B1A95">
        <w:rPr>
          <w:color w:val="000000"/>
        </w:rPr>
        <w:t>fund to which section 291</w:t>
      </w:r>
      <w:r w:rsidR="00782250">
        <w:rPr>
          <w:color w:val="000000"/>
        </w:rPr>
        <w:noBreakHyphen/>
      </w:r>
      <w:r w:rsidRPr="002B1A95">
        <w:rPr>
          <w:color w:val="000000"/>
        </w:rPr>
        <w:t>170.02 of this instrument applies</w:t>
      </w:r>
      <w:r w:rsidRPr="002B1A95">
        <w:t>; and</w:t>
      </w:r>
    </w:p>
    <w:p w:rsidR="005B63A2" w:rsidRPr="002B1A95" w:rsidRDefault="005B63A2" w:rsidP="005B63A2">
      <w:pPr>
        <w:pStyle w:val="paragraph"/>
      </w:pPr>
      <w:r w:rsidRPr="002B1A95">
        <w:tab/>
        <w:t>(b)</w:t>
      </w:r>
      <w:r w:rsidRPr="002B1A95">
        <w:tab/>
        <w:t>specifies the conditions that are to be satisfied in relation to establishing whether a defined benefit member of the fund’s notional taxed contributions for a financial year in respect of a defined benefit interest in the fund are equal to the member’s basic concessional contributions cap for the financial year.</w:t>
      </w:r>
    </w:p>
    <w:p w:rsidR="005B63A2" w:rsidRPr="002B1A95" w:rsidRDefault="005B63A2" w:rsidP="005B63A2">
      <w:pPr>
        <w:pStyle w:val="subsection"/>
      </w:pPr>
      <w:r w:rsidRPr="002B1A95">
        <w:tab/>
        <w:t>(2)</w:t>
      </w:r>
      <w:r w:rsidRPr="002B1A95">
        <w:tab/>
        <w:t>A condition is that the new entrant rate</w:t>
      </w:r>
      <w:r w:rsidRPr="002B1A95">
        <w:rPr>
          <w:b/>
        </w:rPr>
        <w:t xml:space="preserve"> </w:t>
      </w:r>
      <w:r w:rsidRPr="002B1A95">
        <w:t>for the defined benefit member, as worked out using Schedule</w:t>
      </w:r>
      <w:r w:rsidR="002B1A95" w:rsidRPr="002B1A95">
        <w:t> </w:t>
      </w:r>
      <w:r w:rsidRPr="002B1A95">
        <w:t>1A:</w:t>
      </w:r>
    </w:p>
    <w:p w:rsidR="005B63A2" w:rsidRPr="002B1A95" w:rsidRDefault="005B63A2" w:rsidP="005B63A2">
      <w:pPr>
        <w:pStyle w:val="paragraph"/>
      </w:pPr>
      <w:r w:rsidRPr="002B1A95">
        <w:tab/>
        <w:t>(a)</w:t>
      </w:r>
      <w:r w:rsidRPr="002B1A95">
        <w:tab/>
        <w:t>has not increased since 12</w:t>
      </w:r>
      <w:r w:rsidR="002B1A95" w:rsidRPr="002B1A95">
        <w:t> </w:t>
      </w:r>
      <w:r w:rsidRPr="002B1A95">
        <w:t>May 2009; or</w:t>
      </w:r>
    </w:p>
    <w:p w:rsidR="005B63A2" w:rsidRPr="002B1A95" w:rsidRDefault="005B63A2" w:rsidP="005B63A2">
      <w:pPr>
        <w:pStyle w:val="paragraph"/>
      </w:pPr>
      <w:r w:rsidRPr="002B1A95">
        <w:tab/>
        <w:t>(b)</w:t>
      </w:r>
      <w:r w:rsidRPr="002B1A95">
        <w:tab/>
        <w:t>has increased since 12</w:t>
      </w:r>
      <w:r w:rsidR="002B1A95" w:rsidRPr="002B1A95">
        <w:t> </w:t>
      </w:r>
      <w:r w:rsidRPr="002B1A95">
        <w:t>May 2009 only as a result of the following:</w:t>
      </w:r>
    </w:p>
    <w:p w:rsidR="005B63A2" w:rsidRPr="002B1A95" w:rsidRDefault="005B63A2" w:rsidP="005B63A2">
      <w:pPr>
        <w:pStyle w:val="paragraphsub"/>
      </w:pPr>
      <w:r w:rsidRPr="002B1A95">
        <w:tab/>
        <w:t>(i)</w:t>
      </w:r>
      <w:r w:rsidRPr="002B1A95">
        <w:tab/>
        <w:t xml:space="preserve">a change to the rules of a superannuation </w:t>
      </w:r>
      <w:r w:rsidRPr="002B1A95">
        <w:rPr>
          <w:color w:val="000000"/>
        </w:rPr>
        <w:t>fund</w:t>
      </w:r>
      <w:r w:rsidRPr="002B1A95">
        <w:t xml:space="preserve"> in which a relevant 2009 interest is or was held that increases a benefit as a result of a change made to satisfy the requirements of the </w:t>
      </w:r>
      <w:r w:rsidRPr="002B1A95">
        <w:rPr>
          <w:i/>
        </w:rPr>
        <w:t>Superannuation Guarantee (Administration) Act 1992</w:t>
      </w:r>
      <w:r w:rsidRPr="002B1A95">
        <w:t>;</w:t>
      </w:r>
    </w:p>
    <w:p w:rsidR="005B63A2" w:rsidRPr="002B1A95" w:rsidRDefault="005B63A2" w:rsidP="005B63A2">
      <w:pPr>
        <w:pStyle w:val="paragraphsub"/>
      </w:pPr>
      <w:r w:rsidRPr="002B1A95">
        <w:tab/>
        <w:t>(ii)</w:t>
      </w:r>
      <w:r w:rsidRPr="002B1A95">
        <w:tab/>
        <w:t xml:space="preserve">the member moving to a new benefit category because of the necessary application of the rules of a superannuation </w:t>
      </w:r>
      <w:r w:rsidRPr="002B1A95">
        <w:rPr>
          <w:color w:val="000000"/>
        </w:rPr>
        <w:t>fund</w:t>
      </w:r>
      <w:r w:rsidRPr="002B1A95">
        <w:t xml:space="preserve"> referred to in </w:t>
      </w:r>
      <w:r w:rsidR="002B1A95" w:rsidRPr="002B1A95">
        <w:t>subparagraph (</w:t>
      </w:r>
      <w:r w:rsidRPr="002B1A95">
        <w:t>i) that were, or of legislation that was, in force on 5</w:t>
      </w:r>
      <w:r w:rsidR="002B1A95" w:rsidRPr="002B1A95">
        <w:t> </w:t>
      </w:r>
      <w:r w:rsidRPr="002B1A95">
        <w:t>September 2006, if the member had no control over the application of the rules or legislation.</w:t>
      </w:r>
    </w:p>
    <w:p w:rsidR="005B63A2" w:rsidRPr="002B1A95" w:rsidRDefault="005B63A2" w:rsidP="005B63A2">
      <w:pPr>
        <w:pStyle w:val="subsection"/>
      </w:pPr>
      <w:r w:rsidRPr="002B1A95">
        <w:tab/>
        <w:t>(3)</w:t>
      </w:r>
      <w:r w:rsidRPr="002B1A95">
        <w:tab/>
        <w:t>A condition is that the method of calculating the defined benefit member’s superannuation salary:</w:t>
      </w:r>
    </w:p>
    <w:p w:rsidR="005B63A2" w:rsidRPr="002B1A95" w:rsidRDefault="005B63A2" w:rsidP="005B63A2">
      <w:pPr>
        <w:pStyle w:val="paragraph"/>
      </w:pPr>
      <w:r w:rsidRPr="002B1A95">
        <w:tab/>
        <w:t>(a)</w:t>
      </w:r>
      <w:r w:rsidRPr="002B1A95">
        <w:tab/>
        <w:t>has not been changed, in a way that would increase the salary, since 12</w:t>
      </w:r>
      <w:r w:rsidR="002B1A95" w:rsidRPr="002B1A95">
        <w:t> </w:t>
      </w:r>
      <w:r w:rsidRPr="002B1A95">
        <w:t>May 2009; or</w:t>
      </w:r>
    </w:p>
    <w:p w:rsidR="005B63A2" w:rsidRPr="002B1A95" w:rsidRDefault="005B63A2" w:rsidP="005B63A2">
      <w:pPr>
        <w:pStyle w:val="paragraph"/>
      </w:pPr>
      <w:r w:rsidRPr="002B1A95">
        <w:tab/>
        <w:t>(b)</w:t>
      </w:r>
      <w:r w:rsidRPr="002B1A95">
        <w:tab/>
        <w:t>has changed since 12</w:t>
      </w:r>
      <w:r w:rsidR="002B1A95" w:rsidRPr="002B1A95">
        <w:t> </w:t>
      </w:r>
      <w:r w:rsidRPr="002B1A95">
        <w:t xml:space="preserve">May 2009 only as a result of a change to the rules of a superannuation </w:t>
      </w:r>
      <w:r w:rsidRPr="002B1A95">
        <w:rPr>
          <w:color w:val="000000"/>
        </w:rPr>
        <w:t>fund</w:t>
      </w:r>
      <w:r w:rsidRPr="002B1A95">
        <w:t xml:space="preserve"> in which a relevant 2009 interest is or was held that increases a benefit as a result of a change made to satisfy the requirements of the </w:t>
      </w:r>
      <w:r w:rsidRPr="002B1A95">
        <w:rPr>
          <w:i/>
        </w:rPr>
        <w:t>Superannuation Guarantee (Administration) Act 1992</w:t>
      </w:r>
      <w:r w:rsidRPr="002B1A95">
        <w:t>.</w:t>
      </w:r>
    </w:p>
    <w:p w:rsidR="005B63A2" w:rsidRPr="002B1A95" w:rsidRDefault="005B63A2" w:rsidP="005B63A2">
      <w:pPr>
        <w:pStyle w:val="subsection"/>
      </w:pPr>
      <w:r w:rsidRPr="002B1A95">
        <w:tab/>
        <w:t>(4)</w:t>
      </w:r>
      <w:r w:rsidRPr="002B1A95">
        <w:tab/>
        <w:t>A condition is that either:</w:t>
      </w:r>
    </w:p>
    <w:p w:rsidR="005B63A2" w:rsidRPr="002B1A95" w:rsidRDefault="005B63A2" w:rsidP="005B63A2">
      <w:pPr>
        <w:pStyle w:val="paragraph"/>
      </w:pPr>
      <w:r w:rsidRPr="002B1A95">
        <w:tab/>
        <w:t>(a)</w:t>
      </w:r>
      <w:r w:rsidRPr="002B1A95">
        <w:tab/>
        <w:t>the rate of the defined benefit member’s superannuation salary has not increased, since 12</w:t>
      </w:r>
      <w:r w:rsidR="002B1A95" w:rsidRPr="002B1A95">
        <w:t> </w:t>
      </w:r>
      <w:r w:rsidRPr="002B1A95">
        <w:t>May 2009, by more than:</w:t>
      </w:r>
    </w:p>
    <w:p w:rsidR="005B63A2" w:rsidRPr="002B1A95" w:rsidRDefault="005B63A2" w:rsidP="005B63A2">
      <w:pPr>
        <w:pStyle w:val="paragraphsub"/>
      </w:pPr>
      <w:r w:rsidRPr="002B1A95">
        <w:tab/>
        <w:t>(i)</w:t>
      </w:r>
      <w:r w:rsidRPr="002B1A95">
        <w:tab/>
        <w:t>50% in 1 year; or</w:t>
      </w:r>
    </w:p>
    <w:p w:rsidR="005B63A2" w:rsidRPr="002B1A95" w:rsidRDefault="005B63A2" w:rsidP="005B63A2">
      <w:pPr>
        <w:pStyle w:val="paragraphsub"/>
      </w:pPr>
      <w:r w:rsidRPr="002B1A95">
        <w:tab/>
        <w:t>(ii)</w:t>
      </w:r>
      <w:r w:rsidRPr="002B1A95">
        <w:tab/>
        <w:t>75% over 3 years; or</w:t>
      </w:r>
    </w:p>
    <w:p w:rsidR="005B63A2" w:rsidRPr="002B1A95" w:rsidRDefault="005B63A2" w:rsidP="005B63A2">
      <w:pPr>
        <w:pStyle w:val="paragraph"/>
      </w:pPr>
      <w:r w:rsidRPr="002B1A95">
        <w:tab/>
        <w:t>(b)</w:t>
      </w:r>
      <w:r w:rsidRPr="002B1A95">
        <w:tab/>
        <w:t xml:space="preserve">the rate of superannuation salary has increased by more than the rate in </w:t>
      </w:r>
      <w:r w:rsidR="002B1A95" w:rsidRPr="002B1A95">
        <w:t>subparagraph (</w:t>
      </w:r>
      <w:r w:rsidRPr="002B1A95">
        <w:t>a)(i) or (ii) and:</w:t>
      </w:r>
    </w:p>
    <w:p w:rsidR="005B63A2" w:rsidRPr="002B1A95" w:rsidRDefault="005B63A2" w:rsidP="005B63A2">
      <w:pPr>
        <w:pStyle w:val="paragraphsub"/>
      </w:pPr>
      <w:r w:rsidRPr="002B1A95">
        <w:tab/>
        <w:t>(i)</w:t>
      </w:r>
      <w:r w:rsidRPr="002B1A95">
        <w:tab/>
        <w:t>the employer</w:t>
      </w:r>
      <w:r w:rsidR="00782250">
        <w:noBreakHyphen/>
      </w:r>
      <w:r w:rsidRPr="002B1A95">
        <w:t xml:space="preserve">sponsor of the superannuation </w:t>
      </w:r>
      <w:r w:rsidRPr="002B1A95">
        <w:rPr>
          <w:color w:val="000000"/>
        </w:rPr>
        <w:t>fund</w:t>
      </w:r>
      <w:r w:rsidRPr="002B1A95">
        <w:t xml:space="preserve"> in which, immediately after the rate increase, a relevant 2009 interest was held has advised the trustee of that fund that the increase in the rate is on an arm’s length basis; and</w:t>
      </w:r>
    </w:p>
    <w:p w:rsidR="005B63A2" w:rsidRPr="002B1A95" w:rsidRDefault="005B63A2" w:rsidP="005B63A2">
      <w:pPr>
        <w:pStyle w:val="paragraphsub"/>
      </w:pPr>
      <w:r w:rsidRPr="002B1A95">
        <w:lastRenderedPageBreak/>
        <w:tab/>
        <w:t>(ii)</w:t>
      </w:r>
      <w:r w:rsidRPr="002B1A95">
        <w:tab/>
        <w:t xml:space="preserve">the trustee of a superannuation </w:t>
      </w:r>
      <w:r w:rsidRPr="002B1A95">
        <w:rPr>
          <w:color w:val="000000"/>
        </w:rPr>
        <w:t>fund</w:t>
      </w:r>
      <w:r w:rsidRPr="002B1A95">
        <w:t xml:space="preserve"> in which a relevant 2009 interest was held after the rate increase notified the Commissioner, in writing, of the increase in the rate as soon as practicable after the increase occurred.</w:t>
      </w:r>
    </w:p>
    <w:p w:rsidR="005B63A2" w:rsidRPr="002B1A95" w:rsidRDefault="005B63A2" w:rsidP="005B63A2">
      <w:pPr>
        <w:pStyle w:val="subsection"/>
      </w:pPr>
      <w:r w:rsidRPr="002B1A95">
        <w:tab/>
        <w:t>(5)</w:t>
      </w:r>
      <w:r w:rsidRPr="002B1A95">
        <w:tab/>
        <w:t>A condition is that no trustee or employer</w:t>
      </w:r>
      <w:r w:rsidR="00782250">
        <w:noBreakHyphen/>
      </w:r>
      <w:r w:rsidRPr="002B1A95">
        <w:t xml:space="preserve">sponsor of any superannuation </w:t>
      </w:r>
      <w:r w:rsidRPr="002B1A95">
        <w:rPr>
          <w:color w:val="000000"/>
        </w:rPr>
        <w:t>fund</w:t>
      </w:r>
      <w:r w:rsidRPr="002B1A95">
        <w:t xml:space="preserve"> in which a relevant 2009 interest is or was held has exercised a discretion to pay a benefit that is greater than the benefit that was assumed for the purpose of calculating the new entrant rate since 12</w:t>
      </w:r>
      <w:r w:rsidR="002B1A95" w:rsidRPr="002B1A95">
        <w:t> </w:t>
      </w:r>
      <w:r w:rsidRPr="002B1A95">
        <w:t>May 2009.</w:t>
      </w:r>
    </w:p>
    <w:p w:rsidR="005B63A2" w:rsidRPr="002B1A95" w:rsidRDefault="005B63A2" w:rsidP="005B63A2">
      <w:pPr>
        <w:pStyle w:val="ActHead3"/>
        <w:pageBreakBefore/>
      </w:pPr>
      <w:bookmarkStart w:id="71" w:name="_Toc49765251"/>
      <w:r w:rsidRPr="00411C46">
        <w:rPr>
          <w:rStyle w:val="CharDivNo"/>
        </w:rPr>
        <w:lastRenderedPageBreak/>
        <w:t>Division</w:t>
      </w:r>
      <w:r w:rsidR="002B1A95" w:rsidRPr="00411C46">
        <w:rPr>
          <w:rStyle w:val="CharDivNo"/>
        </w:rPr>
        <w:t> </w:t>
      </w:r>
      <w:r w:rsidRPr="00411C46">
        <w:rPr>
          <w:rStyle w:val="CharDivNo"/>
        </w:rPr>
        <w:t>292</w:t>
      </w:r>
      <w:r w:rsidRPr="002B1A95">
        <w:t>—</w:t>
      </w:r>
      <w:r w:rsidRPr="00411C46">
        <w:rPr>
          <w:rStyle w:val="CharDivText"/>
        </w:rPr>
        <w:t>Excess non</w:t>
      </w:r>
      <w:r w:rsidR="00782250" w:rsidRPr="00411C46">
        <w:rPr>
          <w:rStyle w:val="CharDivText"/>
        </w:rPr>
        <w:noBreakHyphen/>
      </w:r>
      <w:r w:rsidRPr="00411C46">
        <w:rPr>
          <w:rStyle w:val="CharDivText"/>
        </w:rPr>
        <w:t>concessional contributions</w:t>
      </w:r>
      <w:bookmarkEnd w:id="71"/>
    </w:p>
    <w:p w:rsidR="005B63A2" w:rsidRPr="002B1A95" w:rsidRDefault="005B63A2" w:rsidP="005B63A2">
      <w:pPr>
        <w:pStyle w:val="ActHead4"/>
      </w:pPr>
      <w:bookmarkStart w:id="72" w:name="_Toc49765252"/>
      <w:r w:rsidRPr="00411C46">
        <w:rPr>
          <w:rStyle w:val="CharSubdNo"/>
          <w:rFonts w:eastAsiaTheme="majorEastAsia"/>
        </w:rPr>
        <w:t>Subdivision</w:t>
      </w:r>
      <w:r w:rsidR="002B1A95" w:rsidRPr="00411C46">
        <w:rPr>
          <w:rStyle w:val="CharSubdNo"/>
          <w:rFonts w:eastAsiaTheme="majorEastAsia"/>
        </w:rPr>
        <w:t> </w:t>
      </w:r>
      <w:r w:rsidRPr="00411C46">
        <w:rPr>
          <w:rStyle w:val="CharSubdNo"/>
          <w:rFonts w:eastAsiaTheme="majorEastAsia"/>
        </w:rPr>
        <w:t>292</w:t>
      </w:r>
      <w:r w:rsidR="00782250" w:rsidRPr="00411C46">
        <w:rPr>
          <w:rStyle w:val="CharSubdNo"/>
          <w:rFonts w:eastAsiaTheme="majorEastAsia"/>
        </w:rPr>
        <w:noBreakHyphen/>
      </w:r>
      <w:r w:rsidRPr="00411C46">
        <w:rPr>
          <w:rStyle w:val="CharSubdNo"/>
          <w:rFonts w:eastAsiaTheme="majorEastAsia"/>
        </w:rPr>
        <w:t>C</w:t>
      </w:r>
      <w:r w:rsidRPr="002B1A95">
        <w:t>—</w:t>
      </w:r>
      <w:r w:rsidRPr="00411C46">
        <w:rPr>
          <w:rStyle w:val="CharSubdText"/>
          <w:rFonts w:eastAsiaTheme="majorEastAsia"/>
        </w:rPr>
        <w:t>Excess non</w:t>
      </w:r>
      <w:r w:rsidR="00782250" w:rsidRPr="00411C46">
        <w:rPr>
          <w:rStyle w:val="CharSubdText"/>
          <w:rFonts w:eastAsiaTheme="majorEastAsia"/>
        </w:rPr>
        <w:noBreakHyphen/>
      </w:r>
      <w:r w:rsidRPr="00411C46">
        <w:rPr>
          <w:rStyle w:val="CharSubdText"/>
          <w:rFonts w:eastAsiaTheme="majorEastAsia"/>
        </w:rPr>
        <w:t>concessional contributions tax</w:t>
      </w:r>
      <w:bookmarkEnd w:id="72"/>
    </w:p>
    <w:p w:rsidR="005B63A2" w:rsidRPr="002B1A95" w:rsidRDefault="005B63A2" w:rsidP="005B63A2">
      <w:pPr>
        <w:pStyle w:val="ActHead5"/>
      </w:pPr>
      <w:bookmarkStart w:id="73" w:name="_Toc49765253"/>
      <w:r w:rsidRPr="00411C46">
        <w:rPr>
          <w:rStyle w:val="CharSectno"/>
        </w:rPr>
        <w:t>292</w:t>
      </w:r>
      <w:r w:rsidR="00782250" w:rsidRPr="00411C46">
        <w:rPr>
          <w:rStyle w:val="CharSectno"/>
        </w:rPr>
        <w:noBreakHyphen/>
      </w:r>
      <w:r w:rsidRPr="00411C46">
        <w:rPr>
          <w:rStyle w:val="CharSectno"/>
        </w:rPr>
        <w:t>90.01</w:t>
      </w:r>
      <w:r w:rsidRPr="002B1A95">
        <w:t xml:space="preserve">  Non</w:t>
      </w:r>
      <w:r w:rsidR="00782250">
        <w:noBreakHyphen/>
      </w:r>
      <w:r w:rsidRPr="002B1A95">
        <w:t>concessional contributions for a financial year</w:t>
      </w:r>
      <w:bookmarkEnd w:id="73"/>
    </w:p>
    <w:p w:rsidR="005B63A2" w:rsidRPr="002B1A95" w:rsidRDefault="005B63A2" w:rsidP="005B63A2">
      <w:pPr>
        <w:pStyle w:val="subsection"/>
        <w:rPr>
          <w:color w:val="000000"/>
        </w:rPr>
      </w:pPr>
      <w:r w:rsidRPr="002B1A95">
        <w:rPr>
          <w:color w:val="000000"/>
        </w:rPr>
        <w:tab/>
        <w:t>(1)</w:t>
      </w:r>
      <w:r w:rsidRPr="002B1A95">
        <w:rPr>
          <w:color w:val="000000"/>
        </w:rPr>
        <w:tab/>
        <w:t>For the purposes of paragraph</w:t>
      </w:r>
      <w:r w:rsidR="002B1A95" w:rsidRPr="002B1A95">
        <w:rPr>
          <w:color w:val="000000"/>
        </w:rPr>
        <w:t> </w:t>
      </w:r>
      <w:r w:rsidRPr="002B1A95">
        <w:rPr>
          <w:color w:val="000000"/>
        </w:rPr>
        <w:t>292</w:t>
      </w:r>
      <w:r w:rsidR="00782250">
        <w:rPr>
          <w:color w:val="000000"/>
        </w:rPr>
        <w:noBreakHyphen/>
      </w:r>
      <w:r w:rsidRPr="002B1A95">
        <w:rPr>
          <w:color w:val="000000"/>
        </w:rPr>
        <w:t>90(4)(a) of the Act, this section specifies conditions for the allocation of an amount in a complying superannuation plan.</w:t>
      </w:r>
    </w:p>
    <w:p w:rsidR="005B63A2" w:rsidRPr="002B1A95" w:rsidRDefault="005B63A2" w:rsidP="005B63A2">
      <w:pPr>
        <w:pStyle w:val="notetext"/>
      </w:pPr>
      <w:r w:rsidRPr="002B1A95">
        <w:t>Note:</w:t>
      </w:r>
      <w:r w:rsidRPr="002B1A95">
        <w:tab/>
        <w:t>If the amount meets the conditions of this section it will be an amount covered by subsection</w:t>
      </w:r>
      <w:r w:rsidR="002B1A95" w:rsidRPr="002B1A95">
        <w:t> </w:t>
      </w:r>
      <w:r w:rsidRPr="002B1A95">
        <w:t>292</w:t>
      </w:r>
      <w:r w:rsidR="00782250">
        <w:noBreakHyphen/>
      </w:r>
      <w:r w:rsidRPr="002B1A95">
        <w:t>90(4) of the Act. Such amounts are counted in determining an individual’s non</w:t>
      </w:r>
      <w:r w:rsidR="00782250">
        <w:noBreakHyphen/>
      </w:r>
      <w:r w:rsidRPr="002B1A95">
        <w:t>concessional contributions for a financial year.</w:t>
      </w:r>
    </w:p>
    <w:p w:rsidR="005B63A2" w:rsidRPr="002B1A95" w:rsidRDefault="005B63A2" w:rsidP="005B63A2">
      <w:pPr>
        <w:pStyle w:val="subsection"/>
      </w:pPr>
      <w:r w:rsidRPr="002B1A95">
        <w:rPr>
          <w:color w:val="000000"/>
        </w:rPr>
        <w:tab/>
        <w:t>(2)</w:t>
      </w:r>
      <w:r w:rsidRPr="002B1A95">
        <w:rPr>
          <w:color w:val="000000"/>
        </w:rPr>
        <w:tab/>
        <w:t>The conditions are that the amount is:</w:t>
      </w:r>
    </w:p>
    <w:p w:rsidR="005B63A2" w:rsidRPr="002B1A95" w:rsidRDefault="005B63A2" w:rsidP="005B63A2">
      <w:pPr>
        <w:pStyle w:val="paragraph"/>
      </w:pPr>
      <w:r w:rsidRPr="002B1A95">
        <w:rPr>
          <w:color w:val="000000"/>
        </w:rPr>
        <w:tab/>
        <w:t>(a)</w:t>
      </w:r>
      <w:r w:rsidRPr="002B1A95">
        <w:rPr>
          <w:color w:val="000000"/>
        </w:rPr>
        <w:tab/>
        <w:t>allocated under Division</w:t>
      </w:r>
      <w:r w:rsidR="002B1A95" w:rsidRPr="002B1A95">
        <w:rPr>
          <w:color w:val="000000"/>
        </w:rPr>
        <w:t> </w:t>
      </w:r>
      <w:r w:rsidRPr="002B1A95">
        <w:rPr>
          <w:color w:val="000000"/>
        </w:rPr>
        <w:t>7.2 of the SIS Regulations; and</w:t>
      </w:r>
    </w:p>
    <w:p w:rsidR="005B63A2" w:rsidRPr="002B1A95" w:rsidRDefault="005B63A2" w:rsidP="005B63A2">
      <w:pPr>
        <w:pStyle w:val="paragraph"/>
      </w:pPr>
      <w:r w:rsidRPr="002B1A95">
        <w:tab/>
        <w:t>(b)</w:t>
      </w:r>
      <w:r w:rsidRPr="002B1A95">
        <w:tab/>
        <w:t>not an assessable contribution; and</w:t>
      </w:r>
    </w:p>
    <w:p w:rsidR="005B63A2" w:rsidRPr="002B1A95" w:rsidRDefault="005B63A2" w:rsidP="005B63A2">
      <w:pPr>
        <w:pStyle w:val="paragraph"/>
      </w:pPr>
      <w:r w:rsidRPr="002B1A95">
        <w:tab/>
        <w:t>(c)</w:t>
      </w:r>
      <w:r w:rsidRPr="002B1A95">
        <w:tab/>
        <w:t xml:space="preserve">not covered by </w:t>
      </w:r>
      <w:r w:rsidR="002B1A95" w:rsidRPr="002B1A95">
        <w:t>subsection (</w:t>
      </w:r>
      <w:r w:rsidRPr="002B1A95">
        <w:t>3).</w:t>
      </w:r>
    </w:p>
    <w:p w:rsidR="005B63A2" w:rsidRPr="002B1A95" w:rsidRDefault="005B63A2" w:rsidP="005B63A2">
      <w:pPr>
        <w:pStyle w:val="subsection"/>
      </w:pPr>
      <w:r w:rsidRPr="002B1A95">
        <w:tab/>
        <w:t>(3)</w:t>
      </w:r>
      <w:r w:rsidRPr="002B1A95">
        <w:tab/>
        <w:t>Each of the following amounts is covered by this subsection:</w:t>
      </w:r>
    </w:p>
    <w:p w:rsidR="005B63A2" w:rsidRPr="002B1A95" w:rsidRDefault="005B63A2" w:rsidP="005B63A2">
      <w:pPr>
        <w:pStyle w:val="paragraph"/>
      </w:pPr>
      <w:r w:rsidRPr="002B1A95">
        <w:rPr>
          <w:color w:val="000000"/>
        </w:rPr>
        <w:tab/>
        <w:t>(a)</w:t>
      </w:r>
      <w:r w:rsidRPr="002B1A95">
        <w:rPr>
          <w:color w:val="000000"/>
        </w:rPr>
        <w:tab/>
        <w:t>a Government co</w:t>
      </w:r>
      <w:r w:rsidR="00782250">
        <w:rPr>
          <w:color w:val="000000"/>
        </w:rPr>
        <w:noBreakHyphen/>
      </w:r>
      <w:r w:rsidRPr="002B1A95">
        <w:rPr>
          <w:color w:val="000000"/>
        </w:rPr>
        <w:t xml:space="preserve">contribution made under the </w:t>
      </w:r>
      <w:r w:rsidRPr="002B1A95">
        <w:rPr>
          <w:i/>
          <w:color w:val="000000"/>
        </w:rPr>
        <w:t>Superannuation (Government Co</w:t>
      </w:r>
      <w:r w:rsidR="00782250">
        <w:rPr>
          <w:i/>
          <w:color w:val="000000"/>
        </w:rPr>
        <w:noBreakHyphen/>
      </w:r>
      <w:r w:rsidRPr="002B1A95">
        <w:rPr>
          <w:i/>
          <w:color w:val="000000"/>
        </w:rPr>
        <w:t>contribution for Low Income Earners) Act 2003</w:t>
      </w:r>
      <w:r w:rsidRPr="002B1A95">
        <w:rPr>
          <w:color w:val="000000"/>
        </w:rPr>
        <w:t>;</w:t>
      </w:r>
    </w:p>
    <w:p w:rsidR="005B63A2" w:rsidRPr="002B1A95" w:rsidRDefault="005B63A2" w:rsidP="005B63A2">
      <w:pPr>
        <w:pStyle w:val="paragraph"/>
      </w:pPr>
      <w:r w:rsidRPr="002B1A95">
        <w:tab/>
        <w:t>(b)</w:t>
      </w:r>
      <w:r w:rsidRPr="002B1A95">
        <w:tab/>
        <w:t>a contribution covered under section</w:t>
      </w:r>
      <w:r w:rsidR="002B1A95" w:rsidRPr="002B1A95">
        <w:t> </w:t>
      </w:r>
      <w:r w:rsidRPr="002B1A95">
        <w:t>292</w:t>
      </w:r>
      <w:r w:rsidR="00782250">
        <w:noBreakHyphen/>
      </w:r>
      <w:r w:rsidRPr="002B1A95">
        <w:t>95 of the Act;</w:t>
      </w:r>
    </w:p>
    <w:p w:rsidR="005B63A2" w:rsidRPr="002B1A95" w:rsidRDefault="005B63A2" w:rsidP="005B63A2">
      <w:pPr>
        <w:pStyle w:val="paragraph"/>
      </w:pPr>
      <w:r w:rsidRPr="002B1A95">
        <w:tab/>
        <w:t>(c)</w:t>
      </w:r>
      <w:r w:rsidRPr="002B1A95">
        <w:tab/>
        <w:t>a contribution covered under section</w:t>
      </w:r>
      <w:r w:rsidR="002B1A95" w:rsidRPr="002B1A95">
        <w:t> </w:t>
      </w:r>
      <w:r w:rsidRPr="002B1A95">
        <w:t>292</w:t>
      </w:r>
      <w:r w:rsidR="00782250">
        <w:noBreakHyphen/>
      </w:r>
      <w:r w:rsidRPr="002B1A95">
        <w:t>100 of the Act, to the extent that it does not exceed the CGT cap amount when it is made;</w:t>
      </w:r>
    </w:p>
    <w:p w:rsidR="005B63A2" w:rsidRPr="002B1A95" w:rsidRDefault="005B63A2" w:rsidP="005B63A2">
      <w:pPr>
        <w:pStyle w:val="paragraph"/>
      </w:pPr>
      <w:r w:rsidRPr="002B1A95">
        <w:tab/>
        <w:t>(d)</w:t>
      </w:r>
      <w:r w:rsidRPr="002B1A95">
        <w:tab/>
        <w:t>a contribution made to a constitutionally protected fund (other than a contribution included in the contributions segment of the member’s superannuation interest in the fund);</w:t>
      </w:r>
    </w:p>
    <w:p w:rsidR="005B63A2" w:rsidRPr="002B1A95" w:rsidRDefault="005B63A2" w:rsidP="005B63A2">
      <w:pPr>
        <w:pStyle w:val="paragraph"/>
      </w:pPr>
      <w:r w:rsidRPr="002B1A95">
        <w:tab/>
        <w:t>(e)</w:t>
      </w:r>
      <w:r w:rsidRPr="002B1A95">
        <w:tab/>
        <w:t>contributions not included in the assessable income of the superannuation provider in relation to the superannuation plan because of a choice made under section</w:t>
      </w:r>
      <w:r w:rsidR="002B1A95" w:rsidRPr="002B1A95">
        <w:t> </w:t>
      </w:r>
      <w:r w:rsidRPr="002B1A95">
        <w:t>295</w:t>
      </w:r>
      <w:r w:rsidR="00782250">
        <w:noBreakHyphen/>
      </w:r>
      <w:r w:rsidRPr="002B1A95">
        <w:t>180 of the Act;</w:t>
      </w:r>
    </w:p>
    <w:p w:rsidR="005B63A2" w:rsidRPr="002B1A95" w:rsidRDefault="005B63A2" w:rsidP="005B63A2">
      <w:pPr>
        <w:pStyle w:val="paragraph"/>
      </w:pPr>
      <w:r w:rsidRPr="002B1A95">
        <w:tab/>
        <w:t>(f)</w:t>
      </w:r>
      <w:r w:rsidRPr="002B1A95">
        <w:tab/>
        <w:t>a contribution that is a roll</w:t>
      </w:r>
      <w:r w:rsidR="00782250">
        <w:noBreakHyphen/>
      </w:r>
      <w:r w:rsidRPr="002B1A95">
        <w:t>over superannuation benefit;</w:t>
      </w:r>
    </w:p>
    <w:p w:rsidR="005B63A2" w:rsidRPr="002B1A95" w:rsidRDefault="005B63A2" w:rsidP="005B63A2">
      <w:pPr>
        <w:pStyle w:val="paragraph"/>
      </w:pPr>
      <w:r w:rsidRPr="002B1A95">
        <w:tab/>
        <w:t>(g)</w:t>
      </w:r>
      <w:r w:rsidRPr="002B1A95">
        <w:tab/>
        <w:t>the tax free component of a directed termination payment (within the meaning of section</w:t>
      </w:r>
      <w:r w:rsidR="002B1A95" w:rsidRPr="002B1A95">
        <w:t> </w:t>
      </w:r>
      <w:r w:rsidRPr="002B1A95">
        <w:t>82</w:t>
      </w:r>
      <w:r w:rsidR="00782250">
        <w:noBreakHyphen/>
      </w:r>
      <w:r w:rsidRPr="002B1A95">
        <w:t xml:space="preserve">10F of the </w:t>
      </w:r>
      <w:r w:rsidRPr="002B1A95">
        <w:rPr>
          <w:i/>
        </w:rPr>
        <w:t>Income Tax (Transitional Provisions) Act 1997</w:t>
      </w:r>
      <w:r w:rsidRPr="002B1A95">
        <w:t>) made in the financial year on behalf of the member.</w:t>
      </w:r>
    </w:p>
    <w:p w:rsidR="005B63A2" w:rsidRPr="002B1A95" w:rsidRDefault="005B63A2" w:rsidP="005B63A2">
      <w:pPr>
        <w:pStyle w:val="ActHead3"/>
        <w:pageBreakBefore/>
      </w:pPr>
      <w:bookmarkStart w:id="74" w:name="_Toc49765254"/>
      <w:r w:rsidRPr="00411C46">
        <w:rPr>
          <w:rStyle w:val="CharDivNo"/>
        </w:rPr>
        <w:lastRenderedPageBreak/>
        <w:t>Division</w:t>
      </w:r>
      <w:r w:rsidR="002B1A95" w:rsidRPr="00411C46">
        <w:rPr>
          <w:rStyle w:val="CharDivNo"/>
        </w:rPr>
        <w:t> </w:t>
      </w:r>
      <w:r w:rsidRPr="00411C46">
        <w:rPr>
          <w:rStyle w:val="CharDivNo"/>
        </w:rPr>
        <w:t>293</w:t>
      </w:r>
      <w:r w:rsidRPr="002B1A95">
        <w:t>—</w:t>
      </w:r>
      <w:r w:rsidRPr="00411C46">
        <w:rPr>
          <w:rStyle w:val="CharDivText"/>
        </w:rPr>
        <w:t>Sustaining the superannuation contribution concession</w:t>
      </w:r>
      <w:bookmarkEnd w:id="74"/>
    </w:p>
    <w:p w:rsidR="005B63A2" w:rsidRPr="002B1A95" w:rsidRDefault="005B63A2" w:rsidP="005B63A2">
      <w:pPr>
        <w:pStyle w:val="ActHead4"/>
        <w:rPr>
          <w:rFonts w:eastAsiaTheme="majorEastAsia"/>
        </w:rPr>
      </w:pPr>
      <w:bookmarkStart w:id="75" w:name="_Toc49765255"/>
      <w:r w:rsidRPr="00411C46">
        <w:rPr>
          <w:rStyle w:val="CharSubdNo"/>
          <w:rFonts w:eastAsiaTheme="majorEastAsia"/>
        </w:rPr>
        <w:t>Subdivision</w:t>
      </w:r>
      <w:r w:rsidR="002B1A95" w:rsidRPr="00411C46">
        <w:rPr>
          <w:rStyle w:val="CharSubdNo"/>
          <w:rFonts w:eastAsiaTheme="majorEastAsia"/>
        </w:rPr>
        <w:t> </w:t>
      </w:r>
      <w:r w:rsidRPr="00411C46">
        <w:rPr>
          <w:rStyle w:val="CharSubdNo"/>
          <w:rFonts w:eastAsiaTheme="majorEastAsia"/>
        </w:rPr>
        <w:t>293</w:t>
      </w:r>
      <w:r w:rsidR="00782250" w:rsidRPr="00411C46">
        <w:rPr>
          <w:rStyle w:val="CharSubdNo"/>
          <w:rFonts w:eastAsiaTheme="majorEastAsia"/>
        </w:rPr>
        <w:noBreakHyphen/>
      </w:r>
      <w:r w:rsidRPr="00411C46">
        <w:rPr>
          <w:rStyle w:val="CharSubdNo"/>
          <w:rFonts w:eastAsiaTheme="majorEastAsia"/>
        </w:rPr>
        <w:t>D</w:t>
      </w:r>
      <w:r w:rsidRPr="002B1A95">
        <w:t>—</w:t>
      </w:r>
      <w:r w:rsidRPr="00411C46">
        <w:rPr>
          <w:rStyle w:val="CharSubdText"/>
        </w:rPr>
        <w:t>M</w:t>
      </w:r>
      <w:r w:rsidRPr="00411C46">
        <w:rPr>
          <w:rStyle w:val="CharSubdText"/>
          <w:rFonts w:eastAsiaTheme="majorEastAsia"/>
        </w:rPr>
        <w:t>odifications for defined benefit interests</w:t>
      </w:r>
      <w:bookmarkEnd w:id="75"/>
    </w:p>
    <w:p w:rsidR="005B63A2" w:rsidRPr="002B1A95" w:rsidRDefault="005B63A2" w:rsidP="005B63A2">
      <w:pPr>
        <w:pStyle w:val="ActHead5"/>
      </w:pPr>
      <w:bookmarkStart w:id="76" w:name="_Toc49765256"/>
      <w:r w:rsidRPr="00411C46">
        <w:rPr>
          <w:rStyle w:val="CharSectno"/>
        </w:rPr>
        <w:t>293</w:t>
      </w:r>
      <w:r w:rsidR="00782250" w:rsidRPr="00411C46">
        <w:rPr>
          <w:rStyle w:val="CharSectno"/>
        </w:rPr>
        <w:noBreakHyphen/>
      </w:r>
      <w:r w:rsidRPr="00411C46">
        <w:rPr>
          <w:rStyle w:val="CharSectno"/>
        </w:rPr>
        <w:t>115.05</w:t>
      </w:r>
      <w:r w:rsidRPr="002B1A95">
        <w:t xml:space="preserve">  Preliminary</w:t>
      </w:r>
      <w:bookmarkEnd w:id="76"/>
    </w:p>
    <w:p w:rsidR="005B63A2" w:rsidRPr="002B1A95" w:rsidRDefault="005B63A2" w:rsidP="005B63A2">
      <w:pPr>
        <w:pStyle w:val="subsection"/>
      </w:pPr>
      <w:r w:rsidRPr="002B1A95">
        <w:tab/>
        <w:t>(1)</w:t>
      </w:r>
      <w:r w:rsidRPr="002B1A95">
        <w:tab/>
        <w:t>This Subdivision is made for the purposes of subsection</w:t>
      </w:r>
      <w:r w:rsidR="002B1A95" w:rsidRPr="002B1A95">
        <w:t> </w:t>
      </w:r>
      <w:r w:rsidRPr="002B1A95">
        <w:t>293</w:t>
      </w:r>
      <w:r w:rsidR="00782250">
        <w:noBreakHyphen/>
      </w:r>
      <w:r w:rsidRPr="002B1A95">
        <w:t>115(1) of the Act.</w:t>
      </w:r>
    </w:p>
    <w:p w:rsidR="005B63A2" w:rsidRPr="002B1A95" w:rsidRDefault="005B63A2" w:rsidP="005B63A2">
      <w:pPr>
        <w:pStyle w:val="subsection"/>
      </w:pPr>
      <w:r w:rsidRPr="002B1A95">
        <w:tab/>
        <w:t>(2)</w:t>
      </w:r>
      <w:r w:rsidRPr="002B1A95">
        <w:tab/>
        <w:t>In this Subdivision:</w:t>
      </w:r>
    </w:p>
    <w:p w:rsidR="005B63A2" w:rsidRPr="002B1A95" w:rsidRDefault="005B63A2" w:rsidP="005B63A2">
      <w:pPr>
        <w:pStyle w:val="Definition"/>
        <w:rPr>
          <w:b/>
        </w:rPr>
      </w:pPr>
      <w:r w:rsidRPr="002B1A95">
        <w:rPr>
          <w:b/>
          <w:i/>
        </w:rPr>
        <w:t>accruing member</w:t>
      </w:r>
      <w:r w:rsidRPr="002B1A95">
        <w:t>, of a superannuation fund for a financial year, means a defined benefit member of the fund who is not a non</w:t>
      </w:r>
      <w:r w:rsidR="00782250">
        <w:noBreakHyphen/>
      </w:r>
      <w:r w:rsidRPr="002B1A95">
        <w:t>accruing member of the fund for the financial year.</w:t>
      </w:r>
    </w:p>
    <w:p w:rsidR="005B63A2" w:rsidRPr="002B1A95" w:rsidRDefault="005B63A2" w:rsidP="005B63A2">
      <w:pPr>
        <w:pStyle w:val="Definition"/>
      </w:pPr>
      <w:r w:rsidRPr="002B1A95">
        <w:rPr>
          <w:b/>
          <w:i/>
        </w:rPr>
        <w:t>non</w:t>
      </w:r>
      <w:r w:rsidR="00782250">
        <w:rPr>
          <w:b/>
          <w:i/>
        </w:rPr>
        <w:noBreakHyphen/>
      </w:r>
      <w:r w:rsidRPr="002B1A95">
        <w:rPr>
          <w:b/>
          <w:i/>
        </w:rPr>
        <w:t>accruing member</w:t>
      </w:r>
      <w:r w:rsidRPr="002B1A95">
        <w:t>, of a superannuation fund for a financial year, means:</w:t>
      </w:r>
    </w:p>
    <w:p w:rsidR="005B63A2" w:rsidRPr="002B1A95" w:rsidRDefault="005B63A2" w:rsidP="005B63A2">
      <w:pPr>
        <w:pStyle w:val="paragraph"/>
      </w:pPr>
      <w:r w:rsidRPr="002B1A95">
        <w:tab/>
        <w:t>(a)</w:t>
      </w:r>
      <w:r w:rsidRPr="002B1A95">
        <w:tab/>
        <w:t>a defined benefit member who is a non</w:t>
      </w:r>
      <w:r w:rsidR="00782250">
        <w:noBreakHyphen/>
      </w:r>
      <w:r w:rsidRPr="002B1A95">
        <w:t>accruing member of the fund for the financial year within the meaning of subsections 291</w:t>
      </w:r>
      <w:r w:rsidR="00782250">
        <w:noBreakHyphen/>
      </w:r>
      <w:r w:rsidRPr="002B1A95">
        <w:t>170.04(5) to (8); or</w:t>
      </w:r>
    </w:p>
    <w:p w:rsidR="005B63A2" w:rsidRPr="002B1A95" w:rsidRDefault="005B63A2" w:rsidP="005B63A2">
      <w:pPr>
        <w:pStyle w:val="paragraph"/>
      </w:pPr>
      <w:r w:rsidRPr="002B1A95">
        <w:tab/>
        <w:t>(b)</w:t>
      </w:r>
      <w:r w:rsidRPr="002B1A95">
        <w:tab/>
        <w:t>a member of the Governor</w:t>
      </w:r>
      <w:r w:rsidR="00782250">
        <w:noBreakHyphen/>
      </w:r>
      <w:r w:rsidRPr="002B1A95">
        <w:t>General Pension Scheme for the financial year, unless (for a member who is the Governor</w:t>
      </w:r>
      <w:r w:rsidR="00782250">
        <w:noBreakHyphen/>
      </w:r>
      <w:r w:rsidRPr="002B1A95">
        <w:t>General) the member commenced office in the financial year.</w:t>
      </w:r>
    </w:p>
    <w:p w:rsidR="005B63A2" w:rsidRPr="002B1A95" w:rsidRDefault="005B63A2" w:rsidP="005B63A2">
      <w:pPr>
        <w:pStyle w:val="ActHead5"/>
      </w:pPr>
      <w:bookmarkStart w:id="77" w:name="_Toc49765257"/>
      <w:r w:rsidRPr="00411C46">
        <w:rPr>
          <w:rStyle w:val="CharSectno"/>
        </w:rPr>
        <w:t>293</w:t>
      </w:r>
      <w:r w:rsidR="00782250" w:rsidRPr="00411C46">
        <w:rPr>
          <w:rStyle w:val="CharSectno"/>
        </w:rPr>
        <w:noBreakHyphen/>
      </w:r>
      <w:r w:rsidRPr="00411C46">
        <w:rPr>
          <w:rStyle w:val="CharSectno"/>
        </w:rPr>
        <w:t>115.10</w:t>
      </w:r>
      <w:r w:rsidRPr="002B1A95">
        <w:t xml:space="preserve">  Defined benefit contributions—non</w:t>
      </w:r>
      <w:r w:rsidR="00782250">
        <w:noBreakHyphen/>
      </w:r>
      <w:r w:rsidRPr="002B1A95">
        <w:t>accruing members</w:t>
      </w:r>
      <w:bookmarkEnd w:id="77"/>
    </w:p>
    <w:p w:rsidR="005B63A2" w:rsidRPr="002B1A95" w:rsidRDefault="005B63A2" w:rsidP="005B63A2">
      <w:pPr>
        <w:pStyle w:val="subsection"/>
      </w:pPr>
      <w:r w:rsidRPr="002B1A95">
        <w:tab/>
        <w:t>(1)</w:t>
      </w:r>
      <w:r w:rsidRPr="002B1A95">
        <w:tab/>
        <w:t>This section applies if you are a non</w:t>
      </w:r>
      <w:r w:rsidR="00782250">
        <w:noBreakHyphen/>
      </w:r>
      <w:r w:rsidRPr="002B1A95">
        <w:t>accruing member of a superannuation fund for a financial year.</w:t>
      </w:r>
    </w:p>
    <w:p w:rsidR="005B63A2" w:rsidRPr="002B1A95" w:rsidRDefault="005B63A2" w:rsidP="005B63A2">
      <w:pPr>
        <w:pStyle w:val="subsection"/>
      </w:pPr>
      <w:r w:rsidRPr="002B1A95">
        <w:tab/>
        <w:t>(2)</w:t>
      </w:r>
      <w:r w:rsidRPr="002B1A95">
        <w:tab/>
        <w:t xml:space="preserve">Your </w:t>
      </w:r>
      <w:r w:rsidRPr="002B1A95">
        <w:rPr>
          <w:b/>
          <w:i/>
        </w:rPr>
        <w:t>defined benefit contributions</w:t>
      </w:r>
      <w:r w:rsidRPr="002B1A95">
        <w:t xml:space="preserve"> for the financial year in respect of your defined benefit interest in the fund is nil.</w:t>
      </w:r>
    </w:p>
    <w:p w:rsidR="005B63A2" w:rsidRPr="002B1A95" w:rsidRDefault="005B63A2" w:rsidP="005B63A2">
      <w:pPr>
        <w:pStyle w:val="ActHead5"/>
      </w:pPr>
      <w:bookmarkStart w:id="78" w:name="_Toc49765258"/>
      <w:r w:rsidRPr="00411C46">
        <w:rPr>
          <w:rStyle w:val="CharSectno"/>
        </w:rPr>
        <w:t>293</w:t>
      </w:r>
      <w:r w:rsidR="00782250" w:rsidRPr="00411C46">
        <w:rPr>
          <w:rStyle w:val="CharSectno"/>
        </w:rPr>
        <w:noBreakHyphen/>
      </w:r>
      <w:r w:rsidRPr="00411C46">
        <w:rPr>
          <w:rStyle w:val="CharSectno"/>
        </w:rPr>
        <w:t>115.15</w:t>
      </w:r>
      <w:r w:rsidRPr="002B1A95">
        <w:t xml:space="preserve">  Defined benefit contributions—accruing members with funded benefit interests</w:t>
      </w:r>
      <w:bookmarkEnd w:id="78"/>
    </w:p>
    <w:p w:rsidR="005B63A2" w:rsidRPr="002B1A95" w:rsidRDefault="005B63A2" w:rsidP="005B63A2">
      <w:pPr>
        <w:pStyle w:val="subsection"/>
      </w:pPr>
      <w:r w:rsidRPr="002B1A95">
        <w:tab/>
        <w:t>(1)</w:t>
      </w:r>
      <w:r w:rsidRPr="002B1A95">
        <w:tab/>
        <w:t>This section applies if:</w:t>
      </w:r>
    </w:p>
    <w:p w:rsidR="005B63A2" w:rsidRPr="002B1A95" w:rsidRDefault="005B63A2" w:rsidP="005B63A2">
      <w:pPr>
        <w:pStyle w:val="paragraph"/>
      </w:pPr>
      <w:r w:rsidRPr="002B1A95">
        <w:tab/>
        <w:t>(a)</w:t>
      </w:r>
      <w:r w:rsidRPr="002B1A95">
        <w:tab/>
        <w:t>you are an accruing member of a superannuation fund for the financial year; and</w:t>
      </w:r>
    </w:p>
    <w:p w:rsidR="005B63A2" w:rsidRPr="002B1A95" w:rsidRDefault="005B63A2" w:rsidP="005B63A2">
      <w:pPr>
        <w:pStyle w:val="paragraph"/>
      </w:pPr>
      <w:r w:rsidRPr="002B1A95">
        <w:tab/>
        <w:t>(b)</w:t>
      </w:r>
      <w:r w:rsidRPr="002B1A95">
        <w:tab/>
        <w:t>your defined benefit interest in the fund for the financial year is a funded benefit interest.</w:t>
      </w:r>
    </w:p>
    <w:p w:rsidR="005B63A2" w:rsidRPr="002B1A95" w:rsidRDefault="005B63A2" w:rsidP="005B63A2">
      <w:pPr>
        <w:pStyle w:val="subsection"/>
      </w:pPr>
      <w:r w:rsidRPr="002B1A95">
        <w:tab/>
        <w:t>(2)</w:t>
      </w:r>
      <w:r w:rsidRPr="002B1A95">
        <w:tab/>
        <w:t xml:space="preserve">The interest is a </w:t>
      </w:r>
      <w:r w:rsidRPr="002B1A95">
        <w:rPr>
          <w:b/>
          <w:i/>
        </w:rPr>
        <w:t>funded benefit interest</w:t>
      </w:r>
      <w:r w:rsidRPr="002B1A95">
        <w:t xml:space="preserve"> if:</w:t>
      </w:r>
    </w:p>
    <w:p w:rsidR="005B63A2" w:rsidRPr="002B1A95" w:rsidRDefault="005B63A2" w:rsidP="005B63A2">
      <w:pPr>
        <w:pStyle w:val="paragraph"/>
      </w:pPr>
      <w:r w:rsidRPr="002B1A95">
        <w:tab/>
        <w:t>(a)</w:t>
      </w:r>
      <w:r w:rsidRPr="002B1A95">
        <w:tab/>
        <w:t>the interest is in a complying superannuation fund that is not a constitutionally protected fund; and</w:t>
      </w:r>
    </w:p>
    <w:p w:rsidR="005B63A2" w:rsidRPr="002B1A95" w:rsidRDefault="005B63A2" w:rsidP="005B63A2">
      <w:pPr>
        <w:pStyle w:val="paragraph"/>
      </w:pPr>
      <w:r w:rsidRPr="002B1A95">
        <w:tab/>
        <w:t>(b)</w:t>
      </w:r>
      <w:r w:rsidRPr="002B1A95">
        <w:tab/>
        <w:t>if the interest is in a public sector superannuation scheme:</w:t>
      </w:r>
    </w:p>
    <w:p w:rsidR="005B63A2" w:rsidRPr="002B1A95" w:rsidRDefault="005B63A2" w:rsidP="005B63A2">
      <w:pPr>
        <w:pStyle w:val="paragraphsub"/>
      </w:pPr>
      <w:r w:rsidRPr="002B1A95">
        <w:tab/>
        <w:t>(i)</w:t>
      </w:r>
      <w:r w:rsidRPr="002B1A95">
        <w:tab/>
        <w:t>the fund trustee has certified, for the financial year, that the fund trustee considers that the scheme will only ever pay superannuation benefits from contributions made to the scheme or earnings from the contributions; and</w:t>
      </w:r>
    </w:p>
    <w:p w:rsidR="005B63A2" w:rsidRPr="002B1A95" w:rsidRDefault="005B63A2" w:rsidP="005B63A2">
      <w:pPr>
        <w:pStyle w:val="paragraphsub"/>
      </w:pPr>
      <w:r w:rsidRPr="002B1A95">
        <w:lastRenderedPageBreak/>
        <w:tab/>
        <w:t>(ii)</w:t>
      </w:r>
      <w:r w:rsidRPr="002B1A95">
        <w:tab/>
        <w:t>the fund trustee has not chosen, under section</w:t>
      </w:r>
      <w:r w:rsidR="002B1A95" w:rsidRPr="002B1A95">
        <w:t> </w:t>
      </w:r>
      <w:r w:rsidRPr="002B1A95">
        <w:t>295</w:t>
      </w:r>
      <w:r w:rsidR="00782250">
        <w:noBreakHyphen/>
      </w:r>
      <w:r w:rsidRPr="002B1A95">
        <w:t>180 of the Act, to have contributions made by you, or on your behalf, excluded from the assessable income of the scheme for the financial year.</w:t>
      </w:r>
    </w:p>
    <w:p w:rsidR="005B63A2" w:rsidRPr="002B1A95" w:rsidRDefault="005B63A2" w:rsidP="005B63A2">
      <w:pPr>
        <w:pStyle w:val="subsection"/>
      </w:pPr>
      <w:r w:rsidRPr="002B1A95">
        <w:tab/>
        <w:t>(3)</w:t>
      </w:r>
      <w:r w:rsidRPr="002B1A95">
        <w:tab/>
        <w:t xml:space="preserve">Your </w:t>
      </w:r>
      <w:r w:rsidRPr="002B1A95">
        <w:rPr>
          <w:b/>
          <w:i/>
        </w:rPr>
        <w:t>defined benefit contributions</w:t>
      </w:r>
      <w:r w:rsidRPr="002B1A95">
        <w:t xml:space="preserve"> for the financial year in respect of the interest is your notional taxed contributions for the year in respect of the interest.</w:t>
      </w:r>
    </w:p>
    <w:p w:rsidR="005B63A2" w:rsidRPr="002B1A95" w:rsidRDefault="005B63A2" w:rsidP="005B63A2">
      <w:pPr>
        <w:pStyle w:val="notetext"/>
      </w:pPr>
      <w:r w:rsidRPr="002B1A95">
        <w:t>Note:</w:t>
      </w:r>
      <w:r w:rsidRPr="002B1A95">
        <w:tab/>
        <w:t xml:space="preserve">For </w:t>
      </w:r>
      <w:r w:rsidRPr="002B1A95">
        <w:rPr>
          <w:b/>
          <w:i/>
        </w:rPr>
        <w:t>notional taxed contributions</w:t>
      </w:r>
      <w:r w:rsidRPr="002B1A95">
        <w:t>, see section</w:t>
      </w:r>
      <w:r w:rsidR="002B1A95" w:rsidRPr="002B1A95">
        <w:t> </w:t>
      </w:r>
      <w:r w:rsidRPr="002B1A95">
        <w:t>291</w:t>
      </w:r>
      <w:r w:rsidR="00782250">
        <w:noBreakHyphen/>
      </w:r>
      <w:r w:rsidRPr="002B1A95">
        <w:t>170 of the Act and Subdivision</w:t>
      </w:r>
      <w:r w:rsidR="002B1A95" w:rsidRPr="002B1A95">
        <w:t> </w:t>
      </w:r>
      <w:r w:rsidRPr="002B1A95">
        <w:t>291</w:t>
      </w:r>
      <w:r w:rsidR="00782250">
        <w:noBreakHyphen/>
      </w:r>
      <w:r w:rsidRPr="002B1A95">
        <w:t>C of this instrument.</w:t>
      </w:r>
    </w:p>
    <w:p w:rsidR="005B63A2" w:rsidRPr="002B1A95" w:rsidRDefault="005B63A2" w:rsidP="005B63A2">
      <w:pPr>
        <w:pStyle w:val="subsection"/>
      </w:pPr>
      <w:r w:rsidRPr="002B1A95">
        <w:tab/>
        <w:t>(4)</w:t>
      </w:r>
      <w:r w:rsidRPr="002B1A95">
        <w:tab/>
        <w:t xml:space="preserve">In working out your notional taxed contributions for the purposes of </w:t>
      </w:r>
      <w:r w:rsidR="002B1A95" w:rsidRPr="002B1A95">
        <w:t>subsection (</w:t>
      </w:r>
      <w:r w:rsidRPr="002B1A95">
        <w:t>3), disregard Subdivision</w:t>
      </w:r>
      <w:r w:rsidR="002B1A95" w:rsidRPr="002B1A95">
        <w:t> </w:t>
      </w:r>
      <w:r w:rsidRPr="002B1A95">
        <w:t>291</w:t>
      </w:r>
      <w:r w:rsidR="00782250">
        <w:noBreakHyphen/>
      </w:r>
      <w:r w:rsidRPr="002B1A95">
        <w:t xml:space="preserve">C of the </w:t>
      </w:r>
      <w:r w:rsidRPr="002B1A95">
        <w:rPr>
          <w:i/>
        </w:rPr>
        <w:t>Income Tax (Transitional Provisions) Act 1997</w:t>
      </w:r>
      <w:r w:rsidRPr="002B1A95">
        <w:t>.</w:t>
      </w:r>
    </w:p>
    <w:p w:rsidR="005B63A2" w:rsidRPr="002B1A95" w:rsidRDefault="005B63A2" w:rsidP="005B63A2">
      <w:pPr>
        <w:pStyle w:val="ActHead5"/>
      </w:pPr>
      <w:bookmarkStart w:id="79" w:name="_Toc49765259"/>
      <w:r w:rsidRPr="00411C46">
        <w:rPr>
          <w:rStyle w:val="CharSectno"/>
        </w:rPr>
        <w:t>293</w:t>
      </w:r>
      <w:r w:rsidR="00782250" w:rsidRPr="00411C46">
        <w:rPr>
          <w:rStyle w:val="CharSectno"/>
        </w:rPr>
        <w:noBreakHyphen/>
      </w:r>
      <w:r w:rsidRPr="00411C46">
        <w:rPr>
          <w:rStyle w:val="CharSectno"/>
        </w:rPr>
        <w:t>115.20</w:t>
      </w:r>
      <w:r w:rsidRPr="002B1A95">
        <w:t xml:space="preserve">  Defined benefit contributions—accruing members with other interests</w:t>
      </w:r>
      <w:bookmarkEnd w:id="79"/>
    </w:p>
    <w:p w:rsidR="005B63A2" w:rsidRPr="002B1A95" w:rsidRDefault="005B63A2" w:rsidP="005B63A2">
      <w:pPr>
        <w:pStyle w:val="subsection"/>
      </w:pPr>
      <w:r w:rsidRPr="002B1A95">
        <w:tab/>
        <w:t>(1)</w:t>
      </w:r>
      <w:r w:rsidRPr="002B1A95">
        <w:tab/>
        <w:t>This section applies if:</w:t>
      </w:r>
    </w:p>
    <w:p w:rsidR="005B63A2" w:rsidRPr="002B1A95" w:rsidRDefault="005B63A2" w:rsidP="005B63A2">
      <w:pPr>
        <w:pStyle w:val="paragraph"/>
      </w:pPr>
      <w:r w:rsidRPr="002B1A95">
        <w:tab/>
        <w:t>(a)</w:t>
      </w:r>
      <w:r w:rsidRPr="002B1A95">
        <w:tab/>
        <w:t>you are an accruing member of a superannuation fund for the financial year; and</w:t>
      </w:r>
    </w:p>
    <w:p w:rsidR="005B63A2" w:rsidRPr="002B1A95" w:rsidRDefault="005B63A2" w:rsidP="005B63A2">
      <w:pPr>
        <w:pStyle w:val="paragraph"/>
      </w:pPr>
      <w:r w:rsidRPr="002B1A95">
        <w:tab/>
        <w:t>(b)</w:t>
      </w:r>
      <w:r w:rsidRPr="002B1A95">
        <w:tab/>
        <w:t>your defined benefit interest in the fund for the financial year is an interest other than a funded benefit interest.</w:t>
      </w:r>
    </w:p>
    <w:p w:rsidR="005B63A2" w:rsidRPr="002B1A95" w:rsidRDefault="005B63A2" w:rsidP="005B63A2">
      <w:pPr>
        <w:pStyle w:val="subsection"/>
      </w:pPr>
      <w:r w:rsidRPr="002B1A95">
        <w:tab/>
        <w:t>(2)</w:t>
      </w:r>
      <w:r w:rsidRPr="002B1A95">
        <w:tab/>
        <w:t xml:space="preserve">Your </w:t>
      </w:r>
      <w:r w:rsidRPr="002B1A95">
        <w:rPr>
          <w:b/>
          <w:i/>
        </w:rPr>
        <w:t>defined benefit contributions</w:t>
      </w:r>
      <w:r w:rsidRPr="002B1A95">
        <w:t xml:space="preserve"> for the financial year in respect of the interest is the amount worked out using the method in Schedule</w:t>
      </w:r>
      <w:r w:rsidR="002B1A95" w:rsidRPr="002B1A95">
        <w:t> </w:t>
      </w:r>
      <w:r w:rsidRPr="002B1A95">
        <w:t>1AA.</w:t>
      </w:r>
    </w:p>
    <w:p w:rsidR="005B63A2" w:rsidRPr="002B1A95" w:rsidRDefault="005B63A2" w:rsidP="005B63A2">
      <w:pPr>
        <w:pStyle w:val="ActHead4"/>
      </w:pPr>
      <w:bookmarkStart w:id="80" w:name="_Toc49765260"/>
      <w:r w:rsidRPr="00411C46">
        <w:rPr>
          <w:rStyle w:val="CharSubdNo"/>
          <w:rFonts w:eastAsiaTheme="majorEastAsia"/>
        </w:rPr>
        <w:t>Subdivision</w:t>
      </w:r>
      <w:r w:rsidR="002B1A95" w:rsidRPr="00411C46">
        <w:rPr>
          <w:rStyle w:val="CharSubdNo"/>
          <w:rFonts w:eastAsiaTheme="majorEastAsia"/>
        </w:rPr>
        <w:t> </w:t>
      </w:r>
      <w:r w:rsidRPr="00411C46">
        <w:rPr>
          <w:rStyle w:val="CharSubdNo"/>
          <w:rFonts w:eastAsiaTheme="majorEastAsia"/>
        </w:rPr>
        <w:t>293</w:t>
      </w:r>
      <w:r w:rsidR="00782250" w:rsidRPr="00411C46">
        <w:rPr>
          <w:rStyle w:val="CharSubdNo"/>
          <w:rFonts w:eastAsiaTheme="majorEastAsia"/>
        </w:rPr>
        <w:noBreakHyphen/>
      </w:r>
      <w:r w:rsidRPr="00411C46">
        <w:rPr>
          <w:rStyle w:val="CharSubdNo"/>
          <w:rFonts w:eastAsiaTheme="majorEastAsia"/>
        </w:rPr>
        <w:t>E</w:t>
      </w:r>
      <w:r w:rsidRPr="002B1A95">
        <w:t>—</w:t>
      </w:r>
      <w:r w:rsidRPr="00411C46">
        <w:rPr>
          <w:rStyle w:val="CharSubdText"/>
          <w:rFonts w:eastAsiaTheme="majorEastAsia"/>
        </w:rPr>
        <w:t>Modifications for constitutionally protected State higher level office holders</w:t>
      </w:r>
      <w:bookmarkEnd w:id="80"/>
    </w:p>
    <w:p w:rsidR="005B63A2" w:rsidRPr="002B1A95" w:rsidRDefault="005B63A2" w:rsidP="005B63A2">
      <w:pPr>
        <w:pStyle w:val="ActHead5"/>
      </w:pPr>
      <w:bookmarkStart w:id="81" w:name="_Toc49765261"/>
      <w:r w:rsidRPr="00411C46">
        <w:rPr>
          <w:rStyle w:val="CharSectno"/>
        </w:rPr>
        <w:t>293</w:t>
      </w:r>
      <w:r w:rsidR="00782250" w:rsidRPr="00411C46">
        <w:rPr>
          <w:rStyle w:val="CharSectno"/>
        </w:rPr>
        <w:noBreakHyphen/>
      </w:r>
      <w:r w:rsidRPr="00411C46">
        <w:rPr>
          <w:rStyle w:val="CharSectno"/>
        </w:rPr>
        <w:t>145.01</w:t>
      </w:r>
      <w:r w:rsidRPr="002B1A95">
        <w:t xml:space="preserve">  Constitutionally protected State higher level office holders</w:t>
      </w:r>
      <w:bookmarkEnd w:id="81"/>
    </w:p>
    <w:p w:rsidR="005B63A2" w:rsidRPr="002B1A95" w:rsidRDefault="005B63A2" w:rsidP="005B63A2">
      <w:pPr>
        <w:pStyle w:val="subsection"/>
      </w:pPr>
      <w:r w:rsidRPr="002B1A95">
        <w:tab/>
      </w:r>
      <w:r w:rsidRPr="002B1A95">
        <w:tab/>
        <w:t xml:space="preserve">For </w:t>
      </w:r>
      <w:r w:rsidRPr="002B1A95">
        <w:rPr>
          <w:color w:val="000000"/>
        </w:rPr>
        <w:t xml:space="preserve">the purposes of </w:t>
      </w:r>
      <w:r w:rsidRPr="002B1A95">
        <w:t>paragraph</w:t>
      </w:r>
      <w:r w:rsidR="002B1A95" w:rsidRPr="002B1A95">
        <w:t> </w:t>
      </w:r>
      <w:r w:rsidRPr="002B1A95">
        <w:t>293</w:t>
      </w:r>
      <w:r w:rsidR="00782250">
        <w:noBreakHyphen/>
      </w:r>
      <w:r w:rsidRPr="002B1A95">
        <w:t>145(1)(b) of the Act, the following individuals are declared:</w:t>
      </w:r>
    </w:p>
    <w:p w:rsidR="005B63A2" w:rsidRPr="002B1A95" w:rsidRDefault="005B63A2" w:rsidP="005B63A2">
      <w:pPr>
        <w:pStyle w:val="paragraph"/>
      </w:pPr>
      <w:r w:rsidRPr="002B1A95">
        <w:tab/>
        <w:t>(a)</w:t>
      </w:r>
      <w:r w:rsidRPr="002B1A95">
        <w:tab/>
        <w:t>a Minister of the government of a State;</w:t>
      </w:r>
    </w:p>
    <w:p w:rsidR="005B63A2" w:rsidRPr="002B1A95" w:rsidRDefault="005B63A2" w:rsidP="005B63A2">
      <w:pPr>
        <w:pStyle w:val="paragraph"/>
      </w:pPr>
      <w:r w:rsidRPr="002B1A95">
        <w:tab/>
        <w:t>(b)</w:t>
      </w:r>
      <w:r w:rsidRPr="002B1A95">
        <w:tab/>
        <w:t>a member of the staff of a Minister of the government of a State;</w:t>
      </w:r>
    </w:p>
    <w:p w:rsidR="005B63A2" w:rsidRPr="002B1A95" w:rsidRDefault="005B63A2" w:rsidP="005B63A2">
      <w:pPr>
        <w:pStyle w:val="paragraph"/>
      </w:pPr>
      <w:r w:rsidRPr="002B1A95">
        <w:tab/>
        <w:t>(c)</w:t>
      </w:r>
      <w:r w:rsidRPr="002B1A95">
        <w:tab/>
        <w:t>the Governor of a State;</w:t>
      </w:r>
    </w:p>
    <w:p w:rsidR="005B63A2" w:rsidRPr="002B1A95" w:rsidRDefault="005B63A2" w:rsidP="005B63A2">
      <w:pPr>
        <w:pStyle w:val="paragraph"/>
      </w:pPr>
      <w:r w:rsidRPr="002B1A95">
        <w:tab/>
        <w:t>(d)</w:t>
      </w:r>
      <w:r w:rsidRPr="002B1A95">
        <w:tab/>
        <w:t>a member of staff of the Governor of a State;</w:t>
      </w:r>
    </w:p>
    <w:p w:rsidR="005B63A2" w:rsidRPr="002B1A95" w:rsidRDefault="005B63A2" w:rsidP="005B63A2">
      <w:pPr>
        <w:pStyle w:val="paragraph"/>
      </w:pPr>
      <w:r w:rsidRPr="002B1A95">
        <w:tab/>
        <w:t>(e)</w:t>
      </w:r>
      <w:r w:rsidRPr="002B1A95">
        <w:tab/>
        <w:t>a member of the Parliament of a State;</w:t>
      </w:r>
    </w:p>
    <w:p w:rsidR="005B63A2" w:rsidRPr="002B1A95" w:rsidRDefault="005B63A2" w:rsidP="005B63A2">
      <w:pPr>
        <w:pStyle w:val="paragraph"/>
      </w:pPr>
      <w:r w:rsidRPr="002B1A95">
        <w:tab/>
        <w:t>(f)</w:t>
      </w:r>
      <w:r w:rsidRPr="002B1A95">
        <w:tab/>
        <w:t>the Clerk of a house of the Parliament of a State;</w:t>
      </w:r>
    </w:p>
    <w:p w:rsidR="005B63A2" w:rsidRPr="002B1A95" w:rsidRDefault="005B63A2" w:rsidP="005B63A2">
      <w:pPr>
        <w:pStyle w:val="paragraph"/>
      </w:pPr>
      <w:r w:rsidRPr="002B1A95">
        <w:tab/>
        <w:t>(g)</w:t>
      </w:r>
      <w:r w:rsidRPr="002B1A95">
        <w:tab/>
        <w:t>the head of a Department of the Public Service of a State or a statutory office holder of equivalent seniority, including a statutory office holder who is the head of an instrumentality or agency of a State;</w:t>
      </w:r>
    </w:p>
    <w:p w:rsidR="005B63A2" w:rsidRPr="002B1A95" w:rsidRDefault="005B63A2" w:rsidP="005B63A2">
      <w:pPr>
        <w:pStyle w:val="paragraph"/>
      </w:pPr>
      <w:r w:rsidRPr="002B1A95">
        <w:tab/>
        <w:t>(h)</w:t>
      </w:r>
      <w:r w:rsidRPr="002B1A95">
        <w:tab/>
        <w:t>a judge, justice or magistrate of the court of a State.</w:t>
      </w:r>
    </w:p>
    <w:p w:rsidR="005B63A2" w:rsidRPr="002B1A95" w:rsidRDefault="005B63A2" w:rsidP="005B63A2">
      <w:pPr>
        <w:pStyle w:val="ActHead3"/>
        <w:pageBreakBefore/>
      </w:pPr>
      <w:bookmarkStart w:id="82" w:name="_Toc49765262"/>
      <w:r w:rsidRPr="00411C46">
        <w:rPr>
          <w:rStyle w:val="CharDivNo"/>
        </w:rPr>
        <w:lastRenderedPageBreak/>
        <w:t>Division</w:t>
      </w:r>
      <w:r w:rsidR="002B1A95" w:rsidRPr="00411C46">
        <w:rPr>
          <w:rStyle w:val="CharDivNo"/>
        </w:rPr>
        <w:t> </w:t>
      </w:r>
      <w:r w:rsidRPr="00411C46">
        <w:rPr>
          <w:rStyle w:val="CharDivNo"/>
        </w:rPr>
        <w:t>294</w:t>
      </w:r>
      <w:r w:rsidRPr="002B1A95">
        <w:t>—</w:t>
      </w:r>
      <w:r w:rsidRPr="00411C46">
        <w:rPr>
          <w:rStyle w:val="CharDivText"/>
        </w:rPr>
        <w:t>Transfer balance cap</w:t>
      </w:r>
      <w:bookmarkEnd w:id="82"/>
    </w:p>
    <w:p w:rsidR="005B63A2" w:rsidRPr="002B1A95" w:rsidRDefault="005B63A2" w:rsidP="005B63A2">
      <w:pPr>
        <w:pStyle w:val="ActHead4"/>
      </w:pPr>
      <w:bookmarkStart w:id="83" w:name="_Toc49765263"/>
      <w:r w:rsidRPr="00411C46">
        <w:rPr>
          <w:rStyle w:val="CharSubdNo"/>
        </w:rPr>
        <w:t>Subdivision</w:t>
      </w:r>
      <w:r w:rsidR="002B1A95" w:rsidRPr="00411C46">
        <w:rPr>
          <w:rStyle w:val="CharSubdNo"/>
        </w:rPr>
        <w:t> </w:t>
      </w:r>
      <w:r w:rsidRPr="00411C46">
        <w:rPr>
          <w:rStyle w:val="CharSubdNo"/>
        </w:rPr>
        <w:t>294</w:t>
      </w:r>
      <w:r w:rsidR="00782250" w:rsidRPr="00411C46">
        <w:rPr>
          <w:rStyle w:val="CharSubdNo"/>
        </w:rPr>
        <w:noBreakHyphen/>
      </w:r>
      <w:r w:rsidRPr="00411C46">
        <w:rPr>
          <w:rStyle w:val="CharSubdNo"/>
        </w:rPr>
        <w:t>B</w:t>
      </w:r>
      <w:r w:rsidRPr="002B1A95">
        <w:t>—</w:t>
      </w:r>
      <w:r w:rsidRPr="00411C46">
        <w:rPr>
          <w:rStyle w:val="CharSubdText"/>
        </w:rPr>
        <w:t>Transfer balance account</w:t>
      </w:r>
      <w:bookmarkEnd w:id="83"/>
    </w:p>
    <w:p w:rsidR="005B63A2" w:rsidRPr="002B1A95" w:rsidRDefault="005B63A2" w:rsidP="005B63A2">
      <w:pPr>
        <w:pStyle w:val="ActHead5"/>
      </w:pPr>
      <w:bookmarkStart w:id="84" w:name="_Toc49765264"/>
      <w:r w:rsidRPr="00411C46">
        <w:rPr>
          <w:rStyle w:val="CharSectno"/>
        </w:rPr>
        <w:t>294</w:t>
      </w:r>
      <w:r w:rsidR="00782250" w:rsidRPr="00411C46">
        <w:rPr>
          <w:rStyle w:val="CharSectno"/>
        </w:rPr>
        <w:noBreakHyphen/>
      </w:r>
      <w:r w:rsidRPr="00411C46">
        <w:rPr>
          <w:rStyle w:val="CharSectno"/>
        </w:rPr>
        <w:t>25.01</w:t>
      </w:r>
      <w:r w:rsidRPr="002B1A95">
        <w:t xml:space="preserve">  Credit in transfer balance account—payment of consideration for interest supporting deferred superannuation income stream</w:t>
      </w:r>
      <w:bookmarkEnd w:id="84"/>
    </w:p>
    <w:p w:rsidR="005B63A2" w:rsidRPr="002B1A95" w:rsidRDefault="005B63A2" w:rsidP="005B63A2">
      <w:pPr>
        <w:pStyle w:val="subsection"/>
      </w:pPr>
      <w:r w:rsidRPr="002B1A95">
        <w:tab/>
        <w:t>(1)</w:t>
      </w:r>
      <w:r w:rsidRPr="002B1A95">
        <w:tab/>
        <w:t>For the purposes of item</w:t>
      </w:r>
      <w:r w:rsidR="002B1A95" w:rsidRPr="002B1A95">
        <w:t> </w:t>
      </w:r>
      <w:r w:rsidRPr="002B1A95">
        <w:t>5 of the table in subsection</w:t>
      </w:r>
      <w:r w:rsidR="002B1A95" w:rsidRPr="002B1A95">
        <w:t> </w:t>
      </w:r>
      <w:r w:rsidRPr="002B1A95">
        <w:t>294</w:t>
      </w:r>
      <w:r w:rsidR="00782250">
        <w:noBreakHyphen/>
      </w:r>
      <w:r w:rsidRPr="002B1A95">
        <w:t>25(1) of the Act, a transfer balance credit arises under this section in your transfer balance account if:</w:t>
      </w:r>
    </w:p>
    <w:p w:rsidR="005B63A2" w:rsidRPr="002B1A95" w:rsidRDefault="005B63A2" w:rsidP="005B63A2">
      <w:pPr>
        <w:pStyle w:val="paragraph"/>
      </w:pPr>
      <w:r w:rsidRPr="002B1A95">
        <w:tab/>
        <w:t>(a)</w:t>
      </w:r>
      <w:r w:rsidRPr="002B1A95">
        <w:tab/>
        <w:t>you are the retirement phase recipient of a superannuation income stream; and</w:t>
      </w:r>
    </w:p>
    <w:p w:rsidR="005B63A2" w:rsidRPr="002B1A95" w:rsidRDefault="005B63A2" w:rsidP="005B63A2">
      <w:pPr>
        <w:pStyle w:val="paragraph"/>
      </w:pPr>
      <w:r w:rsidRPr="002B1A95">
        <w:tab/>
        <w:t>(b)</w:t>
      </w:r>
      <w:r w:rsidRPr="002B1A95">
        <w:tab/>
        <w:t>the superannuation income stream is a deferred superannuation income stream; and</w:t>
      </w:r>
    </w:p>
    <w:p w:rsidR="005B63A2" w:rsidRPr="002B1A95" w:rsidRDefault="005B63A2" w:rsidP="005B63A2">
      <w:pPr>
        <w:pStyle w:val="paragraph"/>
      </w:pPr>
      <w:r w:rsidRPr="002B1A95">
        <w:tab/>
        <w:t>(c)</w:t>
      </w:r>
      <w:r w:rsidRPr="002B1A95">
        <w:tab/>
        <w:t>after you start to be the retirement phase recipient of the superannuation income stream, you pay an amount of consideration for the superannuation interest that supports the superannuation income stream.</w:t>
      </w:r>
    </w:p>
    <w:p w:rsidR="005B63A2" w:rsidRPr="002B1A95" w:rsidRDefault="005B63A2" w:rsidP="005B63A2">
      <w:pPr>
        <w:pStyle w:val="subsection"/>
      </w:pPr>
      <w:r w:rsidRPr="002B1A95">
        <w:tab/>
        <w:t>(2)</w:t>
      </w:r>
      <w:r w:rsidRPr="002B1A95">
        <w:tab/>
        <w:t>The amount of the credit is the amount of the consideration.</w:t>
      </w:r>
    </w:p>
    <w:p w:rsidR="005B63A2" w:rsidRPr="002B1A95" w:rsidRDefault="005B63A2" w:rsidP="005B63A2">
      <w:pPr>
        <w:pStyle w:val="subsection"/>
      </w:pPr>
      <w:r w:rsidRPr="002B1A95">
        <w:tab/>
        <w:t>(3)</w:t>
      </w:r>
      <w:r w:rsidRPr="002B1A95">
        <w:tab/>
        <w:t>The credit arises at the time you pay the consideration.</w:t>
      </w:r>
    </w:p>
    <w:p w:rsidR="005B63A2" w:rsidRPr="002B1A95" w:rsidRDefault="005B63A2" w:rsidP="005B63A2">
      <w:pPr>
        <w:pStyle w:val="ActHead4"/>
      </w:pPr>
      <w:bookmarkStart w:id="85" w:name="_Toc49765265"/>
      <w:r w:rsidRPr="00411C46">
        <w:rPr>
          <w:rStyle w:val="CharSubdNo"/>
        </w:rPr>
        <w:t>Subdivision</w:t>
      </w:r>
      <w:r w:rsidR="002B1A95" w:rsidRPr="00411C46">
        <w:rPr>
          <w:rStyle w:val="CharSubdNo"/>
        </w:rPr>
        <w:t> </w:t>
      </w:r>
      <w:r w:rsidRPr="00411C46">
        <w:rPr>
          <w:rStyle w:val="CharSubdNo"/>
        </w:rPr>
        <w:t>294</w:t>
      </w:r>
      <w:r w:rsidR="00782250" w:rsidRPr="00411C46">
        <w:rPr>
          <w:rStyle w:val="CharSubdNo"/>
        </w:rPr>
        <w:noBreakHyphen/>
      </w:r>
      <w:r w:rsidRPr="00411C46">
        <w:rPr>
          <w:rStyle w:val="CharSubdNo"/>
        </w:rPr>
        <w:t>C</w:t>
      </w:r>
      <w:r w:rsidRPr="002B1A95">
        <w:t>—</w:t>
      </w:r>
      <w:r w:rsidRPr="00411C46">
        <w:rPr>
          <w:rStyle w:val="CharSubdText"/>
        </w:rPr>
        <w:t>Transfer balance debits</w:t>
      </w:r>
      <w:bookmarkEnd w:id="85"/>
    </w:p>
    <w:p w:rsidR="005B63A2" w:rsidRPr="002B1A95" w:rsidRDefault="005B63A2" w:rsidP="005B63A2">
      <w:pPr>
        <w:pStyle w:val="ActHead5"/>
      </w:pPr>
      <w:bookmarkStart w:id="86" w:name="_Toc49765266"/>
      <w:r w:rsidRPr="00411C46">
        <w:rPr>
          <w:rStyle w:val="CharSectno"/>
        </w:rPr>
        <w:t>294</w:t>
      </w:r>
      <w:r w:rsidR="00782250" w:rsidRPr="00411C46">
        <w:rPr>
          <w:rStyle w:val="CharSectno"/>
        </w:rPr>
        <w:noBreakHyphen/>
      </w:r>
      <w:r w:rsidRPr="00411C46">
        <w:rPr>
          <w:rStyle w:val="CharSectno"/>
        </w:rPr>
        <w:t>80.01</w:t>
      </w:r>
      <w:r w:rsidRPr="002B1A95">
        <w:t xml:space="preserve">  Debit in transfer balance account—reduction in amount of superannuation income stream benefit</w:t>
      </w:r>
      <w:bookmarkEnd w:id="86"/>
    </w:p>
    <w:p w:rsidR="005B63A2" w:rsidRPr="002B1A95" w:rsidRDefault="005B63A2" w:rsidP="005B63A2">
      <w:pPr>
        <w:pStyle w:val="subsection"/>
      </w:pPr>
      <w:r w:rsidRPr="002B1A95">
        <w:tab/>
        <w:t>(1)</w:t>
      </w:r>
      <w:r w:rsidRPr="002B1A95">
        <w:tab/>
        <w:t>For the purposes of item</w:t>
      </w:r>
      <w:r w:rsidR="002B1A95" w:rsidRPr="002B1A95">
        <w:t> </w:t>
      </w:r>
      <w:r w:rsidRPr="002B1A95">
        <w:t>8 of the table in subsection</w:t>
      </w:r>
      <w:r w:rsidR="002B1A95" w:rsidRPr="002B1A95">
        <w:t> </w:t>
      </w:r>
      <w:r w:rsidRPr="002B1A95">
        <w:t>294</w:t>
      </w:r>
      <w:r w:rsidR="00782250">
        <w:noBreakHyphen/>
      </w:r>
      <w:r w:rsidRPr="002B1A95">
        <w:t>80(1) of the Act, a transfer balance debit arises under this section in your transfer balance account if:</w:t>
      </w:r>
    </w:p>
    <w:p w:rsidR="005B63A2" w:rsidRPr="002B1A95" w:rsidRDefault="005B63A2" w:rsidP="005B63A2">
      <w:pPr>
        <w:pStyle w:val="paragraph"/>
      </w:pPr>
      <w:r w:rsidRPr="002B1A95">
        <w:tab/>
        <w:t>(a)</w:t>
      </w:r>
      <w:r w:rsidRPr="002B1A95">
        <w:tab/>
        <w:t>you are the retirement phase recipient of a superannuation income stream; and</w:t>
      </w:r>
    </w:p>
    <w:p w:rsidR="005B63A2" w:rsidRPr="002B1A95" w:rsidRDefault="005B63A2" w:rsidP="005B63A2">
      <w:pPr>
        <w:pStyle w:val="paragraph"/>
      </w:pPr>
      <w:r w:rsidRPr="002B1A95">
        <w:tab/>
        <w:t>(b)</w:t>
      </w:r>
      <w:r w:rsidRPr="002B1A95">
        <w:tab/>
        <w:t>the superannuation income stream is a capped defined benefit income stream that:</w:t>
      </w:r>
    </w:p>
    <w:p w:rsidR="005B63A2" w:rsidRPr="002B1A95" w:rsidRDefault="005B63A2" w:rsidP="005B63A2">
      <w:pPr>
        <w:pStyle w:val="paragraphsub"/>
      </w:pPr>
      <w:r w:rsidRPr="002B1A95">
        <w:tab/>
        <w:t>(i)</w:t>
      </w:r>
      <w:r w:rsidRPr="002B1A95">
        <w:tab/>
        <w:t>is covered by item</w:t>
      </w:r>
      <w:r w:rsidR="002B1A95" w:rsidRPr="002B1A95">
        <w:t> </w:t>
      </w:r>
      <w:r w:rsidRPr="002B1A95">
        <w:t>1 or 2 of the table in subsection</w:t>
      </w:r>
      <w:r w:rsidR="002B1A95" w:rsidRPr="002B1A95">
        <w:t> </w:t>
      </w:r>
      <w:r w:rsidRPr="002B1A95">
        <w:t>294</w:t>
      </w:r>
      <w:r w:rsidR="00782250">
        <w:noBreakHyphen/>
      </w:r>
      <w:r w:rsidRPr="002B1A95">
        <w:t>130(1) of the Act; or</w:t>
      </w:r>
    </w:p>
    <w:p w:rsidR="005B63A2" w:rsidRPr="002B1A95" w:rsidRDefault="005B63A2" w:rsidP="005B63A2">
      <w:pPr>
        <w:pStyle w:val="paragraphsub"/>
      </w:pPr>
      <w:r w:rsidRPr="002B1A95">
        <w:tab/>
        <w:t>(ii)</w:t>
      </w:r>
      <w:r w:rsidRPr="002B1A95">
        <w:tab/>
        <w:t>is prescribed by section 294</w:t>
      </w:r>
      <w:r w:rsidR="00782250">
        <w:noBreakHyphen/>
      </w:r>
      <w:r w:rsidRPr="002B1A95">
        <w:t>130.01 of this instrument (but is not a superannuation income stream to which subsection 294</w:t>
      </w:r>
      <w:r w:rsidR="00782250">
        <w:noBreakHyphen/>
      </w:r>
      <w:r w:rsidRPr="002B1A95">
        <w:t>130.01(5) of this instrument applies); and</w:t>
      </w:r>
    </w:p>
    <w:p w:rsidR="005B63A2" w:rsidRPr="002B1A95" w:rsidRDefault="005B63A2" w:rsidP="005B63A2">
      <w:pPr>
        <w:pStyle w:val="paragraph"/>
      </w:pPr>
      <w:r w:rsidRPr="002B1A95">
        <w:tab/>
        <w:t>(c)</w:t>
      </w:r>
      <w:r w:rsidRPr="002B1A95">
        <w:tab/>
        <w:t xml:space="preserve">you are entitled to receive a superannuation income stream benefit (the </w:t>
      </w:r>
      <w:r w:rsidRPr="002B1A95">
        <w:rPr>
          <w:b/>
          <w:i/>
        </w:rPr>
        <w:t>earlier benefit</w:t>
      </w:r>
      <w:r w:rsidRPr="002B1A95">
        <w:t xml:space="preserve">) from the superannuation income stream at a time (the </w:t>
      </w:r>
      <w:r w:rsidRPr="002B1A95">
        <w:rPr>
          <w:b/>
          <w:i/>
        </w:rPr>
        <w:t>earlier time</w:t>
      </w:r>
      <w:r w:rsidRPr="002B1A95">
        <w:t>); and</w:t>
      </w:r>
    </w:p>
    <w:p w:rsidR="005B63A2" w:rsidRPr="002B1A95" w:rsidRDefault="005B63A2" w:rsidP="005B63A2">
      <w:pPr>
        <w:pStyle w:val="paragraph"/>
      </w:pPr>
      <w:r w:rsidRPr="002B1A95">
        <w:tab/>
        <w:t>(d)</w:t>
      </w:r>
      <w:r w:rsidRPr="002B1A95">
        <w:tab/>
        <w:t xml:space="preserve">the amount of the next superannuation income stream benefit (the </w:t>
      </w:r>
      <w:r w:rsidRPr="002B1A95">
        <w:rPr>
          <w:b/>
          <w:i/>
        </w:rPr>
        <w:t>later benefit</w:t>
      </w:r>
      <w:r w:rsidRPr="002B1A95">
        <w:t>) that you are entitled to receive from the superannuation income stream falls short of the amount of the earlier benefit; and</w:t>
      </w:r>
    </w:p>
    <w:p w:rsidR="005B63A2" w:rsidRPr="002B1A95" w:rsidRDefault="005B63A2" w:rsidP="005B63A2">
      <w:pPr>
        <w:pStyle w:val="paragraph"/>
      </w:pPr>
      <w:r w:rsidRPr="002B1A95">
        <w:tab/>
        <w:t>(e)</w:t>
      </w:r>
      <w:r w:rsidRPr="002B1A95">
        <w:tab/>
        <w:t>that shortfall is not attributable to any of the following:</w:t>
      </w:r>
    </w:p>
    <w:p w:rsidR="005B63A2" w:rsidRPr="002B1A95" w:rsidRDefault="005B63A2" w:rsidP="005B63A2">
      <w:pPr>
        <w:pStyle w:val="paragraphsub"/>
      </w:pPr>
      <w:r w:rsidRPr="002B1A95">
        <w:lastRenderedPageBreak/>
        <w:tab/>
        <w:t>(i)</w:t>
      </w:r>
      <w:r w:rsidRPr="002B1A95">
        <w:tab/>
        <w:t>circumstances that cause a transfer balance debit to arise in your transfer balance account (other than because of this section);</w:t>
      </w:r>
    </w:p>
    <w:p w:rsidR="005B63A2" w:rsidRPr="002B1A95" w:rsidRDefault="005B63A2" w:rsidP="005B63A2">
      <w:pPr>
        <w:pStyle w:val="paragraphsub"/>
      </w:pPr>
      <w:r w:rsidRPr="002B1A95">
        <w:tab/>
        <w:t>(ii)</w:t>
      </w:r>
      <w:r w:rsidRPr="002B1A95">
        <w:tab/>
        <w:t xml:space="preserve"> a CPI adjustment in the amount of superannuation income stream benefits that you are entitled to receive from the superannuation income stream.</w:t>
      </w:r>
    </w:p>
    <w:p w:rsidR="005B63A2" w:rsidRPr="002B1A95" w:rsidRDefault="005B63A2" w:rsidP="005B63A2">
      <w:pPr>
        <w:pStyle w:val="subsection"/>
      </w:pPr>
      <w:r w:rsidRPr="002B1A95">
        <w:tab/>
        <w:t>(2)</w:t>
      </w:r>
      <w:r w:rsidRPr="002B1A95">
        <w:tab/>
        <w:t>The amount of the debit is:</w:t>
      </w:r>
    </w:p>
    <w:p w:rsidR="005B63A2" w:rsidRPr="002B1A95" w:rsidRDefault="005B63A2" w:rsidP="005B63A2">
      <w:pPr>
        <w:pStyle w:val="paragraph"/>
      </w:pPr>
      <w:r w:rsidRPr="002B1A95">
        <w:tab/>
        <w:t>(a)</w:t>
      </w:r>
      <w:r w:rsidRPr="002B1A95">
        <w:tab/>
        <w:t>the special value, just before the earlier time, of the superannuation interest that supports the superannuation income stream; less</w:t>
      </w:r>
    </w:p>
    <w:p w:rsidR="005B63A2" w:rsidRPr="002B1A95" w:rsidRDefault="005B63A2" w:rsidP="005B63A2">
      <w:pPr>
        <w:pStyle w:val="paragraph"/>
      </w:pPr>
      <w:r w:rsidRPr="002B1A95">
        <w:tab/>
        <w:t>(b)</w:t>
      </w:r>
      <w:r w:rsidRPr="002B1A95">
        <w:tab/>
        <w:t xml:space="preserve">the special value, just before the time (the </w:t>
      </w:r>
      <w:r w:rsidRPr="002B1A95">
        <w:rPr>
          <w:b/>
          <w:i/>
        </w:rPr>
        <w:t>later time</w:t>
      </w:r>
      <w:r w:rsidRPr="002B1A95">
        <w:t>) at which you are entitled to receive the later benefit, of that superannuation interest.</w:t>
      </w:r>
    </w:p>
    <w:p w:rsidR="005B63A2" w:rsidRPr="002B1A95" w:rsidRDefault="005B63A2" w:rsidP="005B63A2">
      <w:pPr>
        <w:pStyle w:val="subsection"/>
      </w:pPr>
      <w:r w:rsidRPr="002B1A95">
        <w:tab/>
        <w:t>(3)</w:t>
      </w:r>
      <w:r w:rsidRPr="002B1A95">
        <w:tab/>
        <w:t>The debit arises at the later time.</w:t>
      </w:r>
    </w:p>
    <w:p w:rsidR="005B63A2" w:rsidRPr="002B1A95" w:rsidRDefault="005B63A2" w:rsidP="005B63A2">
      <w:pPr>
        <w:pStyle w:val="ActHead5"/>
      </w:pPr>
      <w:bookmarkStart w:id="87" w:name="_Toc49765267"/>
      <w:r w:rsidRPr="00411C46">
        <w:rPr>
          <w:rStyle w:val="CharSectno"/>
        </w:rPr>
        <w:t>294</w:t>
      </w:r>
      <w:r w:rsidR="00782250" w:rsidRPr="00411C46">
        <w:rPr>
          <w:rStyle w:val="CharSectno"/>
        </w:rPr>
        <w:noBreakHyphen/>
      </w:r>
      <w:r w:rsidRPr="00411C46">
        <w:rPr>
          <w:rStyle w:val="CharSectno"/>
        </w:rPr>
        <w:t>80.02</w:t>
      </w:r>
      <w:r w:rsidRPr="002B1A95">
        <w:t xml:space="preserve">  Debit in transfer balance account—reduction in amount of superannuation income stream benefit</w:t>
      </w:r>
      <w:bookmarkEnd w:id="87"/>
    </w:p>
    <w:p w:rsidR="005B63A2" w:rsidRPr="002B1A95" w:rsidRDefault="005B63A2" w:rsidP="005B63A2">
      <w:pPr>
        <w:pStyle w:val="subsection"/>
      </w:pPr>
      <w:r w:rsidRPr="002B1A95">
        <w:tab/>
        <w:t>(1)</w:t>
      </w:r>
      <w:r w:rsidRPr="002B1A95">
        <w:tab/>
        <w:t>For the purposes of item</w:t>
      </w:r>
      <w:r w:rsidR="002B1A95" w:rsidRPr="002B1A95">
        <w:t> </w:t>
      </w:r>
      <w:r w:rsidRPr="002B1A95">
        <w:t>8 of the table in subsection</w:t>
      </w:r>
      <w:r w:rsidR="002B1A95" w:rsidRPr="002B1A95">
        <w:t> </w:t>
      </w:r>
      <w:r w:rsidRPr="002B1A95">
        <w:t>294</w:t>
      </w:r>
      <w:r w:rsidR="00782250">
        <w:noBreakHyphen/>
      </w:r>
      <w:r w:rsidRPr="002B1A95">
        <w:t>80(1) of the Act, a transfer balance debit arises under this section in your transfer balance account if:</w:t>
      </w:r>
    </w:p>
    <w:p w:rsidR="005B63A2" w:rsidRPr="002B1A95" w:rsidRDefault="005B63A2" w:rsidP="005B63A2">
      <w:pPr>
        <w:pStyle w:val="paragraph"/>
      </w:pPr>
      <w:r w:rsidRPr="002B1A95">
        <w:tab/>
        <w:t>(a)</w:t>
      </w:r>
      <w:r w:rsidRPr="002B1A95">
        <w:tab/>
        <w:t>you are or were a retirement phase recipient of a deferred superannuation income stream to which subsection 307</w:t>
      </w:r>
      <w:r w:rsidR="00782250">
        <w:noBreakHyphen/>
      </w:r>
      <w:r w:rsidRPr="002B1A95">
        <w:t>205.02C(1) of this instrument applies supported by a superannuation interest; and</w:t>
      </w:r>
    </w:p>
    <w:p w:rsidR="005B63A2" w:rsidRPr="002B1A95" w:rsidRDefault="005B63A2" w:rsidP="005B63A2">
      <w:pPr>
        <w:pStyle w:val="paragraph"/>
      </w:pPr>
      <w:r w:rsidRPr="002B1A95">
        <w:tab/>
        <w:t>(b)</w:t>
      </w:r>
      <w:r w:rsidRPr="002B1A95">
        <w:tab/>
        <w:t>but for section 294</w:t>
      </w:r>
      <w:r w:rsidR="00782250">
        <w:noBreakHyphen/>
      </w:r>
      <w:r w:rsidRPr="002B1A95">
        <w:t>80.03 of this instrument, a transfer balance debit would arise at a time under item</w:t>
      </w:r>
      <w:r w:rsidR="002B1A95" w:rsidRPr="002B1A95">
        <w:t> </w:t>
      </w:r>
      <w:r w:rsidRPr="002B1A95">
        <w:t>5 or 6 of the table in subsection</w:t>
      </w:r>
      <w:r w:rsidR="002B1A95" w:rsidRPr="002B1A95">
        <w:t> </w:t>
      </w:r>
      <w:r w:rsidRPr="002B1A95">
        <w:t>294</w:t>
      </w:r>
      <w:r w:rsidR="00782250">
        <w:noBreakHyphen/>
      </w:r>
      <w:r w:rsidRPr="002B1A95">
        <w:t>80(1) of the Act in your transfer balance account because of the superannuation income stream.</w:t>
      </w:r>
    </w:p>
    <w:p w:rsidR="005B63A2" w:rsidRPr="002B1A95" w:rsidRDefault="005B63A2" w:rsidP="005B63A2">
      <w:pPr>
        <w:pStyle w:val="subsection"/>
      </w:pPr>
      <w:r w:rsidRPr="002B1A95">
        <w:tab/>
        <w:t>(2)</w:t>
      </w:r>
      <w:r w:rsidRPr="002B1A95">
        <w:tab/>
        <w:t>The amount of the debit is the total amount of the superannuation benefits that would be payable if you voluntarily caused the superannuation interest to cease at that time.</w:t>
      </w:r>
    </w:p>
    <w:p w:rsidR="005B63A2" w:rsidRPr="002B1A95" w:rsidRDefault="005B63A2" w:rsidP="005B63A2">
      <w:pPr>
        <w:pStyle w:val="subsection"/>
      </w:pPr>
      <w:r w:rsidRPr="002B1A95">
        <w:tab/>
        <w:t>(3)</w:t>
      </w:r>
      <w:r w:rsidRPr="002B1A95">
        <w:tab/>
        <w:t>The debit arises at that time.</w:t>
      </w:r>
    </w:p>
    <w:p w:rsidR="005B63A2" w:rsidRPr="002B1A95" w:rsidRDefault="005B63A2" w:rsidP="005B63A2">
      <w:pPr>
        <w:pStyle w:val="ActHead5"/>
      </w:pPr>
      <w:bookmarkStart w:id="88" w:name="_Toc49765268"/>
      <w:r w:rsidRPr="00411C46">
        <w:rPr>
          <w:rStyle w:val="CharSectno"/>
        </w:rPr>
        <w:t>294</w:t>
      </w:r>
      <w:r w:rsidR="00782250" w:rsidRPr="00411C46">
        <w:rPr>
          <w:rStyle w:val="CharSectno"/>
        </w:rPr>
        <w:noBreakHyphen/>
      </w:r>
      <w:r w:rsidRPr="00411C46">
        <w:rPr>
          <w:rStyle w:val="CharSectno"/>
        </w:rPr>
        <w:t>80.03</w:t>
      </w:r>
      <w:r w:rsidRPr="002B1A95">
        <w:t xml:space="preserve">  Debit in transfer balance account—certain items of table in subsection</w:t>
      </w:r>
      <w:r w:rsidR="002B1A95" w:rsidRPr="002B1A95">
        <w:t> </w:t>
      </w:r>
      <w:r w:rsidRPr="002B1A95">
        <w:t>294</w:t>
      </w:r>
      <w:r w:rsidR="00782250">
        <w:noBreakHyphen/>
      </w:r>
      <w:r w:rsidRPr="002B1A95">
        <w:t>80(1) of the Act do not apply to certain superannuation income streams</w:t>
      </w:r>
      <w:bookmarkEnd w:id="88"/>
    </w:p>
    <w:p w:rsidR="005B63A2" w:rsidRPr="002B1A95" w:rsidRDefault="005B63A2" w:rsidP="005B63A2">
      <w:pPr>
        <w:pStyle w:val="subsection"/>
      </w:pPr>
      <w:r w:rsidRPr="002B1A95">
        <w:tab/>
      </w:r>
      <w:r w:rsidRPr="002B1A95">
        <w:tab/>
        <w:t>For the purposes of subsection</w:t>
      </w:r>
      <w:r w:rsidR="002B1A95" w:rsidRPr="002B1A95">
        <w:t> </w:t>
      </w:r>
      <w:r w:rsidRPr="002B1A95">
        <w:t>294</w:t>
      </w:r>
      <w:r w:rsidR="00782250">
        <w:noBreakHyphen/>
      </w:r>
      <w:r w:rsidRPr="002B1A95">
        <w:t>80(3) of the Act, items</w:t>
      </w:r>
      <w:r w:rsidR="002B1A95" w:rsidRPr="002B1A95">
        <w:t> </w:t>
      </w:r>
      <w:r w:rsidRPr="002B1A95">
        <w:t>5 and 6 of the table in subsection</w:t>
      </w:r>
      <w:r w:rsidR="002B1A95" w:rsidRPr="002B1A95">
        <w:t> </w:t>
      </w:r>
      <w:r w:rsidRPr="002B1A95">
        <w:t>294</w:t>
      </w:r>
      <w:r w:rsidR="00782250">
        <w:noBreakHyphen/>
      </w:r>
      <w:r w:rsidRPr="002B1A95">
        <w:t>80(1) of the Act do not apply to deferred superannuation income streams to which subsection 307</w:t>
      </w:r>
      <w:r w:rsidR="00782250">
        <w:noBreakHyphen/>
      </w:r>
      <w:r w:rsidRPr="002B1A95">
        <w:t>205.02C(1) of this instrument applies.</w:t>
      </w:r>
    </w:p>
    <w:p w:rsidR="005B63A2" w:rsidRPr="002B1A95" w:rsidRDefault="005B63A2" w:rsidP="005B63A2">
      <w:pPr>
        <w:pStyle w:val="ActHead4"/>
      </w:pPr>
      <w:bookmarkStart w:id="89" w:name="_Toc49765269"/>
      <w:r w:rsidRPr="00411C46">
        <w:rPr>
          <w:rStyle w:val="CharSubdNo"/>
          <w:rFonts w:eastAsiaTheme="majorEastAsia"/>
        </w:rPr>
        <w:lastRenderedPageBreak/>
        <w:t>Subdivision</w:t>
      </w:r>
      <w:r w:rsidR="002B1A95" w:rsidRPr="00411C46">
        <w:rPr>
          <w:rStyle w:val="CharSubdNo"/>
          <w:rFonts w:eastAsiaTheme="majorEastAsia"/>
        </w:rPr>
        <w:t> </w:t>
      </w:r>
      <w:r w:rsidRPr="00411C46">
        <w:rPr>
          <w:rStyle w:val="CharSubdNo"/>
          <w:rFonts w:eastAsiaTheme="majorEastAsia"/>
        </w:rPr>
        <w:t>294</w:t>
      </w:r>
      <w:r w:rsidR="00782250" w:rsidRPr="00411C46">
        <w:rPr>
          <w:rStyle w:val="CharSubdNo"/>
          <w:rFonts w:eastAsiaTheme="majorEastAsia"/>
        </w:rPr>
        <w:noBreakHyphen/>
      </w:r>
      <w:r w:rsidRPr="00411C46">
        <w:rPr>
          <w:rStyle w:val="CharSubdNo"/>
          <w:rFonts w:eastAsiaTheme="majorEastAsia"/>
        </w:rPr>
        <w:t>D</w:t>
      </w:r>
      <w:r w:rsidRPr="002B1A95">
        <w:t>—</w:t>
      </w:r>
      <w:r w:rsidRPr="00411C46">
        <w:rPr>
          <w:rStyle w:val="CharSubdText"/>
          <w:rFonts w:eastAsiaTheme="majorEastAsia"/>
        </w:rPr>
        <w:t>Modifications for certain defined benefit income streams</w:t>
      </w:r>
      <w:bookmarkEnd w:id="89"/>
    </w:p>
    <w:p w:rsidR="005B63A2" w:rsidRPr="002B1A95" w:rsidRDefault="005B63A2" w:rsidP="005B63A2">
      <w:pPr>
        <w:pStyle w:val="ActHead5"/>
      </w:pPr>
      <w:bookmarkStart w:id="90" w:name="_Toc49765270"/>
      <w:r w:rsidRPr="00411C46">
        <w:rPr>
          <w:rStyle w:val="CharSectno"/>
        </w:rPr>
        <w:t>294</w:t>
      </w:r>
      <w:r w:rsidR="00782250" w:rsidRPr="00411C46">
        <w:rPr>
          <w:rStyle w:val="CharSectno"/>
        </w:rPr>
        <w:noBreakHyphen/>
      </w:r>
      <w:r w:rsidRPr="00411C46">
        <w:rPr>
          <w:rStyle w:val="CharSectno"/>
        </w:rPr>
        <w:t>130.01</w:t>
      </w:r>
      <w:r w:rsidRPr="002B1A95">
        <w:t xml:space="preserve">  Meaning of capped defined benefit income stream</w:t>
      </w:r>
      <w:bookmarkEnd w:id="90"/>
    </w:p>
    <w:p w:rsidR="005B63A2" w:rsidRPr="002B1A95" w:rsidRDefault="005B63A2" w:rsidP="005B63A2">
      <w:pPr>
        <w:pStyle w:val="subsection"/>
      </w:pPr>
      <w:r w:rsidRPr="002B1A95">
        <w:tab/>
        <w:t>(1)</w:t>
      </w:r>
      <w:r w:rsidRPr="002B1A95">
        <w:tab/>
        <w:t>For the purposes of subsection</w:t>
      </w:r>
      <w:r w:rsidR="002B1A95" w:rsidRPr="002B1A95">
        <w:t> </w:t>
      </w:r>
      <w:r w:rsidRPr="002B1A95">
        <w:t>294</w:t>
      </w:r>
      <w:r w:rsidR="00782250">
        <w:noBreakHyphen/>
      </w:r>
      <w:r w:rsidRPr="002B1A95">
        <w:t xml:space="preserve">130(2) of the Act, a superannuation income stream is prescribed if </w:t>
      </w:r>
      <w:r w:rsidR="002B1A95" w:rsidRPr="002B1A95">
        <w:t>subsection (</w:t>
      </w:r>
      <w:r w:rsidRPr="002B1A95">
        <w:t>2), (3), (4), (5) or (6) of this section applies to the superannuation income stream.</w:t>
      </w:r>
    </w:p>
    <w:p w:rsidR="005B63A2" w:rsidRPr="002B1A95" w:rsidRDefault="005B63A2" w:rsidP="005B63A2">
      <w:pPr>
        <w:pStyle w:val="notetext"/>
      </w:pPr>
      <w:r w:rsidRPr="002B1A95">
        <w:t>Note:</w:t>
      </w:r>
      <w:r w:rsidRPr="002B1A95">
        <w:tab/>
        <w:t xml:space="preserve">A superannuation income stream prescribed under this section is a </w:t>
      </w:r>
      <w:r w:rsidRPr="002B1A95">
        <w:rPr>
          <w:b/>
          <w:i/>
        </w:rPr>
        <w:t>capped defined benefit income stream</w:t>
      </w:r>
      <w:r w:rsidRPr="002B1A95">
        <w:t xml:space="preserve"> (see subsection</w:t>
      </w:r>
      <w:r w:rsidR="002B1A95" w:rsidRPr="002B1A95">
        <w:t> </w:t>
      </w:r>
      <w:r w:rsidRPr="002B1A95">
        <w:t>294</w:t>
      </w:r>
      <w:r w:rsidR="00782250">
        <w:noBreakHyphen/>
      </w:r>
      <w:r w:rsidRPr="002B1A95">
        <w:t>130(2) of the Act).</w:t>
      </w:r>
    </w:p>
    <w:p w:rsidR="005B63A2" w:rsidRPr="002B1A95" w:rsidRDefault="005B63A2" w:rsidP="005B63A2">
      <w:pPr>
        <w:pStyle w:val="subsection"/>
      </w:pPr>
      <w:r w:rsidRPr="002B1A95">
        <w:tab/>
        <w:t>(2)</w:t>
      </w:r>
      <w:r w:rsidRPr="002B1A95">
        <w:tab/>
        <w:t>This subsection applies to a superannuation income stream if it is a pension for the purposes of the SIS Act that is provided under rules:</w:t>
      </w:r>
    </w:p>
    <w:p w:rsidR="005B63A2" w:rsidRPr="002B1A95" w:rsidRDefault="005B63A2" w:rsidP="005B63A2">
      <w:pPr>
        <w:pStyle w:val="paragraph"/>
      </w:pPr>
      <w:r w:rsidRPr="002B1A95">
        <w:tab/>
        <w:t>(a)</w:t>
      </w:r>
      <w:r w:rsidRPr="002B1A95">
        <w:tab/>
        <w:t>that are in existence on 29</w:t>
      </w:r>
      <w:r w:rsidR="002B1A95" w:rsidRPr="002B1A95">
        <w:t> </w:t>
      </w:r>
      <w:r w:rsidRPr="002B1A95">
        <w:t>June 2007; and</w:t>
      </w:r>
    </w:p>
    <w:p w:rsidR="005B63A2" w:rsidRPr="002B1A95" w:rsidRDefault="005B63A2" w:rsidP="005B63A2">
      <w:pPr>
        <w:pStyle w:val="paragraph"/>
      </w:pPr>
      <w:r w:rsidRPr="002B1A95">
        <w:tab/>
        <w:t>(b)</w:t>
      </w:r>
      <w:r w:rsidRPr="002B1A95">
        <w:tab/>
        <w:t>that would meet the standards of subregulation</w:t>
      </w:r>
      <w:r w:rsidR="002B1A95" w:rsidRPr="002B1A95">
        <w:t> </w:t>
      </w:r>
      <w:r w:rsidRPr="002B1A95">
        <w:t>1.06(2) of the SIS Regulations except for the circumstances in which those rules allow for either or both of the following:</w:t>
      </w:r>
    </w:p>
    <w:p w:rsidR="005B63A2" w:rsidRPr="002B1A95" w:rsidRDefault="005B63A2" w:rsidP="005B63A2">
      <w:pPr>
        <w:pStyle w:val="paragraphsub"/>
      </w:pPr>
      <w:r w:rsidRPr="002B1A95">
        <w:tab/>
        <w:t>(i)</w:t>
      </w:r>
      <w:r w:rsidRPr="002B1A95">
        <w:tab/>
        <w:t>the pension to be commuted;</w:t>
      </w:r>
    </w:p>
    <w:p w:rsidR="005B63A2" w:rsidRPr="002B1A95" w:rsidRDefault="005B63A2" w:rsidP="005B63A2">
      <w:pPr>
        <w:pStyle w:val="paragraphsub"/>
      </w:pPr>
      <w:r w:rsidRPr="002B1A95">
        <w:tab/>
        <w:t>(ii)</w:t>
      </w:r>
      <w:r w:rsidRPr="002B1A95">
        <w:tab/>
        <w:t>the variation or cessation of pension payments in respect of a child of the deceased primary or reversionary beneficiary.</w:t>
      </w:r>
    </w:p>
    <w:p w:rsidR="005B63A2" w:rsidRPr="002B1A95" w:rsidRDefault="005B63A2" w:rsidP="005B63A2">
      <w:pPr>
        <w:pStyle w:val="subsection"/>
      </w:pPr>
      <w:r w:rsidRPr="002B1A95">
        <w:tab/>
        <w:t>(3)</w:t>
      </w:r>
      <w:r w:rsidRPr="002B1A95">
        <w:tab/>
        <w:t>This subsection applies to a superannuation income stream if:</w:t>
      </w:r>
    </w:p>
    <w:p w:rsidR="005B63A2" w:rsidRPr="002B1A95" w:rsidRDefault="005B63A2" w:rsidP="005B63A2">
      <w:pPr>
        <w:pStyle w:val="paragraph"/>
      </w:pPr>
      <w:r w:rsidRPr="002B1A95">
        <w:tab/>
        <w:t>(a)</w:t>
      </w:r>
      <w:r w:rsidRPr="002B1A95">
        <w:tab/>
        <w:t>it arises as a direct result of the payment of an involuntary roll</w:t>
      </w:r>
      <w:r w:rsidR="00782250">
        <w:noBreakHyphen/>
      </w:r>
      <w:r w:rsidRPr="002B1A95">
        <w:t>over superannuation benefit to a successor fund; and</w:t>
      </w:r>
    </w:p>
    <w:p w:rsidR="005B63A2" w:rsidRPr="002B1A95" w:rsidRDefault="005B63A2" w:rsidP="005B63A2">
      <w:pPr>
        <w:pStyle w:val="paragraph"/>
      </w:pPr>
      <w:r w:rsidRPr="002B1A95">
        <w:tab/>
        <w:t>(b)</w:t>
      </w:r>
      <w:r w:rsidRPr="002B1A95">
        <w:tab/>
        <w:t>it is a pension for the purposes of the SIS Act that is paid from the successor fund; and</w:t>
      </w:r>
    </w:p>
    <w:p w:rsidR="005B63A2" w:rsidRPr="002B1A95" w:rsidRDefault="005B63A2" w:rsidP="005B63A2">
      <w:pPr>
        <w:pStyle w:val="paragraph"/>
      </w:pPr>
      <w:r w:rsidRPr="002B1A95">
        <w:tab/>
        <w:t>(c)</w:t>
      </w:r>
      <w:r w:rsidRPr="002B1A95">
        <w:tab/>
        <w:t>the rules under which a pension was provided by the fund that made the payment of the involuntary roll</w:t>
      </w:r>
      <w:r w:rsidR="00782250">
        <w:noBreakHyphen/>
      </w:r>
      <w:r w:rsidRPr="002B1A95">
        <w:t xml:space="preserve">over superannuation benefit satisfied </w:t>
      </w:r>
      <w:r w:rsidR="002B1A95" w:rsidRPr="002B1A95">
        <w:t>subsection (</w:t>
      </w:r>
      <w:r w:rsidRPr="002B1A95">
        <w:t>2) at the time of transfer; and</w:t>
      </w:r>
    </w:p>
    <w:p w:rsidR="005B63A2" w:rsidRPr="002B1A95" w:rsidRDefault="005B63A2" w:rsidP="005B63A2">
      <w:pPr>
        <w:pStyle w:val="paragraph"/>
      </w:pPr>
      <w:r w:rsidRPr="002B1A95">
        <w:tab/>
        <w:t>(d)</w:t>
      </w:r>
      <w:r w:rsidRPr="002B1A95">
        <w:tab/>
        <w:t xml:space="preserve">the rules of the successor fund under which the superannuation income stream is provided satisfy </w:t>
      </w:r>
      <w:r w:rsidR="002B1A95" w:rsidRPr="002B1A95">
        <w:t>paragraph (</w:t>
      </w:r>
      <w:r w:rsidRPr="002B1A95">
        <w:t>2)(b).</w:t>
      </w:r>
    </w:p>
    <w:p w:rsidR="005B63A2" w:rsidRPr="002B1A95" w:rsidRDefault="005B63A2" w:rsidP="005B63A2">
      <w:pPr>
        <w:pStyle w:val="subsection"/>
      </w:pPr>
      <w:r w:rsidRPr="002B1A95">
        <w:tab/>
        <w:t>(4)</w:t>
      </w:r>
      <w:r w:rsidRPr="002B1A95">
        <w:tab/>
        <w:t>This subsection applies to a superannuation income stream if:</w:t>
      </w:r>
    </w:p>
    <w:p w:rsidR="005B63A2" w:rsidRPr="002B1A95" w:rsidRDefault="005B63A2" w:rsidP="005B63A2">
      <w:pPr>
        <w:pStyle w:val="paragraph"/>
      </w:pPr>
      <w:r w:rsidRPr="002B1A95">
        <w:tab/>
        <w:t>(a)</w:t>
      </w:r>
      <w:r w:rsidRPr="002B1A95">
        <w:tab/>
        <w:t>it is covered by item</w:t>
      </w:r>
      <w:r w:rsidR="002B1A95" w:rsidRPr="002B1A95">
        <w:t> </w:t>
      </w:r>
      <w:r w:rsidRPr="002B1A95">
        <w:t>2 of the table in subsection</w:t>
      </w:r>
      <w:r w:rsidR="002B1A95" w:rsidRPr="002B1A95">
        <w:t> </w:t>
      </w:r>
      <w:r w:rsidRPr="002B1A95">
        <w:t>294</w:t>
      </w:r>
      <w:r w:rsidR="00782250">
        <w:noBreakHyphen/>
      </w:r>
      <w:r w:rsidRPr="002B1A95">
        <w:t>130(1) of the Act; and</w:t>
      </w:r>
    </w:p>
    <w:p w:rsidR="005B63A2" w:rsidRPr="002B1A95" w:rsidRDefault="005B63A2" w:rsidP="005B63A2">
      <w:pPr>
        <w:pStyle w:val="paragraph"/>
      </w:pPr>
      <w:r w:rsidRPr="002B1A95">
        <w:tab/>
        <w:t>(b)</w:t>
      </w:r>
      <w:r w:rsidRPr="002B1A95">
        <w:tab/>
        <w:t>it starts to be in the retirement phase on or after 1</w:t>
      </w:r>
      <w:r w:rsidR="002B1A95" w:rsidRPr="002B1A95">
        <w:t> </w:t>
      </w:r>
      <w:r w:rsidRPr="002B1A95">
        <w:t>July 2017; and</w:t>
      </w:r>
    </w:p>
    <w:p w:rsidR="005B63A2" w:rsidRPr="002B1A95" w:rsidRDefault="005B63A2" w:rsidP="005B63A2">
      <w:pPr>
        <w:pStyle w:val="paragraph"/>
      </w:pPr>
      <w:r w:rsidRPr="002B1A95">
        <w:tab/>
        <w:t>(c)</w:t>
      </w:r>
      <w:r w:rsidRPr="002B1A95">
        <w:tab/>
        <w:t>it arises as a direct result of the payment of an involuntary roll</w:t>
      </w:r>
      <w:r w:rsidR="00782250">
        <w:noBreakHyphen/>
      </w:r>
      <w:r w:rsidRPr="002B1A95">
        <w:t>over superannuation benefit to a successor fund.</w:t>
      </w:r>
    </w:p>
    <w:p w:rsidR="005B63A2" w:rsidRPr="002B1A95" w:rsidRDefault="005B63A2" w:rsidP="005B63A2">
      <w:pPr>
        <w:pStyle w:val="subsection"/>
      </w:pPr>
      <w:r w:rsidRPr="002B1A95">
        <w:tab/>
        <w:t>(5)</w:t>
      </w:r>
      <w:r w:rsidRPr="002B1A95">
        <w:tab/>
        <w:t>This subsection applies to a superannuation income stream if:</w:t>
      </w:r>
    </w:p>
    <w:p w:rsidR="005B63A2" w:rsidRPr="002B1A95" w:rsidRDefault="005B63A2" w:rsidP="005B63A2">
      <w:pPr>
        <w:pStyle w:val="paragraph"/>
      </w:pPr>
      <w:r w:rsidRPr="002B1A95">
        <w:tab/>
        <w:t>(a)</w:t>
      </w:r>
      <w:r w:rsidRPr="002B1A95">
        <w:tab/>
        <w:t>it is covered by any of items</w:t>
      </w:r>
      <w:r w:rsidR="002B1A95" w:rsidRPr="002B1A95">
        <w:t> </w:t>
      </w:r>
      <w:r w:rsidRPr="002B1A95">
        <w:t>3 to 7 of the table in subsection</w:t>
      </w:r>
      <w:r w:rsidR="002B1A95" w:rsidRPr="002B1A95">
        <w:t> </w:t>
      </w:r>
      <w:r w:rsidRPr="002B1A95">
        <w:t>294</w:t>
      </w:r>
      <w:r w:rsidR="00782250">
        <w:noBreakHyphen/>
      </w:r>
      <w:r w:rsidRPr="002B1A95">
        <w:t>130(1) of the Act; and</w:t>
      </w:r>
    </w:p>
    <w:p w:rsidR="005B63A2" w:rsidRPr="002B1A95" w:rsidRDefault="005B63A2" w:rsidP="005B63A2">
      <w:pPr>
        <w:pStyle w:val="paragraph"/>
      </w:pPr>
      <w:r w:rsidRPr="002B1A95">
        <w:tab/>
        <w:t>(b)</w:t>
      </w:r>
      <w:r w:rsidRPr="002B1A95">
        <w:tab/>
        <w:t>it starts to be in the retirement phase on or after 1</w:t>
      </w:r>
      <w:r w:rsidR="002B1A95" w:rsidRPr="002B1A95">
        <w:t> </w:t>
      </w:r>
      <w:r w:rsidRPr="002B1A95">
        <w:t>July 2017; and</w:t>
      </w:r>
    </w:p>
    <w:p w:rsidR="005B63A2" w:rsidRPr="002B1A95" w:rsidRDefault="005B63A2" w:rsidP="005B63A2">
      <w:pPr>
        <w:pStyle w:val="paragraph"/>
      </w:pPr>
      <w:r w:rsidRPr="002B1A95">
        <w:tab/>
        <w:t>(c)</w:t>
      </w:r>
      <w:r w:rsidRPr="002B1A95">
        <w:tab/>
        <w:t>it arises as a direct result of the payment of an involuntary roll</w:t>
      </w:r>
      <w:r w:rsidR="00782250">
        <w:noBreakHyphen/>
      </w:r>
      <w:r w:rsidRPr="002B1A95">
        <w:t>over superannuation benefit to a successor fund.</w:t>
      </w:r>
    </w:p>
    <w:p w:rsidR="005B63A2" w:rsidRPr="002B1A95" w:rsidRDefault="005B63A2" w:rsidP="005B63A2">
      <w:pPr>
        <w:pStyle w:val="subsection"/>
      </w:pPr>
      <w:r w:rsidRPr="002B1A95">
        <w:tab/>
        <w:t>(6)</w:t>
      </w:r>
      <w:r w:rsidRPr="002B1A95">
        <w:tab/>
        <w:t>This subsection applies to a superannuation income stream if it is a pension for the purposes of the SIS Act that is provided:</w:t>
      </w:r>
    </w:p>
    <w:p w:rsidR="005B63A2" w:rsidRPr="002B1A95" w:rsidRDefault="005B63A2" w:rsidP="005B63A2">
      <w:pPr>
        <w:pStyle w:val="paragraph"/>
      </w:pPr>
      <w:r w:rsidRPr="002B1A95">
        <w:lastRenderedPageBreak/>
        <w:tab/>
        <w:t>(a)</w:t>
      </w:r>
      <w:r w:rsidRPr="002B1A95">
        <w:tab/>
        <w:t>on the grounds of invalidity under a public sector superannuation scheme; and</w:t>
      </w:r>
    </w:p>
    <w:p w:rsidR="005B63A2" w:rsidRPr="002B1A95" w:rsidRDefault="005B63A2" w:rsidP="005B63A2">
      <w:pPr>
        <w:pStyle w:val="paragraph"/>
      </w:pPr>
      <w:r w:rsidRPr="002B1A95">
        <w:tab/>
        <w:t>(b)</w:t>
      </w:r>
      <w:r w:rsidRPr="002B1A95">
        <w:tab/>
        <w:t>under rules that would meet the standards of subregulation</w:t>
      </w:r>
      <w:r w:rsidR="002B1A95" w:rsidRPr="002B1A95">
        <w:t> </w:t>
      </w:r>
      <w:r w:rsidRPr="002B1A95">
        <w:t>1.06(2) of the SIS Regulations except to the extent that those rules allow for the variation, suspension or cessation of pension payments due to any of the following:</w:t>
      </w:r>
    </w:p>
    <w:p w:rsidR="005B63A2" w:rsidRPr="002B1A95" w:rsidRDefault="005B63A2" w:rsidP="005B63A2">
      <w:pPr>
        <w:pStyle w:val="paragraphsub"/>
      </w:pPr>
      <w:r w:rsidRPr="002B1A95">
        <w:tab/>
        <w:t>(i)</w:t>
      </w:r>
      <w:r w:rsidRPr="002B1A95">
        <w:tab/>
        <w:t>the primary beneficiary’s level of incapacity being reclassified;</w:t>
      </w:r>
    </w:p>
    <w:p w:rsidR="005B63A2" w:rsidRPr="002B1A95" w:rsidRDefault="005B63A2" w:rsidP="005B63A2">
      <w:pPr>
        <w:pStyle w:val="paragraphsub"/>
      </w:pPr>
      <w:r w:rsidRPr="002B1A95">
        <w:tab/>
        <w:t>(ii)</w:t>
      </w:r>
      <w:r w:rsidRPr="002B1A95">
        <w:tab/>
        <w:t>the primary beneficiary’s personal earnings changing;</w:t>
      </w:r>
    </w:p>
    <w:p w:rsidR="005B63A2" w:rsidRPr="002B1A95" w:rsidRDefault="005B63A2" w:rsidP="005B63A2">
      <w:pPr>
        <w:pStyle w:val="paragraphsub"/>
      </w:pPr>
      <w:r w:rsidRPr="002B1A95">
        <w:tab/>
        <w:t>(iii)</w:t>
      </w:r>
      <w:r w:rsidRPr="002B1A95">
        <w:tab/>
        <w:t>the primary beneficiary being employed by a participating employer of the relevant superannuation scheme;</w:t>
      </w:r>
    </w:p>
    <w:p w:rsidR="005B63A2" w:rsidRPr="002B1A95" w:rsidRDefault="005B63A2" w:rsidP="005B63A2">
      <w:pPr>
        <w:pStyle w:val="paragraphsub"/>
      </w:pPr>
      <w:r w:rsidRPr="002B1A95">
        <w:tab/>
        <w:t>(iv)</w:t>
      </w:r>
      <w:r w:rsidRPr="002B1A95">
        <w:tab/>
        <w:t>the primary beneficiary failing to provide information as required by the rules;</w:t>
      </w:r>
    </w:p>
    <w:p w:rsidR="005B63A2" w:rsidRPr="002B1A95" w:rsidRDefault="005B63A2" w:rsidP="005B63A2">
      <w:pPr>
        <w:pStyle w:val="paragraphsub"/>
      </w:pPr>
      <w:r w:rsidRPr="002B1A95">
        <w:tab/>
        <w:t>(v)</w:t>
      </w:r>
      <w:r w:rsidRPr="002B1A95">
        <w:tab/>
        <w:t>the primary beneficiary reaching a particular age.</w:t>
      </w:r>
    </w:p>
    <w:p w:rsidR="005B63A2" w:rsidRPr="002B1A95" w:rsidRDefault="005B63A2" w:rsidP="005B63A2">
      <w:pPr>
        <w:pStyle w:val="ActHead5"/>
      </w:pPr>
      <w:bookmarkStart w:id="91" w:name="_Toc49765271"/>
      <w:r w:rsidRPr="00411C46">
        <w:rPr>
          <w:rStyle w:val="CharSectno"/>
        </w:rPr>
        <w:t>294</w:t>
      </w:r>
      <w:r w:rsidR="00782250" w:rsidRPr="00411C46">
        <w:rPr>
          <w:rStyle w:val="CharSectno"/>
        </w:rPr>
        <w:noBreakHyphen/>
      </w:r>
      <w:r w:rsidRPr="00411C46">
        <w:rPr>
          <w:rStyle w:val="CharSectno"/>
        </w:rPr>
        <w:t>135.01</w:t>
      </w:r>
      <w:r w:rsidRPr="002B1A95">
        <w:t xml:space="preserve">  Transfer balance credit—determining special value of a superannuation interest</w:t>
      </w:r>
      <w:bookmarkEnd w:id="91"/>
    </w:p>
    <w:p w:rsidR="005B63A2" w:rsidRPr="002B1A95" w:rsidRDefault="005B63A2" w:rsidP="005B63A2">
      <w:pPr>
        <w:pStyle w:val="subsection"/>
      </w:pPr>
      <w:r w:rsidRPr="002B1A95">
        <w:tab/>
        <w:t>(1)</w:t>
      </w:r>
      <w:r w:rsidRPr="002B1A95">
        <w:tab/>
        <w:t>For the purposes of subsection</w:t>
      </w:r>
      <w:r w:rsidR="002B1A95" w:rsidRPr="002B1A95">
        <w:t> </w:t>
      </w:r>
      <w:r w:rsidRPr="002B1A95">
        <w:t>294</w:t>
      </w:r>
      <w:r w:rsidR="00782250">
        <w:noBreakHyphen/>
      </w:r>
      <w:r w:rsidRPr="002B1A95">
        <w:t xml:space="preserve">135(4) of the Act, the </w:t>
      </w:r>
      <w:r w:rsidRPr="002B1A95">
        <w:rPr>
          <w:b/>
          <w:i/>
        </w:rPr>
        <w:t>special value</w:t>
      </w:r>
      <w:r w:rsidRPr="002B1A95">
        <w:t>, at a particular time, of a superannuation interest that supports an income stream that is, or was at any time, a superannuation income stream prescribed by section 294</w:t>
      </w:r>
      <w:r w:rsidR="00782250">
        <w:noBreakHyphen/>
      </w:r>
      <w:r w:rsidRPr="002B1A95">
        <w:t>130.01 of this instrument, is the amount worked out using the formula:</w:t>
      </w:r>
    </w:p>
    <w:p w:rsidR="005B63A2" w:rsidRPr="002B1A95" w:rsidRDefault="005B63A2" w:rsidP="005B63A2">
      <w:pPr>
        <w:pStyle w:val="subsection"/>
      </w:pPr>
      <w:r w:rsidRPr="002B1A95">
        <w:tab/>
      </w:r>
      <w:r w:rsidRPr="002B1A95">
        <w:tab/>
      </w:r>
      <w:r w:rsidRPr="002B1A95">
        <w:rPr>
          <w:position w:val="-10"/>
        </w:rPr>
        <w:object w:dxaOrig="2079" w:dyaOrig="420">
          <v:shape id="_x0000_i1028" type="#_x0000_t75" style="width:103.5pt;height:21pt" o:ole="">
            <v:imagedata r:id="rId27" o:title=""/>
          </v:shape>
          <o:OLEObject Type="Embed" ProgID="Equation.DSMT4" ShapeID="_x0000_i1028" DrawAspect="Content" ObjectID="_1660378723" r:id="rId28"/>
        </w:object>
      </w:r>
    </w:p>
    <w:p w:rsidR="005B63A2" w:rsidRPr="002B1A95" w:rsidRDefault="005B63A2" w:rsidP="005B63A2">
      <w:pPr>
        <w:pStyle w:val="subsection"/>
      </w:pPr>
      <w:r w:rsidRPr="002B1A95">
        <w:tab/>
      </w:r>
      <w:r w:rsidRPr="002B1A95">
        <w:tab/>
        <w:t>where:</w:t>
      </w:r>
    </w:p>
    <w:p w:rsidR="005B63A2" w:rsidRPr="002B1A95" w:rsidRDefault="005B63A2" w:rsidP="005B63A2">
      <w:pPr>
        <w:pStyle w:val="Definition"/>
      </w:pPr>
      <w:r w:rsidRPr="002B1A95">
        <w:rPr>
          <w:b/>
          <w:i/>
        </w:rPr>
        <w:t>annual entitlement</w:t>
      </w:r>
      <w:r w:rsidRPr="002B1A95">
        <w:t xml:space="preserve"> means the amount worked out by:</w:t>
      </w:r>
    </w:p>
    <w:p w:rsidR="005B63A2" w:rsidRPr="002B1A95" w:rsidRDefault="005B63A2" w:rsidP="005B63A2">
      <w:pPr>
        <w:pStyle w:val="paragraph"/>
      </w:pPr>
      <w:r w:rsidRPr="002B1A95">
        <w:tab/>
        <w:t>(a)</w:t>
      </w:r>
      <w:r w:rsidRPr="002B1A95">
        <w:tab/>
        <w:t>dividing the amount of the first superannuation income stream benefit you are entitled to receive from the income stream just after that time by the number of whole days to which that benefit relates; and</w:t>
      </w:r>
    </w:p>
    <w:p w:rsidR="005B63A2" w:rsidRPr="002B1A95" w:rsidRDefault="005B63A2" w:rsidP="005B63A2">
      <w:pPr>
        <w:pStyle w:val="paragraph"/>
      </w:pPr>
      <w:r w:rsidRPr="002B1A95">
        <w:tab/>
        <w:t>(b)</w:t>
      </w:r>
      <w:r w:rsidRPr="002B1A95">
        <w:tab/>
        <w:t>multiplying the result by 365.</w:t>
      </w:r>
    </w:p>
    <w:p w:rsidR="005B63A2" w:rsidRPr="002B1A95" w:rsidRDefault="005B63A2" w:rsidP="005B63A2">
      <w:pPr>
        <w:pStyle w:val="subsection"/>
      </w:pPr>
      <w:r w:rsidRPr="002B1A95">
        <w:tab/>
        <w:t>(2)</w:t>
      </w:r>
      <w:r w:rsidRPr="002B1A95">
        <w:tab/>
      </w:r>
      <w:r w:rsidR="002B1A95" w:rsidRPr="002B1A95">
        <w:t>Subsection (</w:t>
      </w:r>
      <w:r w:rsidRPr="002B1A95">
        <w:t xml:space="preserve">1) does not apply to a superannuation interest covered by </w:t>
      </w:r>
      <w:r w:rsidR="002B1A95" w:rsidRPr="002B1A95">
        <w:t>subsection (</w:t>
      </w:r>
      <w:r w:rsidRPr="002B1A95">
        <w:t>3).</w:t>
      </w:r>
    </w:p>
    <w:p w:rsidR="005B63A2" w:rsidRPr="002B1A95" w:rsidRDefault="005B63A2" w:rsidP="005B63A2">
      <w:pPr>
        <w:pStyle w:val="subsection"/>
      </w:pPr>
      <w:r w:rsidRPr="002B1A95">
        <w:tab/>
        <w:t>(3)</w:t>
      </w:r>
      <w:r w:rsidRPr="002B1A95">
        <w:tab/>
        <w:t>This subsection covers a superannuation interest that supports an income stream that is, or was at any time, a superannuation income stream prescribed by section 294</w:t>
      </w:r>
      <w:r w:rsidR="00782250">
        <w:noBreakHyphen/>
      </w:r>
      <w:r w:rsidRPr="002B1A95">
        <w:t>130.01 to which subsection 294</w:t>
      </w:r>
      <w:r w:rsidR="00782250">
        <w:noBreakHyphen/>
      </w:r>
      <w:r w:rsidRPr="002B1A95">
        <w:t>130.01(5) applies.</w:t>
      </w:r>
    </w:p>
    <w:p w:rsidR="005B63A2" w:rsidRPr="002B1A95" w:rsidRDefault="005B63A2" w:rsidP="005B63A2">
      <w:pPr>
        <w:pStyle w:val="subsection"/>
      </w:pPr>
      <w:r w:rsidRPr="002B1A95">
        <w:tab/>
        <w:t>(4)</w:t>
      </w:r>
      <w:r w:rsidRPr="002B1A95">
        <w:tab/>
        <w:t>For the purposes of subsection</w:t>
      </w:r>
      <w:r w:rsidR="002B1A95" w:rsidRPr="002B1A95">
        <w:t> </w:t>
      </w:r>
      <w:r w:rsidRPr="002B1A95">
        <w:t>294</w:t>
      </w:r>
      <w:r w:rsidR="00782250">
        <w:noBreakHyphen/>
      </w:r>
      <w:r w:rsidRPr="002B1A95">
        <w:t xml:space="preserve">135(4) of the Act, the </w:t>
      </w:r>
      <w:r w:rsidRPr="002B1A95">
        <w:rPr>
          <w:b/>
          <w:i/>
        </w:rPr>
        <w:t>special value</w:t>
      </w:r>
      <w:r w:rsidRPr="002B1A95">
        <w:t xml:space="preserve">, at a particular time, of a superannuation interest covered by </w:t>
      </w:r>
      <w:r w:rsidR="002B1A95" w:rsidRPr="002B1A95">
        <w:t>subsection (</w:t>
      </w:r>
      <w:r w:rsidRPr="002B1A95">
        <w:t>3) of this section is the amount worked out in respect of that time under subsection</w:t>
      </w:r>
      <w:r w:rsidR="002B1A95" w:rsidRPr="002B1A95">
        <w:t> </w:t>
      </w:r>
      <w:r w:rsidRPr="002B1A95">
        <w:t>294</w:t>
      </w:r>
      <w:r w:rsidR="00782250">
        <w:noBreakHyphen/>
      </w:r>
      <w:r w:rsidRPr="002B1A95">
        <w:t>135(3) of the Act.</w:t>
      </w:r>
    </w:p>
    <w:p w:rsidR="005B63A2" w:rsidRPr="002B1A95" w:rsidRDefault="005B63A2" w:rsidP="005B63A2">
      <w:pPr>
        <w:pStyle w:val="subsection"/>
      </w:pPr>
      <w:r w:rsidRPr="002B1A95">
        <w:tab/>
        <w:t>(5)</w:t>
      </w:r>
      <w:r w:rsidRPr="002B1A95">
        <w:tab/>
        <w:t xml:space="preserve">For the purposes of </w:t>
      </w:r>
      <w:r w:rsidR="002B1A95" w:rsidRPr="002B1A95">
        <w:t>subsection (</w:t>
      </w:r>
      <w:r w:rsidRPr="002B1A95">
        <w:t>4) of this section, treat the reference in subsection</w:t>
      </w:r>
      <w:r w:rsidR="002B1A95" w:rsidRPr="002B1A95">
        <w:t> </w:t>
      </w:r>
      <w:r w:rsidRPr="002B1A95">
        <w:t>294</w:t>
      </w:r>
      <w:r w:rsidR="00782250">
        <w:noBreakHyphen/>
      </w:r>
      <w:r w:rsidRPr="002B1A95">
        <w:t>135(3) of the Act to a capped defined benefit income stream covered by any of items</w:t>
      </w:r>
      <w:r w:rsidR="002B1A95" w:rsidRPr="002B1A95">
        <w:t> </w:t>
      </w:r>
      <w:r w:rsidRPr="002B1A95">
        <w:t>3 to 7 of the table in subsection</w:t>
      </w:r>
      <w:r w:rsidR="002B1A95" w:rsidRPr="002B1A95">
        <w:t> </w:t>
      </w:r>
      <w:r w:rsidRPr="002B1A95">
        <w:t>294</w:t>
      </w:r>
      <w:r w:rsidR="00782250">
        <w:noBreakHyphen/>
      </w:r>
      <w:r w:rsidRPr="002B1A95">
        <w:t xml:space="preserve">130(1) as instead being a reference to the income stream mentioned in </w:t>
      </w:r>
      <w:r w:rsidR="002B1A95" w:rsidRPr="002B1A95">
        <w:t>subsection (</w:t>
      </w:r>
      <w:r w:rsidRPr="002B1A95">
        <w:t>3) of this section.</w:t>
      </w:r>
    </w:p>
    <w:p w:rsidR="005B63A2" w:rsidRPr="002B1A95" w:rsidRDefault="005B63A2" w:rsidP="005B63A2">
      <w:pPr>
        <w:pStyle w:val="ActHead5"/>
      </w:pPr>
      <w:bookmarkStart w:id="92" w:name="_Toc49765272"/>
      <w:r w:rsidRPr="00411C46">
        <w:rPr>
          <w:rStyle w:val="CharSectno"/>
        </w:rPr>
        <w:lastRenderedPageBreak/>
        <w:t>294</w:t>
      </w:r>
      <w:r w:rsidR="00782250" w:rsidRPr="00411C46">
        <w:rPr>
          <w:rStyle w:val="CharSectno"/>
        </w:rPr>
        <w:noBreakHyphen/>
      </w:r>
      <w:r w:rsidRPr="00411C46">
        <w:rPr>
          <w:rStyle w:val="CharSectno"/>
        </w:rPr>
        <w:t>145.01</w:t>
      </w:r>
      <w:r w:rsidRPr="002B1A95">
        <w:t xml:space="preserve">  Transfer balance debits—determining debit value of a superannuation interest</w:t>
      </w:r>
      <w:bookmarkEnd w:id="92"/>
    </w:p>
    <w:p w:rsidR="005B63A2" w:rsidRPr="002B1A95" w:rsidRDefault="005B63A2" w:rsidP="005B63A2">
      <w:pPr>
        <w:pStyle w:val="subsection"/>
      </w:pPr>
      <w:r w:rsidRPr="002B1A95">
        <w:tab/>
        <w:t>(1)</w:t>
      </w:r>
      <w:r w:rsidRPr="002B1A95">
        <w:tab/>
        <w:t>For the purposes of subsection</w:t>
      </w:r>
      <w:r w:rsidR="002B1A95" w:rsidRPr="002B1A95">
        <w:t> </w:t>
      </w:r>
      <w:r w:rsidRPr="002B1A95">
        <w:t>294</w:t>
      </w:r>
      <w:r w:rsidR="00782250">
        <w:noBreakHyphen/>
      </w:r>
      <w:r w:rsidRPr="002B1A95">
        <w:t xml:space="preserve">145(7) of the Act, the </w:t>
      </w:r>
      <w:r w:rsidRPr="002B1A95">
        <w:rPr>
          <w:b/>
          <w:i/>
        </w:rPr>
        <w:t>debit value</w:t>
      </w:r>
      <w:r w:rsidRPr="002B1A95">
        <w:t>, at a particular time, of a superannuation interest that supports an income stream that is, or was at any time, a superannuation income stream prescribed by section 294</w:t>
      </w:r>
      <w:r w:rsidR="00782250">
        <w:noBreakHyphen/>
      </w:r>
      <w:r w:rsidRPr="002B1A95">
        <w:t>130.01 of this instrument, is:</w:t>
      </w:r>
    </w:p>
    <w:p w:rsidR="005B63A2" w:rsidRPr="002B1A95" w:rsidRDefault="005B63A2" w:rsidP="005B63A2">
      <w:pPr>
        <w:pStyle w:val="paragraph"/>
      </w:pPr>
      <w:r w:rsidRPr="002B1A95">
        <w:tab/>
        <w:t>(a)</w:t>
      </w:r>
      <w:r w:rsidRPr="002B1A95">
        <w:tab/>
        <w:t>the amount of the transfer balance credit that arose in your transfer balance account in respect of the income stream; less</w:t>
      </w:r>
    </w:p>
    <w:p w:rsidR="005B63A2" w:rsidRPr="002B1A95" w:rsidRDefault="005B63A2" w:rsidP="005B63A2">
      <w:pPr>
        <w:pStyle w:val="paragraph"/>
      </w:pPr>
      <w:r w:rsidRPr="002B1A95">
        <w:tab/>
        <w:t>(b)</w:t>
      </w:r>
      <w:r w:rsidRPr="002B1A95">
        <w:tab/>
        <w:t>the amount of any transfer balance debits (apart from debits arising under item</w:t>
      </w:r>
      <w:r w:rsidR="002B1A95" w:rsidRPr="002B1A95">
        <w:t> </w:t>
      </w:r>
      <w:r w:rsidRPr="002B1A95">
        <w:t>4 of the table in subsection</w:t>
      </w:r>
      <w:r w:rsidR="002B1A95" w:rsidRPr="002B1A95">
        <w:t> </w:t>
      </w:r>
      <w:r w:rsidRPr="002B1A95">
        <w:t>294</w:t>
      </w:r>
      <w:r w:rsidR="00782250">
        <w:noBreakHyphen/>
      </w:r>
      <w:r w:rsidRPr="002B1A95">
        <w:t>80(1) of the Act) that have arisen in your transfer balance account in respect of the income stream before that time.</w:t>
      </w:r>
    </w:p>
    <w:p w:rsidR="005B63A2" w:rsidRPr="002B1A95" w:rsidRDefault="005B63A2" w:rsidP="005B63A2">
      <w:pPr>
        <w:pStyle w:val="subsection"/>
      </w:pPr>
      <w:r w:rsidRPr="002B1A95">
        <w:tab/>
        <w:t>(2)</w:t>
      </w:r>
      <w:r w:rsidRPr="002B1A95">
        <w:tab/>
      </w:r>
      <w:r w:rsidR="002B1A95" w:rsidRPr="002B1A95">
        <w:t>Subsection (</w:t>
      </w:r>
      <w:r w:rsidRPr="002B1A95">
        <w:t xml:space="preserve">1) does not apply to a superannuation interest covered by </w:t>
      </w:r>
      <w:r w:rsidR="002B1A95" w:rsidRPr="002B1A95">
        <w:t>subsection (</w:t>
      </w:r>
      <w:r w:rsidRPr="002B1A95">
        <w:t>3).</w:t>
      </w:r>
    </w:p>
    <w:p w:rsidR="005B63A2" w:rsidRPr="002B1A95" w:rsidRDefault="005B63A2" w:rsidP="005B63A2">
      <w:pPr>
        <w:pStyle w:val="subsection"/>
      </w:pPr>
      <w:r w:rsidRPr="002B1A95">
        <w:tab/>
        <w:t>(3)</w:t>
      </w:r>
      <w:r w:rsidRPr="002B1A95">
        <w:tab/>
        <w:t>This subsection covers a superannuation interest that supports an income stream that is, or was at any time, a superannuation income stream prescribed by section 294</w:t>
      </w:r>
      <w:r w:rsidR="00782250">
        <w:noBreakHyphen/>
      </w:r>
      <w:r w:rsidRPr="002B1A95">
        <w:t>130.01 to which subsection 294</w:t>
      </w:r>
      <w:r w:rsidR="00782250">
        <w:noBreakHyphen/>
      </w:r>
      <w:r w:rsidRPr="002B1A95">
        <w:t>130.01(5) applies.</w:t>
      </w:r>
    </w:p>
    <w:p w:rsidR="005B63A2" w:rsidRPr="002B1A95" w:rsidRDefault="005B63A2" w:rsidP="005B63A2">
      <w:pPr>
        <w:pStyle w:val="subsection"/>
      </w:pPr>
      <w:r w:rsidRPr="002B1A95">
        <w:tab/>
        <w:t>(4)</w:t>
      </w:r>
      <w:r w:rsidRPr="002B1A95">
        <w:tab/>
        <w:t>For the purposes of subsection</w:t>
      </w:r>
      <w:r w:rsidR="002B1A95" w:rsidRPr="002B1A95">
        <w:t> </w:t>
      </w:r>
      <w:r w:rsidRPr="002B1A95">
        <w:t>294</w:t>
      </w:r>
      <w:r w:rsidR="00782250">
        <w:noBreakHyphen/>
      </w:r>
      <w:r w:rsidRPr="002B1A95">
        <w:t xml:space="preserve">145(7) of the Act, the </w:t>
      </w:r>
      <w:r w:rsidRPr="002B1A95">
        <w:rPr>
          <w:b/>
          <w:i/>
        </w:rPr>
        <w:t>debit value</w:t>
      </w:r>
      <w:r w:rsidRPr="002B1A95">
        <w:t xml:space="preserve">, at a particular time, of a superannuation interest covered by </w:t>
      </w:r>
      <w:r w:rsidR="002B1A95" w:rsidRPr="002B1A95">
        <w:t>subsection (</w:t>
      </w:r>
      <w:r w:rsidRPr="002B1A95">
        <w:t>3) of this section is the amount worked out in respect of that time under subsection</w:t>
      </w:r>
      <w:r w:rsidR="002B1A95" w:rsidRPr="002B1A95">
        <w:t> </w:t>
      </w:r>
      <w:r w:rsidRPr="002B1A95">
        <w:t>294</w:t>
      </w:r>
      <w:r w:rsidR="00782250">
        <w:noBreakHyphen/>
      </w:r>
      <w:r w:rsidRPr="002B1A95">
        <w:t>145(6) of the Act.</w:t>
      </w:r>
    </w:p>
    <w:p w:rsidR="005B63A2" w:rsidRPr="002B1A95" w:rsidRDefault="005B63A2" w:rsidP="005B63A2">
      <w:pPr>
        <w:pStyle w:val="subsection"/>
      </w:pPr>
      <w:r w:rsidRPr="002B1A95">
        <w:tab/>
        <w:t>(5)</w:t>
      </w:r>
      <w:r w:rsidRPr="002B1A95">
        <w:tab/>
        <w:t xml:space="preserve">For the purposes of </w:t>
      </w:r>
      <w:r w:rsidR="002B1A95" w:rsidRPr="002B1A95">
        <w:t>subsection (</w:t>
      </w:r>
      <w:r w:rsidRPr="002B1A95">
        <w:t>4) of this section, treat the reference in subsection</w:t>
      </w:r>
      <w:r w:rsidR="002B1A95" w:rsidRPr="002B1A95">
        <w:t> </w:t>
      </w:r>
      <w:r w:rsidRPr="002B1A95">
        <w:t>294</w:t>
      </w:r>
      <w:r w:rsidR="00782250">
        <w:noBreakHyphen/>
      </w:r>
      <w:r w:rsidRPr="002B1A95">
        <w:t>145(6) of the Act to a capped defined benefit income stream covered by any of items</w:t>
      </w:r>
      <w:r w:rsidR="002B1A95" w:rsidRPr="002B1A95">
        <w:t> </w:t>
      </w:r>
      <w:r w:rsidRPr="002B1A95">
        <w:t>3 to 7 of the table in subsection</w:t>
      </w:r>
      <w:r w:rsidR="002B1A95" w:rsidRPr="002B1A95">
        <w:t> </w:t>
      </w:r>
      <w:r w:rsidRPr="002B1A95">
        <w:t>294</w:t>
      </w:r>
      <w:r w:rsidR="00782250">
        <w:noBreakHyphen/>
      </w:r>
      <w:r w:rsidRPr="002B1A95">
        <w:t xml:space="preserve">130(1) as instead being a reference to the income stream mentioned in </w:t>
      </w:r>
      <w:r w:rsidR="002B1A95" w:rsidRPr="002B1A95">
        <w:t>subsection (</w:t>
      </w:r>
      <w:r w:rsidRPr="002B1A95">
        <w:t>3) of this section.</w:t>
      </w:r>
    </w:p>
    <w:p w:rsidR="005B63A2" w:rsidRPr="002B1A95" w:rsidRDefault="005B63A2" w:rsidP="005B63A2">
      <w:pPr>
        <w:pStyle w:val="ActHead3"/>
        <w:pageBreakBefore/>
        <w:rPr>
          <w:color w:val="000000"/>
        </w:rPr>
      </w:pPr>
      <w:bookmarkStart w:id="93" w:name="_Toc49765273"/>
      <w:r w:rsidRPr="00411C46">
        <w:rPr>
          <w:rStyle w:val="CharDivNo"/>
        </w:rPr>
        <w:lastRenderedPageBreak/>
        <w:t>Division</w:t>
      </w:r>
      <w:r w:rsidR="002B1A95" w:rsidRPr="00411C46">
        <w:rPr>
          <w:rStyle w:val="CharDivNo"/>
        </w:rPr>
        <w:t> </w:t>
      </w:r>
      <w:r w:rsidRPr="00411C46">
        <w:rPr>
          <w:rStyle w:val="CharDivNo"/>
        </w:rPr>
        <w:t>295</w:t>
      </w:r>
      <w:r w:rsidRPr="002B1A95">
        <w:rPr>
          <w:color w:val="000000"/>
        </w:rPr>
        <w:t>—</w:t>
      </w:r>
      <w:r w:rsidRPr="00411C46">
        <w:rPr>
          <w:rStyle w:val="CharDivText"/>
        </w:rPr>
        <w:t>Taxation of superannuation entities</w:t>
      </w:r>
      <w:bookmarkEnd w:id="93"/>
    </w:p>
    <w:p w:rsidR="005B63A2" w:rsidRPr="002B1A95" w:rsidRDefault="005B63A2" w:rsidP="005B63A2">
      <w:pPr>
        <w:pStyle w:val="ActHead4"/>
        <w:rPr>
          <w:rFonts w:eastAsiaTheme="majorEastAsia"/>
        </w:rPr>
      </w:pPr>
      <w:bookmarkStart w:id="94" w:name="_Toc49765274"/>
      <w:r w:rsidRPr="00411C46">
        <w:rPr>
          <w:rStyle w:val="CharSubdNo"/>
          <w:rFonts w:eastAsiaTheme="majorEastAsia"/>
        </w:rPr>
        <w:t>Subdivision</w:t>
      </w:r>
      <w:r w:rsidR="002B1A95" w:rsidRPr="00411C46">
        <w:rPr>
          <w:rStyle w:val="CharSubdNo"/>
          <w:rFonts w:eastAsiaTheme="majorEastAsia"/>
        </w:rPr>
        <w:t> </w:t>
      </w:r>
      <w:r w:rsidRPr="00411C46">
        <w:rPr>
          <w:rStyle w:val="CharSubdNo"/>
          <w:rFonts w:eastAsiaTheme="majorEastAsia"/>
        </w:rPr>
        <w:t>295</w:t>
      </w:r>
      <w:r w:rsidR="00782250" w:rsidRPr="00411C46">
        <w:rPr>
          <w:rStyle w:val="CharSubdNo"/>
          <w:rFonts w:eastAsiaTheme="majorEastAsia"/>
        </w:rPr>
        <w:noBreakHyphen/>
      </w:r>
      <w:r w:rsidRPr="00411C46">
        <w:rPr>
          <w:rStyle w:val="CharSubdNo"/>
          <w:rFonts w:eastAsiaTheme="majorEastAsia"/>
        </w:rPr>
        <w:t>D</w:t>
      </w:r>
      <w:r w:rsidRPr="002B1A95">
        <w:t>—</w:t>
      </w:r>
      <w:r w:rsidRPr="00411C46">
        <w:rPr>
          <w:rStyle w:val="CharSubdText"/>
          <w:rFonts w:eastAsiaTheme="majorEastAsia"/>
        </w:rPr>
        <w:t>Contributions excluded</w:t>
      </w:r>
      <w:bookmarkEnd w:id="94"/>
    </w:p>
    <w:p w:rsidR="005B63A2" w:rsidRPr="002B1A95" w:rsidRDefault="005B63A2" w:rsidP="005B63A2">
      <w:pPr>
        <w:pStyle w:val="ActHead5"/>
        <w:rPr>
          <w:rFonts w:eastAsia="MS Mincho"/>
        </w:rPr>
      </w:pPr>
      <w:bookmarkStart w:id="95" w:name="_Toc49765275"/>
      <w:r w:rsidRPr="00411C46">
        <w:rPr>
          <w:rStyle w:val="CharSectno"/>
          <w:rFonts w:eastAsia="MS Mincho"/>
        </w:rPr>
        <w:t>295</w:t>
      </w:r>
      <w:r w:rsidR="00782250" w:rsidRPr="00411C46">
        <w:rPr>
          <w:rStyle w:val="CharSectno"/>
          <w:rFonts w:eastAsia="MS Mincho"/>
        </w:rPr>
        <w:noBreakHyphen/>
      </w:r>
      <w:r w:rsidRPr="00411C46">
        <w:rPr>
          <w:rStyle w:val="CharSectno"/>
          <w:rFonts w:eastAsia="MS Mincho"/>
        </w:rPr>
        <w:t>265.01</w:t>
      </w:r>
      <w:r w:rsidRPr="002B1A95">
        <w:rPr>
          <w:rFonts w:eastAsia="MS Mincho"/>
        </w:rPr>
        <w:t xml:space="preserve">  Application of pre</w:t>
      </w:r>
      <w:r w:rsidR="00782250">
        <w:rPr>
          <w:rFonts w:eastAsia="MS Mincho"/>
        </w:rPr>
        <w:noBreakHyphen/>
      </w:r>
      <w:r w:rsidRPr="002B1A95">
        <w:rPr>
          <w:rFonts w:eastAsia="MS Mincho"/>
        </w:rPr>
        <w:t>1</w:t>
      </w:r>
      <w:r w:rsidR="002B1A95" w:rsidRPr="002B1A95">
        <w:rPr>
          <w:rFonts w:eastAsia="MS Mincho"/>
        </w:rPr>
        <w:t> </w:t>
      </w:r>
      <w:r w:rsidRPr="002B1A95">
        <w:rPr>
          <w:rFonts w:eastAsia="MS Mincho"/>
        </w:rPr>
        <w:t>July 88 funding credits—limit on choice</w:t>
      </w:r>
      <w:bookmarkEnd w:id="95"/>
    </w:p>
    <w:p w:rsidR="005B63A2" w:rsidRPr="002B1A95" w:rsidRDefault="005B63A2" w:rsidP="005B63A2">
      <w:pPr>
        <w:pStyle w:val="subsection"/>
        <w:rPr>
          <w:rFonts w:eastAsia="MS Mincho"/>
          <w:color w:val="000000"/>
        </w:rPr>
      </w:pPr>
      <w:r w:rsidRPr="002B1A95">
        <w:rPr>
          <w:rFonts w:eastAsia="MS Mincho"/>
          <w:color w:val="000000"/>
        </w:rPr>
        <w:tab/>
        <w:t>(1)</w:t>
      </w:r>
      <w:r w:rsidRPr="002B1A95">
        <w:rPr>
          <w:rFonts w:eastAsia="MS Mincho"/>
          <w:color w:val="000000"/>
        </w:rPr>
        <w:tab/>
        <w:t xml:space="preserve">For </w:t>
      </w:r>
      <w:r w:rsidRPr="002B1A95">
        <w:rPr>
          <w:color w:val="000000"/>
        </w:rPr>
        <w:t xml:space="preserve">the purposes of </w:t>
      </w:r>
      <w:r w:rsidRPr="002B1A95">
        <w:rPr>
          <w:rFonts w:eastAsia="MS Mincho"/>
          <w:color w:val="000000"/>
        </w:rPr>
        <w:t>paragraph</w:t>
      </w:r>
      <w:r w:rsidR="002B1A95" w:rsidRPr="002B1A95">
        <w:rPr>
          <w:rFonts w:eastAsia="MS Mincho"/>
          <w:color w:val="000000"/>
        </w:rPr>
        <w:t> </w:t>
      </w:r>
      <w:r w:rsidRPr="002B1A95">
        <w:rPr>
          <w:rFonts w:eastAsia="MS Mincho"/>
        </w:rPr>
        <w:t>295</w:t>
      </w:r>
      <w:r w:rsidR="00782250">
        <w:rPr>
          <w:rFonts w:eastAsia="MS Mincho"/>
        </w:rPr>
        <w:noBreakHyphen/>
      </w:r>
      <w:r w:rsidRPr="002B1A95">
        <w:rPr>
          <w:rFonts w:eastAsia="MS Mincho"/>
        </w:rPr>
        <w:t>265</w:t>
      </w:r>
      <w:r w:rsidRPr="002B1A95">
        <w:rPr>
          <w:rFonts w:eastAsia="MS Mincho"/>
          <w:color w:val="000000"/>
        </w:rPr>
        <w:t xml:space="preserve">(7)(a) of the Act, this section prescribes the manner in which a </w:t>
      </w:r>
      <w:r w:rsidRPr="002B1A95">
        <w:rPr>
          <w:color w:val="000000"/>
        </w:rPr>
        <w:t>superannuation provider in relation to a superannuation fund</w:t>
      </w:r>
      <w:r w:rsidRPr="002B1A95">
        <w:rPr>
          <w:rFonts w:eastAsia="MS Mincho"/>
          <w:color w:val="000000"/>
        </w:rPr>
        <w:t xml:space="preserve"> is to work out the amount applicable to the fund, under subsection</w:t>
      </w:r>
      <w:r w:rsidR="002B1A95" w:rsidRPr="002B1A95">
        <w:rPr>
          <w:rFonts w:eastAsia="MS Mincho"/>
          <w:color w:val="000000"/>
        </w:rPr>
        <w:t> </w:t>
      </w:r>
      <w:r w:rsidRPr="002B1A95">
        <w:rPr>
          <w:rFonts w:eastAsia="MS Mincho"/>
          <w:color w:val="000000"/>
        </w:rPr>
        <w:t>295</w:t>
      </w:r>
      <w:r w:rsidR="00782250">
        <w:rPr>
          <w:rFonts w:eastAsia="MS Mincho"/>
          <w:color w:val="000000"/>
        </w:rPr>
        <w:noBreakHyphen/>
      </w:r>
      <w:r w:rsidRPr="002B1A95">
        <w:rPr>
          <w:rFonts w:eastAsia="MS Mincho"/>
          <w:color w:val="000000"/>
        </w:rPr>
        <w:t>265(6) of the Act, for an income year.</w:t>
      </w:r>
    </w:p>
    <w:p w:rsidR="005B63A2" w:rsidRPr="002B1A95" w:rsidRDefault="005B63A2" w:rsidP="005B63A2">
      <w:pPr>
        <w:pStyle w:val="subsection"/>
        <w:rPr>
          <w:rFonts w:eastAsia="MS Mincho"/>
        </w:rPr>
      </w:pPr>
      <w:r w:rsidRPr="002B1A95">
        <w:rPr>
          <w:rFonts w:eastAsia="MS Mincho"/>
        </w:rPr>
        <w:tab/>
        <w:t>(2)</w:t>
      </w:r>
      <w:r w:rsidRPr="002B1A95">
        <w:rPr>
          <w:rFonts w:eastAsia="MS Mincho"/>
        </w:rPr>
        <w:tab/>
        <w:t>The superannuation provider must use an actuary to work out the amount applicable to the fund for an income year.</w:t>
      </w:r>
    </w:p>
    <w:p w:rsidR="005B63A2" w:rsidRPr="002B1A95" w:rsidRDefault="005B63A2" w:rsidP="005B63A2">
      <w:pPr>
        <w:pStyle w:val="SubsectionHead"/>
        <w:rPr>
          <w:rFonts w:eastAsia="MS Mincho"/>
        </w:rPr>
      </w:pPr>
      <w:r w:rsidRPr="002B1A95">
        <w:rPr>
          <w:rFonts w:eastAsia="MS Mincho"/>
        </w:rPr>
        <w:t>Method 1—Funding credit valuation process</w:t>
      </w:r>
    </w:p>
    <w:p w:rsidR="005B63A2" w:rsidRPr="002B1A95" w:rsidRDefault="005B63A2" w:rsidP="005B63A2">
      <w:pPr>
        <w:pStyle w:val="subsection"/>
        <w:rPr>
          <w:rFonts w:eastAsia="MS Mincho"/>
        </w:rPr>
      </w:pPr>
      <w:r w:rsidRPr="002B1A95">
        <w:rPr>
          <w:rFonts w:eastAsia="MS Mincho"/>
        </w:rPr>
        <w:tab/>
        <w:t>(3)</w:t>
      </w:r>
      <w:r w:rsidRPr="002B1A95">
        <w:rPr>
          <w:rFonts w:eastAsia="MS Mincho"/>
        </w:rPr>
        <w:tab/>
        <w:t>The method in section 295</w:t>
      </w:r>
      <w:r w:rsidR="00782250">
        <w:rPr>
          <w:rFonts w:eastAsia="MS Mincho"/>
        </w:rPr>
        <w:noBreakHyphen/>
      </w:r>
      <w:r w:rsidRPr="002B1A95">
        <w:rPr>
          <w:rFonts w:eastAsia="MS Mincho"/>
        </w:rPr>
        <w:t>265.02 (</w:t>
      </w:r>
      <w:r w:rsidRPr="002B1A95">
        <w:rPr>
          <w:rFonts w:eastAsia="MS Mincho"/>
          <w:b/>
          <w:i/>
        </w:rPr>
        <w:t>method 1</w:t>
      </w:r>
      <w:r w:rsidRPr="002B1A95">
        <w:rPr>
          <w:rFonts w:eastAsia="MS Mincho"/>
        </w:rPr>
        <w:t>) must be used for an income year, unless:</w:t>
      </w:r>
    </w:p>
    <w:p w:rsidR="005B63A2" w:rsidRPr="002B1A95" w:rsidRDefault="005B63A2" w:rsidP="005B63A2">
      <w:pPr>
        <w:pStyle w:val="paragraph"/>
        <w:rPr>
          <w:rFonts w:eastAsia="MS Mincho"/>
        </w:rPr>
      </w:pPr>
      <w:r w:rsidRPr="002B1A95">
        <w:rPr>
          <w:rFonts w:eastAsia="MS Mincho"/>
          <w:color w:val="000000"/>
        </w:rPr>
        <w:tab/>
        <w:t>(a)</w:t>
      </w:r>
      <w:r w:rsidRPr="002B1A95">
        <w:rPr>
          <w:rFonts w:eastAsia="MS Mincho"/>
          <w:color w:val="000000"/>
        </w:rPr>
        <w:tab/>
        <w:t xml:space="preserve">the conditions mentioned in </w:t>
      </w:r>
      <w:r w:rsidR="002B1A95" w:rsidRPr="002B1A95">
        <w:rPr>
          <w:rFonts w:eastAsia="MS Mincho"/>
          <w:color w:val="000000"/>
        </w:rPr>
        <w:t>subsection (</w:t>
      </w:r>
      <w:r w:rsidRPr="002B1A95">
        <w:rPr>
          <w:rFonts w:eastAsia="MS Mincho"/>
          <w:color w:val="000000"/>
        </w:rPr>
        <w:t xml:space="preserve">8) of this section for using </w:t>
      </w:r>
      <w:r w:rsidRPr="002B1A95">
        <w:rPr>
          <w:rFonts w:eastAsia="MS Mincho"/>
        </w:rPr>
        <w:t>the method in section 295</w:t>
      </w:r>
      <w:r w:rsidR="00782250">
        <w:rPr>
          <w:rFonts w:eastAsia="MS Mincho"/>
        </w:rPr>
        <w:noBreakHyphen/>
      </w:r>
      <w:r w:rsidRPr="002B1A95">
        <w:rPr>
          <w:rFonts w:eastAsia="MS Mincho"/>
        </w:rPr>
        <w:t>265.05 (</w:t>
      </w:r>
      <w:r w:rsidRPr="002B1A95">
        <w:rPr>
          <w:rFonts w:eastAsia="MS Mincho"/>
          <w:b/>
          <w:i/>
          <w:color w:val="000000"/>
        </w:rPr>
        <w:t>method 2</w:t>
      </w:r>
      <w:r w:rsidRPr="002B1A95">
        <w:rPr>
          <w:rFonts w:eastAsia="MS Mincho"/>
          <w:color w:val="000000"/>
        </w:rPr>
        <w:t>) are met; and</w:t>
      </w:r>
    </w:p>
    <w:p w:rsidR="005B63A2" w:rsidRPr="002B1A95" w:rsidRDefault="005B63A2" w:rsidP="005B63A2">
      <w:pPr>
        <w:pStyle w:val="paragraph"/>
        <w:rPr>
          <w:rFonts w:eastAsia="MS Mincho"/>
        </w:rPr>
      </w:pPr>
      <w:r w:rsidRPr="002B1A95">
        <w:rPr>
          <w:rFonts w:eastAsia="MS Mincho"/>
        </w:rPr>
        <w:tab/>
        <w:t>(b)</w:t>
      </w:r>
      <w:r w:rsidRPr="002B1A95">
        <w:rPr>
          <w:rFonts w:eastAsia="MS Mincho"/>
        </w:rPr>
        <w:tab/>
        <w:t xml:space="preserve">the </w:t>
      </w:r>
      <w:r w:rsidRPr="002B1A95">
        <w:rPr>
          <w:color w:val="000000"/>
        </w:rPr>
        <w:t xml:space="preserve">superannuation provider’s </w:t>
      </w:r>
      <w:r w:rsidRPr="002B1A95">
        <w:rPr>
          <w:rFonts w:eastAsia="MS Mincho"/>
        </w:rPr>
        <w:t>actuary decides that using method 2 is appropriate.</w:t>
      </w:r>
    </w:p>
    <w:p w:rsidR="005B63A2" w:rsidRPr="002B1A95" w:rsidRDefault="005B63A2" w:rsidP="005B63A2">
      <w:pPr>
        <w:pStyle w:val="SubsectionHead"/>
        <w:rPr>
          <w:rFonts w:eastAsia="MS Mincho"/>
        </w:rPr>
      </w:pPr>
      <w:r w:rsidRPr="002B1A95">
        <w:rPr>
          <w:rFonts w:eastAsia="MS Mincho"/>
        </w:rPr>
        <w:t>Amount applicable to the fund</w:t>
      </w:r>
    </w:p>
    <w:p w:rsidR="005B63A2" w:rsidRPr="002B1A95" w:rsidRDefault="005B63A2" w:rsidP="005B63A2">
      <w:pPr>
        <w:pStyle w:val="subsection"/>
        <w:rPr>
          <w:rFonts w:eastAsia="MS Mincho"/>
        </w:rPr>
      </w:pPr>
      <w:r w:rsidRPr="002B1A95">
        <w:rPr>
          <w:rFonts w:eastAsia="MS Mincho"/>
        </w:rPr>
        <w:tab/>
        <w:t>(4)</w:t>
      </w:r>
      <w:r w:rsidRPr="002B1A95">
        <w:rPr>
          <w:rFonts w:eastAsia="MS Mincho"/>
        </w:rPr>
        <w:tab/>
        <w:t xml:space="preserve">Subject to </w:t>
      </w:r>
      <w:r w:rsidR="002B1A95" w:rsidRPr="002B1A95">
        <w:rPr>
          <w:rFonts w:eastAsia="MS Mincho"/>
        </w:rPr>
        <w:t>subsection (</w:t>
      </w:r>
      <w:r w:rsidRPr="002B1A95">
        <w:rPr>
          <w:rFonts w:eastAsia="MS Mincho"/>
        </w:rPr>
        <w:t>5), the amount applicable to the fund for an income year is the least of the following amounts:</w:t>
      </w:r>
    </w:p>
    <w:p w:rsidR="005B63A2" w:rsidRPr="002B1A95" w:rsidRDefault="005B63A2" w:rsidP="005B63A2">
      <w:pPr>
        <w:pStyle w:val="paragraph"/>
        <w:rPr>
          <w:rFonts w:eastAsia="MS Mincho"/>
        </w:rPr>
      </w:pPr>
      <w:r w:rsidRPr="002B1A95">
        <w:rPr>
          <w:rFonts w:eastAsia="MS Mincho"/>
          <w:color w:val="000000"/>
        </w:rPr>
        <w:tab/>
        <w:t>(a)</w:t>
      </w:r>
      <w:r w:rsidRPr="002B1A95">
        <w:rPr>
          <w:rFonts w:eastAsia="MS Mincho"/>
          <w:color w:val="000000"/>
        </w:rPr>
        <w:tab/>
      </w:r>
      <w:r w:rsidRPr="002B1A95">
        <w:rPr>
          <w:color w:val="000000"/>
        </w:rPr>
        <w:t>the amount of pre</w:t>
      </w:r>
      <w:r w:rsidR="00782250">
        <w:rPr>
          <w:rFonts w:eastAsia="MS Mincho"/>
          <w:color w:val="000000"/>
        </w:rPr>
        <w:noBreakHyphen/>
      </w:r>
      <w:r w:rsidRPr="002B1A95">
        <w:rPr>
          <w:color w:val="000000"/>
        </w:rPr>
        <w:t>1</w:t>
      </w:r>
      <w:r w:rsidR="002B1A95" w:rsidRPr="002B1A95">
        <w:rPr>
          <w:color w:val="000000"/>
        </w:rPr>
        <w:t> </w:t>
      </w:r>
      <w:r w:rsidRPr="002B1A95">
        <w:rPr>
          <w:color w:val="000000"/>
        </w:rPr>
        <w:t>July 88 funding credits unused at the end of the previous income year</w:t>
      </w:r>
      <w:r w:rsidRPr="002B1A95">
        <w:rPr>
          <w:rFonts w:eastAsia="MS Mincho"/>
          <w:color w:val="000000"/>
        </w:rPr>
        <w:t>;</w:t>
      </w:r>
    </w:p>
    <w:p w:rsidR="005B63A2" w:rsidRPr="002B1A95" w:rsidRDefault="005B63A2" w:rsidP="005B63A2">
      <w:pPr>
        <w:pStyle w:val="paragraph"/>
        <w:rPr>
          <w:rFonts w:eastAsia="MS Mincho"/>
        </w:rPr>
      </w:pPr>
      <w:r w:rsidRPr="002B1A95">
        <w:rPr>
          <w:rFonts w:eastAsia="MS Mincho"/>
        </w:rPr>
        <w:tab/>
        <w:t>(b)</w:t>
      </w:r>
      <w:r w:rsidRPr="002B1A95">
        <w:rPr>
          <w:rFonts w:eastAsia="MS Mincho"/>
        </w:rPr>
        <w:tab/>
        <w:t>the value of unfunded pre</w:t>
      </w:r>
      <w:r w:rsidR="00782250">
        <w:rPr>
          <w:rFonts w:eastAsia="MS Mincho"/>
        </w:rPr>
        <w:noBreakHyphen/>
      </w:r>
      <w:r w:rsidRPr="002B1A95">
        <w:rPr>
          <w:rFonts w:eastAsia="MS Mincho"/>
        </w:rPr>
        <w:t>1</w:t>
      </w:r>
      <w:r w:rsidR="002B1A95" w:rsidRPr="002B1A95">
        <w:rPr>
          <w:rFonts w:eastAsia="MS Mincho"/>
        </w:rPr>
        <w:t> </w:t>
      </w:r>
      <w:r w:rsidRPr="002B1A95">
        <w:rPr>
          <w:rFonts w:eastAsia="MS Mincho"/>
        </w:rPr>
        <w:t>July 88 liabilities for the income year, determined by the superannuation provider’s actuary in accordance with step 3 of method 1 or method 2;</w:t>
      </w:r>
    </w:p>
    <w:p w:rsidR="005B63A2" w:rsidRPr="002B1A95" w:rsidRDefault="005B63A2" w:rsidP="005B63A2">
      <w:pPr>
        <w:pStyle w:val="paragraph"/>
        <w:ind w:right="-150"/>
        <w:rPr>
          <w:rFonts w:eastAsia="MS Mincho"/>
        </w:rPr>
      </w:pPr>
      <w:r w:rsidRPr="002B1A95">
        <w:rPr>
          <w:rFonts w:eastAsia="MS Mincho"/>
        </w:rPr>
        <w:tab/>
        <w:t>(c)</w:t>
      </w:r>
      <w:r w:rsidRPr="002B1A95">
        <w:rPr>
          <w:rFonts w:eastAsia="MS Mincho"/>
        </w:rPr>
        <w:tab/>
        <w:t>the pre</w:t>
      </w:r>
      <w:r w:rsidR="00782250">
        <w:rPr>
          <w:rFonts w:eastAsia="MS Mincho"/>
        </w:rPr>
        <w:noBreakHyphen/>
      </w:r>
      <w:r w:rsidRPr="002B1A95">
        <w:rPr>
          <w:rFonts w:eastAsia="MS Mincho"/>
        </w:rPr>
        <w:t>1</w:t>
      </w:r>
      <w:r w:rsidR="002B1A95" w:rsidRPr="002B1A95">
        <w:rPr>
          <w:rFonts w:eastAsia="MS Mincho"/>
        </w:rPr>
        <w:t> </w:t>
      </w:r>
      <w:r w:rsidRPr="002B1A95">
        <w:rPr>
          <w:rFonts w:eastAsia="MS Mincho"/>
        </w:rPr>
        <w:t>July 88 taxable contributions</w:t>
      </w:r>
      <w:r w:rsidRPr="002B1A95">
        <w:rPr>
          <w:rFonts w:eastAsia="MS Mincho"/>
          <w:b/>
        </w:rPr>
        <w:t xml:space="preserve"> </w:t>
      </w:r>
      <w:r w:rsidRPr="002B1A95">
        <w:rPr>
          <w:rFonts w:eastAsia="MS Mincho"/>
        </w:rPr>
        <w:t>for the income year, worked out in accordance with step 4 of method 1 or method 2.</w:t>
      </w:r>
    </w:p>
    <w:p w:rsidR="005B63A2" w:rsidRPr="002B1A95" w:rsidRDefault="005B63A2" w:rsidP="005B63A2">
      <w:pPr>
        <w:pStyle w:val="subsection"/>
        <w:rPr>
          <w:rFonts w:eastAsia="MS Mincho"/>
        </w:rPr>
      </w:pPr>
      <w:r w:rsidRPr="002B1A95">
        <w:tab/>
        <w:t>(5)</w:t>
      </w:r>
      <w:r w:rsidRPr="002B1A95">
        <w:tab/>
        <w:t xml:space="preserve">The amount identified in accordance with </w:t>
      </w:r>
      <w:r w:rsidR="002B1A95" w:rsidRPr="002B1A95">
        <w:t>subsection (</w:t>
      </w:r>
      <w:r w:rsidRPr="002B1A95">
        <w:t>4) must then be adjusted for all transfers of funding credits and relevant liabilities into or out of the fund.</w:t>
      </w:r>
    </w:p>
    <w:p w:rsidR="005B63A2" w:rsidRPr="002B1A95" w:rsidRDefault="005B63A2" w:rsidP="005B63A2">
      <w:pPr>
        <w:pStyle w:val="subsection"/>
        <w:rPr>
          <w:rFonts w:eastAsia="MS Mincho"/>
          <w:color w:val="000000"/>
        </w:rPr>
      </w:pPr>
      <w:r w:rsidRPr="002B1A95">
        <w:rPr>
          <w:rFonts w:eastAsia="MS Mincho"/>
          <w:color w:val="000000"/>
        </w:rPr>
        <w:tab/>
        <w:t>(6)</w:t>
      </w:r>
      <w:r w:rsidRPr="002B1A95">
        <w:rPr>
          <w:rFonts w:eastAsia="MS Mincho"/>
          <w:color w:val="000000"/>
        </w:rPr>
        <w:tab/>
        <w:t xml:space="preserve">The amounts mentioned in </w:t>
      </w:r>
      <w:r w:rsidR="002B1A95" w:rsidRPr="002B1A95">
        <w:rPr>
          <w:rFonts w:eastAsia="MS Mincho"/>
          <w:color w:val="000000"/>
        </w:rPr>
        <w:t>paragraphs (</w:t>
      </w:r>
      <w:r w:rsidRPr="002B1A95">
        <w:rPr>
          <w:rFonts w:eastAsia="MS Mincho"/>
          <w:color w:val="000000"/>
        </w:rPr>
        <w:t xml:space="preserve">4)(a), (b) and (c), and the amount as adjusted under </w:t>
      </w:r>
      <w:r w:rsidR="002B1A95" w:rsidRPr="002B1A95">
        <w:rPr>
          <w:rFonts w:eastAsia="MS Mincho"/>
          <w:color w:val="000000"/>
        </w:rPr>
        <w:t>subsection (</w:t>
      </w:r>
      <w:r w:rsidRPr="002B1A95">
        <w:rPr>
          <w:rFonts w:eastAsia="MS Mincho"/>
          <w:color w:val="000000"/>
        </w:rPr>
        <w:t>5), must be certified by the superannuation provider’s actuary.</w:t>
      </w:r>
    </w:p>
    <w:p w:rsidR="005B63A2" w:rsidRPr="002B1A95" w:rsidRDefault="005B63A2" w:rsidP="005B63A2">
      <w:pPr>
        <w:pStyle w:val="subsection"/>
        <w:rPr>
          <w:rFonts w:eastAsia="MS Mincho"/>
          <w:color w:val="000000"/>
        </w:rPr>
      </w:pPr>
      <w:r w:rsidRPr="002B1A95">
        <w:rPr>
          <w:rFonts w:eastAsia="MS Mincho"/>
          <w:color w:val="000000"/>
        </w:rPr>
        <w:tab/>
        <w:t>(7)</w:t>
      </w:r>
      <w:r w:rsidRPr="002B1A95">
        <w:rPr>
          <w:rFonts w:eastAsia="MS Mincho"/>
          <w:color w:val="000000"/>
        </w:rPr>
        <w:tab/>
        <w:t xml:space="preserve">The superannuation provider must ensure that, on request, the actuary that certifies an amount under </w:t>
      </w:r>
      <w:r w:rsidR="002B1A95" w:rsidRPr="002B1A95">
        <w:rPr>
          <w:rFonts w:eastAsia="MS Mincho"/>
          <w:color w:val="000000"/>
        </w:rPr>
        <w:t>subsection (</w:t>
      </w:r>
      <w:r w:rsidRPr="002B1A95">
        <w:rPr>
          <w:rFonts w:eastAsia="MS Mincho"/>
          <w:color w:val="000000"/>
        </w:rPr>
        <w:t>6) provides the superannuation provider with sufficient information to enable another actuary to check the certification.</w:t>
      </w:r>
    </w:p>
    <w:p w:rsidR="005B63A2" w:rsidRPr="002B1A95" w:rsidRDefault="005B63A2" w:rsidP="005B63A2">
      <w:pPr>
        <w:pStyle w:val="SubsectionHead"/>
        <w:keepNext w:val="0"/>
        <w:spacing w:before="180"/>
        <w:rPr>
          <w:rFonts w:eastAsia="MS Mincho"/>
        </w:rPr>
      </w:pPr>
      <w:r w:rsidRPr="002B1A95">
        <w:rPr>
          <w:rFonts w:eastAsia="MS Mincho"/>
        </w:rPr>
        <w:t>Method 2—Notionally updated funding credit valuation process</w:t>
      </w:r>
    </w:p>
    <w:p w:rsidR="005B63A2" w:rsidRPr="002B1A95" w:rsidRDefault="005B63A2" w:rsidP="005B63A2">
      <w:pPr>
        <w:pStyle w:val="subsection"/>
        <w:rPr>
          <w:rFonts w:eastAsia="MS Mincho"/>
        </w:rPr>
      </w:pPr>
      <w:r w:rsidRPr="002B1A95">
        <w:rPr>
          <w:rFonts w:eastAsia="MS Mincho"/>
        </w:rPr>
        <w:tab/>
        <w:t>(8)</w:t>
      </w:r>
      <w:r w:rsidRPr="002B1A95">
        <w:rPr>
          <w:rFonts w:eastAsia="MS Mincho"/>
        </w:rPr>
        <w:tab/>
        <w:t>The superannuation provider may use method 2 for an income year if:</w:t>
      </w:r>
    </w:p>
    <w:p w:rsidR="005B63A2" w:rsidRPr="002B1A95" w:rsidRDefault="005B63A2" w:rsidP="005B63A2">
      <w:pPr>
        <w:pStyle w:val="paragraph"/>
        <w:rPr>
          <w:rFonts w:eastAsia="MS Mincho"/>
        </w:rPr>
      </w:pPr>
      <w:r w:rsidRPr="002B1A95">
        <w:rPr>
          <w:rFonts w:eastAsia="MS Mincho"/>
          <w:color w:val="000000"/>
        </w:rPr>
        <w:lastRenderedPageBreak/>
        <w:tab/>
        <w:t>(a)</w:t>
      </w:r>
      <w:r w:rsidRPr="002B1A95">
        <w:rPr>
          <w:rFonts w:eastAsia="MS Mincho"/>
          <w:color w:val="000000"/>
        </w:rPr>
        <w:tab/>
        <w:t>the superannuation provider’s actuary can identify, at the start of the income year, that the value of unfunded pre</w:t>
      </w:r>
      <w:r w:rsidR="00782250">
        <w:rPr>
          <w:rFonts w:eastAsia="MS Mincho"/>
          <w:color w:val="000000"/>
        </w:rPr>
        <w:noBreakHyphen/>
      </w:r>
      <w:r w:rsidRPr="002B1A95">
        <w:rPr>
          <w:rFonts w:eastAsia="MS Mincho"/>
          <w:color w:val="000000"/>
        </w:rPr>
        <w:t>1</w:t>
      </w:r>
      <w:r w:rsidR="002B1A95" w:rsidRPr="002B1A95">
        <w:rPr>
          <w:rFonts w:eastAsia="MS Mincho"/>
          <w:color w:val="000000"/>
        </w:rPr>
        <w:t> </w:t>
      </w:r>
      <w:r w:rsidRPr="002B1A95">
        <w:rPr>
          <w:rFonts w:eastAsia="MS Mincho"/>
          <w:color w:val="000000"/>
        </w:rPr>
        <w:t xml:space="preserve">July 88 liabilities for the income year exceeds the amount that the </w:t>
      </w:r>
      <w:r w:rsidRPr="002B1A95">
        <w:rPr>
          <w:color w:val="000000"/>
        </w:rPr>
        <w:t>superannuation provider</w:t>
      </w:r>
      <w:r w:rsidRPr="002B1A95">
        <w:rPr>
          <w:rFonts w:eastAsia="MS Mincho"/>
          <w:color w:val="000000"/>
        </w:rPr>
        <w:t xml:space="preserve"> wishes to specify for </w:t>
      </w:r>
      <w:r w:rsidRPr="002B1A95">
        <w:rPr>
          <w:color w:val="000000"/>
        </w:rPr>
        <w:t xml:space="preserve">the purposes of </w:t>
      </w:r>
      <w:r w:rsidRPr="002B1A95">
        <w:rPr>
          <w:rFonts w:eastAsia="MS Mincho"/>
          <w:color w:val="000000"/>
        </w:rPr>
        <w:t>subsection</w:t>
      </w:r>
      <w:r w:rsidR="002B1A95" w:rsidRPr="002B1A95">
        <w:rPr>
          <w:rFonts w:eastAsia="MS Mincho"/>
          <w:color w:val="000000"/>
        </w:rPr>
        <w:t> </w:t>
      </w:r>
      <w:r w:rsidRPr="002B1A95">
        <w:rPr>
          <w:rFonts w:eastAsia="MS Mincho"/>
          <w:color w:val="000000"/>
        </w:rPr>
        <w:t>295</w:t>
      </w:r>
      <w:r w:rsidR="00782250">
        <w:rPr>
          <w:rFonts w:eastAsia="MS Mincho"/>
          <w:color w:val="000000"/>
        </w:rPr>
        <w:noBreakHyphen/>
      </w:r>
      <w:r w:rsidRPr="002B1A95">
        <w:rPr>
          <w:rFonts w:eastAsia="MS Mincho"/>
          <w:color w:val="000000"/>
        </w:rPr>
        <w:t>265(1) of the Act; and</w:t>
      </w:r>
    </w:p>
    <w:p w:rsidR="005B63A2" w:rsidRPr="002B1A95" w:rsidRDefault="005B63A2" w:rsidP="005B63A2">
      <w:pPr>
        <w:pStyle w:val="paragraph"/>
        <w:rPr>
          <w:rFonts w:eastAsia="MS Mincho"/>
        </w:rPr>
      </w:pPr>
      <w:r w:rsidRPr="002B1A95">
        <w:rPr>
          <w:rFonts w:eastAsia="MS Mincho"/>
        </w:rPr>
        <w:tab/>
        <w:t>(b)</w:t>
      </w:r>
      <w:r w:rsidRPr="002B1A95">
        <w:rPr>
          <w:rFonts w:eastAsia="MS Mincho"/>
        </w:rPr>
        <w:tab/>
        <w:t>the income year is the first or second year after an income year for which method 1 was used to calculate the amount applicable to the fund.</w:t>
      </w:r>
    </w:p>
    <w:p w:rsidR="005B63A2" w:rsidRPr="002B1A95" w:rsidRDefault="005B63A2" w:rsidP="005B63A2">
      <w:pPr>
        <w:pStyle w:val="SubsectionHead"/>
        <w:rPr>
          <w:rFonts w:eastAsia="MS Mincho"/>
        </w:rPr>
      </w:pPr>
      <w:r w:rsidRPr="002B1A95">
        <w:rPr>
          <w:rFonts w:eastAsia="MS Mincho"/>
        </w:rPr>
        <w:t>Professional standards must be followed etc.</w:t>
      </w:r>
    </w:p>
    <w:p w:rsidR="005B63A2" w:rsidRPr="002B1A95" w:rsidRDefault="005B63A2" w:rsidP="005B63A2">
      <w:pPr>
        <w:pStyle w:val="subsection"/>
        <w:rPr>
          <w:rFonts w:eastAsia="MS Mincho"/>
        </w:rPr>
      </w:pPr>
      <w:r w:rsidRPr="002B1A95">
        <w:rPr>
          <w:rFonts w:eastAsia="MS Mincho"/>
        </w:rPr>
        <w:tab/>
        <w:t>(9)</w:t>
      </w:r>
      <w:r w:rsidRPr="002B1A95">
        <w:rPr>
          <w:rFonts w:eastAsia="MS Mincho"/>
        </w:rPr>
        <w:tab/>
        <w:t>The superannuation provider must ensure that, in making a calculation under or applying method 1 or 2, the superannuation provider’s actuary:</w:t>
      </w:r>
    </w:p>
    <w:p w:rsidR="005B63A2" w:rsidRPr="002B1A95" w:rsidRDefault="005B63A2" w:rsidP="005B63A2">
      <w:pPr>
        <w:pStyle w:val="paragraph"/>
        <w:rPr>
          <w:rFonts w:eastAsia="MS Mincho"/>
        </w:rPr>
      </w:pPr>
      <w:r w:rsidRPr="002B1A95">
        <w:rPr>
          <w:rFonts w:eastAsia="MS Mincho"/>
          <w:color w:val="000000"/>
        </w:rPr>
        <w:tab/>
        <w:t>(a)</w:t>
      </w:r>
      <w:r w:rsidRPr="002B1A95">
        <w:rPr>
          <w:rFonts w:eastAsia="MS Mincho"/>
          <w:color w:val="000000"/>
        </w:rPr>
        <w:tab/>
        <w:t>follows any professional standards prepared by the Institute of Actuaries of Australia; and</w:t>
      </w:r>
    </w:p>
    <w:p w:rsidR="005B63A2" w:rsidRPr="002B1A95" w:rsidRDefault="005B63A2" w:rsidP="005B63A2">
      <w:pPr>
        <w:pStyle w:val="paragraph"/>
        <w:rPr>
          <w:rFonts w:eastAsia="MS Mincho"/>
        </w:rPr>
      </w:pPr>
      <w:r w:rsidRPr="002B1A95">
        <w:rPr>
          <w:rFonts w:eastAsia="MS Mincho"/>
        </w:rPr>
        <w:tab/>
        <w:t>(b)</w:t>
      </w:r>
      <w:r w:rsidRPr="002B1A95">
        <w:rPr>
          <w:rFonts w:eastAsia="MS Mincho"/>
        </w:rPr>
        <w:tab/>
        <w:t>has regard to any professional guidance notes prepared by the Institute of Actuaries of Australia;</w:t>
      </w:r>
    </w:p>
    <w:p w:rsidR="005B63A2" w:rsidRPr="002B1A95" w:rsidRDefault="005B63A2" w:rsidP="005B63A2">
      <w:pPr>
        <w:pStyle w:val="subsection2"/>
        <w:rPr>
          <w:rFonts w:eastAsia="MS Mincho"/>
          <w:color w:val="000000"/>
        </w:rPr>
      </w:pPr>
      <w:r w:rsidRPr="002B1A95">
        <w:rPr>
          <w:rFonts w:eastAsia="MS Mincho"/>
          <w:color w:val="000000"/>
        </w:rPr>
        <w:t>that relate to the determination of accrued benefits mentioned in method 1 or 2.</w:t>
      </w:r>
    </w:p>
    <w:p w:rsidR="005B63A2" w:rsidRPr="002B1A95" w:rsidRDefault="005B63A2" w:rsidP="005B63A2">
      <w:pPr>
        <w:pStyle w:val="SubsectionHead"/>
        <w:rPr>
          <w:rFonts w:eastAsia="MS Mincho"/>
        </w:rPr>
      </w:pPr>
      <w:r w:rsidRPr="002B1A95">
        <w:rPr>
          <w:rFonts w:eastAsia="MS Mincho"/>
        </w:rPr>
        <w:t>Superannuation provider must provide information to support working out, if requested</w:t>
      </w:r>
    </w:p>
    <w:p w:rsidR="005B63A2" w:rsidRPr="002B1A95" w:rsidRDefault="005B63A2" w:rsidP="005B63A2">
      <w:pPr>
        <w:pStyle w:val="subsection"/>
        <w:rPr>
          <w:rFonts w:eastAsia="MS Mincho"/>
          <w:color w:val="000000"/>
        </w:rPr>
      </w:pPr>
      <w:r w:rsidRPr="002B1A95">
        <w:rPr>
          <w:rFonts w:eastAsia="MS Mincho"/>
          <w:color w:val="000000"/>
        </w:rPr>
        <w:tab/>
        <w:t>(10)</w:t>
      </w:r>
      <w:r w:rsidRPr="002B1A95">
        <w:rPr>
          <w:rFonts w:eastAsia="MS Mincho"/>
          <w:color w:val="000000"/>
        </w:rPr>
        <w:tab/>
        <w:t xml:space="preserve">The </w:t>
      </w:r>
      <w:r w:rsidRPr="002B1A95">
        <w:rPr>
          <w:color w:val="000000"/>
        </w:rPr>
        <w:t>superannuation provider</w:t>
      </w:r>
      <w:r w:rsidRPr="002B1A95">
        <w:rPr>
          <w:rFonts w:eastAsia="MS Mincho"/>
          <w:color w:val="000000"/>
        </w:rPr>
        <w:t xml:space="preserve"> must, if requested to do so, provide sufficient information to support its working out of the amount applicable to the fund under subsection</w:t>
      </w:r>
      <w:r w:rsidR="002B1A95" w:rsidRPr="002B1A95">
        <w:rPr>
          <w:rFonts w:eastAsia="MS Mincho"/>
          <w:color w:val="000000"/>
        </w:rPr>
        <w:t> </w:t>
      </w:r>
      <w:r w:rsidRPr="002B1A95">
        <w:rPr>
          <w:rFonts w:eastAsia="MS Mincho"/>
          <w:color w:val="000000"/>
        </w:rPr>
        <w:t>295</w:t>
      </w:r>
      <w:r w:rsidR="00782250">
        <w:rPr>
          <w:rFonts w:eastAsia="MS Mincho"/>
          <w:color w:val="000000"/>
        </w:rPr>
        <w:noBreakHyphen/>
      </w:r>
      <w:r w:rsidRPr="002B1A95">
        <w:rPr>
          <w:rFonts w:eastAsia="MS Mincho"/>
          <w:color w:val="000000"/>
        </w:rPr>
        <w:t>265(6) of the Act for an income year.</w:t>
      </w:r>
    </w:p>
    <w:p w:rsidR="005B63A2" w:rsidRPr="002B1A95" w:rsidRDefault="005B63A2" w:rsidP="005B63A2">
      <w:pPr>
        <w:pStyle w:val="ActHead5"/>
        <w:rPr>
          <w:rFonts w:eastAsia="MS Mincho"/>
        </w:rPr>
      </w:pPr>
      <w:bookmarkStart w:id="96" w:name="_Toc49765276"/>
      <w:r w:rsidRPr="00411C46">
        <w:rPr>
          <w:rStyle w:val="CharSectno"/>
          <w:rFonts w:eastAsia="MS Mincho"/>
        </w:rPr>
        <w:t>295</w:t>
      </w:r>
      <w:r w:rsidR="00782250" w:rsidRPr="00411C46">
        <w:rPr>
          <w:rStyle w:val="CharSectno"/>
          <w:rFonts w:eastAsia="MS Mincho"/>
        </w:rPr>
        <w:noBreakHyphen/>
      </w:r>
      <w:r w:rsidRPr="00411C46">
        <w:rPr>
          <w:rStyle w:val="CharSectno"/>
          <w:rFonts w:eastAsia="MS Mincho"/>
        </w:rPr>
        <w:t>265.02</w:t>
      </w:r>
      <w:r w:rsidRPr="002B1A95">
        <w:rPr>
          <w:rFonts w:eastAsia="MS Mincho"/>
        </w:rPr>
        <w:t xml:space="preserve">  Method 1—Funding credit valuation process</w:t>
      </w:r>
      <w:bookmarkEnd w:id="96"/>
    </w:p>
    <w:p w:rsidR="005B63A2" w:rsidRPr="002B1A95" w:rsidRDefault="005B63A2" w:rsidP="005B63A2">
      <w:pPr>
        <w:pStyle w:val="subsection"/>
        <w:rPr>
          <w:rFonts w:eastAsia="MS Mincho"/>
        </w:rPr>
      </w:pPr>
      <w:r w:rsidRPr="002B1A95">
        <w:rPr>
          <w:rFonts w:eastAsia="MS Mincho"/>
        </w:rPr>
        <w:tab/>
        <w:t>(1)</w:t>
      </w:r>
      <w:r w:rsidRPr="002B1A95">
        <w:rPr>
          <w:rFonts w:eastAsia="MS Mincho"/>
        </w:rPr>
        <w:tab/>
        <w:t xml:space="preserve">The following is method 1 for the purposes of </w:t>
      </w:r>
      <w:r w:rsidRPr="002B1A95">
        <w:rPr>
          <w:rFonts w:eastAsia="MS Mincho"/>
          <w:color w:val="000000"/>
        </w:rPr>
        <w:t xml:space="preserve">section </w:t>
      </w:r>
      <w:r w:rsidRPr="002B1A95">
        <w:rPr>
          <w:rFonts w:eastAsia="MS Mincho"/>
        </w:rPr>
        <w:t>295</w:t>
      </w:r>
      <w:r w:rsidR="00782250">
        <w:rPr>
          <w:rFonts w:eastAsia="MS Mincho"/>
        </w:rPr>
        <w:noBreakHyphen/>
      </w:r>
      <w:r w:rsidRPr="002B1A95">
        <w:rPr>
          <w:rFonts w:eastAsia="MS Mincho"/>
        </w:rPr>
        <w:t>265.01.</w:t>
      </w:r>
    </w:p>
    <w:p w:rsidR="005B63A2" w:rsidRPr="002B1A95" w:rsidRDefault="005B63A2" w:rsidP="005B63A2">
      <w:pPr>
        <w:pStyle w:val="BoxHeadItalic"/>
      </w:pPr>
      <w:r w:rsidRPr="002B1A95">
        <w:t>Method statement</w:t>
      </w:r>
    </w:p>
    <w:p w:rsidR="005B63A2" w:rsidRPr="002B1A95" w:rsidRDefault="005B63A2" w:rsidP="005B63A2">
      <w:pPr>
        <w:pStyle w:val="BoxStep"/>
        <w:rPr>
          <w:rFonts w:eastAsia="MS Mincho"/>
        </w:rPr>
      </w:pPr>
      <w:r w:rsidRPr="002B1A95">
        <w:t>Step 1:</w:t>
      </w:r>
      <w:r w:rsidRPr="002B1A95">
        <w:tab/>
      </w:r>
      <w:r w:rsidRPr="002B1A95">
        <w:rPr>
          <w:rFonts w:eastAsia="MS Mincho"/>
        </w:rPr>
        <w:t>For an income year for which a superannuation provider chooses to reduce the amount of contributions that would otherwise be included in a superannuation fund’s assessable income, calculate, in accordance with section 295</w:t>
      </w:r>
      <w:r w:rsidR="00782250">
        <w:rPr>
          <w:rFonts w:eastAsia="MS Mincho"/>
        </w:rPr>
        <w:noBreakHyphen/>
      </w:r>
      <w:r w:rsidRPr="002B1A95">
        <w:rPr>
          <w:rFonts w:eastAsia="MS Mincho"/>
        </w:rPr>
        <w:t>265.03, the discounted present value of liabilities as at the start of that income year that relates to membership completed.</w:t>
      </w:r>
    </w:p>
    <w:p w:rsidR="005B63A2" w:rsidRPr="002B1A95" w:rsidRDefault="005B63A2" w:rsidP="005B63A2">
      <w:pPr>
        <w:pStyle w:val="BoxStep"/>
        <w:rPr>
          <w:rFonts w:eastAsia="MS Mincho"/>
        </w:rPr>
      </w:pPr>
      <w:r w:rsidRPr="002B1A95">
        <w:rPr>
          <w:rFonts w:eastAsia="MS Mincho"/>
        </w:rPr>
        <w:tab/>
        <w:t>The discounted present value of liabilities for all members apportioned to pre</w:t>
      </w:r>
      <w:r w:rsidR="00782250">
        <w:rPr>
          <w:rFonts w:eastAsia="MS Mincho"/>
        </w:rPr>
        <w:noBreakHyphen/>
      </w:r>
      <w:r w:rsidRPr="002B1A95">
        <w:rPr>
          <w:rFonts w:eastAsia="MS Mincho"/>
        </w:rPr>
        <w:t>1</w:t>
      </w:r>
      <w:r w:rsidR="002B1A95" w:rsidRPr="002B1A95">
        <w:rPr>
          <w:rFonts w:eastAsia="MS Mincho"/>
        </w:rPr>
        <w:t> </w:t>
      </w:r>
      <w:r w:rsidRPr="002B1A95">
        <w:rPr>
          <w:rFonts w:eastAsia="MS Mincho"/>
        </w:rPr>
        <w:t xml:space="preserve">July 88 membership is the </w:t>
      </w:r>
      <w:r w:rsidRPr="002B1A95">
        <w:rPr>
          <w:rFonts w:eastAsia="MS Mincho"/>
          <w:b/>
          <w:i/>
        </w:rPr>
        <w:t>value of pre</w:t>
      </w:r>
      <w:r w:rsidR="00782250">
        <w:rPr>
          <w:rFonts w:eastAsia="MS Mincho"/>
          <w:b/>
          <w:i/>
        </w:rPr>
        <w:noBreakHyphen/>
      </w:r>
      <w:r w:rsidRPr="002B1A95">
        <w:rPr>
          <w:rFonts w:eastAsia="MS Mincho"/>
          <w:b/>
          <w:i/>
        </w:rPr>
        <w:t>1</w:t>
      </w:r>
      <w:r w:rsidR="002B1A95" w:rsidRPr="002B1A95">
        <w:rPr>
          <w:rFonts w:eastAsia="MS Mincho"/>
          <w:b/>
          <w:i/>
        </w:rPr>
        <w:t> </w:t>
      </w:r>
      <w:r w:rsidRPr="002B1A95">
        <w:rPr>
          <w:rFonts w:eastAsia="MS Mincho"/>
          <w:b/>
          <w:i/>
        </w:rPr>
        <w:t>July 88 liabilities</w:t>
      </w:r>
      <w:r w:rsidRPr="002B1A95">
        <w:rPr>
          <w:rFonts w:eastAsia="MS Mincho"/>
        </w:rPr>
        <w:t xml:space="preserve"> for the income year.</w:t>
      </w:r>
    </w:p>
    <w:p w:rsidR="005B63A2" w:rsidRPr="002B1A95" w:rsidRDefault="005B63A2" w:rsidP="005B63A2">
      <w:pPr>
        <w:pStyle w:val="BoxStep"/>
        <w:rPr>
          <w:rFonts w:eastAsia="MS Mincho"/>
        </w:rPr>
      </w:pPr>
      <w:r w:rsidRPr="002B1A95">
        <w:rPr>
          <w:rFonts w:eastAsia="MS Mincho"/>
        </w:rPr>
        <w:t>Step 2:</w:t>
      </w:r>
      <w:r w:rsidRPr="002B1A95">
        <w:rPr>
          <w:rFonts w:eastAsia="MS Mincho"/>
        </w:rPr>
        <w:tab/>
        <w:t>Calculate, in accordance with section 295</w:t>
      </w:r>
      <w:r w:rsidR="00782250">
        <w:rPr>
          <w:rFonts w:eastAsia="MS Mincho"/>
        </w:rPr>
        <w:noBreakHyphen/>
      </w:r>
      <w:r w:rsidRPr="002B1A95">
        <w:rPr>
          <w:rFonts w:eastAsia="MS Mincho"/>
        </w:rPr>
        <w:t>265.04, the total amount of superannuation fund assets at their market value at the start of the income year, on the basis on which the superannuation provider’s actuary would consider appropriate for a valuation under Part</w:t>
      </w:r>
      <w:r w:rsidR="002B1A95" w:rsidRPr="002B1A95">
        <w:rPr>
          <w:rFonts w:eastAsia="MS Mincho"/>
        </w:rPr>
        <w:t> </w:t>
      </w:r>
      <w:r w:rsidRPr="002B1A95">
        <w:rPr>
          <w:rFonts w:eastAsia="MS Mincho"/>
        </w:rPr>
        <w:t>9 of the SIS Regulations.</w:t>
      </w:r>
    </w:p>
    <w:p w:rsidR="005B63A2" w:rsidRPr="002B1A95" w:rsidRDefault="005B63A2" w:rsidP="005B63A2">
      <w:pPr>
        <w:pStyle w:val="BoxStep"/>
        <w:rPr>
          <w:rFonts w:eastAsia="MS Mincho"/>
        </w:rPr>
      </w:pPr>
      <w:r w:rsidRPr="002B1A95">
        <w:rPr>
          <w:rFonts w:eastAsia="MS Mincho"/>
        </w:rPr>
        <w:tab/>
        <w:t xml:space="preserve">The result is the </w:t>
      </w:r>
      <w:r w:rsidRPr="002B1A95">
        <w:rPr>
          <w:rFonts w:eastAsia="MS Mincho"/>
          <w:b/>
          <w:i/>
        </w:rPr>
        <w:t>assets available to fund pre</w:t>
      </w:r>
      <w:r w:rsidR="00782250">
        <w:rPr>
          <w:rFonts w:eastAsia="MS Mincho"/>
          <w:b/>
          <w:i/>
        </w:rPr>
        <w:noBreakHyphen/>
      </w:r>
      <w:r w:rsidRPr="002B1A95">
        <w:rPr>
          <w:rFonts w:eastAsia="MS Mincho"/>
          <w:b/>
          <w:i/>
        </w:rPr>
        <w:t>1</w:t>
      </w:r>
      <w:r w:rsidR="002B1A95" w:rsidRPr="002B1A95">
        <w:rPr>
          <w:rFonts w:eastAsia="MS Mincho"/>
          <w:b/>
          <w:i/>
        </w:rPr>
        <w:t> </w:t>
      </w:r>
      <w:r w:rsidRPr="002B1A95">
        <w:rPr>
          <w:rFonts w:eastAsia="MS Mincho"/>
          <w:b/>
          <w:i/>
        </w:rPr>
        <w:t>July 88 liabilities</w:t>
      </w:r>
      <w:r w:rsidRPr="002B1A95">
        <w:rPr>
          <w:rFonts w:eastAsia="MS Mincho"/>
        </w:rPr>
        <w:t xml:space="preserve"> for the income year.</w:t>
      </w:r>
    </w:p>
    <w:p w:rsidR="005B63A2" w:rsidRPr="002B1A95" w:rsidRDefault="005B63A2" w:rsidP="005B63A2">
      <w:pPr>
        <w:pStyle w:val="BoxStep"/>
        <w:rPr>
          <w:rFonts w:eastAsia="MS Mincho"/>
        </w:rPr>
      </w:pPr>
      <w:r w:rsidRPr="002B1A95">
        <w:rPr>
          <w:rFonts w:eastAsia="MS Mincho"/>
        </w:rPr>
        <w:lastRenderedPageBreak/>
        <w:t>Step 3:</w:t>
      </w:r>
      <w:r w:rsidRPr="002B1A95">
        <w:rPr>
          <w:rFonts w:eastAsia="MS Mincho"/>
        </w:rPr>
        <w:tab/>
        <w:t>Deduct the assets available to fund pre</w:t>
      </w:r>
      <w:r w:rsidR="00782250">
        <w:rPr>
          <w:rFonts w:eastAsia="MS Mincho"/>
        </w:rPr>
        <w:noBreakHyphen/>
      </w:r>
      <w:r w:rsidRPr="002B1A95">
        <w:rPr>
          <w:rFonts w:eastAsia="MS Mincho"/>
        </w:rPr>
        <w:t>1</w:t>
      </w:r>
      <w:r w:rsidR="002B1A95" w:rsidRPr="002B1A95">
        <w:rPr>
          <w:rFonts w:eastAsia="MS Mincho"/>
        </w:rPr>
        <w:t> </w:t>
      </w:r>
      <w:r w:rsidRPr="002B1A95">
        <w:rPr>
          <w:rFonts w:eastAsia="MS Mincho"/>
        </w:rPr>
        <w:t>July 88 liabilities for the income year from the value of pre</w:t>
      </w:r>
      <w:r w:rsidR="00782250">
        <w:rPr>
          <w:rFonts w:eastAsia="MS Mincho"/>
        </w:rPr>
        <w:noBreakHyphen/>
      </w:r>
      <w:r w:rsidRPr="002B1A95">
        <w:rPr>
          <w:rFonts w:eastAsia="MS Mincho"/>
        </w:rPr>
        <w:t>1</w:t>
      </w:r>
      <w:r w:rsidR="002B1A95" w:rsidRPr="002B1A95">
        <w:rPr>
          <w:rFonts w:eastAsia="MS Mincho"/>
        </w:rPr>
        <w:t> </w:t>
      </w:r>
      <w:r w:rsidRPr="002B1A95">
        <w:rPr>
          <w:rFonts w:eastAsia="MS Mincho"/>
        </w:rPr>
        <w:t>July 88 liabilities for the income year.</w:t>
      </w:r>
    </w:p>
    <w:p w:rsidR="005B63A2" w:rsidRPr="002B1A95" w:rsidRDefault="005B63A2" w:rsidP="005B63A2">
      <w:pPr>
        <w:pStyle w:val="BoxStep"/>
        <w:rPr>
          <w:rFonts w:eastAsia="MS Mincho"/>
        </w:rPr>
      </w:pPr>
      <w:r w:rsidRPr="002B1A95">
        <w:rPr>
          <w:rFonts w:eastAsia="MS Mincho"/>
        </w:rPr>
        <w:tab/>
        <w:t xml:space="preserve">The result is the </w:t>
      </w:r>
      <w:r w:rsidRPr="002B1A95">
        <w:rPr>
          <w:rFonts w:eastAsia="MS Mincho"/>
          <w:b/>
          <w:i/>
        </w:rPr>
        <w:t>value of unfunded pre</w:t>
      </w:r>
      <w:r w:rsidR="00782250">
        <w:rPr>
          <w:rFonts w:eastAsia="MS Mincho"/>
          <w:b/>
          <w:i/>
        </w:rPr>
        <w:noBreakHyphen/>
      </w:r>
      <w:r w:rsidRPr="002B1A95">
        <w:rPr>
          <w:rFonts w:eastAsia="MS Mincho"/>
          <w:b/>
          <w:i/>
        </w:rPr>
        <w:t>1</w:t>
      </w:r>
      <w:r w:rsidR="002B1A95" w:rsidRPr="002B1A95">
        <w:rPr>
          <w:rFonts w:eastAsia="MS Mincho"/>
          <w:b/>
          <w:i/>
        </w:rPr>
        <w:t> </w:t>
      </w:r>
      <w:r w:rsidRPr="002B1A95">
        <w:rPr>
          <w:rFonts w:eastAsia="MS Mincho"/>
          <w:b/>
          <w:i/>
        </w:rPr>
        <w:t>July 88 liabilities</w:t>
      </w:r>
      <w:r w:rsidRPr="002B1A95">
        <w:rPr>
          <w:rFonts w:eastAsia="MS Mincho"/>
        </w:rPr>
        <w:t xml:space="preserve"> for the income year.</w:t>
      </w:r>
    </w:p>
    <w:p w:rsidR="005B63A2" w:rsidRPr="002B1A95" w:rsidRDefault="005B63A2" w:rsidP="005B63A2">
      <w:pPr>
        <w:pStyle w:val="BoxStep"/>
        <w:rPr>
          <w:rFonts w:eastAsia="MS Mincho"/>
        </w:rPr>
      </w:pPr>
      <w:r w:rsidRPr="002B1A95">
        <w:rPr>
          <w:rFonts w:eastAsia="MS Mincho"/>
        </w:rPr>
        <w:t>Step 4:</w:t>
      </w:r>
      <w:r w:rsidRPr="002B1A95">
        <w:rPr>
          <w:rFonts w:eastAsia="MS Mincho"/>
        </w:rPr>
        <w:tab/>
        <w:t>The amount of taxable contributions that are allocated to fund that value of unfunded pre</w:t>
      </w:r>
      <w:r w:rsidR="00782250">
        <w:rPr>
          <w:rFonts w:eastAsia="MS Mincho"/>
        </w:rPr>
        <w:noBreakHyphen/>
      </w:r>
      <w:r w:rsidRPr="002B1A95">
        <w:rPr>
          <w:rFonts w:eastAsia="MS Mincho"/>
        </w:rPr>
        <w:t>1</w:t>
      </w:r>
      <w:r w:rsidR="002B1A95" w:rsidRPr="002B1A95">
        <w:rPr>
          <w:rFonts w:eastAsia="MS Mincho"/>
        </w:rPr>
        <w:t> </w:t>
      </w:r>
      <w:r w:rsidRPr="002B1A95">
        <w:rPr>
          <w:rFonts w:eastAsia="MS Mincho"/>
        </w:rPr>
        <w:t xml:space="preserve">July 88 liabilities, as notified by the superannuation provider to the actuary, are the </w:t>
      </w:r>
      <w:r w:rsidRPr="002B1A95">
        <w:rPr>
          <w:rFonts w:eastAsia="MS Mincho"/>
          <w:b/>
          <w:i/>
        </w:rPr>
        <w:t>pre</w:t>
      </w:r>
      <w:r w:rsidR="00782250">
        <w:rPr>
          <w:rFonts w:eastAsia="MS Mincho"/>
          <w:b/>
          <w:i/>
        </w:rPr>
        <w:noBreakHyphen/>
      </w:r>
      <w:r w:rsidRPr="002B1A95">
        <w:rPr>
          <w:rFonts w:eastAsia="MS Mincho"/>
          <w:b/>
          <w:i/>
        </w:rPr>
        <w:t>1</w:t>
      </w:r>
      <w:r w:rsidR="002B1A95" w:rsidRPr="002B1A95">
        <w:rPr>
          <w:rFonts w:eastAsia="MS Mincho"/>
          <w:b/>
          <w:i/>
        </w:rPr>
        <w:t> </w:t>
      </w:r>
      <w:r w:rsidRPr="002B1A95">
        <w:rPr>
          <w:rFonts w:eastAsia="MS Mincho"/>
          <w:b/>
          <w:i/>
        </w:rPr>
        <w:t>July 88 taxable contributions</w:t>
      </w:r>
      <w:r w:rsidRPr="002B1A95">
        <w:rPr>
          <w:rFonts w:eastAsia="MS Mincho"/>
        </w:rPr>
        <w:t xml:space="preserve"> for the income year.</w:t>
      </w:r>
    </w:p>
    <w:p w:rsidR="005B63A2" w:rsidRPr="002B1A95" w:rsidRDefault="005B63A2" w:rsidP="005B63A2">
      <w:pPr>
        <w:pStyle w:val="subsection"/>
      </w:pPr>
      <w:r w:rsidRPr="002B1A95">
        <w:rPr>
          <w:rFonts w:eastAsia="MS Mincho"/>
        </w:rPr>
        <w:tab/>
        <w:t>(2)</w:t>
      </w:r>
      <w:r w:rsidRPr="002B1A95">
        <w:rPr>
          <w:rFonts w:eastAsia="MS Mincho"/>
        </w:rPr>
        <w:tab/>
      </w:r>
      <w:r w:rsidRPr="002B1A95">
        <w:t xml:space="preserve">The superannuation provider’s actuary must retain the following documentation for the income year for </w:t>
      </w:r>
      <w:r w:rsidRPr="002B1A95">
        <w:rPr>
          <w:rFonts w:eastAsia="MS Mincho"/>
        </w:rPr>
        <w:t>not less than 5 years</w:t>
      </w:r>
      <w:r w:rsidRPr="002B1A95">
        <w:t>:</w:t>
      </w:r>
    </w:p>
    <w:p w:rsidR="005B63A2" w:rsidRPr="002B1A95" w:rsidRDefault="005B63A2" w:rsidP="005B63A2">
      <w:pPr>
        <w:pStyle w:val="paragraph"/>
        <w:rPr>
          <w:rFonts w:eastAsia="MS Mincho"/>
        </w:rPr>
      </w:pPr>
      <w:r w:rsidRPr="002B1A95">
        <w:rPr>
          <w:rFonts w:eastAsia="MS Mincho"/>
        </w:rPr>
        <w:tab/>
        <w:t>(a)</w:t>
      </w:r>
      <w:r w:rsidRPr="002B1A95">
        <w:rPr>
          <w:rFonts w:eastAsia="MS Mincho"/>
        </w:rPr>
        <w:tab/>
        <w:t>documentation of the liability and valuation apportionment calculations for step 1 of method 1;</w:t>
      </w:r>
    </w:p>
    <w:p w:rsidR="005B63A2" w:rsidRPr="002B1A95" w:rsidRDefault="005B63A2" w:rsidP="005B63A2">
      <w:pPr>
        <w:pStyle w:val="paragraph"/>
        <w:rPr>
          <w:rFonts w:eastAsia="MS Mincho"/>
        </w:rPr>
      </w:pPr>
      <w:r w:rsidRPr="002B1A95">
        <w:tab/>
        <w:t>(b)</w:t>
      </w:r>
      <w:r w:rsidRPr="002B1A95">
        <w:tab/>
      </w:r>
      <w:r w:rsidRPr="002B1A95">
        <w:rPr>
          <w:rFonts w:eastAsia="MS Mincho"/>
        </w:rPr>
        <w:t>documentation to support calculations made for the asset apportionment for step 2 of method 1.</w:t>
      </w:r>
    </w:p>
    <w:p w:rsidR="005B63A2" w:rsidRPr="002B1A95" w:rsidRDefault="005B63A2" w:rsidP="005B63A2">
      <w:pPr>
        <w:pStyle w:val="subsection"/>
        <w:rPr>
          <w:rFonts w:eastAsia="MS Mincho"/>
        </w:rPr>
      </w:pPr>
      <w:r w:rsidRPr="002B1A95">
        <w:rPr>
          <w:rFonts w:eastAsia="MS Mincho"/>
        </w:rPr>
        <w:tab/>
        <w:t>(3)</w:t>
      </w:r>
      <w:r w:rsidRPr="002B1A95">
        <w:rPr>
          <w:rFonts w:eastAsia="MS Mincho"/>
        </w:rPr>
        <w:tab/>
        <w:t>The superannuation provider must retain documentation to support calculations of pre</w:t>
      </w:r>
      <w:r w:rsidR="00782250">
        <w:rPr>
          <w:rFonts w:eastAsia="MS Mincho"/>
        </w:rPr>
        <w:noBreakHyphen/>
      </w:r>
      <w:r w:rsidRPr="002B1A95">
        <w:rPr>
          <w:rFonts w:eastAsia="MS Mincho"/>
        </w:rPr>
        <w:t>1</w:t>
      </w:r>
      <w:r w:rsidR="002B1A95" w:rsidRPr="002B1A95">
        <w:rPr>
          <w:rFonts w:eastAsia="MS Mincho"/>
        </w:rPr>
        <w:t> </w:t>
      </w:r>
      <w:r w:rsidRPr="002B1A95">
        <w:rPr>
          <w:rFonts w:eastAsia="MS Mincho"/>
        </w:rPr>
        <w:t>July 88 taxable contributions for the income year for not less than 5 years.</w:t>
      </w:r>
    </w:p>
    <w:p w:rsidR="005B63A2" w:rsidRPr="002B1A95" w:rsidRDefault="005B63A2" w:rsidP="005B63A2">
      <w:pPr>
        <w:pStyle w:val="ActHead5"/>
        <w:rPr>
          <w:rFonts w:eastAsia="MS Mincho"/>
        </w:rPr>
      </w:pPr>
      <w:bookmarkStart w:id="97" w:name="_Toc49765277"/>
      <w:r w:rsidRPr="00411C46">
        <w:rPr>
          <w:rStyle w:val="CharSectno"/>
          <w:rFonts w:eastAsia="MS Mincho"/>
        </w:rPr>
        <w:t>295</w:t>
      </w:r>
      <w:r w:rsidR="00782250" w:rsidRPr="00411C46">
        <w:rPr>
          <w:rStyle w:val="CharSectno"/>
          <w:rFonts w:eastAsia="MS Mincho"/>
        </w:rPr>
        <w:noBreakHyphen/>
      </w:r>
      <w:r w:rsidRPr="00411C46">
        <w:rPr>
          <w:rStyle w:val="CharSectno"/>
          <w:rFonts w:eastAsia="MS Mincho"/>
        </w:rPr>
        <w:t>265.03</w:t>
      </w:r>
      <w:r w:rsidRPr="002B1A95">
        <w:rPr>
          <w:rFonts w:eastAsia="MS Mincho"/>
        </w:rPr>
        <w:t xml:space="preserve">  How to calculate the discounted present value of liabilities for step 1 of method 1</w:t>
      </w:r>
      <w:bookmarkEnd w:id="97"/>
    </w:p>
    <w:p w:rsidR="005B63A2" w:rsidRPr="002B1A95" w:rsidRDefault="005B63A2" w:rsidP="005B63A2">
      <w:pPr>
        <w:pStyle w:val="subsection"/>
        <w:rPr>
          <w:rFonts w:eastAsia="MS Mincho"/>
        </w:rPr>
      </w:pPr>
      <w:r w:rsidRPr="002B1A95">
        <w:rPr>
          <w:rFonts w:eastAsia="MS Mincho"/>
        </w:rPr>
        <w:tab/>
        <w:t>(1)</w:t>
      </w:r>
      <w:r w:rsidRPr="002B1A95">
        <w:rPr>
          <w:rFonts w:eastAsia="MS Mincho"/>
        </w:rPr>
        <w:tab/>
      </w:r>
      <w:r w:rsidRPr="002B1A95">
        <w:t>This section sets out how to calculate</w:t>
      </w:r>
      <w:r w:rsidRPr="002B1A95">
        <w:rPr>
          <w:rFonts w:eastAsia="MS Mincho"/>
        </w:rPr>
        <w:t xml:space="preserve"> the discounted present value </w:t>
      </w:r>
      <w:r w:rsidRPr="002B1A95">
        <w:rPr>
          <w:rFonts w:eastAsia="MS Mincho"/>
          <w:lang w:eastAsia="en-US"/>
        </w:rPr>
        <w:t xml:space="preserve">of liabilities for step 1 of method 1 </w:t>
      </w:r>
      <w:r w:rsidRPr="002B1A95">
        <w:rPr>
          <w:rFonts w:eastAsia="MS Mincho"/>
        </w:rPr>
        <w:t>in section 295</w:t>
      </w:r>
      <w:r w:rsidR="00782250">
        <w:rPr>
          <w:rFonts w:eastAsia="MS Mincho"/>
        </w:rPr>
        <w:noBreakHyphen/>
      </w:r>
      <w:r w:rsidRPr="002B1A95">
        <w:rPr>
          <w:rFonts w:eastAsia="MS Mincho"/>
        </w:rPr>
        <w:t>265.02.</w:t>
      </w:r>
    </w:p>
    <w:p w:rsidR="005B63A2" w:rsidRPr="002B1A95" w:rsidRDefault="005B63A2" w:rsidP="005B63A2">
      <w:pPr>
        <w:pStyle w:val="subsection"/>
        <w:rPr>
          <w:rFonts w:eastAsia="MS Mincho"/>
        </w:rPr>
      </w:pPr>
      <w:r w:rsidRPr="002B1A95">
        <w:rPr>
          <w:rFonts w:eastAsia="MS Mincho"/>
        </w:rPr>
        <w:tab/>
        <w:t>(2)</w:t>
      </w:r>
      <w:r w:rsidRPr="002B1A95">
        <w:rPr>
          <w:rFonts w:eastAsia="MS Mincho"/>
        </w:rPr>
        <w:tab/>
        <w:t>The basis for the calculation in step 1 of method 1 must be the actuarial valuation basis relevant to the income year in question which the superannuation provider’s actuary would consider appropriate for a valuation under Part</w:t>
      </w:r>
      <w:r w:rsidR="002B1A95" w:rsidRPr="002B1A95">
        <w:rPr>
          <w:rFonts w:eastAsia="MS Mincho"/>
        </w:rPr>
        <w:t> </w:t>
      </w:r>
      <w:r w:rsidRPr="002B1A95">
        <w:rPr>
          <w:rFonts w:eastAsia="MS Mincho"/>
        </w:rPr>
        <w:t>9 of the SIS Regulations.</w:t>
      </w:r>
    </w:p>
    <w:p w:rsidR="005B63A2" w:rsidRPr="002B1A95" w:rsidRDefault="005B63A2" w:rsidP="005B63A2">
      <w:pPr>
        <w:pStyle w:val="subsection"/>
        <w:rPr>
          <w:rFonts w:eastAsia="MS Mincho"/>
        </w:rPr>
      </w:pPr>
      <w:r w:rsidRPr="002B1A95">
        <w:rPr>
          <w:rFonts w:eastAsia="MS Mincho"/>
        </w:rPr>
        <w:tab/>
        <w:t>(3)</w:t>
      </w:r>
      <w:r w:rsidRPr="002B1A95">
        <w:rPr>
          <w:rFonts w:eastAsia="MS Mincho"/>
        </w:rPr>
        <w:tab/>
        <w:t>In making the calculation, exclude the following liabilities that are not provided from taxable contributions:</w:t>
      </w:r>
    </w:p>
    <w:p w:rsidR="005B63A2" w:rsidRPr="002B1A95" w:rsidRDefault="005B63A2" w:rsidP="005B63A2">
      <w:pPr>
        <w:pStyle w:val="paragraph"/>
        <w:rPr>
          <w:rFonts w:eastAsia="MS Mincho"/>
        </w:rPr>
      </w:pPr>
      <w:r w:rsidRPr="002B1A95">
        <w:rPr>
          <w:rFonts w:eastAsia="MS Mincho"/>
        </w:rPr>
        <w:tab/>
        <w:t>(a)</w:t>
      </w:r>
      <w:r w:rsidRPr="002B1A95">
        <w:rPr>
          <w:rFonts w:eastAsia="MS Mincho"/>
        </w:rPr>
        <w:tab/>
        <w:t>liabilities representing benefits financed by undeducted contributions (within the meaning of subsection</w:t>
      </w:r>
      <w:r w:rsidR="002B1A95" w:rsidRPr="002B1A95">
        <w:rPr>
          <w:rFonts w:eastAsia="MS Mincho"/>
        </w:rPr>
        <w:t> </w:t>
      </w:r>
      <w:r w:rsidRPr="002B1A95">
        <w:rPr>
          <w:rFonts w:eastAsia="MS Mincho"/>
        </w:rPr>
        <w:t xml:space="preserve">27A(1) of the </w:t>
      </w:r>
      <w:r w:rsidRPr="002B1A95">
        <w:rPr>
          <w:rFonts w:eastAsia="MS Mincho"/>
          <w:i/>
        </w:rPr>
        <w:t>Income Tax Assessment Act 1936</w:t>
      </w:r>
      <w:r w:rsidRPr="002B1A95">
        <w:rPr>
          <w:rFonts w:eastAsia="MS Mincho"/>
        </w:rPr>
        <w:t xml:space="preserve"> as in force just before 15</w:t>
      </w:r>
      <w:r w:rsidR="002B1A95" w:rsidRPr="002B1A95">
        <w:rPr>
          <w:rFonts w:eastAsia="MS Mincho"/>
        </w:rPr>
        <w:t> </w:t>
      </w:r>
      <w:r w:rsidRPr="002B1A95">
        <w:rPr>
          <w:rFonts w:eastAsia="MS Mincho"/>
        </w:rPr>
        <w:t>March 2007);</w:t>
      </w:r>
    </w:p>
    <w:p w:rsidR="005B63A2" w:rsidRPr="002B1A95" w:rsidRDefault="005B63A2" w:rsidP="005B63A2">
      <w:pPr>
        <w:pStyle w:val="paragraph"/>
        <w:rPr>
          <w:rFonts w:eastAsia="MS Mincho"/>
        </w:rPr>
      </w:pPr>
      <w:r w:rsidRPr="002B1A95">
        <w:rPr>
          <w:rFonts w:eastAsia="MS Mincho"/>
        </w:rPr>
        <w:tab/>
        <w:t>(b)</w:t>
      </w:r>
      <w:r w:rsidRPr="002B1A95">
        <w:rPr>
          <w:rFonts w:eastAsia="MS Mincho"/>
        </w:rPr>
        <w:tab/>
        <w:t>liabilities representing benefits or components that are expected to be treated as paid from an untaxed source;</w:t>
      </w:r>
    </w:p>
    <w:p w:rsidR="005B63A2" w:rsidRPr="002B1A95" w:rsidRDefault="005B63A2" w:rsidP="005B63A2">
      <w:pPr>
        <w:pStyle w:val="noteToPara"/>
        <w:rPr>
          <w:rFonts w:eastAsia="MS Mincho"/>
        </w:rPr>
      </w:pPr>
      <w:r w:rsidRPr="002B1A95">
        <w:rPr>
          <w:rFonts w:eastAsia="MS Mincho"/>
        </w:rPr>
        <w:t>Example:</w:t>
      </w:r>
      <w:r w:rsidRPr="002B1A95">
        <w:rPr>
          <w:rFonts w:eastAsia="MS Mincho"/>
        </w:rPr>
        <w:tab/>
        <w:t>Pensions provided on an emerging cost or pay as you go basis, with corresponding elections being made under subsection</w:t>
      </w:r>
      <w:r w:rsidR="002B1A95" w:rsidRPr="002B1A95">
        <w:rPr>
          <w:rFonts w:eastAsia="MS Mincho"/>
        </w:rPr>
        <w:t> </w:t>
      </w:r>
      <w:r w:rsidRPr="002B1A95">
        <w:rPr>
          <w:rFonts w:eastAsia="MS Mincho"/>
        </w:rPr>
        <w:t>295</w:t>
      </w:r>
      <w:r w:rsidR="00782250">
        <w:rPr>
          <w:rFonts w:eastAsia="MS Mincho"/>
        </w:rPr>
        <w:noBreakHyphen/>
      </w:r>
      <w:r w:rsidRPr="002B1A95">
        <w:rPr>
          <w:rFonts w:eastAsia="MS Mincho"/>
        </w:rPr>
        <w:t>180(1) of the Act.</w:t>
      </w:r>
    </w:p>
    <w:p w:rsidR="005B63A2" w:rsidRPr="002B1A95" w:rsidRDefault="005B63A2" w:rsidP="005B63A2">
      <w:pPr>
        <w:pStyle w:val="paragraph"/>
        <w:rPr>
          <w:rFonts w:eastAsia="MS Mincho"/>
        </w:rPr>
      </w:pPr>
      <w:r w:rsidRPr="002B1A95">
        <w:rPr>
          <w:rFonts w:eastAsia="MS Mincho"/>
        </w:rPr>
        <w:tab/>
        <w:t>(c)</w:t>
      </w:r>
      <w:r w:rsidRPr="002B1A95">
        <w:rPr>
          <w:rFonts w:eastAsia="MS Mincho"/>
        </w:rPr>
        <w:tab/>
        <w:t>liabilities for entitlements relating to membership and for which corresponding assets can be identified;</w:t>
      </w:r>
    </w:p>
    <w:p w:rsidR="005B63A2" w:rsidRPr="002B1A95" w:rsidRDefault="005B63A2" w:rsidP="005B63A2">
      <w:pPr>
        <w:pStyle w:val="noteToPara"/>
        <w:rPr>
          <w:rFonts w:eastAsia="MS Mincho"/>
        </w:rPr>
      </w:pPr>
      <w:r w:rsidRPr="002B1A95">
        <w:rPr>
          <w:rFonts w:eastAsia="MS Mincho"/>
        </w:rPr>
        <w:t>Example:</w:t>
      </w:r>
      <w:r w:rsidRPr="002B1A95">
        <w:rPr>
          <w:rFonts w:eastAsia="MS Mincho"/>
        </w:rPr>
        <w:tab/>
        <w:t>Fully funded productivity, superannuation guarantee or salary sacrifice account balances.</w:t>
      </w:r>
    </w:p>
    <w:p w:rsidR="005B63A2" w:rsidRPr="002B1A95" w:rsidRDefault="005B63A2" w:rsidP="005B63A2">
      <w:pPr>
        <w:pStyle w:val="paragraph"/>
        <w:rPr>
          <w:rFonts w:eastAsia="MS Mincho"/>
        </w:rPr>
      </w:pPr>
      <w:r w:rsidRPr="002B1A95">
        <w:rPr>
          <w:rFonts w:eastAsia="MS Mincho"/>
        </w:rPr>
        <w:tab/>
        <w:t>(d)</w:t>
      </w:r>
      <w:r w:rsidRPr="002B1A95">
        <w:rPr>
          <w:rFonts w:eastAsia="MS Mincho"/>
        </w:rPr>
        <w:tab/>
        <w:t>liabilities representing death and disability benefits for which costs are claimed as deductible under section</w:t>
      </w:r>
      <w:r w:rsidR="002B1A95" w:rsidRPr="002B1A95">
        <w:rPr>
          <w:rFonts w:eastAsia="MS Mincho"/>
        </w:rPr>
        <w:t> </w:t>
      </w:r>
      <w:r w:rsidRPr="002B1A95">
        <w:rPr>
          <w:rFonts w:eastAsia="MS Mincho"/>
        </w:rPr>
        <w:t>295</w:t>
      </w:r>
      <w:r w:rsidR="00782250">
        <w:rPr>
          <w:rFonts w:eastAsia="MS Mincho"/>
        </w:rPr>
        <w:noBreakHyphen/>
      </w:r>
      <w:r w:rsidRPr="002B1A95">
        <w:rPr>
          <w:rFonts w:eastAsia="MS Mincho"/>
        </w:rPr>
        <w:t>465 or 295</w:t>
      </w:r>
      <w:r w:rsidR="00782250">
        <w:rPr>
          <w:rFonts w:eastAsia="MS Mincho"/>
        </w:rPr>
        <w:noBreakHyphen/>
      </w:r>
      <w:r w:rsidRPr="002B1A95">
        <w:rPr>
          <w:rFonts w:eastAsia="MS Mincho"/>
        </w:rPr>
        <w:t>470 of the Act.</w:t>
      </w:r>
    </w:p>
    <w:p w:rsidR="005B63A2" w:rsidRPr="002B1A95" w:rsidRDefault="005B63A2" w:rsidP="005B63A2">
      <w:pPr>
        <w:pStyle w:val="subsection"/>
        <w:rPr>
          <w:rFonts w:eastAsia="MS Mincho"/>
        </w:rPr>
      </w:pPr>
      <w:r w:rsidRPr="002B1A95">
        <w:rPr>
          <w:rFonts w:eastAsia="MS Mincho"/>
        </w:rPr>
        <w:lastRenderedPageBreak/>
        <w:tab/>
        <w:t>(4)</w:t>
      </w:r>
      <w:r w:rsidRPr="002B1A95">
        <w:rPr>
          <w:rFonts w:eastAsia="MS Mincho"/>
        </w:rPr>
        <w:tab/>
        <w:t>Apportion the discounted present value of the liabilities, between:</w:t>
      </w:r>
    </w:p>
    <w:p w:rsidR="005B63A2" w:rsidRPr="002B1A95" w:rsidRDefault="005B63A2" w:rsidP="005B63A2">
      <w:pPr>
        <w:pStyle w:val="paragraph"/>
        <w:rPr>
          <w:rFonts w:eastAsia="MS Mincho"/>
        </w:rPr>
      </w:pPr>
      <w:r w:rsidRPr="002B1A95">
        <w:rPr>
          <w:rFonts w:eastAsia="MS Mincho"/>
        </w:rPr>
        <w:tab/>
        <w:t>(a)</w:t>
      </w:r>
      <w:r w:rsidRPr="002B1A95">
        <w:rPr>
          <w:rFonts w:eastAsia="MS Mincho"/>
        </w:rPr>
        <w:tab/>
        <w:t>the period of superannuation fund membership completed before 1</w:t>
      </w:r>
      <w:r w:rsidR="002B1A95" w:rsidRPr="002B1A95">
        <w:rPr>
          <w:rFonts w:eastAsia="MS Mincho"/>
        </w:rPr>
        <w:t> </w:t>
      </w:r>
      <w:r w:rsidRPr="002B1A95">
        <w:rPr>
          <w:rFonts w:eastAsia="MS Mincho"/>
        </w:rPr>
        <w:t>July 1988; and</w:t>
      </w:r>
    </w:p>
    <w:p w:rsidR="005B63A2" w:rsidRPr="002B1A95" w:rsidRDefault="005B63A2" w:rsidP="005B63A2">
      <w:pPr>
        <w:pStyle w:val="paragraph"/>
        <w:rPr>
          <w:rFonts w:eastAsia="MS Mincho"/>
        </w:rPr>
      </w:pPr>
      <w:r w:rsidRPr="002B1A95">
        <w:rPr>
          <w:rFonts w:eastAsia="MS Mincho"/>
        </w:rPr>
        <w:tab/>
        <w:t>(b)</w:t>
      </w:r>
      <w:r w:rsidRPr="002B1A95">
        <w:rPr>
          <w:rFonts w:eastAsia="MS Mincho"/>
        </w:rPr>
        <w:tab/>
        <w:t>the period of superannuation fund membership completed on and after 1</w:t>
      </w:r>
      <w:r w:rsidR="002B1A95" w:rsidRPr="002B1A95">
        <w:rPr>
          <w:rFonts w:eastAsia="MS Mincho"/>
        </w:rPr>
        <w:t> </w:t>
      </w:r>
      <w:r w:rsidRPr="002B1A95">
        <w:rPr>
          <w:rFonts w:eastAsia="MS Mincho"/>
        </w:rPr>
        <w:t>July 1988;</w:t>
      </w:r>
    </w:p>
    <w:p w:rsidR="005B63A2" w:rsidRPr="002B1A95" w:rsidRDefault="005B63A2" w:rsidP="005B63A2">
      <w:pPr>
        <w:pStyle w:val="subsection2"/>
        <w:rPr>
          <w:rFonts w:eastAsia="MS Mincho"/>
          <w:color w:val="000000"/>
        </w:rPr>
      </w:pPr>
      <w:r w:rsidRPr="002B1A95">
        <w:t xml:space="preserve">for </w:t>
      </w:r>
      <w:r w:rsidRPr="002B1A95">
        <w:rPr>
          <w:rFonts w:eastAsia="MS Mincho"/>
        </w:rPr>
        <w:t>each</w:t>
      </w:r>
      <w:r w:rsidRPr="002B1A95">
        <w:t xml:space="preserve"> superannuation fund member or former member for </w:t>
      </w:r>
      <w:r w:rsidRPr="002B1A95">
        <w:rPr>
          <w:rFonts w:eastAsia="MS Mincho"/>
        </w:rPr>
        <w:t>whom</w:t>
      </w:r>
      <w:r w:rsidRPr="002B1A95">
        <w:t xml:space="preserve"> a liability is being valued</w:t>
      </w:r>
      <w:r w:rsidRPr="002B1A95">
        <w:rPr>
          <w:rFonts w:eastAsia="MS Mincho"/>
          <w:color w:val="000000"/>
        </w:rPr>
        <w:t>.</w:t>
      </w:r>
    </w:p>
    <w:p w:rsidR="005B63A2" w:rsidRPr="002B1A95" w:rsidRDefault="005B63A2" w:rsidP="005B63A2">
      <w:pPr>
        <w:pStyle w:val="subsection"/>
        <w:rPr>
          <w:rFonts w:eastAsia="MS Mincho"/>
        </w:rPr>
      </w:pPr>
      <w:r w:rsidRPr="002B1A95">
        <w:rPr>
          <w:rFonts w:eastAsia="MS Mincho"/>
        </w:rPr>
        <w:tab/>
        <w:t>(5)</w:t>
      </w:r>
      <w:r w:rsidRPr="002B1A95">
        <w:rPr>
          <w:rFonts w:eastAsia="MS Mincho"/>
        </w:rPr>
        <w:tab/>
        <w:t>The apportionment must be made having regard to the following requirements and principles:</w:t>
      </w:r>
    </w:p>
    <w:p w:rsidR="005B63A2" w:rsidRPr="002B1A95" w:rsidRDefault="005B63A2" w:rsidP="005B63A2">
      <w:pPr>
        <w:pStyle w:val="paragraph"/>
        <w:rPr>
          <w:rFonts w:eastAsia="MS Mincho"/>
        </w:rPr>
      </w:pPr>
      <w:r w:rsidRPr="002B1A95">
        <w:rPr>
          <w:rFonts w:eastAsia="MS Mincho"/>
        </w:rPr>
        <w:tab/>
        <w:t>(a)</w:t>
      </w:r>
      <w:r w:rsidRPr="002B1A95">
        <w:rPr>
          <w:rFonts w:eastAsia="MS Mincho"/>
        </w:rPr>
        <w:tab/>
        <w:t>superannuation fund membership must be consistent with the definition used by the fund to determine the benefit being valued;</w:t>
      </w:r>
    </w:p>
    <w:p w:rsidR="005B63A2" w:rsidRPr="002B1A95" w:rsidRDefault="005B63A2" w:rsidP="005B63A2">
      <w:pPr>
        <w:pStyle w:val="paragraph"/>
        <w:rPr>
          <w:rFonts w:eastAsia="MS Mincho"/>
        </w:rPr>
      </w:pPr>
      <w:r w:rsidRPr="002B1A95">
        <w:rPr>
          <w:rFonts w:eastAsia="MS Mincho"/>
        </w:rPr>
        <w:tab/>
        <w:t>(b)</w:t>
      </w:r>
      <w:r w:rsidRPr="002B1A95">
        <w:rPr>
          <w:rFonts w:eastAsia="MS Mincho"/>
        </w:rPr>
        <w:tab/>
        <w:t>an alternative method for apportioning the discounted present value of liabilities may be used only if the superannuation provider’s actuary certifies that the method will provide a reasonable approximation of the apportionment;</w:t>
      </w:r>
    </w:p>
    <w:p w:rsidR="005B63A2" w:rsidRPr="002B1A95" w:rsidRDefault="005B63A2" w:rsidP="005B63A2">
      <w:pPr>
        <w:pStyle w:val="paragraph"/>
        <w:rPr>
          <w:rFonts w:eastAsia="MS Mincho"/>
        </w:rPr>
      </w:pPr>
      <w:r w:rsidRPr="002B1A95">
        <w:rPr>
          <w:rFonts w:eastAsia="MS Mincho"/>
        </w:rPr>
        <w:tab/>
        <w:t>(c)</w:t>
      </w:r>
      <w:r w:rsidRPr="002B1A95">
        <w:rPr>
          <w:rFonts w:eastAsia="MS Mincho"/>
        </w:rPr>
        <w:tab/>
        <w:t>a linear apportionment method will generally be used, but an apportionment method that reflects non</w:t>
      </w:r>
      <w:r w:rsidR="00782250">
        <w:rPr>
          <w:rFonts w:eastAsia="MS Mincho"/>
        </w:rPr>
        <w:noBreakHyphen/>
      </w:r>
      <w:r w:rsidRPr="002B1A95">
        <w:rPr>
          <w:rFonts w:eastAsia="MS Mincho"/>
        </w:rPr>
        <w:t>linear accrual of entitlements may be used if the superannuation provider’s actuary considers that such a method achieves an outcome that is consistent with the principle that funding credits can only be used against contributions intended to provide for entitlements relating to membership completed before 1</w:t>
      </w:r>
      <w:r w:rsidR="002B1A95" w:rsidRPr="002B1A95">
        <w:rPr>
          <w:rFonts w:eastAsia="MS Mincho"/>
        </w:rPr>
        <w:t> </w:t>
      </w:r>
      <w:r w:rsidRPr="002B1A95">
        <w:rPr>
          <w:rFonts w:eastAsia="MS Mincho"/>
        </w:rPr>
        <w:t>July 1988.</w:t>
      </w:r>
    </w:p>
    <w:p w:rsidR="005B63A2" w:rsidRPr="002B1A95" w:rsidRDefault="005B63A2" w:rsidP="005B63A2">
      <w:pPr>
        <w:pStyle w:val="ActHead5"/>
        <w:rPr>
          <w:rFonts w:eastAsia="MS Mincho"/>
        </w:rPr>
      </w:pPr>
      <w:bookmarkStart w:id="98" w:name="_Toc49765278"/>
      <w:r w:rsidRPr="00411C46">
        <w:rPr>
          <w:rStyle w:val="CharSectno"/>
          <w:rFonts w:eastAsia="MS Mincho"/>
        </w:rPr>
        <w:t>295</w:t>
      </w:r>
      <w:r w:rsidR="00782250" w:rsidRPr="00411C46">
        <w:rPr>
          <w:rStyle w:val="CharSectno"/>
          <w:rFonts w:eastAsia="MS Mincho"/>
        </w:rPr>
        <w:noBreakHyphen/>
      </w:r>
      <w:r w:rsidRPr="00411C46">
        <w:rPr>
          <w:rStyle w:val="CharSectno"/>
          <w:rFonts w:eastAsia="MS Mincho"/>
        </w:rPr>
        <w:t>265.04</w:t>
      </w:r>
      <w:r w:rsidRPr="002B1A95">
        <w:rPr>
          <w:rFonts w:eastAsia="MS Mincho"/>
        </w:rPr>
        <w:t xml:space="preserve">  How to calculate the </w:t>
      </w:r>
      <w:r w:rsidRPr="002B1A95">
        <w:rPr>
          <w:rFonts w:eastAsia="MS Mincho"/>
          <w:lang w:eastAsia="en-US"/>
        </w:rPr>
        <w:t>assets available to fund pre</w:t>
      </w:r>
      <w:r w:rsidR="00782250">
        <w:rPr>
          <w:rFonts w:eastAsia="MS Mincho"/>
          <w:lang w:eastAsia="en-US"/>
        </w:rPr>
        <w:noBreakHyphen/>
      </w:r>
      <w:r w:rsidRPr="002B1A95">
        <w:rPr>
          <w:rFonts w:eastAsia="MS Mincho"/>
          <w:lang w:eastAsia="en-US"/>
        </w:rPr>
        <w:t>1</w:t>
      </w:r>
      <w:r w:rsidR="002B1A95" w:rsidRPr="002B1A95">
        <w:rPr>
          <w:rFonts w:eastAsia="MS Mincho"/>
          <w:lang w:eastAsia="en-US"/>
        </w:rPr>
        <w:t> </w:t>
      </w:r>
      <w:r w:rsidRPr="002B1A95">
        <w:rPr>
          <w:rFonts w:eastAsia="MS Mincho"/>
          <w:lang w:eastAsia="en-US"/>
        </w:rPr>
        <w:t xml:space="preserve">July 88 liabilities </w:t>
      </w:r>
      <w:r w:rsidRPr="002B1A95">
        <w:rPr>
          <w:rFonts w:eastAsia="MS Mincho"/>
        </w:rPr>
        <w:t>for step 2 of method 1</w:t>
      </w:r>
      <w:bookmarkEnd w:id="98"/>
    </w:p>
    <w:p w:rsidR="005B63A2" w:rsidRPr="002B1A95" w:rsidRDefault="005B63A2" w:rsidP="005B63A2">
      <w:pPr>
        <w:pStyle w:val="subsection"/>
        <w:rPr>
          <w:rFonts w:eastAsia="MS Mincho"/>
        </w:rPr>
      </w:pPr>
      <w:r w:rsidRPr="002B1A95">
        <w:rPr>
          <w:rFonts w:eastAsia="MS Mincho"/>
        </w:rPr>
        <w:tab/>
        <w:t>(1)</w:t>
      </w:r>
      <w:r w:rsidRPr="002B1A95">
        <w:rPr>
          <w:rFonts w:eastAsia="MS Mincho"/>
        </w:rPr>
        <w:tab/>
      </w:r>
      <w:r w:rsidRPr="002B1A95">
        <w:t>This section sets out how to c</w:t>
      </w:r>
      <w:r w:rsidRPr="002B1A95">
        <w:rPr>
          <w:rFonts w:eastAsia="MS Mincho"/>
        </w:rPr>
        <w:t xml:space="preserve">alculate the </w:t>
      </w:r>
      <w:r w:rsidRPr="002B1A95">
        <w:rPr>
          <w:rFonts w:eastAsia="MS Mincho"/>
          <w:lang w:eastAsia="en-US"/>
        </w:rPr>
        <w:t>assets available to fund pre</w:t>
      </w:r>
      <w:r w:rsidR="00782250">
        <w:rPr>
          <w:rFonts w:eastAsia="MS Mincho"/>
          <w:lang w:eastAsia="en-US"/>
        </w:rPr>
        <w:noBreakHyphen/>
      </w:r>
      <w:r w:rsidRPr="002B1A95">
        <w:rPr>
          <w:rFonts w:eastAsia="MS Mincho"/>
          <w:lang w:eastAsia="en-US"/>
        </w:rPr>
        <w:t>1</w:t>
      </w:r>
      <w:r w:rsidR="002B1A95" w:rsidRPr="002B1A95">
        <w:rPr>
          <w:rFonts w:eastAsia="MS Mincho"/>
          <w:lang w:eastAsia="en-US"/>
        </w:rPr>
        <w:t> </w:t>
      </w:r>
      <w:r w:rsidRPr="002B1A95">
        <w:rPr>
          <w:rFonts w:eastAsia="MS Mincho"/>
          <w:lang w:eastAsia="en-US"/>
        </w:rPr>
        <w:t>July 88 liabilities</w:t>
      </w:r>
      <w:r w:rsidRPr="002B1A95">
        <w:rPr>
          <w:rFonts w:eastAsia="MS Mincho"/>
        </w:rPr>
        <w:t xml:space="preserve"> for step 2 of method 1</w:t>
      </w:r>
      <w:r w:rsidRPr="002B1A95">
        <w:rPr>
          <w:rFonts w:eastAsia="MS Mincho"/>
          <w:lang w:eastAsia="en-US"/>
        </w:rPr>
        <w:t xml:space="preserve"> </w:t>
      </w:r>
      <w:r w:rsidRPr="002B1A95">
        <w:rPr>
          <w:rFonts w:eastAsia="MS Mincho"/>
        </w:rPr>
        <w:t>in section 295</w:t>
      </w:r>
      <w:r w:rsidR="00782250">
        <w:rPr>
          <w:rFonts w:eastAsia="MS Mincho"/>
        </w:rPr>
        <w:noBreakHyphen/>
      </w:r>
      <w:r w:rsidRPr="002B1A95">
        <w:rPr>
          <w:rFonts w:eastAsia="MS Mincho"/>
        </w:rPr>
        <w:t>265.02.</w:t>
      </w:r>
    </w:p>
    <w:p w:rsidR="005B63A2" w:rsidRPr="002B1A95" w:rsidRDefault="005B63A2" w:rsidP="005B63A2">
      <w:pPr>
        <w:pStyle w:val="subsection"/>
        <w:rPr>
          <w:rFonts w:eastAsia="MS Mincho"/>
        </w:rPr>
      </w:pPr>
      <w:r w:rsidRPr="002B1A95">
        <w:tab/>
        <w:t>(2)</w:t>
      </w:r>
      <w:r w:rsidRPr="002B1A95">
        <w:tab/>
        <w:t>In making the calculation in step 2 of method 1,</w:t>
      </w:r>
      <w:r w:rsidRPr="002B1A95">
        <w:rPr>
          <w:rFonts w:eastAsia="MS Mincho"/>
        </w:rPr>
        <w:t xml:space="preserve"> allow deductions for realisation costs and charges incurred in the normal course of operation of the superannuation fund.</w:t>
      </w:r>
    </w:p>
    <w:p w:rsidR="005B63A2" w:rsidRPr="002B1A95" w:rsidRDefault="005B63A2" w:rsidP="005B63A2">
      <w:pPr>
        <w:pStyle w:val="subsection"/>
        <w:rPr>
          <w:rFonts w:eastAsia="MS Mincho"/>
        </w:rPr>
      </w:pPr>
      <w:r w:rsidRPr="002B1A95">
        <w:tab/>
        <w:t>(3)</w:t>
      </w:r>
      <w:r w:rsidRPr="002B1A95">
        <w:tab/>
      </w:r>
      <w:r w:rsidRPr="002B1A95">
        <w:rPr>
          <w:rFonts w:eastAsia="MS Mincho"/>
        </w:rPr>
        <w:t>Deduct the amount of assets that relate to excluded liabilities mentioned in subsection 295</w:t>
      </w:r>
      <w:r w:rsidR="00782250">
        <w:rPr>
          <w:rFonts w:eastAsia="MS Mincho"/>
        </w:rPr>
        <w:noBreakHyphen/>
      </w:r>
      <w:r w:rsidRPr="002B1A95">
        <w:rPr>
          <w:rFonts w:eastAsia="MS Mincho"/>
        </w:rPr>
        <w:t>265.03(3).</w:t>
      </w:r>
    </w:p>
    <w:p w:rsidR="005B63A2" w:rsidRPr="002B1A95" w:rsidRDefault="005B63A2" w:rsidP="005B63A2">
      <w:pPr>
        <w:pStyle w:val="subsection"/>
        <w:rPr>
          <w:rFonts w:eastAsia="MS Mincho"/>
        </w:rPr>
      </w:pPr>
      <w:r w:rsidRPr="002B1A95">
        <w:rPr>
          <w:rFonts w:eastAsia="MS Mincho"/>
        </w:rPr>
        <w:tab/>
        <w:t>(4)</w:t>
      </w:r>
      <w:r w:rsidRPr="002B1A95">
        <w:rPr>
          <w:rFonts w:eastAsia="MS Mincho"/>
        </w:rPr>
        <w:tab/>
        <w:t>All remaining assets should be treated as available to fund pre</w:t>
      </w:r>
      <w:r w:rsidR="00782250">
        <w:rPr>
          <w:rFonts w:eastAsia="MS Mincho"/>
        </w:rPr>
        <w:noBreakHyphen/>
      </w:r>
      <w:r w:rsidRPr="002B1A95">
        <w:rPr>
          <w:rFonts w:eastAsia="MS Mincho"/>
        </w:rPr>
        <w:t>1</w:t>
      </w:r>
      <w:r w:rsidR="002B1A95" w:rsidRPr="002B1A95">
        <w:rPr>
          <w:rFonts w:eastAsia="MS Mincho"/>
        </w:rPr>
        <w:t> </w:t>
      </w:r>
      <w:r w:rsidRPr="002B1A95">
        <w:rPr>
          <w:rFonts w:eastAsia="MS Mincho"/>
        </w:rPr>
        <w:t>July 88 liabilities unless the superannuation provider can provide the superannuation provider’s actuary with written evidence to support exclusion of both an amount of assets and a corresponding value of liabilities.</w:t>
      </w:r>
    </w:p>
    <w:p w:rsidR="005B63A2" w:rsidRPr="002B1A95" w:rsidRDefault="005B63A2" w:rsidP="005B63A2">
      <w:pPr>
        <w:pStyle w:val="ActHead5"/>
      </w:pPr>
      <w:bookmarkStart w:id="99" w:name="_Toc49765279"/>
      <w:r w:rsidRPr="00411C46">
        <w:rPr>
          <w:rStyle w:val="CharSectno"/>
          <w:rFonts w:eastAsia="MS Mincho"/>
        </w:rPr>
        <w:t>295</w:t>
      </w:r>
      <w:r w:rsidR="00782250" w:rsidRPr="00411C46">
        <w:rPr>
          <w:rStyle w:val="CharSectno"/>
          <w:rFonts w:eastAsia="MS Mincho"/>
        </w:rPr>
        <w:noBreakHyphen/>
      </w:r>
      <w:r w:rsidRPr="00411C46">
        <w:rPr>
          <w:rStyle w:val="CharSectno"/>
          <w:rFonts w:eastAsia="MS Mincho"/>
        </w:rPr>
        <w:t>265.05</w:t>
      </w:r>
      <w:r w:rsidRPr="002B1A95">
        <w:rPr>
          <w:rFonts w:eastAsia="MS Mincho"/>
        </w:rPr>
        <w:t xml:space="preserve">  </w:t>
      </w:r>
      <w:r w:rsidRPr="002B1A95">
        <w:t>Method 2—Notionally updated funding credit valuation process</w:t>
      </w:r>
      <w:bookmarkEnd w:id="99"/>
    </w:p>
    <w:p w:rsidR="005B63A2" w:rsidRPr="002B1A95" w:rsidRDefault="005B63A2" w:rsidP="005B63A2">
      <w:pPr>
        <w:pStyle w:val="subsection"/>
        <w:rPr>
          <w:rFonts w:eastAsia="MS Mincho"/>
        </w:rPr>
      </w:pPr>
      <w:r w:rsidRPr="002B1A95">
        <w:rPr>
          <w:rFonts w:eastAsia="MS Mincho"/>
        </w:rPr>
        <w:tab/>
        <w:t>(1)</w:t>
      </w:r>
      <w:r w:rsidRPr="002B1A95">
        <w:rPr>
          <w:rFonts w:eastAsia="MS Mincho"/>
        </w:rPr>
        <w:tab/>
        <w:t xml:space="preserve">The following is method 2 for the purposes of </w:t>
      </w:r>
      <w:r w:rsidRPr="002B1A95">
        <w:rPr>
          <w:rFonts w:eastAsia="MS Mincho"/>
          <w:color w:val="000000"/>
        </w:rPr>
        <w:t xml:space="preserve">section </w:t>
      </w:r>
      <w:r w:rsidRPr="002B1A95">
        <w:rPr>
          <w:rFonts w:eastAsia="MS Mincho"/>
        </w:rPr>
        <w:t>295</w:t>
      </w:r>
      <w:r w:rsidR="00782250">
        <w:rPr>
          <w:rFonts w:eastAsia="MS Mincho"/>
        </w:rPr>
        <w:noBreakHyphen/>
      </w:r>
      <w:r w:rsidRPr="002B1A95">
        <w:rPr>
          <w:rFonts w:eastAsia="MS Mincho"/>
        </w:rPr>
        <w:t>265.01.</w:t>
      </w:r>
    </w:p>
    <w:p w:rsidR="005B63A2" w:rsidRPr="002B1A95" w:rsidRDefault="005B63A2" w:rsidP="005B63A2">
      <w:pPr>
        <w:pStyle w:val="BoxHeadItalic"/>
      </w:pPr>
      <w:r w:rsidRPr="002B1A95">
        <w:t>Method statement</w:t>
      </w:r>
    </w:p>
    <w:p w:rsidR="005B63A2" w:rsidRPr="002B1A95" w:rsidRDefault="005B63A2" w:rsidP="005B63A2">
      <w:pPr>
        <w:pStyle w:val="BoxStep"/>
        <w:rPr>
          <w:rFonts w:eastAsia="MS Mincho"/>
          <w:color w:val="000000"/>
        </w:rPr>
      </w:pPr>
      <w:r w:rsidRPr="002B1A95">
        <w:t>Step 1:</w:t>
      </w:r>
      <w:r w:rsidRPr="002B1A95">
        <w:tab/>
      </w:r>
      <w:r w:rsidRPr="002B1A95">
        <w:rPr>
          <w:rFonts w:eastAsia="MS Mincho"/>
        </w:rPr>
        <w:t xml:space="preserve">For an income year (the </w:t>
      </w:r>
      <w:r w:rsidRPr="002B1A95">
        <w:rPr>
          <w:rFonts w:eastAsia="MS Mincho"/>
          <w:b/>
          <w:i/>
        </w:rPr>
        <w:t>current income year</w:t>
      </w:r>
      <w:r w:rsidRPr="002B1A95">
        <w:rPr>
          <w:rFonts w:eastAsia="MS Mincho"/>
        </w:rPr>
        <w:t xml:space="preserve">), the superannuation provider’s </w:t>
      </w:r>
      <w:r w:rsidRPr="002B1A95">
        <w:rPr>
          <w:rFonts w:eastAsia="MS Mincho"/>
          <w:color w:val="000000"/>
        </w:rPr>
        <w:t>actuary must notionally adjust the value of pre</w:t>
      </w:r>
      <w:r w:rsidR="00782250">
        <w:rPr>
          <w:rFonts w:eastAsia="MS Mincho"/>
          <w:color w:val="000000"/>
        </w:rPr>
        <w:noBreakHyphen/>
      </w:r>
      <w:r w:rsidRPr="002B1A95">
        <w:rPr>
          <w:rFonts w:eastAsia="MS Mincho"/>
          <w:color w:val="000000"/>
        </w:rPr>
        <w:t>1</w:t>
      </w:r>
      <w:r w:rsidR="002B1A95" w:rsidRPr="002B1A95">
        <w:rPr>
          <w:rFonts w:eastAsia="MS Mincho"/>
          <w:color w:val="000000"/>
        </w:rPr>
        <w:t> </w:t>
      </w:r>
      <w:r w:rsidRPr="002B1A95">
        <w:rPr>
          <w:rFonts w:eastAsia="MS Mincho"/>
          <w:color w:val="000000"/>
        </w:rPr>
        <w:t xml:space="preserve">July 88 </w:t>
      </w:r>
      <w:r w:rsidRPr="002B1A95">
        <w:rPr>
          <w:rFonts w:eastAsia="MS Mincho"/>
          <w:color w:val="000000"/>
        </w:rPr>
        <w:lastRenderedPageBreak/>
        <w:t xml:space="preserve">liabilities of the superannuation fund for the previous income year from the start of the previous income year to the start of the current income year, taking into </w:t>
      </w:r>
      <w:r w:rsidRPr="002B1A95">
        <w:rPr>
          <w:rFonts w:eastAsia="MS Mincho"/>
        </w:rPr>
        <w:t>account</w:t>
      </w:r>
      <w:r w:rsidRPr="002B1A95">
        <w:rPr>
          <w:rFonts w:eastAsia="MS Mincho"/>
          <w:color w:val="000000"/>
        </w:rPr>
        <w:t xml:space="preserve"> any factors likely to affect that value.</w:t>
      </w:r>
    </w:p>
    <w:p w:rsidR="005B63A2" w:rsidRPr="002B1A95" w:rsidRDefault="005B63A2" w:rsidP="005B63A2">
      <w:pPr>
        <w:pStyle w:val="BoxStep"/>
      </w:pPr>
      <w:r w:rsidRPr="002B1A95">
        <w:rPr>
          <w:rFonts w:eastAsia="MS Mincho"/>
        </w:rPr>
        <w:tab/>
        <w:t xml:space="preserve">In making a calculation the actuary must have regard to the </w:t>
      </w:r>
      <w:r w:rsidRPr="002B1A95">
        <w:t xml:space="preserve">valuation basis that would be used by the </w:t>
      </w:r>
      <w:r w:rsidRPr="002B1A95">
        <w:rPr>
          <w:rFonts w:eastAsia="MS Mincho"/>
        </w:rPr>
        <w:t>fund</w:t>
      </w:r>
      <w:r w:rsidRPr="002B1A95">
        <w:t xml:space="preserve"> if method 1 were being used for the current income year.</w:t>
      </w:r>
    </w:p>
    <w:p w:rsidR="005B63A2" w:rsidRPr="002B1A95" w:rsidRDefault="005B63A2" w:rsidP="005B63A2">
      <w:pPr>
        <w:pStyle w:val="BoxStep"/>
      </w:pPr>
      <w:r w:rsidRPr="002B1A95">
        <w:tab/>
        <w:t>In making a calculation the actuary must have regard to actual experience gained from the operation of the fund if the experience is materially different from valuation assumptions used in the calculation of the value of pre</w:t>
      </w:r>
      <w:r w:rsidR="00782250">
        <w:noBreakHyphen/>
      </w:r>
      <w:r w:rsidRPr="002B1A95">
        <w:t>1</w:t>
      </w:r>
      <w:r w:rsidR="002B1A95" w:rsidRPr="002B1A95">
        <w:t> </w:t>
      </w:r>
      <w:r w:rsidRPr="002B1A95">
        <w:t xml:space="preserve">July 88 liabilities for </w:t>
      </w:r>
      <w:r w:rsidRPr="002B1A95">
        <w:rPr>
          <w:rFonts w:eastAsia="MS Mincho"/>
        </w:rPr>
        <w:t>the previous income year</w:t>
      </w:r>
      <w:r w:rsidRPr="002B1A95">
        <w:t>.</w:t>
      </w:r>
    </w:p>
    <w:p w:rsidR="005B63A2" w:rsidRPr="002B1A95" w:rsidRDefault="005B63A2" w:rsidP="005B63A2">
      <w:pPr>
        <w:pStyle w:val="BoxStep"/>
      </w:pPr>
      <w:r w:rsidRPr="002B1A95">
        <w:tab/>
        <w:t>The result is the</w:t>
      </w:r>
      <w:r w:rsidRPr="002B1A95">
        <w:rPr>
          <w:b/>
          <w:i/>
        </w:rPr>
        <w:t xml:space="preserve"> value</w:t>
      </w:r>
      <w:r w:rsidRPr="002B1A95">
        <w:rPr>
          <w:i/>
        </w:rPr>
        <w:t xml:space="preserve"> </w:t>
      </w:r>
      <w:r w:rsidRPr="002B1A95">
        <w:rPr>
          <w:b/>
          <w:i/>
        </w:rPr>
        <w:t>of pre</w:t>
      </w:r>
      <w:r w:rsidR="00782250">
        <w:rPr>
          <w:b/>
          <w:i/>
        </w:rPr>
        <w:noBreakHyphen/>
      </w:r>
      <w:r w:rsidRPr="002B1A95">
        <w:rPr>
          <w:b/>
          <w:i/>
        </w:rPr>
        <w:t>1</w:t>
      </w:r>
      <w:r w:rsidR="002B1A95" w:rsidRPr="002B1A95">
        <w:rPr>
          <w:b/>
          <w:i/>
        </w:rPr>
        <w:t> </w:t>
      </w:r>
      <w:r w:rsidRPr="002B1A95">
        <w:rPr>
          <w:b/>
          <w:i/>
        </w:rPr>
        <w:t>July 88 liabilities</w:t>
      </w:r>
      <w:r w:rsidRPr="002B1A95">
        <w:t xml:space="preserve"> for </w:t>
      </w:r>
      <w:r w:rsidRPr="002B1A95">
        <w:rPr>
          <w:rFonts w:eastAsia="MS Mincho"/>
        </w:rPr>
        <w:t>the current income year</w:t>
      </w:r>
      <w:r w:rsidRPr="002B1A95">
        <w:t>.</w:t>
      </w:r>
    </w:p>
    <w:p w:rsidR="005B63A2" w:rsidRPr="002B1A95" w:rsidRDefault="005B63A2" w:rsidP="005B63A2">
      <w:pPr>
        <w:pStyle w:val="BoxStep"/>
      </w:pPr>
      <w:r w:rsidRPr="002B1A95">
        <w:t>Step 2:</w:t>
      </w:r>
      <w:r w:rsidRPr="002B1A95">
        <w:tab/>
        <w:t>The actuary must notionally adjust the assets available to fund pre</w:t>
      </w:r>
      <w:r w:rsidR="00782250">
        <w:noBreakHyphen/>
      </w:r>
      <w:r w:rsidRPr="002B1A95">
        <w:t>1</w:t>
      </w:r>
      <w:r w:rsidR="002B1A95" w:rsidRPr="002B1A95">
        <w:t> </w:t>
      </w:r>
      <w:r w:rsidRPr="002B1A95">
        <w:t xml:space="preserve">July 88 liabilities </w:t>
      </w:r>
      <w:r w:rsidRPr="002B1A95">
        <w:rPr>
          <w:rFonts w:eastAsia="MS Mincho"/>
          <w:color w:val="000000"/>
        </w:rPr>
        <w:t xml:space="preserve">of the superannuation fund for the previous income year </w:t>
      </w:r>
      <w:r w:rsidRPr="002B1A95">
        <w:t>from the start of the previous income year to the start of the current income year, taking into account any factors likely to affect those assets, including by:</w:t>
      </w:r>
    </w:p>
    <w:p w:rsidR="005B63A2" w:rsidRPr="002B1A95" w:rsidRDefault="005B63A2" w:rsidP="005B63A2">
      <w:pPr>
        <w:pStyle w:val="BoxPara"/>
      </w:pPr>
      <w:r w:rsidRPr="002B1A95">
        <w:tab/>
        <w:t>(a)</w:t>
      </w:r>
      <w:r w:rsidRPr="002B1A95">
        <w:tab/>
        <w:t>adding taxable contributions allocated to fund pre</w:t>
      </w:r>
      <w:r w:rsidR="00782250">
        <w:noBreakHyphen/>
      </w:r>
      <w:r w:rsidRPr="002B1A95">
        <w:t>1</w:t>
      </w:r>
      <w:r w:rsidR="002B1A95" w:rsidRPr="002B1A95">
        <w:t> </w:t>
      </w:r>
      <w:r w:rsidRPr="002B1A95">
        <w:t>July 88 taxed liabilities in the previous income year; and</w:t>
      </w:r>
    </w:p>
    <w:p w:rsidR="005B63A2" w:rsidRPr="002B1A95" w:rsidRDefault="005B63A2" w:rsidP="005B63A2">
      <w:pPr>
        <w:pStyle w:val="BoxPara"/>
      </w:pPr>
      <w:r w:rsidRPr="002B1A95">
        <w:tab/>
        <w:t>(b)</w:t>
      </w:r>
      <w:r w:rsidRPr="002B1A95">
        <w:tab/>
        <w:t>deducting the employer</w:t>
      </w:r>
      <w:r w:rsidR="00782250">
        <w:noBreakHyphen/>
      </w:r>
      <w:r w:rsidRPr="002B1A95">
        <w:t>financed component of pre</w:t>
      </w:r>
      <w:r w:rsidR="00782250">
        <w:noBreakHyphen/>
      </w:r>
      <w:r w:rsidRPr="002B1A95">
        <w:t>1</w:t>
      </w:r>
      <w:r w:rsidR="002B1A95" w:rsidRPr="002B1A95">
        <w:t> </w:t>
      </w:r>
      <w:r w:rsidRPr="002B1A95">
        <w:t>July 88 taxed benefits paid out during the previous income year; and</w:t>
      </w:r>
    </w:p>
    <w:p w:rsidR="005B63A2" w:rsidRPr="002B1A95" w:rsidRDefault="005B63A2" w:rsidP="005B63A2">
      <w:pPr>
        <w:pStyle w:val="BoxPara"/>
      </w:pPr>
      <w:r w:rsidRPr="002B1A95">
        <w:tab/>
        <w:t>(c)</w:t>
      </w:r>
      <w:r w:rsidRPr="002B1A95">
        <w:tab/>
        <w:t>adding actual investment earnings net of the tax and expenses relating to investment income for the previous income year using a basis that is consistent with the underlying investment earnings achieved and normal practices of the superannuation fund.</w:t>
      </w:r>
    </w:p>
    <w:p w:rsidR="005B63A2" w:rsidRPr="002B1A95" w:rsidRDefault="005B63A2" w:rsidP="005B63A2">
      <w:pPr>
        <w:pStyle w:val="BoxStep"/>
      </w:pPr>
      <w:r w:rsidRPr="002B1A95">
        <w:tab/>
        <w:t xml:space="preserve">The result is the </w:t>
      </w:r>
      <w:r w:rsidRPr="002B1A95">
        <w:rPr>
          <w:b/>
          <w:i/>
        </w:rPr>
        <w:t>assets available to fund pre</w:t>
      </w:r>
      <w:r w:rsidR="00782250">
        <w:rPr>
          <w:b/>
          <w:i/>
        </w:rPr>
        <w:noBreakHyphen/>
      </w:r>
      <w:r w:rsidRPr="002B1A95">
        <w:rPr>
          <w:b/>
          <w:i/>
        </w:rPr>
        <w:t>1</w:t>
      </w:r>
      <w:r w:rsidR="002B1A95" w:rsidRPr="002B1A95">
        <w:rPr>
          <w:b/>
          <w:i/>
        </w:rPr>
        <w:t> </w:t>
      </w:r>
      <w:r w:rsidRPr="002B1A95">
        <w:rPr>
          <w:b/>
          <w:i/>
        </w:rPr>
        <w:t xml:space="preserve">July 88 liabilities </w:t>
      </w:r>
      <w:r w:rsidRPr="002B1A95">
        <w:rPr>
          <w:rFonts w:eastAsia="MS Mincho"/>
        </w:rPr>
        <w:t>for the current income year</w:t>
      </w:r>
      <w:r w:rsidRPr="002B1A95">
        <w:t>.</w:t>
      </w:r>
    </w:p>
    <w:p w:rsidR="005B63A2" w:rsidRPr="002B1A95" w:rsidRDefault="005B63A2" w:rsidP="005B63A2">
      <w:pPr>
        <w:pStyle w:val="BoxStep"/>
      </w:pPr>
      <w:r w:rsidRPr="002B1A95">
        <w:t>Step 3:</w:t>
      </w:r>
      <w:r w:rsidRPr="002B1A95">
        <w:tab/>
        <w:t>Deduct the assets available to fund pre</w:t>
      </w:r>
      <w:r w:rsidR="00782250">
        <w:noBreakHyphen/>
      </w:r>
      <w:r w:rsidRPr="002B1A95">
        <w:t>1</w:t>
      </w:r>
      <w:r w:rsidR="002B1A95" w:rsidRPr="002B1A95">
        <w:t> </w:t>
      </w:r>
      <w:r w:rsidRPr="002B1A95">
        <w:t xml:space="preserve">July 88 liabilities for the </w:t>
      </w:r>
      <w:r w:rsidRPr="002B1A95">
        <w:rPr>
          <w:rFonts w:eastAsia="MS Mincho"/>
        </w:rPr>
        <w:t>current income year</w:t>
      </w:r>
      <w:r w:rsidRPr="002B1A95">
        <w:t xml:space="preserve"> from the value of pre</w:t>
      </w:r>
      <w:r w:rsidR="00782250">
        <w:noBreakHyphen/>
      </w:r>
      <w:r w:rsidRPr="002B1A95">
        <w:t>1</w:t>
      </w:r>
      <w:r w:rsidR="002B1A95" w:rsidRPr="002B1A95">
        <w:t> </w:t>
      </w:r>
      <w:r w:rsidRPr="002B1A95">
        <w:t xml:space="preserve">July 88 liabilities for </w:t>
      </w:r>
      <w:r w:rsidRPr="002B1A95">
        <w:rPr>
          <w:rFonts w:eastAsia="MS Mincho"/>
        </w:rPr>
        <w:t>the current income year</w:t>
      </w:r>
      <w:r w:rsidRPr="002B1A95">
        <w:t>.</w:t>
      </w:r>
    </w:p>
    <w:p w:rsidR="005B63A2" w:rsidRPr="002B1A95" w:rsidRDefault="005B63A2" w:rsidP="005B63A2">
      <w:pPr>
        <w:pStyle w:val="BoxStep"/>
      </w:pPr>
      <w:r w:rsidRPr="002B1A95">
        <w:tab/>
        <w:t xml:space="preserve">The result is the </w:t>
      </w:r>
      <w:r w:rsidRPr="002B1A95">
        <w:rPr>
          <w:b/>
          <w:i/>
        </w:rPr>
        <w:t>value of unfunded pre</w:t>
      </w:r>
      <w:r w:rsidR="00782250">
        <w:rPr>
          <w:b/>
          <w:i/>
        </w:rPr>
        <w:noBreakHyphen/>
      </w:r>
      <w:r w:rsidRPr="002B1A95">
        <w:rPr>
          <w:b/>
          <w:i/>
        </w:rPr>
        <w:t>1</w:t>
      </w:r>
      <w:r w:rsidR="002B1A95" w:rsidRPr="002B1A95">
        <w:rPr>
          <w:b/>
          <w:i/>
        </w:rPr>
        <w:t> </w:t>
      </w:r>
      <w:r w:rsidRPr="002B1A95">
        <w:rPr>
          <w:b/>
          <w:i/>
        </w:rPr>
        <w:t>July 88 liabilities</w:t>
      </w:r>
      <w:r w:rsidRPr="002B1A95">
        <w:t xml:space="preserve"> for </w:t>
      </w:r>
      <w:r w:rsidRPr="002B1A95">
        <w:rPr>
          <w:rFonts w:eastAsia="MS Mincho"/>
        </w:rPr>
        <w:t>the current income year</w:t>
      </w:r>
      <w:r w:rsidRPr="002B1A95">
        <w:t>.</w:t>
      </w:r>
    </w:p>
    <w:p w:rsidR="005B63A2" w:rsidRPr="002B1A95" w:rsidRDefault="005B63A2" w:rsidP="005B63A2">
      <w:pPr>
        <w:pStyle w:val="BoxStep"/>
      </w:pPr>
      <w:r w:rsidRPr="002B1A95">
        <w:t>Step 4:</w:t>
      </w:r>
      <w:r w:rsidRPr="002B1A95">
        <w:tab/>
        <w:t>The amount of taxable contributions that are allocated to fund that value of unfunded pre</w:t>
      </w:r>
      <w:r w:rsidR="00782250">
        <w:noBreakHyphen/>
      </w:r>
      <w:r w:rsidRPr="002B1A95">
        <w:t>1</w:t>
      </w:r>
      <w:r w:rsidR="002B1A95" w:rsidRPr="002B1A95">
        <w:t> </w:t>
      </w:r>
      <w:r w:rsidRPr="002B1A95">
        <w:t xml:space="preserve">July 88 liabilities, as notified by the superannuation provider to the actuary, are the </w:t>
      </w:r>
      <w:r w:rsidRPr="002B1A95">
        <w:rPr>
          <w:b/>
          <w:i/>
        </w:rPr>
        <w:t>pre</w:t>
      </w:r>
      <w:r w:rsidR="00782250">
        <w:rPr>
          <w:b/>
          <w:i/>
        </w:rPr>
        <w:noBreakHyphen/>
      </w:r>
      <w:r w:rsidRPr="002B1A95">
        <w:rPr>
          <w:b/>
          <w:i/>
        </w:rPr>
        <w:t>1</w:t>
      </w:r>
      <w:r w:rsidR="002B1A95" w:rsidRPr="002B1A95">
        <w:rPr>
          <w:b/>
          <w:i/>
        </w:rPr>
        <w:t> </w:t>
      </w:r>
      <w:r w:rsidRPr="002B1A95">
        <w:rPr>
          <w:b/>
          <w:i/>
        </w:rPr>
        <w:t>July 88 taxable contributions</w:t>
      </w:r>
      <w:r w:rsidRPr="002B1A95">
        <w:rPr>
          <w:b/>
        </w:rPr>
        <w:t xml:space="preserve"> </w:t>
      </w:r>
      <w:r w:rsidRPr="002B1A95">
        <w:t>for the current income year.</w:t>
      </w:r>
    </w:p>
    <w:p w:rsidR="005B63A2" w:rsidRPr="002B1A95" w:rsidRDefault="005B63A2" w:rsidP="005B63A2">
      <w:pPr>
        <w:pStyle w:val="subsection"/>
      </w:pPr>
      <w:r w:rsidRPr="002B1A95">
        <w:rPr>
          <w:rFonts w:eastAsia="MS Mincho"/>
        </w:rPr>
        <w:tab/>
        <w:t>(2)</w:t>
      </w:r>
      <w:r w:rsidRPr="002B1A95">
        <w:rPr>
          <w:rFonts w:eastAsia="MS Mincho"/>
        </w:rPr>
        <w:tab/>
      </w:r>
      <w:r w:rsidRPr="002B1A95">
        <w:t xml:space="preserve">The superannuation provider’s actuary must retain the following documentation for the income year for </w:t>
      </w:r>
      <w:r w:rsidRPr="002B1A95">
        <w:rPr>
          <w:rFonts w:eastAsia="MS Mincho"/>
        </w:rPr>
        <w:t>not less than 5 years</w:t>
      </w:r>
      <w:r w:rsidRPr="002B1A95">
        <w:t>:</w:t>
      </w:r>
    </w:p>
    <w:p w:rsidR="005B63A2" w:rsidRPr="002B1A95" w:rsidRDefault="005B63A2" w:rsidP="005B63A2">
      <w:pPr>
        <w:pStyle w:val="paragraph"/>
      </w:pPr>
      <w:r w:rsidRPr="002B1A95">
        <w:lastRenderedPageBreak/>
        <w:tab/>
        <w:t>(a)</w:t>
      </w:r>
      <w:r w:rsidRPr="002B1A95">
        <w:tab/>
        <w:t>documentation to support the notional updating of the value of pre</w:t>
      </w:r>
      <w:r w:rsidR="00782250">
        <w:noBreakHyphen/>
      </w:r>
      <w:r w:rsidRPr="002B1A95">
        <w:t>1</w:t>
      </w:r>
      <w:r w:rsidR="002B1A95" w:rsidRPr="002B1A95">
        <w:t> </w:t>
      </w:r>
      <w:r w:rsidRPr="002B1A95">
        <w:t>July 88 liabilities for step 1 of method 2;</w:t>
      </w:r>
    </w:p>
    <w:p w:rsidR="005B63A2" w:rsidRPr="002B1A95" w:rsidRDefault="005B63A2" w:rsidP="005B63A2">
      <w:pPr>
        <w:pStyle w:val="paragraph"/>
      </w:pPr>
      <w:r w:rsidRPr="002B1A95">
        <w:tab/>
        <w:t>(b)</w:t>
      </w:r>
      <w:r w:rsidRPr="002B1A95">
        <w:tab/>
        <w:t xml:space="preserve">documentation </w:t>
      </w:r>
      <w:r w:rsidRPr="002B1A95">
        <w:rPr>
          <w:rFonts w:eastAsia="MS Mincho"/>
        </w:rPr>
        <w:t>to support the notional updating of the assets available to fund pre</w:t>
      </w:r>
      <w:r w:rsidR="00782250">
        <w:rPr>
          <w:rFonts w:eastAsia="MS Mincho"/>
        </w:rPr>
        <w:noBreakHyphen/>
      </w:r>
      <w:r w:rsidRPr="002B1A95">
        <w:rPr>
          <w:rFonts w:eastAsia="MS Mincho"/>
        </w:rPr>
        <w:t>1</w:t>
      </w:r>
      <w:r w:rsidR="002B1A95" w:rsidRPr="002B1A95">
        <w:rPr>
          <w:rFonts w:eastAsia="MS Mincho"/>
        </w:rPr>
        <w:t> </w:t>
      </w:r>
      <w:r w:rsidRPr="002B1A95">
        <w:rPr>
          <w:rFonts w:eastAsia="MS Mincho"/>
        </w:rPr>
        <w:t xml:space="preserve">July 88 liabilities </w:t>
      </w:r>
      <w:r w:rsidRPr="002B1A95">
        <w:t>for step 2 of method 2</w:t>
      </w:r>
      <w:r w:rsidRPr="002B1A95">
        <w:rPr>
          <w:rFonts w:eastAsia="MS Mincho"/>
        </w:rPr>
        <w:t>.</w:t>
      </w:r>
    </w:p>
    <w:p w:rsidR="005B63A2" w:rsidRPr="002B1A95" w:rsidRDefault="005B63A2" w:rsidP="005B63A2">
      <w:pPr>
        <w:pStyle w:val="subsection"/>
      </w:pPr>
      <w:r w:rsidRPr="002B1A95">
        <w:tab/>
        <w:t>(3)</w:t>
      </w:r>
      <w:r w:rsidRPr="002B1A95">
        <w:tab/>
        <w:t>The superannuation provider must retain documentation to support calculations of pre</w:t>
      </w:r>
      <w:r w:rsidR="00782250">
        <w:noBreakHyphen/>
      </w:r>
      <w:r w:rsidRPr="002B1A95">
        <w:t>1</w:t>
      </w:r>
      <w:r w:rsidR="002B1A95" w:rsidRPr="002B1A95">
        <w:t> </w:t>
      </w:r>
      <w:r w:rsidRPr="002B1A95">
        <w:t>July 88 taxable contributions for the income year for not less than 5 years.</w:t>
      </w:r>
    </w:p>
    <w:p w:rsidR="005B63A2" w:rsidRPr="002B1A95" w:rsidRDefault="005B63A2" w:rsidP="005B63A2">
      <w:pPr>
        <w:pStyle w:val="ActHead4"/>
      </w:pPr>
      <w:bookmarkStart w:id="100" w:name="_Toc49765280"/>
      <w:r w:rsidRPr="00411C46">
        <w:rPr>
          <w:rStyle w:val="CharSubdNo"/>
          <w:rFonts w:eastAsiaTheme="majorEastAsia"/>
        </w:rPr>
        <w:t>Subdivision</w:t>
      </w:r>
      <w:r w:rsidR="002B1A95" w:rsidRPr="00411C46">
        <w:rPr>
          <w:rStyle w:val="CharSubdNo"/>
          <w:rFonts w:eastAsiaTheme="majorEastAsia"/>
        </w:rPr>
        <w:t> </w:t>
      </w:r>
      <w:r w:rsidRPr="00411C46">
        <w:rPr>
          <w:rStyle w:val="CharSubdNo"/>
          <w:rFonts w:eastAsiaTheme="majorEastAsia"/>
        </w:rPr>
        <w:t>295</w:t>
      </w:r>
      <w:r w:rsidR="00782250" w:rsidRPr="00411C46">
        <w:rPr>
          <w:rStyle w:val="CharSubdNo"/>
          <w:rFonts w:eastAsiaTheme="majorEastAsia"/>
        </w:rPr>
        <w:noBreakHyphen/>
      </w:r>
      <w:r w:rsidRPr="00411C46">
        <w:rPr>
          <w:rStyle w:val="CharSubdNo"/>
          <w:rFonts w:eastAsiaTheme="majorEastAsia"/>
        </w:rPr>
        <w:t>F</w:t>
      </w:r>
      <w:r w:rsidRPr="002B1A95">
        <w:t>—</w:t>
      </w:r>
      <w:r w:rsidRPr="00411C46">
        <w:rPr>
          <w:rStyle w:val="CharSubdText"/>
          <w:rFonts w:eastAsiaTheme="majorEastAsia"/>
        </w:rPr>
        <w:t>Exempt income</w:t>
      </w:r>
      <w:bookmarkEnd w:id="100"/>
    </w:p>
    <w:p w:rsidR="005B63A2" w:rsidRPr="002B1A95" w:rsidRDefault="005B63A2" w:rsidP="005B63A2">
      <w:pPr>
        <w:pStyle w:val="ActHead5"/>
      </w:pPr>
      <w:bookmarkStart w:id="101" w:name="_Toc49765281"/>
      <w:r w:rsidRPr="00411C46">
        <w:rPr>
          <w:rStyle w:val="CharSectno"/>
        </w:rPr>
        <w:t>295</w:t>
      </w:r>
      <w:r w:rsidR="00782250" w:rsidRPr="00411C46">
        <w:rPr>
          <w:rStyle w:val="CharSectno"/>
        </w:rPr>
        <w:noBreakHyphen/>
      </w:r>
      <w:r w:rsidRPr="00411C46">
        <w:rPr>
          <w:rStyle w:val="CharSectno"/>
        </w:rPr>
        <w:t>385.01</w:t>
      </w:r>
      <w:r w:rsidRPr="002B1A95">
        <w:t xml:space="preserve">  Segregated current pension assets—prescribed superannuation income stream benefits</w:t>
      </w:r>
      <w:bookmarkEnd w:id="101"/>
    </w:p>
    <w:p w:rsidR="005B63A2" w:rsidRPr="002B1A95" w:rsidRDefault="005B63A2" w:rsidP="005B63A2">
      <w:pPr>
        <w:pStyle w:val="subsection"/>
      </w:pPr>
      <w:r w:rsidRPr="002B1A95">
        <w:tab/>
      </w:r>
      <w:r w:rsidRPr="002B1A95">
        <w:tab/>
        <w:t>For the purposes of section</w:t>
      </w:r>
      <w:r w:rsidR="002B1A95" w:rsidRPr="002B1A95">
        <w:t> </w:t>
      </w:r>
      <w:r w:rsidRPr="002B1A95">
        <w:t>295</w:t>
      </w:r>
      <w:r w:rsidR="00782250">
        <w:noBreakHyphen/>
      </w:r>
      <w:r w:rsidRPr="002B1A95">
        <w:t>385 of the Act, the following superannuation income stream benefits are prescribed:</w:t>
      </w:r>
    </w:p>
    <w:p w:rsidR="005B63A2" w:rsidRPr="002B1A95" w:rsidRDefault="005B63A2" w:rsidP="005B63A2">
      <w:pPr>
        <w:pStyle w:val="paragraph"/>
      </w:pPr>
      <w:r w:rsidRPr="002B1A95">
        <w:tab/>
        <w:t>(a)</w:t>
      </w:r>
      <w:r w:rsidRPr="002B1A95">
        <w:tab/>
        <w:t>an RP superannuation income stream benefit of a superannuation fund payable from:</w:t>
      </w:r>
    </w:p>
    <w:p w:rsidR="005B63A2" w:rsidRPr="002B1A95" w:rsidRDefault="005B63A2" w:rsidP="005B63A2">
      <w:pPr>
        <w:pStyle w:val="paragraphsub"/>
      </w:pPr>
      <w:r w:rsidRPr="002B1A95">
        <w:tab/>
        <w:t>(i)</w:t>
      </w:r>
      <w:r w:rsidRPr="002B1A95">
        <w:tab/>
        <w:t>an allocated pension within the meaning of the SIS Regulations; or</w:t>
      </w:r>
    </w:p>
    <w:p w:rsidR="005B63A2" w:rsidRPr="002B1A95" w:rsidRDefault="005B63A2" w:rsidP="005B63A2">
      <w:pPr>
        <w:pStyle w:val="paragraphsub"/>
      </w:pPr>
      <w:r w:rsidRPr="002B1A95">
        <w:tab/>
        <w:t>(ii)</w:t>
      </w:r>
      <w:r w:rsidRPr="002B1A95">
        <w:tab/>
        <w:t>a market linked pension within the meaning of the SIS Regulations; or</w:t>
      </w:r>
    </w:p>
    <w:p w:rsidR="005B63A2" w:rsidRPr="002B1A95" w:rsidRDefault="005B63A2" w:rsidP="005B63A2">
      <w:pPr>
        <w:pStyle w:val="paragraphsub"/>
      </w:pPr>
      <w:r w:rsidRPr="002B1A95">
        <w:tab/>
        <w:t>(iii)</w:t>
      </w:r>
      <w:r w:rsidRPr="002B1A95">
        <w:tab/>
        <w:t>an account</w:t>
      </w:r>
      <w:r w:rsidR="00782250">
        <w:noBreakHyphen/>
      </w:r>
      <w:r w:rsidRPr="002B1A95">
        <w:t>based pension within the meaning of the SIS Regulations;</w:t>
      </w:r>
    </w:p>
    <w:p w:rsidR="005B63A2" w:rsidRPr="002B1A95" w:rsidRDefault="005B63A2" w:rsidP="005B63A2">
      <w:pPr>
        <w:pStyle w:val="paragraph"/>
      </w:pPr>
      <w:r w:rsidRPr="002B1A95">
        <w:tab/>
        <w:t>(b)</w:t>
      </w:r>
      <w:r w:rsidRPr="002B1A95">
        <w:tab/>
        <w:t>a superannuation benefit payable, from a superannuation interest, in respect of a right mentioned in subsection 307</w:t>
      </w:r>
      <w:r w:rsidR="00782250">
        <w:noBreakHyphen/>
      </w:r>
      <w:r w:rsidRPr="002B1A95">
        <w:t>70.02(2) that is covered by subsection 307</w:t>
      </w:r>
      <w:r w:rsidR="00782250">
        <w:noBreakHyphen/>
      </w:r>
      <w:r w:rsidRPr="002B1A95">
        <w:t>70.02(3), if, immediately before the death mentioned in paragraph 307</w:t>
      </w:r>
      <w:r w:rsidR="00782250">
        <w:noBreakHyphen/>
      </w:r>
      <w:r w:rsidRPr="002B1A95">
        <w:t xml:space="preserve">70.02(2)(a), the superannuation interest supported a pension mentioned in </w:t>
      </w:r>
      <w:r w:rsidR="002B1A95" w:rsidRPr="002B1A95">
        <w:t>subparagraph (</w:t>
      </w:r>
      <w:r w:rsidRPr="002B1A95">
        <w:t>a)(i), (ii) or (iii) of this section payable to the deceased mentioned in paragraph 307</w:t>
      </w:r>
      <w:r w:rsidR="00782250">
        <w:noBreakHyphen/>
      </w:r>
      <w:r w:rsidRPr="002B1A95">
        <w:t>70.02(2)(a);</w:t>
      </w:r>
    </w:p>
    <w:p w:rsidR="005B63A2" w:rsidRPr="002B1A95" w:rsidRDefault="005B63A2" w:rsidP="005B63A2">
      <w:pPr>
        <w:pStyle w:val="paragraph"/>
      </w:pPr>
      <w:r w:rsidRPr="002B1A95">
        <w:tab/>
        <w:t>(c)</w:t>
      </w:r>
      <w:r w:rsidRPr="002B1A95">
        <w:tab/>
        <w:t>a superannuation benefit payable from a superannuation interest that supports a new superannuation income stream in relation to which subsection 307</w:t>
      </w:r>
      <w:r w:rsidR="00782250">
        <w:noBreakHyphen/>
      </w:r>
      <w:r w:rsidRPr="002B1A95">
        <w:t>70.02(4) applies (as affected by subsection 307</w:t>
      </w:r>
      <w:r w:rsidR="00782250">
        <w:noBreakHyphen/>
      </w:r>
      <w:r w:rsidRPr="002B1A95">
        <w:t>70.02(5)), if the superannuation income stream payable to the deceased mentioned in paragraph 307</w:t>
      </w:r>
      <w:r w:rsidR="00782250">
        <w:noBreakHyphen/>
      </w:r>
      <w:r w:rsidRPr="002B1A95">
        <w:t xml:space="preserve">70.02(4)(a) was a pension mentioned in </w:t>
      </w:r>
      <w:r w:rsidR="002B1A95" w:rsidRPr="002B1A95">
        <w:t>subparagraph (</w:t>
      </w:r>
      <w:r w:rsidRPr="002B1A95">
        <w:t>a)(i), (ii) or (iii) of this section.</w:t>
      </w:r>
    </w:p>
    <w:p w:rsidR="005B63A2" w:rsidRPr="002B1A95" w:rsidRDefault="005B63A2" w:rsidP="005B63A2">
      <w:pPr>
        <w:pStyle w:val="notetext"/>
      </w:pPr>
      <w:r w:rsidRPr="002B1A95">
        <w:t>Note 1:</w:t>
      </w:r>
      <w:r w:rsidRPr="002B1A95">
        <w:tab/>
        <w:t xml:space="preserve">Certain assets that enable a superannuation fund to discharge liabilities in respect of superannuation income stream benefits that are RP superannuation income stream benefits and are prescribed under this section are </w:t>
      </w:r>
      <w:r w:rsidRPr="002B1A95">
        <w:rPr>
          <w:b/>
          <w:i/>
        </w:rPr>
        <w:t>segregated current pension assets</w:t>
      </w:r>
      <w:r w:rsidRPr="002B1A95">
        <w:t xml:space="preserve"> of the fund (see subsection</w:t>
      </w:r>
      <w:r w:rsidR="002B1A95" w:rsidRPr="002B1A95">
        <w:t> </w:t>
      </w:r>
      <w:r w:rsidRPr="002B1A95">
        <w:t>295</w:t>
      </w:r>
      <w:r w:rsidR="00782250">
        <w:noBreakHyphen/>
      </w:r>
      <w:r w:rsidRPr="002B1A95">
        <w:t>385(4) of the Act).</w:t>
      </w:r>
    </w:p>
    <w:p w:rsidR="005B63A2" w:rsidRPr="002B1A95" w:rsidRDefault="005B63A2" w:rsidP="005B63A2">
      <w:pPr>
        <w:pStyle w:val="notetext"/>
      </w:pPr>
      <w:r w:rsidRPr="002B1A95">
        <w:t>Note 2:</w:t>
      </w:r>
      <w:r w:rsidRPr="002B1A95">
        <w:tab/>
        <w:t>Section 307</w:t>
      </w:r>
      <w:r w:rsidR="00782250">
        <w:noBreakHyphen/>
      </w:r>
      <w:r w:rsidRPr="002B1A95">
        <w:t xml:space="preserve">205.02 does not apply to a superannuation income stream mentioned in </w:t>
      </w:r>
      <w:r w:rsidR="002B1A95" w:rsidRPr="002B1A95">
        <w:t>paragraph (</w:t>
      </w:r>
      <w:r w:rsidRPr="002B1A95">
        <w:t>a) of this section (see paragraph 307</w:t>
      </w:r>
      <w:r w:rsidR="00782250">
        <w:noBreakHyphen/>
      </w:r>
      <w:r w:rsidRPr="002B1A95">
        <w:t>205.02(2)(a)).</w:t>
      </w:r>
    </w:p>
    <w:p w:rsidR="005B63A2" w:rsidRPr="002B1A95" w:rsidRDefault="005B63A2" w:rsidP="005B63A2">
      <w:pPr>
        <w:pStyle w:val="ActHead4"/>
      </w:pPr>
      <w:bookmarkStart w:id="102" w:name="_Toc49765282"/>
      <w:r w:rsidRPr="00411C46">
        <w:rPr>
          <w:rStyle w:val="CharSubdNo"/>
          <w:rFonts w:eastAsiaTheme="majorEastAsia"/>
        </w:rPr>
        <w:t>Subdivision</w:t>
      </w:r>
      <w:r w:rsidR="002B1A95" w:rsidRPr="00411C46">
        <w:rPr>
          <w:rStyle w:val="CharSubdNo"/>
          <w:rFonts w:eastAsiaTheme="majorEastAsia"/>
        </w:rPr>
        <w:t> </w:t>
      </w:r>
      <w:r w:rsidRPr="00411C46">
        <w:rPr>
          <w:rStyle w:val="CharSubdNo"/>
          <w:rFonts w:eastAsiaTheme="majorEastAsia"/>
        </w:rPr>
        <w:t>295</w:t>
      </w:r>
      <w:r w:rsidR="00782250" w:rsidRPr="00411C46">
        <w:rPr>
          <w:rStyle w:val="CharSubdNo"/>
          <w:rFonts w:eastAsiaTheme="majorEastAsia"/>
        </w:rPr>
        <w:noBreakHyphen/>
      </w:r>
      <w:r w:rsidRPr="00411C46">
        <w:rPr>
          <w:rStyle w:val="CharSubdNo"/>
          <w:rFonts w:eastAsiaTheme="majorEastAsia"/>
        </w:rPr>
        <w:t>G</w:t>
      </w:r>
      <w:r w:rsidRPr="002B1A95">
        <w:t>—</w:t>
      </w:r>
      <w:r w:rsidRPr="00411C46">
        <w:rPr>
          <w:rStyle w:val="CharSubdText"/>
          <w:rFonts w:eastAsiaTheme="majorEastAsia"/>
        </w:rPr>
        <w:t>Deductions</w:t>
      </w:r>
      <w:bookmarkEnd w:id="102"/>
    </w:p>
    <w:p w:rsidR="005B63A2" w:rsidRPr="002B1A95" w:rsidRDefault="005B63A2" w:rsidP="005B63A2">
      <w:pPr>
        <w:pStyle w:val="ActHead5"/>
      </w:pPr>
      <w:bookmarkStart w:id="103" w:name="_Toc49765283"/>
      <w:r w:rsidRPr="00411C46">
        <w:rPr>
          <w:rStyle w:val="CharSectno"/>
        </w:rPr>
        <w:t>295</w:t>
      </w:r>
      <w:r w:rsidR="00782250" w:rsidRPr="00411C46">
        <w:rPr>
          <w:rStyle w:val="CharSectno"/>
        </w:rPr>
        <w:noBreakHyphen/>
      </w:r>
      <w:r w:rsidRPr="00411C46">
        <w:rPr>
          <w:rStyle w:val="CharSectno"/>
        </w:rPr>
        <w:t>465.01</w:t>
      </w:r>
      <w:r w:rsidRPr="002B1A95">
        <w:t xml:space="preserve">   Complying funds—deductions for insurance premiums</w:t>
      </w:r>
      <w:bookmarkEnd w:id="103"/>
    </w:p>
    <w:p w:rsidR="005B63A2" w:rsidRPr="002B1A95" w:rsidRDefault="005B63A2" w:rsidP="005B63A2">
      <w:pPr>
        <w:pStyle w:val="subsection"/>
      </w:pPr>
      <w:r w:rsidRPr="002B1A95">
        <w:tab/>
        <w:t>(1)</w:t>
      </w:r>
      <w:r w:rsidRPr="002B1A95">
        <w:tab/>
        <w:t>For the purposes of subsections</w:t>
      </w:r>
      <w:r w:rsidR="002B1A95" w:rsidRPr="002B1A95">
        <w:t> </w:t>
      </w:r>
      <w:r w:rsidRPr="002B1A95">
        <w:t>295</w:t>
      </w:r>
      <w:r w:rsidR="00782250">
        <w:noBreakHyphen/>
      </w:r>
      <w:r w:rsidRPr="002B1A95">
        <w:t>465(1B) and (2A) of the Act, the proportion specified in an item in the following table in relation to an insurance policy specified in the item may be treated:</w:t>
      </w:r>
    </w:p>
    <w:p w:rsidR="005B63A2" w:rsidRPr="002B1A95" w:rsidRDefault="005B63A2" w:rsidP="005B63A2">
      <w:pPr>
        <w:pStyle w:val="paragraph"/>
      </w:pPr>
      <w:r w:rsidRPr="002B1A95">
        <w:lastRenderedPageBreak/>
        <w:tab/>
        <w:t>(a)</w:t>
      </w:r>
      <w:r w:rsidRPr="002B1A95">
        <w:tab/>
        <w:t>as being attributable to the liability of the complying superannuation fund which pays for the policy to provide benefits referred to in section</w:t>
      </w:r>
      <w:r w:rsidR="002B1A95" w:rsidRPr="002B1A95">
        <w:t> </w:t>
      </w:r>
      <w:r w:rsidRPr="002B1A95">
        <w:t>295</w:t>
      </w:r>
      <w:r w:rsidR="00782250">
        <w:noBreakHyphen/>
      </w:r>
      <w:r w:rsidRPr="002B1A95">
        <w:t>460 of the Act; and</w:t>
      </w:r>
    </w:p>
    <w:p w:rsidR="005B63A2" w:rsidRPr="002B1A95" w:rsidRDefault="005B63A2" w:rsidP="005B63A2">
      <w:pPr>
        <w:pStyle w:val="paragraph"/>
      </w:pPr>
      <w:r w:rsidRPr="002B1A95">
        <w:tab/>
        <w:t>(b)</w:t>
      </w:r>
      <w:r w:rsidRPr="002B1A95">
        <w:tab/>
        <w:t>as being the amount a complying superannuation fund could reasonably be expected to pay in an arm’s length transaction to obtain an insurance policy to cover it for its current or contingent liabilities to provide benefits referred to in section</w:t>
      </w:r>
      <w:r w:rsidR="002B1A95" w:rsidRPr="002B1A95">
        <w:t> </w:t>
      </w:r>
      <w:r w:rsidRPr="002B1A95">
        <w:t>295</w:t>
      </w:r>
      <w:r w:rsidR="00782250">
        <w:noBreakHyphen/>
      </w:r>
      <w:r w:rsidRPr="002B1A95">
        <w:t>460 of the Act.</w:t>
      </w:r>
    </w:p>
    <w:p w:rsidR="005B63A2" w:rsidRPr="002B1A95" w:rsidRDefault="005B63A2" w:rsidP="005B63A2">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5B63A2" w:rsidRPr="002B1A95" w:rsidTr="005B63A2">
        <w:trPr>
          <w:tblHeader/>
        </w:trPr>
        <w:tc>
          <w:tcPr>
            <w:tcW w:w="5000" w:type="pct"/>
            <w:gridSpan w:val="3"/>
            <w:tcBorders>
              <w:top w:val="single" w:sz="12" w:space="0" w:color="auto"/>
              <w:bottom w:val="single" w:sz="6" w:space="0" w:color="auto"/>
            </w:tcBorders>
            <w:shd w:val="clear" w:color="auto" w:fill="auto"/>
          </w:tcPr>
          <w:p w:rsidR="005B63A2" w:rsidRPr="002B1A95" w:rsidRDefault="005B63A2" w:rsidP="005B63A2">
            <w:pPr>
              <w:pStyle w:val="TableHeading"/>
            </w:pPr>
            <w:r w:rsidRPr="002B1A95">
              <w:t>Deductible portion of premiums</w:t>
            </w:r>
          </w:p>
        </w:tc>
      </w:tr>
      <w:tr w:rsidR="005B63A2" w:rsidRPr="002B1A95" w:rsidTr="005B63A2">
        <w:trPr>
          <w:tblHeader/>
        </w:trPr>
        <w:tc>
          <w:tcPr>
            <w:tcW w:w="429" w:type="pct"/>
            <w:tcBorders>
              <w:top w:val="single" w:sz="6" w:space="0" w:color="auto"/>
              <w:bottom w:val="single" w:sz="12" w:space="0" w:color="auto"/>
            </w:tcBorders>
            <w:shd w:val="clear" w:color="auto" w:fill="auto"/>
          </w:tcPr>
          <w:p w:rsidR="005B63A2" w:rsidRPr="002B1A95" w:rsidRDefault="005B63A2" w:rsidP="005B63A2">
            <w:pPr>
              <w:pStyle w:val="TableHeading"/>
            </w:pPr>
            <w:r w:rsidRPr="002B1A95">
              <w:t>Item</w:t>
            </w:r>
          </w:p>
        </w:tc>
        <w:tc>
          <w:tcPr>
            <w:tcW w:w="2285" w:type="pct"/>
            <w:tcBorders>
              <w:top w:val="single" w:sz="6" w:space="0" w:color="auto"/>
              <w:bottom w:val="single" w:sz="12" w:space="0" w:color="auto"/>
            </w:tcBorders>
            <w:shd w:val="clear" w:color="auto" w:fill="auto"/>
          </w:tcPr>
          <w:p w:rsidR="005B63A2" w:rsidRPr="002B1A95" w:rsidRDefault="005B63A2" w:rsidP="005B63A2">
            <w:pPr>
              <w:pStyle w:val="TableHeading"/>
            </w:pPr>
            <w:r w:rsidRPr="002B1A95">
              <w:t>Insurance policy</w:t>
            </w:r>
          </w:p>
        </w:tc>
        <w:tc>
          <w:tcPr>
            <w:tcW w:w="2285" w:type="pct"/>
            <w:tcBorders>
              <w:top w:val="single" w:sz="6" w:space="0" w:color="auto"/>
              <w:bottom w:val="single" w:sz="12" w:space="0" w:color="auto"/>
            </w:tcBorders>
            <w:shd w:val="clear" w:color="auto" w:fill="auto"/>
          </w:tcPr>
          <w:p w:rsidR="005B63A2" w:rsidRPr="002B1A95" w:rsidRDefault="005B63A2" w:rsidP="005B63A2">
            <w:pPr>
              <w:pStyle w:val="TableHeading"/>
            </w:pPr>
            <w:r w:rsidRPr="002B1A95">
              <w:t>Specified proportion %</w:t>
            </w:r>
          </w:p>
        </w:tc>
      </w:tr>
      <w:tr w:rsidR="005B63A2" w:rsidRPr="002B1A95" w:rsidTr="005B63A2">
        <w:tc>
          <w:tcPr>
            <w:tcW w:w="429" w:type="pct"/>
            <w:tcBorders>
              <w:top w:val="single" w:sz="12" w:space="0" w:color="auto"/>
            </w:tcBorders>
            <w:shd w:val="clear" w:color="auto" w:fill="auto"/>
          </w:tcPr>
          <w:p w:rsidR="005B63A2" w:rsidRPr="002B1A95" w:rsidRDefault="005B63A2" w:rsidP="005B63A2">
            <w:pPr>
              <w:pStyle w:val="Tabletext"/>
            </w:pPr>
            <w:r w:rsidRPr="002B1A95">
              <w:t>1</w:t>
            </w:r>
          </w:p>
        </w:tc>
        <w:tc>
          <w:tcPr>
            <w:tcW w:w="2285" w:type="pct"/>
            <w:tcBorders>
              <w:top w:val="single" w:sz="12" w:space="0" w:color="auto"/>
            </w:tcBorders>
            <w:shd w:val="clear" w:color="auto" w:fill="auto"/>
          </w:tcPr>
          <w:p w:rsidR="005B63A2" w:rsidRPr="002B1A95" w:rsidRDefault="005B63A2" w:rsidP="005B63A2">
            <w:pPr>
              <w:pStyle w:val="Tabletext"/>
            </w:pPr>
            <w:r w:rsidRPr="002B1A95">
              <w:t>TPD any occupation</w:t>
            </w:r>
          </w:p>
        </w:tc>
        <w:tc>
          <w:tcPr>
            <w:tcW w:w="2285" w:type="pct"/>
            <w:tcBorders>
              <w:top w:val="single" w:sz="12" w:space="0" w:color="auto"/>
            </w:tcBorders>
            <w:shd w:val="clear" w:color="auto" w:fill="auto"/>
          </w:tcPr>
          <w:p w:rsidR="005B63A2" w:rsidRPr="002B1A95" w:rsidRDefault="005B63A2" w:rsidP="005B63A2">
            <w:pPr>
              <w:pStyle w:val="Tabletext"/>
            </w:pPr>
            <w:r w:rsidRPr="002B1A95">
              <w:t>100</w:t>
            </w:r>
          </w:p>
        </w:tc>
      </w:tr>
      <w:tr w:rsidR="005B63A2" w:rsidRPr="002B1A95" w:rsidTr="005B63A2">
        <w:tc>
          <w:tcPr>
            <w:tcW w:w="429" w:type="pct"/>
            <w:shd w:val="clear" w:color="auto" w:fill="auto"/>
          </w:tcPr>
          <w:p w:rsidR="005B63A2" w:rsidRPr="002B1A95" w:rsidRDefault="005B63A2" w:rsidP="005B63A2">
            <w:pPr>
              <w:pStyle w:val="Tabletext"/>
            </w:pPr>
            <w:r w:rsidRPr="002B1A95">
              <w:t>2</w:t>
            </w:r>
          </w:p>
        </w:tc>
        <w:tc>
          <w:tcPr>
            <w:tcW w:w="2285" w:type="pct"/>
            <w:shd w:val="clear" w:color="auto" w:fill="auto"/>
          </w:tcPr>
          <w:p w:rsidR="005B63A2" w:rsidRPr="002B1A95" w:rsidRDefault="005B63A2" w:rsidP="005B63A2">
            <w:pPr>
              <w:pStyle w:val="Tabletext"/>
            </w:pPr>
            <w:r w:rsidRPr="002B1A95">
              <w:t>TPD any occupation with one or more of the following inclusions:</w:t>
            </w:r>
          </w:p>
          <w:p w:rsidR="005B63A2" w:rsidRPr="002B1A95" w:rsidRDefault="005B63A2" w:rsidP="005B63A2">
            <w:pPr>
              <w:pStyle w:val="Tablea"/>
            </w:pPr>
            <w:r w:rsidRPr="002B1A95">
              <w:t>(a) activities of daily living;</w:t>
            </w:r>
          </w:p>
          <w:p w:rsidR="005B63A2" w:rsidRPr="002B1A95" w:rsidRDefault="005B63A2" w:rsidP="005B63A2">
            <w:pPr>
              <w:pStyle w:val="Tablea"/>
            </w:pPr>
            <w:r w:rsidRPr="002B1A95">
              <w:t>(b) cognitive loss;</w:t>
            </w:r>
          </w:p>
          <w:p w:rsidR="005B63A2" w:rsidRPr="002B1A95" w:rsidRDefault="005B63A2" w:rsidP="005B63A2">
            <w:pPr>
              <w:pStyle w:val="Tablea"/>
            </w:pPr>
            <w:r w:rsidRPr="002B1A95">
              <w:t>(c) loss of limb;</w:t>
            </w:r>
          </w:p>
          <w:p w:rsidR="005B63A2" w:rsidRPr="002B1A95" w:rsidRDefault="005B63A2" w:rsidP="005B63A2">
            <w:pPr>
              <w:pStyle w:val="Tablea"/>
            </w:pPr>
            <w:r w:rsidRPr="002B1A95">
              <w:t>(d) domestic (home) duties</w:t>
            </w:r>
          </w:p>
        </w:tc>
        <w:tc>
          <w:tcPr>
            <w:tcW w:w="2285" w:type="pct"/>
            <w:shd w:val="clear" w:color="auto" w:fill="auto"/>
          </w:tcPr>
          <w:p w:rsidR="005B63A2" w:rsidRPr="002B1A95" w:rsidRDefault="005B63A2" w:rsidP="005B63A2">
            <w:pPr>
              <w:pStyle w:val="Tabletext"/>
            </w:pPr>
            <w:r w:rsidRPr="002B1A95">
              <w:t>100</w:t>
            </w:r>
          </w:p>
        </w:tc>
      </w:tr>
      <w:tr w:rsidR="005B63A2" w:rsidRPr="002B1A95" w:rsidTr="005B63A2">
        <w:tc>
          <w:tcPr>
            <w:tcW w:w="429" w:type="pct"/>
            <w:shd w:val="clear" w:color="auto" w:fill="auto"/>
          </w:tcPr>
          <w:p w:rsidR="005B63A2" w:rsidRPr="002B1A95" w:rsidRDefault="005B63A2" w:rsidP="005B63A2">
            <w:pPr>
              <w:pStyle w:val="Tabletext"/>
            </w:pPr>
            <w:r w:rsidRPr="002B1A95">
              <w:t>3</w:t>
            </w:r>
          </w:p>
        </w:tc>
        <w:tc>
          <w:tcPr>
            <w:tcW w:w="2285" w:type="pct"/>
            <w:shd w:val="clear" w:color="auto" w:fill="auto"/>
          </w:tcPr>
          <w:p w:rsidR="005B63A2" w:rsidRPr="002B1A95" w:rsidRDefault="005B63A2" w:rsidP="005B63A2">
            <w:pPr>
              <w:pStyle w:val="Tabletext"/>
            </w:pPr>
            <w:r w:rsidRPr="002B1A95">
              <w:t>TPD own occupation</w:t>
            </w:r>
          </w:p>
        </w:tc>
        <w:tc>
          <w:tcPr>
            <w:tcW w:w="2285" w:type="pct"/>
            <w:shd w:val="clear" w:color="auto" w:fill="auto"/>
          </w:tcPr>
          <w:p w:rsidR="005B63A2" w:rsidRPr="002B1A95" w:rsidRDefault="005B63A2" w:rsidP="005B63A2">
            <w:pPr>
              <w:pStyle w:val="Tabletext"/>
            </w:pPr>
            <w:r w:rsidRPr="002B1A95">
              <w:t>67</w:t>
            </w:r>
          </w:p>
        </w:tc>
      </w:tr>
      <w:tr w:rsidR="005B63A2" w:rsidRPr="002B1A95" w:rsidTr="005B63A2">
        <w:tc>
          <w:tcPr>
            <w:tcW w:w="429" w:type="pct"/>
            <w:shd w:val="clear" w:color="auto" w:fill="auto"/>
          </w:tcPr>
          <w:p w:rsidR="005B63A2" w:rsidRPr="002B1A95" w:rsidRDefault="005B63A2" w:rsidP="005B63A2">
            <w:pPr>
              <w:pStyle w:val="Tabletext"/>
            </w:pPr>
            <w:r w:rsidRPr="002B1A95">
              <w:t>4</w:t>
            </w:r>
          </w:p>
        </w:tc>
        <w:tc>
          <w:tcPr>
            <w:tcW w:w="2285" w:type="pct"/>
            <w:shd w:val="clear" w:color="auto" w:fill="auto"/>
          </w:tcPr>
          <w:p w:rsidR="005B63A2" w:rsidRPr="002B1A95" w:rsidRDefault="005B63A2" w:rsidP="005B63A2">
            <w:pPr>
              <w:pStyle w:val="Tabletext"/>
            </w:pPr>
            <w:r w:rsidRPr="002B1A95">
              <w:t>TPD own occupation with one or more of the following inclusions:</w:t>
            </w:r>
          </w:p>
          <w:p w:rsidR="005B63A2" w:rsidRPr="002B1A95" w:rsidRDefault="005B63A2" w:rsidP="005B63A2">
            <w:pPr>
              <w:pStyle w:val="Tablea"/>
            </w:pPr>
            <w:r w:rsidRPr="002B1A95">
              <w:t>(a) activities of daily living;</w:t>
            </w:r>
          </w:p>
          <w:p w:rsidR="005B63A2" w:rsidRPr="002B1A95" w:rsidRDefault="005B63A2" w:rsidP="005B63A2">
            <w:pPr>
              <w:pStyle w:val="Tablea"/>
            </w:pPr>
            <w:r w:rsidRPr="002B1A95">
              <w:t>(b) cognitive loss;</w:t>
            </w:r>
          </w:p>
          <w:p w:rsidR="005B63A2" w:rsidRPr="002B1A95" w:rsidRDefault="005B63A2" w:rsidP="005B63A2">
            <w:pPr>
              <w:pStyle w:val="Tablea"/>
            </w:pPr>
            <w:r w:rsidRPr="002B1A95">
              <w:t>(c) loss of limb;</w:t>
            </w:r>
          </w:p>
          <w:p w:rsidR="005B63A2" w:rsidRPr="002B1A95" w:rsidRDefault="005B63A2" w:rsidP="005B63A2">
            <w:pPr>
              <w:pStyle w:val="Tablea"/>
            </w:pPr>
            <w:r w:rsidRPr="002B1A95">
              <w:t>(d) domestic (home) duties</w:t>
            </w:r>
          </w:p>
        </w:tc>
        <w:tc>
          <w:tcPr>
            <w:tcW w:w="2285" w:type="pct"/>
            <w:shd w:val="clear" w:color="auto" w:fill="auto"/>
          </w:tcPr>
          <w:p w:rsidR="005B63A2" w:rsidRPr="002B1A95" w:rsidRDefault="005B63A2" w:rsidP="005B63A2">
            <w:pPr>
              <w:pStyle w:val="Tabletext"/>
            </w:pPr>
            <w:r w:rsidRPr="002B1A95">
              <w:t>67</w:t>
            </w:r>
          </w:p>
        </w:tc>
      </w:tr>
      <w:tr w:rsidR="005B63A2" w:rsidRPr="002B1A95" w:rsidTr="005B63A2">
        <w:tc>
          <w:tcPr>
            <w:tcW w:w="429" w:type="pct"/>
            <w:tcBorders>
              <w:bottom w:val="single" w:sz="2" w:space="0" w:color="auto"/>
            </w:tcBorders>
            <w:shd w:val="clear" w:color="auto" w:fill="auto"/>
          </w:tcPr>
          <w:p w:rsidR="005B63A2" w:rsidRPr="002B1A95" w:rsidRDefault="005B63A2" w:rsidP="005B63A2">
            <w:pPr>
              <w:pStyle w:val="Tabletext"/>
            </w:pPr>
            <w:r w:rsidRPr="002B1A95">
              <w:t>5</w:t>
            </w:r>
          </w:p>
        </w:tc>
        <w:tc>
          <w:tcPr>
            <w:tcW w:w="2285" w:type="pct"/>
            <w:tcBorders>
              <w:bottom w:val="single" w:sz="2" w:space="0" w:color="auto"/>
            </w:tcBorders>
            <w:shd w:val="clear" w:color="auto" w:fill="auto"/>
          </w:tcPr>
          <w:p w:rsidR="005B63A2" w:rsidRPr="002B1A95" w:rsidRDefault="005B63A2" w:rsidP="005B63A2">
            <w:pPr>
              <w:pStyle w:val="Tabletext"/>
            </w:pPr>
            <w:r w:rsidRPr="002B1A95">
              <w:t>TPD own occupation bundled with death (life) cover</w:t>
            </w:r>
          </w:p>
        </w:tc>
        <w:tc>
          <w:tcPr>
            <w:tcW w:w="2285" w:type="pct"/>
            <w:tcBorders>
              <w:bottom w:val="single" w:sz="2" w:space="0" w:color="auto"/>
            </w:tcBorders>
            <w:shd w:val="clear" w:color="auto" w:fill="auto"/>
          </w:tcPr>
          <w:p w:rsidR="005B63A2" w:rsidRPr="002B1A95" w:rsidRDefault="005B63A2" w:rsidP="005B63A2">
            <w:pPr>
              <w:pStyle w:val="Tabletext"/>
            </w:pPr>
            <w:r w:rsidRPr="002B1A95">
              <w:t>80</w:t>
            </w:r>
          </w:p>
        </w:tc>
      </w:tr>
      <w:tr w:rsidR="005B63A2" w:rsidRPr="002B1A95" w:rsidTr="005B63A2">
        <w:tc>
          <w:tcPr>
            <w:tcW w:w="429" w:type="pct"/>
            <w:tcBorders>
              <w:top w:val="single" w:sz="2" w:space="0" w:color="auto"/>
              <w:bottom w:val="single" w:sz="12" w:space="0" w:color="auto"/>
            </w:tcBorders>
            <w:shd w:val="clear" w:color="auto" w:fill="auto"/>
          </w:tcPr>
          <w:p w:rsidR="005B63A2" w:rsidRPr="002B1A95" w:rsidRDefault="005B63A2" w:rsidP="005B63A2">
            <w:pPr>
              <w:pStyle w:val="Tabletext"/>
            </w:pPr>
            <w:r w:rsidRPr="002B1A95">
              <w:t>6</w:t>
            </w:r>
          </w:p>
        </w:tc>
        <w:tc>
          <w:tcPr>
            <w:tcW w:w="2285" w:type="pct"/>
            <w:tcBorders>
              <w:top w:val="single" w:sz="2" w:space="0" w:color="auto"/>
              <w:bottom w:val="single" w:sz="12" w:space="0" w:color="auto"/>
            </w:tcBorders>
            <w:shd w:val="clear" w:color="auto" w:fill="auto"/>
          </w:tcPr>
          <w:p w:rsidR="005B63A2" w:rsidRPr="002B1A95" w:rsidRDefault="005B63A2" w:rsidP="005B63A2">
            <w:pPr>
              <w:pStyle w:val="Tabletext"/>
            </w:pPr>
            <w:r w:rsidRPr="002B1A95">
              <w:t>TPD own occupation bundled with death (life) cover with one or more of the following inclusions:</w:t>
            </w:r>
          </w:p>
          <w:p w:rsidR="005B63A2" w:rsidRPr="002B1A95" w:rsidRDefault="005B63A2" w:rsidP="005B63A2">
            <w:pPr>
              <w:pStyle w:val="Tablea"/>
            </w:pPr>
            <w:r w:rsidRPr="002B1A95">
              <w:t>(a) activities of daily living;</w:t>
            </w:r>
          </w:p>
          <w:p w:rsidR="005B63A2" w:rsidRPr="002B1A95" w:rsidRDefault="005B63A2" w:rsidP="005B63A2">
            <w:pPr>
              <w:pStyle w:val="Tablea"/>
            </w:pPr>
            <w:r w:rsidRPr="002B1A95">
              <w:t>(b) cognitive loss;</w:t>
            </w:r>
          </w:p>
          <w:p w:rsidR="005B63A2" w:rsidRPr="002B1A95" w:rsidRDefault="005B63A2" w:rsidP="005B63A2">
            <w:pPr>
              <w:pStyle w:val="Tablea"/>
            </w:pPr>
            <w:r w:rsidRPr="002B1A95">
              <w:t>(c) loss of limb;</w:t>
            </w:r>
          </w:p>
          <w:p w:rsidR="005B63A2" w:rsidRPr="002B1A95" w:rsidRDefault="005B63A2" w:rsidP="005B63A2">
            <w:pPr>
              <w:pStyle w:val="Tablea"/>
            </w:pPr>
            <w:r w:rsidRPr="002B1A95">
              <w:t>(d) domestic (home) duties</w:t>
            </w:r>
          </w:p>
        </w:tc>
        <w:tc>
          <w:tcPr>
            <w:tcW w:w="2285" w:type="pct"/>
            <w:tcBorders>
              <w:top w:val="single" w:sz="2" w:space="0" w:color="auto"/>
              <w:bottom w:val="single" w:sz="12" w:space="0" w:color="auto"/>
            </w:tcBorders>
            <w:shd w:val="clear" w:color="auto" w:fill="auto"/>
          </w:tcPr>
          <w:p w:rsidR="005B63A2" w:rsidRPr="002B1A95" w:rsidRDefault="005B63A2" w:rsidP="005B63A2">
            <w:pPr>
              <w:pStyle w:val="Tabletext"/>
            </w:pPr>
            <w:r w:rsidRPr="002B1A95">
              <w:t>80</w:t>
            </w:r>
          </w:p>
        </w:tc>
      </w:tr>
    </w:tbl>
    <w:p w:rsidR="005B63A2" w:rsidRPr="002B1A95" w:rsidRDefault="005B63A2" w:rsidP="005B63A2">
      <w:pPr>
        <w:pStyle w:val="subsection"/>
      </w:pPr>
      <w:r w:rsidRPr="002B1A95">
        <w:tab/>
        <w:t>(2)</w:t>
      </w:r>
      <w:r w:rsidRPr="002B1A95">
        <w:tab/>
        <w:t xml:space="preserve">A proportion specified in the table in </w:t>
      </w:r>
      <w:r w:rsidR="002B1A95" w:rsidRPr="002B1A95">
        <w:t>subsection (</w:t>
      </w:r>
      <w:r w:rsidRPr="002B1A95">
        <w:t xml:space="preserve">1) may be treated as referred to in </w:t>
      </w:r>
      <w:r w:rsidR="002B1A95" w:rsidRPr="002B1A95">
        <w:t>subsection (</w:t>
      </w:r>
      <w:r w:rsidRPr="002B1A95">
        <w:t xml:space="preserve">1) only if the conditions to which the insurance policy that relates to the proportion is subject are either more restrictive than or have substantially the same meaning as the conditions described in the definition of the policy in </w:t>
      </w:r>
      <w:r w:rsidR="002B1A95" w:rsidRPr="002B1A95">
        <w:t>subsection (</w:t>
      </w:r>
      <w:r w:rsidRPr="002B1A95">
        <w:t>5).</w:t>
      </w:r>
    </w:p>
    <w:p w:rsidR="005B63A2" w:rsidRPr="002B1A95" w:rsidRDefault="005B63A2" w:rsidP="005B63A2">
      <w:pPr>
        <w:pStyle w:val="subsection"/>
      </w:pPr>
      <w:r w:rsidRPr="002B1A95">
        <w:tab/>
        <w:t>(3)</w:t>
      </w:r>
      <w:r w:rsidRPr="002B1A95">
        <w:tab/>
        <w:t xml:space="preserve">However, if a member is required to meet a criterion to be eligible for a benefit under an insurance policy in addition to the criteria that are essential to the matters identified in the definition of the policy in </w:t>
      </w:r>
      <w:r w:rsidR="002B1A95" w:rsidRPr="002B1A95">
        <w:t>subsection (</w:t>
      </w:r>
      <w:r w:rsidRPr="002B1A95">
        <w:t>5), the additional criterion may be disregarded.</w:t>
      </w:r>
    </w:p>
    <w:p w:rsidR="005B63A2" w:rsidRPr="002B1A95" w:rsidRDefault="005B63A2" w:rsidP="005B63A2">
      <w:pPr>
        <w:pStyle w:val="subsection"/>
      </w:pPr>
      <w:r w:rsidRPr="002B1A95">
        <w:lastRenderedPageBreak/>
        <w:tab/>
        <w:t>(4)</w:t>
      </w:r>
      <w:r w:rsidRPr="002B1A95">
        <w:tab/>
        <w:t xml:space="preserve">The use of a specified proportion in the table in </w:t>
      </w:r>
      <w:r w:rsidR="002B1A95" w:rsidRPr="002B1A95">
        <w:t>subsection (</w:t>
      </w:r>
      <w:r w:rsidRPr="002B1A95">
        <w:t>1) in respect of a particular insurance policy is not affected by the inclusion in the insurance policy of a benefit payable to a member because a terminal medical condition exists in relation to the member.</w:t>
      </w:r>
    </w:p>
    <w:p w:rsidR="005B63A2" w:rsidRPr="002B1A95" w:rsidRDefault="005B63A2" w:rsidP="005B63A2">
      <w:pPr>
        <w:pStyle w:val="notetext"/>
      </w:pPr>
      <w:r w:rsidRPr="002B1A95">
        <w:t>Note:</w:t>
      </w:r>
      <w:r w:rsidRPr="002B1A95">
        <w:tab/>
        <w:t xml:space="preserve">For </w:t>
      </w:r>
      <w:r w:rsidRPr="002B1A95">
        <w:rPr>
          <w:b/>
          <w:i/>
        </w:rPr>
        <w:t>terminal medical condition</w:t>
      </w:r>
      <w:r w:rsidRPr="002B1A95">
        <w:t>, see section</w:t>
      </w:r>
      <w:r w:rsidR="002B1A95" w:rsidRPr="002B1A95">
        <w:t> </w:t>
      </w:r>
      <w:r w:rsidRPr="002B1A95">
        <w:t>995</w:t>
      </w:r>
      <w:r w:rsidR="00782250">
        <w:noBreakHyphen/>
      </w:r>
      <w:r w:rsidRPr="002B1A95">
        <w:t>1 of the Act and section 995</w:t>
      </w:r>
      <w:r w:rsidR="00782250">
        <w:noBreakHyphen/>
      </w:r>
      <w:r w:rsidRPr="002B1A95">
        <w:t>1.06 of this instrument.</w:t>
      </w:r>
    </w:p>
    <w:p w:rsidR="005B63A2" w:rsidRPr="002B1A95" w:rsidRDefault="005B63A2" w:rsidP="005B63A2">
      <w:pPr>
        <w:pStyle w:val="subsection"/>
      </w:pPr>
      <w:r w:rsidRPr="002B1A95">
        <w:tab/>
        <w:t>(5)</w:t>
      </w:r>
      <w:r w:rsidRPr="002B1A95">
        <w:tab/>
        <w:t>In this instrument:</w:t>
      </w:r>
    </w:p>
    <w:p w:rsidR="005B63A2" w:rsidRPr="002B1A95" w:rsidRDefault="005B63A2" w:rsidP="005B63A2">
      <w:pPr>
        <w:pStyle w:val="Definition"/>
      </w:pPr>
      <w:r w:rsidRPr="002B1A95">
        <w:rPr>
          <w:b/>
          <w:i/>
        </w:rPr>
        <w:t>activities of daily living</w:t>
      </w:r>
      <w:r w:rsidRPr="002B1A95">
        <w:t xml:space="preserve"> means a component of a disability insurance policy that insures against a disability that results in a member’s total and permanent inability to perform at least 2 of the following activities without the assistance of another person:</w:t>
      </w:r>
    </w:p>
    <w:p w:rsidR="005B63A2" w:rsidRPr="002B1A95" w:rsidRDefault="005B63A2" w:rsidP="005B63A2">
      <w:pPr>
        <w:pStyle w:val="paragraph"/>
      </w:pPr>
      <w:r w:rsidRPr="002B1A95">
        <w:tab/>
        <w:t>(a)</w:t>
      </w:r>
      <w:r w:rsidRPr="002B1A95">
        <w:tab/>
        <w:t>bathing and showering;</w:t>
      </w:r>
    </w:p>
    <w:p w:rsidR="005B63A2" w:rsidRPr="002B1A95" w:rsidRDefault="005B63A2" w:rsidP="005B63A2">
      <w:pPr>
        <w:pStyle w:val="paragraph"/>
      </w:pPr>
      <w:r w:rsidRPr="002B1A95">
        <w:tab/>
        <w:t>(b)</w:t>
      </w:r>
      <w:r w:rsidRPr="002B1A95">
        <w:tab/>
        <w:t>dressing and undressing;</w:t>
      </w:r>
    </w:p>
    <w:p w:rsidR="005B63A2" w:rsidRPr="002B1A95" w:rsidRDefault="005B63A2" w:rsidP="005B63A2">
      <w:pPr>
        <w:pStyle w:val="paragraph"/>
      </w:pPr>
      <w:r w:rsidRPr="002B1A95">
        <w:tab/>
        <w:t>(c)</w:t>
      </w:r>
      <w:r w:rsidRPr="002B1A95">
        <w:tab/>
        <w:t>eating and drinking;</w:t>
      </w:r>
    </w:p>
    <w:p w:rsidR="005B63A2" w:rsidRPr="002B1A95" w:rsidRDefault="005B63A2" w:rsidP="005B63A2">
      <w:pPr>
        <w:pStyle w:val="paragraph"/>
      </w:pPr>
      <w:r w:rsidRPr="002B1A95">
        <w:tab/>
        <w:t>(d)</w:t>
      </w:r>
      <w:r w:rsidRPr="002B1A95">
        <w:tab/>
        <w:t>mobility, to the extent of being able to get in and out of bed or a chair, and move from place to place without using a wheelchair;</w:t>
      </w:r>
    </w:p>
    <w:p w:rsidR="005B63A2" w:rsidRPr="002B1A95" w:rsidRDefault="005B63A2" w:rsidP="005B63A2">
      <w:pPr>
        <w:pStyle w:val="paragraph"/>
      </w:pPr>
      <w:r w:rsidRPr="002B1A95">
        <w:tab/>
        <w:t>(e)</w:t>
      </w:r>
      <w:r w:rsidRPr="002B1A95">
        <w:tab/>
        <w:t>the ability to use a toilet.</w:t>
      </w:r>
    </w:p>
    <w:p w:rsidR="005B63A2" w:rsidRPr="002B1A95" w:rsidRDefault="005B63A2" w:rsidP="005B63A2">
      <w:pPr>
        <w:pStyle w:val="Definition"/>
      </w:pPr>
      <w:r w:rsidRPr="002B1A95">
        <w:rPr>
          <w:b/>
          <w:i/>
        </w:rPr>
        <w:t xml:space="preserve">bundled </w:t>
      </w:r>
      <w:r w:rsidRPr="002B1A95">
        <w:t>means a situation in which:</w:t>
      </w:r>
    </w:p>
    <w:p w:rsidR="005B63A2" w:rsidRPr="002B1A95" w:rsidRDefault="005B63A2" w:rsidP="005B63A2">
      <w:pPr>
        <w:pStyle w:val="paragraph"/>
      </w:pPr>
      <w:r w:rsidRPr="002B1A95">
        <w:tab/>
        <w:t>(a)</w:t>
      </w:r>
      <w:r w:rsidRPr="002B1A95">
        <w:tab/>
        <w:t>the TPD and death (life) components of the combined insurance premium are not separately identified; and</w:t>
      </w:r>
    </w:p>
    <w:p w:rsidR="005B63A2" w:rsidRPr="002B1A95" w:rsidRDefault="005B63A2" w:rsidP="005B63A2">
      <w:pPr>
        <w:pStyle w:val="paragraph"/>
        <w:rPr>
          <w:strike/>
        </w:rPr>
      </w:pPr>
      <w:r w:rsidRPr="002B1A95">
        <w:tab/>
        <w:t>(b)</w:t>
      </w:r>
      <w:r w:rsidRPr="002B1A95">
        <w:tab/>
        <w:t>the amount payable to the insured person in relation to the TPD component does not exceed the amount payable in relation to the insured person in relation to the death (life) component.</w:t>
      </w:r>
    </w:p>
    <w:p w:rsidR="005B63A2" w:rsidRPr="002B1A95" w:rsidRDefault="005B63A2" w:rsidP="005B63A2">
      <w:pPr>
        <w:pStyle w:val="Definition"/>
      </w:pPr>
      <w:r w:rsidRPr="002B1A95">
        <w:rPr>
          <w:b/>
          <w:i/>
        </w:rPr>
        <w:t>cognitive loss</w:t>
      </w:r>
      <w:r w:rsidRPr="002B1A95">
        <w:t xml:space="preserve"> means a component of a disability insurance policy that insures against a member suffering a permanent deterioration or loss of cognitive functioning or intellectual capacity that requires the person to be under the continuous care and supervision of another person.</w:t>
      </w:r>
    </w:p>
    <w:p w:rsidR="005B63A2" w:rsidRPr="002B1A95" w:rsidRDefault="005B63A2" w:rsidP="005B63A2">
      <w:pPr>
        <w:pStyle w:val="Definition"/>
      </w:pPr>
      <w:r w:rsidRPr="002B1A95">
        <w:rPr>
          <w:b/>
          <w:i/>
        </w:rPr>
        <w:t>death (life) cover</w:t>
      </w:r>
      <w:r w:rsidRPr="002B1A95">
        <w:t xml:space="preserve"> means insurance against the liability to provide a superannuation death benefit.</w:t>
      </w:r>
    </w:p>
    <w:p w:rsidR="005B63A2" w:rsidRPr="002B1A95" w:rsidRDefault="005B63A2" w:rsidP="005B63A2">
      <w:pPr>
        <w:pStyle w:val="notetext"/>
      </w:pPr>
      <w:r w:rsidRPr="002B1A95">
        <w:t>Note:</w:t>
      </w:r>
      <w:r w:rsidRPr="002B1A95">
        <w:tab/>
        <w:t xml:space="preserve">For </w:t>
      </w:r>
      <w:r w:rsidRPr="002B1A95">
        <w:rPr>
          <w:b/>
          <w:i/>
        </w:rPr>
        <w:t>superannuation death benefit</w:t>
      </w:r>
      <w:r w:rsidRPr="002B1A95">
        <w:t>, see subsection</w:t>
      </w:r>
      <w:r w:rsidR="002B1A95" w:rsidRPr="002B1A95">
        <w:t> </w:t>
      </w:r>
      <w:r w:rsidRPr="002B1A95">
        <w:t>995</w:t>
      </w:r>
      <w:r w:rsidR="00782250">
        <w:noBreakHyphen/>
      </w:r>
      <w:r w:rsidRPr="002B1A95">
        <w:t>1(1) of the Act.</w:t>
      </w:r>
    </w:p>
    <w:p w:rsidR="005B63A2" w:rsidRPr="002B1A95" w:rsidRDefault="005B63A2" w:rsidP="005B63A2">
      <w:pPr>
        <w:pStyle w:val="Definition"/>
      </w:pPr>
      <w:r w:rsidRPr="002B1A95">
        <w:rPr>
          <w:b/>
          <w:i/>
        </w:rPr>
        <w:t xml:space="preserve">domestic (home) duties </w:t>
      </w:r>
      <w:r w:rsidRPr="002B1A95">
        <w:t>means a component of a disability insurance policy that insures against a disability that results in a member being:</w:t>
      </w:r>
    </w:p>
    <w:p w:rsidR="005B63A2" w:rsidRPr="002B1A95" w:rsidRDefault="005B63A2" w:rsidP="005B63A2">
      <w:pPr>
        <w:pStyle w:val="paragraph"/>
      </w:pPr>
      <w:r w:rsidRPr="002B1A95">
        <w:tab/>
        <w:t>(a)</w:t>
      </w:r>
      <w:r w:rsidRPr="002B1A95">
        <w:tab/>
        <w:t>unable to perform the member’s normal domestic duties; and</w:t>
      </w:r>
    </w:p>
    <w:p w:rsidR="005B63A2" w:rsidRPr="002B1A95" w:rsidRDefault="005B63A2" w:rsidP="005B63A2">
      <w:pPr>
        <w:pStyle w:val="paragraph"/>
      </w:pPr>
      <w:r w:rsidRPr="002B1A95">
        <w:tab/>
        <w:t>(b)</w:t>
      </w:r>
      <w:r w:rsidRPr="002B1A95">
        <w:tab/>
        <w:t>unable to leave the member’s home unaided; and</w:t>
      </w:r>
    </w:p>
    <w:p w:rsidR="005B63A2" w:rsidRPr="002B1A95" w:rsidRDefault="005B63A2" w:rsidP="005B63A2">
      <w:pPr>
        <w:pStyle w:val="paragraph"/>
      </w:pPr>
      <w:r w:rsidRPr="002B1A95">
        <w:tab/>
        <w:t>(c)</w:t>
      </w:r>
      <w:r w:rsidRPr="002B1A95">
        <w:tab/>
        <w:t>incapacitated to such an extent that the member is unlikely to ever engage in normal domestic duties or any gainful employment.</w:t>
      </w:r>
    </w:p>
    <w:p w:rsidR="005B63A2" w:rsidRPr="002B1A95" w:rsidRDefault="005B63A2" w:rsidP="005B63A2">
      <w:pPr>
        <w:pStyle w:val="Definition"/>
      </w:pPr>
      <w:r w:rsidRPr="002B1A95">
        <w:rPr>
          <w:b/>
          <w:i/>
        </w:rPr>
        <w:t>loss of limb</w:t>
      </w:r>
      <w:r w:rsidRPr="002B1A95">
        <w:t xml:space="preserve"> means a component of a disability insurance policy that insures against the permanent loss of:</w:t>
      </w:r>
    </w:p>
    <w:p w:rsidR="005B63A2" w:rsidRPr="002B1A95" w:rsidRDefault="005B63A2" w:rsidP="005B63A2">
      <w:pPr>
        <w:pStyle w:val="paragraph"/>
      </w:pPr>
      <w:r w:rsidRPr="002B1A95">
        <w:tab/>
        <w:t>(a)</w:t>
      </w:r>
      <w:r w:rsidRPr="002B1A95">
        <w:tab/>
        <w:t>the sight in both the member’s eyes resulting in blindness; or</w:t>
      </w:r>
    </w:p>
    <w:p w:rsidR="005B63A2" w:rsidRPr="002B1A95" w:rsidRDefault="005B63A2" w:rsidP="005B63A2">
      <w:pPr>
        <w:pStyle w:val="paragraph"/>
      </w:pPr>
      <w:r w:rsidRPr="002B1A95">
        <w:tab/>
        <w:t>(b)</w:t>
      </w:r>
      <w:r w:rsidRPr="002B1A95">
        <w:tab/>
        <w:t>the use of 2 or more of the member’s limbs, feet or hands; or</w:t>
      </w:r>
    </w:p>
    <w:p w:rsidR="005B63A2" w:rsidRPr="002B1A95" w:rsidRDefault="005B63A2" w:rsidP="005B63A2">
      <w:pPr>
        <w:pStyle w:val="paragraph"/>
      </w:pPr>
      <w:r w:rsidRPr="002B1A95">
        <w:tab/>
        <w:t>(c)</w:t>
      </w:r>
      <w:r w:rsidRPr="002B1A95">
        <w:tab/>
        <w:t>the sight in one of the member’s eyes resulting in blindness in that eye and the use of one of the member’s limbs, feet or hands.</w:t>
      </w:r>
    </w:p>
    <w:p w:rsidR="005B63A2" w:rsidRPr="002B1A95" w:rsidRDefault="005B63A2" w:rsidP="005B63A2">
      <w:pPr>
        <w:pStyle w:val="Definition"/>
      </w:pPr>
      <w:r w:rsidRPr="002B1A95">
        <w:rPr>
          <w:b/>
          <w:i/>
        </w:rPr>
        <w:lastRenderedPageBreak/>
        <w:t xml:space="preserve">normal domestic duties </w:t>
      </w:r>
      <w:r w:rsidRPr="002B1A95">
        <w:t>means the tasks performed by an individual whose sole occupation is to maintain the individual’s family home, including:</w:t>
      </w:r>
    </w:p>
    <w:p w:rsidR="005B63A2" w:rsidRPr="002B1A95" w:rsidRDefault="005B63A2" w:rsidP="005B63A2">
      <w:pPr>
        <w:pStyle w:val="paragraph"/>
      </w:pPr>
      <w:r w:rsidRPr="002B1A95">
        <w:tab/>
        <w:t>(a)</w:t>
      </w:r>
      <w:r w:rsidRPr="002B1A95">
        <w:tab/>
        <w:t>unassisted cleaning of the individual’s home; and</w:t>
      </w:r>
    </w:p>
    <w:p w:rsidR="005B63A2" w:rsidRPr="002B1A95" w:rsidRDefault="005B63A2" w:rsidP="005B63A2">
      <w:pPr>
        <w:pStyle w:val="paragraph"/>
      </w:pPr>
      <w:r w:rsidRPr="002B1A95">
        <w:tab/>
        <w:t>(b)</w:t>
      </w:r>
      <w:r w:rsidRPr="002B1A95">
        <w:tab/>
        <w:t>cooking of meals for the individual’s family; and</w:t>
      </w:r>
    </w:p>
    <w:p w:rsidR="005B63A2" w:rsidRPr="002B1A95" w:rsidRDefault="005B63A2" w:rsidP="005B63A2">
      <w:pPr>
        <w:pStyle w:val="paragraph"/>
      </w:pPr>
      <w:r w:rsidRPr="002B1A95">
        <w:tab/>
        <w:t>(c)</w:t>
      </w:r>
      <w:r w:rsidRPr="002B1A95">
        <w:tab/>
        <w:t>doing the laundry for the individual’s family; and</w:t>
      </w:r>
    </w:p>
    <w:p w:rsidR="005B63A2" w:rsidRPr="002B1A95" w:rsidRDefault="005B63A2" w:rsidP="005B63A2">
      <w:pPr>
        <w:pStyle w:val="paragraph"/>
      </w:pPr>
      <w:r w:rsidRPr="002B1A95">
        <w:tab/>
        <w:t>(d)</w:t>
      </w:r>
      <w:r w:rsidRPr="002B1A95">
        <w:tab/>
        <w:t>shopping for food for the individual’s family; and</w:t>
      </w:r>
    </w:p>
    <w:p w:rsidR="005B63A2" w:rsidRPr="002B1A95" w:rsidRDefault="005B63A2" w:rsidP="005B63A2">
      <w:pPr>
        <w:pStyle w:val="paragraph"/>
        <w:rPr>
          <w:b/>
        </w:rPr>
      </w:pPr>
      <w:r w:rsidRPr="002B1A95">
        <w:tab/>
        <w:t>(e)</w:t>
      </w:r>
      <w:r w:rsidRPr="002B1A95">
        <w:tab/>
        <w:t>taking care of any dependent children.</w:t>
      </w:r>
    </w:p>
    <w:p w:rsidR="005B63A2" w:rsidRPr="002B1A95" w:rsidRDefault="005B63A2" w:rsidP="005B63A2">
      <w:pPr>
        <w:pStyle w:val="Definition"/>
      </w:pPr>
      <w:r w:rsidRPr="002B1A95">
        <w:rPr>
          <w:b/>
          <w:i/>
        </w:rPr>
        <w:t>TPD any occupation</w:t>
      </w:r>
      <w:r w:rsidRPr="002B1A95">
        <w:t xml:space="preserve"> means insurance against the member suffering an illness or injury that is likely to result in the member’s permanent inability to engage in gainful employment for which the member is reasonably qualified by education, training or experience.</w:t>
      </w:r>
    </w:p>
    <w:p w:rsidR="005B63A2" w:rsidRPr="002B1A95" w:rsidRDefault="005B63A2" w:rsidP="005B63A2">
      <w:pPr>
        <w:pStyle w:val="Definition"/>
      </w:pPr>
      <w:r w:rsidRPr="002B1A95">
        <w:rPr>
          <w:b/>
          <w:i/>
        </w:rPr>
        <w:t>TPD own occupation</w:t>
      </w:r>
      <w:r w:rsidRPr="002B1A95">
        <w:t xml:space="preserve"> means insurance against the member suffering an illness or injury that is likely to result in the member’s permanent inability to engage in gainful employment in the member’s own occupation, where inability to engage in gainful employment includes the inability to work otherwise than in a substantially reduced capacity to that in which the member worked before suffering the illness or injury.</w:t>
      </w:r>
    </w:p>
    <w:p w:rsidR="00EF666B" w:rsidRPr="002B1A95" w:rsidRDefault="00EF666B" w:rsidP="002F07B9">
      <w:pPr>
        <w:pStyle w:val="ActHead3"/>
        <w:pageBreakBefore/>
      </w:pPr>
      <w:bookmarkStart w:id="104" w:name="_Toc49765284"/>
      <w:r w:rsidRPr="00411C46">
        <w:rPr>
          <w:rStyle w:val="CharDivNo"/>
        </w:rPr>
        <w:lastRenderedPageBreak/>
        <w:t>Division</w:t>
      </w:r>
      <w:r w:rsidR="002B1A95" w:rsidRPr="00411C46">
        <w:rPr>
          <w:rStyle w:val="CharDivNo"/>
        </w:rPr>
        <w:t> </w:t>
      </w:r>
      <w:r w:rsidRPr="00411C46">
        <w:rPr>
          <w:rStyle w:val="CharDivNo"/>
        </w:rPr>
        <w:t>301</w:t>
      </w:r>
      <w:r w:rsidRPr="002B1A95">
        <w:rPr>
          <w:color w:val="000000"/>
        </w:rPr>
        <w:t>—</w:t>
      </w:r>
      <w:r w:rsidRPr="00411C46">
        <w:rPr>
          <w:rStyle w:val="CharDivText"/>
        </w:rPr>
        <w:t>Superannuation member benefits paid from complying plans etc.</w:t>
      </w:r>
      <w:bookmarkEnd w:id="104"/>
    </w:p>
    <w:p w:rsidR="00EF666B" w:rsidRPr="002B1A95" w:rsidRDefault="00EF666B" w:rsidP="00EF666B">
      <w:pPr>
        <w:pStyle w:val="ActHead4"/>
      </w:pPr>
      <w:bookmarkStart w:id="105" w:name="_Toc49765285"/>
      <w:r w:rsidRPr="00411C46">
        <w:rPr>
          <w:rStyle w:val="CharSubdNo"/>
          <w:rFonts w:eastAsiaTheme="majorEastAsia"/>
        </w:rPr>
        <w:t>Subdivision</w:t>
      </w:r>
      <w:r w:rsidR="002B1A95" w:rsidRPr="00411C46">
        <w:rPr>
          <w:rStyle w:val="CharSubdNo"/>
          <w:rFonts w:eastAsiaTheme="majorEastAsia"/>
        </w:rPr>
        <w:t> </w:t>
      </w:r>
      <w:r w:rsidRPr="00411C46">
        <w:rPr>
          <w:rStyle w:val="CharSubdNo"/>
          <w:rFonts w:eastAsiaTheme="majorEastAsia"/>
        </w:rPr>
        <w:t>301</w:t>
      </w:r>
      <w:r w:rsidR="00782250" w:rsidRPr="00411C46">
        <w:rPr>
          <w:rStyle w:val="CharSubdNo"/>
          <w:rFonts w:eastAsiaTheme="majorEastAsia"/>
        </w:rPr>
        <w:noBreakHyphen/>
      </w:r>
      <w:r w:rsidRPr="00411C46">
        <w:rPr>
          <w:rStyle w:val="CharSubdNo"/>
          <w:rFonts w:eastAsiaTheme="majorEastAsia"/>
        </w:rPr>
        <w:t>D</w:t>
      </w:r>
      <w:r w:rsidRPr="002B1A95">
        <w:t>—</w:t>
      </w:r>
      <w:r w:rsidRPr="00411C46">
        <w:rPr>
          <w:rStyle w:val="CharSubdText"/>
          <w:rFonts w:eastAsiaTheme="majorEastAsia"/>
        </w:rPr>
        <w:t>Departing Australia superannuation payments</w:t>
      </w:r>
      <w:bookmarkEnd w:id="105"/>
    </w:p>
    <w:p w:rsidR="00EF666B" w:rsidRPr="002B1A95" w:rsidRDefault="00EF666B" w:rsidP="00EF666B">
      <w:pPr>
        <w:pStyle w:val="ActHead5"/>
      </w:pPr>
      <w:bookmarkStart w:id="106" w:name="_Toc49765286"/>
      <w:r w:rsidRPr="00411C46">
        <w:rPr>
          <w:rStyle w:val="CharSectno"/>
        </w:rPr>
        <w:t>301</w:t>
      </w:r>
      <w:r w:rsidR="00782250" w:rsidRPr="00411C46">
        <w:rPr>
          <w:rStyle w:val="CharSectno"/>
        </w:rPr>
        <w:noBreakHyphen/>
      </w:r>
      <w:r w:rsidRPr="00411C46">
        <w:rPr>
          <w:rStyle w:val="CharSectno"/>
        </w:rPr>
        <w:t>170.01</w:t>
      </w:r>
      <w:r w:rsidRPr="002B1A95">
        <w:t xml:space="preserve">  Departing Australia superannuation payments</w:t>
      </w:r>
      <w:bookmarkEnd w:id="106"/>
    </w:p>
    <w:p w:rsidR="00EF666B" w:rsidRPr="002B1A95" w:rsidRDefault="00EF666B" w:rsidP="00EF666B">
      <w:pPr>
        <w:pStyle w:val="subsection"/>
      </w:pPr>
      <w:r w:rsidRPr="002B1A95">
        <w:tab/>
      </w:r>
      <w:r w:rsidRPr="002B1A95">
        <w:tab/>
        <w:t xml:space="preserve">For </w:t>
      </w:r>
      <w:r w:rsidRPr="002B1A95">
        <w:rPr>
          <w:color w:val="000000"/>
        </w:rPr>
        <w:t xml:space="preserve">the purposes of </w:t>
      </w:r>
      <w:r w:rsidRPr="002B1A95">
        <w:t>subparagraph</w:t>
      </w:r>
      <w:r w:rsidR="002B1A95" w:rsidRPr="002B1A95">
        <w:t> </w:t>
      </w:r>
      <w:r w:rsidRPr="002B1A95">
        <w:t>301</w:t>
      </w:r>
      <w:r w:rsidR="00782250">
        <w:noBreakHyphen/>
      </w:r>
      <w:r w:rsidRPr="002B1A95">
        <w:t>170(1)(b)(i) of the Act, the following regulations are specified:</w:t>
      </w:r>
    </w:p>
    <w:p w:rsidR="00EF666B" w:rsidRPr="002B1A95" w:rsidRDefault="00EF666B" w:rsidP="00EF666B">
      <w:pPr>
        <w:pStyle w:val="paragraph"/>
      </w:pPr>
      <w:r w:rsidRPr="002B1A95">
        <w:rPr>
          <w:color w:val="000000"/>
        </w:rPr>
        <w:tab/>
        <w:t>(a)</w:t>
      </w:r>
      <w:r w:rsidRPr="002B1A95">
        <w:rPr>
          <w:color w:val="000000"/>
        </w:rPr>
        <w:tab/>
        <w:t>regulations</w:t>
      </w:r>
      <w:r w:rsidR="002B1A95" w:rsidRPr="002B1A95">
        <w:rPr>
          <w:color w:val="000000"/>
        </w:rPr>
        <w:t> </w:t>
      </w:r>
      <w:r w:rsidRPr="002B1A95">
        <w:rPr>
          <w:color w:val="000000"/>
        </w:rPr>
        <w:t>6.20A, 6.20B and 6.24A of the SIS Regulations;</w:t>
      </w:r>
    </w:p>
    <w:p w:rsidR="00EF666B" w:rsidRPr="002B1A95" w:rsidRDefault="00EF666B" w:rsidP="00EF666B">
      <w:pPr>
        <w:pStyle w:val="paragraph"/>
      </w:pPr>
      <w:r w:rsidRPr="002B1A95">
        <w:tab/>
        <w:t>(b)</w:t>
      </w:r>
      <w:r w:rsidRPr="002B1A95">
        <w:tab/>
        <w:t>regulation</w:t>
      </w:r>
      <w:r w:rsidR="002B1A95" w:rsidRPr="002B1A95">
        <w:t> </w:t>
      </w:r>
      <w:r w:rsidRPr="002B1A95">
        <w:t>4.23A of the RSA Regulations.</w:t>
      </w:r>
    </w:p>
    <w:p w:rsidR="00EF666B" w:rsidRPr="002B1A95" w:rsidRDefault="00EF666B" w:rsidP="00EF666B">
      <w:pPr>
        <w:pStyle w:val="notetext"/>
      </w:pPr>
      <w:r w:rsidRPr="002B1A95">
        <w:t>Note:</w:t>
      </w:r>
      <w:r w:rsidRPr="002B1A95">
        <w:tab/>
        <w:t xml:space="preserve">A superannuation lump sum paid to a person in accordance with the regulations specified in this section is a </w:t>
      </w:r>
      <w:r w:rsidRPr="002B1A95">
        <w:rPr>
          <w:b/>
          <w:i/>
        </w:rPr>
        <w:t>departing Australia superannuation payment</w:t>
      </w:r>
      <w:r w:rsidRPr="002B1A95">
        <w:t xml:space="preserve"> (see subsection</w:t>
      </w:r>
      <w:r w:rsidR="002B1A95" w:rsidRPr="002B1A95">
        <w:t> </w:t>
      </w:r>
      <w:r w:rsidRPr="002B1A95">
        <w:t>301</w:t>
      </w:r>
      <w:r w:rsidR="00782250">
        <w:noBreakHyphen/>
      </w:r>
      <w:r w:rsidRPr="002B1A95">
        <w:t>170(1) of the Act).</w:t>
      </w:r>
    </w:p>
    <w:p w:rsidR="00EF666B" w:rsidRPr="002B1A95" w:rsidRDefault="00EF666B" w:rsidP="00EF666B">
      <w:pPr>
        <w:pStyle w:val="ActHead4"/>
      </w:pPr>
      <w:bookmarkStart w:id="107" w:name="_Toc49765287"/>
      <w:r w:rsidRPr="00411C46">
        <w:rPr>
          <w:rStyle w:val="CharSubdNo"/>
          <w:rFonts w:eastAsiaTheme="majorEastAsia"/>
        </w:rPr>
        <w:t>Subdivision</w:t>
      </w:r>
      <w:r w:rsidR="002B1A95" w:rsidRPr="00411C46">
        <w:rPr>
          <w:rStyle w:val="CharSubdNo"/>
          <w:rFonts w:eastAsiaTheme="majorEastAsia"/>
        </w:rPr>
        <w:t> </w:t>
      </w:r>
      <w:r w:rsidRPr="00411C46">
        <w:rPr>
          <w:rStyle w:val="CharSubdNo"/>
          <w:rFonts w:eastAsiaTheme="majorEastAsia"/>
        </w:rPr>
        <w:t>301</w:t>
      </w:r>
      <w:r w:rsidR="00782250" w:rsidRPr="00411C46">
        <w:rPr>
          <w:rStyle w:val="CharSubdNo"/>
          <w:rFonts w:eastAsiaTheme="majorEastAsia"/>
        </w:rPr>
        <w:noBreakHyphen/>
      </w:r>
      <w:r w:rsidRPr="00411C46">
        <w:rPr>
          <w:rStyle w:val="CharSubdNo"/>
          <w:rFonts w:eastAsiaTheme="majorEastAsia"/>
        </w:rPr>
        <w:t>E</w:t>
      </w:r>
      <w:r w:rsidRPr="002B1A95">
        <w:t>—</w:t>
      </w:r>
      <w:r w:rsidRPr="00411C46">
        <w:rPr>
          <w:rStyle w:val="CharSubdText"/>
          <w:rFonts w:eastAsiaTheme="majorEastAsia"/>
        </w:rPr>
        <w:t>Superannuation lump sum member benefits less than $200</w:t>
      </w:r>
      <w:bookmarkEnd w:id="107"/>
    </w:p>
    <w:p w:rsidR="00EF666B" w:rsidRPr="002B1A95" w:rsidRDefault="00EF666B" w:rsidP="00EF666B">
      <w:pPr>
        <w:pStyle w:val="ActHead5"/>
      </w:pPr>
      <w:bookmarkStart w:id="108" w:name="_Toc49765288"/>
      <w:r w:rsidRPr="00411C46">
        <w:rPr>
          <w:rStyle w:val="CharSectno"/>
        </w:rPr>
        <w:t>301</w:t>
      </w:r>
      <w:r w:rsidR="00782250" w:rsidRPr="00411C46">
        <w:rPr>
          <w:rStyle w:val="CharSectno"/>
        </w:rPr>
        <w:noBreakHyphen/>
      </w:r>
      <w:r w:rsidRPr="00411C46">
        <w:rPr>
          <w:rStyle w:val="CharSectno"/>
        </w:rPr>
        <w:t>225.01</w:t>
      </w:r>
      <w:r w:rsidRPr="002B1A95">
        <w:t xml:space="preserve">  Superannuation lump sum member benefits less than $200 are tax free</w:t>
      </w:r>
      <w:bookmarkEnd w:id="108"/>
    </w:p>
    <w:p w:rsidR="00EF666B" w:rsidRPr="002B1A95" w:rsidRDefault="00EF666B" w:rsidP="00EF666B">
      <w:pPr>
        <w:pStyle w:val="subsection"/>
      </w:pPr>
      <w:r w:rsidRPr="002B1A95">
        <w:rPr>
          <w:color w:val="000000"/>
        </w:rPr>
        <w:tab/>
        <w:t>(1)</w:t>
      </w:r>
      <w:r w:rsidRPr="002B1A95">
        <w:rPr>
          <w:color w:val="000000"/>
        </w:rPr>
        <w:tab/>
        <w:t>For the purposes of paragraph</w:t>
      </w:r>
      <w:r w:rsidR="002B1A95" w:rsidRPr="002B1A95">
        <w:rPr>
          <w:color w:val="000000"/>
        </w:rPr>
        <w:t> </w:t>
      </w:r>
      <w:r w:rsidRPr="002B1A95">
        <w:rPr>
          <w:color w:val="000000"/>
        </w:rPr>
        <w:t>301</w:t>
      </w:r>
      <w:r w:rsidR="00782250">
        <w:rPr>
          <w:color w:val="000000"/>
        </w:rPr>
        <w:noBreakHyphen/>
      </w:r>
      <w:r w:rsidRPr="002B1A95">
        <w:rPr>
          <w:color w:val="000000"/>
        </w:rPr>
        <w:t>225(1)(d) of the Act, this section specifies requirements in relation to a superannuation member benefit.</w:t>
      </w:r>
    </w:p>
    <w:p w:rsidR="00EF666B" w:rsidRPr="002B1A95" w:rsidRDefault="00EF666B" w:rsidP="00EF666B">
      <w:pPr>
        <w:pStyle w:val="notetext"/>
      </w:pPr>
      <w:r w:rsidRPr="002B1A95">
        <w:rPr>
          <w:color w:val="000000"/>
        </w:rPr>
        <w:t>Note:</w:t>
      </w:r>
      <w:r w:rsidRPr="002B1A95">
        <w:rPr>
          <w:color w:val="000000"/>
        </w:rPr>
        <w:tab/>
        <w:t>The effect of section</w:t>
      </w:r>
      <w:r w:rsidR="002B1A95" w:rsidRPr="002B1A95">
        <w:rPr>
          <w:color w:val="000000"/>
        </w:rPr>
        <w:t> </w:t>
      </w:r>
      <w:r w:rsidRPr="002B1A95">
        <w:rPr>
          <w:color w:val="000000"/>
        </w:rPr>
        <w:t>301</w:t>
      </w:r>
      <w:r w:rsidR="00782250">
        <w:rPr>
          <w:color w:val="000000"/>
        </w:rPr>
        <w:noBreakHyphen/>
      </w:r>
      <w:r w:rsidRPr="002B1A95">
        <w:rPr>
          <w:color w:val="000000"/>
        </w:rPr>
        <w:t xml:space="preserve">225 of the Act is that a superannuation member benefit is not assessable income and is not exempt income in certain circumstances (which include satisfying the requirements in </w:t>
      </w:r>
      <w:r w:rsidR="002B1A95" w:rsidRPr="002B1A95">
        <w:rPr>
          <w:color w:val="000000"/>
        </w:rPr>
        <w:t>subsection (</w:t>
      </w:r>
      <w:r w:rsidRPr="002B1A95">
        <w:rPr>
          <w:color w:val="000000"/>
        </w:rPr>
        <w:t>2) of this section).</w:t>
      </w:r>
    </w:p>
    <w:p w:rsidR="00EF666B" w:rsidRPr="002B1A95" w:rsidRDefault="00EF666B" w:rsidP="00EF666B">
      <w:pPr>
        <w:pStyle w:val="subsection"/>
      </w:pPr>
      <w:r w:rsidRPr="002B1A95">
        <w:tab/>
        <w:t>(2)</w:t>
      </w:r>
      <w:r w:rsidRPr="002B1A95">
        <w:tab/>
        <w:t>A requirement is that the member’s benefit must be released under:</w:t>
      </w:r>
    </w:p>
    <w:p w:rsidR="00EF666B" w:rsidRPr="002B1A95" w:rsidRDefault="00EF666B" w:rsidP="00EF666B">
      <w:pPr>
        <w:pStyle w:val="paragraph"/>
      </w:pPr>
      <w:r w:rsidRPr="002B1A95">
        <w:tab/>
        <w:t>(a)</w:t>
      </w:r>
      <w:r w:rsidRPr="002B1A95">
        <w:tab/>
        <w:t>item</w:t>
      </w:r>
      <w:r w:rsidR="002B1A95" w:rsidRPr="002B1A95">
        <w:t> </w:t>
      </w:r>
      <w:r w:rsidRPr="002B1A95">
        <w:t>104 or 111 of Part</w:t>
      </w:r>
      <w:r w:rsidR="002B1A95" w:rsidRPr="002B1A95">
        <w:t> </w:t>
      </w:r>
      <w:r w:rsidRPr="002B1A95">
        <w:t>1 of Schedule</w:t>
      </w:r>
      <w:r w:rsidR="002B1A95" w:rsidRPr="002B1A95">
        <w:t> </w:t>
      </w:r>
      <w:r w:rsidRPr="002B1A95">
        <w:t>1 to the SIS Regulations; or</w:t>
      </w:r>
    </w:p>
    <w:p w:rsidR="00EF666B" w:rsidRPr="002B1A95" w:rsidRDefault="00EF666B" w:rsidP="00EF666B">
      <w:pPr>
        <w:pStyle w:val="paragraph"/>
      </w:pPr>
      <w:r w:rsidRPr="002B1A95">
        <w:tab/>
        <w:t>(b)</w:t>
      </w:r>
      <w:r w:rsidRPr="002B1A95">
        <w:tab/>
        <w:t>item</w:t>
      </w:r>
      <w:r w:rsidR="002B1A95" w:rsidRPr="002B1A95">
        <w:t> </w:t>
      </w:r>
      <w:r w:rsidRPr="002B1A95">
        <w:t>211 of Part</w:t>
      </w:r>
      <w:r w:rsidR="002B1A95" w:rsidRPr="002B1A95">
        <w:t> </w:t>
      </w:r>
      <w:r w:rsidRPr="002B1A95">
        <w:t>2 of Schedule</w:t>
      </w:r>
      <w:r w:rsidR="002B1A95" w:rsidRPr="002B1A95">
        <w:t> </w:t>
      </w:r>
      <w:r w:rsidRPr="002B1A95">
        <w:t>1 to the SIS Regulations; or</w:t>
      </w:r>
    </w:p>
    <w:p w:rsidR="00EF666B" w:rsidRPr="002B1A95" w:rsidRDefault="00EF666B" w:rsidP="00EF666B">
      <w:pPr>
        <w:pStyle w:val="paragraph"/>
      </w:pPr>
      <w:r w:rsidRPr="002B1A95">
        <w:tab/>
        <w:t>(c)</w:t>
      </w:r>
      <w:r w:rsidRPr="002B1A95">
        <w:tab/>
        <w:t>item</w:t>
      </w:r>
      <w:r w:rsidR="002B1A95" w:rsidRPr="002B1A95">
        <w:t> </w:t>
      </w:r>
      <w:r w:rsidRPr="002B1A95">
        <w:t>111 of Schedule</w:t>
      </w:r>
      <w:r w:rsidR="002B1A95" w:rsidRPr="002B1A95">
        <w:t> </w:t>
      </w:r>
      <w:r w:rsidRPr="002B1A95">
        <w:t>2 to the RSA Regulations.</w:t>
      </w:r>
    </w:p>
    <w:p w:rsidR="00EF666B" w:rsidRPr="002B1A95" w:rsidRDefault="00EF666B" w:rsidP="00EF666B">
      <w:pPr>
        <w:pStyle w:val="ActHead3"/>
        <w:pageBreakBefore/>
        <w:rPr>
          <w:color w:val="000000"/>
        </w:rPr>
      </w:pPr>
      <w:bookmarkStart w:id="109" w:name="_Toc49765289"/>
      <w:r w:rsidRPr="00411C46">
        <w:rPr>
          <w:rStyle w:val="CharDivNo"/>
        </w:rPr>
        <w:lastRenderedPageBreak/>
        <w:t>Division</w:t>
      </w:r>
      <w:r w:rsidR="002B1A95" w:rsidRPr="00411C46">
        <w:rPr>
          <w:rStyle w:val="CharDivNo"/>
        </w:rPr>
        <w:t> </w:t>
      </w:r>
      <w:r w:rsidRPr="00411C46">
        <w:rPr>
          <w:rStyle w:val="CharDivNo"/>
        </w:rPr>
        <w:t>302</w:t>
      </w:r>
      <w:r w:rsidRPr="002B1A95">
        <w:rPr>
          <w:color w:val="000000"/>
        </w:rPr>
        <w:t>—</w:t>
      </w:r>
      <w:r w:rsidRPr="00411C46">
        <w:rPr>
          <w:rStyle w:val="CharDivText"/>
        </w:rPr>
        <w:t>Superannuation death benefits paid from complying plans etc.</w:t>
      </w:r>
      <w:bookmarkEnd w:id="109"/>
    </w:p>
    <w:p w:rsidR="00EF666B" w:rsidRPr="002B1A95" w:rsidRDefault="00EF666B" w:rsidP="00EF666B">
      <w:pPr>
        <w:pStyle w:val="ActHead4"/>
        <w:rPr>
          <w:rFonts w:eastAsiaTheme="majorEastAsia"/>
        </w:rPr>
      </w:pPr>
      <w:bookmarkStart w:id="110" w:name="_Toc49765290"/>
      <w:r w:rsidRPr="00411C46">
        <w:rPr>
          <w:rStyle w:val="CharSubdNo"/>
          <w:rFonts w:eastAsiaTheme="majorEastAsia"/>
        </w:rPr>
        <w:t>Subdivision</w:t>
      </w:r>
      <w:r w:rsidR="002B1A95" w:rsidRPr="00411C46">
        <w:rPr>
          <w:rStyle w:val="CharSubdNo"/>
          <w:rFonts w:eastAsiaTheme="majorEastAsia"/>
        </w:rPr>
        <w:t> </w:t>
      </w:r>
      <w:r w:rsidRPr="00411C46">
        <w:rPr>
          <w:rStyle w:val="CharSubdNo"/>
          <w:rFonts w:eastAsiaTheme="majorEastAsia"/>
        </w:rPr>
        <w:t>302</w:t>
      </w:r>
      <w:r w:rsidR="00782250" w:rsidRPr="00411C46">
        <w:rPr>
          <w:rStyle w:val="CharSubdNo"/>
          <w:rFonts w:eastAsiaTheme="majorEastAsia"/>
        </w:rPr>
        <w:noBreakHyphen/>
      </w:r>
      <w:r w:rsidRPr="00411C46">
        <w:rPr>
          <w:rStyle w:val="CharSubdNo"/>
          <w:rFonts w:eastAsiaTheme="majorEastAsia"/>
        </w:rPr>
        <w:t>D</w:t>
      </w:r>
      <w:r w:rsidRPr="002B1A95">
        <w:t>—</w:t>
      </w:r>
      <w:r w:rsidRPr="00411C46">
        <w:rPr>
          <w:rStyle w:val="CharSubdText"/>
          <w:rFonts w:eastAsiaTheme="majorEastAsia"/>
        </w:rPr>
        <w:t>Definitions relating to dependants</w:t>
      </w:r>
      <w:bookmarkEnd w:id="110"/>
    </w:p>
    <w:p w:rsidR="00EF666B" w:rsidRPr="002B1A95" w:rsidRDefault="00EF666B" w:rsidP="00EF666B">
      <w:pPr>
        <w:pStyle w:val="ActHead5"/>
      </w:pPr>
      <w:bookmarkStart w:id="111" w:name="_Toc49765291"/>
      <w:r w:rsidRPr="00411C46">
        <w:rPr>
          <w:rStyle w:val="CharSectno"/>
        </w:rPr>
        <w:t>302</w:t>
      </w:r>
      <w:r w:rsidR="00782250" w:rsidRPr="00411C46">
        <w:rPr>
          <w:rStyle w:val="CharSectno"/>
        </w:rPr>
        <w:noBreakHyphen/>
      </w:r>
      <w:r w:rsidRPr="00411C46">
        <w:rPr>
          <w:rStyle w:val="CharSectno"/>
        </w:rPr>
        <w:t>195.01</w:t>
      </w:r>
      <w:r w:rsidRPr="002B1A95">
        <w:t xml:space="preserve">  Circumstances in which a person died in the line of duty</w:t>
      </w:r>
      <w:bookmarkEnd w:id="111"/>
    </w:p>
    <w:p w:rsidR="00EF666B" w:rsidRPr="002B1A95" w:rsidRDefault="00EF666B" w:rsidP="00EF666B">
      <w:pPr>
        <w:pStyle w:val="subsection"/>
      </w:pPr>
      <w:r w:rsidRPr="002B1A95">
        <w:tab/>
        <w:t>(1)</w:t>
      </w:r>
      <w:r w:rsidRPr="002B1A95">
        <w:tab/>
        <w:t>For the purposes of subsection</w:t>
      </w:r>
      <w:r w:rsidR="002B1A95" w:rsidRPr="002B1A95">
        <w:t> </w:t>
      </w:r>
      <w:r w:rsidRPr="002B1A95">
        <w:t>302</w:t>
      </w:r>
      <w:r w:rsidR="00782250">
        <w:noBreakHyphen/>
      </w:r>
      <w:r w:rsidRPr="002B1A95">
        <w:t>195(3) of the Act, this section specifies the different circumstances in which a military or police person</w:t>
      </w:r>
      <w:r w:rsidRPr="002B1A95">
        <w:rPr>
          <w:b/>
          <w:i/>
        </w:rPr>
        <w:t xml:space="preserve"> </w:t>
      </w:r>
      <w:r w:rsidRPr="002B1A95">
        <w:t xml:space="preserve">(the </w:t>
      </w:r>
      <w:r w:rsidRPr="002B1A95">
        <w:rPr>
          <w:b/>
          <w:i/>
        </w:rPr>
        <w:t>deceased person</w:t>
      </w:r>
      <w:r w:rsidRPr="002B1A95">
        <w:t>) died in the line of duty.</w:t>
      </w:r>
    </w:p>
    <w:p w:rsidR="00EF666B" w:rsidRPr="002B1A95" w:rsidRDefault="00EF666B" w:rsidP="00EF666B">
      <w:pPr>
        <w:pStyle w:val="notetext"/>
      </w:pPr>
      <w:r w:rsidRPr="002B1A95">
        <w:t xml:space="preserve">Note 1: </w:t>
      </w:r>
      <w:r w:rsidRPr="002B1A95">
        <w:tab/>
        <w:t xml:space="preserve">For </w:t>
      </w:r>
      <w:r w:rsidRPr="002B1A95">
        <w:rPr>
          <w:b/>
          <w:i/>
        </w:rPr>
        <w:t>military or police person</w:t>
      </w:r>
      <w:r w:rsidRPr="002B1A95">
        <w:t>, see section 995</w:t>
      </w:r>
      <w:r w:rsidR="00782250">
        <w:noBreakHyphen/>
      </w:r>
      <w:r w:rsidRPr="002B1A95">
        <w:t>1.01.</w:t>
      </w:r>
    </w:p>
    <w:p w:rsidR="00EF666B" w:rsidRPr="002B1A95" w:rsidRDefault="00EF666B" w:rsidP="00EF666B">
      <w:pPr>
        <w:pStyle w:val="notetext"/>
      </w:pPr>
      <w:r w:rsidRPr="002B1A95">
        <w:t>Note 2:</w:t>
      </w:r>
      <w:r w:rsidRPr="002B1A95">
        <w:tab/>
        <w:t>However, if the deceased person died in a circumstance set out in section 302</w:t>
      </w:r>
      <w:r w:rsidR="00782250">
        <w:noBreakHyphen/>
      </w:r>
      <w:r w:rsidRPr="002B1A95">
        <w:t>195.02, the person has not died in the line of duty for the purposes of subsection</w:t>
      </w:r>
      <w:r w:rsidR="002B1A95" w:rsidRPr="002B1A95">
        <w:t> </w:t>
      </w:r>
      <w:r w:rsidRPr="002B1A95">
        <w:t>302</w:t>
      </w:r>
      <w:r w:rsidR="00782250">
        <w:noBreakHyphen/>
      </w:r>
      <w:r w:rsidRPr="002B1A95">
        <w:t>195(3) of the Act.</w:t>
      </w:r>
    </w:p>
    <w:p w:rsidR="00EF666B" w:rsidRPr="002B1A95" w:rsidRDefault="00EF666B" w:rsidP="00EF666B">
      <w:pPr>
        <w:pStyle w:val="notetext"/>
      </w:pPr>
      <w:r w:rsidRPr="002B1A95">
        <w:t>Note 3:</w:t>
      </w:r>
      <w:r w:rsidRPr="002B1A95">
        <w:tab/>
        <w:t>This section is relevant for working out whether an individual is a death benefits dependant of a person under section</w:t>
      </w:r>
      <w:r w:rsidR="002B1A95" w:rsidRPr="002B1A95">
        <w:t> </w:t>
      </w:r>
      <w:r w:rsidRPr="002B1A95">
        <w:t>302</w:t>
      </w:r>
      <w:r w:rsidR="00782250">
        <w:noBreakHyphen/>
      </w:r>
      <w:r w:rsidRPr="002B1A95">
        <w:t>195 of the Act.</w:t>
      </w:r>
    </w:p>
    <w:p w:rsidR="00EF666B" w:rsidRPr="002B1A95" w:rsidRDefault="00EF666B" w:rsidP="00EF666B">
      <w:pPr>
        <w:pStyle w:val="SubsectionHead"/>
      </w:pPr>
      <w:r w:rsidRPr="002B1A95">
        <w:t>Performance of duties</w:t>
      </w:r>
    </w:p>
    <w:p w:rsidR="00EF666B" w:rsidRPr="002B1A95" w:rsidRDefault="00EF666B" w:rsidP="00EF666B">
      <w:pPr>
        <w:pStyle w:val="subsection"/>
      </w:pPr>
      <w:r w:rsidRPr="002B1A95">
        <w:tab/>
        <w:t>(2)</w:t>
      </w:r>
      <w:r w:rsidRPr="002B1A95">
        <w:tab/>
        <w:t>A circumstance is that the deceased person died while performing the duties of a military or police person.</w:t>
      </w:r>
    </w:p>
    <w:p w:rsidR="00EF666B" w:rsidRPr="002B1A95" w:rsidRDefault="00EF666B" w:rsidP="00EF666B">
      <w:pPr>
        <w:pStyle w:val="subsection"/>
      </w:pPr>
      <w:r w:rsidRPr="002B1A95">
        <w:tab/>
        <w:t>(3)</w:t>
      </w:r>
      <w:r w:rsidRPr="002B1A95">
        <w:tab/>
        <w:t>A circumstance is that:</w:t>
      </w:r>
    </w:p>
    <w:p w:rsidR="00EF666B" w:rsidRPr="002B1A95" w:rsidRDefault="00EF666B" w:rsidP="00EF666B">
      <w:pPr>
        <w:pStyle w:val="paragraph"/>
      </w:pPr>
      <w:r w:rsidRPr="002B1A95">
        <w:tab/>
        <w:t>(a)</w:t>
      </w:r>
      <w:r w:rsidRPr="002B1A95">
        <w:tab/>
        <w:t>the deceased person was off duty at the time of the deceased person’s death; and</w:t>
      </w:r>
    </w:p>
    <w:p w:rsidR="00EF666B" w:rsidRPr="002B1A95" w:rsidRDefault="00EF666B" w:rsidP="00EF666B">
      <w:pPr>
        <w:pStyle w:val="paragraph"/>
      </w:pPr>
      <w:r w:rsidRPr="002B1A95">
        <w:tab/>
        <w:t>(b)</w:t>
      </w:r>
      <w:r w:rsidRPr="002B1A95">
        <w:tab/>
        <w:t>the deceased person’s death occurred:</w:t>
      </w:r>
    </w:p>
    <w:p w:rsidR="00EF666B" w:rsidRPr="002B1A95" w:rsidRDefault="00EF666B" w:rsidP="00EF666B">
      <w:pPr>
        <w:pStyle w:val="paragraphsub"/>
      </w:pPr>
      <w:r w:rsidRPr="002B1A95">
        <w:tab/>
        <w:t>(i)</w:t>
      </w:r>
      <w:r w:rsidRPr="002B1A95">
        <w:tab/>
        <w:t>in the course of an attempt to arrest a suspected offender; or</w:t>
      </w:r>
    </w:p>
    <w:p w:rsidR="00EF666B" w:rsidRPr="002B1A95" w:rsidRDefault="00EF666B" w:rsidP="00EF666B">
      <w:pPr>
        <w:pStyle w:val="paragraphsub"/>
      </w:pPr>
      <w:r w:rsidRPr="002B1A95">
        <w:tab/>
        <w:t>(ii)</w:t>
      </w:r>
      <w:r w:rsidRPr="002B1A95">
        <w:tab/>
        <w:t>in the course of an attempt to prevent an offence; or</w:t>
      </w:r>
    </w:p>
    <w:p w:rsidR="00EF666B" w:rsidRPr="002B1A95" w:rsidRDefault="00EF666B" w:rsidP="00EF666B">
      <w:pPr>
        <w:pStyle w:val="paragraphsub"/>
      </w:pPr>
      <w:r w:rsidRPr="002B1A95">
        <w:tab/>
        <w:t>(iii)</w:t>
      </w:r>
      <w:r w:rsidRPr="002B1A95">
        <w:tab/>
        <w:t>in the course of an attempt to rescue a person; or</w:t>
      </w:r>
    </w:p>
    <w:p w:rsidR="00EF666B" w:rsidRPr="002B1A95" w:rsidRDefault="00EF666B" w:rsidP="00EF666B">
      <w:pPr>
        <w:pStyle w:val="paragraphsub"/>
      </w:pPr>
      <w:r w:rsidRPr="002B1A95">
        <w:tab/>
        <w:t>(iv)</w:t>
      </w:r>
      <w:r w:rsidRPr="002B1A95">
        <w:tab/>
        <w:t>while the deceased person was travelling to a place of work as a result of being recalled to duty.</w:t>
      </w:r>
    </w:p>
    <w:p w:rsidR="00EF666B" w:rsidRPr="002B1A95" w:rsidRDefault="00EF666B" w:rsidP="00EF666B">
      <w:pPr>
        <w:pStyle w:val="SubsectionHead"/>
      </w:pPr>
      <w:r w:rsidRPr="002B1A95">
        <w:t>Injury</w:t>
      </w:r>
    </w:p>
    <w:p w:rsidR="00EF666B" w:rsidRPr="002B1A95" w:rsidRDefault="00EF666B" w:rsidP="00EF666B">
      <w:pPr>
        <w:pStyle w:val="subsection"/>
      </w:pPr>
      <w:r w:rsidRPr="002B1A95">
        <w:tab/>
        <w:t>(4)</w:t>
      </w:r>
      <w:r w:rsidRPr="002B1A95">
        <w:tab/>
        <w:t>A circumstance is that the deceased person:</w:t>
      </w:r>
    </w:p>
    <w:p w:rsidR="00EF666B" w:rsidRPr="002B1A95" w:rsidRDefault="00EF666B" w:rsidP="00EF666B">
      <w:pPr>
        <w:pStyle w:val="paragraph"/>
      </w:pPr>
      <w:r w:rsidRPr="002B1A95">
        <w:tab/>
        <w:t>(a)</w:t>
      </w:r>
      <w:r w:rsidRPr="002B1A95">
        <w:tab/>
        <w:t>died within 12 months after sustaining an injury; and</w:t>
      </w:r>
    </w:p>
    <w:p w:rsidR="00EF666B" w:rsidRPr="002B1A95" w:rsidRDefault="00EF666B" w:rsidP="00EF666B">
      <w:pPr>
        <w:pStyle w:val="paragraph"/>
      </w:pPr>
      <w:r w:rsidRPr="002B1A95">
        <w:tab/>
        <w:t>(b)</w:t>
      </w:r>
      <w:r w:rsidRPr="002B1A95">
        <w:tab/>
        <w:t>died as a result of sustaining the injury; and</w:t>
      </w:r>
    </w:p>
    <w:p w:rsidR="00EF666B" w:rsidRPr="002B1A95" w:rsidRDefault="00EF666B" w:rsidP="00EF666B">
      <w:pPr>
        <w:pStyle w:val="paragraph"/>
      </w:pPr>
      <w:r w:rsidRPr="002B1A95">
        <w:tab/>
        <w:t>(c)</w:t>
      </w:r>
      <w:r w:rsidRPr="002B1A95">
        <w:tab/>
        <w:t>sustained the injury while performing the duties of a military or police person.</w:t>
      </w:r>
    </w:p>
    <w:p w:rsidR="00EF666B" w:rsidRPr="002B1A95" w:rsidRDefault="00EF666B" w:rsidP="00EF666B">
      <w:pPr>
        <w:pStyle w:val="subsection"/>
      </w:pPr>
      <w:r w:rsidRPr="002B1A95">
        <w:tab/>
        <w:t>(5)</w:t>
      </w:r>
      <w:r w:rsidRPr="002B1A95">
        <w:tab/>
        <w:t>A circumstance is that the deceased person:</w:t>
      </w:r>
    </w:p>
    <w:p w:rsidR="00EF666B" w:rsidRPr="002B1A95" w:rsidRDefault="00EF666B" w:rsidP="00EF666B">
      <w:pPr>
        <w:pStyle w:val="paragraph"/>
      </w:pPr>
      <w:r w:rsidRPr="002B1A95">
        <w:tab/>
        <w:t>(a)</w:t>
      </w:r>
      <w:r w:rsidRPr="002B1A95">
        <w:tab/>
        <w:t>was off duty at the time of sustaining an injury; and</w:t>
      </w:r>
    </w:p>
    <w:p w:rsidR="00EF666B" w:rsidRPr="002B1A95" w:rsidRDefault="00EF666B" w:rsidP="00EF666B">
      <w:pPr>
        <w:pStyle w:val="paragraph"/>
      </w:pPr>
      <w:r w:rsidRPr="002B1A95">
        <w:tab/>
        <w:t>(b)</w:t>
      </w:r>
      <w:r w:rsidRPr="002B1A95">
        <w:tab/>
        <w:t>sustained the injury:</w:t>
      </w:r>
    </w:p>
    <w:p w:rsidR="00EF666B" w:rsidRPr="002B1A95" w:rsidRDefault="00EF666B" w:rsidP="00EF666B">
      <w:pPr>
        <w:pStyle w:val="paragraphsub"/>
      </w:pPr>
      <w:r w:rsidRPr="002B1A95">
        <w:tab/>
        <w:t>(i)</w:t>
      </w:r>
      <w:r w:rsidRPr="002B1A95">
        <w:tab/>
        <w:t>in the course of an attempt to arrest a suspected offender; or</w:t>
      </w:r>
    </w:p>
    <w:p w:rsidR="00EF666B" w:rsidRPr="002B1A95" w:rsidRDefault="00EF666B" w:rsidP="00EF666B">
      <w:pPr>
        <w:pStyle w:val="paragraphsub"/>
      </w:pPr>
      <w:r w:rsidRPr="002B1A95">
        <w:tab/>
        <w:t>(ii)</w:t>
      </w:r>
      <w:r w:rsidRPr="002B1A95">
        <w:tab/>
        <w:t>in the course of an attempt to prevent an offence; or</w:t>
      </w:r>
    </w:p>
    <w:p w:rsidR="00EF666B" w:rsidRPr="002B1A95" w:rsidRDefault="00EF666B" w:rsidP="00EF666B">
      <w:pPr>
        <w:pStyle w:val="paragraphsub"/>
      </w:pPr>
      <w:r w:rsidRPr="002B1A95">
        <w:tab/>
        <w:t>(iii)</w:t>
      </w:r>
      <w:r w:rsidRPr="002B1A95">
        <w:tab/>
        <w:t>in the course of an attempt to rescue a person; or</w:t>
      </w:r>
    </w:p>
    <w:p w:rsidR="00EF666B" w:rsidRPr="002B1A95" w:rsidRDefault="00EF666B" w:rsidP="00EF666B">
      <w:pPr>
        <w:pStyle w:val="paragraphsub"/>
      </w:pPr>
      <w:r w:rsidRPr="002B1A95">
        <w:lastRenderedPageBreak/>
        <w:tab/>
        <w:t>(iv)</w:t>
      </w:r>
      <w:r w:rsidRPr="002B1A95">
        <w:tab/>
        <w:t>while the deceased person was travelling to a place of work as a result of being recalled to duty; and</w:t>
      </w:r>
    </w:p>
    <w:p w:rsidR="00EF666B" w:rsidRPr="002B1A95" w:rsidRDefault="00EF666B" w:rsidP="00EF666B">
      <w:pPr>
        <w:pStyle w:val="paragraph"/>
      </w:pPr>
      <w:r w:rsidRPr="002B1A95">
        <w:tab/>
        <w:t>(c)</w:t>
      </w:r>
      <w:r w:rsidRPr="002B1A95">
        <w:tab/>
        <w:t>died within 12 months after sustaining the injury; and</w:t>
      </w:r>
    </w:p>
    <w:p w:rsidR="00EF666B" w:rsidRPr="002B1A95" w:rsidRDefault="00EF666B" w:rsidP="00EF666B">
      <w:pPr>
        <w:pStyle w:val="paragraph"/>
      </w:pPr>
      <w:r w:rsidRPr="002B1A95">
        <w:tab/>
        <w:t>(d)</w:t>
      </w:r>
      <w:r w:rsidRPr="002B1A95">
        <w:tab/>
        <w:t>died as a result of sustaining the injury.</w:t>
      </w:r>
    </w:p>
    <w:p w:rsidR="00EF666B" w:rsidRPr="002B1A95" w:rsidRDefault="00EF666B" w:rsidP="00EF666B">
      <w:pPr>
        <w:pStyle w:val="SubsectionHead"/>
      </w:pPr>
      <w:r w:rsidRPr="002B1A95">
        <w:t>Overseas service</w:t>
      </w:r>
    </w:p>
    <w:p w:rsidR="00EF666B" w:rsidRPr="002B1A95" w:rsidRDefault="00EF666B" w:rsidP="00EF666B">
      <w:pPr>
        <w:pStyle w:val="subsection"/>
      </w:pPr>
      <w:r w:rsidRPr="002B1A95">
        <w:tab/>
        <w:t>(6)</w:t>
      </w:r>
      <w:r w:rsidRPr="002B1A95">
        <w:tab/>
        <w:t>A circumstance is that the deceased person:</w:t>
      </w:r>
    </w:p>
    <w:p w:rsidR="00EF666B" w:rsidRPr="002B1A95" w:rsidRDefault="00EF666B" w:rsidP="00EF666B">
      <w:pPr>
        <w:pStyle w:val="paragraph"/>
      </w:pPr>
      <w:r w:rsidRPr="002B1A95">
        <w:tab/>
        <w:t>(a)</w:t>
      </w:r>
      <w:r w:rsidRPr="002B1A95">
        <w:tab/>
        <w:t>was a member of the Defence Force; and</w:t>
      </w:r>
    </w:p>
    <w:p w:rsidR="00EF666B" w:rsidRPr="002B1A95" w:rsidRDefault="00EF666B" w:rsidP="00EF666B">
      <w:pPr>
        <w:pStyle w:val="paragraph"/>
      </w:pPr>
      <w:r w:rsidRPr="002B1A95">
        <w:tab/>
        <w:t>(b)</w:t>
      </w:r>
      <w:r w:rsidRPr="002B1A95">
        <w:tab/>
        <w:t>died while serving overseas, if the service was:</w:t>
      </w:r>
    </w:p>
    <w:p w:rsidR="00EF666B" w:rsidRPr="002B1A95" w:rsidRDefault="00EF666B" w:rsidP="00EF666B">
      <w:pPr>
        <w:pStyle w:val="paragraphsub"/>
      </w:pPr>
      <w:r w:rsidRPr="002B1A95">
        <w:tab/>
        <w:t>(i)</w:t>
      </w:r>
      <w:r w:rsidRPr="002B1A95">
        <w:tab/>
        <w:t>warlike service mentioned in paragraph</w:t>
      </w:r>
      <w:r w:rsidR="002B1A95" w:rsidRPr="002B1A95">
        <w:t> </w:t>
      </w:r>
      <w:r w:rsidRPr="002B1A95">
        <w:t xml:space="preserve">6(1)(a) of the </w:t>
      </w:r>
      <w:r w:rsidRPr="002B1A95">
        <w:rPr>
          <w:i/>
          <w:iCs/>
        </w:rPr>
        <w:t>Military Rehabilitation and Compensation Act 2004</w:t>
      </w:r>
      <w:r w:rsidRPr="002B1A95">
        <w:t>; or</w:t>
      </w:r>
    </w:p>
    <w:p w:rsidR="00EF666B" w:rsidRPr="002B1A95" w:rsidRDefault="00EF666B" w:rsidP="00EF666B">
      <w:pPr>
        <w:pStyle w:val="paragraphsub"/>
      </w:pPr>
      <w:r w:rsidRPr="002B1A95">
        <w:tab/>
        <w:t>(ii)</w:t>
      </w:r>
      <w:r w:rsidRPr="002B1A95">
        <w:tab/>
        <w:t>non</w:t>
      </w:r>
      <w:r w:rsidR="00782250">
        <w:noBreakHyphen/>
      </w:r>
      <w:r w:rsidRPr="002B1A95">
        <w:t>warlike service mentioned in paragraph</w:t>
      </w:r>
      <w:r w:rsidR="002B1A95" w:rsidRPr="002B1A95">
        <w:t> </w:t>
      </w:r>
      <w:r w:rsidRPr="002B1A95">
        <w:t xml:space="preserve">6(1)(b) of the </w:t>
      </w:r>
      <w:r w:rsidRPr="002B1A95">
        <w:rPr>
          <w:i/>
          <w:iCs/>
        </w:rPr>
        <w:t>Military Rehabilitation and Compensation Act 2004</w:t>
      </w:r>
      <w:r w:rsidRPr="002B1A95">
        <w:t>.</w:t>
      </w:r>
    </w:p>
    <w:p w:rsidR="00EF666B" w:rsidRPr="002B1A95" w:rsidRDefault="00EF666B" w:rsidP="00EF666B">
      <w:pPr>
        <w:pStyle w:val="subsection"/>
      </w:pPr>
      <w:r w:rsidRPr="002B1A95">
        <w:tab/>
        <w:t>(7)</w:t>
      </w:r>
      <w:r w:rsidRPr="002B1A95">
        <w:tab/>
        <w:t>A circumstance is that the deceased person:</w:t>
      </w:r>
    </w:p>
    <w:p w:rsidR="00EF666B" w:rsidRPr="002B1A95" w:rsidRDefault="00EF666B" w:rsidP="00EF666B">
      <w:pPr>
        <w:pStyle w:val="paragraph"/>
      </w:pPr>
      <w:r w:rsidRPr="002B1A95">
        <w:tab/>
        <w:t>(a)</w:t>
      </w:r>
      <w:r w:rsidRPr="002B1A95">
        <w:tab/>
        <w:t xml:space="preserve">was a member of the Australian Federal Police or a protective service officer within the meaning of the </w:t>
      </w:r>
      <w:r w:rsidRPr="002B1A95">
        <w:rPr>
          <w:i/>
          <w:iCs/>
        </w:rPr>
        <w:t>Australian Federal Police Act 1979</w:t>
      </w:r>
      <w:r w:rsidRPr="002B1A95">
        <w:t>; and</w:t>
      </w:r>
    </w:p>
    <w:p w:rsidR="00EF666B" w:rsidRPr="002B1A95" w:rsidRDefault="00EF666B" w:rsidP="00EF666B">
      <w:pPr>
        <w:pStyle w:val="paragraph"/>
      </w:pPr>
      <w:r w:rsidRPr="002B1A95">
        <w:tab/>
        <w:t>(b)</w:t>
      </w:r>
      <w:r w:rsidRPr="002B1A95">
        <w:tab/>
        <w:t>died while serving overseas, if the service was:</w:t>
      </w:r>
    </w:p>
    <w:p w:rsidR="00EF666B" w:rsidRPr="002B1A95" w:rsidRDefault="00EF666B" w:rsidP="00EF666B">
      <w:pPr>
        <w:pStyle w:val="paragraphsub"/>
      </w:pPr>
      <w:r w:rsidRPr="002B1A95">
        <w:tab/>
        <w:t>(i)</w:t>
      </w:r>
      <w:r w:rsidRPr="002B1A95">
        <w:tab/>
        <w:t>at a place specified in a determination under subsection</w:t>
      </w:r>
      <w:r w:rsidR="002B1A95" w:rsidRPr="002B1A95">
        <w:t> </w:t>
      </w:r>
      <w:r w:rsidRPr="002B1A95">
        <w:t xml:space="preserve">40H(1) of the </w:t>
      </w:r>
      <w:r w:rsidRPr="002B1A95">
        <w:rPr>
          <w:i/>
          <w:iCs/>
        </w:rPr>
        <w:t>Australian Federal Police Act 1979</w:t>
      </w:r>
      <w:r w:rsidRPr="002B1A95">
        <w:t>; and</w:t>
      </w:r>
    </w:p>
    <w:p w:rsidR="00EF666B" w:rsidRPr="002B1A95" w:rsidRDefault="00EF666B" w:rsidP="00EF666B">
      <w:pPr>
        <w:pStyle w:val="paragraphsub"/>
      </w:pPr>
      <w:r w:rsidRPr="002B1A95">
        <w:tab/>
        <w:t>(ii)</w:t>
      </w:r>
      <w:r w:rsidRPr="002B1A95">
        <w:tab/>
        <w:t>on a peace</w:t>
      </w:r>
      <w:r w:rsidR="00782250">
        <w:noBreakHyphen/>
      </w:r>
      <w:r w:rsidRPr="002B1A95">
        <w:t>keeping or capacity</w:t>
      </w:r>
      <w:r w:rsidR="00782250">
        <w:noBreakHyphen/>
      </w:r>
      <w:r w:rsidRPr="002B1A95">
        <w:t>building mission.</w:t>
      </w:r>
    </w:p>
    <w:p w:rsidR="00EF666B" w:rsidRPr="002B1A95" w:rsidRDefault="00EF666B" w:rsidP="00EF666B">
      <w:pPr>
        <w:pStyle w:val="subsection"/>
      </w:pPr>
      <w:r w:rsidRPr="002B1A95">
        <w:tab/>
        <w:t>(8)</w:t>
      </w:r>
      <w:r w:rsidRPr="002B1A95">
        <w:tab/>
        <w:t>A circumstance is that the deceased person:</w:t>
      </w:r>
    </w:p>
    <w:p w:rsidR="00EF666B" w:rsidRPr="002B1A95" w:rsidRDefault="00EF666B" w:rsidP="00EF666B">
      <w:pPr>
        <w:pStyle w:val="paragraph"/>
      </w:pPr>
      <w:r w:rsidRPr="002B1A95">
        <w:tab/>
        <w:t>(a)</w:t>
      </w:r>
      <w:r w:rsidRPr="002B1A95">
        <w:tab/>
        <w:t>was a member of a State or Territory police force; and</w:t>
      </w:r>
    </w:p>
    <w:p w:rsidR="00EF666B" w:rsidRPr="002B1A95" w:rsidRDefault="00EF666B" w:rsidP="00EF666B">
      <w:pPr>
        <w:pStyle w:val="paragraph"/>
      </w:pPr>
      <w:r w:rsidRPr="002B1A95">
        <w:tab/>
        <w:t>(b)</w:t>
      </w:r>
      <w:r w:rsidRPr="002B1A95">
        <w:tab/>
        <w:t>died while serving overseas, if the service was:</w:t>
      </w:r>
    </w:p>
    <w:p w:rsidR="00EF666B" w:rsidRPr="002B1A95" w:rsidRDefault="00EF666B" w:rsidP="00EF666B">
      <w:pPr>
        <w:pStyle w:val="paragraphsub"/>
      </w:pPr>
      <w:r w:rsidRPr="002B1A95">
        <w:tab/>
        <w:t>(i)</w:t>
      </w:r>
      <w:r w:rsidRPr="002B1A95">
        <w:tab/>
        <w:t>undertaken as a special member of the Australian Federal Police under section</w:t>
      </w:r>
      <w:r w:rsidR="002B1A95" w:rsidRPr="002B1A95">
        <w:t> </w:t>
      </w:r>
      <w:r w:rsidRPr="002B1A95">
        <w:t xml:space="preserve">40E of the </w:t>
      </w:r>
      <w:r w:rsidRPr="002B1A95">
        <w:rPr>
          <w:i/>
          <w:iCs/>
        </w:rPr>
        <w:t>Australian Federal Police Act 1979</w:t>
      </w:r>
      <w:r w:rsidRPr="002B1A95">
        <w:t>; and</w:t>
      </w:r>
    </w:p>
    <w:p w:rsidR="00EF666B" w:rsidRPr="002B1A95" w:rsidRDefault="00EF666B" w:rsidP="00EF666B">
      <w:pPr>
        <w:pStyle w:val="paragraphsub"/>
      </w:pPr>
      <w:r w:rsidRPr="002B1A95">
        <w:tab/>
        <w:t>(ii)</w:t>
      </w:r>
      <w:r w:rsidRPr="002B1A95">
        <w:tab/>
        <w:t>on a peace</w:t>
      </w:r>
      <w:r w:rsidR="00782250">
        <w:noBreakHyphen/>
      </w:r>
      <w:r w:rsidRPr="002B1A95">
        <w:t>keeping or capacity</w:t>
      </w:r>
      <w:r w:rsidR="00782250">
        <w:noBreakHyphen/>
      </w:r>
      <w:r w:rsidRPr="002B1A95">
        <w:t>building mission.</w:t>
      </w:r>
    </w:p>
    <w:p w:rsidR="00EF666B" w:rsidRPr="002B1A95" w:rsidRDefault="00EF666B" w:rsidP="00EF666B">
      <w:pPr>
        <w:pStyle w:val="SubsectionHead"/>
      </w:pPr>
      <w:r w:rsidRPr="002B1A95">
        <w:t>Consequences of duties</w:t>
      </w:r>
    </w:p>
    <w:p w:rsidR="00EF666B" w:rsidRPr="002B1A95" w:rsidRDefault="00EF666B" w:rsidP="00EF666B">
      <w:pPr>
        <w:pStyle w:val="subsection"/>
      </w:pPr>
      <w:r w:rsidRPr="002B1A95">
        <w:tab/>
        <w:t>(9)</w:t>
      </w:r>
      <w:r w:rsidRPr="002B1A95">
        <w:tab/>
        <w:t>A circumstance is that, as a result of action taken because the deceased person was a military or police person, the deceased person sustained an injury from which the deceased person died:</w:t>
      </w:r>
    </w:p>
    <w:p w:rsidR="00EF666B" w:rsidRPr="002B1A95" w:rsidRDefault="00EF666B" w:rsidP="00EF666B">
      <w:pPr>
        <w:pStyle w:val="paragraph"/>
      </w:pPr>
      <w:r w:rsidRPr="002B1A95">
        <w:tab/>
        <w:t>(a)</w:t>
      </w:r>
      <w:r w:rsidRPr="002B1A95">
        <w:tab/>
        <w:t>immediately; or</w:t>
      </w:r>
    </w:p>
    <w:p w:rsidR="00EF666B" w:rsidRPr="002B1A95" w:rsidRDefault="00EF666B" w:rsidP="00EF666B">
      <w:pPr>
        <w:pStyle w:val="paragraph"/>
      </w:pPr>
      <w:r w:rsidRPr="002B1A95">
        <w:tab/>
        <w:t>(b)</w:t>
      </w:r>
      <w:r w:rsidRPr="002B1A95">
        <w:tab/>
        <w:t>within 12 months after sustaining the injury.</w:t>
      </w:r>
    </w:p>
    <w:p w:rsidR="00EF666B" w:rsidRPr="002B1A95" w:rsidRDefault="00EF666B" w:rsidP="00EF666B">
      <w:pPr>
        <w:pStyle w:val="notetext"/>
      </w:pPr>
      <w:r w:rsidRPr="002B1A95">
        <w:t>Example:</w:t>
      </w:r>
      <w:r w:rsidRPr="002B1A95">
        <w:rPr>
          <w:i/>
        </w:rPr>
        <w:tab/>
      </w:r>
      <w:r w:rsidRPr="002B1A95">
        <w:t>The deceased person was killed in retaliation for an action taken in the deceased person’s capacity as a member of a State or Territory police force.</w:t>
      </w:r>
    </w:p>
    <w:p w:rsidR="00EF666B" w:rsidRPr="002B1A95" w:rsidRDefault="00EF666B" w:rsidP="00EF666B">
      <w:pPr>
        <w:pStyle w:val="SubsectionHead"/>
      </w:pPr>
      <w:r w:rsidRPr="002B1A95">
        <w:t>Uncertainty about circumstances of death</w:t>
      </w:r>
    </w:p>
    <w:p w:rsidR="00EF666B" w:rsidRPr="002B1A95" w:rsidRDefault="00EF666B" w:rsidP="00EF666B">
      <w:pPr>
        <w:pStyle w:val="subsection"/>
      </w:pPr>
      <w:r w:rsidRPr="002B1A95">
        <w:tab/>
        <w:t>(10)</w:t>
      </w:r>
      <w:r w:rsidRPr="002B1A95">
        <w:tab/>
        <w:t>A circumstance is that:</w:t>
      </w:r>
    </w:p>
    <w:p w:rsidR="00EF666B" w:rsidRPr="002B1A95" w:rsidRDefault="00EF666B" w:rsidP="00EF666B">
      <w:pPr>
        <w:pStyle w:val="paragraph"/>
      </w:pPr>
      <w:r w:rsidRPr="002B1A95">
        <w:tab/>
        <w:t>(a)</w:t>
      </w:r>
      <w:r w:rsidRPr="002B1A95">
        <w:tab/>
        <w:t xml:space="preserve">the deceased person has died in a circumstance in any of </w:t>
      </w:r>
      <w:r w:rsidR="002B1A95" w:rsidRPr="002B1A95">
        <w:t>subsections (</w:t>
      </w:r>
      <w:r w:rsidRPr="002B1A95">
        <w:t>2) to (9); and</w:t>
      </w:r>
    </w:p>
    <w:p w:rsidR="00EF666B" w:rsidRPr="002B1A95" w:rsidRDefault="00EF666B" w:rsidP="00EF666B">
      <w:pPr>
        <w:pStyle w:val="paragraph"/>
      </w:pPr>
      <w:r w:rsidRPr="002B1A95">
        <w:tab/>
        <w:t>(b)</w:t>
      </w:r>
      <w:r w:rsidRPr="002B1A95">
        <w:tab/>
        <w:t>it is not certain, after reasonable inquiry, whether the deceased person has died in a circumstance specified in section 302</w:t>
      </w:r>
      <w:r w:rsidR="00782250">
        <w:noBreakHyphen/>
      </w:r>
      <w:r w:rsidRPr="002B1A95">
        <w:t>195.02.</w:t>
      </w:r>
    </w:p>
    <w:p w:rsidR="00EF666B" w:rsidRPr="002B1A95" w:rsidRDefault="00EF666B" w:rsidP="00EF666B">
      <w:pPr>
        <w:pStyle w:val="SubsectionHead"/>
      </w:pPr>
      <w:r w:rsidRPr="002B1A95">
        <w:lastRenderedPageBreak/>
        <w:t>Interpretation</w:t>
      </w:r>
    </w:p>
    <w:p w:rsidR="00EF666B" w:rsidRPr="002B1A95" w:rsidRDefault="00EF666B" w:rsidP="00EF666B">
      <w:pPr>
        <w:pStyle w:val="subsection"/>
      </w:pPr>
      <w:r w:rsidRPr="002B1A95">
        <w:tab/>
        <w:t>(11)</w:t>
      </w:r>
      <w:r w:rsidRPr="002B1A95">
        <w:tab/>
        <w:t>For the purposes of this section and section 302</w:t>
      </w:r>
      <w:r w:rsidR="00782250">
        <w:noBreakHyphen/>
      </w:r>
      <w:r w:rsidRPr="002B1A95">
        <w:t>195.02, the time when a person is off duty includes a time when the person is:</w:t>
      </w:r>
    </w:p>
    <w:p w:rsidR="00EF666B" w:rsidRPr="002B1A95" w:rsidRDefault="00EF666B" w:rsidP="00EF666B">
      <w:pPr>
        <w:pStyle w:val="paragraph"/>
      </w:pPr>
      <w:r w:rsidRPr="002B1A95">
        <w:tab/>
        <w:t>(a)</w:t>
      </w:r>
      <w:r w:rsidRPr="002B1A95">
        <w:tab/>
        <w:t>travelling to or from the person’s place of work; or</w:t>
      </w:r>
    </w:p>
    <w:p w:rsidR="00EF666B" w:rsidRPr="002B1A95" w:rsidRDefault="00EF666B" w:rsidP="00EF666B">
      <w:pPr>
        <w:pStyle w:val="paragraph"/>
      </w:pPr>
      <w:r w:rsidRPr="002B1A95">
        <w:tab/>
        <w:t>(b)</w:t>
      </w:r>
      <w:r w:rsidRPr="002B1A95">
        <w:tab/>
        <w:t>on a rostered day off work; or</w:t>
      </w:r>
    </w:p>
    <w:p w:rsidR="00EF666B" w:rsidRPr="002B1A95" w:rsidRDefault="00EF666B" w:rsidP="00EF666B">
      <w:pPr>
        <w:pStyle w:val="paragraph"/>
      </w:pPr>
      <w:r w:rsidRPr="002B1A95">
        <w:tab/>
        <w:t>(c)</w:t>
      </w:r>
      <w:r w:rsidRPr="002B1A95">
        <w:tab/>
        <w:t>on leave from work.</w:t>
      </w:r>
    </w:p>
    <w:p w:rsidR="00EF666B" w:rsidRPr="002B1A95" w:rsidRDefault="00EF666B" w:rsidP="00EF666B">
      <w:pPr>
        <w:pStyle w:val="ActHead5"/>
      </w:pPr>
      <w:bookmarkStart w:id="112" w:name="_Toc49765292"/>
      <w:r w:rsidRPr="00411C46">
        <w:rPr>
          <w:rStyle w:val="CharSectno"/>
        </w:rPr>
        <w:t>302</w:t>
      </w:r>
      <w:r w:rsidR="00782250" w:rsidRPr="00411C46">
        <w:rPr>
          <w:rStyle w:val="CharSectno"/>
        </w:rPr>
        <w:noBreakHyphen/>
      </w:r>
      <w:r w:rsidRPr="00411C46">
        <w:rPr>
          <w:rStyle w:val="CharSectno"/>
        </w:rPr>
        <w:t>195.02</w:t>
      </w:r>
      <w:r w:rsidRPr="002B1A95">
        <w:t xml:space="preserve">  Circumstances in which a person has not died in the line of duty</w:t>
      </w:r>
      <w:bookmarkEnd w:id="112"/>
    </w:p>
    <w:p w:rsidR="00EF666B" w:rsidRPr="002B1A95" w:rsidRDefault="00EF666B" w:rsidP="00EF666B">
      <w:pPr>
        <w:pStyle w:val="subsection"/>
      </w:pPr>
      <w:r w:rsidRPr="002B1A95">
        <w:tab/>
        <w:t>(1)</w:t>
      </w:r>
      <w:r w:rsidRPr="002B1A95">
        <w:tab/>
        <w:t>For the purposes of subsection</w:t>
      </w:r>
      <w:r w:rsidR="002B1A95" w:rsidRPr="002B1A95">
        <w:t> </w:t>
      </w:r>
      <w:r w:rsidRPr="002B1A95">
        <w:t>302</w:t>
      </w:r>
      <w:r w:rsidR="00782250">
        <w:noBreakHyphen/>
      </w:r>
      <w:r w:rsidRPr="002B1A95">
        <w:t>195(3) of the Act, this section specifies different circumstances in which, despite section 302.195.01, a military or police person</w:t>
      </w:r>
      <w:r w:rsidRPr="002B1A95">
        <w:rPr>
          <w:b/>
          <w:i/>
        </w:rPr>
        <w:t xml:space="preserve"> </w:t>
      </w:r>
      <w:r w:rsidRPr="002B1A95">
        <w:t xml:space="preserve">(the </w:t>
      </w:r>
      <w:r w:rsidRPr="002B1A95">
        <w:rPr>
          <w:b/>
          <w:i/>
        </w:rPr>
        <w:t>deceased person</w:t>
      </w:r>
      <w:r w:rsidRPr="002B1A95">
        <w:t>) has not died in the line of duty.</w:t>
      </w:r>
    </w:p>
    <w:p w:rsidR="00EF666B" w:rsidRPr="002B1A95" w:rsidRDefault="00EF666B" w:rsidP="00EF666B">
      <w:pPr>
        <w:pStyle w:val="SubsectionHead"/>
      </w:pPr>
      <w:r w:rsidRPr="002B1A95">
        <w:t>Off duty</w:t>
      </w:r>
    </w:p>
    <w:p w:rsidR="00EF666B" w:rsidRPr="002B1A95" w:rsidRDefault="00EF666B" w:rsidP="00EF666B">
      <w:pPr>
        <w:pStyle w:val="subsection"/>
      </w:pPr>
      <w:r w:rsidRPr="002B1A95">
        <w:tab/>
        <w:t>(2)</w:t>
      </w:r>
      <w:r w:rsidRPr="002B1A95">
        <w:tab/>
        <w:t>A circumstance is that:</w:t>
      </w:r>
    </w:p>
    <w:p w:rsidR="00EF666B" w:rsidRPr="002B1A95" w:rsidRDefault="00EF666B" w:rsidP="00EF666B">
      <w:pPr>
        <w:pStyle w:val="paragraph"/>
      </w:pPr>
      <w:r w:rsidRPr="002B1A95">
        <w:tab/>
        <w:t>(a)</w:t>
      </w:r>
      <w:r w:rsidRPr="002B1A95">
        <w:tab/>
        <w:t>the deceased person was off duty at the time of death; and</w:t>
      </w:r>
    </w:p>
    <w:p w:rsidR="00EF666B" w:rsidRPr="002B1A95" w:rsidRDefault="00EF666B" w:rsidP="00EF666B">
      <w:pPr>
        <w:pStyle w:val="paragraph"/>
      </w:pPr>
      <w:r w:rsidRPr="002B1A95">
        <w:tab/>
        <w:t>(b)</w:t>
      </w:r>
      <w:r w:rsidRPr="002B1A95">
        <w:tab/>
        <w:t>none of subsections 302</w:t>
      </w:r>
      <w:r w:rsidR="00782250">
        <w:noBreakHyphen/>
      </w:r>
      <w:r w:rsidRPr="002B1A95">
        <w:t>195.01(3), (6), (7), (8) and (9) apply.</w:t>
      </w:r>
    </w:p>
    <w:p w:rsidR="00EF666B" w:rsidRPr="002B1A95" w:rsidRDefault="00EF666B" w:rsidP="00EF666B">
      <w:pPr>
        <w:pStyle w:val="subsection"/>
      </w:pPr>
      <w:r w:rsidRPr="002B1A95">
        <w:tab/>
        <w:t>(3)</w:t>
      </w:r>
      <w:r w:rsidRPr="002B1A95">
        <w:tab/>
        <w:t>A circumstance is that:</w:t>
      </w:r>
    </w:p>
    <w:p w:rsidR="00EF666B" w:rsidRPr="002B1A95" w:rsidRDefault="00EF666B" w:rsidP="00EF666B">
      <w:pPr>
        <w:pStyle w:val="paragraph"/>
      </w:pPr>
      <w:r w:rsidRPr="002B1A95">
        <w:tab/>
        <w:t>(a)</w:t>
      </w:r>
      <w:r w:rsidRPr="002B1A95">
        <w:tab/>
        <w:t>the deceased person died as a result of sustaining an injury; and</w:t>
      </w:r>
    </w:p>
    <w:p w:rsidR="00EF666B" w:rsidRPr="002B1A95" w:rsidRDefault="00EF666B" w:rsidP="00EF666B">
      <w:pPr>
        <w:pStyle w:val="paragraph"/>
      </w:pPr>
      <w:r w:rsidRPr="002B1A95">
        <w:tab/>
        <w:t>(b)</w:t>
      </w:r>
      <w:r w:rsidRPr="002B1A95">
        <w:tab/>
        <w:t>the deceased person was off duty at the time of sustaining the injury; and</w:t>
      </w:r>
    </w:p>
    <w:p w:rsidR="00EF666B" w:rsidRPr="002B1A95" w:rsidRDefault="00EF666B" w:rsidP="00EF666B">
      <w:pPr>
        <w:pStyle w:val="paragraph"/>
      </w:pPr>
      <w:r w:rsidRPr="002B1A95">
        <w:tab/>
        <w:t>(c)</w:t>
      </w:r>
      <w:r w:rsidRPr="002B1A95">
        <w:tab/>
        <w:t>none of subsections 302</w:t>
      </w:r>
      <w:r w:rsidR="00782250">
        <w:noBreakHyphen/>
      </w:r>
      <w:r w:rsidRPr="002B1A95">
        <w:t>195.01(5), (6), (7), (8) and (9) apply.</w:t>
      </w:r>
    </w:p>
    <w:p w:rsidR="00EF666B" w:rsidRPr="002B1A95" w:rsidRDefault="00EF666B" w:rsidP="00EF666B">
      <w:pPr>
        <w:pStyle w:val="SubsectionHead"/>
      </w:pPr>
      <w:r w:rsidRPr="002B1A95">
        <w:t>Incidental activity</w:t>
      </w:r>
    </w:p>
    <w:p w:rsidR="00EF666B" w:rsidRPr="002B1A95" w:rsidRDefault="00EF666B" w:rsidP="00EF666B">
      <w:pPr>
        <w:pStyle w:val="subsection"/>
      </w:pPr>
      <w:r w:rsidRPr="002B1A95">
        <w:tab/>
        <w:t>(4)</w:t>
      </w:r>
      <w:r w:rsidRPr="002B1A95">
        <w:tab/>
        <w:t>A circumstance is that:</w:t>
      </w:r>
    </w:p>
    <w:p w:rsidR="00EF666B" w:rsidRPr="002B1A95" w:rsidRDefault="00EF666B" w:rsidP="00EF666B">
      <w:pPr>
        <w:pStyle w:val="paragraph"/>
      </w:pPr>
      <w:r w:rsidRPr="002B1A95">
        <w:tab/>
        <w:t>(a)</w:t>
      </w:r>
      <w:r w:rsidRPr="002B1A95">
        <w:tab/>
        <w:t>the deceased person’s death related to an activity that was not directly related to the performance of the deceased person’s duties; and</w:t>
      </w:r>
    </w:p>
    <w:p w:rsidR="00EF666B" w:rsidRPr="002B1A95" w:rsidRDefault="00EF666B" w:rsidP="00EF666B">
      <w:pPr>
        <w:pStyle w:val="paragraph"/>
      </w:pPr>
      <w:r w:rsidRPr="002B1A95">
        <w:tab/>
        <w:t>(b)</w:t>
      </w:r>
      <w:r w:rsidRPr="002B1A95">
        <w:tab/>
        <w:t>none of subsections 302</w:t>
      </w:r>
      <w:r w:rsidR="00782250">
        <w:noBreakHyphen/>
      </w:r>
      <w:r w:rsidRPr="002B1A95">
        <w:t>195.01(6), (7) and (8) apply.</w:t>
      </w:r>
    </w:p>
    <w:p w:rsidR="00EF666B" w:rsidRPr="002B1A95" w:rsidRDefault="00EF666B" w:rsidP="00EF666B">
      <w:pPr>
        <w:pStyle w:val="notetext"/>
      </w:pPr>
      <w:r w:rsidRPr="002B1A95">
        <w:t>Example</w:t>
      </w:r>
      <w:r w:rsidRPr="002B1A95">
        <w:rPr>
          <w:i/>
        </w:rPr>
        <w:t>:</w:t>
      </w:r>
      <w:r w:rsidRPr="002B1A95">
        <w:rPr>
          <w:i/>
        </w:rPr>
        <w:tab/>
      </w:r>
      <w:r w:rsidRPr="002B1A95">
        <w:t>The person’s death related to undertaking a sporting activity.</w:t>
      </w:r>
    </w:p>
    <w:p w:rsidR="00EF666B" w:rsidRPr="002B1A95" w:rsidRDefault="00EF666B" w:rsidP="00EF666B">
      <w:pPr>
        <w:pStyle w:val="SubsectionHead"/>
      </w:pPr>
      <w:r w:rsidRPr="002B1A95">
        <w:t>Death after retirement</w:t>
      </w:r>
    </w:p>
    <w:p w:rsidR="00EF666B" w:rsidRPr="002B1A95" w:rsidRDefault="00EF666B" w:rsidP="00EF666B">
      <w:pPr>
        <w:pStyle w:val="subsection"/>
      </w:pPr>
      <w:r w:rsidRPr="002B1A95">
        <w:tab/>
        <w:t>(5)</w:t>
      </w:r>
      <w:r w:rsidRPr="002B1A95">
        <w:tab/>
        <w:t>A circumstance is that:</w:t>
      </w:r>
    </w:p>
    <w:p w:rsidR="00EF666B" w:rsidRPr="002B1A95" w:rsidRDefault="00EF666B" w:rsidP="00EF666B">
      <w:pPr>
        <w:pStyle w:val="paragraph"/>
      </w:pPr>
      <w:r w:rsidRPr="002B1A95">
        <w:tab/>
        <w:t>(a)</w:t>
      </w:r>
      <w:r w:rsidRPr="002B1A95">
        <w:tab/>
        <w:t>the deceased person died after retiring from being a military or police person; and</w:t>
      </w:r>
    </w:p>
    <w:p w:rsidR="00EF666B" w:rsidRPr="002B1A95" w:rsidRDefault="00EF666B" w:rsidP="00EF666B">
      <w:pPr>
        <w:pStyle w:val="paragraph"/>
      </w:pPr>
      <w:r w:rsidRPr="002B1A95">
        <w:tab/>
        <w:t>(b)</w:t>
      </w:r>
      <w:r w:rsidRPr="002B1A95">
        <w:tab/>
        <w:t>none of subsections 302</w:t>
      </w:r>
      <w:r w:rsidR="00782250">
        <w:noBreakHyphen/>
      </w:r>
      <w:r w:rsidRPr="002B1A95">
        <w:t>195.01(4), (5) and (9) apply.</w:t>
      </w:r>
    </w:p>
    <w:p w:rsidR="00EF666B" w:rsidRPr="002B1A95" w:rsidRDefault="00EF666B" w:rsidP="00EF666B">
      <w:pPr>
        <w:pStyle w:val="SubsectionHead"/>
      </w:pPr>
      <w:r w:rsidRPr="002B1A95">
        <w:t>Suicide</w:t>
      </w:r>
    </w:p>
    <w:p w:rsidR="00EF666B" w:rsidRPr="002B1A95" w:rsidRDefault="00EF666B" w:rsidP="00EF666B">
      <w:pPr>
        <w:pStyle w:val="subsection"/>
      </w:pPr>
      <w:r w:rsidRPr="002B1A95">
        <w:tab/>
        <w:t>(6)</w:t>
      </w:r>
      <w:r w:rsidRPr="002B1A95">
        <w:tab/>
        <w:t>A circumstance is that the deceased person died as a result of committing suicide.</w:t>
      </w:r>
    </w:p>
    <w:p w:rsidR="00EF666B" w:rsidRPr="002B1A95" w:rsidRDefault="00EF666B" w:rsidP="00EF666B">
      <w:pPr>
        <w:pStyle w:val="SubsectionHead"/>
      </w:pPr>
      <w:r w:rsidRPr="002B1A95">
        <w:t>Natural causes or disease</w:t>
      </w:r>
    </w:p>
    <w:p w:rsidR="00EF666B" w:rsidRPr="002B1A95" w:rsidRDefault="00EF666B" w:rsidP="00EF666B">
      <w:pPr>
        <w:pStyle w:val="subsection"/>
      </w:pPr>
      <w:r w:rsidRPr="002B1A95">
        <w:tab/>
        <w:t>(7)</w:t>
      </w:r>
      <w:r w:rsidRPr="002B1A95">
        <w:tab/>
        <w:t>A circumstance is that:</w:t>
      </w:r>
    </w:p>
    <w:p w:rsidR="00EF666B" w:rsidRPr="002B1A95" w:rsidRDefault="00EF666B" w:rsidP="00EF666B">
      <w:pPr>
        <w:pStyle w:val="paragraph"/>
      </w:pPr>
      <w:r w:rsidRPr="002B1A95">
        <w:tab/>
        <w:t>(a)</w:t>
      </w:r>
      <w:r w:rsidRPr="002B1A95">
        <w:tab/>
        <w:t>the deceased person died as a result of:</w:t>
      </w:r>
    </w:p>
    <w:p w:rsidR="00EF666B" w:rsidRPr="002B1A95" w:rsidRDefault="00EF666B" w:rsidP="00EF666B">
      <w:pPr>
        <w:pStyle w:val="paragraphsub"/>
      </w:pPr>
      <w:r w:rsidRPr="002B1A95">
        <w:lastRenderedPageBreak/>
        <w:tab/>
        <w:t>(i)</w:t>
      </w:r>
      <w:r w:rsidRPr="002B1A95">
        <w:tab/>
        <w:t>natural causes; or</w:t>
      </w:r>
    </w:p>
    <w:p w:rsidR="00EF666B" w:rsidRPr="002B1A95" w:rsidRDefault="00EF666B" w:rsidP="00EF666B">
      <w:pPr>
        <w:pStyle w:val="paragraphsub"/>
      </w:pPr>
      <w:r w:rsidRPr="002B1A95">
        <w:tab/>
        <w:t>(ii)</w:t>
      </w:r>
      <w:r w:rsidRPr="002B1A95">
        <w:tab/>
        <w:t>an illness or disease; and</w:t>
      </w:r>
    </w:p>
    <w:p w:rsidR="00EF666B" w:rsidRPr="002B1A95" w:rsidRDefault="00EF666B" w:rsidP="00EF666B">
      <w:pPr>
        <w:pStyle w:val="paragraph"/>
      </w:pPr>
      <w:r w:rsidRPr="002B1A95">
        <w:tab/>
        <w:t>(b)</w:t>
      </w:r>
      <w:r w:rsidRPr="002B1A95">
        <w:tab/>
        <w:t>none of subsections 302</w:t>
      </w:r>
      <w:r w:rsidR="00782250">
        <w:noBreakHyphen/>
      </w:r>
      <w:r w:rsidRPr="002B1A95">
        <w:t>195.01(6), (7) and (8) apply.</w:t>
      </w:r>
    </w:p>
    <w:p w:rsidR="00EF666B" w:rsidRPr="002B1A95" w:rsidRDefault="00EF666B" w:rsidP="00EF666B">
      <w:pPr>
        <w:pStyle w:val="ActHead5"/>
      </w:pPr>
      <w:bookmarkStart w:id="113" w:name="_Toc49765293"/>
      <w:r w:rsidRPr="00411C46">
        <w:rPr>
          <w:rStyle w:val="CharSectno"/>
        </w:rPr>
        <w:t>302</w:t>
      </w:r>
      <w:r w:rsidR="00782250" w:rsidRPr="00411C46">
        <w:rPr>
          <w:rStyle w:val="CharSectno"/>
        </w:rPr>
        <w:noBreakHyphen/>
      </w:r>
      <w:r w:rsidRPr="00411C46">
        <w:rPr>
          <w:rStyle w:val="CharSectno"/>
        </w:rPr>
        <w:t>200.01</w:t>
      </w:r>
      <w:r w:rsidRPr="002B1A95">
        <w:t xml:space="preserve">  What is an interdependency relationship—matters to be taken into account</w:t>
      </w:r>
      <w:bookmarkEnd w:id="113"/>
    </w:p>
    <w:p w:rsidR="00EF666B" w:rsidRPr="002B1A95" w:rsidRDefault="00EF666B" w:rsidP="00EF666B">
      <w:pPr>
        <w:pStyle w:val="subsection"/>
      </w:pPr>
      <w:r w:rsidRPr="002B1A95">
        <w:rPr>
          <w:color w:val="000000"/>
        </w:rPr>
        <w:tab/>
        <w:t>(1)</w:t>
      </w:r>
      <w:r w:rsidRPr="002B1A95">
        <w:rPr>
          <w:color w:val="000000"/>
        </w:rPr>
        <w:tab/>
        <w:t>For the purposes of paragraph</w:t>
      </w:r>
      <w:r w:rsidR="002B1A95" w:rsidRPr="002B1A95">
        <w:rPr>
          <w:color w:val="000000"/>
        </w:rPr>
        <w:t> </w:t>
      </w:r>
      <w:r w:rsidRPr="002B1A95">
        <w:rPr>
          <w:color w:val="000000"/>
        </w:rPr>
        <w:t>302</w:t>
      </w:r>
      <w:r w:rsidR="00782250">
        <w:rPr>
          <w:color w:val="000000"/>
        </w:rPr>
        <w:noBreakHyphen/>
      </w:r>
      <w:r w:rsidRPr="002B1A95">
        <w:rPr>
          <w:color w:val="000000"/>
        </w:rPr>
        <w:t xml:space="preserve">200(3)(a) of the Act, this section specifies matters that are to be taken into account in determining whether 2 persons have an interdependency relationship </w:t>
      </w:r>
      <w:r w:rsidRPr="002B1A95">
        <w:t>under section</w:t>
      </w:r>
      <w:r w:rsidR="002B1A95" w:rsidRPr="002B1A95">
        <w:t> </w:t>
      </w:r>
      <w:r w:rsidRPr="002B1A95">
        <w:t>302</w:t>
      </w:r>
      <w:r w:rsidR="00782250">
        <w:noBreakHyphen/>
      </w:r>
      <w:r w:rsidRPr="002B1A95">
        <w:t>200 of the Act</w:t>
      </w:r>
      <w:r w:rsidRPr="002B1A95">
        <w:rPr>
          <w:color w:val="000000"/>
        </w:rPr>
        <w:t>.</w:t>
      </w:r>
    </w:p>
    <w:p w:rsidR="00EF666B" w:rsidRPr="002B1A95" w:rsidRDefault="00EF666B" w:rsidP="00EF666B">
      <w:pPr>
        <w:pStyle w:val="subsection"/>
      </w:pPr>
      <w:r w:rsidRPr="002B1A95">
        <w:tab/>
        <w:t>(2)</w:t>
      </w:r>
      <w:r w:rsidRPr="002B1A95">
        <w:tab/>
        <w:t>The matters are:</w:t>
      </w:r>
    </w:p>
    <w:p w:rsidR="00EF666B" w:rsidRPr="002B1A95" w:rsidRDefault="00EF666B" w:rsidP="00EF666B">
      <w:pPr>
        <w:pStyle w:val="paragraph"/>
      </w:pPr>
      <w:r w:rsidRPr="002B1A95">
        <w:tab/>
        <w:t>(a)</w:t>
      </w:r>
      <w:r w:rsidRPr="002B1A95">
        <w:tab/>
        <w:t>all of the circumstances of the relationship between the persons, including (where relevant):</w:t>
      </w:r>
    </w:p>
    <w:p w:rsidR="00EF666B" w:rsidRPr="002B1A95" w:rsidRDefault="00EF666B" w:rsidP="00EF666B">
      <w:pPr>
        <w:pStyle w:val="paragraphsub"/>
      </w:pPr>
      <w:r w:rsidRPr="002B1A95">
        <w:rPr>
          <w:color w:val="000000"/>
        </w:rPr>
        <w:tab/>
        <w:t>(i)</w:t>
      </w:r>
      <w:r w:rsidRPr="002B1A95">
        <w:rPr>
          <w:color w:val="000000"/>
        </w:rPr>
        <w:tab/>
        <w:t>the duration of the relationship; and</w:t>
      </w:r>
    </w:p>
    <w:p w:rsidR="00EF666B" w:rsidRPr="002B1A95" w:rsidRDefault="00EF666B" w:rsidP="00EF666B">
      <w:pPr>
        <w:pStyle w:val="paragraphsub"/>
      </w:pPr>
      <w:r w:rsidRPr="002B1A95">
        <w:tab/>
        <w:t>(ii)</w:t>
      </w:r>
      <w:r w:rsidRPr="002B1A95">
        <w:tab/>
        <w:t>whether or not a sexual relationship exists; and</w:t>
      </w:r>
    </w:p>
    <w:p w:rsidR="00EF666B" w:rsidRPr="002B1A95" w:rsidRDefault="00EF666B" w:rsidP="00EF666B">
      <w:pPr>
        <w:pStyle w:val="paragraphsub"/>
      </w:pPr>
      <w:r w:rsidRPr="002B1A95">
        <w:tab/>
        <w:t>(iii)</w:t>
      </w:r>
      <w:r w:rsidRPr="002B1A95">
        <w:tab/>
        <w:t>the ownership, use and acquisition of property; and</w:t>
      </w:r>
    </w:p>
    <w:p w:rsidR="00EF666B" w:rsidRPr="002B1A95" w:rsidRDefault="00EF666B" w:rsidP="00EF666B">
      <w:pPr>
        <w:pStyle w:val="paragraphsub"/>
      </w:pPr>
      <w:r w:rsidRPr="002B1A95">
        <w:tab/>
        <w:t>(iv)</w:t>
      </w:r>
      <w:r w:rsidRPr="002B1A95">
        <w:tab/>
        <w:t>the degree of mutual commitment to a shared life; and</w:t>
      </w:r>
    </w:p>
    <w:p w:rsidR="00EF666B" w:rsidRPr="002B1A95" w:rsidRDefault="00EF666B" w:rsidP="00EF666B">
      <w:pPr>
        <w:pStyle w:val="paragraphsub"/>
      </w:pPr>
      <w:r w:rsidRPr="002B1A95">
        <w:tab/>
        <w:t>(v)</w:t>
      </w:r>
      <w:r w:rsidRPr="002B1A95">
        <w:tab/>
        <w:t>the care and support of children; and</w:t>
      </w:r>
    </w:p>
    <w:p w:rsidR="00EF666B" w:rsidRPr="002B1A95" w:rsidRDefault="00EF666B" w:rsidP="00EF666B">
      <w:pPr>
        <w:pStyle w:val="paragraphsub"/>
      </w:pPr>
      <w:r w:rsidRPr="002B1A95">
        <w:tab/>
        <w:t>(vi)</w:t>
      </w:r>
      <w:r w:rsidRPr="002B1A95">
        <w:tab/>
        <w:t>the reputation and public aspects of the relationship; and</w:t>
      </w:r>
    </w:p>
    <w:p w:rsidR="00EF666B" w:rsidRPr="002B1A95" w:rsidRDefault="00EF666B" w:rsidP="00EF666B">
      <w:pPr>
        <w:pStyle w:val="paragraphsub"/>
      </w:pPr>
      <w:r w:rsidRPr="002B1A95">
        <w:tab/>
        <w:t>(vii)</w:t>
      </w:r>
      <w:r w:rsidRPr="002B1A95">
        <w:tab/>
        <w:t>the degree of emotional support; and</w:t>
      </w:r>
    </w:p>
    <w:p w:rsidR="00EF666B" w:rsidRPr="002B1A95" w:rsidRDefault="00EF666B" w:rsidP="00EF666B">
      <w:pPr>
        <w:pStyle w:val="paragraphsub"/>
      </w:pPr>
      <w:r w:rsidRPr="002B1A95">
        <w:tab/>
        <w:t>(viii)</w:t>
      </w:r>
      <w:r w:rsidRPr="002B1A95">
        <w:tab/>
        <w:t>the extent to which the relationship is one of mere convenience; and</w:t>
      </w:r>
    </w:p>
    <w:p w:rsidR="00EF666B" w:rsidRPr="002B1A95" w:rsidRDefault="00EF666B" w:rsidP="00EF666B">
      <w:pPr>
        <w:pStyle w:val="paragraphsub"/>
      </w:pPr>
      <w:r w:rsidRPr="002B1A95">
        <w:tab/>
        <w:t>(ix)</w:t>
      </w:r>
      <w:r w:rsidRPr="002B1A95">
        <w:tab/>
        <w:t>any evidence suggesting that the parties intend the relationship to be permanent; and</w:t>
      </w:r>
    </w:p>
    <w:p w:rsidR="00EF666B" w:rsidRPr="002B1A95" w:rsidRDefault="00EF666B" w:rsidP="00EF666B">
      <w:pPr>
        <w:pStyle w:val="paragraph"/>
      </w:pPr>
      <w:r w:rsidRPr="002B1A95">
        <w:rPr>
          <w:color w:val="000000"/>
        </w:rPr>
        <w:tab/>
        <w:t>(b)</w:t>
      </w:r>
      <w:r w:rsidRPr="002B1A95">
        <w:rPr>
          <w:color w:val="000000"/>
        </w:rPr>
        <w:tab/>
        <w:t>the existence of a statutory declaration signed by one of the persons to the effect that the person is, or (in the case of a statutory declaration made after the end of the relationship) was, in an interdependency relationship with the other person.</w:t>
      </w:r>
    </w:p>
    <w:p w:rsidR="00EF666B" w:rsidRPr="002B1A95" w:rsidRDefault="00EF666B" w:rsidP="00EF666B">
      <w:pPr>
        <w:pStyle w:val="ActHead5"/>
      </w:pPr>
      <w:bookmarkStart w:id="114" w:name="_Toc49765294"/>
      <w:r w:rsidRPr="00411C46">
        <w:rPr>
          <w:rStyle w:val="CharSectno"/>
        </w:rPr>
        <w:t>302</w:t>
      </w:r>
      <w:r w:rsidR="00782250" w:rsidRPr="00411C46">
        <w:rPr>
          <w:rStyle w:val="CharSectno"/>
        </w:rPr>
        <w:noBreakHyphen/>
      </w:r>
      <w:r w:rsidRPr="00411C46">
        <w:rPr>
          <w:rStyle w:val="CharSectno"/>
        </w:rPr>
        <w:t>200.02</w:t>
      </w:r>
      <w:r w:rsidRPr="002B1A95">
        <w:t xml:space="preserve">  What is an interdependency relationship—existence of relationship</w:t>
      </w:r>
      <w:bookmarkEnd w:id="114"/>
    </w:p>
    <w:p w:rsidR="00EF666B" w:rsidRPr="002B1A95" w:rsidRDefault="00EF666B" w:rsidP="00EF666B">
      <w:pPr>
        <w:pStyle w:val="subsection"/>
      </w:pPr>
      <w:r w:rsidRPr="002B1A95">
        <w:tab/>
        <w:t>(1)</w:t>
      </w:r>
      <w:r w:rsidRPr="002B1A95">
        <w:tab/>
        <w:t>For the purposes of paragraph</w:t>
      </w:r>
      <w:r w:rsidR="002B1A95" w:rsidRPr="002B1A95">
        <w:t> </w:t>
      </w:r>
      <w:r w:rsidRPr="002B1A95">
        <w:t>302</w:t>
      </w:r>
      <w:r w:rsidR="00782250">
        <w:noBreakHyphen/>
      </w:r>
      <w:r w:rsidRPr="002B1A95">
        <w:t>200(3)(b) of the Act, this section specifies circumstances in which 2 persons have, or do not have, an interdependency relationship under section</w:t>
      </w:r>
      <w:r w:rsidR="002B1A95" w:rsidRPr="002B1A95">
        <w:t> </w:t>
      </w:r>
      <w:r w:rsidRPr="002B1A95">
        <w:t>302</w:t>
      </w:r>
      <w:r w:rsidR="00782250">
        <w:noBreakHyphen/>
      </w:r>
      <w:r w:rsidRPr="002B1A95">
        <w:t>200 of the Act.</w:t>
      </w:r>
    </w:p>
    <w:p w:rsidR="00EF666B" w:rsidRPr="002B1A95" w:rsidRDefault="00EF666B" w:rsidP="00EF666B">
      <w:pPr>
        <w:pStyle w:val="SubsectionHead"/>
      </w:pPr>
      <w:r w:rsidRPr="002B1A95">
        <w:t>Interdependency relationship</w:t>
      </w:r>
    </w:p>
    <w:p w:rsidR="00EF666B" w:rsidRPr="002B1A95" w:rsidRDefault="00EF666B" w:rsidP="00EF666B">
      <w:pPr>
        <w:pStyle w:val="subsection"/>
      </w:pPr>
      <w:r w:rsidRPr="002B1A95">
        <w:tab/>
        <w:t>(2)</w:t>
      </w:r>
      <w:r w:rsidRPr="002B1A95">
        <w:tab/>
        <w:t>Two persons have an interdependency relationship if:</w:t>
      </w:r>
    </w:p>
    <w:p w:rsidR="00EF666B" w:rsidRPr="002B1A95" w:rsidRDefault="00EF666B" w:rsidP="00EF666B">
      <w:pPr>
        <w:pStyle w:val="paragraph"/>
      </w:pPr>
      <w:r w:rsidRPr="002B1A95">
        <w:rPr>
          <w:color w:val="000000"/>
        </w:rPr>
        <w:tab/>
        <w:t>(a)</w:t>
      </w:r>
      <w:r w:rsidRPr="002B1A95">
        <w:rPr>
          <w:color w:val="000000"/>
        </w:rPr>
        <w:tab/>
        <w:t>they satisfy the requirements of paragraphs 302</w:t>
      </w:r>
      <w:r w:rsidR="00782250">
        <w:rPr>
          <w:color w:val="000000"/>
        </w:rPr>
        <w:noBreakHyphen/>
      </w:r>
      <w:r w:rsidRPr="002B1A95">
        <w:rPr>
          <w:color w:val="000000"/>
        </w:rPr>
        <w:t>200(1)(a) to (c) of the Act; and</w:t>
      </w:r>
    </w:p>
    <w:p w:rsidR="00EF666B" w:rsidRPr="002B1A95" w:rsidRDefault="00EF666B" w:rsidP="00EF666B">
      <w:pPr>
        <w:pStyle w:val="paragraph"/>
      </w:pPr>
      <w:r w:rsidRPr="002B1A95">
        <w:tab/>
        <w:t>(b)</w:t>
      </w:r>
      <w:r w:rsidRPr="002B1A95">
        <w:tab/>
        <w:t>one or both of them provides the other with support and care of a type and quality normally provided in a close personal relationship, rather than by a mere friend or flatmate.</w:t>
      </w:r>
    </w:p>
    <w:p w:rsidR="00EF666B" w:rsidRPr="002B1A95" w:rsidRDefault="00EF666B" w:rsidP="00EF666B">
      <w:pPr>
        <w:pStyle w:val="notetext"/>
      </w:pPr>
      <w:r w:rsidRPr="002B1A95">
        <w:t>Note:</w:t>
      </w:r>
      <w:r w:rsidRPr="002B1A95">
        <w:tab/>
        <w:t>For example, care normally provided in a close personal relationship rather than by a friend or flatmate includes the following:</w:t>
      </w:r>
    </w:p>
    <w:p w:rsidR="00EF666B" w:rsidRPr="002B1A95" w:rsidRDefault="00EF666B" w:rsidP="00EF666B">
      <w:pPr>
        <w:pStyle w:val="notepara"/>
      </w:pPr>
      <w:r w:rsidRPr="002B1A95">
        <w:t>(a)</w:t>
      </w:r>
      <w:r w:rsidRPr="002B1A95">
        <w:tab/>
        <w:t>significant care provided for the other person when the other person is unwell;</w:t>
      </w:r>
    </w:p>
    <w:p w:rsidR="00EF666B" w:rsidRPr="002B1A95" w:rsidRDefault="00EF666B" w:rsidP="00EF666B">
      <w:pPr>
        <w:pStyle w:val="notepara"/>
      </w:pPr>
      <w:r w:rsidRPr="002B1A95">
        <w:t>(b)</w:t>
      </w:r>
      <w:r w:rsidRPr="002B1A95">
        <w:tab/>
        <w:t>significant care provided for the other person when the other person is suffering emotionally.</w:t>
      </w:r>
    </w:p>
    <w:p w:rsidR="00EF666B" w:rsidRPr="002B1A95" w:rsidRDefault="00EF666B" w:rsidP="00EF666B">
      <w:pPr>
        <w:pStyle w:val="subsection"/>
      </w:pPr>
      <w:r w:rsidRPr="002B1A95">
        <w:lastRenderedPageBreak/>
        <w:tab/>
        <w:t>(3)</w:t>
      </w:r>
      <w:r w:rsidRPr="002B1A95">
        <w:tab/>
        <w:t>Two persons have an interdependency relationship if:</w:t>
      </w:r>
    </w:p>
    <w:p w:rsidR="00EF666B" w:rsidRPr="002B1A95" w:rsidRDefault="00EF666B" w:rsidP="00EF666B">
      <w:pPr>
        <w:pStyle w:val="paragraph"/>
      </w:pPr>
      <w:r w:rsidRPr="002B1A95">
        <w:rPr>
          <w:color w:val="000000"/>
        </w:rPr>
        <w:tab/>
        <w:t>(a)</w:t>
      </w:r>
      <w:r w:rsidRPr="002B1A95">
        <w:rPr>
          <w:color w:val="000000"/>
        </w:rPr>
        <w:tab/>
        <w:t>they have a close personal relationship; and</w:t>
      </w:r>
    </w:p>
    <w:p w:rsidR="00EF666B" w:rsidRPr="002B1A95" w:rsidRDefault="00EF666B" w:rsidP="00EF666B">
      <w:pPr>
        <w:pStyle w:val="paragraph"/>
      </w:pPr>
      <w:r w:rsidRPr="002B1A95">
        <w:tab/>
        <w:t>(b)</w:t>
      </w:r>
      <w:r w:rsidRPr="002B1A95">
        <w:tab/>
        <w:t>they do not satisfy one or more of the other requirements set out in subsection</w:t>
      </w:r>
      <w:r w:rsidR="002B1A95" w:rsidRPr="002B1A95">
        <w:t> </w:t>
      </w:r>
      <w:r w:rsidRPr="002B1A95">
        <w:t>302</w:t>
      </w:r>
      <w:r w:rsidR="00782250">
        <w:noBreakHyphen/>
      </w:r>
      <w:r w:rsidRPr="002B1A95">
        <w:t>200(1) of the Act; and</w:t>
      </w:r>
    </w:p>
    <w:p w:rsidR="00EF666B" w:rsidRPr="002B1A95" w:rsidRDefault="00EF666B" w:rsidP="00EF666B">
      <w:pPr>
        <w:pStyle w:val="paragraph"/>
      </w:pPr>
      <w:r w:rsidRPr="002B1A95">
        <w:tab/>
        <w:t>(c)</w:t>
      </w:r>
      <w:r w:rsidRPr="002B1A95">
        <w:tab/>
        <w:t>the reason they do not satisfy those requirements is that they are temporarily living apart.</w:t>
      </w:r>
    </w:p>
    <w:p w:rsidR="00EF666B" w:rsidRPr="002B1A95" w:rsidRDefault="00EF666B" w:rsidP="00EF666B">
      <w:pPr>
        <w:pStyle w:val="notetext"/>
        <w:rPr>
          <w:color w:val="000000"/>
        </w:rPr>
      </w:pPr>
      <w:r w:rsidRPr="002B1A95">
        <w:t>Note:</w:t>
      </w:r>
      <w:r w:rsidRPr="002B1A95">
        <w:tab/>
        <w:t xml:space="preserve">For example, 2 persons may satisfy </w:t>
      </w:r>
      <w:r w:rsidR="002B1A95" w:rsidRPr="002B1A95">
        <w:t>paragraph (</w:t>
      </w:r>
      <w:r w:rsidRPr="002B1A95">
        <w:t>c) if one</w:t>
      </w:r>
      <w:r w:rsidRPr="002B1A95">
        <w:rPr>
          <w:color w:val="000000"/>
        </w:rPr>
        <w:t xml:space="preserve"> of the </w:t>
      </w:r>
      <w:r w:rsidRPr="002B1A95">
        <w:t>persons</w:t>
      </w:r>
      <w:r w:rsidRPr="002B1A95">
        <w:rPr>
          <w:color w:val="000000"/>
        </w:rPr>
        <w:t xml:space="preserve"> is temporarily working overseas or is in gaol.</w:t>
      </w:r>
    </w:p>
    <w:p w:rsidR="00EF666B" w:rsidRPr="002B1A95" w:rsidRDefault="00EF666B" w:rsidP="00EF666B">
      <w:pPr>
        <w:pStyle w:val="subsection"/>
      </w:pPr>
      <w:r w:rsidRPr="002B1A95">
        <w:tab/>
        <w:t>(4)</w:t>
      </w:r>
      <w:r w:rsidRPr="002B1A95">
        <w:tab/>
        <w:t>Two persons have an interdependency relationship if:</w:t>
      </w:r>
    </w:p>
    <w:p w:rsidR="00EF666B" w:rsidRPr="002B1A95" w:rsidRDefault="00EF666B" w:rsidP="00EF666B">
      <w:pPr>
        <w:pStyle w:val="paragraph"/>
      </w:pPr>
      <w:r w:rsidRPr="002B1A95">
        <w:rPr>
          <w:color w:val="000000"/>
        </w:rPr>
        <w:tab/>
        <w:t>(a)</w:t>
      </w:r>
      <w:r w:rsidRPr="002B1A95">
        <w:rPr>
          <w:color w:val="000000"/>
        </w:rPr>
        <w:tab/>
        <w:t>they have a close personal relationship; and</w:t>
      </w:r>
    </w:p>
    <w:p w:rsidR="00EF666B" w:rsidRPr="002B1A95" w:rsidRDefault="00EF666B" w:rsidP="00EF666B">
      <w:pPr>
        <w:pStyle w:val="paragraph"/>
      </w:pPr>
      <w:r w:rsidRPr="002B1A95">
        <w:tab/>
        <w:t>(b)</w:t>
      </w:r>
      <w:r w:rsidRPr="002B1A95">
        <w:tab/>
        <w:t>they do not satisfy one or more of the other requirements set out in subsection</w:t>
      </w:r>
      <w:r w:rsidR="002B1A95" w:rsidRPr="002B1A95">
        <w:t> </w:t>
      </w:r>
      <w:r w:rsidRPr="002B1A95">
        <w:t>302</w:t>
      </w:r>
      <w:r w:rsidR="00782250">
        <w:noBreakHyphen/>
      </w:r>
      <w:r w:rsidRPr="002B1A95">
        <w:t>200(1) of the Act; and</w:t>
      </w:r>
    </w:p>
    <w:p w:rsidR="00EF666B" w:rsidRPr="002B1A95" w:rsidRDefault="00EF666B" w:rsidP="00EF666B">
      <w:pPr>
        <w:pStyle w:val="paragraph"/>
      </w:pPr>
      <w:r w:rsidRPr="002B1A95">
        <w:tab/>
        <w:t>(c)</w:t>
      </w:r>
      <w:r w:rsidRPr="002B1A95">
        <w:tab/>
        <w:t>the reason they do not satisfy those requirements is that either or both of them suffer from a disability.</w:t>
      </w:r>
    </w:p>
    <w:p w:rsidR="00EF666B" w:rsidRPr="002B1A95" w:rsidRDefault="00EF666B" w:rsidP="00EF666B">
      <w:pPr>
        <w:pStyle w:val="SubsectionHead"/>
      </w:pPr>
      <w:r w:rsidRPr="002B1A95">
        <w:t>No interdependency relationship</w:t>
      </w:r>
    </w:p>
    <w:p w:rsidR="00EF666B" w:rsidRPr="002B1A95" w:rsidRDefault="00EF666B" w:rsidP="00EF666B">
      <w:pPr>
        <w:pStyle w:val="subsection"/>
      </w:pPr>
      <w:r w:rsidRPr="002B1A95">
        <w:tab/>
        <w:t>(5)</w:t>
      </w:r>
      <w:r w:rsidRPr="002B1A95">
        <w:tab/>
        <w:t>Two persons do not have an interdependency relationship if one of them provides domestic support and personal care to the other:</w:t>
      </w:r>
    </w:p>
    <w:p w:rsidR="00EF666B" w:rsidRPr="002B1A95" w:rsidRDefault="00EF666B" w:rsidP="00EF666B">
      <w:pPr>
        <w:pStyle w:val="paragraph"/>
      </w:pPr>
      <w:r w:rsidRPr="002B1A95">
        <w:rPr>
          <w:color w:val="000000"/>
        </w:rPr>
        <w:tab/>
        <w:t>(a)</w:t>
      </w:r>
      <w:r w:rsidRPr="002B1A95">
        <w:rPr>
          <w:color w:val="000000"/>
        </w:rPr>
        <w:tab/>
        <w:t>under an employment contract or a contract for services; or</w:t>
      </w:r>
    </w:p>
    <w:p w:rsidR="00EF666B" w:rsidRPr="002B1A95" w:rsidRDefault="00EF666B" w:rsidP="00EF666B">
      <w:pPr>
        <w:pStyle w:val="paragraph"/>
      </w:pPr>
      <w:r w:rsidRPr="002B1A95">
        <w:tab/>
        <w:t>(b)</w:t>
      </w:r>
      <w:r w:rsidRPr="002B1A95">
        <w:tab/>
        <w:t>on behalf of another person or organisation such as a government agency, a body corporate or a benevolent or charitable organisation.</w:t>
      </w:r>
    </w:p>
    <w:p w:rsidR="00EF666B" w:rsidRPr="002B1A95" w:rsidRDefault="00EF666B" w:rsidP="00EF666B">
      <w:pPr>
        <w:pStyle w:val="ActHead3"/>
        <w:pageBreakBefore/>
        <w:rPr>
          <w:color w:val="000000"/>
        </w:rPr>
      </w:pPr>
      <w:bookmarkStart w:id="115" w:name="_Toc49765295"/>
      <w:r w:rsidRPr="00411C46">
        <w:rPr>
          <w:rStyle w:val="CharDivNo"/>
        </w:rPr>
        <w:lastRenderedPageBreak/>
        <w:t>Division</w:t>
      </w:r>
      <w:r w:rsidR="002B1A95" w:rsidRPr="00411C46">
        <w:rPr>
          <w:rStyle w:val="CharDivNo"/>
        </w:rPr>
        <w:t> </w:t>
      </w:r>
      <w:r w:rsidRPr="00411C46">
        <w:rPr>
          <w:rStyle w:val="CharDivNo"/>
        </w:rPr>
        <w:t>306</w:t>
      </w:r>
      <w:r w:rsidRPr="002B1A95">
        <w:rPr>
          <w:color w:val="000000"/>
        </w:rPr>
        <w:t>—</w:t>
      </w:r>
      <w:r w:rsidRPr="00411C46">
        <w:rPr>
          <w:rStyle w:val="CharDivText"/>
        </w:rPr>
        <w:t>Roll</w:t>
      </w:r>
      <w:r w:rsidR="00782250" w:rsidRPr="00411C46">
        <w:rPr>
          <w:rStyle w:val="CharDivText"/>
        </w:rPr>
        <w:noBreakHyphen/>
      </w:r>
      <w:r w:rsidRPr="00411C46">
        <w:rPr>
          <w:rStyle w:val="CharDivText"/>
        </w:rPr>
        <w:t>overs etc.</w:t>
      </w:r>
      <w:bookmarkEnd w:id="115"/>
    </w:p>
    <w:p w:rsidR="00EF666B" w:rsidRPr="002B1A95" w:rsidRDefault="00EF666B" w:rsidP="00EF666B">
      <w:pPr>
        <w:pStyle w:val="ActHead5"/>
      </w:pPr>
      <w:bookmarkStart w:id="116" w:name="_Toc49765296"/>
      <w:r w:rsidRPr="00411C46">
        <w:rPr>
          <w:rStyle w:val="CharSectno"/>
        </w:rPr>
        <w:t>306</w:t>
      </w:r>
      <w:r w:rsidR="00782250" w:rsidRPr="00411C46">
        <w:rPr>
          <w:rStyle w:val="CharSectno"/>
        </w:rPr>
        <w:noBreakHyphen/>
      </w:r>
      <w:r w:rsidRPr="00411C46">
        <w:rPr>
          <w:rStyle w:val="CharSectno"/>
        </w:rPr>
        <w:t>10.01</w:t>
      </w:r>
      <w:r w:rsidRPr="002B1A95">
        <w:t xml:space="preserve">  Roll</w:t>
      </w:r>
      <w:r w:rsidR="00782250">
        <w:noBreakHyphen/>
      </w:r>
      <w:r w:rsidRPr="002B1A95">
        <w:t>over superannuation benefit</w:t>
      </w:r>
      <w:bookmarkEnd w:id="116"/>
    </w:p>
    <w:p w:rsidR="00EF666B" w:rsidRPr="002B1A95" w:rsidRDefault="00EF666B" w:rsidP="00EF666B">
      <w:pPr>
        <w:pStyle w:val="subsection"/>
      </w:pPr>
      <w:r w:rsidRPr="002B1A95">
        <w:tab/>
      </w:r>
      <w:r w:rsidRPr="002B1A95">
        <w:tab/>
        <w:t>For the purposes of paragraph</w:t>
      </w:r>
      <w:r w:rsidR="002B1A95" w:rsidRPr="002B1A95">
        <w:t> </w:t>
      </w:r>
      <w:r w:rsidRPr="002B1A95">
        <w:t>306</w:t>
      </w:r>
      <w:r w:rsidR="00782250">
        <w:noBreakHyphen/>
      </w:r>
      <w:r w:rsidRPr="002B1A95">
        <w:t>10(b) of the Act, each of the following kinds of superannuation benefit is specified:</w:t>
      </w:r>
    </w:p>
    <w:p w:rsidR="00EF666B" w:rsidRPr="002B1A95" w:rsidRDefault="00EF666B" w:rsidP="00EF666B">
      <w:pPr>
        <w:pStyle w:val="paragraph"/>
      </w:pPr>
      <w:r w:rsidRPr="002B1A95">
        <w:tab/>
        <w:t>(a)</w:t>
      </w:r>
      <w:r w:rsidRPr="002B1A95">
        <w:tab/>
        <w:t>a superannuation death benefit, unless it is paid to an entitled recipient covered by subregulation</w:t>
      </w:r>
      <w:r w:rsidR="002B1A95" w:rsidRPr="002B1A95">
        <w:t> </w:t>
      </w:r>
      <w:r w:rsidRPr="002B1A95">
        <w:t>6.21(2A) of the SIS Regulations or subregulation</w:t>
      </w:r>
      <w:r w:rsidR="002B1A95" w:rsidRPr="002B1A95">
        <w:t> </w:t>
      </w:r>
      <w:r w:rsidRPr="002B1A95">
        <w:t>4.24(3A) of the RSA Regulations;</w:t>
      </w:r>
    </w:p>
    <w:p w:rsidR="00EF666B" w:rsidRPr="002B1A95" w:rsidRDefault="00EF666B" w:rsidP="00EF666B">
      <w:pPr>
        <w:pStyle w:val="paragraph"/>
      </w:pPr>
      <w:r w:rsidRPr="002B1A95">
        <w:tab/>
        <w:t>(b)</w:t>
      </w:r>
      <w:r w:rsidRPr="002B1A95">
        <w:tab/>
        <w:t>a benefit to which section</w:t>
      </w:r>
      <w:r w:rsidR="002B1A95" w:rsidRPr="002B1A95">
        <w:t> </w:t>
      </w:r>
      <w:r w:rsidRPr="002B1A95">
        <w:t>303</w:t>
      </w:r>
      <w:r w:rsidR="00782250">
        <w:noBreakHyphen/>
      </w:r>
      <w:r w:rsidRPr="002B1A95">
        <w:t>10 of the Act, or section</w:t>
      </w:r>
      <w:r w:rsidR="002B1A95" w:rsidRPr="002B1A95">
        <w:t> </w:t>
      </w:r>
      <w:r w:rsidRPr="002B1A95">
        <w:t>303</w:t>
      </w:r>
      <w:r w:rsidR="00782250">
        <w:noBreakHyphen/>
      </w:r>
      <w:r w:rsidRPr="002B1A95">
        <w:t xml:space="preserve">10 of the </w:t>
      </w:r>
      <w:r w:rsidRPr="002B1A95">
        <w:rPr>
          <w:i/>
        </w:rPr>
        <w:t>Income Tax (Transitional Provisions) Act 1997</w:t>
      </w:r>
      <w:r w:rsidRPr="002B1A95">
        <w:t>, applies.</w:t>
      </w:r>
    </w:p>
    <w:p w:rsidR="00EF666B" w:rsidRPr="002B1A95" w:rsidRDefault="00EF666B" w:rsidP="00EF666B">
      <w:pPr>
        <w:pStyle w:val="notetext"/>
      </w:pPr>
      <w:r w:rsidRPr="002B1A95">
        <w:t>Note:</w:t>
      </w:r>
      <w:r w:rsidRPr="002B1A95">
        <w:tab/>
        <w:t xml:space="preserve">These kinds of superannuation benefits are not </w:t>
      </w:r>
      <w:r w:rsidRPr="002B1A95">
        <w:rPr>
          <w:b/>
          <w:i/>
        </w:rPr>
        <w:t>roll</w:t>
      </w:r>
      <w:r w:rsidR="00782250">
        <w:rPr>
          <w:b/>
          <w:i/>
        </w:rPr>
        <w:noBreakHyphen/>
      </w:r>
      <w:r w:rsidRPr="002B1A95">
        <w:rPr>
          <w:b/>
          <w:i/>
        </w:rPr>
        <w:t>over superannuation benefits</w:t>
      </w:r>
      <w:r w:rsidRPr="002B1A95">
        <w:t xml:space="preserve"> (see section</w:t>
      </w:r>
      <w:r w:rsidR="002B1A95" w:rsidRPr="002B1A95">
        <w:t> </w:t>
      </w:r>
      <w:r w:rsidRPr="002B1A95">
        <w:t>306</w:t>
      </w:r>
      <w:r w:rsidR="00782250">
        <w:noBreakHyphen/>
      </w:r>
      <w:r w:rsidRPr="002B1A95">
        <w:t>10 of the Act).</w:t>
      </w:r>
    </w:p>
    <w:p w:rsidR="00EF666B" w:rsidRPr="002B1A95" w:rsidRDefault="00EF666B" w:rsidP="00EF666B">
      <w:pPr>
        <w:pStyle w:val="ActHead3"/>
        <w:pageBreakBefore/>
      </w:pPr>
      <w:bookmarkStart w:id="117" w:name="_Toc49765297"/>
      <w:r w:rsidRPr="00411C46">
        <w:rPr>
          <w:rStyle w:val="CharDivNo"/>
        </w:rPr>
        <w:lastRenderedPageBreak/>
        <w:t>Division</w:t>
      </w:r>
      <w:r w:rsidR="002B1A95" w:rsidRPr="00411C46">
        <w:rPr>
          <w:rStyle w:val="CharDivNo"/>
        </w:rPr>
        <w:t> </w:t>
      </w:r>
      <w:r w:rsidRPr="00411C46">
        <w:rPr>
          <w:rStyle w:val="CharDivNo"/>
        </w:rPr>
        <w:t>307</w:t>
      </w:r>
      <w:r w:rsidRPr="002B1A95">
        <w:rPr>
          <w:color w:val="000000"/>
        </w:rPr>
        <w:t>—</w:t>
      </w:r>
      <w:r w:rsidRPr="00411C46">
        <w:rPr>
          <w:rStyle w:val="CharDivText"/>
        </w:rPr>
        <w:t>Key concepts relating to superannuation benefits</w:t>
      </w:r>
      <w:bookmarkEnd w:id="117"/>
    </w:p>
    <w:p w:rsidR="00EF666B" w:rsidRPr="002B1A95" w:rsidRDefault="00EF666B" w:rsidP="00EF666B">
      <w:pPr>
        <w:pStyle w:val="ActHead4"/>
      </w:pPr>
      <w:bookmarkStart w:id="118" w:name="_Toc49765298"/>
      <w:r w:rsidRPr="00411C46">
        <w:rPr>
          <w:rStyle w:val="CharSubdNo"/>
        </w:rPr>
        <w:t>Subdivision</w:t>
      </w:r>
      <w:r w:rsidR="002B1A95" w:rsidRPr="00411C46">
        <w:rPr>
          <w:rStyle w:val="CharSubdNo"/>
        </w:rPr>
        <w:t> </w:t>
      </w:r>
      <w:r w:rsidRPr="00411C46">
        <w:rPr>
          <w:rStyle w:val="CharSubdNo"/>
        </w:rPr>
        <w:t>307</w:t>
      </w:r>
      <w:r w:rsidR="00782250" w:rsidRPr="00411C46">
        <w:rPr>
          <w:rStyle w:val="CharSubdNo"/>
        </w:rPr>
        <w:noBreakHyphen/>
      </w:r>
      <w:r w:rsidRPr="00411C46">
        <w:rPr>
          <w:rStyle w:val="CharSubdNo"/>
        </w:rPr>
        <w:t>B</w:t>
      </w:r>
      <w:r w:rsidRPr="002B1A95">
        <w:t>—</w:t>
      </w:r>
      <w:r w:rsidRPr="00411C46">
        <w:rPr>
          <w:rStyle w:val="CharSubdText"/>
        </w:rPr>
        <w:t>Superannuation lump sums and superannuation income stream benefits</w:t>
      </w:r>
      <w:bookmarkEnd w:id="118"/>
    </w:p>
    <w:p w:rsidR="00EF666B" w:rsidRPr="002B1A95" w:rsidRDefault="00EF666B" w:rsidP="00EF666B">
      <w:pPr>
        <w:pStyle w:val="ActHead5"/>
      </w:pPr>
      <w:bookmarkStart w:id="119" w:name="_Toc49765299"/>
      <w:r w:rsidRPr="00411C46">
        <w:rPr>
          <w:rStyle w:val="CharSectno"/>
        </w:rPr>
        <w:t>307</w:t>
      </w:r>
      <w:r w:rsidR="00782250" w:rsidRPr="00411C46">
        <w:rPr>
          <w:rStyle w:val="CharSectno"/>
        </w:rPr>
        <w:noBreakHyphen/>
      </w:r>
      <w:r w:rsidRPr="00411C46">
        <w:rPr>
          <w:rStyle w:val="CharSectno"/>
        </w:rPr>
        <w:t>70.01</w:t>
      </w:r>
      <w:r w:rsidRPr="002B1A95">
        <w:t xml:space="preserve">  Superannuation income stream benefits</w:t>
      </w:r>
      <w:bookmarkEnd w:id="119"/>
    </w:p>
    <w:p w:rsidR="00EF666B" w:rsidRPr="002B1A95" w:rsidRDefault="00EF666B" w:rsidP="00EF666B">
      <w:pPr>
        <w:pStyle w:val="subsection"/>
      </w:pPr>
      <w:r w:rsidRPr="002B1A95">
        <w:tab/>
      </w:r>
      <w:r w:rsidRPr="002B1A95">
        <w:tab/>
        <w:t>For the purposes of subsection</w:t>
      </w:r>
      <w:r w:rsidR="002B1A95" w:rsidRPr="002B1A95">
        <w:t> </w:t>
      </w:r>
      <w:r w:rsidRPr="002B1A95">
        <w:t>307</w:t>
      </w:r>
      <w:r w:rsidR="00782250">
        <w:noBreakHyphen/>
      </w:r>
      <w:r w:rsidRPr="002B1A95">
        <w:t xml:space="preserve">70(1) of the Act (definition of </w:t>
      </w:r>
      <w:r w:rsidRPr="002B1A95">
        <w:rPr>
          <w:b/>
          <w:i/>
        </w:rPr>
        <w:t>superannuation income stream benefit</w:t>
      </w:r>
      <w:r w:rsidRPr="002B1A95">
        <w:t>), all superannuation benefits are specified.</w:t>
      </w:r>
    </w:p>
    <w:p w:rsidR="00EF666B" w:rsidRPr="002B1A95" w:rsidRDefault="00EF666B" w:rsidP="00EF666B">
      <w:pPr>
        <w:pStyle w:val="ActHead5"/>
        <w:rPr>
          <w:i/>
        </w:rPr>
      </w:pPr>
      <w:bookmarkStart w:id="120" w:name="_Toc49765300"/>
      <w:r w:rsidRPr="00411C46">
        <w:rPr>
          <w:rStyle w:val="CharSectno"/>
        </w:rPr>
        <w:t>307</w:t>
      </w:r>
      <w:r w:rsidR="00782250" w:rsidRPr="00411C46">
        <w:rPr>
          <w:rStyle w:val="CharSectno"/>
        </w:rPr>
        <w:noBreakHyphen/>
      </w:r>
      <w:r w:rsidRPr="00411C46">
        <w:rPr>
          <w:rStyle w:val="CharSectno"/>
        </w:rPr>
        <w:t>70.02</w:t>
      </w:r>
      <w:r w:rsidRPr="002B1A95">
        <w:t xml:space="preserve">  Meaning of </w:t>
      </w:r>
      <w:r w:rsidRPr="002B1A95">
        <w:rPr>
          <w:i/>
        </w:rPr>
        <w:t>superannuation income stream</w:t>
      </w:r>
      <w:bookmarkEnd w:id="120"/>
    </w:p>
    <w:p w:rsidR="00EF666B" w:rsidRPr="002B1A95" w:rsidRDefault="00EF666B" w:rsidP="00EF666B">
      <w:pPr>
        <w:pStyle w:val="subsection"/>
      </w:pPr>
      <w:r w:rsidRPr="002B1A95">
        <w:tab/>
        <w:t>(1)</w:t>
      </w:r>
      <w:r w:rsidRPr="002B1A95">
        <w:tab/>
        <w:t>For the purposes of subsection</w:t>
      </w:r>
      <w:r w:rsidR="002B1A95" w:rsidRPr="002B1A95">
        <w:t> </w:t>
      </w:r>
      <w:r w:rsidRPr="002B1A95">
        <w:t>307</w:t>
      </w:r>
      <w:r w:rsidR="00782250">
        <w:noBreakHyphen/>
      </w:r>
      <w:r w:rsidRPr="002B1A95">
        <w:t xml:space="preserve">70(2) of the Act, a </w:t>
      </w:r>
      <w:r w:rsidRPr="002B1A95">
        <w:rPr>
          <w:b/>
          <w:i/>
        </w:rPr>
        <w:t>superannuation income stream</w:t>
      </w:r>
      <w:r w:rsidRPr="002B1A95">
        <w:t xml:space="preserve"> is:</w:t>
      </w:r>
    </w:p>
    <w:p w:rsidR="00EF666B" w:rsidRPr="002B1A95" w:rsidRDefault="00EF666B" w:rsidP="00EF666B">
      <w:pPr>
        <w:pStyle w:val="paragraph"/>
      </w:pPr>
      <w:r w:rsidRPr="002B1A95">
        <w:tab/>
      </w:r>
      <w:r w:rsidRPr="002B1A95">
        <w:rPr>
          <w:lang w:eastAsia="en-US"/>
        </w:rPr>
        <w:t>(a)</w:t>
      </w:r>
      <w:r w:rsidRPr="002B1A95">
        <w:tab/>
        <w:t>an income stream that is taken to be:</w:t>
      </w:r>
    </w:p>
    <w:p w:rsidR="00EF666B" w:rsidRPr="002B1A95" w:rsidRDefault="00EF666B" w:rsidP="00EF666B">
      <w:pPr>
        <w:pStyle w:val="paragraphsub"/>
      </w:pPr>
      <w:r w:rsidRPr="002B1A95">
        <w:tab/>
        <w:t>(i)</w:t>
      </w:r>
      <w:r w:rsidRPr="002B1A95">
        <w:tab/>
        <w:t>an annuity for the purposes of the SIS Act in accordance with subregulation</w:t>
      </w:r>
      <w:r w:rsidR="002B1A95" w:rsidRPr="002B1A95">
        <w:t> </w:t>
      </w:r>
      <w:r w:rsidRPr="002B1A95">
        <w:t>1.05(1) of the SIS Regulations; or</w:t>
      </w:r>
    </w:p>
    <w:p w:rsidR="00EF666B" w:rsidRPr="002B1A95" w:rsidRDefault="00EF666B" w:rsidP="00EF666B">
      <w:pPr>
        <w:pStyle w:val="paragraphsub"/>
      </w:pPr>
      <w:r w:rsidRPr="002B1A95">
        <w:tab/>
        <w:t>(ii)</w:t>
      </w:r>
      <w:r w:rsidRPr="002B1A95">
        <w:tab/>
        <w:t>a pension for the purposes of the SIS Act in accordance with subregulation</w:t>
      </w:r>
      <w:r w:rsidR="002B1A95" w:rsidRPr="002B1A95">
        <w:t> </w:t>
      </w:r>
      <w:r w:rsidRPr="002B1A95">
        <w:t>1.06(1) of the SIS Regulations; or</w:t>
      </w:r>
    </w:p>
    <w:p w:rsidR="00EF666B" w:rsidRPr="002B1A95" w:rsidRDefault="00EF666B" w:rsidP="00EF666B">
      <w:pPr>
        <w:pStyle w:val="paragraphsub"/>
      </w:pPr>
      <w:r w:rsidRPr="002B1A95">
        <w:tab/>
        <w:t>(iii)</w:t>
      </w:r>
      <w:r w:rsidRPr="002B1A95">
        <w:tab/>
        <w:t>a pension for the purposes of the RSA Act in accordance with regulation</w:t>
      </w:r>
      <w:r w:rsidR="002B1A95" w:rsidRPr="002B1A95">
        <w:t> </w:t>
      </w:r>
      <w:r w:rsidRPr="002B1A95">
        <w:t>1.07 of the RSA Regulations; or</w:t>
      </w:r>
    </w:p>
    <w:p w:rsidR="00EF666B" w:rsidRPr="002B1A95" w:rsidRDefault="00EF666B" w:rsidP="00EF666B">
      <w:pPr>
        <w:pStyle w:val="paragraph"/>
      </w:pPr>
      <w:r w:rsidRPr="002B1A95">
        <w:tab/>
        <w:t>(b)</w:t>
      </w:r>
      <w:r w:rsidRPr="002B1A95">
        <w:tab/>
        <w:t>an income stream that:</w:t>
      </w:r>
    </w:p>
    <w:p w:rsidR="00EF666B" w:rsidRPr="002B1A95" w:rsidRDefault="00EF666B" w:rsidP="00EF666B">
      <w:pPr>
        <w:pStyle w:val="paragraphsub"/>
      </w:pPr>
      <w:r w:rsidRPr="002B1A95">
        <w:tab/>
        <w:t>(i)</w:t>
      </w:r>
      <w:r w:rsidRPr="002B1A95">
        <w:tab/>
        <w:t>is an annuity or pension within the meaning of the SIS Act; and</w:t>
      </w:r>
    </w:p>
    <w:p w:rsidR="00EF666B" w:rsidRPr="002B1A95" w:rsidRDefault="00EF666B" w:rsidP="00EF666B">
      <w:pPr>
        <w:pStyle w:val="paragraphsub"/>
      </w:pPr>
      <w:r w:rsidRPr="002B1A95">
        <w:tab/>
        <w:t>(ii)</w:t>
      </w:r>
      <w:r w:rsidRPr="002B1A95">
        <w:tab/>
        <w:t>commenced before 20</w:t>
      </w:r>
      <w:r w:rsidR="002B1A95" w:rsidRPr="002B1A95">
        <w:t> </w:t>
      </w:r>
      <w:r w:rsidRPr="002B1A95">
        <w:t>September 2007; or</w:t>
      </w:r>
    </w:p>
    <w:p w:rsidR="00EF666B" w:rsidRPr="002B1A95" w:rsidRDefault="00EF666B" w:rsidP="00EF666B">
      <w:pPr>
        <w:pStyle w:val="paragraph"/>
      </w:pPr>
      <w:r w:rsidRPr="002B1A95">
        <w:tab/>
        <w:t>(c)</w:t>
      </w:r>
      <w:r w:rsidRPr="002B1A95">
        <w:tab/>
        <w:t>a deferred superannuation income stream that is taken to be:</w:t>
      </w:r>
    </w:p>
    <w:p w:rsidR="00EF666B" w:rsidRPr="002B1A95" w:rsidRDefault="00EF666B" w:rsidP="00EF666B">
      <w:pPr>
        <w:pStyle w:val="paragraphsub"/>
      </w:pPr>
      <w:r w:rsidRPr="002B1A95">
        <w:tab/>
        <w:t>(i)</w:t>
      </w:r>
      <w:r w:rsidRPr="002B1A95">
        <w:tab/>
        <w:t>an annuity for the purposes of the SIS Act in accordance with subregulation</w:t>
      </w:r>
      <w:r w:rsidR="002B1A95" w:rsidRPr="002B1A95">
        <w:t> </w:t>
      </w:r>
      <w:r w:rsidRPr="002B1A95">
        <w:t>1.05(1) of the SIS Regulations because the contract for the provision of the income stream meets the standards of subregulation</w:t>
      </w:r>
      <w:r w:rsidR="002B1A95" w:rsidRPr="002B1A95">
        <w:t> </w:t>
      </w:r>
      <w:r w:rsidRPr="002B1A95">
        <w:t>1.06A(2) of the SIS Regulations; or</w:t>
      </w:r>
    </w:p>
    <w:p w:rsidR="00EF666B" w:rsidRPr="002B1A95" w:rsidRDefault="00EF666B" w:rsidP="00EF666B">
      <w:pPr>
        <w:pStyle w:val="paragraphsub"/>
      </w:pPr>
      <w:r w:rsidRPr="002B1A95">
        <w:tab/>
        <w:t>(ii)</w:t>
      </w:r>
      <w:r w:rsidRPr="002B1A95">
        <w:tab/>
        <w:t>a pension for the purposes of the SIS Act in accordance with subregulation</w:t>
      </w:r>
      <w:r w:rsidR="002B1A95" w:rsidRPr="002B1A95">
        <w:t> </w:t>
      </w:r>
      <w:r w:rsidRPr="002B1A95">
        <w:t>1.06(1) of the SIS Regulations because the rules for the provision of the income stream meet the standards of subregulation</w:t>
      </w:r>
      <w:r w:rsidR="002B1A95" w:rsidRPr="002B1A95">
        <w:t> </w:t>
      </w:r>
      <w:r w:rsidRPr="002B1A95">
        <w:t>1.06A(2) of the SIS Regulations; or</w:t>
      </w:r>
    </w:p>
    <w:p w:rsidR="00EF666B" w:rsidRPr="002B1A95" w:rsidRDefault="00EF666B" w:rsidP="00EF666B">
      <w:pPr>
        <w:pStyle w:val="paragraph"/>
      </w:pPr>
      <w:r w:rsidRPr="002B1A95">
        <w:tab/>
        <w:t>(d)</w:t>
      </w:r>
      <w:r w:rsidRPr="002B1A95">
        <w:tab/>
        <w:t>for the purposes of sections</w:t>
      </w:r>
      <w:r w:rsidR="002B1A95" w:rsidRPr="002B1A95">
        <w:t> </w:t>
      </w:r>
      <w:r w:rsidRPr="002B1A95">
        <w:t>295</w:t>
      </w:r>
      <w:r w:rsidR="00782250">
        <w:noBreakHyphen/>
      </w:r>
      <w:r w:rsidRPr="002B1A95">
        <w:t>385, 295</w:t>
      </w:r>
      <w:r w:rsidR="00782250">
        <w:noBreakHyphen/>
      </w:r>
      <w:r w:rsidRPr="002B1A95">
        <w:t>390, 295</w:t>
      </w:r>
      <w:r w:rsidR="00782250">
        <w:noBreakHyphen/>
      </w:r>
      <w:r w:rsidRPr="002B1A95">
        <w:t>395, 320</w:t>
      </w:r>
      <w:r w:rsidR="00782250">
        <w:noBreakHyphen/>
      </w:r>
      <w:r w:rsidRPr="002B1A95">
        <w:t>246 and 320</w:t>
      </w:r>
      <w:r w:rsidR="00782250">
        <w:noBreakHyphen/>
      </w:r>
      <w:r w:rsidRPr="002B1A95">
        <w:t xml:space="preserve">247 of the Act—one or more rights (whether contingent or not), to the extent that they are covered by </w:t>
      </w:r>
      <w:r w:rsidR="002B1A95" w:rsidRPr="002B1A95">
        <w:t>subsection (</w:t>
      </w:r>
      <w:r w:rsidRPr="002B1A95">
        <w:t>3).</w:t>
      </w:r>
    </w:p>
    <w:p w:rsidR="00EF666B" w:rsidRPr="002B1A95" w:rsidRDefault="00EF666B" w:rsidP="00EF666B">
      <w:pPr>
        <w:pStyle w:val="subsection"/>
      </w:pPr>
      <w:r w:rsidRPr="002B1A95">
        <w:tab/>
        <w:t>(2)</w:t>
      </w:r>
      <w:r w:rsidRPr="002B1A95">
        <w:tab/>
      </w:r>
      <w:r w:rsidR="002B1A95" w:rsidRPr="002B1A95">
        <w:t>Subsection (</w:t>
      </w:r>
      <w:r w:rsidRPr="002B1A95">
        <w:t>3) applies if:</w:t>
      </w:r>
    </w:p>
    <w:p w:rsidR="00EF666B" w:rsidRPr="002B1A95" w:rsidRDefault="00EF666B" w:rsidP="00EF666B">
      <w:pPr>
        <w:pStyle w:val="paragraph"/>
      </w:pPr>
      <w:r w:rsidRPr="002B1A95">
        <w:tab/>
        <w:t>(a)</w:t>
      </w:r>
      <w:r w:rsidRPr="002B1A95">
        <w:tab/>
        <w:t xml:space="preserve">immediately before the death of a person (the </w:t>
      </w:r>
      <w:r w:rsidRPr="002B1A95">
        <w:rPr>
          <w:b/>
          <w:i/>
        </w:rPr>
        <w:t>deceased</w:t>
      </w:r>
      <w:r w:rsidRPr="002B1A95">
        <w:t>), a superannuation interest was supporting a superannuation income stream payable to the deceased; and</w:t>
      </w:r>
    </w:p>
    <w:p w:rsidR="00EF666B" w:rsidRPr="002B1A95" w:rsidRDefault="00EF666B" w:rsidP="00EF666B">
      <w:pPr>
        <w:pStyle w:val="paragraph"/>
      </w:pPr>
      <w:r w:rsidRPr="002B1A95">
        <w:tab/>
        <w:t>(b)</w:t>
      </w:r>
      <w:r w:rsidRPr="002B1A95">
        <w:tab/>
        <w:t>the superannuation income stream did not automatically revert to another person on the death of the deceased; and</w:t>
      </w:r>
    </w:p>
    <w:p w:rsidR="00EF666B" w:rsidRPr="002B1A95" w:rsidRDefault="00EF666B" w:rsidP="00EF666B">
      <w:pPr>
        <w:pStyle w:val="paragraph"/>
      </w:pPr>
      <w:r w:rsidRPr="002B1A95">
        <w:lastRenderedPageBreak/>
        <w:tab/>
        <w:t>(c)</w:t>
      </w:r>
      <w:r w:rsidRPr="002B1A95">
        <w:tab/>
        <w:t>one or more other persons each have a right (whether contingent or not) to be paid an amount that will be a superannuation benefit from the superannuation interest; and</w:t>
      </w:r>
    </w:p>
    <w:p w:rsidR="00EF666B" w:rsidRPr="002B1A95" w:rsidRDefault="00EF666B" w:rsidP="00EF666B">
      <w:pPr>
        <w:pStyle w:val="paragraph"/>
      </w:pPr>
      <w:r w:rsidRPr="002B1A95">
        <w:tab/>
        <w:t>(d)</w:t>
      </w:r>
      <w:r w:rsidRPr="002B1A95">
        <w:tab/>
        <w:t xml:space="preserve">each such right arises on the death of the deceased, and ceases to exist immediately after the payment of the amount mentioned in </w:t>
      </w:r>
      <w:r w:rsidR="002B1A95" w:rsidRPr="002B1A95">
        <w:t>paragraph (</w:t>
      </w:r>
      <w:r w:rsidRPr="002B1A95">
        <w:t>c).</w:t>
      </w:r>
    </w:p>
    <w:p w:rsidR="00EF666B" w:rsidRPr="002B1A95" w:rsidRDefault="00EF666B" w:rsidP="00EF666B">
      <w:pPr>
        <w:pStyle w:val="subsection"/>
      </w:pPr>
      <w:r w:rsidRPr="002B1A95">
        <w:tab/>
        <w:t>(3)</w:t>
      </w:r>
      <w:r w:rsidRPr="002B1A95">
        <w:tab/>
        <w:t xml:space="preserve">For the purposes of </w:t>
      </w:r>
      <w:r w:rsidR="002B1A95" w:rsidRPr="002B1A95">
        <w:t>paragraph (</w:t>
      </w:r>
      <w:r w:rsidRPr="002B1A95">
        <w:t>1)(d), this subsection covers each such right, to the extent that the value of the superannuation interest has not increased (other than through investment earnings) on or after the deceased’s death.</w:t>
      </w:r>
    </w:p>
    <w:p w:rsidR="00EF666B" w:rsidRPr="002B1A95" w:rsidRDefault="00EF666B" w:rsidP="00EF666B">
      <w:pPr>
        <w:pStyle w:val="subsection"/>
      </w:pPr>
      <w:r w:rsidRPr="002B1A95">
        <w:tab/>
        <w:t>(4)</w:t>
      </w:r>
      <w:r w:rsidRPr="002B1A95">
        <w:tab/>
      </w:r>
      <w:r w:rsidR="002B1A95" w:rsidRPr="002B1A95">
        <w:t>Subsections (</w:t>
      </w:r>
      <w:r w:rsidRPr="002B1A95">
        <w:t>5) and (6) apply if:</w:t>
      </w:r>
    </w:p>
    <w:p w:rsidR="00EF666B" w:rsidRPr="002B1A95" w:rsidRDefault="00EF666B" w:rsidP="00EF666B">
      <w:pPr>
        <w:pStyle w:val="paragraph"/>
      </w:pPr>
      <w:r w:rsidRPr="002B1A95">
        <w:tab/>
        <w:t>(a)</w:t>
      </w:r>
      <w:r w:rsidRPr="002B1A95">
        <w:tab/>
        <w:t xml:space="preserve">immediately before the death of a person (the </w:t>
      </w:r>
      <w:r w:rsidRPr="002B1A95">
        <w:rPr>
          <w:b/>
          <w:i/>
        </w:rPr>
        <w:t>deceased</w:t>
      </w:r>
      <w:r w:rsidRPr="002B1A95">
        <w:t>), a superannuation interest was supporting a superannuation income stream payable to the deceased; and</w:t>
      </w:r>
    </w:p>
    <w:p w:rsidR="00EF666B" w:rsidRPr="002B1A95" w:rsidRDefault="00EF666B" w:rsidP="00EF666B">
      <w:pPr>
        <w:pStyle w:val="paragraph"/>
      </w:pPr>
      <w:r w:rsidRPr="002B1A95">
        <w:tab/>
        <w:t>(b)</w:t>
      </w:r>
      <w:r w:rsidRPr="002B1A95">
        <w:tab/>
        <w:t>the superannuation income stream did not automatically revert to another person on the death of the deceased; and</w:t>
      </w:r>
    </w:p>
    <w:p w:rsidR="00EF666B" w:rsidRPr="002B1A95" w:rsidRDefault="00EF666B" w:rsidP="00EF666B">
      <w:pPr>
        <w:pStyle w:val="paragraph"/>
      </w:pPr>
      <w:r w:rsidRPr="002B1A95">
        <w:tab/>
        <w:t>(c)</w:t>
      </w:r>
      <w:r w:rsidRPr="002B1A95">
        <w:tab/>
        <w:t>one or more persons each have a right (whether contingent or not) to commence a new superannuation income stream using an amount applied from the superannuation interest; and</w:t>
      </w:r>
    </w:p>
    <w:p w:rsidR="00EF666B" w:rsidRPr="002B1A95" w:rsidRDefault="00EF666B" w:rsidP="00EF666B">
      <w:pPr>
        <w:pStyle w:val="paragraph"/>
      </w:pPr>
      <w:r w:rsidRPr="002B1A95">
        <w:tab/>
        <w:t>(d)</w:t>
      </w:r>
      <w:r w:rsidRPr="002B1A95">
        <w:tab/>
        <w:t xml:space="preserve">each such right arises on the death of the deceased, and ceases to exist at the time the relevant new superannuation income stream commences (disregarding </w:t>
      </w:r>
      <w:r w:rsidR="002B1A95" w:rsidRPr="002B1A95">
        <w:t>paragraph (</w:t>
      </w:r>
      <w:r w:rsidRPr="002B1A95">
        <w:t>5)(a)); and</w:t>
      </w:r>
    </w:p>
    <w:p w:rsidR="00EF666B" w:rsidRPr="002B1A95" w:rsidRDefault="00EF666B" w:rsidP="00EF666B">
      <w:pPr>
        <w:pStyle w:val="paragraph"/>
      </w:pPr>
      <w:r w:rsidRPr="002B1A95">
        <w:tab/>
        <w:t>(e)</w:t>
      </w:r>
      <w:r w:rsidRPr="002B1A95">
        <w:tab/>
        <w:t xml:space="preserve">each of the new income streams is of a kind mentioned in </w:t>
      </w:r>
      <w:r w:rsidR="002B1A95" w:rsidRPr="002B1A95">
        <w:t>paragraph (</w:t>
      </w:r>
      <w:r w:rsidRPr="002B1A95">
        <w:t>1)(a).</w:t>
      </w:r>
    </w:p>
    <w:p w:rsidR="00EF666B" w:rsidRPr="002B1A95" w:rsidRDefault="00EF666B" w:rsidP="00EF666B">
      <w:pPr>
        <w:pStyle w:val="subsection"/>
      </w:pPr>
      <w:r w:rsidRPr="002B1A95">
        <w:tab/>
        <w:t>(5)</w:t>
      </w:r>
      <w:r w:rsidRPr="002B1A95">
        <w:rPr>
          <w:lang w:eastAsia="en-US"/>
        </w:rPr>
        <w:tab/>
        <w:t>For the purposes of sections</w:t>
      </w:r>
      <w:r w:rsidR="002B1A95" w:rsidRPr="002B1A95">
        <w:rPr>
          <w:lang w:eastAsia="en-US"/>
        </w:rPr>
        <w:t> </w:t>
      </w:r>
      <w:r w:rsidRPr="002B1A95">
        <w:rPr>
          <w:lang w:eastAsia="en-US"/>
        </w:rPr>
        <w:t>295</w:t>
      </w:r>
      <w:r w:rsidR="00782250">
        <w:rPr>
          <w:lang w:eastAsia="en-US"/>
        </w:rPr>
        <w:noBreakHyphen/>
      </w:r>
      <w:r w:rsidRPr="002B1A95">
        <w:rPr>
          <w:lang w:eastAsia="en-US"/>
        </w:rPr>
        <w:t>385, 295</w:t>
      </w:r>
      <w:r w:rsidR="00782250">
        <w:rPr>
          <w:lang w:eastAsia="en-US"/>
        </w:rPr>
        <w:noBreakHyphen/>
      </w:r>
      <w:r w:rsidRPr="002B1A95">
        <w:rPr>
          <w:lang w:eastAsia="en-US"/>
        </w:rPr>
        <w:t>390, 295</w:t>
      </w:r>
      <w:r w:rsidR="00782250">
        <w:rPr>
          <w:lang w:eastAsia="en-US"/>
        </w:rPr>
        <w:noBreakHyphen/>
      </w:r>
      <w:r w:rsidRPr="002B1A95">
        <w:rPr>
          <w:lang w:eastAsia="en-US"/>
        </w:rPr>
        <w:t>395, 320</w:t>
      </w:r>
      <w:r w:rsidR="00782250">
        <w:rPr>
          <w:lang w:eastAsia="en-US"/>
        </w:rPr>
        <w:noBreakHyphen/>
      </w:r>
      <w:r w:rsidRPr="002B1A95">
        <w:rPr>
          <w:lang w:eastAsia="en-US"/>
        </w:rPr>
        <w:t>24</w:t>
      </w:r>
      <w:r w:rsidRPr="002B1A95">
        <w:t>6 and 320</w:t>
      </w:r>
      <w:r w:rsidR="00782250">
        <w:noBreakHyphen/>
      </w:r>
      <w:r w:rsidRPr="002B1A95">
        <w:t xml:space="preserve">247 of the Act, in applying </w:t>
      </w:r>
      <w:r w:rsidR="002B1A95" w:rsidRPr="002B1A95">
        <w:t>paragraph (</w:t>
      </w:r>
      <w:r w:rsidRPr="002B1A95">
        <w:t>1)(a):</w:t>
      </w:r>
    </w:p>
    <w:p w:rsidR="00EF666B" w:rsidRPr="002B1A95" w:rsidRDefault="00EF666B" w:rsidP="00EF666B">
      <w:pPr>
        <w:pStyle w:val="paragraph"/>
      </w:pPr>
      <w:r w:rsidRPr="002B1A95">
        <w:tab/>
        <w:t>(a)</w:t>
      </w:r>
      <w:r w:rsidRPr="002B1A95">
        <w:tab/>
        <w:t xml:space="preserve">treat each new superannuation income stream mentioned in </w:t>
      </w:r>
      <w:r w:rsidR="002B1A95" w:rsidRPr="002B1A95">
        <w:t>paragraph (</w:t>
      </w:r>
      <w:r w:rsidRPr="002B1A95">
        <w:t>4)(c) as commencing on the death of the deceased; and</w:t>
      </w:r>
    </w:p>
    <w:p w:rsidR="00EF666B" w:rsidRPr="002B1A95" w:rsidRDefault="00EF666B" w:rsidP="00EF666B">
      <w:pPr>
        <w:pStyle w:val="paragraph"/>
      </w:pPr>
      <w:r w:rsidRPr="002B1A95">
        <w:tab/>
        <w:t>(b)</w:t>
      </w:r>
      <w:r w:rsidRPr="002B1A95">
        <w:tab/>
        <w:t>during the period:</w:t>
      </w:r>
    </w:p>
    <w:p w:rsidR="00EF666B" w:rsidRPr="002B1A95" w:rsidRDefault="00EF666B" w:rsidP="00EF666B">
      <w:pPr>
        <w:pStyle w:val="paragraphsub"/>
      </w:pPr>
      <w:r w:rsidRPr="002B1A95">
        <w:tab/>
        <w:t>(i)</w:t>
      </w:r>
      <w:r w:rsidRPr="002B1A95">
        <w:tab/>
        <w:t>starting on the death of the deceased; and</w:t>
      </w:r>
    </w:p>
    <w:p w:rsidR="00EF666B" w:rsidRPr="002B1A95" w:rsidRDefault="00EF666B" w:rsidP="00EF666B">
      <w:pPr>
        <w:pStyle w:val="paragraphsub"/>
      </w:pPr>
      <w:r w:rsidRPr="002B1A95">
        <w:tab/>
        <w:t>(ii)</w:t>
      </w:r>
      <w:r w:rsidRPr="002B1A95">
        <w:tab/>
        <w:t xml:space="preserve">ending at the time the new superannuation income stream commences (disregarding </w:t>
      </w:r>
      <w:r w:rsidR="002B1A95" w:rsidRPr="002B1A95">
        <w:t>paragraph (</w:t>
      </w:r>
      <w:r w:rsidRPr="002B1A95">
        <w:t>a));</w:t>
      </w:r>
    </w:p>
    <w:p w:rsidR="00EF666B" w:rsidRPr="002B1A95" w:rsidRDefault="00EF666B" w:rsidP="00EF666B">
      <w:pPr>
        <w:pStyle w:val="paragraph"/>
      </w:pPr>
      <w:r w:rsidRPr="002B1A95">
        <w:tab/>
      </w:r>
      <w:r w:rsidRPr="002B1A95">
        <w:tab/>
        <w:t>take account of the value of the superannuation interest only to the extent that the value has not increased (other than through investment earnings) on or after the deceased’s death.</w:t>
      </w:r>
    </w:p>
    <w:p w:rsidR="00EF666B" w:rsidRPr="002B1A95" w:rsidRDefault="00EF666B" w:rsidP="00EF666B">
      <w:pPr>
        <w:pStyle w:val="subsection"/>
      </w:pPr>
      <w:r w:rsidRPr="002B1A95">
        <w:tab/>
        <w:t>(6)</w:t>
      </w:r>
      <w:r w:rsidRPr="002B1A95">
        <w:tab/>
        <w:t xml:space="preserve">For the purposes of </w:t>
      </w:r>
      <w:r w:rsidR="002B1A95" w:rsidRPr="002B1A95">
        <w:t>subsections (</w:t>
      </w:r>
      <w:r w:rsidRPr="002B1A95">
        <w:t xml:space="preserve">2) and (3), disregard a right mentioned in </w:t>
      </w:r>
      <w:r w:rsidR="002B1A95" w:rsidRPr="002B1A95">
        <w:t>paragraph (</w:t>
      </w:r>
      <w:r w:rsidRPr="002B1A95">
        <w:t>4)(c).</w:t>
      </w:r>
    </w:p>
    <w:p w:rsidR="00EF666B" w:rsidRPr="002B1A95" w:rsidRDefault="00EF666B" w:rsidP="00EF666B">
      <w:pPr>
        <w:pStyle w:val="ActHead4"/>
      </w:pPr>
      <w:bookmarkStart w:id="121" w:name="_Toc49765301"/>
      <w:r w:rsidRPr="00411C46">
        <w:rPr>
          <w:rStyle w:val="CharSubdNo"/>
          <w:rFonts w:eastAsiaTheme="majorEastAsia"/>
        </w:rPr>
        <w:t>Subdivision</w:t>
      </w:r>
      <w:r w:rsidR="002B1A95" w:rsidRPr="00411C46">
        <w:rPr>
          <w:rStyle w:val="CharSubdNo"/>
          <w:rFonts w:eastAsiaTheme="majorEastAsia"/>
        </w:rPr>
        <w:t> </w:t>
      </w:r>
      <w:r w:rsidRPr="00411C46">
        <w:rPr>
          <w:rStyle w:val="CharSubdNo"/>
          <w:rFonts w:eastAsiaTheme="majorEastAsia"/>
        </w:rPr>
        <w:t>307</w:t>
      </w:r>
      <w:r w:rsidR="00782250" w:rsidRPr="00411C46">
        <w:rPr>
          <w:rStyle w:val="CharSubdNo"/>
          <w:rFonts w:eastAsiaTheme="majorEastAsia"/>
        </w:rPr>
        <w:noBreakHyphen/>
      </w:r>
      <w:r w:rsidRPr="00411C46">
        <w:rPr>
          <w:rStyle w:val="CharSubdNo"/>
          <w:rFonts w:eastAsiaTheme="majorEastAsia"/>
        </w:rPr>
        <w:t>C</w:t>
      </w:r>
      <w:r w:rsidRPr="002B1A95">
        <w:t>—</w:t>
      </w:r>
      <w:r w:rsidRPr="00411C46">
        <w:rPr>
          <w:rStyle w:val="CharSubdText"/>
          <w:rFonts w:eastAsiaTheme="majorEastAsia"/>
        </w:rPr>
        <w:t>Components of a superannuation benefit</w:t>
      </w:r>
      <w:bookmarkEnd w:id="121"/>
    </w:p>
    <w:p w:rsidR="00EF666B" w:rsidRPr="002B1A95" w:rsidRDefault="00EF666B" w:rsidP="00EF666B">
      <w:pPr>
        <w:pStyle w:val="ActHead5"/>
      </w:pPr>
      <w:bookmarkStart w:id="122" w:name="_Toc49765302"/>
      <w:r w:rsidRPr="00411C46">
        <w:rPr>
          <w:rStyle w:val="CharSectno"/>
        </w:rPr>
        <w:t>307</w:t>
      </w:r>
      <w:r w:rsidR="00782250" w:rsidRPr="00411C46">
        <w:rPr>
          <w:rStyle w:val="CharSectno"/>
        </w:rPr>
        <w:noBreakHyphen/>
      </w:r>
      <w:r w:rsidRPr="00411C46">
        <w:rPr>
          <w:rStyle w:val="CharSectno"/>
        </w:rPr>
        <w:t>125.01</w:t>
      </w:r>
      <w:r w:rsidRPr="002B1A95">
        <w:t xml:space="preserve">  Components of member benefits accruing before 1</w:t>
      </w:r>
      <w:r w:rsidR="002B1A95" w:rsidRPr="002B1A95">
        <w:t> </w:t>
      </w:r>
      <w:r w:rsidRPr="002B1A95">
        <w:t>July 1999 paid from the Military Superannuation and Benefits Scheme</w:t>
      </w:r>
      <w:bookmarkEnd w:id="122"/>
    </w:p>
    <w:p w:rsidR="00EF666B" w:rsidRPr="002B1A95" w:rsidRDefault="00EF666B" w:rsidP="00EF666B">
      <w:pPr>
        <w:pStyle w:val="subsection"/>
      </w:pPr>
      <w:r w:rsidRPr="002B1A95">
        <w:tab/>
        <w:t>(1)</w:t>
      </w:r>
      <w:r w:rsidRPr="002B1A95">
        <w:tab/>
        <w:t>For the purposes of paragraph</w:t>
      </w:r>
      <w:r w:rsidR="002B1A95" w:rsidRPr="002B1A95">
        <w:t> </w:t>
      </w:r>
      <w:r w:rsidRPr="002B1A95">
        <w:t>307</w:t>
      </w:r>
      <w:r w:rsidR="00782250">
        <w:noBreakHyphen/>
      </w:r>
      <w:r w:rsidRPr="002B1A95">
        <w:t xml:space="preserve">125(4)(a) of the Act, </w:t>
      </w:r>
      <w:r w:rsidR="002B1A95" w:rsidRPr="002B1A95">
        <w:t>subsection (</w:t>
      </w:r>
      <w:r w:rsidRPr="002B1A95">
        <w:t>2) specifies an alternative method for determining components of a superannuation benefit:</w:t>
      </w:r>
    </w:p>
    <w:p w:rsidR="00EF666B" w:rsidRPr="002B1A95" w:rsidRDefault="00EF666B" w:rsidP="00EF666B">
      <w:pPr>
        <w:pStyle w:val="paragraph"/>
      </w:pPr>
      <w:r w:rsidRPr="002B1A95">
        <w:tab/>
        <w:t>(a)</w:t>
      </w:r>
      <w:r w:rsidRPr="002B1A95">
        <w:tab/>
        <w:t>accruing before 1</w:t>
      </w:r>
      <w:r w:rsidR="002B1A95" w:rsidRPr="002B1A95">
        <w:t> </w:t>
      </w:r>
      <w:r w:rsidRPr="002B1A95">
        <w:t>July 1999; and</w:t>
      </w:r>
    </w:p>
    <w:p w:rsidR="00EF666B" w:rsidRPr="002B1A95" w:rsidRDefault="00EF666B" w:rsidP="00EF666B">
      <w:pPr>
        <w:pStyle w:val="paragraph"/>
      </w:pPr>
      <w:r w:rsidRPr="002B1A95">
        <w:lastRenderedPageBreak/>
        <w:tab/>
        <w:t>(b)</w:t>
      </w:r>
      <w:r w:rsidRPr="002B1A95">
        <w:tab/>
        <w:t>paid from the Military Superannuation and Benefits Scheme on or after 1</w:t>
      </w:r>
      <w:r w:rsidR="002B1A95" w:rsidRPr="002B1A95">
        <w:t> </w:t>
      </w:r>
      <w:r w:rsidRPr="002B1A95">
        <w:t>July 2007 in respect of a member who is below preservation age;</w:t>
      </w:r>
    </w:p>
    <w:p w:rsidR="00EF666B" w:rsidRPr="002B1A95" w:rsidRDefault="00EF666B" w:rsidP="00EF666B">
      <w:pPr>
        <w:pStyle w:val="subsection2"/>
      </w:pPr>
      <w:r w:rsidRPr="002B1A95">
        <w:t>where the member chooses to use the alternative method.</w:t>
      </w:r>
    </w:p>
    <w:p w:rsidR="00EF666B" w:rsidRPr="002B1A95" w:rsidRDefault="00EF666B" w:rsidP="00EF666B">
      <w:pPr>
        <w:pStyle w:val="subsection"/>
      </w:pPr>
      <w:r w:rsidRPr="002B1A95">
        <w:tab/>
        <w:t>(2)</w:t>
      </w:r>
      <w:r w:rsidRPr="002B1A95">
        <w:tab/>
        <w:t xml:space="preserve">The alternative method is a method chosen by the member which complies with </w:t>
      </w:r>
      <w:r w:rsidR="002B1A95" w:rsidRPr="002B1A95">
        <w:t>subsection (</w:t>
      </w:r>
      <w:r w:rsidRPr="002B1A95">
        <w:t>3).</w:t>
      </w:r>
    </w:p>
    <w:p w:rsidR="00EF666B" w:rsidRPr="002B1A95" w:rsidRDefault="00EF666B" w:rsidP="00EF666B">
      <w:pPr>
        <w:pStyle w:val="subsection"/>
      </w:pPr>
      <w:r w:rsidRPr="002B1A95">
        <w:tab/>
        <w:t>(3)</w:t>
      </w:r>
      <w:r w:rsidRPr="002B1A95">
        <w:tab/>
        <w:t xml:space="preserve">For </w:t>
      </w:r>
      <w:r w:rsidRPr="002B1A95">
        <w:rPr>
          <w:color w:val="000000"/>
        </w:rPr>
        <w:t xml:space="preserve">the purposes of </w:t>
      </w:r>
      <w:r w:rsidR="002B1A95" w:rsidRPr="002B1A95">
        <w:t>subsection (</w:t>
      </w:r>
      <w:r w:rsidRPr="002B1A95">
        <w:t>2), the maximum amount that the member may determine as a component of the person’s member benefits accruing before 1</w:t>
      </w:r>
      <w:r w:rsidR="002B1A95" w:rsidRPr="002B1A95">
        <w:t> </w:t>
      </w:r>
      <w:r w:rsidRPr="002B1A95">
        <w:t>July 1999, whether by a single choice or cumulatively, may not exceed:</w:t>
      </w:r>
    </w:p>
    <w:p w:rsidR="00EF666B" w:rsidRPr="002B1A95" w:rsidRDefault="00EF666B" w:rsidP="00EF666B">
      <w:pPr>
        <w:pStyle w:val="paragraph"/>
      </w:pPr>
      <w:r w:rsidRPr="002B1A95">
        <w:tab/>
        <w:t>(a)</w:t>
      </w:r>
      <w:r w:rsidRPr="002B1A95">
        <w:tab/>
        <w:t>for the tax free component of the person’s member benefits accruing before 1</w:t>
      </w:r>
      <w:r w:rsidR="002B1A95" w:rsidRPr="002B1A95">
        <w:t> </w:t>
      </w:r>
      <w:r w:rsidRPr="002B1A95">
        <w:t>July 1999—the amount worked out under section</w:t>
      </w:r>
      <w:r w:rsidR="002B1A95" w:rsidRPr="002B1A95">
        <w:t> </w:t>
      </w:r>
      <w:r w:rsidRPr="002B1A95">
        <w:t>307</w:t>
      </w:r>
      <w:r w:rsidR="00782250">
        <w:noBreakHyphen/>
      </w:r>
      <w:r w:rsidRPr="002B1A95">
        <w:t>210 of the Act for the superannuation interest; and</w:t>
      </w:r>
    </w:p>
    <w:p w:rsidR="00EF666B" w:rsidRPr="002B1A95" w:rsidRDefault="00EF666B" w:rsidP="00EF666B">
      <w:pPr>
        <w:pStyle w:val="paragraph"/>
      </w:pPr>
      <w:r w:rsidRPr="002B1A95">
        <w:tab/>
        <w:t>(b)</w:t>
      </w:r>
      <w:r w:rsidRPr="002B1A95">
        <w:tab/>
        <w:t>for the taxable component of the person’s member benefits accruing before 1</w:t>
      </w:r>
      <w:r w:rsidR="002B1A95" w:rsidRPr="002B1A95">
        <w:t> </w:t>
      </w:r>
      <w:r w:rsidRPr="002B1A95">
        <w:t>July 1999—the amount worked out under section</w:t>
      </w:r>
      <w:r w:rsidR="002B1A95" w:rsidRPr="002B1A95">
        <w:t> </w:t>
      </w:r>
      <w:r w:rsidRPr="002B1A95">
        <w:t>307</w:t>
      </w:r>
      <w:r w:rsidR="00782250">
        <w:noBreakHyphen/>
      </w:r>
      <w:r w:rsidRPr="002B1A95">
        <w:t>215 of the Act for the superannuation interest.</w:t>
      </w:r>
    </w:p>
    <w:p w:rsidR="00EF666B" w:rsidRPr="002B1A95" w:rsidRDefault="00EF666B" w:rsidP="00EF666B">
      <w:pPr>
        <w:pStyle w:val="notetext"/>
      </w:pPr>
      <w:r w:rsidRPr="002B1A95">
        <w:t>Example:</w:t>
      </w:r>
      <w:r w:rsidRPr="002B1A95">
        <w:rPr>
          <w:i/>
        </w:rPr>
        <w:tab/>
      </w:r>
      <w:r w:rsidRPr="002B1A95">
        <w:t>A member of the Military Superannuation and Benefits Scheme has an amount of member benefits accruing before 1</w:t>
      </w:r>
      <w:r w:rsidR="002B1A95" w:rsidRPr="002B1A95">
        <w:t> </w:t>
      </w:r>
      <w:r w:rsidRPr="002B1A95">
        <w:t>July 1999 of $1,000. Just before the benefit is paid, the value of the tax free component is $800 and the taxable component is $200. Before reaching preservation age, the member takes a lump sum benefit of $900.</w:t>
      </w:r>
    </w:p>
    <w:p w:rsidR="00EF666B" w:rsidRPr="002B1A95" w:rsidRDefault="00EF666B" w:rsidP="00EF666B">
      <w:pPr>
        <w:pStyle w:val="notetext"/>
        <w:spacing w:before="60"/>
      </w:pPr>
      <w:r w:rsidRPr="002B1A95">
        <w:tab/>
        <w:t xml:space="preserve">Under </w:t>
      </w:r>
      <w:r w:rsidR="002B1A95" w:rsidRPr="002B1A95">
        <w:t>subsection (</w:t>
      </w:r>
      <w:r w:rsidRPr="002B1A95">
        <w:t xml:space="preserve">2), the member is able to determine the amount of the benefit that will be the tax free component and the amount that will be the taxable component of the benefit. However, </w:t>
      </w:r>
      <w:r w:rsidR="002B1A95" w:rsidRPr="002B1A95">
        <w:t>subsection (</w:t>
      </w:r>
      <w:r w:rsidRPr="002B1A95">
        <w:t>3) prevents the member from treating more than $800 of the superannuation benefit as tax free.</w:t>
      </w:r>
    </w:p>
    <w:p w:rsidR="00EF666B" w:rsidRPr="002B1A95" w:rsidRDefault="00EF666B" w:rsidP="00EF666B">
      <w:pPr>
        <w:pStyle w:val="notetext"/>
      </w:pPr>
      <w:r w:rsidRPr="002B1A95">
        <w:t>Note:</w:t>
      </w:r>
      <w:r w:rsidRPr="002B1A95">
        <w:tab/>
        <w:t>A preserved superannuation benefit paid in respect of a member of the Military Superannuation and Benefits Scheme is paid in accordance with subsection</w:t>
      </w:r>
      <w:r w:rsidR="002B1A95" w:rsidRPr="002B1A95">
        <w:t> </w:t>
      </w:r>
      <w:r w:rsidRPr="002B1A95">
        <w:t>307</w:t>
      </w:r>
      <w:r w:rsidR="00782250">
        <w:noBreakHyphen/>
      </w:r>
      <w:r w:rsidRPr="002B1A95">
        <w:t>125(2) of the Act.</w:t>
      </w:r>
    </w:p>
    <w:p w:rsidR="00EF666B" w:rsidRPr="002B1A95" w:rsidRDefault="00EF666B" w:rsidP="00EF666B">
      <w:pPr>
        <w:pStyle w:val="subsection"/>
      </w:pPr>
      <w:r w:rsidRPr="002B1A95">
        <w:tab/>
        <w:t>(4)</w:t>
      </w:r>
      <w:r w:rsidRPr="002B1A95">
        <w:tab/>
        <w:t>In this instrument:</w:t>
      </w:r>
    </w:p>
    <w:p w:rsidR="00EF666B" w:rsidRPr="002B1A95" w:rsidRDefault="00EF666B" w:rsidP="00EF666B">
      <w:pPr>
        <w:pStyle w:val="Definition"/>
      </w:pPr>
      <w:r w:rsidRPr="002B1A95">
        <w:rPr>
          <w:b/>
          <w:i/>
        </w:rPr>
        <w:t>Military Superannuation and Benefits Scheme</w:t>
      </w:r>
      <w:r w:rsidRPr="002B1A95">
        <w:t xml:space="preserve"> means the scheme that is established by clause</w:t>
      </w:r>
      <w:r w:rsidR="002B1A95" w:rsidRPr="002B1A95">
        <w:t> </w:t>
      </w:r>
      <w:r w:rsidRPr="002B1A95">
        <w:t>2 of the Military Superannuation and Benefits Trust Deed.</w:t>
      </w:r>
    </w:p>
    <w:p w:rsidR="00EF666B" w:rsidRPr="002B1A95" w:rsidRDefault="00EF666B" w:rsidP="00EF666B">
      <w:pPr>
        <w:pStyle w:val="notetext"/>
      </w:pPr>
      <w:r w:rsidRPr="002B1A95">
        <w:t>Note:</w:t>
      </w:r>
      <w:r w:rsidRPr="002B1A95">
        <w:tab/>
        <w:t>The Trust Deed is made under the</w:t>
      </w:r>
      <w:r w:rsidRPr="002B1A95">
        <w:rPr>
          <w:i/>
        </w:rPr>
        <w:t xml:space="preserve"> Military Superannuation and Benefits Act 1991</w:t>
      </w:r>
      <w:r w:rsidRPr="002B1A95">
        <w:t>.</w:t>
      </w:r>
    </w:p>
    <w:p w:rsidR="00EF666B" w:rsidRPr="002B1A95" w:rsidRDefault="00EF666B" w:rsidP="00EF666B">
      <w:pPr>
        <w:pStyle w:val="ActHead5"/>
      </w:pPr>
      <w:bookmarkStart w:id="123" w:name="_Toc49765303"/>
      <w:r w:rsidRPr="00411C46">
        <w:rPr>
          <w:rStyle w:val="CharSectno"/>
        </w:rPr>
        <w:t>307</w:t>
      </w:r>
      <w:r w:rsidR="00782250" w:rsidRPr="00411C46">
        <w:rPr>
          <w:rStyle w:val="CharSectno"/>
        </w:rPr>
        <w:noBreakHyphen/>
      </w:r>
      <w:r w:rsidRPr="00411C46">
        <w:rPr>
          <w:rStyle w:val="CharSectno"/>
        </w:rPr>
        <w:t>125.02</w:t>
      </w:r>
      <w:r w:rsidRPr="002B1A95">
        <w:t xml:space="preserve">  Components of superannuation benefits after death of recipient of superannuation income stream</w:t>
      </w:r>
      <w:bookmarkEnd w:id="123"/>
    </w:p>
    <w:p w:rsidR="00EF666B" w:rsidRPr="002B1A95" w:rsidRDefault="00EF666B" w:rsidP="00EF666B">
      <w:pPr>
        <w:pStyle w:val="subsection"/>
      </w:pPr>
      <w:r w:rsidRPr="002B1A95">
        <w:tab/>
        <w:t>(1)</w:t>
      </w:r>
      <w:r w:rsidRPr="002B1A95">
        <w:tab/>
        <w:t>For the purposes of paragraph</w:t>
      </w:r>
      <w:r w:rsidR="002B1A95" w:rsidRPr="002B1A95">
        <w:t> </w:t>
      </w:r>
      <w:r w:rsidRPr="002B1A95">
        <w:t>307</w:t>
      </w:r>
      <w:r w:rsidR="00782250">
        <w:noBreakHyphen/>
      </w:r>
      <w:r w:rsidRPr="002B1A95">
        <w:t xml:space="preserve">125(4)(a) of the Act, </w:t>
      </w:r>
      <w:r w:rsidR="002B1A95" w:rsidRPr="002B1A95">
        <w:t>subsection (</w:t>
      </w:r>
      <w:r w:rsidRPr="002B1A95">
        <w:t xml:space="preserve">3) specifies an alternative method for determining the components of a superannuation benefit referred to in </w:t>
      </w:r>
      <w:r w:rsidR="002B1A95" w:rsidRPr="002B1A95">
        <w:t>paragraph (</w:t>
      </w:r>
      <w:r w:rsidRPr="002B1A95">
        <w:t>3)(a) or (b) if:</w:t>
      </w:r>
    </w:p>
    <w:p w:rsidR="00EF666B" w:rsidRPr="002B1A95" w:rsidRDefault="00EF666B" w:rsidP="00EF666B">
      <w:pPr>
        <w:pStyle w:val="paragraph"/>
      </w:pPr>
      <w:r w:rsidRPr="002B1A95">
        <w:tab/>
        <w:t>(a)</w:t>
      </w:r>
      <w:r w:rsidRPr="002B1A95">
        <w:tab/>
        <w:t xml:space="preserve">immediately before the death of a person (the </w:t>
      </w:r>
      <w:r w:rsidRPr="002B1A95">
        <w:rPr>
          <w:b/>
          <w:i/>
        </w:rPr>
        <w:t>deceased</w:t>
      </w:r>
      <w:r w:rsidRPr="002B1A95">
        <w:t xml:space="preserve">), a superannuation interest (the </w:t>
      </w:r>
      <w:r w:rsidRPr="002B1A95">
        <w:rPr>
          <w:b/>
          <w:i/>
        </w:rPr>
        <w:t>relevant superannuation interest</w:t>
      </w:r>
      <w:r w:rsidRPr="002B1A95">
        <w:t xml:space="preserve">) was supporting a superannuation income stream (the </w:t>
      </w:r>
      <w:r w:rsidRPr="002B1A95">
        <w:rPr>
          <w:b/>
          <w:i/>
        </w:rPr>
        <w:t>original superannuation income stream</w:t>
      </w:r>
      <w:r w:rsidRPr="002B1A95">
        <w:t>) payable to the deceased; and</w:t>
      </w:r>
    </w:p>
    <w:p w:rsidR="00EF666B" w:rsidRPr="002B1A95" w:rsidRDefault="00EF666B" w:rsidP="00EF666B">
      <w:pPr>
        <w:pStyle w:val="paragraph"/>
      </w:pPr>
      <w:r w:rsidRPr="002B1A95">
        <w:tab/>
        <w:t>(b)</w:t>
      </w:r>
      <w:r w:rsidRPr="002B1A95">
        <w:tab/>
        <w:t>the original superannuation income stream did not automatically revert to another person on the deceased’s death; and</w:t>
      </w:r>
    </w:p>
    <w:p w:rsidR="00EF666B" w:rsidRPr="002B1A95" w:rsidRDefault="00EF666B" w:rsidP="00EF666B">
      <w:pPr>
        <w:pStyle w:val="paragraph"/>
      </w:pPr>
      <w:r w:rsidRPr="002B1A95">
        <w:tab/>
        <w:t>(c)</w:t>
      </w:r>
      <w:r w:rsidRPr="002B1A95">
        <w:tab/>
        <w:t>no amounts, other than investment earnings, have been added to the relevant superannuation interest on or after the deceased’s death; and</w:t>
      </w:r>
    </w:p>
    <w:p w:rsidR="00EF666B" w:rsidRPr="002B1A95" w:rsidRDefault="00EF666B" w:rsidP="00EF666B">
      <w:pPr>
        <w:pStyle w:val="paragraph"/>
        <w:rPr>
          <w:rFonts w:ascii="Arial" w:hAnsi="Arial" w:cs="Arial"/>
          <w:sz w:val="20"/>
        </w:rPr>
      </w:pPr>
      <w:r w:rsidRPr="002B1A95">
        <w:tab/>
        <w:t>(d)</w:t>
      </w:r>
      <w:r w:rsidRPr="002B1A95">
        <w:tab/>
        <w:t>one or both of the following occurs after the deceased’s death:</w:t>
      </w:r>
    </w:p>
    <w:p w:rsidR="00EF666B" w:rsidRPr="002B1A95" w:rsidRDefault="00EF666B" w:rsidP="00EF666B">
      <w:pPr>
        <w:pStyle w:val="paragraphsub"/>
      </w:pPr>
      <w:r w:rsidRPr="002B1A95">
        <w:lastRenderedPageBreak/>
        <w:tab/>
        <w:t>(i)</w:t>
      </w:r>
      <w:r w:rsidRPr="002B1A95">
        <w:tab/>
        <w:t>a superannuation death benefit that is a superannuation lump sum is paid using only an amount from the relevant superannuation interest;</w:t>
      </w:r>
    </w:p>
    <w:p w:rsidR="00EF666B" w:rsidRPr="002B1A95" w:rsidRDefault="00EF666B" w:rsidP="00EF666B">
      <w:pPr>
        <w:pStyle w:val="paragraphsub"/>
      </w:pPr>
      <w:r w:rsidRPr="002B1A95">
        <w:tab/>
        <w:t>(ii)</w:t>
      </w:r>
      <w:r w:rsidRPr="002B1A95">
        <w:tab/>
        <w:t xml:space="preserve">a superannuation income stream (the </w:t>
      </w:r>
      <w:r w:rsidRPr="002B1A95">
        <w:rPr>
          <w:b/>
          <w:i/>
        </w:rPr>
        <w:t>new superannuation income stream</w:t>
      </w:r>
      <w:r w:rsidRPr="002B1A95">
        <w:t>) is commenced using only an amount applied from the relevant superannuation interest.</w:t>
      </w:r>
    </w:p>
    <w:p w:rsidR="00EF666B" w:rsidRPr="002B1A95" w:rsidRDefault="00EF666B" w:rsidP="00EF666B">
      <w:pPr>
        <w:pStyle w:val="subsection"/>
      </w:pPr>
      <w:r w:rsidRPr="002B1A95">
        <w:tab/>
        <w:t>(2)</w:t>
      </w:r>
      <w:r w:rsidRPr="002B1A95">
        <w:tab/>
        <w:t xml:space="preserve">For the purposes of </w:t>
      </w:r>
      <w:r w:rsidR="002B1A95" w:rsidRPr="002B1A95">
        <w:t>paragraph (</w:t>
      </w:r>
      <w:r w:rsidRPr="002B1A95">
        <w:t>1)(c), investment earnings includes:</w:t>
      </w:r>
    </w:p>
    <w:p w:rsidR="00EF666B" w:rsidRPr="002B1A95" w:rsidRDefault="00EF666B" w:rsidP="00EF666B">
      <w:pPr>
        <w:pStyle w:val="paragraph"/>
      </w:pPr>
      <w:r w:rsidRPr="002B1A95">
        <w:tab/>
        <w:t>(a)</w:t>
      </w:r>
      <w:r w:rsidRPr="002B1A95">
        <w:tab/>
        <w:t>an amount paid under a policy of insurance on the life of the deceased; and</w:t>
      </w:r>
    </w:p>
    <w:p w:rsidR="00EF666B" w:rsidRPr="002B1A95" w:rsidRDefault="00EF666B" w:rsidP="00EF666B">
      <w:pPr>
        <w:pStyle w:val="paragraph"/>
      </w:pPr>
      <w:r w:rsidRPr="002B1A95">
        <w:tab/>
        <w:t>(b)</w:t>
      </w:r>
      <w:r w:rsidRPr="002B1A95">
        <w:tab/>
        <w:t>an amount arising from self</w:t>
      </w:r>
      <w:r w:rsidR="00782250">
        <w:noBreakHyphen/>
      </w:r>
      <w:r w:rsidRPr="002B1A95">
        <w:t>insurance.</w:t>
      </w:r>
    </w:p>
    <w:p w:rsidR="00EF666B" w:rsidRPr="002B1A95" w:rsidRDefault="00EF666B" w:rsidP="00EF666B">
      <w:pPr>
        <w:pStyle w:val="subsection"/>
      </w:pPr>
      <w:r w:rsidRPr="002B1A95">
        <w:tab/>
        <w:t>(3)</w:t>
      </w:r>
      <w:r w:rsidRPr="002B1A95">
        <w:tab/>
        <w:t>The following method sets out how to work out the tax free component and taxable component of:</w:t>
      </w:r>
    </w:p>
    <w:p w:rsidR="00EF666B" w:rsidRPr="002B1A95" w:rsidRDefault="00EF666B" w:rsidP="00EF666B">
      <w:pPr>
        <w:pStyle w:val="paragraph"/>
        <w:rPr>
          <w:rFonts w:ascii="Arial" w:hAnsi="Arial" w:cs="Arial"/>
          <w:sz w:val="20"/>
        </w:rPr>
      </w:pPr>
      <w:r w:rsidRPr="002B1A95">
        <w:tab/>
        <w:t>(a)</w:t>
      </w:r>
      <w:r w:rsidRPr="002B1A95">
        <w:tab/>
        <w:t xml:space="preserve">a superannuation death benefit mentioned in </w:t>
      </w:r>
      <w:r w:rsidR="002B1A95" w:rsidRPr="002B1A95">
        <w:t>subparagraph (</w:t>
      </w:r>
      <w:r w:rsidRPr="002B1A95">
        <w:t>1)(d)(i);</w:t>
      </w:r>
      <w:r w:rsidRPr="002B1A95">
        <w:rPr>
          <w:rFonts w:ascii="Arial" w:hAnsi="Arial" w:cs="Arial"/>
          <w:sz w:val="20"/>
        </w:rPr>
        <w:t xml:space="preserve"> </w:t>
      </w:r>
      <w:r w:rsidRPr="002B1A95">
        <w:t>or</w:t>
      </w:r>
    </w:p>
    <w:p w:rsidR="00EF666B" w:rsidRPr="002B1A95" w:rsidRDefault="00EF666B" w:rsidP="00EF666B">
      <w:pPr>
        <w:pStyle w:val="paragraph"/>
      </w:pPr>
      <w:r w:rsidRPr="002B1A95">
        <w:tab/>
        <w:t>(b)</w:t>
      </w:r>
      <w:r w:rsidRPr="002B1A95">
        <w:tab/>
        <w:t xml:space="preserve">a superannuation benefit paid from a superannuation interest that supports the new superannuation income stream mentioned in </w:t>
      </w:r>
      <w:r w:rsidR="002B1A95" w:rsidRPr="002B1A95">
        <w:t>subparagraph (</w:t>
      </w:r>
      <w:r w:rsidRPr="002B1A95">
        <w:t>1)(d)(ii).</w:t>
      </w:r>
    </w:p>
    <w:p w:rsidR="00EF666B" w:rsidRPr="002B1A95" w:rsidRDefault="00EF666B" w:rsidP="00EF666B">
      <w:pPr>
        <w:pStyle w:val="BoxHeadItalic"/>
      </w:pPr>
      <w:r w:rsidRPr="002B1A95">
        <w:t>Method statement</w:t>
      </w:r>
    </w:p>
    <w:p w:rsidR="00EF666B" w:rsidRPr="002B1A95" w:rsidRDefault="00EF666B" w:rsidP="00EF666B">
      <w:pPr>
        <w:pStyle w:val="BoxStep"/>
        <w:spacing w:before="120"/>
      </w:pPr>
      <w:r w:rsidRPr="002B1A95">
        <w:t>Step 1.</w:t>
      </w:r>
      <w:r w:rsidRPr="002B1A95">
        <w:tab/>
        <w:t>Reduce the amount of the benefit by the extent, if any, to which the benefit is attributable to any of the following:</w:t>
      </w:r>
    </w:p>
    <w:p w:rsidR="00EF666B" w:rsidRPr="002B1A95" w:rsidRDefault="00EF666B" w:rsidP="00EF666B">
      <w:pPr>
        <w:pStyle w:val="BoxPara"/>
      </w:pPr>
      <w:r w:rsidRPr="002B1A95">
        <w:tab/>
        <w:t>(a)</w:t>
      </w:r>
      <w:r w:rsidRPr="002B1A95">
        <w:tab/>
        <w:t>an amount paid on or after the death of the deceased under a policy of insurance on the life of the deceased;</w:t>
      </w:r>
    </w:p>
    <w:p w:rsidR="00EF666B" w:rsidRPr="002B1A95" w:rsidRDefault="00EF666B" w:rsidP="00EF666B">
      <w:pPr>
        <w:pStyle w:val="BoxPara"/>
        <w:rPr>
          <w:strike/>
        </w:rPr>
      </w:pPr>
      <w:r w:rsidRPr="002B1A95">
        <w:tab/>
        <w:t>(b)</w:t>
      </w:r>
      <w:r w:rsidRPr="002B1A95">
        <w:tab/>
        <w:t>an amount arising on or after the death of the deceased from self</w:t>
      </w:r>
      <w:r w:rsidR="00782250">
        <w:noBreakHyphen/>
      </w:r>
      <w:r w:rsidRPr="002B1A95">
        <w:t>insurance.</w:t>
      </w:r>
    </w:p>
    <w:p w:rsidR="00EF666B" w:rsidRPr="002B1A95" w:rsidRDefault="00EF666B" w:rsidP="00EF666B">
      <w:pPr>
        <w:pStyle w:val="BoxStep"/>
      </w:pPr>
      <w:r w:rsidRPr="002B1A95">
        <w:t>Step 2.</w:t>
      </w:r>
      <w:r w:rsidRPr="002B1A95">
        <w:tab/>
        <w:t>The tax free component of the benefit is the amount that represents the same proportion of the amount resulting from step 1 as the tax free component of the relevant superannuation interest bore to the value of the relevant superannuation interest when the original superannuation income stream commenced.</w:t>
      </w:r>
    </w:p>
    <w:p w:rsidR="00EF666B" w:rsidRPr="002B1A95" w:rsidRDefault="00EF666B" w:rsidP="00EF666B">
      <w:pPr>
        <w:pStyle w:val="BoxStep"/>
      </w:pPr>
      <w:r w:rsidRPr="002B1A95">
        <w:t>Step 3.</w:t>
      </w:r>
      <w:r w:rsidRPr="002B1A95">
        <w:tab/>
        <w:t>The taxable component of the benefit is the amount of the benefit less the tax free component of the benefit worked out under step 2.</w:t>
      </w:r>
    </w:p>
    <w:p w:rsidR="00EF666B" w:rsidRPr="002B1A95" w:rsidRDefault="00EF666B" w:rsidP="00EF666B">
      <w:pPr>
        <w:pStyle w:val="ActHead4"/>
      </w:pPr>
      <w:bookmarkStart w:id="124" w:name="_Toc49765304"/>
      <w:r w:rsidRPr="00411C46">
        <w:rPr>
          <w:rStyle w:val="CharSubdNo"/>
          <w:rFonts w:eastAsiaTheme="majorEastAsia"/>
        </w:rPr>
        <w:t>Subdivision</w:t>
      </w:r>
      <w:r w:rsidR="002B1A95" w:rsidRPr="00411C46">
        <w:rPr>
          <w:rStyle w:val="CharSubdNo"/>
          <w:rFonts w:eastAsiaTheme="majorEastAsia"/>
        </w:rPr>
        <w:t> </w:t>
      </w:r>
      <w:r w:rsidRPr="00411C46">
        <w:rPr>
          <w:rStyle w:val="CharSubdNo"/>
          <w:rFonts w:eastAsiaTheme="majorEastAsia"/>
        </w:rPr>
        <w:t>307</w:t>
      </w:r>
      <w:r w:rsidR="00782250" w:rsidRPr="00411C46">
        <w:rPr>
          <w:rStyle w:val="CharSubdNo"/>
          <w:rFonts w:eastAsiaTheme="majorEastAsia"/>
        </w:rPr>
        <w:noBreakHyphen/>
      </w:r>
      <w:r w:rsidRPr="00411C46">
        <w:rPr>
          <w:rStyle w:val="CharSubdNo"/>
          <w:rFonts w:eastAsiaTheme="majorEastAsia"/>
        </w:rPr>
        <w:t>D</w:t>
      </w:r>
      <w:r w:rsidRPr="002B1A95">
        <w:t>—</w:t>
      </w:r>
      <w:r w:rsidRPr="00411C46">
        <w:rPr>
          <w:rStyle w:val="CharSubdText"/>
          <w:rFonts w:eastAsiaTheme="majorEastAsia"/>
        </w:rPr>
        <w:t>Superannuation interests</w:t>
      </w:r>
      <w:bookmarkEnd w:id="124"/>
    </w:p>
    <w:p w:rsidR="00EF666B" w:rsidRPr="002B1A95" w:rsidRDefault="00EF666B" w:rsidP="00EF666B">
      <w:pPr>
        <w:pStyle w:val="ActHead5"/>
      </w:pPr>
      <w:bookmarkStart w:id="125" w:name="_Toc49765305"/>
      <w:r w:rsidRPr="00411C46">
        <w:rPr>
          <w:rStyle w:val="CharSectno"/>
        </w:rPr>
        <w:t>307</w:t>
      </w:r>
      <w:r w:rsidR="00782250" w:rsidRPr="00411C46">
        <w:rPr>
          <w:rStyle w:val="CharSectno"/>
        </w:rPr>
        <w:noBreakHyphen/>
      </w:r>
      <w:r w:rsidRPr="00411C46">
        <w:rPr>
          <w:rStyle w:val="CharSectno"/>
        </w:rPr>
        <w:t>200.01</w:t>
      </w:r>
      <w:r w:rsidRPr="002B1A95">
        <w:t xml:space="preserve">  Application of sections</w:t>
      </w:r>
      <w:r w:rsidR="002B1A95" w:rsidRPr="002B1A95">
        <w:t> </w:t>
      </w:r>
      <w:r w:rsidRPr="002B1A95">
        <w:t>307</w:t>
      </w:r>
      <w:r w:rsidR="00782250">
        <w:noBreakHyphen/>
      </w:r>
      <w:r w:rsidRPr="002B1A95">
        <w:t>200.02 to 307</w:t>
      </w:r>
      <w:r w:rsidR="00782250">
        <w:noBreakHyphen/>
      </w:r>
      <w:r w:rsidRPr="002B1A95">
        <w:t>200.05 to Subdivisions</w:t>
      </w:r>
      <w:r w:rsidR="002B1A95" w:rsidRPr="002B1A95">
        <w:t> </w:t>
      </w:r>
      <w:r w:rsidRPr="002B1A95">
        <w:t>291</w:t>
      </w:r>
      <w:r w:rsidR="00782250">
        <w:noBreakHyphen/>
      </w:r>
      <w:r w:rsidRPr="002B1A95">
        <w:t>C and 293</w:t>
      </w:r>
      <w:r w:rsidR="00782250">
        <w:noBreakHyphen/>
      </w:r>
      <w:r w:rsidRPr="002B1A95">
        <w:t>D of the Act</w:t>
      </w:r>
      <w:bookmarkEnd w:id="125"/>
    </w:p>
    <w:p w:rsidR="00EF666B" w:rsidRPr="002B1A95" w:rsidRDefault="00EF666B" w:rsidP="00EF666B">
      <w:pPr>
        <w:pStyle w:val="subsection"/>
      </w:pPr>
      <w:r w:rsidRPr="002B1A95">
        <w:tab/>
      </w:r>
      <w:r w:rsidRPr="002B1A95">
        <w:tab/>
        <w:t>For the purposes of section</w:t>
      </w:r>
      <w:r w:rsidR="002B1A95" w:rsidRPr="002B1A95">
        <w:t> </w:t>
      </w:r>
      <w:r w:rsidRPr="002B1A95">
        <w:t>307</w:t>
      </w:r>
      <w:r w:rsidR="00782250">
        <w:noBreakHyphen/>
      </w:r>
      <w:r w:rsidRPr="002B1A95">
        <w:t>200 of the Act, sections</w:t>
      </w:r>
      <w:r w:rsidR="002B1A95" w:rsidRPr="002B1A95">
        <w:t> </w:t>
      </w:r>
      <w:r w:rsidRPr="002B1A95">
        <w:t>307</w:t>
      </w:r>
      <w:r w:rsidR="00782250">
        <w:noBreakHyphen/>
      </w:r>
      <w:r w:rsidRPr="002B1A95">
        <w:t>200.02 to 307</w:t>
      </w:r>
      <w:r w:rsidR="00782250">
        <w:noBreakHyphen/>
      </w:r>
      <w:r w:rsidRPr="002B1A95">
        <w:t>200.05 specify ways of treating superannuation interests other than for the purposes of:</w:t>
      </w:r>
    </w:p>
    <w:p w:rsidR="00EF666B" w:rsidRPr="002B1A95" w:rsidRDefault="00EF666B" w:rsidP="00EF666B">
      <w:pPr>
        <w:pStyle w:val="paragraph"/>
      </w:pPr>
      <w:r w:rsidRPr="002B1A95">
        <w:tab/>
        <w:t>(a)</w:t>
      </w:r>
      <w:r w:rsidRPr="002B1A95">
        <w:tab/>
        <w:t>calculating an amount of contributions under Subdivision</w:t>
      </w:r>
      <w:r w:rsidR="002B1A95" w:rsidRPr="002B1A95">
        <w:t> </w:t>
      </w:r>
      <w:r w:rsidRPr="002B1A95">
        <w:t>291</w:t>
      </w:r>
      <w:r w:rsidR="00782250">
        <w:noBreakHyphen/>
      </w:r>
      <w:r w:rsidRPr="002B1A95">
        <w:t>C of the Act; or</w:t>
      </w:r>
    </w:p>
    <w:p w:rsidR="00EF666B" w:rsidRPr="002B1A95" w:rsidRDefault="00EF666B" w:rsidP="00EF666B">
      <w:pPr>
        <w:pStyle w:val="paragraph"/>
      </w:pPr>
      <w:r w:rsidRPr="002B1A95">
        <w:tab/>
        <w:t>(b)</w:t>
      </w:r>
      <w:r w:rsidRPr="002B1A95">
        <w:tab/>
        <w:t>calculating low tax contributions under Subdivision</w:t>
      </w:r>
      <w:r w:rsidR="002B1A95" w:rsidRPr="002B1A95">
        <w:t> </w:t>
      </w:r>
      <w:r w:rsidRPr="002B1A95">
        <w:t>293</w:t>
      </w:r>
      <w:r w:rsidR="00782250">
        <w:noBreakHyphen/>
      </w:r>
      <w:r w:rsidRPr="002B1A95">
        <w:t>D of the Act.</w:t>
      </w:r>
    </w:p>
    <w:p w:rsidR="00EF666B" w:rsidRPr="002B1A95" w:rsidRDefault="00EF666B" w:rsidP="00EF666B">
      <w:pPr>
        <w:pStyle w:val="ActHead5"/>
      </w:pPr>
      <w:bookmarkStart w:id="126" w:name="_Toc49765306"/>
      <w:r w:rsidRPr="00411C46">
        <w:rPr>
          <w:rStyle w:val="CharSectno"/>
        </w:rPr>
        <w:lastRenderedPageBreak/>
        <w:t>307</w:t>
      </w:r>
      <w:r w:rsidR="00782250" w:rsidRPr="00411C46">
        <w:rPr>
          <w:rStyle w:val="CharSectno"/>
        </w:rPr>
        <w:noBreakHyphen/>
      </w:r>
      <w:r w:rsidRPr="00411C46">
        <w:rPr>
          <w:rStyle w:val="CharSectno"/>
        </w:rPr>
        <w:t>200.02</w:t>
      </w:r>
      <w:r w:rsidRPr="002B1A95">
        <w:t xml:space="preserve">  Meaning of superannuation interests</w:t>
      </w:r>
      <w:r w:rsidRPr="002B1A95">
        <w:rPr>
          <w:i/>
        </w:rPr>
        <w:t>—</w:t>
      </w:r>
      <w:r w:rsidRPr="002B1A95">
        <w:t>treating superannuation interests as 1 superannuation interest (self</w:t>
      </w:r>
      <w:r w:rsidR="00782250">
        <w:noBreakHyphen/>
      </w:r>
      <w:r w:rsidRPr="002B1A95">
        <w:t>managed superannuation funds)</w:t>
      </w:r>
      <w:bookmarkEnd w:id="126"/>
    </w:p>
    <w:p w:rsidR="00EF666B" w:rsidRPr="002B1A95" w:rsidRDefault="00EF666B" w:rsidP="00EF666B">
      <w:pPr>
        <w:pStyle w:val="subsection"/>
      </w:pPr>
      <w:r w:rsidRPr="002B1A95">
        <w:tab/>
      </w:r>
      <w:r w:rsidRPr="002B1A95">
        <w:tab/>
        <w:t>For the purposes of subsection</w:t>
      </w:r>
      <w:r w:rsidR="002B1A95" w:rsidRPr="002B1A95">
        <w:t> </w:t>
      </w:r>
      <w:r w:rsidRPr="002B1A95">
        <w:t>307</w:t>
      </w:r>
      <w:r w:rsidR="00782250">
        <w:noBreakHyphen/>
      </w:r>
      <w:r w:rsidRPr="002B1A95">
        <w:t>200(2) of the Act, 2 or more superannuation interests that a member holds in a self</w:t>
      </w:r>
      <w:r w:rsidR="00782250">
        <w:noBreakHyphen/>
      </w:r>
      <w:r w:rsidRPr="002B1A95">
        <w:t>managed superannuation fund are to be treated as one superannuation interest by:</w:t>
      </w:r>
    </w:p>
    <w:p w:rsidR="00EF666B" w:rsidRPr="002B1A95" w:rsidRDefault="00EF666B" w:rsidP="00EF666B">
      <w:pPr>
        <w:pStyle w:val="paragraph"/>
      </w:pPr>
      <w:r w:rsidRPr="002B1A95">
        <w:tab/>
        <w:t>(a)</w:t>
      </w:r>
      <w:r w:rsidRPr="002B1A95">
        <w:tab/>
        <w:t>treating every amount, benefit or entitlement that the member holds in the fund as one superannuation interest; but</w:t>
      </w:r>
    </w:p>
    <w:p w:rsidR="00EF666B" w:rsidRPr="002B1A95" w:rsidRDefault="00EF666B" w:rsidP="00EF666B">
      <w:pPr>
        <w:pStyle w:val="paragraph"/>
      </w:pPr>
      <w:r w:rsidRPr="002B1A95">
        <w:tab/>
        <w:t>(b)</w:t>
      </w:r>
      <w:r w:rsidRPr="002B1A95">
        <w:tab/>
        <w:t>excluding from that treatment any amount, benefit or entitlement that is to be treated as 2 or more superannuation interests in accordance with section 307</w:t>
      </w:r>
      <w:r w:rsidR="00782250">
        <w:noBreakHyphen/>
      </w:r>
      <w:r w:rsidRPr="002B1A95">
        <w:t>200.05.</w:t>
      </w:r>
    </w:p>
    <w:p w:rsidR="00EF666B" w:rsidRPr="002B1A95" w:rsidRDefault="00EF666B" w:rsidP="00EF666B">
      <w:pPr>
        <w:pStyle w:val="ActHead5"/>
      </w:pPr>
      <w:bookmarkStart w:id="127" w:name="_Toc49765307"/>
      <w:r w:rsidRPr="00411C46">
        <w:rPr>
          <w:rStyle w:val="CharSectno"/>
        </w:rPr>
        <w:t>307</w:t>
      </w:r>
      <w:r w:rsidR="00782250" w:rsidRPr="00411C46">
        <w:rPr>
          <w:rStyle w:val="CharSectno"/>
        </w:rPr>
        <w:noBreakHyphen/>
      </w:r>
      <w:r w:rsidRPr="00411C46">
        <w:rPr>
          <w:rStyle w:val="CharSectno"/>
        </w:rPr>
        <w:t>200.03</w:t>
      </w:r>
      <w:r w:rsidRPr="002B1A95">
        <w:t xml:space="preserve">  Meaning of superannuation interests—treating a superannuation interest as 2 or more superannuation interests (public sector schemes)</w:t>
      </w:r>
      <w:bookmarkEnd w:id="127"/>
    </w:p>
    <w:p w:rsidR="00EF666B" w:rsidRPr="002B1A95" w:rsidRDefault="00EF666B" w:rsidP="00EF666B">
      <w:pPr>
        <w:pStyle w:val="subsection"/>
      </w:pPr>
      <w:r w:rsidRPr="002B1A95">
        <w:tab/>
        <w:t>(1)</w:t>
      </w:r>
      <w:r w:rsidRPr="002B1A95">
        <w:tab/>
        <w:t>For the purposes of subsection</w:t>
      </w:r>
      <w:r w:rsidR="002B1A95" w:rsidRPr="002B1A95">
        <w:t> </w:t>
      </w:r>
      <w:r w:rsidRPr="002B1A95">
        <w:t>307</w:t>
      </w:r>
      <w:r w:rsidR="00782250">
        <w:noBreakHyphen/>
      </w:r>
      <w:r w:rsidRPr="002B1A95">
        <w:t xml:space="preserve">200(1) of the Act, a superannuation interest in a public sector superannuation scheme is to be treated as the 2 superannuation interests referred to in </w:t>
      </w:r>
      <w:r w:rsidR="002B1A95" w:rsidRPr="002B1A95">
        <w:t>subsection (</w:t>
      </w:r>
      <w:r w:rsidRPr="002B1A95">
        <w:t xml:space="preserve">3) in the circumstances specified in </w:t>
      </w:r>
      <w:r w:rsidR="002B1A95" w:rsidRPr="002B1A95">
        <w:t>subsection (</w:t>
      </w:r>
      <w:r w:rsidRPr="002B1A95">
        <w:t>2).</w:t>
      </w:r>
    </w:p>
    <w:p w:rsidR="00EF666B" w:rsidRPr="002B1A95" w:rsidRDefault="00EF666B" w:rsidP="00EF666B">
      <w:pPr>
        <w:pStyle w:val="subsection"/>
      </w:pPr>
      <w:r w:rsidRPr="002B1A95">
        <w:tab/>
        <w:t>(2)</w:t>
      </w:r>
      <w:r w:rsidRPr="002B1A95">
        <w:tab/>
        <w:t>The interest is to be treated as 2 interests if:</w:t>
      </w:r>
    </w:p>
    <w:p w:rsidR="00EF666B" w:rsidRPr="002B1A95" w:rsidRDefault="00EF666B" w:rsidP="00EF666B">
      <w:pPr>
        <w:pStyle w:val="paragraph"/>
      </w:pPr>
      <w:r w:rsidRPr="002B1A95">
        <w:tab/>
        <w:t>(a)</w:t>
      </w:r>
      <w:r w:rsidRPr="002B1A95">
        <w:tab/>
        <w:t>the superannuation benefit that is to be paid from the scheme is sourced:</w:t>
      </w:r>
    </w:p>
    <w:p w:rsidR="00EF666B" w:rsidRPr="002B1A95" w:rsidRDefault="00EF666B" w:rsidP="00EF666B">
      <w:pPr>
        <w:pStyle w:val="paragraphsub"/>
      </w:pPr>
      <w:r w:rsidRPr="002B1A95">
        <w:tab/>
        <w:t>(i)</w:t>
      </w:r>
      <w:r w:rsidRPr="002B1A95">
        <w:tab/>
        <w:t>partly from contributions made into the scheme or earnings on those contributions; and</w:t>
      </w:r>
    </w:p>
    <w:p w:rsidR="00EF666B" w:rsidRPr="002B1A95" w:rsidRDefault="00EF666B" w:rsidP="00EF666B">
      <w:pPr>
        <w:pStyle w:val="paragraphsub"/>
      </w:pPr>
      <w:r w:rsidRPr="002B1A95">
        <w:tab/>
        <w:t>(ii)</w:t>
      </w:r>
      <w:r w:rsidRPr="002B1A95">
        <w:tab/>
        <w:t>partly from one or more other sources; or</w:t>
      </w:r>
    </w:p>
    <w:p w:rsidR="00EF666B" w:rsidRPr="002B1A95" w:rsidRDefault="00EF666B" w:rsidP="00EF666B">
      <w:pPr>
        <w:pStyle w:val="paragraph"/>
      </w:pPr>
      <w:r w:rsidRPr="002B1A95">
        <w:tab/>
        <w:t>(b)</w:t>
      </w:r>
      <w:r w:rsidRPr="002B1A95">
        <w:tab/>
        <w:t>the superannuation benefits that are to be paid from the scheme are sourced:</w:t>
      </w:r>
    </w:p>
    <w:p w:rsidR="00EF666B" w:rsidRPr="002B1A95" w:rsidRDefault="00EF666B" w:rsidP="00EF666B">
      <w:pPr>
        <w:pStyle w:val="paragraphsub"/>
      </w:pPr>
      <w:r w:rsidRPr="002B1A95">
        <w:tab/>
        <w:t>(i)</w:t>
      </w:r>
      <w:r w:rsidRPr="002B1A95">
        <w:tab/>
        <w:t>partly from contributions made into the scheme or earnings on those contributions; and</w:t>
      </w:r>
    </w:p>
    <w:p w:rsidR="00EF666B" w:rsidRPr="002B1A95" w:rsidRDefault="00EF666B" w:rsidP="00EF666B">
      <w:pPr>
        <w:pStyle w:val="paragraphsub"/>
      </w:pPr>
      <w:r w:rsidRPr="002B1A95">
        <w:tab/>
        <w:t>(ii)</w:t>
      </w:r>
      <w:r w:rsidRPr="002B1A95">
        <w:tab/>
        <w:t>partly from one or more other sources.</w:t>
      </w:r>
    </w:p>
    <w:p w:rsidR="00EF666B" w:rsidRPr="002B1A95" w:rsidRDefault="00EF666B" w:rsidP="00EF666B">
      <w:pPr>
        <w:pStyle w:val="subsection"/>
      </w:pPr>
      <w:r w:rsidRPr="002B1A95">
        <w:tab/>
        <w:t>(3)</w:t>
      </w:r>
      <w:r w:rsidRPr="002B1A95">
        <w:tab/>
        <w:t>The 2 interests are:</w:t>
      </w:r>
    </w:p>
    <w:p w:rsidR="00EF666B" w:rsidRPr="002B1A95" w:rsidRDefault="00EF666B" w:rsidP="00EF666B">
      <w:pPr>
        <w:pStyle w:val="paragraph"/>
      </w:pPr>
      <w:r w:rsidRPr="002B1A95">
        <w:tab/>
        <w:t>(a)</w:t>
      </w:r>
      <w:r w:rsidRPr="002B1A95">
        <w:tab/>
        <w:t>an interest that consists of the contributions made into the scheme and the earnings on those contributions; and</w:t>
      </w:r>
    </w:p>
    <w:p w:rsidR="00EF666B" w:rsidRPr="002B1A95" w:rsidRDefault="00EF666B" w:rsidP="00EF666B">
      <w:pPr>
        <w:pStyle w:val="paragraph"/>
      </w:pPr>
      <w:r w:rsidRPr="002B1A95">
        <w:tab/>
        <w:t>(b)</w:t>
      </w:r>
      <w:r w:rsidRPr="002B1A95">
        <w:tab/>
        <w:t>an interest that consists of the remainder of the amount sourced from the other source or sources.</w:t>
      </w:r>
    </w:p>
    <w:p w:rsidR="00EF666B" w:rsidRPr="002B1A95" w:rsidRDefault="00EF666B" w:rsidP="00EF666B">
      <w:pPr>
        <w:pStyle w:val="subsection"/>
      </w:pPr>
      <w:r w:rsidRPr="002B1A95">
        <w:tab/>
        <w:t>(4)</w:t>
      </w:r>
      <w:r w:rsidRPr="002B1A95">
        <w:tab/>
        <w:t>For the purposes of this section, an amount specified in a notice given under subsection</w:t>
      </w:r>
      <w:r w:rsidR="002B1A95" w:rsidRPr="002B1A95">
        <w:t> </w:t>
      </w:r>
      <w:r w:rsidRPr="002B1A95">
        <w:t>307</w:t>
      </w:r>
      <w:r w:rsidR="00782250">
        <w:noBreakHyphen/>
      </w:r>
      <w:r w:rsidRPr="002B1A95">
        <w:t>285(1) of the Act by the trustee of a scheme is not treated as contributions made into the scheme or earnings on those contributions.</w:t>
      </w:r>
    </w:p>
    <w:p w:rsidR="00EF666B" w:rsidRPr="002B1A95" w:rsidRDefault="00EF666B" w:rsidP="00EF666B">
      <w:pPr>
        <w:pStyle w:val="ActHead5"/>
      </w:pPr>
      <w:bookmarkStart w:id="128" w:name="_Toc49765308"/>
      <w:r w:rsidRPr="00411C46">
        <w:rPr>
          <w:rStyle w:val="CharSectno"/>
        </w:rPr>
        <w:t>307</w:t>
      </w:r>
      <w:r w:rsidR="00782250" w:rsidRPr="00411C46">
        <w:rPr>
          <w:rStyle w:val="CharSectno"/>
        </w:rPr>
        <w:noBreakHyphen/>
      </w:r>
      <w:r w:rsidRPr="00411C46">
        <w:rPr>
          <w:rStyle w:val="CharSectno"/>
        </w:rPr>
        <w:t>200.05</w:t>
      </w:r>
      <w:r w:rsidRPr="002B1A95">
        <w:t xml:space="preserve">  Meaning of superannuation interests—treating a superannuation interest as 2 or more superannuation interests (superannuation income streams)</w:t>
      </w:r>
      <w:bookmarkEnd w:id="128"/>
    </w:p>
    <w:p w:rsidR="00EF666B" w:rsidRPr="002B1A95" w:rsidRDefault="00EF666B" w:rsidP="00EF666B">
      <w:pPr>
        <w:pStyle w:val="subsection"/>
      </w:pPr>
      <w:r w:rsidRPr="002B1A95">
        <w:tab/>
      </w:r>
      <w:r w:rsidRPr="002B1A95">
        <w:tab/>
        <w:t>For the purposes of subsection</w:t>
      </w:r>
      <w:r w:rsidR="002B1A95" w:rsidRPr="002B1A95">
        <w:t> </w:t>
      </w:r>
      <w:r w:rsidRPr="002B1A95">
        <w:t>307</w:t>
      </w:r>
      <w:r w:rsidR="00782250">
        <w:noBreakHyphen/>
      </w:r>
      <w:r w:rsidRPr="002B1A95">
        <w:t>200(1) of the Act, if a superannuation income stream:</w:t>
      </w:r>
    </w:p>
    <w:p w:rsidR="00EF666B" w:rsidRPr="002B1A95" w:rsidRDefault="00EF666B" w:rsidP="00EF666B">
      <w:pPr>
        <w:pStyle w:val="paragraph"/>
      </w:pPr>
      <w:r w:rsidRPr="002B1A95">
        <w:lastRenderedPageBreak/>
        <w:tab/>
        <w:t>(a)</w:t>
      </w:r>
      <w:r w:rsidRPr="002B1A95">
        <w:tab/>
        <w:t>is payable; or</w:t>
      </w:r>
    </w:p>
    <w:p w:rsidR="00EF666B" w:rsidRPr="002B1A95" w:rsidRDefault="00EF666B" w:rsidP="00EF666B">
      <w:pPr>
        <w:pStyle w:val="paragraph"/>
      </w:pPr>
      <w:r w:rsidRPr="002B1A95">
        <w:tab/>
        <w:t>(b)</w:t>
      </w:r>
      <w:r w:rsidRPr="002B1A95">
        <w:tab/>
        <w:t>will be payable, and it is a deferred superannuation income stream covered by paragraph 307</w:t>
      </w:r>
      <w:r w:rsidR="00782250">
        <w:noBreakHyphen/>
      </w:r>
      <w:r w:rsidRPr="002B1A95">
        <w:t>70.02(1)(c);</w:t>
      </w:r>
    </w:p>
    <w:p w:rsidR="00EF666B" w:rsidRPr="002B1A95" w:rsidRDefault="00EF666B" w:rsidP="00EF666B">
      <w:pPr>
        <w:pStyle w:val="subsection2"/>
      </w:pPr>
      <w:r w:rsidRPr="002B1A95">
        <w:t>an amount that supports the superannuation income stream is always to be treated as a separate superannuation interest.</w:t>
      </w:r>
    </w:p>
    <w:p w:rsidR="00EF666B" w:rsidRPr="002B1A95" w:rsidRDefault="00EF666B" w:rsidP="00EF666B">
      <w:pPr>
        <w:pStyle w:val="ActHead5"/>
      </w:pPr>
      <w:bookmarkStart w:id="129" w:name="_Toc49765309"/>
      <w:r w:rsidRPr="00411C46">
        <w:rPr>
          <w:rStyle w:val="CharSectno"/>
        </w:rPr>
        <w:t>307</w:t>
      </w:r>
      <w:r w:rsidR="00782250" w:rsidRPr="00411C46">
        <w:rPr>
          <w:rStyle w:val="CharSectno"/>
        </w:rPr>
        <w:noBreakHyphen/>
      </w:r>
      <w:r w:rsidRPr="00411C46">
        <w:rPr>
          <w:rStyle w:val="CharSectno"/>
        </w:rPr>
        <w:t>205.01</w:t>
      </w:r>
      <w:r w:rsidRPr="002B1A95">
        <w:t xml:space="preserve">  Value of superannuation interest for calculating pre</w:t>
      </w:r>
      <w:r w:rsidR="00782250">
        <w:noBreakHyphen/>
      </w:r>
      <w:r w:rsidRPr="002B1A95">
        <w:t>July 83 amount for members in the contributions and investment phase</w:t>
      </w:r>
      <w:bookmarkEnd w:id="129"/>
    </w:p>
    <w:p w:rsidR="00EF666B" w:rsidRPr="002B1A95" w:rsidRDefault="00EF666B" w:rsidP="00EF666B">
      <w:pPr>
        <w:pStyle w:val="subsection"/>
      </w:pPr>
      <w:r w:rsidRPr="002B1A95">
        <w:rPr>
          <w:color w:val="000000"/>
        </w:rPr>
        <w:tab/>
        <w:t>(1)</w:t>
      </w:r>
      <w:r w:rsidRPr="002B1A95">
        <w:rPr>
          <w:color w:val="000000"/>
        </w:rPr>
        <w:tab/>
        <w:t>For the purposes of paragraph</w:t>
      </w:r>
      <w:r w:rsidR="002B1A95" w:rsidRPr="002B1A95">
        <w:rPr>
          <w:color w:val="000000"/>
        </w:rPr>
        <w:t> </w:t>
      </w:r>
      <w:r w:rsidRPr="002B1A95">
        <w:t>307</w:t>
      </w:r>
      <w:r w:rsidR="00782250">
        <w:noBreakHyphen/>
      </w:r>
      <w:r w:rsidRPr="002B1A95">
        <w:t>205(1)(a)</w:t>
      </w:r>
      <w:r w:rsidRPr="002B1A95">
        <w:rPr>
          <w:color w:val="000000"/>
        </w:rPr>
        <w:t xml:space="preserve"> of the Act, this section specifies methods for determining the value of a superannuation interest of a member of a superannuation fund at a particular time for the purposes of calculating the pre</w:t>
      </w:r>
      <w:r w:rsidR="00782250">
        <w:rPr>
          <w:color w:val="000000"/>
        </w:rPr>
        <w:noBreakHyphen/>
      </w:r>
      <w:r w:rsidRPr="002B1A95">
        <w:rPr>
          <w:color w:val="000000"/>
        </w:rPr>
        <w:t>July 83 amount of the crystallised segment of a tax free component under section</w:t>
      </w:r>
      <w:r w:rsidR="002B1A95" w:rsidRPr="002B1A95">
        <w:rPr>
          <w:color w:val="000000"/>
        </w:rPr>
        <w:t> </w:t>
      </w:r>
      <w:r w:rsidRPr="002B1A95">
        <w:rPr>
          <w:color w:val="000000"/>
        </w:rPr>
        <w:t>307</w:t>
      </w:r>
      <w:r w:rsidR="00782250">
        <w:rPr>
          <w:color w:val="000000"/>
        </w:rPr>
        <w:noBreakHyphen/>
      </w:r>
      <w:r w:rsidRPr="002B1A95">
        <w:rPr>
          <w:color w:val="000000"/>
        </w:rPr>
        <w:t>225 of the Act.</w:t>
      </w:r>
    </w:p>
    <w:p w:rsidR="00EF666B" w:rsidRPr="002B1A95" w:rsidRDefault="00EF666B" w:rsidP="00EF666B">
      <w:pPr>
        <w:pStyle w:val="notetext"/>
        <w:rPr>
          <w:color w:val="000000"/>
        </w:rPr>
      </w:pPr>
      <w:r w:rsidRPr="002B1A95">
        <w:rPr>
          <w:color w:val="000000"/>
        </w:rPr>
        <w:t>Note:</w:t>
      </w:r>
      <w:r w:rsidRPr="002B1A95">
        <w:rPr>
          <w:color w:val="000000"/>
        </w:rPr>
        <w:tab/>
        <w:t>Calculating the pre</w:t>
      </w:r>
      <w:r w:rsidR="00782250">
        <w:rPr>
          <w:color w:val="000000"/>
        </w:rPr>
        <w:noBreakHyphen/>
      </w:r>
      <w:r w:rsidRPr="002B1A95">
        <w:rPr>
          <w:color w:val="000000"/>
        </w:rPr>
        <w:t>July 83 amount of the crystallised segment of the tax free component will require the superannuation interest to be valued before 1</w:t>
      </w:r>
      <w:r w:rsidR="002B1A95" w:rsidRPr="002B1A95">
        <w:rPr>
          <w:color w:val="000000"/>
        </w:rPr>
        <w:t> </w:t>
      </w:r>
      <w:r w:rsidRPr="002B1A95">
        <w:rPr>
          <w:color w:val="000000"/>
        </w:rPr>
        <w:t>July 2007. This calculation will only be performed for a superannuation interest in the accumulation phase, and only for a superannuation interest in which part of the taxable component is comprised of an element taxed in the fund.</w:t>
      </w:r>
    </w:p>
    <w:p w:rsidR="00EF666B" w:rsidRPr="002B1A95" w:rsidRDefault="00EF666B" w:rsidP="00EF666B">
      <w:pPr>
        <w:pStyle w:val="SubsectionHead"/>
        <w:spacing w:before="180"/>
      </w:pPr>
      <w:r w:rsidRPr="002B1A95">
        <w:t>Defined benefit interest</w:t>
      </w:r>
    </w:p>
    <w:p w:rsidR="00EF666B" w:rsidRPr="002B1A95" w:rsidRDefault="00EF666B" w:rsidP="00EF666B">
      <w:pPr>
        <w:pStyle w:val="subsection"/>
      </w:pPr>
      <w:r w:rsidRPr="002B1A95">
        <w:rPr>
          <w:color w:val="000000"/>
        </w:rPr>
        <w:tab/>
        <w:t>(2)</w:t>
      </w:r>
      <w:r w:rsidRPr="002B1A95">
        <w:rPr>
          <w:color w:val="000000"/>
        </w:rPr>
        <w:tab/>
        <w:t>For a superannuation interest that is a defined benefit interest, the method is as follows.</w:t>
      </w:r>
    </w:p>
    <w:p w:rsidR="00EF666B" w:rsidRPr="002B1A95" w:rsidRDefault="00EF666B" w:rsidP="00EF666B">
      <w:pPr>
        <w:pStyle w:val="BoxHeadItalic"/>
      </w:pPr>
      <w:r w:rsidRPr="002B1A95">
        <w:t>Method statement</w:t>
      </w:r>
    </w:p>
    <w:p w:rsidR="00EF666B" w:rsidRPr="002B1A95" w:rsidRDefault="00EF666B" w:rsidP="00EF666B">
      <w:pPr>
        <w:pStyle w:val="BoxStep"/>
      </w:pPr>
      <w:r w:rsidRPr="002B1A95">
        <w:t>Step 1.</w:t>
      </w:r>
      <w:r w:rsidRPr="002B1A95">
        <w:tab/>
        <w:t>Calculate, in accordance with section 307</w:t>
      </w:r>
      <w:r w:rsidR="00782250">
        <w:noBreakHyphen/>
      </w:r>
      <w:r w:rsidRPr="002B1A95">
        <w:t xml:space="preserve">205.01A, the value of the </w:t>
      </w:r>
      <w:r w:rsidRPr="002B1A95">
        <w:rPr>
          <w:rFonts w:eastAsia="MS Mincho"/>
        </w:rPr>
        <w:t>retirement</w:t>
      </w:r>
      <w:r w:rsidRPr="002B1A95">
        <w:t xml:space="preserve"> benefit that would have been payable if the member:</w:t>
      </w:r>
    </w:p>
    <w:p w:rsidR="00EF666B" w:rsidRPr="002B1A95" w:rsidRDefault="00EF666B" w:rsidP="00EF666B">
      <w:pPr>
        <w:pStyle w:val="BoxPara"/>
      </w:pPr>
      <w:r w:rsidRPr="002B1A95">
        <w:tab/>
        <w:t>(a)</w:t>
      </w:r>
      <w:r w:rsidRPr="002B1A95">
        <w:tab/>
        <w:t xml:space="preserve">had been </w:t>
      </w:r>
      <w:r w:rsidRPr="002B1A95">
        <w:rPr>
          <w:rFonts w:eastAsia="MS Mincho"/>
        </w:rPr>
        <w:t>eligible</w:t>
      </w:r>
      <w:r w:rsidRPr="002B1A95">
        <w:t xml:space="preserve"> to retire immediately before 1</w:t>
      </w:r>
      <w:r w:rsidR="002B1A95" w:rsidRPr="002B1A95">
        <w:t> </w:t>
      </w:r>
      <w:r w:rsidRPr="002B1A95">
        <w:t>July 2007; and</w:t>
      </w:r>
    </w:p>
    <w:p w:rsidR="00EF666B" w:rsidRPr="002B1A95" w:rsidRDefault="00EF666B" w:rsidP="00EF666B">
      <w:pPr>
        <w:pStyle w:val="BoxPara"/>
      </w:pPr>
      <w:r w:rsidRPr="002B1A95">
        <w:tab/>
        <w:t>(b)</w:t>
      </w:r>
      <w:r w:rsidRPr="002B1A95">
        <w:tab/>
        <w:t xml:space="preserve">had </w:t>
      </w:r>
      <w:r w:rsidRPr="002B1A95">
        <w:rPr>
          <w:rFonts w:eastAsia="MS Mincho"/>
        </w:rPr>
        <w:t>elected</w:t>
      </w:r>
      <w:r w:rsidRPr="002B1A95">
        <w:t xml:space="preserve"> to do so.</w:t>
      </w:r>
    </w:p>
    <w:p w:rsidR="00EF666B" w:rsidRPr="002B1A95" w:rsidRDefault="00EF666B" w:rsidP="00EF666B">
      <w:pPr>
        <w:pStyle w:val="BoxNote"/>
      </w:pPr>
      <w:r w:rsidRPr="002B1A95">
        <w:tab/>
        <w:t>Note:</w:t>
      </w:r>
      <w:r w:rsidRPr="002B1A95">
        <w:tab/>
        <w:t>If the member is no longer in the employment which gave rise to the interest, but the interest is preserved in the scheme, retirement is taken to be the point at which the benefit is payable without penalty to the member.</w:t>
      </w:r>
    </w:p>
    <w:p w:rsidR="00EF666B" w:rsidRPr="002B1A95" w:rsidRDefault="00EF666B" w:rsidP="00EF666B">
      <w:pPr>
        <w:pStyle w:val="BoxStep"/>
        <w:rPr>
          <w:color w:val="000000"/>
        </w:rPr>
      </w:pPr>
      <w:r w:rsidRPr="002B1A95">
        <w:rPr>
          <w:color w:val="000000"/>
        </w:rPr>
        <w:t>Step 2.</w:t>
      </w:r>
      <w:r w:rsidRPr="002B1A95">
        <w:rPr>
          <w:color w:val="000000"/>
        </w:rPr>
        <w:tab/>
        <w:t>If a superannuation lump sum benefit, including a roll</w:t>
      </w:r>
      <w:r w:rsidR="00782250">
        <w:rPr>
          <w:color w:val="000000"/>
        </w:rPr>
        <w:noBreakHyphen/>
      </w:r>
      <w:r w:rsidRPr="002B1A95">
        <w:rPr>
          <w:color w:val="000000"/>
        </w:rPr>
        <w:t>over superannuation benefit, would have been payable had the member resigned, or withdrawn the benefit, immediately before 1</w:t>
      </w:r>
      <w:r w:rsidR="002B1A95" w:rsidRPr="002B1A95">
        <w:rPr>
          <w:color w:val="000000"/>
        </w:rPr>
        <w:t> </w:t>
      </w:r>
      <w:r w:rsidRPr="002B1A95">
        <w:rPr>
          <w:color w:val="000000"/>
        </w:rPr>
        <w:t>July 2007, calculate the value of that benefit.</w:t>
      </w:r>
    </w:p>
    <w:p w:rsidR="00EF666B" w:rsidRPr="002B1A95" w:rsidRDefault="00EF666B" w:rsidP="00EF666B">
      <w:pPr>
        <w:pStyle w:val="BoxStep"/>
      </w:pPr>
      <w:r w:rsidRPr="002B1A95">
        <w:t>Step 3.</w:t>
      </w:r>
      <w:r w:rsidRPr="002B1A95">
        <w:tab/>
        <w:t>The value of the superannuation interest is the greater of the values worked out using steps 1 and 2.</w:t>
      </w:r>
    </w:p>
    <w:p w:rsidR="00EF666B" w:rsidRPr="002B1A95" w:rsidRDefault="00EF666B" w:rsidP="00EF666B">
      <w:pPr>
        <w:pStyle w:val="BoxStep"/>
      </w:pPr>
      <w:r w:rsidRPr="002B1A95">
        <w:rPr>
          <w:color w:val="000000"/>
        </w:rPr>
        <w:tab/>
        <w:t>If no value can be determined under step 2, the value of the superannuation interest is the value determined under step 1.</w:t>
      </w:r>
    </w:p>
    <w:p w:rsidR="00EF666B" w:rsidRPr="002B1A95" w:rsidRDefault="00EF666B" w:rsidP="00EF666B">
      <w:pPr>
        <w:pStyle w:val="SubsectionHead"/>
      </w:pPr>
      <w:r w:rsidRPr="002B1A95">
        <w:lastRenderedPageBreak/>
        <w:t>Interest other than defined benefit interest</w:t>
      </w:r>
    </w:p>
    <w:p w:rsidR="00EF666B" w:rsidRPr="002B1A95" w:rsidRDefault="00EF666B" w:rsidP="00EF666B">
      <w:pPr>
        <w:pStyle w:val="subsection"/>
      </w:pPr>
      <w:r w:rsidRPr="002B1A95">
        <w:rPr>
          <w:color w:val="000000"/>
        </w:rPr>
        <w:tab/>
        <w:t>(3)</w:t>
      </w:r>
      <w:r w:rsidRPr="002B1A95">
        <w:rPr>
          <w:color w:val="000000"/>
        </w:rPr>
        <w:tab/>
        <w:t>For a superannuation interest that is not a defined benefit interest, the method is as follows.</w:t>
      </w:r>
    </w:p>
    <w:p w:rsidR="00EF666B" w:rsidRPr="002B1A95" w:rsidRDefault="00EF666B" w:rsidP="00EF666B">
      <w:pPr>
        <w:pStyle w:val="BoxHeadItalic"/>
      </w:pPr>
      <w:r w:rsidRPr="002B1A95">
        <w:t>Method statement</w:t>
      </w:r>
    </w:p>
    <w:p w:rsidR="00EF666B" w:rsidRPr="002B1A95" w:rsidRDefault="00EF666B" w:rsidP="00EF666B">
      <w:pPr>
        <w:pStyle w:val="BoxStep"/>
        <w:rPr>
          <w:color w:val="000000"/>
        </w:rPr>
      </w:pPr>
      <w:r w:rsidRPr="002B1A95">
        <w:t>Step 1.</w:t>
      </w:r>
      <w:r w:rsidRPr="002B1A95">
        <w:tab/>
        <w:t>Assume that the member was eligible to retire immediately before 1</w:t>
      </w:r>
      <w:r w:rsidR="002B1A95" w:rsidRPr="002B1A95">
        <w:t> </w:t>
      </w:r>
      <w:r w:rsidRPr="002B1A95">
        <w:t xml:space="preserve">July 2007, and work out the total amount of all the superannuation lump sums that could be payable from the interest at that time. The </w:t>
      </w:r>
      <w:r w:rsidRPr="002B1A95">
        <w:rPr>
          <w:color w:val="000000"/>
        </w:rPr>
        <w:t xml:space="preserve">value of the superannuation interest </w:t>
      </w:r>
      <w:r w:rsidRPr="002B1A95">
        <w:t xml:space="preserve">is the total amount, </w:t>
      </w:r>
      <w:r w:rsidRPr="002B1A95">
        <w:rPr>
          <w:color w:val="000000"/>
        </w:rPr>
        <w:t>unless step 2 applies.</w:t>
      </w:r>
    </w:p>
    <w:p w:rsidR="00EF666B" w:rsidRPr="002B1A95" w:rsidRDefault="00EF666B" w:rsidP="00EF666B">
      <w:pPr>
        <w:pStyle w:val="BoxStep"/>
      </w:pPr>
      <w:r w:rsidRPr="002B1A95">
        <w:t>Step 2.</w:t>
      </w:r>
      <w:r w:rsidRPr="002B1A95">
        <w:tab/>
      </w:r>
      <w:r w:rsidRPr="002B1A95">
        <w:rPr>
          <w:color w:val="000000"/>
        </w:rPr>
        <w:t>If the total amount worked out under step 1 is less than the total amount actually or notionally allocated to the member (other than because of superannuation contributions surcharge liabilities, insurance costs or other fees, taxes and charges), the value of the superannuation interest is the amount actually or notionally allocated to the member.</w:t>
      </w:r>
    </w:p>
    <w:p w:rsidR="00EF666B" w:rsidRPr="002B1A95" w:rsidRDefault="00EF666B" w:rsidP="00EF666B">
      <w:pPr>
        <w:pStyle w:val="ActHead5"/>
      </w:pPr>
      <w:bookmarkStart w:id="130" w:name="_Toc49765310"/>
      <w:r w:rsidRPr="00411C46">
        <w:rPr>
          <w:rStyle w:val="CharSectno"/>
        </w:rPr>
        <w:t>307</w:t>
      </w:r>
      <w:r w:rsidR="00782250" w:rsidRPr="00411C46">
        <w:rPr>
          <w:rStyle w:val="CharSectno"/>
        </w:rPr>
        <w:noBreakHyphen/>
      </w:r>
      <w:r w:rsidRPr="00411C46">
        <w:rPr>
          <w:rStyle w:val="CharSectno"/>
        </w:rPr>
        <w:t>205.01A</w:t>
      </w:r>
      <w:r w:rsidRPr="002B1A95">
        <w:t xml:space="preserve">  How to calculate the value of a retirement benefit for step 1 of the method in subsection 307</w:t>
      </w:r>
      <w:r w:rsidR="00782250">
        <w:noBreakHyphen/>
      </w:r>
      <w:r w:rsidRPr="002B1A95">
        <w:t>205.01(2)</w:t>
      </w:r>
      <w:bookmarkEnd w:id="130"/>
    </w:p>
    <w:p w:rsidR="00EF666B" w:rsidRPr="002B1A95" w:rsidRDefault="00EF666B" w:rsidP="00EF666B">
      <w:pPr>
        <w:pStyle w:val="subsection"/>
      </w:pPr>
      <w:r w:rsidRPr="002B1A95">
        <w:tab/>
        <w:t>(1)</w:t>
      </w:r>
      <w:r w:rsidRPr="002B1A95">
        <w:tab/>
        <w:t>This section sets out how to calculate the value of a retirement benefit for the purposes of step 1 of the method in subsection 307</w:t>
      </w:r>
      <w:r w:rsidR="00782250">
        <w:noBreakHyphen/>
      </w:r>
      <w:r w:rsidRPr="002B1A95">
        <w:t>205.01(2).</w:t>
      </w:r>
    </w:p>
    <w:p w:rsidR="00EF666B" w:rsidRPr="002B1A95" w:rsidRDefault="00EF666B" w:rsidP="00EF666B">
      <w:pPr>
        <w:pStyle w:val="subsection"/>
      </w:pPr>
      <w:r w:rsidRPr="002B1A95">
        <w:tab/>
        <w:t>(2)</w:t>
      </w:r>
      <w:r w:rsidRPr="002B1A95">
        <w:tab/>
        <w:t>If the retirement benefit depends upon the member’s age, service or salary, or upon the employer’s consent, the value is to be calculated on the assumption that:</w:t>
      </w:r>
    </w:p>
    <w:p w:rsidR="00EF666B" w:rsidRPr="002B1A95" w:rsidRDefault="00EF666B" w:rsidP="00EF666B">
      <w:pPr>
        <w:pStyle w:val="paragraph"/>
      </w:pPr>
      <w:r w:rsidRPr="002B1A95">
        <w:tab/>
        <w:t>(a)</w:t>
      </w:r>
      <w:r w:rsidRPr="002B1A95">
        <w:tab/>
        <w:t>the member’s service was the member’s actual service immediately before 1</w:t>
      </w:r>
      <w:r w:rsidR="002B1A95" w:rsidRPr="002B1A95">
        <w:t> </w:t>
      </w:r>
      <w:r w:rsidRPr="002B1A95">
        <w:t>July 2007; and</w:t>
      </w:r>
    </w:p>
    <w:p w:rsidR="00EF666B" w:rsidRPr="002B1A95" w:rsidRDefault="00EF666B" w:rsidP="00EF666B">
      <w:pPr>
        <w:pStyle w:val="paragraph"/>
      </w:pPr>
      <w:r w:rsidRPr="002B1A95">
        <w:tab/>
        <w:t>(b)</w:t>
      </w:r>
      <w:r w:rsidRPr="002B1A95">
        <w:tab/>
        <w:t>the member’s age was the greater of:</w:t>
      </w:r>
    </w:p>
    <w:p w:rsidR="00EF666B" w:rsidRPr="002B1A95" w:rsidRDefault="00EF666B" w:rsidP="00EF666B">
      <w:pPr>
        <w:pStyle w:val="paragraphsub"/>
      </w:pPr>
      <w:r w:rsidRPr="002B1A95">
        <w:tab/>
        <w:t>(i)</w:t>
      </w:r>
      <w:r w:rsidRPr="002B1A95">
        <w:tab/>
        <w:t>the minimum age at which a retirement benefit could be taken without requiring the employer’s consent; and</w:t>
      </w:r>
    </w:p>
    <w:p w:rsidR="00EF666B" w:rsidRPr="002B1A95" w:rsidRDefault="00EF666B" w:rsidP="00EF666B">
      <w:pPr>
        <w:pStyle w:val="paragraphsub"/>
      </w:pPr>
      <w:r w:rsidRPr="002B1A95">
        <w:tab/>
        <w:t>(ii)</w:t>
      </w:r>
      <w:r w:rsidRPr="002B1A95">
        <w:tab/>
        <w:t>the member’s actual age immediately before 1</w:t>
      </w:r>
      <w:r w:rsidR="002B1A95" w:rsidRPr="002B1A95">
        <w:t> </w:t>
      </w:r>
      <w:r w:rsidRPr="002B1A95">
        <w:t>July 2007; and</w:t>
      </w:r>
    </w:p>
    <w:p w:rsidR="00EF666B" w:rsidRPr="002B1A95" w:rsidRDefault="00EF666B" w:rsidP="00EF666B">
      <w:pPr>
        <w:pStyle w:val="paragraph"/>
      </w:pPr>
      <w:r w:rsidRPr="002B1A95">
        <w:tab/>
        <w:t>(c)</w:t>
      </w:r>
      <w:r w:rsidRPr="002B1A95">
        <w:tab/>
        <w:t>the member’s salary was the member’s salary for superannuation purposes immediately before 1</w:t>
      </w:r>
      <w:r w:rsidR="002B1A95" w:rsidRPr="002B1A95">
        <w:t> </w:t>
      </w:r>
      <w:r w:rsidRPr="002B1A95">
        <w:t>July 2007; and</w:t>
      </w:r>
    </w:p>
    <w:p w:rsidR="00EF666B" w:rsidRPr="002B1A95" w:rsidRDefault="00EF666B" w:rsidP="00EF666B">
      <w:pPr>
        <w:pStyle w:val="paragraph"/>
      </w:pPr>
      <w:r w:rsidRPr="002B1A95">
        <w:tab/>
        <w:t>(d)</w:t>
      </w:r>
      <w:r w:rsidRPr="002B1A95">
        <w:tab/>
        <w:t>the employer consents to the retirement.</w:t>
      </w:r>
    </w:p>
    <w:p w:rsidR="00EF666B" w:rsidRPr="002B1A95" w:rsidRDefault="00EF666B" w:rsidP="00EF666B">
      <w:pPr>
        <w:pStyle w:val="subsection"/>
      </w:pPr>
      <w:r w:rsidRPr="002B1A95">
        <w:tab/>
        <w:t>(3)</w:t>
      </w:r>
      <w:r w:rsidRPr="002B1A95">
        <w:tab/>
        <w:t>If part or all of the retirement benefit can be paid as a superannuation income stream, then the value of that income stream is determined as the product of:</w:t>
      </w:r>
    </w:p>
    <w:p w:rsidR="00EF666B" w:rsidRPr="002B1A95" w:rsidRDefault="00EF666B" w:rsidP="00EF666B">
      <w:pPr>
        <w:pStyle w:val="paragraph"/>
      </w:pPr>
      <w:r w:rsidRPr="002B1A95">
        <w:tab/>
        <w:t>(a)</w:t>
      </w:r>
      <w:r w:rsidRPr="002B1A95">
        <w:tab/>
        <w:t>the annual rate of the superannuation income stream that would have been paid had the maximum proportion of the benefit possible been taken as an income stream; and</w:t>
      </w:r>
    </w:p>
    <w:p w:rsidR="00EF666B" w:rsidRPr="002B1A95" w:rsidRDefault="00EF666B" w:rsidP="00EF666B">
      <w:pPr>
        <w:pStyle w:val="paragraph"/>
      </w:pPr>
      <w:r w:rsidRPr="002B1A95">
        <w:tab/>
        <w:t>(b)</w:t>
      </w:r>
      <w:r w:rsidRPr="002B1A95">
        <w:tab/>
        <w:t>the applicable factor for the superannuation income stream that would have been paid set out in clause 1 of Schedule</w:t>
      </w:r>
      <w:r w:rsidR="002B1A95" w:rsidRPr="002B1A95">
        <w:t> </w:t>
      </w:r>
      <w:r w:rsidRPr="002B1A95">
        <w:t>1B.</w:t>
      </w:r>
    </w:p>
    <w:p w:rsidR="00EF666B" w:rsidRPr="002B1A95" w:rsidRDefault="00EF666B" w:rsidP="00EF666B">
      <w:pPr>
        <w:pStyle w:val="subsection"/>
      </w:pPr>
      <w:r w:rsidRPr="002B1A95">
        <w:tab/>
        <w:t>(4)</w:t>
      </w:r>
      <w:r w:rsidRPr="002B1A95">
        <w:tab/>
        <w:t>The total value of the retirement benefit is the sum of:</w:t>
      </w:r>
    </w:p>
    <w:p w:rsidR="00EF666B" w:rsidRPr="002B1A95" w:rsidRDefault="00EF666B" w:rsidP="00EF666B">
      <w:pPr>
        <w:pStyle w:val="paragraph"/>
      </w:pPr>
      <w:r w:rsidRPr="002B1A95">
        <w:tab/>
        <w:t>(a)</w:t>
      </w:r>
      <w:r w:rsidRPr="002B1A95">
        <w:tab/>
        <w:t>the value of the superannuation income stream so determined; and</w:t>
      </w:r>
    </w:p>
    <w:p w:rsidR="00EF666B" w:rsidRPr="002B1A95" w:rsidRDefault="00EF666B" w:rsidP="00EF666B">
      <w:pPr>
        <w:pStyle w:val="paragraph"/>
      </w:pPr>
      <w:r w:rsidRPr="002B1A95">
        <w:lastRenderedPageBreak/>
        <w:tab/>
        <w:t>(b)</w:t>
      </w:r>
      <w:r w:rsidRPr="002B1A95">
        <w:tab/>
        <w:t>any lump sum that would have been payable under the assumptions described above had the member taken the maximum possible proportion of the member’s benefit as an income stream.</w:t>
      </w:r>
    </w:p>
    <w:p w:rsidR="00EF666B" w:rsidRPr="002B1A95" w:rsidRDefault="00EF666B" w:rsidP="00EF666B">
      <w:pPr>
        <w:pStyle w:val="subsection"/>
      </w:pPr>
      <w:r w:rsidRPr="002B1A95">
        <w:tab/>
        <w:t>(5)</w:t>
      </w:r>
      <w:r w:rsidRPr="002B1A95">
        <w:tab/>
        <w:t>If the superannuation benefit can only be paid as a lump sum, then the value of the retirement benefit is the amount of that lump sum.</w:t>
      </w:r>
    </w:p>
    <w:p w:rsidR="00EF666B" w:rsidRPr="002B1A95" w:rsidRDefault="00EF666B" w:rsidP="00EF666B">
      <w:pPr>
        <w:pStyle w:val="ActHead5"/>
      </w:pPr>
      <w:bookmarkStart w:id="131" w:name="_Toc49765311"/>
      <w:r w:rsidRPr="00411C46">
        <w:rPr>
          <w:rStyle w:val="CharSectno"/>
        </w:rPr>
        <w:t>307</w:t>
      </w:r>
      <w:r w:rsidR="00782250" w:rsidRPr="00411C46">
        <w:rPr>
          <w:rStyle w:val="CharSectno"/>
        </w:rPr>
        <w:noBreakHyphen/>
      </w:r>
      <w:r w:rsidRPr="00411C46">
        <w:rPr>
          <w:rStyle w:val="CharSectno"/>
        </w:rPr>
        <w:t>205.02</w:t>
      </w:r>
      <w:r w:rsidRPr="002B1A95">
        <w:t xml:space="preserve">  Value of superannuation interest</w:t>
      </w:r>
      <w:bookmarkEnd w:id="131"/>
    </w:p>
    <w:p w:rsidR="00EF666B" w:rsidRPr="002B1A95" w:rsidRDefault="00EF666B" w:rsidP="00EF666B">
      <w:pPr>
        <w:pStyle w:val="subsection"/>
      </w:pPr>
      <w:r w:rsidRPr="002B1A95">
        <w:rPr>
          <w:color w:val="000000"/>
        </w:rPr>
        <w:tab/>
        <w:t>(1)</w:t>
      </w:r>
      <w:r w:rsidRPr="002B1A95">
        <w:rPr>
          <w:color w:val="000000"/>
        </w:rPr>
        <w:tab/>
      </w:r>
      <w:r w:rsidRPr="002B1A95">
        <w:t>For the purposes of paragraph</w:t>
      </w:r>
      <w:r w:rsidR="002B1A95" w:rsidRPr="002B1A95">
        <w:t> </w:t>
      </w:r>
      <w:r w:rsidRPr="002B1A95">
        <w:t>307</w:t>
      </w:r>
      <w:r w:rsidR="00782250">
        <w:noBreakHyphen/>
      </w:r>
      <w:r w:rsidRPr="002B1A95">
        <w:t xml:space="preserve">205(1)(a) of the Act, this section specifies a method for determining the value of a superannuation interest at a particular time if the interest supports a superannuation income stream to which </w:t>
      </w:r>
      <w:r w:rsidR="002B1A95" w:rsidRPr="002B1A95">
        <w:t>subsection (</w:t>
      </w:r>
      <w:r w:rsidRPr="002B1A95">
        <w:t>2) applies.</w:t>
      </w:r>
    </w:p>
    <w:p w:rsidR="00EF666B" w:rsidRPr="002B1A95" w:rsidRDefault="00EF666B" w:rsidP="00EF666B">
      <w:pPr>
        <w:pStyle w:val="notetext"/>
      </w:pPr>
      <w:r w:rsidRPr="002B1A95">
        <w:rPr>
          <w:color w:val="000000"/>
        </w:rPr>
        <w:t>Note:</w:t>
      </w:r>
      <w:r w:rsidRPr="002B1A95">
        <w:rPr>
          <w:color w:val="000000"/>
        </w:rPr>
        <w:tab/>
        <w:t>The proportioning rule in section</w:t>
      </w:r>
      <w:r w:rsidR="002B1A95" w:rsidRPr="002B1A95">
        <w:rPr>
          <w:color w:val="000000"/>
        </w:rPr>
        <w:t> </w:t>
      </w:r>
      <w:r w:rsidRPr="002B1A95">
        <w:rPr>
          <w:color w:val="000000"/>
        </w:rPr>
        <w:t>307</w:t>
      </w:r>
      <w:r w:rsidR="00782250">
        <w:rPr>
          <w:color w:val="000000"/>
        </w:rPr>
        <w:noBreakHyphen/>
      </w:r>
      <w:r w:rsidRPr="002B1A95">
        <w:rPr>
          <w:color w:val="000000"/>
        </w:rPr>
        <w:t>125 of the Act requires the tax free component and taxable component of a superannuation benefit to be paid out in the same proportion as they make up of the underlying interest. A value of the superannuation interest is required to ensure that the proportioning rule operates appropriately.</w:t>
      </w:r>
    </w:p>
    <w:p w:rsidR="00EF666B" w:rsidRPr="002B1A95" w:rsidRDefault="00EF666B" w:rsidP="00EF666B">
      <w:pPr>
        <w:pStyle w:val="subsection"/>
      </w:pPr>
      <w:r w:rsidRPr="002B1A95">
        <w:tab/>
        <w:t>(2)</w:t>
      </w:r>
      <w:r w:rsidRPr="002B1A95">
        <w:tab/>
        <w:t>This subsection applies to a superannuation income stream or a superannuation annuity, other than:</w:t>
      </w:r>
    </w:p>
    <w:p w:rsidR="00EF666B" w:rsidRPr="002B1A95" w:rsidRDefault="00EF666B" w:rsidP="00EF666B">
      <w:pPr>
        <w:pStyle w:val="paragraph"/>
      </w:pPr>
      <w:r w:rsidRPr="002B1A95">
        <w:tab/>
        <w:t>(a)</w:t>
      </w:r>
      <w:r w:rsidRPr="002B1A95">
        <w:tab/>
        <w:t>a superannuation income stream that is a pension mentioned in subparagraph 295</w:t>
      </w:r>
      <w:r w:rsidR="00782250">
        <w:noBreakHyphen/>
      </w:r>
      <w:r w:rsidRPr="002B1A95">
        <w:t>385.01(a)(i), (ii) or (iii); or</w:t>
      </w:r>
    </w:p>
    <w:p w:rsidR="00EF666B" w:rsidRPr="002B1A95" w:rsidRDefault="00EF666B" w:rsidP="00EF666B">
      <w:pPr>
        <w:pStyle w:val="paragraph"/>
      </w:pPr>
      <w:r w:rsidRPr="002B1A95">
        <w:tab/>
        <w:t>(b)</w:t>
      </w:r>
      <w:r w:rsidRPr="002B1A95">
        <w:tab/>
        <w:t>a superannuation income stream or a superannuation annuity for which the rules providing for the income stream or annuity are based on:</w:t>
      </w:r>
    </w:p>
    <w:p w:rsidR="00EF666B" w:rsidRPr="002B1A95" w:rsidRDefault="00EF666B" w:rsidP="00EF666B">
      <w:pPr>
        <w:pStyle w:val="paragraphsub"/>
      </w:pPr>
      <w:r w:rsidRPr="002B1A95">
        <w:tab/>
        <w:t>(i)</w:t>
      </w:r>
      <w:r w:rsidRPr="002B1A95">
        <w:tab/>
        <w:t>an identifiable lump sum amount; or</w:t>
      </w:r>
    </w:p>
    <w:p w:rsidR="00EF666B" w:rsidRPr="002B1A95" w:rsidRDefault="00EF666B" w:rsidP="00EF666B">
      <w:pPr>
        <w:pStyle w:val="paragraphsub"/>
      </w:pPr>
      <w:r w:rsidRPr="002B1A95">
        <w:tab/>
        <w:t>(ii)</w:t>
      </w:r>
      <w:r w:rsidRPr="002B1A95">
        <w:tab/>
        <w:t>the amount available in the member’s account; or</w:t>
      </w:r>
    </w:p>
    <w:p w:rsidR="00EF666B" w:rsidRPr="002B1A95" w:rsidRDefault="00EF666B" w:rsidP="00EF666B">
      <w:pPr>
        <w:pStyle w:val="paragraph"/>
      </w:pPr>
      <w:r w:rsidRPr="002B1A95">
        <w:tab/>
        <w:t>(c)</w:t>
      </w:r>
      <w:r w:rsidRPr="002B1A95">
        <w:tab/>
        <w:t>a superannuation income stream that is supported by a superannuation interest that can be valued under paragraph 307</w:t>
      </w:r>
      <w:r w:rsidR="00782250">
        <w:noBreakHyphen/>
      </w:r>
      <w:r w:rsidRPr="002B1A95">
        <w:t>205.02B(a); or</w:t>
      </w:r>
    </w:p>
    <w:p w:rsidR="00EF666B" w:rsidRPr="002B1A95" w:rsidRDefault="00EF666B" w:rsidP="00EF666B">
      <w:pPr>
        <w:pStyle w:val="paragraph"/>
        <w:rPr>
          <w:color w:val="000000"/>
        </w:rPr>
      </w:pPr>
      <w:r w:rsidRPr="002B1A95">
        <w:tab/>
        <w:t>(d)</w:t>
      </w:r>
      <w:r w:rsidRPr="002B1A95">
        <w:tab/>
        <w:t>a superannuation income stream that is supported by a superannuation interest that can be valued under section</w:t>
      </w:r>
      <w:r w:rsidRPr="002B1A95">
        <w:rPr>
          <w:color w:val="000000"/>
        </w:rPr>
        <w:t xml:space="preserve"> 307</w:t>
      </w:r>
      <w:r w:rsidR="00782250">
        <w:rPr>
          <w:color w:val="000000"/>
        </w:rPr>
        <w:noBreakHyphen/>
      </w:r>
      <w:r w:rsidRPr="002B1A95">
        <w:rPr>
          <w:color w:val="000000"/>
        </w:rPr>
        <w:t>205.02C, 307</w:t>
      </w:r>
      <w:r w:rsidR="00782250">
        <w:rPr>
          <w:color w:val="000000"/>
        </w:rPr>
        <w:noBreakHyphen/>
      </w:r>
      <w:r w:rsidRPr="002B1A95">
        <w:rPr>
          <w:color w:val="000000"/>
        </w:rPr>
        <w:t xml:space="preserve">205.02D or </w:t>
      </w:r>
      <w:r w:rsidRPr="002B1A95">
        <w:t>307</w:t>
      </w:r>
      <w:r w:rsidR="00782250">
        <w:noBreakHyphen/>
      </w:r>
      <w:r w:rsidRPr="002B1A95">
        <w:t>205.02E</w:t>
      </w:r>
      <w:r w:rsidRPr="002B1A95">
        <w:rPr>
          <w:color w:val="000000"/>
        </w:rPr>
        <w:t>.</w:t>
      </w:r>
    </w:p>
    <w:p w:rsidR="00EF666B" w:rsidRPr="002B1A95" w:rsidRDefault="00EF666B" w:rsidP="00EF666B">
      <w:pPr>
        <w:pStyle w:val="subsection"/>
      </w:pPr>
      <w:r w:rsidRPr="002B1A95">
        <w:tab/>
        <w:t>(3)</w:t>
      </w:r>
      <w:r w:rsidRPr="002B1A95">
        <w:tab/>
        <w:t>The value of the interest at a particular time is the sum of:</w:t>
      </w:r>
    </w:p>
    <w:p w:rsidR="00EF666B" w:rsidRPr="002B1A95" w:rsidRDefault="00EF666B" w:rsidP="00EF666B">
      <w:pPr>
        <w:pStyle w:val="paragraph"/>
      </w:pPr>
      <w:r w:rsidRPr="002B1A95">
        <w:tab/>
        <w:t>(a)</w:t>
      </w:r>
      <w:r w:rsidRPr="002B1A95">
        <w:tab/>
        <w:t>the product of:</w:t>
      </w:r>
    </w:p>
    <w:p w:rsidR="00EF666B" w:rsidRPr="002B1A95" w:rsidRDefault="00EF666B" w:rsidP="00EF666B">
      <w:pPr>
        <w:pStyle w:val="paragraphsub"/>
      </w:pPr>
      <w:r w:rsidRPr="002B1A95">
        <w:rPr>
          <w:color w:val="000000"/>
        </w:rPr>
        <w:tab/>
        <w:t>(i)</w:t>
      </w:r>
      <w:r w:rsidRPr="002B1A95">
        <w:rPr>
          <w:color w:val="000000"/>
        </w:rPr>
        <w:tab/>
        <w:t>the annual amount of the superannuation income stream payable in respect of the superannuation interest at that time; and</w:t>
      </w:r>
    </w:p>
    <w:p w:rsidR="00EF666B" w:rsidRPr="002B1A95" w:rsidRDefault="00EF666B" w:rsidP="00EF666B">
      <w:pPr>
        <w:pStyle w:val="paragraphsub"/>
      </w:pPr>
      <w:r w:rsidRPr="002B1A95">
        <w:tab/>
        <w:t>(ii)</w:t>
      </w:r>
      <w:r w:rsidRPr="002B1A95">
        <w:tab/>
        <w:t xml:space="preserve">the applicable factor for the </w:t>
      </w:r>
      <w:r w:rsidRPr="002B1A95">
        <w:rPr>
          <w:color w:val="000000"/>
        </w:rPr>
        <w:t xml:space="preserve">superannuation income stream </w:t>
      </w:r>
      <w:r w:rsidRPr="002B1A95">
        <w:t>set out in clause 1 of Schedule</w:t>
      </w:r>
      <w:r w:rsidR="002B1A95" w:rsidRPr="002B1A95">
        <w:t> </w:t>
      </w:r>
      <w:r w:rsidRPr="002B1A95">
        <w:t>1B; and</w:t>
      </w:r>
    </w:p>
    <w:p w:rsidR="00EF666B" w:rsidRPr="002B1A95" w:rsidRDefault="00EF666B" w:rsidP="00EF666B">
      <w:pPr>
        <w:pStyle w:val="paragraph"/>
      </w:pPr>
      <w:r w:rsidRPr="002B1A95">
        <w:tab/>
        <w:t>(b)</w:t>
      </w:r>
      <w:r w:rsidRPr="002B1A95">
        <w:tab/>
        <w:t>the product of:</w:t>
      </w:r>
    </w:p>
    <w:p w:rsidR="00EF666B" w:rsidRPr="002B1A95" w:rsidRDefault="00EF666B" w:rsidP="00EF666B">
      <w:pPr>
        <w:pStyle w:val="paragraphsub"/>
      </w:pPr>
      <w:r w:rsidRPr="002B1A95">
        <w:rPr>
          <w:color w:val="000000"/>
        </w:rPr>
        <w:tab/>
        <w:t>(i)</w:t>
      </w:r>
      <w:r w:rsidRPr="002B1A95">
        <w:rPr>
          <w:color w:val="000000"/>
        </w:rPr>
        <w:tab/>
        <w:t xml:space="preserve">the nominal value of the superannuation lump sum, if any, which is payable in respect of the interest at a time in the future, other than a future lump sum which is a commutation of the income stream included in </w:t>
      </w:r>
      <w:r w:rsidR="002B1A95" w:rsidRPr="002B1A95">
        <w:rPr>
          <w:color w:val="000000"/>
        </w:rPr>
        <w:t>subparagraph (</w:t>
      </w:r>
      <w:r w:rsidRPr="002B1A95">
        <w:rPr>
          <w:color w:val="000000"/>
        </w:rPr>
        <w:t>a)(i); and</w:t>
      </w:r>
    </w:p>
    <w:p w:rsidR="00EF666B" w:rsidRPr="002B1A95" w:rsidRDefault="00EF666B" w:rsidP="00EF666B">
      <w:pPr>
        <w:pStyle w:val="paragraphsub"/>
      </w:pPr>
      <w:r w:rsidRPr="002B1A95">
        <w:tab/>
        <w:t>(ii)</w:t>
      </w:r>
      <w:r w:rsidRPr="002B1A95">
        <w:tab/>
        <w:t xml:space="preserve">the applicable factor for the </w:t>
      </w:r>
      <w:r w:rsidRPr="002B1A95">
        <w:rPr>
          <w:color w:val="000000"/>
        </w:rPr>
        <w:t xml:space="preserve">superannuation lump sum </w:t>
      </w:r>
      <w:r w:rsidRPr="002B1A95">
        <w:t>set out in clause 2 of Schedule</w:t>
      </w:r>
      <w:r w:rsidR="002B1A95" w:rsidRPr="002B1A95">
        <w:t> </w:t>
      </w:r>
      <w:r w:rsidRPr="002B1A95">
        <w:t>1B.</w:t>
      </w:r>
    </w:p>
    <w:p w:rsidR="00EF666B" w:rsidRPr="002B1A95" w:rsidRDefault="00EF666B" w:rsidP="00EF666B">
      <w:pPr>
        <w:pStyle w:val="ActHead5"/>
      </w:pPr>
      <w:bookmarkStart w:id="132" w:name="_Toc49765312"/>
      <w:r w:rsidRPr="00411C46">
        <w:rPr>
          <w:rStyle w:val="CharSectno"/>
        </w:rPr>
        <w:lastRenderedPageBreak/>
        <w:t>307</w:t>
      </w:r>
      <w:r w:rsidR="00782250" w:rsidRPr="00411C46">
        <w:rPr>
          <w:rStyle w:val="CharSectno"/>
        </w:rPr>
        <w:noBreakHyphen/>
      </w:r>
      <w:r w:rsidRPr="00411C46">
        <w:rPr>
          <w:rStyle w:val="CharSectno"/>
        </w:rPr>
        <w:t>205.02A</w:t>
      </w:r>
      <w:r w:rsidRPr="002B1A95">
        <w:t xml:space="preserve">  Value of superannuation interest—superannuation income streams or superannuation annuities based on identifiable amounts</w:t>
      </w:r>
      <w:bookmarkEnd w:id="132"/>
    </w:p>
    <w:p w:rsidR="00EF666B" w:rsidRPr="002B1A95" w:rsidRDefault="00EF666B" w:rsidP="00EF666B">
      <w:pPr>
        <w:pStyle w:val="subsection"/>
      </w:pPr>
      <w:r w:rsidRPr="002B1A95">
        <w:tab/>
      </w:r>
      <w:r w:rsidRPr="002B1A95">
        <w:tab/>
        <w:t>For the purposes of paragraph</w:t>
      </w:r>
      <w:r w:rsidR="002B1A95" w:rsidRPr="002B1A95">
        <w:t> </w:t>
      </w:r>
      <w:r w:rsidRPr="002B1A95">
        <w:t>307</w:t>
      </w:r>
      <w:r w:rsidR="00782250">
        <w:noBreakHyphen/>
      </w:r>
      <w:r w:rsidRPr="002B1A95">
        <w:t>205(1)(a) of the Act, the value of an individual’s superannuation interest that supports a superannuation income stream or a superannuation annuity mentioned in paragraph 307</w:t>
      </w:r>
      <w:r w:rsidR="00782250">
        <w:noBreakHyphen/>
      </w:r>
      <w:r w:rsidRPr="002B1A95">
        <w:t>205.02(2)(b) but not in paragraph 307</w:t>
      </w:r>
      <w:r w:rsidR="00782250">
        <w:noBreakHyphen/>
      </w:r>
      <w:r w:rsidRPr="002B1A95">
        <w:t>205.02(2)(d) is:</w:t>
      </w:r>
    </w:p>
    <w:p w:rsidR="00EF666B" w:rsidRPr="002B1A95" w:rsidRDefault="00EF666B" w:rsidP="00EF666B">
      <w:pPr>
        <w:pStyle w:val="paragraph"/>
      </w:pPr>
      <w:r w:rsidRPr="002B1A95">
        <w:tab/>
        <w:t>(a)</w:t>
      </w:r>
      <w:r w:rsidRPr="002B1A95">
        <w:tab/>
        <w:t>the identifiable lump sum amount; or</w:t>
      </w:r>
    </w:p>
    <w:p w:rsidR="00EF666B" w:rsidRPr="002B1A95" w:rsidRDefault="00EF666B" w:rsidP="00EF666B">
      <w:pPr>
        <w:pStyle w:val="paragraph"/>
      </w:pPr>
      <w:r w:rsidRPr="002B1A95">
        <w:tab/>
        <w:t>(b)</w:t>
      </w:r>
      <w:r w:rsidRPr="002B1A95">
        <w:tab/>
        <w:t>the amount available in the individual’s account.</w:t>
      </w:r>
    </w:p>
    <w:p w:rsidR="00EF666B" w:rsidRPr="002B1A95" w:rsidRDefault="00EF666B" w:rsidP="00EF666B">
      <w:pPr>
        <w:pStyle w:val="ActHead5"/>
      </w:pPr>
      <w:bookmarkStart w:id="133" w:name="_Toc49765313"/>
      <w:r w:rsidRPr="00411C46">
        <w:rPr>
          <w:rStyle w:val="CharSectno"/>
        </w:rPr>
        <w:t>307</w:t>
      </w:r>
      <w:r w:rsidR="00782250" w:rsidRPr="00411C46">
        <w:rPr>
          <w:rStyle w:val="CharSectno"/>
        </w:rPr>
        <w:noBreakHyphen/>
      </w:r>
      <w:r w:rsidRPr="00411C46">
        <w:rPr>
          <w:rStyle w:val="CharSectno"/>
        </w:rPr>
        <w:t>205.02B</w:t>
      </w:r>
      <w:r w:rsidRPr="002B1A95">
        <w:t xml:space="preserve">  Value of superannuation interest—public sector superannuation schemes</w:t>
      </w:r>
      <w:bookmarkEnd w:id="133"/>
    </w:p>
    <w:p w:rsidR="00EF666B" w:rsidRPr="002B1A95" w:rsidRDefault="00EF666B" w:rsidP="00EF666B">
      <w:pPr>
        <w:pStyle w:val="subsection"/>
      </w:pPr>
      <w:r w:rsidRPr="002B1A95">
        <w:tab/>
      </w:r>
      <w:r w:rsidRPr="002B1A95">
        <w:tab/>
        <w:t>For the purposes of paragraph</w:t>
      </w:r>
      <w:r w:rsidR="002B1A95" w:rsidRPr="002B1A95">
        <w:t> </w:t>
      </w:r>
      <w:r w:rsidRPr="002B1A95">
        <w:t>307</w:t>
      </w:r>
      <w:r w:rsidR="00782250">
        <w:noBreakHyphen/>
      </w:r>
      <w:r w:rsidRPr="002B1A95">
        <w:t>205(1)(a) of the Act, a superannuation interest in a public sector superannuation scheme is to be valued:</w:t>
      </w:r>
    </w:p>
    <w:p w:rsidR="00EF666B" w:rsidRPr="002B1A95" w:rsidRDefault="00EF666B" w:rsidP="00EF666B">
      <w:pPr>
        <w:pStyle w:val="paragraph"/>
      </w:pPr>
      <w:r w:rsidRPr="002B1A95">
        <w:tab/>
        <w:t>(a)</w:t>
      </w:r>
      <w:r w:rsidRPr="002B1A95">
        <w:tab/>
        <w:t>by using the practice for valuing a superannuation interest (other than an interest that supports a superannuation income stream mentioned in paragraph 307</w:t>
      </w:r>
      <w:r w:rsidR="00782250">
        <w:noBreakHyphen/>
      </w:r>
      <w:r w:rsidRPr="002B1A95">
        <w:t>205.02(2)(a)) that was used by the scheme immediately before 28</w:t>
      </w:r>
      <w:r w:rsidR="002B1A95" w:rsidRPr="002B1A95">
        <w:t> </w:t>
      </w:r>
      <w:r w:rsidRPr="002B1A95">
        <w:t>June 2007; or</w:t>
      </w:r>
    </w:p>
    <w:p w:rsidR="00EF666B" w:rsidRPr="002B1A95" w:rsidRDefault="00EF666B" w:rsidP="00EF666B">
      <w:pPr>
        <w:pStyle w:val="paragraph"/>
      </w:pPr>
      <w:r w:rsidRPr="002B1A95">
        <w:tab/>
        <w:t>(b)</w:t>
      </w:r>
      <w:r w:rsidRPr="002B1A95">
        <w:tab/>
        <w:t>if there was not a practice for valuing an interest at that time—by using the method in subsection 307</w:t>
      </w:r>
      <w:r w:rsidR="00782250">
        <w:noBreakHyphen/>
      </w:r>
      <w:r w:rsidRPr="002B1A95">
        <w:t>205.02(3).</w:t>
      </w:r>
    </w:p>
    <w:p w:rsidR="00EF666B" w:rsidRPr="002B1A95" w:rsidRDefault="00EF666B" w:rsidP="00EF666B">
      <w:pPr>
        <w:pStyle w:val="ActHead5"/>
      </w:pPr>
      <w:bookmarkStart w:id="134" w:name="_Toc49765314"/>
      <w:r w:rsidRPr="00411C46">
        <w:rPr>
          <w:rStyle w:val="CharSectno"/>
        </w:rPr>
        <w:t>307</w:t>
      </w:r>
      <w:r w:rsidR="00782250" w:rsidRPr="00411C46">
        <w:rPr>
          <w:rStyle w:val="CharSectno"/>
        </w:rPr>
        <w:noBreakHyphen/>
      </w:r>
      <w:r w:rsidRPr="00411C46">
        <w:rPr>
          <w:rStyle w:val="CharSectno"/>
        </w:rPr>
        <w:t>205.02C</w:t>
      </w:r>
      <w:r w:rsidRPr="002B1A95">
        <w:t xml:space="preserve">  Value of superannuation interest—deferred superannuation income streams</w:t>
      </w:r>
      <w:bookmarkEnd w:id="134"/>
    </w:p>
    <w:p w:rsidR="00EF666B" w:rsidRPr="002B1A95" w:rsidRDefault="00EF666B" w:rsidP="00EF666B">
      <w:pPr>
        <w:pStyle w:val="subsection"/>
        <w:rPr>
          <w:color w:val="000000"/>
        </w:rPr>
      </w:pPr>
      <w:r w:rsidRPr="002B1A95">
        <w:rPr>
          <w:color w:val="000000"/>
        </w:rPr>
        <w:tab/>
        <w:t>(1)</w:t>
      </w:r>
      <w:r w:rsidRPr="002B1A95">
        <w:rPr>
          <w:color w:val="000000"/>
        </w:rPr>
        <w:tab/>
        <w:t>For the purposes of paragraph</w:t>
      </w:r>
      <w:r w:rsidR="002B1A95" w:rsidRPr="002B1A95">
        <w:rPr>
          <w:color w:val="000000"/>
        </w:rPr>
        <w:t> </w:t>
      </w:r>
      <w:r w:rsidRPr="002B1A95">
        <w:rPr>
          <w:color w:val="000000"/>
        </w:rPr>
        <w:t>307</w:t>
      </w:r>
      <w:r w:rsidR="00782250">
        <w:rPr>
          <w:color w:val="000000"/>
        </w:rPr>
        <w:noBreakHyphen/>
      </w:r>
      <w:r w:rsidRPr="002B1A95">
        <w:rPr>
          <w:color w:val="000000"/>
        </w:rPr>
        <w:t xml:space="preserve">205(1)(a) of the Act, </w:t>
      </w:r>
      <w:r w:rsidRPr="002B1A95">
        <w:t>this section specifies a method for determining the</w:t>
      </w:r>
      <w:r w:rsidRPr="002B1A95">
        <w:rPr>
          <w:color w:val="000000"/>
        </w:rPr>
        <w:t xml:space="preserve"> value at a particular time of an individual’s superannuation interest that supports a deferred superannuation income stream that:</w:t>
      </w:r>
    </w:p>
    <w:p w:rsidR="00EF666B" w:rsidRPr="002B1A95" w:rsidRDefault="00EF666B" w:rsidP="00EF666B">
      <w:pPr>
        <w:pStyle w:val="paragraph"/>
      </w:pPr>
      <w:r w:rsidRPr="002B1A95">
        <w:tab/>
        <w:t>(a)</w:t>
      </w:r>
      <w:r w:rsidRPr="002B1A95">
        <w:tab/>
        <w:t>is covered by paragraph 307</w:t>
      </w:r>
      <w:r w:rsidR="00782250">
        <w:noBreakHyphen/>
      </w:r>
      <w:r w:rsidRPr="002B1A95">
        <w:t>70.02(1)(c); and</w:t>
      </w:r>
    </w:p>
    <w:p w:rsidR="00EF666B" w:rsidRPr="002B1A95" w:rsidRDefault="00EF666B" w:rsidP="00EF666B">
      <w:pPr>
        <w:pStyle w:val="paragraph"/>
      </w:pPr>
      <w:r w:rsidRPr="002B1A95">
        <w:tab/>
        <w:t>(b)</w:t>
      </w:r>
      <w:r w:rsidRPr="002B1A95">
        <w:tab/>
        <w:t xml:space="preserve">is neither a </w:t>
      </w:r>
      <w:r w:rsidRPr="002B1A95">
        <w:rPr>
          <w:color w:val="000000"/>
        </w:rPr>
        <w:t>pooled investment pension nor a pooled investment annuity.</w:t>
      </w:r>
    </w:p>
    <w:p w:rsidR="00EF666B" w:rsidRPr="002B1A95" w:rsidRDefault="00EF666B" w:rsidP="00EF666B">
      <w:pPr>
        <w:pStyle w:val="subsection"/>
        <w:rPr>
          <w:color w:val="000000"/>
        </w:rPr>
      </w:pPr>
      <w:r w:rsidRPr="002B1A95">
        <w:rPr>
          <w:color w:val="000000"/>
        </w:rPr>
        <w:tab/>
        <w:t>(2)</w:t>
      </w:r>
      <w:r w:rsidRPr="002B1A95">
        <w:rPr>
          <w:color w:val="000000"/>
        </w:rPr>
        <w:tab/>
        <w:t>The value of the interest at a particular time is the greater of:</w:t>
      </w:r>
    </w:p>
    <w:p w:rsidR="00EF666B" w:rsidRPr="002B1A95" w:rsidRDefault="00EF666B" w:rsidP="00EF666B">
      <w:pPr>
        <w:pStyle w:val="paragraph"/>
        <w:rPr>
          <w:color w:val="000000"/>
        </w:rPr>
      </w:pPr>
      <w:r w:rsidRPr="002B1A95">
        <w:rPr>
          <w:color w:val="000000"/>
        </w:rPr>
        <w:tab/>
        <w:t>(a)</w:t>
      </w:r>
      <w:r w:rsidRPr="002B1A95">
        <w:rPr>
          <w:color w:val="000000"/>
        </w:rPr>
        <w:tab/>
        <w:t xml:space="preserve">the sum of each amount </w:t>
      </w:r>
      <w:r w:rsidRPr="002B1A95">
        <w:t xml:space="preserve">of consideration paid for the interest for the income stream, and that amount’s associated notional earnings, as worked out under </w:t>
      </w:r>
      <w:r w:rsidR="002B1A95" w:rsidRPr="002B1A95">
        <w:t>subsection (</w:t>
      </w:r>
      <w:r w:rsidRPr="002B1A95">
        <w:t>3) for the day that includes that time; and</w:t>
      </w:r>
    </w:p>
    <w:p w:rsidR="00EF666B" w:rsidRPr="002B1A95" w:rsidRDefault="00EF666B" w:rsidP="00EF666B">
      <w:pPr>
        <w:pStyle w:val="paragraph"/>
        <w:rPr>
          <w:color w:val="000000"/>
        </w:rPr>
      </w:pPr>
      <w:r w:rsidRPr="002B1A95">
        <w:rPr>
          <w:color w:val="000000"/>
        </w:rPr>
        <w:tab/>
        <w:t>(b)</w:t>
      </w:r>
      <w:r w:rsidRPr="002B1A95">
        <w:rPr>
          <w:color w:val="000000"/>
        </w:rPr>
        <w:tab/>
        <w:t>the total amount of the superannuation benefits that would become payable if the individual voluntarily caused the interest to cease at that time.</w:t>
      </w:r>
    </w:p>
    <w:p w:rsidR="00EF666B" w:rsidRPr="002B1A95" w:rsidRDefault="00EF666B" w:rsidP="00EF666B">
      <w:pPr>
        <w:pStyle w:val="notetext"/>
      </w:pPr>
      <w:r w:rsidRPr="002B1A95">
        <w:t>Note:</w:t>
      </w:r>
      <w:r w:rsidRPr="002B1A95">
        <w:tab/>
      </w:r>
      <w:r w:rsidR="002B1A95" w:rsidRPr="002B1A95">
        <w:t>Subsection (</w:t>
      </w:r>
      <w:r w:rsidRPr="002B1A95">
        <w:t>3) works out a total amount made up of the amount of consideration and its associated notional earnings.</w:t>
      </w:r>
    </w:p>
    <w:p w:rsidR="00EF666B" w:rsidRPr="002B1A95" w:rsidRDefault="00EF666B" w:rsidP="00EF666B">
      <w:pPr>
        <w:pStyle w:val="subsection"/>
      </w:pPr>
      <w:r w:rsidRPr="002B1A95">
        <w:tab/>
        <w:t>(3)</w:t>
      </w:r>
      <w:r w:rsidRPr="002B1A95">
        <w:tab/>
        <w:t xml:space="preserve">An </w:t>
      </w:r>
      <w:r w:rsidRPr="002B1A95">
        <w:rPr>
          <w:color w:val="000000"/>
        </w:rPr>
        <w:t xml:space="preserve">amount </w:t>
      </w:r>
      <w:r w:rsidRPr="002B1A95">
        <w:t xml:space="preserve">of consideration paid for the interest for the income stream, and that amount’s associated notional earnings, for a particular day (the </w:t>
      </w:r>
      <w:r w:rsidRPr="002B1A95">
        <w:rPr>
          <w:b/>
          <w:i/>
        </w:rPr>
        <w:t>valuing day</w:t>
      </w:r>
      <w:r w:rsidRPr="002B1A95">
        <w:t>) is worked out by applying the following formula for each adjustment day (from the earliest to the latest):</w:t>
      </w:r>
    </w:p>
    <w:p w:rsidR="00EF666B" w:rsidRPr="002B1A95" w:rsidRDefault="00EF666B" w:rsidP="00EF666B">
      <w:pPr>
        <w:pStyle w:val="subsection"/>
      </w:pPr>
      <w:r w:rsidRPr="002B1A95">
        <w:lastRenderedPageBreak/>
        <w:tab/>
      </w:r>
      <w:r w:rsidRPr="002B1A95">
        <w:tab/>
      </w:r>
      <w:r w:rsidRPr="002B1A95">
        <w:rPr>
          <w:position w:val="-40"/>
        </w:rPr>
        <w:object w:dxaOrig="5440" w:dyaOrig="1020">
          <v:shape id="_x0000_i1029" type="#_x0000_t75" style="width:272.25pt;height:51pt" o:ole="">
            <v:imagedata r:id="rId29" o:title=""/>
          </v:shape>
          <o:OLEObject Type="Embed" ProgID="Equation.DSMT4" ShapeID="_x0000_i1029" DrawAspect="Content" ObjectID="_1660378724" r:id="rId30"/>
        </w:object>
      </w:r>
    </w:p>
    <w:p w:rsidR="00EF666B" w:rsidRPr="002B1A95" w:rsidRDefault="00EF666B" w:rsidP="00EF666B">
      <w:pPr>
        <w:pStyle w:val="subsection2"/>
      </w:pPr>
      <w:r w:rsidRPr="002B1A95">
        <w:t>where:</w:t>
      </w:r>
    </w:p>
    <w:p w:rsidR="00EF666B" w:rsidRPr="002B1A95" w:rsidRDefault="00EF666B" w:rsidP="00EF666B">
      <w:pPr>
        <w:pStyle w:val="Definition"/>
      </w:pPr>
      <w:r w:rsidRPr="002B1A95">
        <w:rPr>
          <w:b/>
          <w:i/>
        </w:rPr>
        <w:t>above threshold rate</w:t>
      </w:r>
      <w:r w:rsidRPr="002B1A95">
        <w:t>, for a particular day, is the above threshold rate determined for that day under subsection</w:t>
      </w:r>
      <w:r w:rsidR="002B1A95" w:rsidRPr="002B1A95">
        <w:t> </w:t>
      </w:r>
      <w:r w:rsidRPr="002B1A95">
        <w:t xml:space="preserve">1082(2) of the </w:t>
      </w:r>
      <w:r w:rsidRPr="002B1A95">
        <w:rPr>
          <w:i/>
        </w:rPr>
        <w:t>Social Security Act 1991</w:t>
      </w:r>
      <w:r w:rsidRPr="002B1A95">
        <w:t>.</w:t>
      </w:r>
    </w:p>
    <w:p w:rsidR="00EF666B" w:rsidRPr="002B1A95" w:rsidRDefault="00EF666B" w:rsidP="00EF666B">
      <w:pPr>
        <w:pStyle w:val="Definition"/>
      </w:pPr>
      <w:r w:rsidRPr="002B1A95">
        <w:rPr>
          <w:b/>
          <w:i/>
        </w:rPr>
        <w:t>adjustment day</w:t>
      </w:r>
      <w:r w:rsidRPr="002B1A95">
        <w:t xml:space="preserve"> is each of the following:</w:t>
      </w:r>
    </w:p>
    <w:p w:rsidR="00EF666B" w:rsidRPr="002B1A95" w:rsidRDefault="00EF666B" w:rsidP="00EF666B">
      <w:pPr>
        <w:pStyle w:val="paragraph"/>
      </w:pPr>
      <w:r w:rsidRPr="002B1A95">
        <w:tab/>
        <w:t>(a)</w:t>
      </w:r>
      <w:r w:rsidRPr="002B1A95">
        <w:tab/>
        <w:t>each 12</w:t>
      </w:r>
      <w:r w:rsidR="00782250">
        <w:noBreakHyphen/>
      </w:r>
      <w:r w:rsidRPr="002B1A95">
        <w:t>month anniversary of the consideration payment day that happens before the valuing day;</w:t>
      </w:r>
    </w:p>
    <w:p w:rsidR="00EF666B" w:rsidRPr="002B1A95" w:rsidRDefault="00EF666B" w:rsidP="00EF666B">
      <w:pPr>
        <w:pStyle w:val="paragraph"/>
      </w:pPr>
      <w:r w:rsidRPr="002B1A95">
        <w:tab/>
        <w:t>(b)</w:t>
      </w:r>
      <w:r w:rsidRPr="002B1A95">
        <w:tab/>
        <w:t>the valuing day.</w:t>
      </w:r>
    </w:p>
    <w:p w:rsidR="00EF666B" w:rsidRPr="002B1A95" w:rsidRDefault="00EF666B" w:rsidP="00EF666B">
      <w:pPr>
        <w:pStyle w:val="Definition"/>
      </w:pPr>
      <w:r w:rsidRPr="002B1A95">
        <w:rPr>
          <w:b/>
          <w:i/>
        </w:rPr>
        <w:t>applicable above threshold rate</w:t>
      </w:r>
      <w:r w:rsidRPr="002B1A95">
        <w:t>, for a particular day, is:</w:t>
      </w:r>
    </w:p>
    <w:p w:rsidR="00EF666B" w:rsidRPr="002B1A95" w:rsidRDefault="00EF666B" w:rsidP="00EF666B">
      <w:pPr>
        <w:pStyle w:val="paragraph"/>
      </w:pPr>
      <w:r w:rsidRPr="002B1A95">
        <w:tab/>
        <w:t>(a)</w:t>
      </w:r>
      <w:r w:rsidRPr="002B1A95">
        <w:tab/>
        <w:t>if that day is a 12</w:t>
      </w:r>
      <w:r w:rsidR="00782250">
        <w:noBreakHyphen/>
      </w:r>
      <w:r w:rsidRPr="002B1A95">
        <w:t>month anniversary of the consideration payment day—the above threshold rate for that day; or</w:t>
      </w:r>
    </w:p>
    <w:p w:rsidR="00EF666B" w:rsidRPr="002B1A95" w:rsidRDefault="00EF666B" w:rsidP="00EF666B">
      <w:pPr>
        <w:pStyle w:val="paragraph"/>
      </w:pPr>
      <w:r w:rsidRPr="002B1A95">
        <w:tab/>
        <w:t>(b)</w:t>
      </w:r>
      <w:r w:rsidRPr="002B1A95">
        <w:tab/>
        <w:t>if that day is the valuing day—the proportion of the above threshold rate for that day equal to the number of days that the valuing day is in the 12 months starting on the day after:</w:t>
      </w:r>
    </w:p>
    <w:p w:rsidR="00EF666B" w:rsidRPr="002B1A95" w:rsidRDefault="00EF666B" w:rsidP="00EF666B">
      <w:pPr>
        <w:pStyle w:val="paragraphsub"/>
      </w:pPr>
      <w:r w:rsidRPr="002B1A95">
        <w:tab/>
        <w:t>(i)</w:t>
      </w:r>
      <w:r w:rsidRPr="002B1A95">
        <w:tab/>
        <w:t>if the valuing day is at least 12 months after the consideration payment day—the most recent 12</w:t>
      </w:r>
      <w:r w:rsidR="00782250">
        <w:noBreakHyphen/>
      </w:r>
      <w:r w:rsidRPr="002B1A95">
        <w:t>month anniversary of the consideration payment day; or</w:t>
      </w:r>
    </w:p>
    <w:p w:rsidR="00EF666B" w:rsidRPr="002B1A95" w:rsidRDefault="00EF666B" w:rsidP="00EF666B">
      <w:pPr>
        <w:pStyle w:val="paragraphsub"/>
      </w:pPr>
      <w:r w:rsidRPr="002B1A95">
        <w:tab/>
        <w:t>(ii)</w:t>
      </w:r>
      <w:r w:rsidRPr="002B1A95">
        <w:tab/>
        <w:t>otherwise—the consideration payment day.</w:t>
      </w:r>
    </w:p>
    <w:p w:rsidR="00EF666B" w:rsidRPr="002B1A95" w:rsidRDefault="00EF666B" w:rsidP="00EF666B">
      <w:pPr>
        <w:pStyle w:val="Definition"/>
      </w:pPr>
      <w:r w:rsidRPr="002B1A95">
        <w:rPr>
          <w:b/>
          <w:i/>
        </w:rPr>
        <w:t>compounded amount of consideration just before the adjustment day</w:t>
      </w:r>
      <w:r w:rsidRPr="002B1A95">
        <w:t xml:space="preserve"> is:</w:t>
      </w:r>
    </w:p>
    <w:p w:rsidR="00EF666B" w:rsidRPr="002B1A95" w:rsidRDefault="00EF666B" w:rsidP="00EF666B">
      <w:pPr>
        <w:pStyle w:val="paragraph"/>
      </w:pPr>
      <w:r w:rsidRPr="002B1A95">
        <w:tab/>
        <w:t>(a)</w:t>
      </w:r>
      <w:r w:rsidRPr="002B1A95">
        <w:tab/>
        <w:t>for the earliest adjustment day—the amount of consideration; or</w:t>
      </w:r>
    </w:p>
    <w:p w:rsidR="00EF666B" w:rsidRPr="002B1A95" w:rsidRDefault="00EF666B" w:rsidP="00EF666B">
      <w:pPr>
        <w:pStyle w:val="paragraph"/>
      </w:pPr>
      <w:r w:rsidRPr="002B1A95">
        <w:tab/>
        <w:t>(b)</w:t>
      </w:r>
      <w:r w:rsidRPr="002B1A95">
        <w:tab/>
        <w:t>for each later adjustment day—the result of applying the formula for the most recent earlier adjustment day.</w:t>
      </w:r>
    </w:p>
    <w:p w:rsidR="00EF666B" w:rsidRPr="002B1A95" w:rsidRDefault="00EF666B" w:rsidP="00EF666B">
      <w:pPr>
        <w:pStyle w:val="Definition"/>
      </w:pPr>
      <w:r w:rsidRPr="002B1A95">
        <w:rPr>
          <w:b/>
          <w:i/>
        </w:rPr>
        <w:t>consideration payment day</w:t>
      </w:r>
      <w:r w:rsidRPr="002B1A95">
        <w:t xml:space="preserve"> is the day the amount of consideration was paid.</w:t>
      </w:r>
    </w:p>
    <w:p w:rsidR="00EF666B" w:rsidRPr="002B1A95" w:rsidRDefault="00EF666B" w:rsidP="00EF666B">
      <w:pPr>
        <w:pStyle w:val="ActHead5"/>
      </w:pPr>
      <w:bookmarkStart w:id="135" w:name="_Toc49765315"/>
      <w:r w:rsidRPr="00411C46">
        <w:rPr>
          <w:rStyle w:val="CharSectno"/>
        </w:rPr>
        <w:t>307</w:t>
      </w:r>
      <w:r w:rsidR="00782250" w:rsidRPr="00411C46">
        <w:rPr>
          <w:rStyle w:val="CharSectno"/>
        </w:rPr>
        <w:noBreakHyphen/>
      </w:r>
      <w:r w:rsidRPr="00411C46">
        <w:rPr>
          <w:rStyle w:val="CharSectno"/>
        </w:rPr>
        <w:t>205.02D</w:t>
      </w:r>
      <w:r w:rsidRPr="002B1A95">
        <w:t xml:space="preserve">  Value of superannuation interest—pooled investment pensions</w:t>
      </w:r>
      <w:bookmarkEnd w:id="135"/>
    </w:p>
    <w:p w:rsidR="00EF666B" w:rsidRPr="002B1A95" w:rsidRDefault="00EF666B" w:rsidP="00EF666B">
      <w:pPr>
        <w:pStyle w:val="subsection"/>
      </w:pPr>
      <w:r w:rsidRPr="002B1A95">
        <w:rPr>
          <w:color w:val="000000"/>
        </w:rPr>
        <w:tab/>
        <w:t>(1)</w:t>
      </w:r>
      <w:r w:rsidRPr="002B1A95">
        <w:rPr>
          <w:color w:val="000000"/>
        </w:rPr>
        <w:tab/>
        <w:t>For the purposes of paragraph</w:t>
      </w:r>
      <w:r w:rsidR="002B1A95" w:rsidRPr="002B1A95">
        <w:rPr>
          <w:color w:val="000000"/>
        </w:rPr>
        <w:t> </w:t>
      </w:r>
      <w:r w:rsidRPr="002B1A95">
        <w:rPr>
          <w:color w:val="000000"/>
        </w:rPr>
        <w:t>307</w:t>
      </w:r>
      <w:r w:rsidR="00782250">
        <w:rPr>
          <w:color w:val="000000"/>
        </w:rPr>
        <w:noBreakHyphen/>
      </w:r>
      <w:r w:rsidRPr="002B1A95">
        <w:rPr>
          <w:color w:val="000000"/>
        </w:rPr>
        <w:t>205(1)(a) of the Act, the value at a particular time of an individual’s superannuation interest that supports a pooled investment pension is the value of so much of the collective pool of assets in the fund at that time as is:</w:t>
      </w:r>
    </w:p>
    <w:p w:rsidR="00EF666B" w:rsidRPr="002B1A95" w:rsidRDefault="00EF666B" w:rsidP="00EF666B">
      <w:pPr>
        <w:pStyle w:val="paragraph"/>
        <w:rPr>
          <w:color w:val="000000"/>
        </w:rPr>
      </w:pPr>
      <w:r w:rsidRPr="002B1A95">
        <w:rPr>
          <w:color w:val="000000"/>
        </w:rPr>
        <w:tab/>
        <w:t>(a)</w:t>
      </w:r>
      <w:r w:rsidRPr="002B1A95">
        <w:rPr>
          <w:color w:val="000000"/>
        </w:rPr>
        <w:tab/>
        <w:t>attributed to the individual under the rules of the fund; and</w:t>
      </w:r>
    </w:p>
    <w:p w:rsidR="00EF666B" w:rsidRPr="002B1A95" w:rsidRDefault="00EF666B" w:rsidP="00EF666B">
      <w:pPr>
        <w:pStyle w:val="paragraph"/>
        <w:rPr>
          <w:color w:val="000000"/>
        </w:rPr>
      </w:pPr>
      <w:r w:rsidRPr="002B1A95">
        <w:rPr>
          <w:color w:val="000000"/>
        </w:rPr>
        <w:tab/>
        <w:t>(b)</w:t>
      </w:r>
      <w:r w:rsidRPr="002B1A95">
        <w:rPr>
          <w:color w:val="000000"/>
        </w:rPr>
        <w:tab/>
        <w:t>specified in an actuary’s certificate.</w:t>
      </w:r>
    </w:p>
    <w:p w:rsidR="00EF666B" w:rsidRPr="002B1A95" w:rsidRDefault="00EF666B" w:rsidP="00EF666B">
      <w:pPr>
        <w:pStyle w:val="subsection"/>
      </w:pPr>
      <w:r w:rsidRPr="002B1A95">
        <w:rPr>
          <w:color w:val="000000"/>
        </w:rPr>
        <w:tab/>
        <w:t>(2)</w:t>
      </w:r>
      <w:r w:rsidRPr="002B1A95">
        <w:rPr>
          <w:color w:val="000000"/>
        </w:rPr>
        <w:tab/>
        <w:t xml:space="preserve">A </w:t>
      </w:r>
      <w:r w:rsidRPr="002B1A95">
        <w:rPr>
          <w:b/>
          <w:i/>
          <w:color w:val="000000"/>
        </w:rPr>
        <w:t>pooled investment pension</w:t>
      </w:r>
      <w:r w:rsidRPr="002B1A95">
        <w:rPr>
          <w:color w:val="000000"/>
        </w:rPr>
        <w:t xml:space="preserve"> is a superannuation income stream supported by an individual’s superannuation interest if:</w:t>
      </w:r>
    </w:p>
    <w:p w:rsidR="00EF666B" w:rsidRPr="002B1A95" w:rsidRDefault="00EF666B" w:rsidP="00EF666B">
      <w:pPr>
        <w:pStyle w:val="paragraph"/>
      </w:pPr>
      <w:r w:rsidRPr="002B1A95">
        <w:tab/>
        <w:t>(a)</w:t>
      </w:r>
      <w:r w:rsidRPr="002B1A95">
        <w:tab/>
        <w:t>the interest is in a superannuation fund; and</w:t>
      </w:r>
    </w:p>
    <w:p w:rsidR="00EF666B" w:rsidRPr="002B1A95" w:rsidRDefault="00EF666B" w:rsidP="00EF666B">
      <w:pPr>
        <w:pStyle w:val="paragraph"/>
      </w:pPr>
      <w:r w:rsidRPr="002B1A95">
        <w:tab/>
        <w:t>(b)</w:t>
      </w:r>
      <w:r w:rsidRPr="002B1A95">
        <w:tab/>
        <w:t>the rules for the provision of the income stream ensure that, once payments of the income stream start, the income stream is to continue for the remainder of the individual’s life; and</w:t>
      </w:r>
    </w:p>
    <w:p w:rsidR="00EF666B" w:rsidRPr="002B1A95" w:rsidRDefault="00EF666B" w:rsidP="00EF666B">
      <w:pPr>
        <w:pStyle w:val="paragraph"/>
      </w:pPr>
      <w:r w:rsidRPr="002B1A95">
        <w:tab/>
        <w:t>(c)</w:t>
      </w:r>
      <w:r w:rsidRPr="002B1A95">
        <w:tab/>
        <w:t>the rules for the provision of the income stream ensure that the amounts of those payments are determined by having regard to:</w:t>
      </w:r>
    </w:p>
    <w:p w:rsidR="00EF666B" w:rsidRPr="002B1A95" w:rsidRDefault="00EF666B" w:rsidP="00EF666B">
      <w:pPr>
        <w:pStyle w:val="paragraphsub"/>
      </w:pPr>
      <w:r w:rsidRPr="002B1A95">
        <w:lastRenderedPageBreak/>
        <w:tab/>
        <w:t>(i)</w:t>
      </w:r>
      <w:r w:rsidRPr="002B1A95">
        <w:tab/>
        <w:t>the age, life expectancy or other factors relevant to the mortality of each individual who has that kind of superannuation interest in the fund; and</w:t>
      </w:r>
    </w:p>
    <w:p w:rsidR="00EF666B" w:rsidRPr="002B1A95" w:rsidRDefault="00EF666B" w:rsidP="00EF666B">
      <w:pPr>
        <w:pStyle w:val="paragraphsub"/>
      </w:pPr>
      <w:r w:rsidRPr="002B1A95">
        <w:tab/>
        <w:t>(ii)</w:t>
      </w:r>
      <w:r w:rsidRPr="002B1A95">
        <w:tab/>
        <w:t>the pool of assets in the fund held for the collective benefit of those individuals.</w:t>
      </w:r>
    </w:p>
    <w:p w:rsidR="00EF666B" w:rsidRPr="002B1A95" w:rsidRDefault="00EF666B" w:rsidP="00EF666B">
      <w:pPr>
        <w:pStyle w:val="ActHead5"/>
      </w:pPr>
      <w:bookmarkStart w:id="136" w:name="_Toc49765316"/>
      <w:r w:rsidRPr="00411C46">
        <w:rPr>
          <w:rStyle w:val="CharSectno"/>
        </w:rPr>
        <w:t>307</w:t>
      </w:r>
      <w:r w:rsidR="00782250" w:rsidRPr="00411C46">
        <w:rPr>
          <w:rStyle w:val="CharSectno"/>
        </w:rPr>
        <w:noBreakHyphen/>
      </w:r>
      <w:r w:rsidRPr="00411C46">
        <w:rPr>
          <w:rStyle w:val="CharSectno"/>
        </w:rPr>
        <w:t>205.02E</w:t>
      </w:r>
      <w:r w:rsidRPr="002B1A95">
        <w:t xml:space="preserve">  Value of superannuation interest—pooled investment annuities</w:t>
      </w:r>
      <w:bookmarkEnd w:id="136"/>
    </w:p>
    <w:p w:rsidR="00EF666B" w:rsidRPr="002B1A95" w:rsidRDefault="00EF666B" w:rsidP="00EF666B">
      <w:pPr>
        <w:pStyle w:val="subsection"/>
      </w:pPr>
      <w:r w:rsidRPr="002B1A95">
        <w:rPr>
          <w:color w:val="000000"/>
        </w:rPr>
        <w:tab/>
        <w:t>(1)</w:t>
      </w:r>
      <w:r w:rsidRPr="002B1A95">
        <w:rPr>
          <w:color w:val="000000"/>
        </w:rPr>
        <w:tab/>
        <w:t>For the purposes of paragraph</w:t>
      </w:r>
      <w:r w:rsidR="002B1A95" w:rsidRPr="002B1A95">
        <w:rPr>
          <w:color w:val="000000"/>
        </w:rPr>
        <w:t> </w:t>
      </w:r>
      <w:r w:rsidRPr="002B1A95">
        <w:rPr>
          <w:color w:val="000000"/>
        </w:rPr>
        <w:t>307</w:t>
      </w:r>
      <w:r w:rsidR="00782250">
        <w:rPr>
          <w:color w:val="000000"/>
        </w:rPr>
        <w:noBreakHyphen/>
      </w:r>
      <w:r w:rsidRPr="002B1A95">
        <w:rPr>
          <w:color w:val="000000"/>
        </w:rPr>
        <w:t xml:space="preserve">205(1)(a) of the Act, the value at a particular time of an individual’s superannuation interest that supports a pooled investment annuity is the value of so much of the collective pool of assets </w:t>
      </w:r>
      <w:r w:rsidRPr="002B1A95">
        <w:t xml:space="preserve">held by the life insurance company </w:t>
      </w:r>
      <w:r w:rsidRPr="002B1A95">
        <w:rPr>
          <w:color w:val="000000"/>
        </w:rPr>
        <w:t>at that time as is:</w:t>
      </w:r>
    </w:p>
    <w:p w:rsidR="00EF666B" w:rsidRPr="002B1A95" w:rsidRDefault="00EF666B" w:rsidP="00EF666B">
      <w:pPr>
        <w:pStyle w:val="paragraph"/>
        <w:rPr>
          <w:color w:val="000000"/>
        </w:rPr>
      </w:pPr>
      <w:r w:rsidRPr="002B1A95">
        <w:rPr>
          <w:color w:val="000000"/>
        </w:rPr>
        <w:tab/>
        <w:t>(a)</w:t>
      </w:r>
      <w:r w:rsidRPr="002B1A95">
        <w:rPr>
          <w:color w:val="000000"/>
        </w:rPr>
        <w:tab/>
        <w:t xml:space="preserve">attributed to the individual under the </w:t>
      </w:r>
      <w:r w:rsidRPr="002B1A95">
        <w:t xml:space="preserve">contract for the provision of the </w:t>
      </w:r>
      <w:r w:rsidRPr="002B1A95">
        <w:rPr>
          <w:color w:val="000000"/>
        </w:rPr>
        <w:t>pooled investment annuity; and</w:t>
      </w:r>
    </w:p>
    <w:p w:rsidR="00EF666B" w:rsidRPr="002B1A95" w:rsidRDefault="00EF666B" w:rsidP="00EF666B">
      <w:pPr>
        <w:pStyle w:val="paragraph"/>
        <w:rPr>
          <w:color w:val="000000"/>
        </w:rPr>
      </w:pPr>
      <w:r w:rsidRPr="002B1A95">
        <w:rPr>
          <w:color w:val="000000"/>
        </w:rPr>
        <w:tab/>
        <w:t>(b)</w:t>
      </w:r>
      <w:r w:rsidRPr="002B1A95">
        <w:rPr>
          <w:color w:val="000000"/>
        </w:rPr>
        <w:tab/>
        <w:t>specified in an actuary’s certificate.</w:t>
      </w:r>
    </w:p>
    <w:p w:rsidR="00EF666B" w:rsidRPr="002B1A95" w:rsidRDefault="00EF666B" w:rsidP="00EF666B">
      <w:pPr>
        <w:pStyle w:val="subsection"/>
      </w:pPr>
      <w:r w:rsidRPr="002B1A95">
        <w:rPr>
          <w:color w:val="000000"/>
        </w:rPr>
        <w:tab/>
        <w:t>(2)</w:t>
      </w:r>
      <w:r w:rsidRPr="002B1A95">
        <w:rPr>
          <w:color w:val="000000"/>
        </w:rPr>
        <w:tab/>
        <w:t xml:space="preserve">A </w:t>
      </w:r>
      <w:r w:rsidRPr="002B1A95">
        <w:rPr>
          <w:b/>
          <w:i/>
          <w:color w:val="000000"/>
        </w:rPr>
        <w:t>pooled investment annuity</w:t>
      </w:r>
      <w:r w:rsidRPr="002B1A95">
        <w:rPr>
          <w:color w:val="000000"/>
        </w:rPr>
        <w:t xml:space="preserve"> is a superannuation income stream supported by an individual’s superannuation interest if:</w:t>
      </w:r>
    </w:p>
    <w:p w:rsidR="00EF666B" w:rsidRPr="002B1A95" w:rsidRDefault="00EF666B" w:rsidP="00EF666B">
      <w:pPr>
        <w:pStyle w:val="paragraph"/>
      </w:pPr>
      <w:r w:rsidRPr="002B1A95">
        <w:tab/>
        <w:t>(a)</w:t>
      </w:r>
      <w:r w:rsidRPr="002B1A95">
        <w:tab/>
        <w:t>the superannuation income stream is a superannuation annuity provided by a life insurance company; and</w:t>
      </w:r>
    </w:p>
    <w:p w:rsidR="00EF666B" w:rsidRPr="002B1A95" w:rsidRDefault="00EF666B" w:rsidP="00EF666B">
      <w:pPr>
        <w:pStyle w:val="paragraph"/>
      </w:pPr>
      <w:r w:rsidRPr="002B1A95">
        <w:tab/>
        <w:t>(b)</w:t>
      </w:r>
      <w:r w:rsidRPr="002B1A95">
        <w:tab/>
        <w:t>the contract for the provision of the income stream ensures that, once payments of the income stream start, the income stream is to continue for the remainder of the individual’s life; and</w:t>
      </w:r>
    </w:p>
    <w:p w:rsidR="00EF666B" w:rsidRPr="002B1A95" w:rsidRDefault="00EF666B" w:rsidP="00EF666B">
      <w:pPr>
        <w:pStyle w:val="paragraph"/>
      </w:pPr>
      <w:r w:rsidRPr="002B1A95">
        <w:tab/>
        <w:t>(c)</w:t>
      </w:r>
      <w:r w:rsidRPr="002B1A95">
        <w:tab/>
        <w:t>the contract for the provision of the income stream ensures that the amounts of those payments are determined by having regard to:</w:t>
      </w:r>
    </w:p>
    <w:p w:rsidR="00EF666B" w:rsidRPr="002B1A95" w:rsidRDefault="00EF666B" w:rsidP="00EF666B">
      <w:pPr>
        <w:pStyle w:val="paragraphsub"/>
      </w:pPr>
      <w:r w:rsidRPr="002B1A95">
        <w:tab/>
        <w:t>(i)</w:t>
      </w:r>
      <w:r w:rsidRPr="002B1A95">
        <w:tab/>
        <w:t>the age, life expectancy or other factors relevant to the mortality of each individual who has that kind of superannuation interest with the life insurance company; and</w:t>
      </w:r>
    </w:p>
    <w:p w:rsidR="00EF666B" w:rsidRPr="002B1A95" w:rsidRDefault="00EF666B" w:rsidP="00EF666B">
      <w:pPr>
        <w:pStyle w:val="paragraphsub"/>
      </w:pPr>
      <w:r w:rsidRPr="002B1A95">
        <w:tab/>
        <w:t>(ii)</w:t>
      </w:r>
      <w:r w:rsidRPr="002B1A95">
        <w:tab/>
        <w:t>the pool of assets held by the life insurance company for the collective benefit of those individuals; and</w:t>
      </w:r>
    </w:p>
    <w:p w:rsidR="00EF666B" w:rsidRPr="002B1A95" w:rsidRDefault="00EF666B" w:rsidP="00EF666B">
      <w:pPr>
        <w:pStyle w:val="paragraph"/>
      </w:pPr>
      <w:r w:rsidRPr="002B1A95">
        <w:tab/>
        <w:t>(d)</w:t>
      </w:r>
      <w:r w:rsidRPr="002B1A95">
        <w:tab/>
        <w:t>at least 50 entities have superannuation interests (of any kind) with the life insurance company.</w:t>
      </w:r>
    </w:p>
    <w:p w:rsidR="00EF666B" w:rsidRPr="002B1A95" w:rsidRDefault="00EF666B" w:rsidP="00EF666B">
      <w:pPr>
        <w:pStyle w:val="ActHead2"/>
        <w:pageBreakBefore/>
      </w:pPr>
      <w:bookmarkStart w:id="137" w:name="_Toc49765317"/>
      <w:r w:rsidRPr="00411C46">
        <w:rPr>
          <w:rStyle w:val="CharPartNo"/>
        </w:rPr>
        <w:lastRenderedPageBreak/>
        <w:t>Part</w:t>
      </w:r>
      <w:r w:rsidR="002B1A95" w:rsidRPr="00411C46">
        <w:rPr>
          <w:rStyle w:val="CharPartNo"/>
        </w:rPr>
        <w:t> </w:t>
      </w:r>
      <w:r w:rsidRPr="00411C46">
        <w:rPr>
          <w:rStyle w:val="CharPartNo"/>
        </w:rPr>
        <w:t>3</w:t>
      </w:r>
      <w:r w:rsidR="00782250" w:rsidRPr="00411C46">
        <w:rPr>
          <w:rStyle w:val="CharPartNo"/>
        </w:rPr>
        <w:noBreakHyphen/>
      </w:r>
      <w:r w:rsidRPr="00411C46">
        <w:rPr>
          <w:rStyle w:val="CharPartNo"/>
        </w:rPr>
        <w:t>45</w:t>
      </w:r>
      <w:r w:rsidRPr="002B1A95">
        <w:t>—</w:t>
      </w:r>
      <w:r w:rsidRPr="00411C46">
        <w:rPr>
          <w:rStyle w:val="CharPartText"/>
        </w:rPr>
        <w:t>Rules for particular industries and occupations</w:t>
      </w:r>
      <w:bookmarkEnd w:id="137"/>
    </w:p>
    <w:p w:rsidR="00EF666B" w:rsidRPr="002B1A95" w:rsidRDefault="00EF666B" w:rsidP="00EF666B">
      <w:pPr>
        <w:pStyle w:val="ActHead3"/>
      </w:pPr>
      <w:bookmarkStart w:id="138" w:name="_Toc49765318"/>
      <w:r w:rsidRPr="00411C46">
        <w:rPr>
          <w:rStyle w:val="CharDivNo"/>
        </w:rPr>
        <w:t>Division</w:t>
      </w:r>
      <w:r w:rsidR="002B1A95" w:rsidRPr="00411C46">
        <w:rPr>
          <w:rStyle w:val="CharDivNo"/>
        </w:rPr>
        <w:t> </w:t>
      </w:r>
      <w:r w:rsidRPr="00411C46">
        <w:rPr>
          <w:rStyle w:val="CharDivNo"/>
        </w:rPr>
        <w:t>393</w:t>
      </w:r>
      <w:r w:rsidRPr="002B1A95">
        <w:t>—</w:t>
      </w:r>
      <w:r w:rsidRPr="00411C46">
        <w:rPr>
          <w:rStyle w:val="CharDivText"/>
        </w:rPr>
        <w:t>Farm management deposits</w:t>
      </w:r>
      <w:bookmarkEnd w:id="138"/>
    </w:p>
    <w:p w:rsidR="00EF666B" w:rsidRPr="002B1A95" w:rsidRDefault="00EF666B" w:rsidP="00EF666B">
      <w:pPr>
        <w:pStyle w:val="ActHead4"/>
      </w:pPr>
      <w:bookmarkStart w:id="139" w:name="_Toc49765319"/>
      <w:r w:rsidRPr="00411C46">
        <w:rPr>
          <w:rStyle w:val="CharSubdNo"/>
        </w:rPr>
        <w:t>Subdivision</w:t>
      </w:r>
      <w:r w:rsidR="002B1A95" w:rsidRPr="00411C46">
        <w:rPr>
          <w:rStyle w:val="CharSubdNo"/>
        </w:rPr>
        <w:t> </w:t>
      </w:r>
      <w:r w:rsidRPr="00411C46">
        <w:rPr>
          <w:rStyle w:val="CharSubdNo"/>
        </w:rPr>
        <w:t>393</w:t>
      </w:r>
      <w:r w:rsidR="00782250" w:rsidRPr="00411C46">
        <w:rPr>
          <w:rStyle w:val="CharSubdNo"/>
        </w:rPr>
        <w:noBreakHyphen/>
      </w:r>
      <w:r w:rsidRPr="00411C46">
        <w:rPr>
          <w:rStyle w:val="CharSubdNo"/>
        </w:rPr>
        <w:t>B</w:t>
      </w:r>
      <w:r w:rsidRPr="002B1A95">
        <w:t>—</w:t>
      </w:r>
      <w:r w:rsidRPr="00411C46">
        <w:rPr>
          <w:rStyle w:val="CharSubdText"/>
        </w:rPr>
        <w:t>Meaning of farm management deposit and owner</w:t>
      </w:r>
      <w:bookmarkEnd w:id="139"/>
    </w:p>
    <w:p w:rsidR="00EF666B" w:rsidRPr="002B1A95" w:rsidRDefault="00EF666B" w:rsidP="00EF666B">
      <w:pPr>
        <w:pStyle w:val="ActHead5"/>
      </w:pPr>
      <w:bookmarkStart w:id="140" w:name="_Toc49765320"/>
      <w:r w:rsidRPr="00411C46">
        <w:rPr>
          <w:rStyle w:val="CharSectno"/>
        </w:rPr>
        <w:t>393</w:t>
      </w:r>
      <w:r w:rsidR="00782250" w:rsidRPr="00411C46">
        <w:rPr>
          <w:rStyle w:val="CharSectno"/>
        </w:rPr>
        <w:noBreakHyphen/>
      </w:r>
      <w:r w:rsidRPr="00411C46">
        <w:rPr>
          <w:rStyle w:val="CharSectno"/>
        </w:rPr>
        <w:t>20.01</w:t>
      </w:r>
      <w:r w:rsidRPr="002B1A95">
        <w:t xml:space="preserve">  Application form for a farm management deposit—information given by depositor</w:t>
      </w:r>
      <w:bookmarkEnd w:id="140"/>
    </w:p>
    <w:p w:rsidR="00EF666B" w:rsidRPr="002B1A95" w:rsidRDefault="00EF666B" w:rsidP="00EF666B">
      <w:pPr>
        <w:pStyle w:val="subsection"/>
      </w:pPr>
      <w:r w:rsidRPr="002B1A95">
        <w:tab/>
      </w:r>
      <w:r w:rsidRPr="002B1A95">
        <w:tab/>
        <w:t>For the purposes of paragraph</w:t>
      </w:r>
      <w:r w:rsidR="002B1A95" w:rsidRPr="002B1A95">
        <w:t> </w:t>
      </w:r>
      <w:r w:rsidRPr="002B1A95">
        <w:t>393</w:t>
      </w:r>
      <w:r w:rsidR="00782250">
        <w:noBreakHyphen/>
      </w:r>
      <w:r w:rsidRPr="002B1A95">
        <w:t>20(2)(b) of the Act, a form used to apply to an FMD provider to make a farm management deposit must require the depositor to provide the following information:</w:t>
      </w:r>
    </w:p>
    <w:p w:rsidR="00EF666B" w:rsidRPr="002B1A95" w:rsidRDefault="00EF666B" w:rsidP="00EF666B">
      <w:pPr>
        <w:pStyle w:val="paragraph"/>
      </w:pPr>
      <w:r w:rsidRPr="002B1A95">
        <w:tab/>
        <w:t>(a)</w:t>
      </w:r>
      <w:r w:rsidRPr="002B1A95">
        <w:tab/>
        <w:t>the depositor’s name, address, date of birth and telephone number;</w:t>
      </w:r>
    </w:p>
    <w:p w:rsidR="00EF666B" w:rsidRPr="002B1A95" w:rsidRDefault="00EF666B" w:rsidP="00EF666B">
      <w:pPr>
        <w:pStyle w:val="paragraph"/>
      </w:pPr>
      <w:r w:rsidRPr="002B1A95">
        <w:tab/>
        <w:t>(b)</w:t>
      </w:r>
      <w:r w:rsidRPr="002B1A95">
        <w:tab/>
        <w:t>the amount of the deposit;</w:t>
      </w:r>
    </w:p>
    <w:p w:rsidR="00EF666B" w:rsidRPr="002B1A95" w:rsidRDefault="00EF666B" w:rsidP="00EF666B">
      <w:pPr>
        <w:pStyle w:val="paragraph"/>
      </w:pPr>
      <w:r w:rsidRPr="002B1A95">
        <w:tab/>
        <w:t>(c)</w:t>
      </w:r>
      <w:r w:rsidRPr="002B1A95">
        <w:tab/>
        <w:t>a description of the major commodity or commodities produced in the year of the deposit;</w:t>
      </w:r>
    </w:p>
    <w:p w:rsidR="00EF666B" w:rsidRPr="002B1A95" w:rsidRDefault="00EF666B" w:rsidP="00EF666B">
      <w:pPr>
        <w:pStyle w:val="paragraph"/>
      </w:pPr>
      <w:r w:rsidRPr="002B1A95">
        <w:tab/>
        <w:t>(d)</w:t>
      </w:r>
      <w:r w:rsidRPr="002B1A95">
        <w:tab/>
        <w:t>if the depositor is not the owner of the deposit—the owner’s name, address and date of birth.</w:t>
      </w:r>
    </w:p>
    <w:p w:rsidR="00EF666B" w:rsidRPr="002B1A95" w:rsidRDefault="00EF666B" w:rsidP="00EF666B">
      <w:pPr>
        <w:pStyle w:val="notetext"/>
      </w:pPr>
      <w:r w:rsidRPr="002B1A95">
        <w:t>Note 1:</w:t>
      </w:r>
      <w:r w:rsidRPr="002B1A95">
        <w:tab/>
        <w:t>Subsection</w:t>
      </w:r>
      <w:r w:rsidR="002B1A95" w:rsidRPr="002B1A95">
        <w:t> </w:t>
      </w:r>
      <w:r w:rsidRPr="002B1A95">
        <w:t>393</w:t>
      </w:r>
      <w:r w:rsidR="00782250">
        <w:noBreakHyphen/>
      </w:r>
      <w:r w:rsidRPr="002B1A95">
        <w:t>20(2) of the Act requires a depositor to apply to an FMD provider to make a farm management deposit with the FMD provider.</w:t>
      </w:r>
    </w:p>
    <w:p w:rsidR="00EF666B" w:rsidRPr="002B1A95" w:rsidRDefault="00EF666B" w:rsidP="00EF666B">
      <w:pPr>
        <w:pStyle w:val="notetext"/>
      </w:pPr>
      <w:r w:rsidRPr="002B1A95">
        <w:t>Note 2:</w:t>
      </w:r>
      <w:r w:rsidRPr="002B1A95">
        <w:tab/>
        <w:t>Under paragraph</w:t>
      </w:r>
      <w:r w:rsidR="002B1A95" w:rsidRPr="002B1A95">
        <w:t> </w:t>
      </w:r>
      <w:r w:rsidRPr="002B1A95">
        <w:t>393</w:t>
      </w:r>
      <w:r w:rsidR="00782250">
        <w:noBreakHyphen/>
      </w:r>
      <w:r w:rsidRPr="002B1A95">
        <w:t>20(2)(a) of the Act, the application form must also permit the depositor to state the owner’s tax file number in the form.</w:t>
      </w:r>
    </w:p>
    <w:p w:rsidR="00EF666B" w:rsidRPr="002B1A95" w:rsidRDefault="00EF666B" w:rsidP="00EF666B">
      <w:pPr>
        <w:pStyle w:val="ActHead5"/>
      </w:pPr>
      <w:bookmarkStart w:id="141" w:name="_Toc49765321"/>
      <w:r w:rsidRPr="00411C46">
        <w:rPr>
          <w:rStyle w:val="CharSectno"/>
        </w:rPr>
        <w:t>393</w:t>
      </w:r>
      <w:r w:rsidR="00782250" w:rsidRPr="00411C46">
        <w:rPr>
          <w:rStyle w:val="CharSectno"/>
        </w:rPr>
        <w:noBreakHyphen/>
      </w:r>
      <w:r w:rsidRPr="00411C46">
        <w:rPr>
          <w:rStyle w:val="CharSectno"/>
        </w:rPr>
        <w:t>20.02</w:t>
      </w:r>
      <w:r w:rsidRPr="002B1A95">
        <w:t xml:space="preserve">  Application form for a farm management deposit—information given to depositor</w:t>
      </w:r>
      <w:bookmarkEnd w:id="141"/>
    </w:p>
    <w:p w:rsidR="00EF666B" w:rsidRPr="002B1A95" w:rsidRDefault="00EF666B" w:rsidP="00EF666B">
      <w:pPr>
        <w:pStyle w:val="subsection"/>
      </w:pPr>
      <w:r w:rsidRPr="002B1A95">
        <w:tab/>
      </w:r>
      <w:r w:rsidRPr="002B1A95">
        <w:tab/>
        <w:t>For the purposes of paragraph</w:t>
      </w:r>
      <w:r w:rsidR="002B1A95" w:rsidRPr="002B1A95">
        <w:t> </w:t>
      </w:r>
      <w:r w:rsidRPr="002B1A95">
        <w:t>393</w:t>
      </w:r>
      <w:r w:rsidR="00782250">
        <w:noBreakHyphen/>
      </w:r>
      <w:r w:rsidRPr="002B1A95">
        <w:t>20(2)(c) of the Act, a form used to apply to an FMD provider to make a farm management deposit must contain:</w:t>
      </w:r>
    </w:p>
    <w:p w:rsidR="00EF666B" w:rsidRPr="002B1A95" w:rsidRDefault="00EF666B" w:rsidP="00EF666B">
      <w:pPr>
        <w:pStyle w:val="paragraph"/>
      </w:pPr>
      <w:r w:rsidRPr="002B1A95">
        <w:tab/>
        <w:t>(a)</w:t>
      </w:r>
      <w:r w:rsidRPr="002B1A95">
        <w:tab/>
        <w:t>one of the statements set out in Part</w:t>
      </w:r>
      <w:r w:rsidR="002B1A95" w:rsidRPr="002B1A95">
        <w:t> </w:t>
      </w:r>
      <w:r w:rsidRPr="002B1A95">
        <w:t>1 of Schedule</w:t>
      </w:r>
      <w:r w:rsidR="002B1A95" w:rsidRPr="002B1A95">
        <w:t> </w:t>
      </w:r>
      <w:r w:rsidRPr="002B1A95">
        <w:t>1C; and</w:t>
      </w:r>
    </w:p>
    <w:p w:rsidR="00EF666B" w:rsidRPr="002B1A95" w:rsidRDefault="00EF666B" w:rsidP="00EF666B">
      <w:pPr>
        <w:pStyle w:val="paragraph"/>
      </w:pPr>
      <w:r w:rsidRPr="002B1A95">
        <w:tab/>
        <w:t>(b)</w:t>
      </w:r>
      <w:r w:rsidRPr="002B1A95">
        <w:tab/>
        <w:t>statements to the effect of the statements set out in Part</w:t>
      </w:r>
      <w:r w:rsidR="002B1A95" w:rsidRPr="002B1A95">
        <w:t> </w:t>
      </w:r>
      <w:r w:rsidRPr="002B1A95">
        <w:t>2 of Schedule</w:t>
      </w:r>
      <w:r w:rsidR="002B1A95" w:rsidRPr="002B1A95">
        <w:t> </w:t>
      </w:r>
      <w:r w:rsidRPr="002B1A95">
        <w:t>1C; and</w:t>
      </w:r>
    </w:p>
    <w:p w:rsidR="00EF666B" w:rsidRPr="002B1A95" w:rsidRDefault="00EF666B" w:rsidP="00EF666B">
      <w:pPr>
        <w:pStyle w:val="paragraph"/>
      </w:pPr>
      <w:r w:rsidRPr="002B1A95">
        <w:tab/>
        <w:t>(c)</w:t>
      </w:r>
      <w:r w:rsidRPr="002B1A95">
        <w:tab/>
        <w:t>statements setting out</w:t>
      </w:r>
      <w:r w:rsidRPr="002B1A95">
        <w:rPr>
          <w:i/>
        </w:rPr>
        <w:t xml:space="preserve"> </w:t>
      </w:r>
      <w:r w:rsidRPr="002B1A95">
        <w:t>the additional information required by Part</w:t>
      </w:r>
      <w:r w:rsidR="002B1A95" w:rsidRPr="002B1A95">
        <w:t> </w:t>
      </w:r>
      <w:r w:rsidRPr="002B1A95">
        <w:t>3 of Schedule</w:t>
      </w:r>
      <w:r w:rsidR="002B1A95" w:rsidRPr="002B1A95">
        <w:t> </w:t>
      </w:r>
      <w:r w:rsidRPr="002B1A95">
        <w:t>1C.</w:t>
      </w:r>
    </w:p>
    <w:p w:rsidR="00EF666B" w:rsidRPr="002B1A95" w:rsidRDefault="00EF666B" w:rsidP="00EF666B">
      <w:pPr>
        <w:pStyle w:val="notetext"/>
      </w:pPr>
      <w:r w:rsidRPr="002B1A95">
        <w:t>Note 1:</w:t>
      </w:r>
      <w:r w:rsidRPr="002B1A95">
        <w:tab/>
        <w:t>Subsection</w:t>
      </w:r>
      <w:r w:rsidR="002B1A95" w:rsidRPr="002B1A95">
        <w:t> </w:t>
      </w:r>
      <w:r w:rsidRPr="002B1A95">
        <w:t>393</w:t>
      </w:r>
      <w:r w:rsidR="00782250">
        <w:noBreakHyphen/>
      </w:r>
      <w:r w:rsidRPr="002B1A95">
        <w:t>20(2) of the Act requires a depositor to apply to an FMD provider to make a farm management deposit with the FMD provider.</w:t>
      </w:r>
    </w:p>
    <w:p w:rsidR="00EF666B" w:rsidRPr="002B1A95" w:rsidRDefault="00EF666B" w:rsidP="00EF666B">
      <w:pPr>
        <w:pStyle w:val="notetext"/>
      </w:pPr>
      <w:r w:rsidRPr="002B1A95">
        <w:t>Note 2:</w:t>
      </w:r>
      <w:r w:rsidRPr="002B1A95">
        <w:tab/>
        <w:t>Under paragraph</w:t>
      </w:r>
      <w:r w:rsidR="002B1A95" w:rsidRPr="002B1A95">
        <w:t> </w:t>
      </w:r>
      <w:r w:rsidRPr="002B1A95">
        <w:t>393</w:t>
      </w:r>
      <w:r w:rsidR="00782250">
        <w:noBreakHyphen/>
      </w:r>
      <w:r w:rsidRPr="002B1A95">
        <w:t>20(2)(c) of the Act, the statements required by this section to be included in an application form are to be read by the depositor when completing the form.</w:t>
      </w:r>
    </w:p>
    <w:p w:rsidR="00EF666B" w:rsidRPr="002B1A95" w:rsidRDefault="00EF666B" w:rsidP="00EF666B">
      <w:pPr>
        <w:pStyle w:val="ActHead5"/>
      </w:pPr>
      <w:bookmarkStart w:id="142" w:name="_Toc49765322"/>
      <w:r w:rsidRPr="00411C46">
        <w:rPr>
          <w:rStyle w:val="CharSectno"/>
        </w:rPr>
        <w:t>393</w:t>
      </w:r>
      <w:r w:rsidR="00782250" w:rsidRPr="00411C46">
        <w:rPr>
          <w:rStyle w:val="CharSectno"/>
        </w:rPr>
        <w:noBreakHyphen/>
      </w:r>
      <w:r w:rsidRPr="00411C46">
        <w:rPr>
          <w:rStyle w:val="CharSectno"/>
        </w:rPr>
        <w:t>40.01</w:t>
      </w:r>
      <w:r w:rsidRPr="002B1A95">
        <w:t xml:space="preserve">  Repayment of farm management deposit in the event of a natural disaster</w:t>
      </w:r>
      <w:bookmarkEnd w:id="142"/>
    </w:p>
    <w:p w:rsidR="00EF666B" w:rsidRPr="002B1A95" w:rsidRDefault="00EF666B" w:rsidP="00EF666B">
      <w:pPr>
        <w:pStyle w:val="subsection"/>
      </w:pPr>
      <w:r w:rsidRPr="002B1A95">
        <w:tab/>
      </w:r>
      <w:r w:rsidRPr="002B1A95">
        <w:tab/>
        <w:t>For the purposes of paragraphs 393</w:t>
      </w:r>
      <w:r w:rsidR="00782250">
        <w:noBreakHyphen/>
      </w:r>
      <w:r w:rsidRPr="002B1A95">
        <w:t>40(3A)(a) and (b) of the Act, the circumstances that are to be satisfied in relation to a repayment of the whole or a part of a farm management deposit are:</w:t>
      </w:r>
    </w:p>
    <w:p w:rsidR="00EF666B" w:rsidRPr="002B1A95" w:rsidRDefault="00EF666B" w:rsidP="00EF666B">
      <w:pPr>
        <w:pStyle w:val="paragraph"/>
      </w:pPr>
      <w:r w:rsidRPr="002B1A95">
        <w:lastRenderedPageBreak/>
        <w:tab/>
        <w:t>(a)</w:t>
      </w:r>
      <w:r w:rsidRPr="002B1A95">
        <w:tab/>
        <w:t>recovery assistance has been provided as a Category C measure, in the form of a recovery grant for a primary producer, in accordance with the Disaster Recovery Funding Arrangements 2018, determined by the Minister for Law Enforcement and Cyber Security on 5</w:t>
      </w:r>
      <w:r w:rsidR="002B1A95" w:rsidRPr="002B1A95">
        <w:t> </w:t>
      </w:r>
      <w:r w:rsidRPr="002B1A95">
        <w:t>June 2018; and</w:t>
      </w:r>
    </w:p>
    <w:p w:rsidR="00EF666B" w:rsidRPr="002B1A95" w:rsidRDefault="00EF666B" w:rsidP="00EF666B">
      <w:pPr>
        <w:pStyle w:val="paragraph"/>
      </w:pPr>
      <w:r w:rsidRPr="002B1A95">
        <w:tab/>
        <w:t>(b)</w:t>
      </w:r>
      <w:r w:rsidRPr="002B1A95">
        <w:tab/>
        <w:t>the recovery assistance was first provided during the 12 month period mentioned in subsection</w:t>
      </w:r>
      <w:r w:rsidR="002B1A95" w:rsidRPr="002B1A95">
        <w:t> </w:t>
      </w:r>
      <w:r w:rsidRPr="002B1A95">
        <w:t>393</w:t>
      </w:r>
      <w:r w:rsidR="00782250">
        <w:noBreakHyphen/>
      </w:r>
      <w:r w:rsidRPr="002B1A95">
        <w:t>40(1) of the Act; and</w:t>
      </w:r>
    </w:p>
    <w:p w:rsidR="00EF666B" w:rsidRPr="002B1A95" w:rsidRDefault="00EF666B" w:rsidP="00EF666B">
      <w:pPr>
        <w:pStyle w:val="paragraph"/>
      </w:pPr>
      <w:r w:rsidRPr="002B1A95">
        <w:tab/>
        <w:t>(c)</w:t>
      </w:r>
      <w:r w:rsidRPr="002B1A95">
        <w:tab/>
        <w:t>the farm management deposit was repaid after the recovery assistance was first provided.</w:t>
      </w:r>
    </w:p>
    <w:p w:rsidR="00EF666B" w:rsidRPr="002B1A95" w:rsidRDefault="00EF666B" w:rsidP="00EF666B">
      <w:pPr>
        <w:pStyle w:val="notetext"/>
      </w:pPr>
      <w:r w:rsidRPr="002B1A95">
        <w:t>Note 1:</w:t>
      </w:r>
      <w:r w:rsidRPr="002B1A95">
        <w:tab/>
        <w:t>A repayment that satisfies the circumstances in this section is not precluded from being a farm management deposit under subsections</w:t>
      </w:r>
      <w:r w:rsidR="002B1A95" w:rsidRPr="002B1A95">
        <w:t> </w:t>
      </w:r>
      <w:r w:rsidRPr="002B1A95">
        <w:t>393</w:t>
      </w:r>
      <w:r w:rsidR="00782250">
        <w:noBreakHyphen/>
      </w:r>
      <w:r w:rsidRPr="002B1A95">
        <w:t>40(1) or (2) of the Act.</w:t>
      </w:r>
    </w:p>
    <w:p w:rsidR="00EF666B" w:rsidRPr="002B1A95" w:rsidRDefault="00EF666B" w:rsidP="00EF666B">
      <w:pPr>
        <w:pStyle w:val="notetext"/>
      </w:pPr>
      <w:r w:rsidRPr="002B1A95">
        <w:t>Note 2:</w:t>
      </w:r>
      <w:r w:rsidRPr="002B1A95">
        <w:tab/>
        <w:t>The Disaster Recovery Funding Arrangements 2018 could in 2020 be viewed on the DisasterAssist website (https://www.disasterassist.gov.au).</w:t>
      </w:r>
    </w:p>
    <w:p w:rsidR="00EF666B" w:rsidRPr="002B1A95" w:rsidRDefault="00EF666B" w:rsidP="00EF666B">
      <w:pPr>
        <w:pStyle w:val="ActHead3"/>
        <w:pageBreakBefore/>
      </w:pPr>
      <w:bookmarkStart w:id="143" w:name="_Toc49765323"/>
      <w:r w:rsidRPr="00411C46">
        <w:rPr>
          <w:rStyle w:val="CharDivNo"/>
        </w:rPr>
        <w:lastRenderedPageBreak/>
        <w:t>Division</w:t>
      </w:r>
      <w:r w:rsidR="002B1A95" w:rsidRPr="00411C46">
        <w:rPr>
          <w:rStyle w:val="CharDivNo"/>
        </w:rPr>
        <w:t> </w:t>
      </w:r>
      <w:r w:rsidRPr="00411C46">
        <w:rPr>
          <w:rStyle w:val="CharDivNo"/>
        </w:rPr>
        <w:t>418</w:t>
      </w:r>
      <w:r w:rsidRPr="002B1A95">
        <w:t>—</w:t>
      </w:r>
      <w:r w:rsidRPr="00411C46">
        <w:rPr>
          <w:rStyle w:val="CharDivText"/>
        </w:rPr>
        <w:t>Exploration for minerals</w:t>
      </w:r>
      <w:bookmarkEnd w:id="143"/>
    </w:p>
    <w:p w:rsidR="00EF666B" w:rsidRPr="002B1A95" w:rsidRDefault="00EF666B" w:rsidP="00EF666B">
      <w:pPr>
        <w:pStyle w:val="ActHead4"/>
      </w:pPr>
      <w:bookmarkStart w:id="144" w:name="_Toc49765324"/>
      <w:r w:rsidRPr="00411C46">
        <w:rPr>
          <w:rStyle w:val="CharSubdNo"/>
        </w:rPr>
        <w:t>Subdivision</w:t>
      </w:r>
      <w:r w:rsidR="002B1A95" w:rsidRPr="00411C46">
        <w:rPr>
          <w:rStyle w:val="CharSubdNo"/>
        </w:rPr>
        <w:t> </w:t>
      </w:r>
      <w:r w:rsidRPr="00411C46">
        <w:rPr>
          <w:rStyle w:val="CharSubdNo"/>
        </w:rPr>
        <w:t>418</w:t>
      </w:r>
      <w:r w:rsidR="00782250" w:rsidRPr="00411C46">
        <w:rPr>
          <w:rStyle w:val="CharSubdNo"/>
        </w:rPr>
        <w:noBreakHyphen/>
      </w:r>
      <w:r w:rsidRPr="00411C46">
        <w:rPr>
          <w:rStyle w:val="CharSubdNo"/>
        </w:rPr>
        <w:t>DA</w:t>
      </w:r>
      <w:r w:rsidRPr="002B1A95">
        <w:t>—</w:t>
      </w:r>
      <w:r w:rsidRPr="00411C46">
        <w:rPr>
          <w:rStyle w:val="CharSubdText"/>
        </w:rPr>
        <w:t>Exploration credits allocation</w:t>
      </w:r>
      <w:bookmarkEnd w:id="144"/>
    </w:p>
    <w:p w:rsidR="00EF666B" w:rsidRPr="002B1A95" w:rsidRDefault="00EF666B" w:rsidP="00EF666B">
      <w:pPr>
        <w:pStyle w:val="ActHead5"/>
      </w:pPr>
      <w:bookmarkStart w:id="145" w:name="_Toc49765325"/>
      <w:r w:rsidRPr="00411C46">
        <w:rPr>
          <w:rStyle w:val="CharSectno"/>
        </w:rPr>
        <w:t>418</w:t>
      </w:r>
      <w:r w:rsidR="00782250" w:rsidRPr="00411C46">
        <w:rPr>
          <w:rStyle w:val="CharSectno"/>
        </w:rPr>
        <w:noBreakHyphen/>
      </w:r>
      <w:r w:rsidRPr="00411C46">
        <w:rPr>
          <w:rStyle w:val="CharSectno"/>
        </w:rPr>
        <w:t>103.01</w:t>
      </w:r>
      <w:r w:rsidRPr="002B1A95">
        <w:t xml:space="preserve">  Meaning of annual exploration cap—2020</w:t>
      </w:r>
      <w:r w:rsidR="00782250">
        <w:noBreakHyphen/>
      </w:r>
      <w:r w:rsidRPr="002B1A95">
        <w:t>21 income year</w:t>
      </w:r>
      <w:bookmarkEnd w:id="145"/>
    </w:p>
    <w:p w:rsidR="00EF666B" w:rsidRPr="002B1A95" w:rsidRDefault="00EF666B" w:rsidP="00EF666B">
      <w:pPr>
        <w:pStyle w:val="subsection"/>
      </w:pPr>
      <w:r w:rsidRPr="002B1A95">
        <w:tab/>
      </w:r>
      <w:r w:rsidRPr="002B1A95">
        <w:tab/>
        <w:t>For the purposes of paragraph</w:t>
      </w:r>
      <w:r w:rsidR="002B1A95" w:rsidRPr="002B1A95">
        <w:t> </w:t>
      </w:r>
      <w:r w:rsidRPr="002B1A95">
        <w:t>418</w:t>
      </w:r>
      <w:r w:rsidR="00782250">
        <w:noBreakHyphen/>
      </w:r>
      <w:r w:rsidRPr="002B1A95">
        <w:t>103(1)(d) of the Act, the amount of $5 million is prescribed.</w:t>
      </w:r>
    </w:p>
    <w:p w:rsidR="007D17C5" w:rsidRPr="002B1A95" w:rsidRDefault="007D17C5" w:rsidP="007D17C5">
      <w:pPr>
        <w:pStyle w:val="ActHead1"/>
        <w:pageBreakBefore/>
      </w:pPr>
      <w:bookmarkStart w:id="146" w:name="_Toc49765326"/>
      <w:r w:rsidRPr="00411C46">
        <w:rPr>
          <w:rStyle w:val="CharChapNo"/>
        </w:rPr>
        <w:lastRenderedPageBreak/>
        <w:t>Chapter</w:t>
      </w:r>
      <w:r w:rsidR="002B1A95" w:rsidRPr="00411C46">
        <w:rPr>
          <w:rStyle w:val="CharChapNo"/>
        </w:rPr>
        <w:t> </w:t>
      </w:r>
      <w:r w:rsidRPr="00411C46">
        <w:rPr>
          <w:rStyle w:val="CharChapNo"/>
        </w:rPr>
        <w:t>4</w:t>
      </w:r>
      <w:r w:rsidRPr="002B1A95">
        <w:t>—</w:t>
      </w:r>
      <w:r w:rsidRPr="00411C46">
        <w:rPr>
          <w:rStyle w:val="CharChapText"/>
        </w:rPr>
        <w:t>International aspects of income tax</w:t>
      </w:r>
      <w:bookmarkEnd w:id="146"/>
    </w:p>
    <w:p w:rsidR="007D17C5" w:rsidRPr="002B1A95" w:rsidRDefault="007D17C5" w:rsidP="007D17C5">
      <w:pPr>
        <w:pStyle w:val="ActHead2"/>
      </w:pPr>
      <w:bookmarkStart w:id="147" w:name="_Toc49765327"/>
      <w:r w:rsidRPr="00411C46">
        <w:rPr>
          <w:rStyle w:val="CharPartNo"/>
        </w:rPr>
        <w:t>Part</w:t>
      </w:r>
      <w:r w:rsidR="002B1A95" w:rsidRPr="00411C46">
        <w:rPr>
          <w:rStyle w:val="CharPartNo"/>
        </w:rPr>
        <w:t> </w:t>
      </w:r>
      <w:r w:rsidRPr="00411C46">
        <w:rPr>
          <w:rStyle w:val="CharPartNo"/>
        </w:rPr>
        <w:t>4</w:t>
      </w:r>
      <w:r w:rsidR="00782250" w:rsidRPr="00411C46">
        <w:rPr>
          <w:rStyle w:val="CharPartNo"/>
        </w:rPr>
        <w:noBreakHyphen/>
      </w:r>
      <w:r w:rsidRPr="00411C46">
        <w:rPr>
          <w:rStyle w:val="CharPartNo"/>
        </w:rPr>
        <w:t>5</w:t>
      </w:r>
      <w:r w:rsidRPr="002B1A95">
        <w:t>—</w:t>
      </w:r>
      <w:r w:rsidRPr="00411C46">
        <w:rPr>
          <w:rStyle w:val="CharPartText"/>
        </w:rPr>
        <w:t>General</w:t>
      </w:r>
      <w:bookmarkEnd w:id="147"/>
    </w:p>
    <w:p w:rsidR="007D17C5" w:rsidRPr="002B1A95" w:rsidRDefault="007D17C5" w:rsidP="007D17C5">
      <w:pPr>
        <w:pStyle w:val="ActHead3"/>
      </w:pPr>
      <w:bookmarkStart w:id="148" w:name="_Toc49765328"/>
      <w:r w:rsidRPr="00411C46">
        <w:rPr>
          <w:rStyle w:val="CharDivNo"/>
        </w:rPr>
        <w:t>Division</w:t>
      </w:r>
      <w:r w:rsidR="002B1A95" w:rsidRPr="00411C46">
        <w:rPr>
          <w:rStyle w:val="CharDivNo"/>
        </w:rPr>
        <w:t> </w:t>
      </w:r>
      <w:r w:rsidRPr="00411C46">
        <w:rPr>
          <w:rStyle w:val="CharDivNo"/>
        </w:rPr>
        <w:t>775</w:t>
      </w:r>
      <w:r w:rsidRPr="002B1A95">
        <w:t>—</w:t>
      </w:r>
      <w:r w:rsidRPr="00411C46">
        <w:rPr>
          <w:rStyle w:val="CharDivText"/>
        </w:rPr>
        <w:t>Foreign currency gains and losses</w:t>
      </w:r>
      <w:bookmarkEnd w:id="148"/>
    </w:p>
    <w:p w:rsidR="007D17C5" w:rsidRPr="002B1A95" w:rsidRDefault="007D17C5" w:rsidP="007D17C5">
      <w:pPr>
        <w:pStyle w:val="ActHead4"/>
      </w:pPr>
      <w:bookmarkStart w:id="149" w:name="_Toc49765329"/>
      <w:r w:rsidRPr="00411C46">
        <w:rPr>
          <w:rStyle w:val="CharSubdNo"/>
          <w:rFonts w:eastAsiaTheme="majorEastAsia"/>
        </w:rPr>
        <w:t>Subdivision</w:t>
      </w:r>
      <w:r w:rsidR="002B1A95" w:rsidRPr="00411C46">
        <w:rPr>
          <w:rStyle w:val="CharSubdNo"/>
          <w:rFonts w:eastAsiaTheme="majorEastAsia"/>
        </w:rPr>
        <w:t> </w:t>
      </w:r>
      <w:r w:rsidRPr="00411C46">
        <w:rPr>
          <w:rStyle w:val="CharSubdNo"/>
          <w:rFonts w:eastAsiaTheme="majorEastAsia"/>
        </w:rPr>
        <w:t>775</w:t>
      </w:r>
      <w:r w:rsidR="00782250" w:rsidRPr="00411C46">
        <w:rPr>
          <w:rStyle w:val="CharSubdNo"/>
          <w:rFonts w:eastAsiaTheme="majorEastAsia"/>
        </w:rPr>
        <w:noBreakHyphen/>
      </w:r>
      <w:r w:rsidRPr="00411C46">
        <w:rPr>
          <w:rStyle w:val="CharSubdNo"/>
          <w:rFonts w:eastAsiaTheme="majorEastAsia"/>
        </w:rPr>
        <w:t>B</w:t>
      </w:r>
      <w:r w:rsidRPr="002B1A95">
        <w:t>—</w:t>
      </w:r>
      <w:r w:rsidRPr="00411C46">
        <w:rPr>
          <w:rStyle w:val="CharSubdText"/>
          <w:rFonts w:eastAsiaTheme="majorEastAsia"/>
        </w:rPr>
        <w:t>Realisation of forex gains or losses</w:t>
      </w:r>
      <w:bookmarkEnd w:id="149"/>
    </w:p>
    <w:p w:rsidR="007D17C5" w:rsidRPr="002B1A95" w:rsidRDefault="007D17C5" w:rsidP="007D17C5">
      <w:pPr>
        <w:pStyle w:val="ActHead5"/>
      </w:pPr>
      <w:bookmarkStart w:id="150" w:name="_Toc49765330"/>
      <w:r w:rsidRPr="00411C46">
        <w:rPr>
          <w:rStyle w:val="CharSectno"/>
        </w:rPr>
        <w:t>775</w:t>
      </w:r>
      <w:r w:rsidR="00782250" w:rsidRPr="00411C46">
        <w:rPr>
          <w:rStyle w:val="CharSectno"/>
        </w:rPr>
        <w:noBreakHyphen/>
      </w:r>
      <w:r w:rsidRPr="00411C46">
        <w:rPr>
          <w:rStyle w:val="CharSectno"/>
        </w:rPr>
        <w:t>145.01</w:t>
      </w:r>
      <w:r w:rsidRPr="002B1A95">
        <w:t xml:space="preserve">  Application of forex events to currency and fungible rights and obligations</w:t>
      </w:r>
      <w:bookmarkEnd w:id="150"/>
    </w:p>
    <w:p w:rsidR="007D17C5" w:rsidRPr="002B1A95" w:rsidRDefault="007D17C5" w:rsidP="007D17C5">
      <w:pPr>
        <w:pStyle w:val="subsection"/>
      </w:pPr>
      <w:r w:rsidRPr="002B1A95">
        <w:tab/>
        <w:t>(1)</w:t>
      </w:r>
      <w:r w:rsidRPr="002B1A95">
        <w:tab/>
        <w:t>For the purposes of subsection</w:t>
      </w:r>
      <w:r w:rsidR="002B1A95" w:rsidRPr="002B1A95">
        <w:t> </w:t>
      </w:r>
      <w:r w:rsidRPr="002B1A95">
        <w:t>775</w:t>
      </w:r>
      <w:r w:rsidR="00782250">
        <w:noBreakHyphen/>
      </w:r>
      <w:r w:rsidRPr="002B1A95">
        <w:t>145(2) of the Act:</w:t>
      </w:r>
    </w:p>
    <w:p w:rsidR="007D17C5" w:rsidRPr="002B1A95" w:rsidRDefault="007D17C5" w:rsidP="007D17C5">
      <w:pPr>
        <w:pStyle w:val="paragraph"/>
      </w:pPr>
      <w:r w:rsidRPr="002B1A95">
        <w:tab/>
        <w:t>(a)</w:t>
      </w:r>
      <w:r w:rsidRPr="002B1A95">
        <w:tab/>
        <w:t xml:space="preserve">forex realisation event 1 applies to foreign currency, on a weighted average basis, in the circumstances in </w:t>
      </w:r>
      <w:r w:rsidR="002B1A95" w:rsidRPr="002B1A95">
        <w:t>subsection (</w:t>
      </w:r>
      <w:r w:rsidRPr="002B1A95">
        <w:t>2) of this section; and</w:t>
      </w:r>
    </w:p>
    <w:p w:rsidR="007D17C5" w:rsidRPr="002B1A95" w:rsidRDefault="007D17C5" w:rsidP="007D17C5">
      <w:pPr>
        <w:pStyle w:val="paragraph"/>
      </w:pPr>
      <w:r w:rsidRPr="002B1A95">
        <w:tab/>
        <w:t>(b)</w:t>
      </w:r>
      <w:r w:rsidRPr="002B1A95">
        <w:tab/>
        <w:t xml:space="preserve">both of forex realisation events 1 and 2 apply to a fungible right, or a part of a fungible right, to receive foreign currency, on a weighted average basis, in the circumstances in </w:t>
      </w:r>
      <w:r w:rsidR="002B1A95" w:rsidRPr="002B1A95">
        <w:t>subsection (</w:t>
      </w:r>
      <w:r w:rsidRPr="002B1A95">
        <w:t>2) of this section; and</w:t>
      </w:r>
    </w:p>
    <w:p w:rsidR="007D17C5" w:rsidRPr="002B1A95" w:rsidRDefault="007D17C5" w:rsidP="007D17C5">
      <w:pPr>
        <w:pStyle w:val="paragraph"/>
      </w:pPr>
      <w:r w:rsidRPr="002B1A95">
        <w:tab/>
        <w:t>(c)</w:t>
      </w:r>
      <w:r w:rsidRPr="002B1A95">
        <w:tab/>
        <w:t xml:space="preserve">forex realisation event 4 applies to a fungible obligation, or a part of a fungible obligation, to pay foreign currency, on a weighted average basis, in the circumstances in </w:t>
      </w:r>
      <w:r w:rsidR="002B1A95" w:rsidRPr="002B1A95">
        <w:t>subsection (</w:t>
      </w:r>
      <w:r w:rsidRPr="002B1A95">
        <w:t>2) of this section.</w:t>
      </w:r>
    </w:p>
    <w:p w:rsidR="007D17C5" w:rsidRPr="002B1A95" w:rsidRDefault="007D17C5" w:rsidP="007D17C5">
      <w:pPr>
        <w:pStyle w:val="subsection"/>
      </w:pPr>
      <w:r w:rsidRPr="002B1A95">
        <w:tab/>
        <w:t>(2)</w:t>
      </w:r>
      <w:r w:rsidRPr="002B1A95">
        <w:tab/>
        <w:t xml:space="preserve">For the purposes of </w:t>
      </w:r>
      <w:r w:rsidR="002B1A95" w:rsidRPr="002B1A95">
        <w:t>paragraphs (</w:t>
      </w:r>
      <w:r w:rsidRPr="002B1A95">
        <w:t>1)(a), (b) and (c), the circumstances are that an election to use a weighted average basis:</w:t>
      </w:r>
    </w:p>
    <w:p w:rsidR="007D17C5" w:rsidRPr="002B1A95" w:rsidRDefault="007D17C5" w:rsidP="007D17C5">
      <w:pPr>
        <w:pStyle w:val="paragraph"/>
      </w:pPr>
      <w:r w:rsidRPr="002B1A95">
        <w:rPr>
          <w:color w:val="000000"/>
        </w:rPr>
        <w:tab/>
        <w:t>(a)</w:t>
      </w:r>
      <w:r w:rsidRPr="002B1A95">
        <w:rPr>
          <w:color w:val="000000"/>
        </w:rPr>
        <w:tab/>
        <w:t>has been made in writing; and</w:t>
      </w:r>
    </w:p>
    <w:p w:rsidR="007D17C5" w:rsidRPr="002B1A95" w:rsidRDefault="007D17C5" w:rsidP="007D17C5">
      <w:pPr>
        <w:pStyle w:val="paragraph"/>
      </w:pPr>
      <w:r w:rsidRPr="002B1A95">
        <w:tab/>
        <w:t>(b)</w:t>
      </w:r>
      <w:r w:rsidRPr="002B1A95">
        <w:tab/>
        <w:t xml:space="preserve">complies with </w:t>
      </w:r>
      <w:r w:rsidR="002B1A95" w:rsidRPr="002B1A95">
        <w:t>subsection (</w:t>
      </w:r>
      <w:r w:rsidRPr="002B1A95">
        <w:t>3); and</w:t>
      </w:r>
    </w:p>
    <w:p w:rsidR="007D17C5" w:rsidRPr="002B1A95" w:rsidRDefault="007D17C5" w:rsidP="007D17C5">
      <w:pPr>
        <w:pStyle w:val="paragraph"/>
      </w:pPr>
      <w:r w:rsidRPr="002B1A95">
        <w:tab/>
        <w:t>(c)</w:t>
      </w:r>
      <w:r w:rsidRPr="002B1A95">
        <w:tab/>
        <w:t xml:space="preserve">has not been withdrawn in accordance with </w:t>
      </w:r>
      <w:r w:rsidR="002B1A95" w:rsidRPr="002B1A95">
        <w:t>subsection (</w:t>
      </w:r>
      <w:r w:rsidRPr="002B1A95">
        <w:t>5).</w:t>
      </w:r>
    </w:p>
    <w:p w:rsidR="007D17C5" w:rsidRPr="002B1A95" w:rsidRDefault="007D17C5" w:rsidP="007D17C5">
      <w:pPr>
        <w:pStyle w:val="SubsectionHead"/>
      </w:pPr>
      <w:r w:rsidRPr="002B1A95">
        <w:t>Requirements for election</w:t>
      </w:r>
    </w:p>
    <w:p w:rsidR="007D17C5" w:rsidRPr="002B1A95" w:rsidRDefault="007D17C5" w:rsidP="007D17C5">
      <w:pPr>
        <w:pStyle w:val="subsection"/>
      </w:pPr>
      <w:r w:rsidRPr="002B1A95">
        <w:tab/>
        <w:t>(3)</w:t>
      </w:r>
      <w:r w:rsidRPr="002B1A95">
        <w:tab/>
        <w:t>An election complies with this subsection if it includes:</w:t>
      </w:r>
    </w:p>
    <w:p w:rsidR="007D17C5" w:rsidRPr="002B1A95" w:rsidRDefault="007D17C5" w:rsidP="007D17C5">
      <w:pPr>
        <w:pStyle w:val="paragraph"/>
      </w:pPr>
      <w:r w:rsidRPr="002B1A95">
        <w:tab/>
        <w:t>(a)</w:t>
      </w:r>
      <w:r w:rsidRPr="002B1A95">
        <w:tab/>
        <w:t>a commencement date of:</w:t>
      </w:r>
    </w:p>
    <w:p w:rsidR="007D17C5" w:rsidRPr="002B1A95" w:rsidRDefault="007D17C5" w:rsidP="007D17C5">
      <w:pPr>
        <w:pStyle w:val="paragraphsub"/>
        <w:rPr>
          <w:color w:val="000000"/>
        </w:rPr>
      </w:pPr>
      <w:r w:rsidRPr="002B1A95">
        <w:rPr>
          <w:color w:val="000000"/>
        </w:rPr>
        <w:tab/>
        <w:t>(i)</w:t>
      </w:r>
      <w:r w:rsidRPr="002B1A95">
        <w:rPr>
          <w:color w:val="000000"/>
        </w:rPr>
        <w:tab/>
        <w:t>the date on which it is made; or</w:t>
      </w:r>
    </w:p>
    <w:p w:rsidR="007D17C5" w:rsidRPr="002B1A95" w:rsidRDefault="007D17C5" w:rsidP="007D17C5">
      <w:pPr>
        <w:pStyle w:val="paragraphsub"/>
      </w:pPr>
      <w:r w:rsidRPr="002B1A95">
        <w:tab/>
        <w:t>(ii)</w:t>
      </w:r>
      <w:r w:rsidRPr="002B1A95">
        <w:tab/>
        <w:t>if the election is made not later than 90 days after 27</w:t>
      </w:r>
      <w:r w:rsidR="002B1A95" w:rsidRPr="002B1A95">
        <w:t> </w:t>
      </w:r>
      <w:r w:rsidRPr="002B1A95">
        <w:t>April 2005—the applicable commencement date mentioned in section</w:t>
      </w:r>
      <w:r w:rsidR="002B1A95" w:rsidRPr="002B1A95">
        <w:t> </w:t>
      </w:r>
      <w:r w:rsidRPr="002B1A95">
        <w:t>775</w:t>
      </w:r>
      <w:r w:rsidR="00782250">
        <w:noBreakHyphen/>
      </w:r>
      <w:r w:rsidRPr="002B1A95">
        <w:t>155 of the Act; or</w:t>
      </w:r>
    </w:p>
    <w:p w:rsidR="007D17C5" w:rsidRPr="002B1A95" w:rsidRDefault="007D17C5" w:rsidP="007D17C5">
      <w:pPr>
        <w:pStyle w:val="paragraphsub"/>
      </w:pPr>
      <w:r w:rsidRPr="002B1A95">
        <w:tab/>
        <w:t>(iii)</w:t>
      </w:r>
      <w:r w:rsidRPr="002B1A95">
        <w:tab/>
        <w:t>1</w:t>
      </w:r>
      <w:r w:rsidR="002B1A95" w:rsidRPr="002B1A95">
        <w:t> </w:t>
      </w:r>
      <w:r w:rsidRPr="002B1A95">
        <w:t>July 2004; and</w:t>
      </w:r>
    </w:p>
    <w:p w:rsidR="007D17C5" w:rsidRPr="002B1A95" w:rsidRDefault="007D17C5" w:rsidP="007D17C5">
      <w:pPr>
        <w:pStyle w:val="paragraph"/>
      </w:pPr>
      <w:r w:rsidRPr="002B1A95">
        <w:tab/>
        <w:t>(b)</w:t>
      </w:r>
      <w:r w:rsidRPr="002B1A95">
        <w:tab/>
        <w:t>a statement that the election is for all of the forex realisation events that are applicable to the fungible thing to which the election relates to apply, on a weighted average basis, to:</w:t>
      </w:r>
    </w:p>
    <w:p w:rsidR="007D17C5" w:rsidRPr="002B1A95" w:rsidRDefault="007D17C5" w:rsidP="007D17C5">
      <w:pPr>
        <w:pStyle w:val="paragraphsub"/>
      </w:pPr>
      <w:r w:rsidRPr="002B1A95">
        <w:rPr>
          <w:color w:val="000000"/>
        </w:rPr>
        <w:tab/>
        <w:t>(i)</w:t>
      </w:r>
      <w:r w:rsidRPr="002B1A95">
        <w:rPr>
          <w:color w:val="000000"/>
        </w:rPr>
        <w:tab/>
        <w:t>all fungible things (other than a fungible thing in relation to which a choice under Subdivision</w:t>
      </w:r>
      <w:r w:rsidR="002B1A95" w:rsidRPr="002B1A95">
        <w:rPr>
          <w:color w:val="000000"/>
        </w:rPr>
        <w:t> </w:t>
      </w:r>
      <w:r w:rsidRPr="002B1A95">
        <w:rPr>
          <w:color w:val="000000"/>
        </w:rPr>
        <w:t>775</w:t>
      </w:r>
      <w:r w:rsidR="00782250">
        <w:rPr>
          <w:color w:val="000000"/>
        </w:rPr>
        <w:noBreakHyphen/>
      </w:r>
      <w:r w:rsidRPr="002B1A95">
        <w:rPr>
          <w:color w:val="000000"/>
        </w:rPr>
        <w:t>E of the Act is in effect); or</w:t>
      </w:r>
    </w:p>
    <w:p w:rsidR="007D17C5" w:rsidRPr="002B1A95" w:rsidRDefault="007D17C5" w:rsidP="007D17C5">
      <w:pPr>
        <w:pStyle w:val="paragraphsub"/>
      </w:pPr>
      <w:r w:rsidRPr="002B1A95">
        <w:tab/>
        <w:t>(ii)</w:t>
      </w:r>
      <w:r w:rsidRPr="002B1A95">
        <w:tab/>
        <w:t>one or more specified classes of fungible things, other than a fungible thing in relation to which a choice under Subdivision</w:t>
      </w:r>
      <w:r w:rsidR="002B1A95" w:rsidRPr="002B1A95">
        <w:t> </w:t>
      </w:r>
      <w:r w:rsidRPr="002B1A95">
        <w:t>775</w:t>
      </w:r>
      <w:r w:rsidR="00782250">
        <w:noBreakHyphen/>
      </w:r>
      <w:r w:rsidRPr="002B1A95">
        <w:t>E of the Act is in effect, in circumstances (explained in the statement) in which the effect of the election would reasonably be expected to be the reduction of the costs of compliance with the income tax law; or</w:t>
      </w:r>
    </w:p>
    <w:p w:rsidR="007D17C5" w:rsidRPr="002B1A95" w:rsidRDefault="007D17C5" w:rsidP="007D17C5">
      <w:pPr>
        <w:pStyle w:val="paragraphsub"/>
      </w:pPr>
      <w:r w:rsidRPr="002B1A95">
        <w:lastRenderedPageBreak/>
        <w:tab/>
        <w:t>(iii)</w:t>
      </w:r>
      <w:r w:rsidRPr="002B1A95">
        <w:tab/>
        <w:t>one or more specified fungible things in circumstances (explained in the statement) in which the effect of the election would be consistent with the treatment of those fungible things in the accounting records of the entity making the election, if those records were prepared in accordance with generally accepted accounting principles.</w:t>
      </w:r>
    </w:p>
    <w:p w:rsidR="007D17C5" w:rsidRPr="002B1A95" w:rsidRDefault="007D17C5" w:rsidP="007D17C5">
      <w:pPr>
        <w:pStyle w:val="subsection"/>
        <w:rPr>
          <w:color w:val="000000"/>
        </w:rPr>
      </w:pPr>
      <w:r w:rsidRPr="002B1A95">
        <w:rPr>
          <w:color w:val="000000"/>
        </w:rPr>
        <w:tab/>
        <w:t>(4)</w:t>
      </w:r>
      <w:r w:rsidRPr="002B1A95">
        <w:rPr>
          <w:color w:val="000000"/>
        </w:rPr>
        <w:tab/>
        <w:t xml:space="preserve">An election that complies with </w:t>
      </w:r>
      <w:r w:rsidR="002B1A95" w:rsidRPr="002B1A95">
        <w:rPr>
          <w:color w:val="000000"/>
        </w:rPr>
        <w:t>subsection (</w:t>
      </w:r>
      <w:r w:rsidRPr="002B1A95">
        <w:rPr>
          <w:color w:val="000000"/>
        </w:rPr>
        <w:t xml:space="preserve">3) takes effect in accordance with </w:t>
      </w:r>
      <w:r w:rsidR="002B1A95" w:rsidRPr="002B1A95">
        <w:rPr>
          <w:color w:val="000000"/>
        </w:rPr>
        <w:t>subsection (</w:t>
      </w:r>
      <w:r w:rsidRPr="002B1A95">
        <w:rPr>
          <w:color w:val="000000"/>
        </w:rPr>
        <w:t>3).</w:t>
      </w:r>
    </w:p>
    <w:p w:rsidR="007D17C5" w:rsidRPr="002B1A95" w:rsidRDefault="007D17C5" w:rsidP="007D17C5">
      <w:pPr>
        <w:pStyle w:val="SubsectionHead"/>
      </w:pPr>
      <w:r w:rsidRPr="002B1A95">
        <w:t>When an election may be withdrawn</w:t>
      </w:r>
    </w:p>
    <w:p w:rsidR="007D17C5" w:rsidRPr="002B1A95" w:rsidRDefault="007D17C5" w:rsidP="007D17C5">
      <w:pPr>
        <w:pStyle w:val="subsection"/>
      </w:pPr>
      <w:r w:rsidRPr="002B1A95">
        <w:tab/>
        <w:t>(5)</w:t>
      </w:r>
      <w:r w:rsidRPr="002B1A95">
        <w:tab/>
        <w:t xml:space="preserve">An entity may withdraw an election only if </w:t>
      </w:r>
      <w:r w:rsidRPr="002B1A95">
        <w:rPr>
          <w:color w:val="000000"/>
        </w:rPr>
        <w:t xml:space="preserve">it does not appear, on reasonable grounds, that the election is being withdrawn for a principal purpose of obtaining a tax benefit and </w:t>
      </w:r>
      <w:r w:rsidRPr="002B1A95">
        <w:t>either:</w:t>
      </w:r>
    </w:p>
    <w:p w:rsidR="007D17C5" w:rsidRPr="002B1A95" w:rsidRDefault="007D17C5" w:rsidP="007D17C5">
      <w:pPr>
        <w:pStyle w:val="paragraph"/>
      </w:pPr>
      <w:r w:rsidRPr="002B1A95">
        <w:tab/>
        <w:t>(a)</w:t>
      </w:r>
      <w:r w:rsidRPr="002B1A95">
        <w:tab/>
        <w:t>if accounting records in relation to the treatment of fungible things to which the election applies are being kept by the entity and prepared in accordance with generally accepted accounting principles—the election is being withdrawn because there has been a change to the entity’s accounting practices; or</w:t>
      </w:r>
    </w:p>
    <w:p w:rsidR="007D17C5" w:rsidRPr="002B1A95" w:rsidRDefault="007D17C5" w:rsidP="007D17C5">
      <w:pPr>
        <w:pStyle w:val="paragraph"/>
      </w:pPr>
      <w:r w:rsidRPr="002B1A95">
        <w:tab/>
        <w:t>(b)</w:t>
      </w:r>
      <w:r w:rsidRPr="002B1A95">
        <w:tab/>
        <w:t>if:</w:t>
      </w:r>
    </w:p>
    <w:p w:rsidR="007D17C5" w:rsidRPr="002B1A95" w:rsidRDefault="007D17C5" w:rsidP="007D17C5">
      <w:pPr>
        <w:pStyle w:val="paragraphsub"/>
      </w:pPr>
      <w:r w:rsidRPr="002B1A95">
        <w:tab/>
        <w:t>(i)</w:t>
      </w:r>
      <w:r w:rsidRPr="002B1A95">
        <w:tab/>
        <w:t>accounting records in relation to the treatment of fungible things to which the election applies by the entity are not being kept by the entity and prepared in accordance with generally accepted accounting principles; and</w:t>
      </w:r>
    </w:p>
    <w:p w:rsidR="007D17C5" w:rsidRPr="002B1A95" w:rsidRDefault="007D17C5" w:rsidP="007D17C5">
      <w:pPr>
        <w:pStyle w:val="paragraphsub"/>
      </w:pPr>
      <w:r w:rsidRPr="002B1A95">
        <w:tab/>
        <w:t>(ii)</w:t>
      </w:r>
      <w:r w:rsidRPr="002B1A95">
        <w:tab/>
        <w:t xml:space="preserve">the election includes the statement mentioned in </w:t>
      </w:r>
      <w:r w:rsidR="002B1A95" w:rsidRPr="002B1A95">
        <w:t>subparagraph (</w:t>
      </w:r>
      <w:r w:rsidRPr="002B1A95">
        <w:t>3)(b)(ii);</w:t>
      </w:r>
    </w:p>
    <w:p w:rsidR="007D17C5" w:rsidRPr="002B1A95" w:rsidRDefault="007D17C5" w:rsidP="007D17C5">
      <w:pPr>
        <w:pStyle w:val="paragraph"/>
      </w:pPr>
      <w:r w:rsidRPr="002B1A95">
        <w:tab/>
      </w:r>
      <w:r w:rsidRPr="002B1A95">
        <w:tab/>
        <w:t xml:space="preserve">there has been a change in the entity’s circumstances that makes the statement mentioned in </w:t>
      </w:r>
      <w:r w:rsidR="002B1A95" w:rsidRPr="002B1A95">
        <w:t>subparagraph (</w:t>
      </w:r>
      <w:r w:rsidRPr="002B1A95">
        <w:t>3)(b)(ii) incorrect.</w:t>
      </w:r>
    </w:p>
    <w:p w:rsidR="007D17C5" w:rsidRPr="002B1A95" w:rsidRDefault="007D17C5" w:rsidP="007D17C5">
      <w:pPr>
        <w:pStyle w:val="notetext"/>
      </w:pPr>
      <w:r w:rsidRPr="002B1A95">
        <w:t>Note 1:</w:t>
      </w:r>
      <w:r w:rsidRPr="002B1A95">
        <w:tab/>
        <w:t>A tax benefit may be an incidental consequence of the withdrawal of an election.</w:t>
      </w:r>
    </w:p>
    <w:p w:rsidR="007D17C5" w:rsidRPr="002B1A95" w:rsidRDefault="007D17C5" w:rsidP="007D17C5">
      <w:pPr>
        <w:pStyle w:val="notetext"/>
      </w:pPr>
      <w:r w:rsidRPr="002B1A95">
        <w:t>Note 2:</w:t>
      </w:r>
      <w:r w:rsidRPr="002B1A95">
        <w:tab/>
        <w:t>A weighted average basis (see section</w:t>
      </w:r>
      <w:r w:rsidR="002B1A95" w:rsidRPr="002B1A95">
        <w:t> </w:t>
      </w:r>
      <w:r w:rsidRPr="002B1A95">
        <w:t>775</w:t>
      </w:r>
      <w:r w:rsidR="00782250">
        <w:noBreakHyphen/>
      </w:r>
      <w:r w:rsidRPr="002B1A95">
        <w:t>145 of the Act) is used to allow:</w:t>
      </w:r>
    </w:p>
    <w:p w:rsidR="007D17C5" w:rsidRPr="002B1A95" w:rsidRDefault="007D17C5" w:rsidP="007D17C5">
      <w:pPr>
        <w:pStyle w:val="notepara"/>
      </w:pPr>
      <w:r w:rsidRPr="002B1A95">
        <w:t>(a)</w:t>
      </w:r>
      <w:r w:rsidRPr="002B1A95">
        <w:tab/>
        <w:t>the cost of a fungible amount or part of a fungible amount; or</w:t>
      </w:r>
    </w:p>
    <w:p w:rsidR="007D17C5" w:rsidRPr="002B1A95" w:rsidRDefault="007D17C5" w:rsidP="007D17C5">
      <w:pPr>
        <w:pStyle w:val="notepara"/>
      </w:pPr>
      <w:r w:rsidRPr="002B1A95">
        <w:t>(b)</w:t>
      </w:r>
      <w:r w:rsidRPr="002B1A95">
        <w:tab/>
        <w:t>in the case of a fungible obligation, or a part of a fungible obligation—the proceeds of assuming the obligation or the part of the fungible obligation;</w:t>
      </w:r>
    </w:p>
    <w:p w:rsidR="007D17C5" w:rsidRPr="002B1A95" w:rsidRDefault="007D17C5" w:rsidP="007D17C5">
      <w:pPr>
        <w:pStyle w:val="notetext"/>
        <w:spacing w:before="40"/>
        <w:rPr>
          <w:color w:val="000000"/>
        </w:rPr>
      </w:pPr>
      <w:r w:rsidRPr="002B1A95">
        <w:rPr>
          <w:color w:val="000000"/>
        </w:rPr>
        <w:tab/>
        <w:t>at a particular time to be determined by the weighted average cost of the amounts that were previously added to the fungible amount.</w:t>
      </w:r>
    </w:p>
    <w:p w:rsidR="007D17C5" w:rsidRPr="002B1A95" w:rsidRDefault="007D17C5" w:rsidP="007D17C5">
      <w:pPr>
        <w:pStyle w:val="ActHead3"/>
        <w:pageBreakBefore/>
      </w:pPr>
      <w:bookmarkStart w:id="151" w:name="_Toc49765331"/>
      <w:r w:rsidRPr="00411C46">
        <w:rPr>
          <w:rStyle w:val="CharDivNo"/>
        </w:rPr>
        <w:lastRenderedPageBreak/>
        <w:t>Division</w:t>
      </w:r>
      <w:r w:rsidR="002B1A95" w:rsidRPr="00411C46">
        <w:rPr>
          <w:rStyle w:val="CharDivNo"/>
        </w:rPr>
        <w:t> </w:t>
      </w:r>
      <w:r w:rsidRPr="00411C46">
        <w:rPr>
          <w:rStyle w:val="CharDivNo"/>
        </w:rPr>
        <w:t>830</w:t>
      </w:r>
      <w:r w:rsidRPr="002B1A95">
        <w:t>—</w:t>
      </w:r>
      <w:r w:rsidRPr="00411C46">
        <w:rPr>
          <w:rStyle w:val="CharDivText"/>
        </w:rPr>
        <w:t>Foreign hybrids</w:t>
      </w:r>
      <w:bookmarkEnd w:id="151"/>
    </w:p>
    <w:p w:rsidR="007D17C5" w:rsidRPr="002B1A95" w:rsidRDefault="007D17C5" w:rsidP="007D17C5">
      <w:pPr>
        <w:pStyle w:val="ActHead4"/>
      </w:pPr>
      <w:bookmarkStart w:id="152" w:name="_Toc49765332"/>
      <w:r w:rsidRPr="00411C46">
        <w:rPr>
          <w:rStyle w:val="CharSubdNo"/>
          <w:rFonts w:eastAsiaTheme="majorEastAsia"/>
        </w:rPr>
        <w:t>Subdivision</w:t>
      </w:r>
      <w:r w:rsidR="002B1A95" w:rsidRPr="00411C46">
        <w:rPr>
          <w:rStyle w:val="CharSubdNo"/>
          <w:rFonts w:eastAsiaTheme="majorEastAsia"/>
        </w:rPr>
        <w:t> </w:t>
      </w:r>
      <w:r w:rsidRPr="00411C46">
        <w:rPr>
          <w:rStyle w:val="CharSubdNo"/>
          <w:rFonts w:eastAsiaTheme="majorEastAsia"/>
        </w:rPr>
        <w:t>830</w:t>
      </w:r>
      <w:r w:rsidR="00782250" w:rsidRPr="00411C46">
        <w:rPr>
          <w:rStyle w:val="CharSubdNo"/>
          <w:rFonts w:eastAsiaTheme="majorEastAsia"/>
        </w:rPr>
        <w:noBreakHyphen/>
      </w:r>
      <w:r w:rsidRPr="00411C46">
        <w:rPr>
          <w:rStyle w:val="CharSubdNo"/>
          <w:rFonts w:eastAsiaTheme="majorEastAsia"/>
        </w:rPr>
        <w:t>A</w:t>
      </w:r>
      <w:r w:rsidRPr="002B1A95">
        <w:t>—</w:t>
      </w:r>
      <w:r w:rsidRPr="00411C46">
        <w:rPr>
          <w:rStyle w:val="CharSubdText"/>
          <w:rFonts w:eastAsiaTheme="majorEastAsia"/>
        </w:rPr>
        <w:t>Meaning of “foreign hybrid”</w:t>
      </w:r>
      <w:bookmarkEnd w:id="152"/>
    </w:p>
    <w:p w:rsidR="007D17C5" w:rsidRPr="002B1A95" w:rsidRDefault="007D17C5" w:rsidP="007D17C5">
      <w:pPr>
        <w:pStyle w:val="ActHead5"/>
      </w:pPr>
      <w:bookmarkStart w:id="153" w:name="_Toc49765333"/>
      <w:r w:rsidRPr="00411C46">
        <w:rPr>
          <w:rStyle w:val="CharSectno"/>
        </w:rPr>
        <w:t>830</w:t>
      </w:r>
      <w:r w:rsidR="00782250" w:rsidRPr="00411C46">
        <w:rPr>
          <w:rStyle w:val="CharSectno"/>
        </w:rPr>
        <w:noBreakHyphen/>
      </w:r>
      <w:r w:rsidRPr="00411C46">
        <w:rPr>
          <w:rStyle w:val="CharSectno"/>
        </w:rPr>
        <w:t>15.01</w:t>
      </w:r>
      <w:r w:rsidRPr="002B1A95">
        <w:t xml:space="preserve">  Foreign hybrid company</w:t>
      </w:r>
      <w:bookmarkEnd w:id="153"/>
    </w:p>
    <w:p w:rsidR="007D17C5" w:rsidRPr="002B1A95" w:rsidRDefault="007D17C5" w:rsidP="007D17C5">
      <w:pPr>
        <w:pStyle w:val="subsection"/>
      </w:pPr>
      <w:r w:rsidRPr="002B1A95">
        <w:tab/>
      </w:r>
      <w:r w:rsidRPr="002B1A95">
        <w:tab/>
        <w:t>For the purposes of paragraph</w:t>
      </w:r>
      <w:r w:rsidR="002B1A95" w:rsidRPr="002B1A95">
        <w:t> </w:t>
      </w:r>
      <w:r w:rsidRPr="002B1A95">
        <w:t>830</w:t>
      </w:r>
      <w:r w:rsidR="00782250">
        <w:noBreakHyphen/>
      </w:r>
      <w:r w:rsidRPr="002B1A95">
        <w:t xml:space="preserve">15(3)(c) of the Act, it is a requirement for a company in relation to an income year, that the company be a limited liability partnership for the purposes of the </w:t>
      </w:r>
      <w:r w:rsidRPr="002B1A95">
        <w:rPr>
          <w:i/>
        </w:rPr>
        <w:t>Limited Liability Partnerships Act 2000</w:t>
      </w:r>
      <w:r w:rsidRPr="002B1A95">
        <w:t xml:space="preserve"> (UK).</w:t>
      </w:r>
    </w:p>
    <w:p w:rsidR="007D17C5" w:rsidRPr="002B1A95" w:rsidRDefault="007D17C5" w:rsidP="007D17C5">
      <w:pPr>
        <w:pStyle w:val="notetext"/>
      </w:pPr>
      <w:r w:rsidRPr="002B1A95">
        <w:t>Note:</w:t>
      </w:r>
      <w:r w:rsidRPr="002B1A95">
        <w:tab/>
        <w:t>This requirement must be satisfied at all times during the income year when the company is in existence (see paragraph</w:t>
      </w:r>
      <w:r w:rsidR="002B1A95" w:rsidRPr="002B1A95">
        <w:t> </w:t>
      </w:r>
      <w:r w:rsidRPr="002B1A95">
        <w:t>830</w:t>
      </w:r>
      <w:r w:rsidR="00782250">
        <w:noBreakHyphen/>
      </w:r>
      <w:r w:rsidRPr="002B1A95">
        <w:t>15(1)(a) of the Act).</w:t>
      </w:r>
    </w:p>
    <w:p w:rsidR="007D17C5" w:rsidRPr="002B1A95" w:rsidRDefault="007D17C5" w:rsidP="007D17C5">
      <w:pPr>
        <w:pStyle w:val="ActHead1"/>
        <w:pageBreakBefore/>
      </w:pPr>
      <w:bookmarkStart w:id="154" w:name="_Toc49765334"/>
      <w:r w:rsidRPr="00411C46">
        <w:rPr>
          <w:rStyle w:val="CharChapNo"/>
        </w:rPr>
        <w:lastRenderedPageBreak/>
        <w:t>Chapter</w:t>
      </w:r>
      <w:r w:rsidR="002B1A95" w:rsidRPr="00411C46">
        <w:rPr>
          <w:rStyle w:val="CharChapNo"/>
        </w:rPr>
        <w:t> </w:t>
      </w:r>
      <w:r w:rsidRPr="00411C46">
        <w:rPr>
          <w:rStyle w:val="CharChapNo"/>
        </w:rPr>
        <w:t>6</w:t>
      </w:r>
      <w:r w:rsidRPr="002B1A95">
        <w:t>—</w:t>
      </w:r>
      <w:r w:rsidRPr="00411C46">
        <w:rPr>
          <w:rStyle w:val="CharChapText"/>
        </w:rPr>
        <w:t>The Dictionary</w:t>
      </w:r>
      <w:bookmarkEnd w:id="154"/>
    </w:p>
    <w:p w:rsidR="007D17C5" w:rsidRPr="002B1A95" w:rsidRDefault="007D17C5" w:rsidP="007D17C5">
      <w:pPr>
        <w:pStyle w:val="ActHead2"/>
      </w:pPr>
      <w:bookmarkStart w:id="155" w:name="_Toc49765335"/>
      <w:r w:rsidRPr="00411C46">
        <w:rPr>
          <w:rStyle w:val="CharPartNo"/>
        </w:rPr>
        <w:t>Part</w:t>
      </w:r>
      <w:r w:rsidR="002B1A95" w:rsidRPr="00411C46">
        <w:rPr>
          <w:rStyle w:val="CharPartNo"/>
        </w:rPr>
        <w:t> </w:t>
      </w:r>
      <w:r w:rsidRPr="00411C46">
        <w:rPr>
          <w:rStyle w:val="CharPartNo"/>
        </w:rPr>
        <w:t>6</w:t>
      </w:r>
      <w:r w:rsidR="00782250" w:rsidRPr="00411C46">
        <w:rPr>
          <w:rStyle w:val="CharPartNo"/>
        </w:rPr>
        <w:noBreakHyphen/>
      </w:r>
      <w:r w:rsidRPr="00411C46">
        <w:rPr>
          <w:rStyle w:val="CharPartNo"/>
        </w:rPr>
        <w:t>1</w:t>
      </w:r>
      <w:r w:rsidRPr="002B1A95">
        <w:t>—</w:t>
      </w:r>
      <w:r w:rsidRPr="00411C46">
        <w:rPr>
          <w:rStyle w:val="CharPartText"/>
        </w:rPr>
        <w:t>Concepts and topics</w:t>
      </w:r>
      <w:bookmarkEnd w:id="155"/>
    </w:p>
    <w:p w:rsidR="007D17C5" w:rsidRPr="002B1A95" w:rsidRDefault="007D17C5" w:rsidP="007D17C5">
      <w:pPr>
        <w:pStyle w:val="ActHead3"/>
      </w:pPr>
      <w:bookmarkStart w:id="156" w:name="_Toc49765336"/>
      <w:r w:rsidRPr="00411C46">
        <w:rPr>
          <w:rStyle w:val="CharDivNo"/>
        </w:rPr>
        <w:t>Division</w:t>
      </w:r>
      <w:r w:rsidR="002B1A95" w:rsidRPr="00411C46">
        <w:rPr>
          <w:rStyle w:val="CharDivNo"/>
        </w:rPr>
        <w:t> </w:t>
      </w:r>
      <w:r w:rsidRPr="00411C46">
        <w:rPr>
          <w:rStyle w:val="CharDivNo"/>
        </w:rPr>
        <w:t>960</w:t>
      </w:r>
      <w:r w:rsidRPr="002B1A95">
        <w:t>—</w:t>
      </w:r>
      <w:r w:rsidRPr="00411C46">
        <w:rPr>
          <w:rStyle w:val="CharDivText"/>
        </w:rPr>
        <w:t>General</w:t>
      </w:r>
      <w:bookmarkEnd w:id="156"/>
    </w:p>
    <w:p w:rsidR="007D17C5" w:rsidRPr="002B1A95" w:rsidRDefault="007D17C5" w:rsidP="007D17C5">
      <w:pPr>
        <w:pStyle w:val="ActHead4"/>
      </w:pPr>
      <w:bookmarkStart w:id="157" w:name="_Toc49765337"/>
      <w:r w:rsidRPr="00411C46">
        <w:rPr>
          <w:rStyle w:val="CharSubdNo"/>
          <w:rFonts w:eastAsiaTheme="majorEastAsia"/>
        </w:rPr>
        <w:t>Subdivision</w:t>
      </w:r>
      <w:r w:rsidR="002B1A95" w:rsidRPr="00411C46">
        <w:rPr>
          <w:rStyle w:val="CharSubdNo"/>
          <w:rFonts w:eastAsiaTheme="majorEastAsia"/>
        </w:rPr>
        <w:t> </w:t>
      </w:r>
      <w:r w:rsidRPr="00411C46">
        <w:rPr>
          <w:rStyle w:val="CharSubdNo"/>
          <w:rFonts w:eastAsiaTheme="majorEastAsia"/>
        </w:rPr>
        <w:t>960</w:t>
      </w:r>
      <w:r w:rsidR="00782250" w:rsidRPr="00411C46">
        <w:rPr>
          <w:rStyle w:val="CharSubdNo"/>
          <w:rFonts w:eastAsiaTheme="majorEastAsia"/>
        </w:rPr>
        <w:noBreakHyphen/>
      </w:r>
      <w:r w:rsidRPr="00411C46">
        <w:rPr>
          <w:rStyle w:val="CharSubdNo"/>
          <w:rFonts w:eastAsiaTheme="majorEastAsia"/>
        </w:rPr>
        <w:t>C</w:t>
      </w:r>
      <w:r w:rsidRPr="002B1A95">
        <w:t>—</w:t>
      </w:r>
      <w:r w:rsidRPr="00411C46">
        <w:rPr>
          <w:rStyle w:val="CharSubdText"/>
          <w:rFonts w:eastAsiaTheme="majorEastAsia"/>
        </w:rPr>
        <w:t>Foreign currency</w:t>
      </w:r>
      <w:bookmarkEnd w:id="157"/>
    </w:p>
    <w:p w:rsidR="007D17C5" w:rsidRPr="002B1A95" w:rsidRDefault="007D17C5" w:rsidP="007D17C5">
      <w:pPr>
        <w:pStyle w:val="ActHead5"/>
      </w:pPr>
      <w:bookmarkStart w:id="158" w:name="_Toc49765338"/>
      <w:r w:rsidRPr="00411C46">
        <w:rPr>
          <w:rStyle w:val="CharSectno"/>
        </w:rPr>
        <w:t>960</w:t>
      </w:r>
      <w:r w:rsidR="00782250" w:rsidRPr="00411C46">
        <w:rPr>
          <w:rStyle w:val="CharSectno"/>
        </w:rPr>
        <w:noBreakHyphen/>
      </w:r>
      <w:r w:rsidRPr="00411C46">
        <w:rPr>
          <w:rStyle w:val="CharSectno"/>
        </w:rPr>
        <w:t>50.01</w:t>
      </w:r>
      <w:r w:rsidRPr="002B1A95">
        <w:t xml:space="preserve">  Translation of foreign currency amounts into Australian currency—modification of special translation rules</w:t>
      </w:r>
      <w:bookmarkEnd w:id="158"/>
    </w:p>
    <w:p w:rsidR="007D17C5" w:rsidRPr="002B1A95" w:rsidRDefault="007D17C5" w:rsidP="007D17C5">
      <w:pPr>
        <w:pStyle w:val="subsection"/>
      </w:pPr>
      <w:r w:rsidRPr="002B1A95">
        <w:tab/>
        <w:t>(1)</w:t>
      </w:r>
      <w:r w:rsidRPr="002B1A95">
        <w:tab/>
        <w:t>For the purposes of subsection</w:t>
      </w:r>
      <w:r w:rsidR="002B1A95" w:rsidRPr="002B1A95">
        <w:t> </w:t>
      </w:r>
      <w:r w:rsidRPr="002B1A95">
        <w:t>960</w:t>
      </w:r>
      <w:r w:rsidR="00782250">
        <w:noBreakHyphen/>
      </w:r>
      <w:r w:rsidRPr="002B1A95">
        <w:t>50(7) of the Act, the table in subsection</w:t>
      </w:r>
      <w:r w:rsidR="002B1A95" w:rsidRPr="002B1A95">
        <w:t> </w:t>
      </w:r>
      <w:r w:rsidRPr="002B1A95">
        <w:t>960</w:t>
      </w:r>
      <w:r w:rsidR="00782250">
        <w:noBreakHyphen/>
      </w:r>
      <w:r w:rsidRPr="002B1A95">
        <w:t>50(6) of the Act is modified by omitting item</w:t>
      </w:r>
      <w:r w:rsidR="002B1A95" w:rsidRPr="002B1A95">
        <w:t> </w:t>
      </w:r>
      <w:r w:rsidRPr="002B1A95">
        <w:t>8 and substituting the following items:</w:t>
      </w:r>
    </w:p>
    <w:p w:rsidR="007D17C5" w:rsidRPr="002B1A95" w:rsidRDefault="007D17C5" w:rsidP="007D17C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527"/>
        <w:gridCol w:w="2724"/>
        <w:gridCol w:w="5278"/>
      </w:tblGrid>
      <w:tr w:rsidR="007D17C5" w:rsidRPr="002B1A95" w:rsidTr="009558BE">
        <w:trPr>
          <w:trHeight w:val="1760"/>
        </w:trPr>
        <w:tc>
          <w:tcPr>
            <w:tcW w:w="309" w:type="pct"/>
            <w:tcBorders>
              <w:top w:val="nil"/>
            </w:tcBorders>
            <w:shd w:val="clear" w:color="auto" w:fill="auto"/>
          </w:tcPr>
          <w:p w:rsidR="007D17C5" w:rsidRPr="002B1A95" w:rsidRDefault="007D17C5" w:rsidP="009558BE">
            <w:pPr>
              <w:pStyle w:val="Tabletext"/>
              <w:ind w:left="-52"/>
            </w:pPr>
            <w:r w:rsidRPr="002B1A95">
              <w:t>8</w:t>
            </w:r>
          </w:p>
        </w:tc>
        <w:tc>
          <w:tcPr>
            <w:tcW w:w="1597" w:type="pct"/>
            <w:tcBorders>
              <w:top w:val="nil"/>
            </w:tcBorders>
            <w:shd w:val="clear" w:color="auto" w:fill="auto"/>
          </w:tcPr>
          <w:p w:rsidR="007D17C5" w:rsidRPr="002B1A95" w:rsidRDefault="007D17C5" w:rsidP="009558BE">
            <w:pPr>
              <w:pStyle w:val="Tabletext"/>
            </w:pPr>
            <w:r w:rsidRPr="002B1A95">
              <w:t>an amount that you deduct (other than under section</w:t>
            </w:r>
            <w:r w:rsidR="002B1A95" w:rsidRPr="002B1A95">
              <w:t> </w:t>
            </w:r>
            <w:r w:rsidRPr="002B1A95">
              <w:t>25</w:t>
            </w:r>
            <w:r w:rsidR="00782250">
              <w:noBreakHyphen/>
            </w:r>
            <w:r w:rsidRPr="002B1A95">
              <w:t>35 or Division</w:t>
            </w:r>
            <w:r w:rsidR="002B1A95" w:rsidRPr="002B1A95">
              <w:t> </w:t>
            </w:r>
            <w:r w:rsidRPr="002B1A95">
              <w:t>40)</w:t>
            </w:r>
          </w:p>
        </w:tc>
        <w:tc>
          <w:tcPr>
            <w:tcW w:w="3094" w:type="pct"/>
            <w:tcBorders>
              <w:top w:val="nil"/>
            </w:tcBorders>
            <w:shd w:val="clear" w:color="auto" w:fill="auto"/>
          </w:tcPr>
          <w:p w:rsidR="007D17C5" w:rsidRPr="002B1A95" w:rsidRDefault="007D17C5" w:rsidP="009558BE">
            <w:pPr>
              <w:pStyle w:val="Tablea"/>
            </w:pPr>
            <w:r w:rsidRPr="002B1A95">
              <w:t>(a) if the amount is paid at or before the time when it became deductible—the amount is to be translated into Australian currency at the exchange rate applicable at the time of payment; or</w:t>
            </w:r>
          </w:p>
          <w:p w:rsidR="007D17C5" w:rsidRPr="002B1A95" w:rsidRDefault="007D17C5" w:rsidP="009558BE">
            <w:pPr>
              <w:pStyle w:val="Tablea"/>
            </w:pPr>
            <w:r w:rsidRPr="002B1A95">
              <w:t>(b) in any other case—the amount is to be translated into Australian currency at the exchange rate applicable at the time when it became deductible.</w:t>
            </w:r>
          </w:p>
        </w:tc>
      </w:tr>
      <w:tr w:rsidR="007D17C5" w:rsidRPr="002B1A95" w:rsidTr="009558BE">
        <w:trPr>
          <w:trHeight w:val="840"/>
        </w:trPr>
        <w:tc>
          <w:tcPr>
            <w:tcW w:w="309" w:type="pct"/>
            <w:shd w:val="clear" w:color="auto" w:fill="auto"/>
          </w:tcPr>
          <w:p w:rsidR="007D17C5" w:rsidRPr="002B1A95" w:rsidRDefault="007D17C5" w:rsidP="009558BE">
            <w:pPr>
              <w:pStyle w:val="Tabletext"/>
              <w:ind w:left="-52"/>
            </w:pPr>
            <w:r w:rsidRPr="002B1A95">
              <w:t>8A</w:t>
            </w:r>
          </w:p>
        </w:tc>
        <w:tc>
          <w:tcPr>
            <w:tcW w:w="1597" w:type="pct"/>
            <w:shd w:val="clear" w:color="auto" w:fill="auto"/>
          </w:tcPr>
          <w:p w:rsidR="007D17C5" w:rsidRPr="002B1A95" w:rsidRDefault="007D17C5" w:rsidP="009558BE">
            <w:pPr>
              <w:pStyle w:val="Tabletext"/>
            </w:pPr>
            <w:r w:rsidRPr="002B1A95">
              <w:t>an amount of a debt that you deduct under section</w:t>
            </w:r>
            <w:r w:rsidR="002B1A95" w:rsidRPr="002B1A95">
              <w:t> </w:t>
            </w:r>
            <w:r w:rsidRPr="002B1A95">
              <w:t>25</w:t>
            </w:r>
            <w:r w:rsidR="00782250">
              <w:noBreakHyphen/>
            </w:r>
            <w:r w:rsidRPr="002B1A95">
              <w:t>35</w:t>
            </w:r>
          </w:p>
        </w:tc>
        <w:tc>
          <w:tcPr>
            <w:tcW w:w="3094" w:type="pct"/>
            <w:shd w:val="clear" w:color="auto" w:fill="auto"/>
          </w:tcPr>
          <w:p w:rsidR="007D17C5" w:rsidRPr="002B1A95" w:rsidRDefault="007D17C5" w:rsidP="009558BE">
            <w:pPr>
              <w:pStyle w:val="Tablea"/>
              <w:ind w:right="-108"/>
            </w:pPr>
            <w:r w:rsidRPr="002B1A95">
              <w:t>(a) if the debt was included in your assessable income—the amount is to be translated into Australian currency at the exchange rate applicable at the time of translating the income; or</w:t>
            </w:r>
          </w:p>
          <w:p w:rsidR="007D17C5" w:rsidRPr="002B1A95" w:rsidRDefault="007D17C5" w:rsidP="009558BE">
            <w:pPr>
              <w:pStyle w:val="Tablea"/>
              <w:keepNext/>
              <w:keepLines/>
            </w:pPr>
            <w:r w:rsidRPr="002B1A95">
              <w:t>(b) if the debt was in respect of money that you lent—the amount is to be translated into Australian currency at the exchange rate applicable at the time of translating the money that was lent; or</w:t>
            </w:r>
          </w:p>
          <w:p w:rsidR="007D17C5" w:rsidRPr="002B1A95" w:rsidRDefault="007D17C5" w:rsidP="009558BE">
            <w:pPr>
              <w:pStyle w:val="Tablea"/>
              <w:ind w:right="-108"/>
            </w:pPr>
            <w:r w:rsidRPr="002B1A95">
              <w:t>(c) if you bought the debt—the amount is to be translated into Australian currency at the exchange rate applicable at the time of translating the debt that you bought.</w:t>
            </w:r>
          </w:p>
        </w:tc>
      </w:tr>
      <w:tr w:rsidR="007D17C5" w:rsidRPr="002B1A95" w:rsidTr="009558BE">
        <w:tc>
          <w:tcPr>
            <w:tcW w:w="309" w:type="pct"/>
            <w:tcBorders>
              <w:bottom w:val="single" w:sz="2" w:space="0" w:color="auto"/>
            </w:tcBorders>
            <w:shd w:val="clear" w:color="auto" w:fill="auto"/>
          </w:tcPr>
          <w:p w:rsidR="007D17C5" w:rsidRPr="002B1A95" w:rsidRDefault="007D17C5" w:rsidP="009558BE">
            <w:pPr>
              <w:pStyle w:val="Tabletext"/>
              <w:ind w:left="-52"/>
            </w:pPr>
            <w:r w:rsidRPr="002B1A95">
              <w:t>8B</w:t>
            </w:r>
          </w:p>
        </w:tc>
        <w:tc>
          <w:tcPr>
            <w:tcW w:w="1597" w:type="pct"/>
            <w:tcBorders>
              <w:bottom w:val="single" w:sz="2" w:space="0" w:color="auto"/>
            </w:tcBorders>
            <w:shd w:val="clear" w:color="auto" w:fill="auto"/>
          </w:tcPr>
          <w:p w:rsidR="007D17C5" w:rsidRPr="002B1A95" w:rsidRDefault="007D17C5" w:rsidP="009558BE">
            <w:pPr>
              <w:pStyle w:val="Tabletext"/>
            </w:pPr>
            <w:r w:rsidRPr="002B1A95">
              <w:t xml:space="preserve">the value of an amount to which a contract (a </w:t>
            </w:r>
            <w:r w:rsidRPr="002B1A95">
              <w:rPr>
                <w:b/>
                <w:i/>
              </w:rPr>
              <w:t>spot foreign exchange contract</w:t>
            </w:r>
            <w:r w:rsidRPr="002B1A95">
              <w:t>) for the exchange of amounts in different currencies relates if:</w:t>
            </w:r>
          </w:p>
          <w:p w:rsidR="007D17C5" w:rsidRPr="002B1A95" w:rsidRDefault="007D17C5" w:rsidP="009558BE">
            <w:pPr>
              <w:pStyle w:val="Tablea"/>
            </w:pPr>
            <w:r w:rsidRPr="002B1A95">
              <w:t>(a) the spot foreign exchange contract includes a requirement that consideration be provided within 2 business days after the contract is entered into; and</w:t>
            </w:r>
          </w:p>
          <w:p w:rsidR="007D17C5" w:rsidRPr="002B1A95" w:rsidRDefault="007D17C5" w:rsidP="009558BE">
            <w:pPr>
              <w:pStyle w:val="Tablea"/>
            </w:pPr>
            <w:r w:rsidRPr="002B1A95">
              <w:t>(b) that requirement is satisfied</w:t>
            </w:r>
          </w:p>
        </w:tc>
        <w:tc>
          <w:tcPr>
            <w:tcW w:w="3094" w:type="pct"/>
            <w:tcBorders>
              <w:bottom w:val="single" w:sz="2" w:space="0" w:color="auto"/>
            </w:tcBorders>
            <w:shd w:val="clear" w:color="auto" w:fill="auto"/>
          </w:tcPr>
          <w:p w:rsidR="007D17C5" w:rsidRPr="002B1A95" w:rsidRDefault="007D17C5" w:rsidP="009558BE">
            <w:pPr>
              <w:pStyle w:val="Tabletext"/>
            </w:pPr>
            <w:r w:rsidRPr="002B1A95">
              <w:t>the value of the amount to which the contract relates is to be translated into Australian currency at the exchange rate applicable at the tax recognition time (within the meaning of Division</w:t>
            </w:r>
            <w:r w:rsidR="002B1A95" w:rsidRPr="002B1A95">
              <w:t> </w:t>
            </w:r>
            <w:r w:rsidRPr="002B1A95">
              <w:t>775) referred to in the forex realisation event that happens on payment or receipt of that amount, unless the entity’s usual business practice is not to translate the amount at the exchange rate applicable at the tax recognition time for the purpose of recording the transaction in the entity’s accounting records.</w:t>
            </w:r>
          </w:p>
          <w:p w:rsidR="007D17C5" w:rsidRPr="002B1A95" w:rsidRDefault="007D17C5" w:rsidP="009558BE">
            <w:pPr>
              <w:pStyle w:val="notemargin"/>
            </w:pPr>
            <w:r w:rsidRPr="002B1A95">
              <w:t>Note:</w:t>
            </w:r>
            <w:r w:rsidRPr="002B1A95">
              <w:tab/>
              <w:t>An entity’s usual business practice may be to translate amounts into Australian currency at a different exchange rate because the entity recognises gains and losses under spot foreign exchange contracts in the entity’s accounting records.</w:t>
            </w:r>
          </w:p>
        </w:tc>
      </w:tr>
      <w:tr w:rsidR="007D17C5" w:rsidRPr="002B1A95" w:rsidTr="009558BE">
        <w:tc>
          <w:tcPr>
            <w:tcW w:w="309" w:type="pct"/>
            <w:tcBorders>
              <w:top w:val="single" w:sz="2" w:space="0" w:color="auto"/>
              <w:bottom w:val="nil"/>
            </w:tcBorders>
            <w:shd w:val="clear" w:color="auto" w:fill="auto"/>
          </w:tcPr>
          <w:p w:rsidR="007D17C5" w:rsidRPr="002B1A95" w:rsidRDefault="007D17C5" w:rsidP="009558BE">
            <w:pPr>
              <w:pStyle w:val="Tabletext"/>
              <w:ind w:left="-52"/>
            </w:pPr>
            <w:bookmarkStart w:id="159" w:name="CU_5141046"/>
            <w:bookmarkStart w:id="160" w:name="CU_5138000"/>
            <w:bookmarkEnd w:id="159"/>
            <w:bookmarkEnd w:id="160"/>
            <w:r w:rsidRPr="002B1A95">
              <w:t>8C</w:t>
            </w:r>
          </w:p>
        </w:tc>
        <w:tc>
          <w:tcPr>
            <w:tcW w:w="1597" w:type="pct"/>
            <w:tcBorders>
              <w:top w:val="single" w:sz="2" w:space="0" w:color="auto"/>
              <w:bottom w:val="nil"/>
            </w:tcBorders>
            <w:shd w:val="clear" w:color="auto" w:fill="auto"/>
          </w:tcPr>
          <w:p w:rsidR="007D17C5" w:rsidRPr="002B1A95" w:rsidRDefault="007D17C5" w:rsidP="009558BE">
            <w:pPr>
              <w:pStyle w:val="Tabletext"/>
            </w:pPr>
            <w:r w:rsidRPr="002B1A95">
              <w:t xml:space="preserve">the value of an amount to which a contract (a </w:t>
            </w:r>
            <w:r w:rsidRPr="002B1A95">
              <w:rPr>
                <w:b/>
                <w:i/>
              </w:rPr>
              <w:t xml:space="preserve">spot </w:t>
            </w:r>
            <w:r w:rsidRPr="002B1A95">
              <w:rPr>
                <w:b/>
                <w:i/>
              </w:rPr>
              <w:lastRenderedPageBreak/>
              <w:t>contract</w:t>
            </w:r>
            <w:r w:rsidRPr="002B1A95">
              <w:t>) for the exchange of an amount in a foreign currency and a security relates if:</w:t>
            </w:r>
          </w:p>
          <w:p w:rsidR="007D17C5" w:rsidRPr="002B1A95" w:rsidRDefault="007D17C5" w:rsidP="009558BE">
            <w:pPr>
              <w:pStyle w:val="Tablea"/>
            </w:pPr>
            <w:r w:rsidRPr="002B1A95">
              <w:t>(a) the spot contract includes a requirement that consideration be provided within 2 business days after the contract is entered into; and</w:t>
            </w:r>
          </w:p>
          <w:p w:rsidR="007D17C5" w:rsidRPr="002B1A95" w:rsidRDefault="007D17C5" w:rsidP="009558BE">
            <w:pPr>
              <w:pStyle w:val="Tablea"/>
            </w:pPr>
            <w:r w:rsidRPr="002B1A95">
              <w:t>(b) that requirement is satisfied</w:t>
            </w:r>
          </w:p>
        </w:tc>
        <w:tc>
          <w:tcPr>
            <w:tcW w:w="3094" w:type="pct"/>
            <w:tcBorders>
              <w:top w:val="single" w:sz="2" w:space="0" w:color="auto"/>
              <w:bottom w:val="nil"/>
            </w:tcBorders>
            <w:shd w:val="clear" w:color="auto" w:fill="auto"/>
          </w:tcPr>
          <w:p w:rsidR="007D17C5" w:rsidRPr="002B1A95" w:rsidRDefault="007D17C5" w:rsidP="009558BE">
            <w:pPr>
              <w:pStyle w:val="Tabletext"/>
            </w:pPr>
            <w:r w:rsidRPr="002B1A95">
              <w:lastRenderedPageBreak/>
              <w:t xml:space="preserve">the value of the amount to which the contract relates is to be translated into Australian currency at the exchange rate </w:t>
            </w:r>
            <w:r w:rsidRPr="002B1A95">
              <w:lastRenderedPageBreak/>
              <w:t>applicable at the tax recognition time (within the meaning of Division</w:t>
            </w:r>
            <w:r w:rsidR="002B1A95" w:rsidRPr="002B1A95">
              <w:t> </w:t>
            </w:r>
            <w:r w:rsidRPr="002B1A95">
              <w:t>775) referred to in the forex realisation event that happens on payment or receipt of that amount, unless the entity’s usual business practice is not to translate the amount at the exchange rate applicable at the tax recognition time for the purpose of recording the transaction in the entity’s accounting records.</w:t>
            </w:r>
          </w:p>
          <w:p w:rsidR="007D17C5" w:rsidRPr="002B1A95" w:rsidRDefault="007D17C5" w:rsidP="009558BE">
            <w:pPr>
              <w:pStyle w:val="notemargin"/>
            </w:pPr>
            <w:r w:rsidRPr="002B1A95">
              <w:t>Note:</w:t>
            </w:r>
            <w:r w:rsidRPr="002B1A95">
              <w:tab/>
              <w:t>An entity’s usual business practice may be to translate amounts into Australian currency at a different exchange rate because the entity recognises gains and losses under spot contracts in the entity’s accounting records.</w:t>
            </w:r>
          </w:p>
        </w:tc>
      </w:tr>
    </w:tbl>
    <w:p w:rsidR="007D17C5" w:rsidRPr="002B1A95" w:rsidRDefault="007D17C5" w:rsidP="007D17C5">
      <w:pPr>
        <w:pStyle w:val="Tabletext"/>
        <w:rPr>
          <w:color w:val="000000"/>
        </w:rPr>
      </w:pPr>
    </w:p>
    <w:p w:rsidR="007D17C5" w:rsidRPr="002B1A95" w:rsidRDefault="007D17C5" w:rsidP="007D17C5">
      <w:pPr>
        <w:pStyle w:val="subsection"/>
      </w:pPr>
      <w:r w:rsidRPr="002B1A95">
        <w:tab/>
        <w:t>(2)</w:t>
      </w:r>
      <w:r w:rsidRPr="002B1A95">
        <w:tab/>
        <w:t>For the purposes of subsection</w:t>
      </w:r>
      <w:r w:rsidR="002B1A95" w:rsidRPr="002B1A95">
        <w:t> </w:t>
      </w:r>
      <w:r w:rsidRPr="002B1A95">
        <w:t>960</w:t>
      </w:r>
      <w:r w:rsidR="00782250">
        <w:noBreakHyphen/>
      </w:r>
      <w:r w:rsidRPr="002B1A95">
        <w:t>50(7) of the Act, the table in subsection</w:t>
      </w:r>
      <w:r w:rsidR="002B1A95" w:rsidRPr="002B1A95">
        <w:t> </w:t>
      </w:r>
      <w:r w:rsidRPr="002B1A95">
        <w:t>960</w:t>
      </w:r>
      <w:r w:rsidR="00782250">
        <w:noBreakHyphen/>
      </w:r>
      <w:r w:rsidRPr="002B1A95">
        <w:t>50(6) of the Act is modified by adding after item</w:t>
      </w:r>
      <w:r w:rsidR="002B1A95" w:rsidRPr="002B1A95">
        <w:t> </w:t>
      </w:r>
      <w:r w:rsidRPr="002B1A95">
        <w:t>11 the following items:</w:t>
      </w:r>
    </w:p>
    <w:p w:rsidR="007D17C5" w:rsidRPr="002B1A95" w:rsidRDefault="007D17C5" w:rsidP="007D17C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8"/>
        <w:gridCol w:w="2811"/>
        <w:gridCol w:w="5000"/>
      </w:tblGrid>
      <w:tr w:rsidR="007D17C5" w:rsidRPr="002B1A95" w:rsidTr="009558BE">
        <w:tc>
          <w:tcPr>
            <w:tcW w:w="421" w:type="pct"/>
            <w:tcBorders>
              <w:top w:val="nil"/>
              <w:bottom w:val="single" w:sz="4" w:space="0" w:color="auto"/>
            </w:tcBorders>
            <w:shd w:val="clear" w:color="auto" w:fill="auto"/>
          </w:tcPr>
          <w:p w:rsidR="007D17C5" w:rsidRPr="002B1A95" w:rsidRDefault="007D17C5" w:rsidP="009558BE">
            <w:pPr>
              <w:pStyle w:val="Tabletext"/>
            </w:pPr>
            <w:r w:rsidRPr="002B1A95">
              <w:t>11A</w:t>
            </w:r>
          </w:p>
        </w:tc>
        <w:tc>
          <w:tcPr>
            <w:tcW w:w="1648" w:type="pct"/>
            <w:tcBorders>
              <w:top w:val="nil"/>
              <w:bottom w:val="single" w:sz="4" w:space="0" w:color="auto"/>
            </w:tcBorders>
            <w:shd w:val="clear" w:color="auto" w:fill="auto"/>
          </w:tcPr>
          <w:p w:rsidR="007D17C5" w:rsidRPr="002B1A95" w:rsidRDefault="007D17C5" w:rsidP="009558BE">
            <w:pPr>
              <w:pStyle w:val="Tabletext"/>
            </w:pPr>
            <w:r w:rsidRPr="002B1A95">
              <w:t>an amount (other than an amount of a receipt or a payment) to which none of the above items applies</w:t>
            </w:r>
          </w:p>
        </w:tc>
        <w:tc>
          <w:tcPr>
            <w:tcW w:w="2931" w:type="pct"/>
            <w:tcBorders>
              <w:top w:val="nil"/>
              <w:bottom w:val="single" w:sz="4" w:space="0" w:color="auto"/>
            </w:tcBorders>
            <w:shd w:val="clear" w:color="auto" w:fill="auto"/>
          </w:tcPr>
          <w:p w:rsidR="007D17C5" w:rsidRPr="002B1A95" w:rsidRDefault="007D17C5" w:rsidP="009558BE">
            <w:pPr>
              <w:pStyle w:val="Tabletext"/>
            </w:pPr>
            <w:r w:rsidRPr="002B1A95">
              <w:t>the amount is to be translated into Australian currency at an exchange rate that is reasonable having regard to the circumstances.</w:t>
            </w:r>
          </w:p>
        </w:tc>
      </w:tr>
      <w:tr w:rsidR="007D17C5" w:rsidRPr="002B1A95" w:rsidTr="009558BE">
        <w:tc>
          <w:tcPr>
            <w:tcW w:w="421" w:type="pct"/>
            <w:tcBorders>
              <w:top w:val="single" w:sz="4" w:space="0" w:color="auto"/>
              <w:bottom w:val="nil"/>
            </w:tcBorders>
            <w:shd w:val="clear" w:color="auto" w:fill="auto"/>
          </w:tcPr>
          <w:p w:rsidR="007D17C5" w:rsidRPr="002B1A95" w:rsidRDefault="007D17C5" w:rsidP="009558BE">
            <w:pPr>
              <w:pStyle w:val="Tabletext"/>
            </w:pPr>
            <w:r w:rsidRPr="002B1A95">
              <w:t>12</w:t>
            </w:r>
          </w:p>
        </w:tc>
        <w:tc>
          <w:tcPr>
            <w:tcW w:w="1648" w:type="pct"/>
            <w:tcBorders>
              <w:top w:val="single" w:sz="4" w:space="0" w:color="auto"/>
              <w:bottom w:val="nil"/>
            </w:tcBorders>
            <w:shd w:val="clear" w:color="auto" w:fill="auto"/>
          </w:tcPr>
          <w:p w:rsidR="007D17C5" w:rsidRPr="002B1A95" w:rsidRDefault="007D17C5" w:rsidP="009558BE">
            <w:pPr>
              <w:pStyle w:val="Tabletext"/>
            </w:pPr>
            <w:r w:rsidRPr="002B1A95">
              <w:t>an amount to which any of items</w:t>
            </w:r>
            <w:r w:rsidR="002B1A95" w:rsidRPr="002B1A95">
              <w:t> </w:t>
            </w:r>
            <w:r w:rsidRPr="002B1A95">
              <w:t>1 to 11A (inclusive) applies</w:t>
            </w:r>
          </w:p>
        </w:tc>
        <w:tc>
          <w:tcPr>
            <w:tcW w:w="2931" w:type="pct"/>
            <w:tcBorders>
              <w:top w:val="single" w:sz="4" w:space="0" w:color="auto"/>
              <w:bottom w:val="nil"/>
            </w:tcBorders>
            <w:shd w:val="clear" w:color="auto" w:fill="auto"/>
          </w:tcPr>
          <w:p w:rsidR="007D17C5" w:rsidRPr="002B1A95" w:rsidRDefault="007D17C5" w:rsidP="009558BE">
            <w:pPr>
              <w:pStyle w:val="Tabletext"/>
            </w:pPr>
            <w:r w:rsidRPr="002B1A95">
              <w:t>as an alternative to the result mentioned in the item, the amount may be translated into Australian currency using any of the rules set out in Schedule</w:t>
            </w:r>
            <w:r w:rsidR="002B1A95" w:rsidRPr="002B1A95">
              <w:t> </w:t>
            </w:r>
            <w:r w:rsidRPr="002B1A95">
              <w:t xml:space="preserve">2 to the </w:t>
            </w:r>
            <w:r w:rsidRPr="002B1A95">
              <w:rPr>
                <w:i/>
              </w:rPr>
              <w:t>Income Tax Assessment Regulations</w:t>
            </w:r>
            <w:r w:rsidR="002B1A95" w:rsidRPr="002B1A95">
              <w:rPr>
                <w:i/>
              </w:rPr>
              <w:t> </w:t>
            </w:r>
            <w:r w:rsidRPr="002B1A95">
              <w:rPr>
                <w:i/>
              </w:rPr>
              <w:t>2020</w:t>
            </w:r>
            <w:r w:rsidRPr="002B1A95">
              <w:t>.</w:t>
            </w:r>
          </w:p>
        </w:tc>
      </w:tr>
    </w:tbl>
    <w:p w:rsidR="007D17C5" w:rsidRPr="002B1A95" w:rsidRDefault="007D17C5" w:rsidP="007D17C5">
      <w:pPr>
        <w:pStyle w:val="subsection"/>
      </w:pPr>
      <w:r w:rsidRPr="002B1A95">
        <w:rPr>
          <w:color w:val="000000"/>
        </w:rPr>
        <w:tab/>
        <w:t>(3)</w:t>
      </w:r>
      <w:r w:rsidRPr="002B1A95">
        <w:rPr>
          <w:color w:val="000000"/>
        </w:rPr>
        <w:tab/>
        <w:t>For the purposes of subsection</w:t>
      </w:r>
      <w:r w:rsidR="002B1A95" w:rsidRPr="002B1A95">
        <w:rPr>
          <w:color w:val="000000"/>
        </w:rPr>
        <w:t> </w:t>
      </w:r>
      <w:r w:rsidRPr="002B1A95">
        <w:rPr>
          <w:color w:val="000000"/>
        </w:rPr>
        <w:t>960</w:t>
      </w:r>
      <w:r w:rsidR="00782250">
        <w:rPr>
          <w:color w:val="000000"/>
        </w:rPr>
        <w:noBreakHyphen/>
      </w:r>
      <w:r w:rsidRPr="002B1A95">
        <w:rPr>
          <w:color w:val="000000"/>
        </w:rPr>
        <w:t>50(8) of the Act, Schedule</w:t>
      </w:r>
      <w:r w:rsidR="002B1A95" w:rsidRPr="002B1A95">
        <w:rPr>
          <w:color w:val="000000"/>
        </w:rPr>
        <w:t> </w:t>
      </w:r>
      <w:r w:rsidRPr="002B1A95">
        <w:rPr>
          <w:color w:val="000000"/>
        </w:rPr>
        <w:t>2 to this instrument sets out requirements in relation to the translation of amounts into Australian currency.</w:t>
      </w:r>
    </w:p>
    <w:p w:rsidR="007D17C5" w:rsidRPr="002B1A95" w:rsidRDefault="007D17C5" w:rsidP="007D17C5">
      <w:pPr>
        <w:pStyle w:val="ActHead4"/>
      </w:pPr>
      <w:bookmarkStart w:id="161" w:name="_Toc49765339"/>
      <w:r w:rsidRPr="00411C46">
        <w:rPr>
          <w:rStyle w:val="CharSubdNo"/>
          <w:rFonts w:eastAsiaTheme="majorEastAsia"/>
        </w:rPr>
        <w:t>Subdivision</w:t>
      </w:r>
      <w:r w:rsidR="002B1A95" w:rsidRPr="00411C46">
        <w:rPr>
          <w:rStyle w:val="CharSubdNo"/>
          <w:rFonts w:eastAsiaTheme="majorEastAsia"/>
        </w:rPr>
        <w:t> </w:t>
      </w:r>
      <w:r w:rsidRPr="00411C46">
        <w:rPr>
          <w:rStyle w:val="CharSubdNo"/>
          <w:rFonts w:eastAsiaTheme="majorEastAsia"/>
        </w:rPr>
        <w:t>960</w:t>
      </w:r>
      <w:r w:rsidR="00782250" w:rsidRPr="00411C46">
        <w:rPr>
          <w:rStyle w:val="CharSubdNo"/>
          <w:rFonts w:eastAsiaTheme="majorEastAsia"/>
        </w:rPr>
        <w:noBreakHyphen/>
      </w:r>
      <w:r w:rsidRPr="00411C46">
        <w:rPr>
          <w:rStyle w:val="CharSubdNo"/>
          <w:rFonts w:eastAsiaTheme="majorEastAsia"/>
        </w:rPr>
        <w:t>D</w:t>
      </w:r>
      <w:r w:rsidRPr="002B1A95">
        <w:t>—</w:t>
      </w:r>
      <w:r w:rsidRPr="00411C46">
        <w:rPr>
          <w:rStyle w:val="CharSubdText"/>
          <w:rFonts w:eastAsiaTheme="majorEastAsia"/>
        </w:rPr>
        <w:t>Functional currency</w:t>
      </w:r>
      <w:bookmarkEnd w:id="161"/>
    </w:p>
    <w:p w:rsidR="007D17C5" w:rsidRPr="002B1A95" w:rsidRDefault="007D17C5" w:rsidP="007D17C5">
      <w:pPr>
        <w:pStyle w:val="ActHead5"/>
      </w:pPr>
      <w:bookmarkStart w:id="162" w:name="_Toc49765340"/>
      <w:r w:rsidRPr="00411C46">
        <w:rPr>
          <w:rStyle w:val="CharSectno"/>
        </w:rPr>
        <w:t>960</w:t>
      </w:r>
      <w:r w:rsidR="00782250" w:rsidRPr="00411C46">
        <w:rPr>
          <w:rStyle w:val="CharSectno"/>
        </w:rPr>
        <w:noBreakHyphen/>
      </w:r>
      <w:r w:rsidRPr="00411C46">
        <w:rPr>
          <w:rStyle w:val="CharSectno"/>
        </w:rPr>
        <w:t>80.01</w:t>
      </w:r>
      <w:r w:rsidRPr="002B1A95">
        <w:t xml:space="preserve">  Translation rules—translation into applicable functional currency</w:t>
      </w:r>
      <w:bookmarkEnd w:id="162"/>
    </w:p>
    <w:p w:rsidR="007D17C5" w:rsidRPr="002B1A95" w:rsidRDefault="007D17C5" w:rsidP="007D17C5">
      <w:pPr>
        <w:pStyle w:val="subsection"/>
      </w:pPr>
      <w:r w:rsidRPr="002B1A95">
        <w:tab/>
      </w:r>
      <w:r w:rsidRPr="002B1A95">
        <w:tab/>
        <w:t>For the purposes of subsection</w:t>
      </w:r>
      <w:r w:rsidR="002B1A95" w:rsidRPr="002B1A95">
        <w:t> </w:t>
      </w:r>
      <w:r w:rsidRPr="002B1A95">
        <w:t>960</w:t>
      </w:r>
      <w:r w:rsidR="00782250">
        <w:noBreakHyphen/>
      </w:r>
      <w:r w:rsidRPr="002B1A95">
        <w:t>80(7) of the Act, the requirements set out in Schedule</w:t>
      </w:r>
      <w:r w:rsidR="002B1A95" w:rsidRPr="002B1A95">
        <w:t> </w:t>
      </w:r>
      <w:r w:rsidRPr="002B1A95">
        <w:t>2 to this instrument in relation to the translation of amounts into Australian currency have effect in relation to the translation of amounts into the applicable functional currency as if:</w:t>
      </w:r>
    </w:p>
    <w:p w:rsidR="007D17C5" w:rsidRPr="002B1A95" w:rsidRDefault="007D17C5" w:rsidP="007D17C5">
      <w:pPr>
        <w:pStyle w:val="paragraph"/>
      </w:pPr>
      <w:r w:rsidRPr="002B1A95">
        <w:rPr>
          <w:color w:val="000000"/>
        </w:rPr>
        <w:tab/>
        <w:t>(a)</w:t>
      </w:r>
      <w:r w:rsidRPr="002B1A95">
        <w:rPr>
          <w:color w:val="000000"/>
        </w:rPr>
        <w:tab/>
        <w:t>each reference in that Schedule to Australian currency were a reference to the applicable functional currency; and</w:t>
      </w:r>
    </w:p>
    <w:p w:rsidR="007D17C5" w:rsidRPr="002B1A95" w:rsidRDefault="007D17C5" w:rsidP="007D17C5">
      <w:pPr>
        <w:pStyle w:val="paragraph"/>
      </w:pPr>
      <w:r w:rsidRPr="002B1A95">
        <w:tab/>
        <w:t>(b)</w:t>
      </w:r>
      <w:r w:rsidRPr="002B1A95">
        <w:tab/>
        <w:t>the modifications set out in the following table were made:</w:t>
      </w:r>
    </w:p>
    <w:p w:rsidR="007D17C5" w:rsidRPr="002B1A95" w:rsidRDefault="007D17C5" w:rsidP="007D17C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975"/>
        <w:gridCol w:w="1842"/>
        <w:gridCol w:w="3782"/>
      </w:tblGrid>
      <w:tr w:rsidR="007D17C5" w:rsidRPr="002B1A95" w:rsidTr="009558BE">
        <w:trPr>
          <w:tblHeader/>
        </w:trPr>
        <w:tc>
          <w:tcPr>
            <w:tcW w:w="8313" w:type="dxa"/>
            <w:gridSpan w:val="4"/>
            <w:tcBorders>
              <w:top w:val="single" w:sz="12" w:space="0" w:color="auto"/>
              <w:bottom w:val="single" w:sz="6" w:space="0" w:color="auto"/>
            </w:tcBorders>
            <w:shd w:val="clear" w:color="auto" w:fill="auto"/>
          </w:tcPr>
          <w:p w:rsidR="007D17C5" w:rsidRPr="002B1A95" w:rsidRDefault="007D17C5" w:rsidP="009558BE">
            <w:pPr>
              <w:pStyle w:val="TableHeading"/>
            </w:pPr>
            <w:r w:rsidRPr="002B1A95">
              <w:t>Modifications to Schedule</w:t>
            </w:r>
            <w:r w:rsidR="002B1A95" w:rsidRPr="002B1A95">
              <w:t> </w:t>
            </w:r>
            <w:r w:rsidRPr="002B1A95">
              <w:t>2</w:t>
            </w:r>
          </w:p>
        </w:tc>
      </w:tr>
      <w:tr w:rsidR="007D17C5" w:rsidRPr="002B1A95" w:rsidTr="009558BE">
        <w:trPr>
          <w:tblHeader/>
        </w:trPr>
        <w:tc>
          <w:tcPr>
            <w:tcW w:w="714" w:type="dxa"/>
            <w:tcBorders>
              <w:top w:val="single" w:sz="6" w:space="0" w:color="auto"/>
              <w:bottom w:val="single" w:sz="12" w:space="0" w:color="auto"/>
            </w:tcBorders>
            <w:shd w:val="clear" w:color="auto" w:fill="auto"/>
          </w:tcPr>
          <w:p w:rsidR="007D17C5" w:rsidRPr="002B1A95" w:rsidRDefault="007D17C5" w:rsidP="009558BE">
            <w:pPr>
              <w:pStyle w:val="TableHeading"/>
            </w:pPr>
            <w:r w:rsidRPr="002B1A95">
              <w:t>Item</w:t>
            </w:r>
          </w:p>
        </w:tc>
        <w:tc>
          <w:tcPr>
            <w:tcW w:w="1975" w:type="dxa"/>
            <w:tcBorders>
              <w:top w:val="single" w:sz="6" w:space="0" w:color="auto"/>
              <w:bottom w:val="single" w:sz="12" w:space="0" w:color="auto"/>
            </w:tcBorders>
            <w:shd w:val="clear" w:color="auto" w:fill="auto"/>
          </w:tcPr>
          <w:p w:rsidR="007D17C5" w:rsidRPr="002B1A95" w:rsidRDefault="007D17C5" w:rsidP="009558BE">
            <w:pPr>
              <w:pStyle w:val="TableHeading"/>
            </w:pPr>
            <w:r w:rsidRPr="002B1A95">
              <w:t>Provision</w:t>
            </w:r>
          </w:p>
        </w:tc>
        <w:tc>
          <w:tcPr>
            <w:tcW w:w="1842" w:type="dxa"/>
            <w:tcBorders>
              <w:top w:val="single" w:sz="6" w:space="0" w:color="auto"/>
              <w:bottom w:val="single" w:sz="12" w:space="0" w:color="auto"/>
            </w:tcBorders>
            <w:shd w:val="clear" w:color="auto" w:fill="auto"/>
          </w:tcPr>
          <w:p w:rsidR="007D17C5" w:rsidRPr="002B1A95" w:rsidRDefault="007D17C5" w:rsidP="009558BE">
            <w:pPr>
              <w:pStyle w:val="TableHeading"/>
            </w:pPr>
            <w:r w:rsidRPr="002B1A95">
              <w:t>After</w:t>
            </w:r>
          </w:p>
        </w:tc>
        <w:tc>
          <w:tcPr>
            <w:tcW w:w="3782" w:type="dxa"/>
            <w:tcBorders>
              <w:top w:val="single" w:sz="6" w:space="0" w:color="auto"/>
              <w:bottom w:val="single" w:sz="12" w:space="0" w:color="auto"/>
            </w:tcBorders>
            <w:shd w:val="clear" w:color="auto" w:fill="auto"/>
          </w:tcPr>
          <w:p w:rsidR="007D17C5" w:rsidRPr="002B1A95" w:rsidRDefault="007D17C5" w:rsidP="009558BE">
            <w:pPr>
              <w:pStyle w:val="TableHeading"/>
            </w:pPr>
            <w:r w:rsidRPr="002B1A95">
              <w:t>Insert</w:t>
            </w:r>
          </w:p>
        </w:tc>
      </w:tr>
      <w:tr w:rsidR="007D17C5" w:rsidRPr="002B1A95" w:rsidTr="009558BE">
        <w:tc>
          <w:tcPr>
            <w:tcW w:w="714" w:type="dxa"/>
            <w:tcBorders>
              <w:top w:val="single" w:sz="12" w:space="0" w:color="auto"/>
              <w:bottom w:val="single" w:sz="2" w:space="0" w:color="auto"/>
            </w:tcBorders>
            <w:shd w:val="clear" w:color="auto" w:fill="auto"/>
          </w:tcPr>
          <w:p w:rsidR="007D17C5" w:rsidRPr="002B1A95" w:rsidRDefault="007D17C5" w:rsidP="009558BE">
            <w:pPr>
              <w:pStyle w:val="Tabletext"/>
            </w:pPr>
            <w:r w:rsidRPr="002B1A95">
              <w:t>1</w:t>
            </w:r>
          </w:p>
        </w:tc>
        <w:tc>
          <w:tcPr>
            <w:tcW w:w="1975" w:type="dxa"/>
            <w:tcBorders>
              <w:top w:val="single" w:sz="12" w:space="0" w:color="auto"/>
              <w:bottom w:val="single" w:sz="2" w:space="0" w:color="auto"/>
            </w:tcBorders>
            <w:shd w:val="clear" w:color="auto" w:fill="auto"/>
          </w:tcPr>
          <w:p w:rsidR="007D17C5" w:rsidRPr="002B1A95" w:rsidRDefault="007D17C5" w:rsidP="009558BE">
            <w:pPr>
              <w:pStyle w:val="Tabletext"/>
            </w:pPr>
            <w:r w:rsidRPr="002B1A95">
              <w:t>Subclause</w:t>
            </w:r>
            <w:r w:rsidR="002B1A95" w:rsidRPr="002B1A95">
              <w:t> </w:t>
            </w:r>
            <w:r w:rsidRPr="002B1A95">
              <w:t>2(2)</w:t>
            </w:r>
          </w:p>
        </w:tc>
        <w:tc>
          <w:tcPr>
            <w:tcW w:w="1842" w:type="dxa"/>
            <w:tcBorders>
              <w:top w:val="single" w:sz="12" w:space="0" w:color="auto"/>
              <w:bottom w:val="single" w:sz="2" w:space="0" w:color="auto"/>
            </w:tcBorders>
            <w:shd w:val="clear" w:color="auto" w:fill="auto"/>
          </w:tcPr>
          <w:p w:rsidR="007D17C5" w:rsidRPr="002B1A95" w:rsidRDefault="007D17C5" w:rsidP="009558BE">
            <w:pPr>
              <w:pStyle w:val="Tabletext"/>
            </w:pPr>
            <w:r w:rsidRPr="002B1A95">
              <w:t>year</w:t>
            </w:r>
          </w:p>
        </w:tc>
        <w:tc>
          <w:tcPr>
            <w:tcW w:w="3782" w:type="dxa"/>
            <w:tcBorders>
              <w:top w:val="single" w:sz="12" w:space="0" w:color="auto"/>
              <w:bottom w:val="single" w:sz="2" w:space="0" w:color="auto"/>
            </w:tcBorders>
            <w:shd w:val="clear" w:color="auto" w:fill="auto"/>
          </w:tcPr>
          <w:p w:rsidR="007D17C5" w:rsidRPr="002B1A95" w:rsidRDefault="007D17C5" w:rsidP="009558BE">
            <w:pPr>
              <w:pStyle w:val="Tabletext"/>
            </w:pPr>
            <w:r w:rsidRPr="002B1A95">
              <w:t>(or, if the entity is an attributable taxpayer in relation to a CFC, each subsequent day in the CFC’s statutory accounting period)</w:t>
            </w:r>
          </w:p>
        </w:tc>
      </w:tr>
      <w:tr w:rsidR="007D17C5" w:rsidRPr="002B1A95" w:rsidTr="009558BE">
        <w:tc>
          <w:tcPr>
            <w:tcW w:w="714" w:type="dxa"/>
            <w:tcBorders>
              <w:top w:val="single" w:sz="2" w:space="0" w:color="auto"/>
              <w:bottom w:val="single" w:sz="12" w:space="0" w:color="auto"/>
            </w:tcBorders>
            <w:shd w:val="clear" w:color="auto" w:fill="auto"/>
          </w:tcPr>
          <w:p w:rsidR="007D17C5" w:rsidRPr="002B1A95" w:rsidRDefault="007D17C5" w:rsidP="009558BE">
            <w:pPr>
              <w:pStyle w:val="Tabletext"/>
            </w:pPr>
            <w:r w:rsidRPr="002B1A95">
              <w:t>2</w:t>
            </w:r>
          </w:p>
        </w:tc>
        <w:tc>
          <w:tcPr>
            <w:tcW w:w="1975" w:type="dxa"/>
            <w:tcBorders>
              <w:top w:val="single" w:sz="2" w:space="0" w:color="auto"/>
              <w:bottom w:val="single" w:sz="12" w:space="0" w:color="auto"/>
            </w:tcBorders>
            <w:shd w:val="clear" w:color="auto" w:fill="auto"/>
          </w:tcPr>
          <w:p w:rsidR="007D17C5" w:rsidRPr="002B1A95" w:rsidRDefault="007D17C5" w:rsidP="009558BE">
            <w:pPr>
              <w:pStyle w:val="Tabletext"/>
            </w:pPr>
            <w:r w:rsidRPr="002B1A95">
              <w:t>Paragraph</w:t>
            </w:r>
            <w:r w:rsidR="002B1A95" w:rsidRPr="002B1A95">
              <w:t xml:space="preserve"> </w:t>
            </w:r>
            <w:r w:rsidRPr="002B1A95">
              <w:t>2(3)(a)</w:t>
            </w:r>
          </w:p>
        </w:tc>
        <w:tc>
          <w:tcPr>
            <w:tcW w:w="1842" w:type="dxa"/>
            <w:tcBorders>
              <w:top w:val="single" w:sz="2" w:space="0" w:color="auto"/>
              <w:bottom w:val="single" w:sz="12" w:space="0" w:color="auto"/>
            </w:tcBorders>
            <w:shd w:val="clear" w:color="auto" w:fill="auto"/>
          </w:tcPr>
          <w:p w:rsidR="007D17C5" w:rsidRPr="002B1A95" w:rsidRDefault="007D17C5" w:rsidP="009558BE">
            <w:pPr>
              <w:pStyle w:val="Tabletext"/>
            </w:pPr>
            <w:r w:rsidRPr="002B1A95">
              <w:t>activities</w:t>
            </w:r>
          </w:p>
        </w:tc>
        <w:tc>
          <w:tcPr>
            <w:tcW w:w="3782" w:type="dxa"/>
            <w:tcBorders>
              <w:top w:val="single" w:sz="2" w:space="0" w:color="auto"/>
              <w:bottom w:val="single" w:sz="12" w:space="0" w:color="auto"/>
            </w:tcBorders>
            <w:shd w:val="clear" w:color="auto" w:fill="auto"/>
          </w:tcPr>
          <w:p w:rsidR="007D17C5" w:rsidRPr="002B1A95" w:rsidRDefault="007D17C5" w:rsidP="009558BE">
            <w:pPr>
              <w:pStyle w:val="Tabletext"/>
            </w:pPr>
            <w:r w:rsidRPr="002B1A95">
              <w:t xml:space="preserve">(or, if the entity is an attributable taxpayer </w:t>
            </w:r>
            <w:r w:rsidRPr="002B1A95">
              <w:lastRenderedPageBreak/>
              <w:t>in relation to a CFC, the use of the rate would not be appropriate having regard to the CFC’s business or activities)</w:t>
            </w:r>
          </w:p>
        </w:tc>
      </w:tr>
    </w:tbl>
    <w:p w:rsidR="007D17C5" w:rsidRPr="002B1A95" w:rsidRDefault="007D17C5" w:rsidP="007D17C5">
      <w:pPr>
        <w:pStyle w:val="ActHead5"/>
      </w:pPr>
      <w:bookmarkStart w:id="163" w:name="_Toc49765341"/>
      <w:r w:rsidRPr="00411C46">
        <w:rPr>
          <w:rStyle w:val="CharSectno"/>
        </w:rPr>
        <w:lastRenderedPageBreak/>
        <w:t>960</w:t>
      </w:r>
      <w:r w:rsidR="00782250" w:rsidRPr="00411C46">
        <w:rPr>
          <w:rStyle w:val="CharSectno"/>
        </w:rPr>
        <w:noBreakHyphen/>
      </w:r>
      <w:r w:rsidRPr="00411C46">
        <w:rPr>
          <w:rStyle w:val="CharSectno"/>
        </w:rPr>
        <w:t>80.02</w:t>
      </w:r>
      <w:r w:rsidRPr="002B1A95">
        <w:t xml:space="preserve">  Translation rules for an attributable taxpayer of a CFC—translation into applicable functional currency</w:t>
      </w:r>
      <w:bookmarkEnd w:id="163"/>
    </w:p>
    <w:p w:rsidR="007D17C5" w:rsidRPr="002B1A95" w:rsidRDefault="007D17C5" w:rsidP="007D17C5">
      <w:pPr>
        <w:pStyle w:val="subsection"/>
      </w:pPr>
      <w:r w:rsidRPr="002B1A95">
        <w:tab/>
      </w:r>
      <w:r w:rsidRPr="002B1A95">
        <w:tab/>
        <w:t>For the purposes of subsection</w:t>
      </w:r>
      <w:r w:rsidR="002B1A95" w:rsidRPr="002B1A95">
        <w:t> </w:t>
      </w:r>
      <w:r w:rsidRPr="002B1A95">
        <w:t>960</w:t>
      </w:r>
      <w:r w:rsidR="00782250">
        <w:noBreakHyphen/>
      </w:r>
      <w:r w:rsidRPr="002B1A95">
        <w:t>80(7) of the Act, if:</w:t>
      </w:r>
    </w:p>
    <w:p w:rsidR="007D17C5" w:rsidRPr="002B1A95" w:rsidRDefault="007D17C5" w:rsidP="007D17C5">
      <w:pPr>
        <w:pStyle w:val="paragraph"/>
      </w:pPr>
      <w:r w:rsidRPr="002B1A95">
        <w:rPr>
          <w:color w:val="000000"/>
        </w:rPr>
        <w:tab/>
        <w:t>(a)</w:t>
      </w:r>
      <w:r w:rsidRPr="002B1A95">
        <w:rPr>
          <w:color w:val="000000"/>
        </w:rPr>
        <w:tab/>
        <w:t>an entity is an attributable taxpayer in relation to a CFC; and</w:t>
      </w:r>
    </w:p>
    <w:p w:rsidR="007D17C5" w:rsidRPr="002B1A95" w:rsidRDefault="007D17C5" w:rsidP="007D17C5">
      <w:pPr>
        <w:pStyle w:val="paragraph"/>
      </w:pPr>
      <w:r w:rsidRPr="002B1A95">
        <w:tab/>
        <w:t>(b)</w:t>
      </w:r>
      <w:r w:rsidRPr="002B1A95">
        <w:tab/>
        <w:t>the CFC has prepared financial accounts in accordance with standards to which subsection</w:t>
      </w:r>
      <w:r w:rsidR="002B1A95" w:rsidRPr="002B1A95">
        <w:t> </w:t>
      </w:r>
      <w:r w:rsidRPr="002B1A95">
        <w:t>820</w:t>
      </w:r>
      <w:r w:rsidR="00782250">
        <w:noBreakHyphen/>
      </w:r>
      <w:r w:rsidRPr="002B1A95">
        <w:t>960(1C) or (1D) of the Act relates; and</w:t>
      </w:r>
    </w:p>
    <w:p w:rsidR="007D17C5" w:rsidRPr="002B1A95" w:rsidRDefault="007D17C5" w:rsidP="007D17C5">
      <w:pPr>
        <w:pStyle w:val="paragraph"/>
      </w:pPr>
      <w:r w:rsidRPr="002B1A95">
        <w:tab/>
        <w:t>(c)</w:t>
      </w:r>
      <w:r w:rsidRPr="002B1A95">
        <w:tab/>
        <w:t>those financial accounts translate amounts into the applicable functional currency using particular exchange rates; and</w:t>
      </w:r>
    </w:p>
    <w:p w:rsidR="007D17C5" w:rsidRPr="002B1A95" w:rsidRDefault="007D17C5" w:rsidP="007D17C5">
      <w:pPr>
        <w:pStyle w:val="paragraph"/>
      </w:pPr>
      <w:r w:rsidRPr="002B1A95">
        <w:tab/>
        <w:t>(d)</w:t>
      </w:r>
      <w:r w:rsidRPr="002B1A95">
        <w:tab/>
        <w:t>the entity wishes to translate an amount into the applicable functional currency, using the exchange rate used to translate a corresponding amount in the financial accounts;</w:t>
      </w:r>
    </w:p>
    <w:p w:rsidR="007D17C5" w:rsidRPr="002B1A95" w:rsidRDefault="007D17C5" w:rsidP="007D17C5">
      <w:pPr>
        <w:pStyle w:val="subsection2"/>
        <w:rPr>
          <w:color w:val="000000"/>
        </w:rPr>
      </w:pPr>
      <w:r w:rsidRPr="002B1A95">
        <w:rPr>
          <w:color w:val="000000"/>
        </w:rPr>
        <w:t>the entity must translate all amounts into the applicable functional currency using the exchange rates that were used in the financial accounts to translate corresponding amounts.</w:t>
      </w:r>
    </w:p>
    <w:p w:rsidR="007D17C5" w:rsidRPr="002B1A95" w:rsidRDefault="007D17C5" w:rsidP="007D17C5">
      <w:pPr>
        <w:pStyle w:val="ActHead5"/>
      </w:pPr>
      <w:bookmarkStart w:id="164" w:name="_Toc49765342"/>
      <w:r w:rsidRPr="00411C46">
        <w:rPr>
          <w:rStyle w:val="CharSectno"/>
        </w:rPr>
        <w:t>960</w:t>
      </w:r>
      <w:r w:rsidR="00782250" w:rsidRPr="00411C46">
        <w:rPr>
          <w:rStyle w:val="CharSectno"/>
        </w:rPr>
        <w:noBreakHyphen/>
      </w:r>
      <w:r w:rsidRPr="00411C46">
        <w:rPr>
          <w:rStyle w:val="CharSectno"/>
        </w:rPr>
        <w:t>80.03</w:t>
      </w:r>
      <w:r w:rsidRPr="002B1A95">
        <w:t xml:space="preserve">  Translation rules—translation from applicable functional currency into Australian currency</w:t>
      </w:r>
      <w:bookmarkEnd w:id="164"/>
    </w:p>
    <w:p w:rsidR="007D17C5" w:rsidRPr="002B1A95" w:rsidRDefault="007D17C5" w:rsidP="007D17C5">
      <w:pPr>
        <w:pStyle w:val="subsection"/>
      </w:pPr>
      <w:r w:rsidRPr="002B1A95">
        <w:tab/>
        <w:t>(1)</w:t>
      </w:r>
      <w:r w:rsidRPr="002B1A95">
        <w:tab/>
        <w:t>For the purposes of subsection</w:t>
      </w:r>
      <w:r w:rsidR="002B1A95" w:rsidRPr="002B1A95">
        <w:t> </w:t>
      </w:r>
      <w:r w:rsidRPr="002B1A95">
        <w:t>960</w:t>
      </w:r>
      <w:r w:rsidR="00782250">
        <w:noBreakHyphen/>
      </w:r>
      <w:r w:rsidRPr="002B1A95">
        <w:t>80(7) of the Act, this section provides requirements that an entity must comply with in translating an amount from the applicable functional currency into Australian currency.</w:t>
      </w:r>
    </w:p>
    <w:p w:rsidR="007D17C5" w:rsidRPr="002B1A95" w:rsidRDefault="007D17C5" w:rsidP="007D17C5">
      <w:pPr>
        <w:pStyle w:val="SubsectionHead"/>
      </w:pPr>
      <w:r w:rsidRPr="002B1A95">
        <w:t>Amount that is not the attributable income of a CFC</w:t>
      </w:r>
    </w:p>
    <w:p w:rsidR="007D17C5" w:rsidRPr="002B1A95" w:rsidRDefault="007D17C5" w:rsidP="007D17C5">
      <w:pPr>
        <w:pStyle w:val="subsection"/>
      </w:pPr>
      <w:r w:rsidRPr="002B1A95">
        <w:tab/>
        <w:t>(2)</w:t>
      </w:r>
      <w:r w:rsidRPr="002B1A95">
        <w:tab/>
        <w:t>If, on or after 27</w:t>
      </w:r>
      <w:r w:rsidR="002B1A95" w:rsidRPr="002B1A95">
        <w:t> </w:t>
      </w:r>
      <w:r w:rsidRPr="002B1A95">
        <w:t>April 2</w:t>
      </w:r>
      <w:r w:rsidRPr="002B1A95">
        <w:rPr>
          <w:lang w:eastAsia="en-US"/>
        </w:rPr>
        <w:t>005</w:t>
      </w:r>
      <w:r w:rsidRPr="002B1A95">
        <w:rPr>
          <w:i/>
        </w:rPr>
        <w:t>,</w:t>
      </w:r>
      <w:r w:rsidRPr="002B1A95">
        <w:t xml:space="preserve"> an entity translates an amount that is not the attributable income of a CFC from the applicable functional currency into Australian currency on a day in accordance with an item of the table in subsection</w:t>
      </w:r>
      <w:r w:rsidR="002B1A95" w:rsidRPr="002B1A95">
        <w:t> </w:t>
      </w:r>
      <w:r w:rsidRPr="002B1A95">
        <w:t>960</w:t>
      </w:r>
      <w:r w:rsidR="00782250">
        <w:noBreakHyphen/>
      </w:r>
      <w:r w:rsidRPr="002B1A95">
        <w:t>80(1) of the Act, the entity must translate the amount using:</w:t>
      </w:r>
    </w:p>
    <w:p w:rsidR="007D17C5" w:rsidRPr="002B1A95" w:rsidRDefault="007D17C5" w:rsidP="007D17C5">
      <w:pPr>
        <w:pStyle w:val="paragraph"/>
      </w:pPr>
      <w:r w:rsidRPr="002B1A95">
        <w:rPr>
          <w:color w:val="000000"/>
        </w:rPr>
        <w:tab/>
        <w:t>(a)</w:t>
      </w:r>
      <w:r w:rsidRPr="002B1A95">
        <w:rPr>
          <w:color w:val="000000"/>
        </w:rPr>
        <w:tab/>
        <w:t>an exchange rate that is an average of all of the exchange rates during the period, not exceeding 12 months, in which the entity carries on the relevant business or other activity; or</w:t>
      </w:r>
    </w:p>
    <w:p w:rsidR="007D17C5" w:rsidRPr="002B1A95" w:rsidRDefault="007D17C5" w:rsidP="007D17C5">
      <w:pPr>
        <w:pStyle w:val="paragraph"/>
      </w:pPr>
      <w:r w:rsidRPr="002B1A95">
        <w:tab/>
        <w:t>(b)</w:t>
      </w:r>
      <w:r w:rsidRPr="002B1A95">
        <w:tab/>
        <w:t>if the entity makes an election in writing to use the exchange rate applicable on the last day of the entity’s income year—that exchange rate.</w:t>
      </w:r>
    </w:p>
    <w:p w:rsidR="007D17C5" w:rsidRPr="002B1A95" w:rsidRDefault="007D17C5" w:rsidP="007D17C5">
      <w:pPr>
        <w:pStyle w:val="SubsectionHead"/>
      </w:pPr>
      <w:r w:rsidRPr="002B1A95">
        <w:t>Amount that is the attributable income of a CFC</w:t>
      </w:r>
    </w:p>
    <w:p w:rsidR="007D17C5" w:rsidRPr="002B1A95" w:rsidRDefault="007D17C5" w:rsidP="007D17C5">
      <w:pPr>
        <w:pStyle w:val="subsection"/>
      </w:pPr>
      <w:r w:rsidRPr="002B1A95">
        <w:tab/>
        <w:t>(3)</w:t>
      </w:r>
      <w:r w:rsidRPr="002B1A95">
        <w:tab/>
        <w:t>If, on or after 27</w:t>
      </w:r>
      <w:r w:rsidR="002B1A95" w:rsidRPr="002B1A95">
        <w:t> </w:t>
      </w:r>
      <w:r w:rsidRPr="002B1A95">
        <w:t>April 2005</w:t>
      </w:r>
      <w:r w:rsidRPr="002B1A95">
        <w:rPr>
          <w:i/>
        </w:rPr>
        <w:t>,</w:t>
      </w:r>
      <w:r w:rsidRPr="002B1A95">
        <w:t xml:space="preserve"> an entity that is an attributable taxpayer in relation to a CFC translates an amount that is the attributable income of a CFC from the applicable functional currency into Australian currency on a day in accordance with an item of the table in subsection</w:t>
      </w:r>
      <w:r w:rsidR="002B1A95" w:rsidRPr="002B1A95">
        <w:t> </w:t>
      </w:r>
      <w:r w:rsidRPr="002B1A95">
        <w:t>960</w:t>
      </w:r>
      <w:r w:rsidR="00782250">
        <w:noBreakHyphen/>
      </w:r>
      <w:r w:rsidRPr="002B1A95">
        <w:t>80(1) of the Act, the entity must translate the amount using:</w:t>
      </w:r>
    </w:p>
    <w:p w:rsidR="007D17C5" w:rsidRPr="002B1A95" w:rsidRDefault="007D17C5" w:rsidP="007D17C5">
      <w:pPr>
        <w:pStyle w:val="paragraph"/>
      </w:pPr>
      <w:r w:rsidRPr="002B1A95">
        <w:rPr>
          <w:color w:val="000000"/>
        </w:rPr>
        <w:lastRenderedPageBreak/>
        <w:tab/>
        <w:t>(a)</w:t>
      </w:r>
      <w:r w:rsidRPr="002B1A95">
        <w:rPr>
          <w:color w:val="000000"/>
        </w:rPr>
        <w:tab/>
        <w:t>an exchange rate that is an average of all of the exchange rates during the period, not exceeding 12 months, in which the CFC carries on the relevant business or other activity; or</w:t>
      </w:r>
    </w:p>
    <w:p w:rsidR="007D17C5" w:rsidRPr="002B1A95" w:rsidRDefault="007D17C5" w:rsidP="007D17C5">
      <w:pPr>
        <w:pStyle w:val="paragraph"/>
      </w:pPr>
      <w:r w:rsidRPr="002B1A95">
        <w:tab/>
        <w:t>(b)</w:t>
      </w:r>
      <w:r w:rsidRPr="002B1A95">
        <w:tab/>
        <w:t>if the entity makes an election in writing to use the exchange rate applicable on the last day of the CFC’s statutory accounting period—that exchange rate.</w:t>
      </w:r>
    </w:p>
    <w:p w:rsidR="007D17C5" w:rsidRPr="002B1A95" w:rsidRDefault="007D17C5" w:rsidP="007D17C5">
      <w:pPr>
        <w:pStyle w:val="subsection"/>
        <w:rPr>
          <w:color w:val="000000"/>
        </w:rPr>
      </w:pPr>
      <w:r w:rsidRPr="002B1A95">
        <w:rPr>
          <w:color w:val="000000"/>
        </w:rPr>
        <w:tab/>
        <w:t>(4)</w:t>
      </w:r>
      <w:r w:rsidRPr="002B1A95">
        <w:rPr>
          <w:color w:val="000000"/>
        </w:rPr>
        <w:tab/>
        <w:t xml:space="preserve">An election under </w:t>
      </w:r>
      <w:r w:rsidR="002B1A95" w:rsidRPr="002B1A95">
        <w:rPr>
          <w:color w:val="000000"/>
        </w:rPr>
        <w:t>paragraph (</w:t>
      </w:r>
      <w:r w:rsidRPr="002B1A95">
        <w:rPr>
          <w:color w:val="000000"/>
        </w:rPr>
        <w:t>2)(b) or (3)(b) is irrevocable.</w:t>
      </w:r>
    </w:p>
    <w:p w:rsidR="007D17C5" w:rsidRPr="002B1A95" w:rsidRDefault="007D17C5" w:rsidP="007D17C5">
      <w:pPr>
        <w:pStyle w:val="ActHead3"/>
        <w:pageBreakBefore/>
      </w:pPr>
      <w:bookmarkStart w:id="165" w:name="_Toc49765343"/>
      <w:r w:rsidRPr="00411C46">
        <w:rPr>
          <w:rStyle w:val="CharDivNo"/>
        </w:rPr>
        <w:lastRenderedPageBreak/>
        <w:t>Division</w:t>
      </w:r>
      <w:r w:rsidR="002B1A95" w:rsidRPr="00411C46">
        <w:rPr>
          <w:rStyle w:val="CharDivNo"/>
        </w:rPr>
        <w:t> </w:t>
      </w:r>
      <w:r w:rsidRPr="00411C46">
        <w:rPr>
          <w:rStyle w:val="CharDivNo"/>
        </w:rPr>
        <w:t>974</w:t>
      </w:r>
      <w:r w:rsidRPr="002B1A95">
        <w:t>—</w:t>
      </w:r>
      <w:r w:rsidRPr="00411C46">
        <w:rPr>
          <w:rStyle w:val="CharDivText"/>
        </w:rPr>
        <w:t>Debt and equity interests</w:t>
      </w:r>
      <w:bookmarkEnd w:id="165"/>
    </w:p>
    <w:p w:rsidR="007D17C5" w:rsidRPr="002B1A95" w:rsidRDefault="007D17C5" w:rsidP="007D17C5">
      <w:pPr>
        <w:pStyle w:val="ActHead4"/>
        <w:rPr>
          <w:rFonts w:eastAsiaTheme="majorEastAsia"/>
        </w:rPr>
      </w:pPr>
      <w:bookmarkStart w:id="166" w:name="_Toc49765344"/>
      <w:r w:rsidRPr="00411C46">
        <w:rPr>
          <w:rStyle w:val="CharSubdNo"/>
          <w:rFonts w:eastAsiaTheme="majorEastAsia"/>
        </w:rPr>
        <w:t>Subdivision</w:t>
      </w:r>
      <w:r w:rsidR="002B1A95" w:rsidRPr="00411C46">
        <w:rPr>
          <w:rStyle w:val="CharSubdNo"/>
          <w:rFonts w:eastAsiaTheme="majorEastAsia"/>
        </w:rPr>
        <w:t> </w:t>
      </w:r>
      <w:r w:rsidRPr="00411C46">
        <w:rPr>
          <w:rStyle w:val="CharSubdNo"/>
          <w:rFonts w:eastAsiaTheme="majorEastAsia"/>
        </w:rPr>
        <w:t>974</w:t>
      </w:r>
      <w:r w:rsidR="00782250" w:rsidRPr="00411C46">
        <w:rPr>
          <w:rStyle w:val="CharSubdNo"/>
          <w:rFonts w:eastAsiaTheme="majorEastAsia"/>
        </w:rPr>
        <w:noBreakHyphen/>
      </w:r>
      <w:r w:rsidRPr="00411C46">
        <w:rPr>
          <w:rStyle w:val="CharSubdNo"/>
          <w:rFonts w:eastAsiaTheme="majorEastAsia"/>
        </w:rPr>
        <w:t>F</w:t>
      </w:r>
      <w:r w:rsidRPr="002B1A95">
        <w:t>—</w:t>
      </w:r>
      <w:r w:rsidRPr="00411C46">
        <w:rPr>
          <w:rStyle w:val="CharSubdText"/>
          <w:rFonts w:eastAsiaTheme="majorEastAsia"/>
        </w:rPr>
        <w:t>Related concepts</w:t>
      </w:r>
      <w:bookmarkEnd w:id="166"/>
    </w:p>
    <w:p w:rsidR="007D17C5" w:rsidRPr="002B1A95" w:rsidRDefault="007D17C5" w:rsidP="007D17C5">
      <w:pPr>
        <w:pStyle w:val="ActHead5"/>
      </w:pPr>
      <w:bookmarkStart w:id="167" w:name="_Toc49765345"/>
      <w:r w:rsidRPr="00411C46">
        <w:rPr>
          <w:rStyle w:val="CharSectno"/>
        </w:rPr>
        <w:t>974</w:t>
      </w:r>
      <w:r w:rsidR="00782250" w:rsidRPr="00411C46">
        <w:rPr>
          <w:rStyle w:val="CharSectno"/>
        </w:rPr>
        <w:noBreakHyphen/>
      </w:r>
      <w:r w:rsidRPr="00411C46">
        <w:rPr>
          <w:rStyle w:val="CharSectno"/>
        </w:rPr>
        <w:t>135.01</w:t>
      </w:r>
      <w:r w:rsidRPr="002B1A95">
        <w:t xml:space="preserve">  Non</w:t>
      </w:r>
      <w:r w:rsidR="00782250">
        <w:noBreakHyphen/>
      </w:r>
      <w:r w:rsidRPr="002B1A95">
        <w:t>cumulative redeemable preference shares issued by credit union or mutual building society</w:t>
      </w:r>
      <w:bookmarkEnd w:id="167"/>
    </w:p>
    <w:p w:rsidR="007D17C5" w:rsidRPr="002B1A95" w:rsidRDefault="007D17C5" w:rsidP="007D17C5">
      <w:pPr>
        <w:pStyle w:val="subsection"/>
      </w:pPr>
      <w:r w:rsidRPr="002B1A95">
        <w:tab/>
        <w:t>(1)</w:t>
      </w:r>
      <w:r w:rsidRPr="002B1A95">
        <w:tab/>
        <w:t>For the purposes of paragraph</w:t>
      </w:r>
      <w:r w:rsidR="002B1A95" w:rsidRPr="002B1A95">
        <w:t> </w:t>
      </w:r>
      <w:r w:rsidRPr="002B1A95">
        <w:t>974</w:t>
      </w:r>
      <w:r w:rsidR="00782250">
        <w:noBreakHyphen/>
      </w:r>
      <w:r w:rsidRPr="002B1A95">
        <w:t>135(8)(d) of the Act, the obligation in respect of the return of investment on the redemption of a non</w:t>
      </w:r>
      <w:r w:rsidR="00782250">
        <w:noBreakHyphen/>
      </w:r>
      <w:r w:rsidRPr="002B1A95">
        <w:t>cumulative redeemable preference share issued by an entity that is:</w:t>
      </w:r>
    </w:p>
    <w:p w:rsidR="007D17C5" w:rsidRPr="002B1A95" w:rsidRDefault="007D17C5" w:rsidP="007D17C5">
      <w:pPr>
        <w:pStyle w:val="paragraph"/>
      </w:pPr>
      <w:r w:rsidRPr="002B1A95">
        <w:tab/>
        <w:t>(a)</w:t>
      </w:r>
      <w:r w:rsidRPr="002B1A95">
        <w:tab/>
        <w:t>a credit union; or</w:t>
      </w:r>
    </w:p>
    <w:p w:rsidR="007D17C5" w:rsidRPr="002B1A95" w:rsidRDefault="007D17C5" w:rsidP="007D17C5">
      <w:pPr>
        <w:pStyle w:val="paragraph"/>
      </w:pPr>
      <w:r w:rsidRPr="002B1A95">
        <w:tab/>
        <w:t>(b)</w:t>
      </w:r>
      <w:r w:rsidRPr="002B1A95">
        <w:tab/>
        <w:t>a mutual building society that is an ADI;</w:t>
      </w:r>
    </w:p>
    <w:p w:rsidR="007D17C5" w:rsidRPr="002B1A95" w:rsidRDefault="007D17C5" w:rsidP="007D17C5">
      <w:pPr>
        <w:pStyle w:val="subsection2"/>
      </w:pPr>
      <w:r w:rsidRPr="002B1A95">
        <w:t>is not an effectively non</w:t>
      </w:r>
      <w:r w:rsidR="00782250">
        <w:noBreakHyphen/>
      </w:r>
      <w:r w:rsidRPr="002B1A95">
        <w:t xml:space="preserve">contingent obligation if it meets the criteria in </w:t>
      </w:r>
      <w:r w:rsidR="002B1A95" w:rsidRPr="002B1A95">
        <w:t>subsection (</w:t>
      </w:r>
      <w:r w:rsidRPr="002B1A95">
        <w:t>2) of this section.</w:t>
      </w:r>
    </w:p>
    <w:p w:rsidR="007D17C5" w:rsidRPr="002B1A95" w:rsidRDefault="007D17C5" w:rsidP="007D17C5">
      <w:pPr>
        <w:pStyle w:val="subsection"/>
      </w:pPr>
      <w:r w:rsidRPr="002B1A95">
        <w:tab/>
        <w:t>(2)</w:t>
      </w:r>
      <w:r w:rsidRPr="002B1A95">
        <w:tab/>
        <w:t>The criteria in this subsection are:</w:t>
      </w:r>
    </w:p>
    <w:p w:rsidR="007D17C5" w:rsidRPr="002B1A95" w:rsidRDefault="007D17C5" w:rsidP="007D17C5">
      <w:pPr>
        <w:pStyle w:val="paragraph"/>
      </w:pPr>
      <w:r w:rsidRPr="002B1A95">
        <w:tab/>
        <w:t>(a)</w:t>
      </w:r>
      <w:r w:rsidRPr="002B1A95">
        <w:tab/>
        <w:t>the share is issued on or after 4</w:t>
      </w:r>
      <w:r w:rsidR="002B1A95" w:rsidRPr="002B1A95">
        <w:t> </w:t>
      </w:r>
      <w:r w:rsidRPr="002B1A95">
        <w:t>March 2003; and</w:t>
      </w:r>
    </w:p>
    <w:p w:rsidR="007D17C5" w:rsidRPr="002B1A95" w:rsidRDefault="007D17C5" w:rsidP="007D17C5">
      <w:pPr>
        <w:pStyle w:val="paragraph"/>
      </w:pPr>
      <w:r w:rsidRPr="002B1A95">
        <w:tab/>
        <w:t>(b)</w:t>
      </w:r>
      <w:r w:rsidRPr="002B1A95">
        <w:tab/>
        <w:t>the share satisfies, at the time it is issued, the criteria set out in paragraph</w:t>
      </w:r>
      <w:r w:rsidR="002B1A95" w:rsidRPr="002B1A95">
        <w:t> </w:t>
      </w:r>
      <w:r w:rsidRPr="002B1A95">
        <w:t xml:space="preserve">1 of </w:t>
      </w:r>
      <w:r w:rsidRPr="002B1A95">
        <w:rPr>
          <w:rFonts w:ascii="Helvetica Neue" w:hAnsi="Helvetica Neue"/>
        </w:rPr>
        <w:t xml:space="preserve">Attachment H to the </w:t>
      </w:r>
      <w:r w:rsidRPr="002B1A95">
        <w:rPr>
          <w:rFonts w:ascii="Helvetica Neue" w:hAnsi="Helvetica Neue"/>
          <w:i/>
        </w:rPr>
        <w:t>Banking (prudential standard) determination No.</w:t>
      </w:r>
      <w:r w:rsidR="002B1A95" w:rsidRPr="002B1A95">
        <w:rPr>
          <w:rFonts w:ascii="Helvetica Neue" w:hAnsi="Helvetica Neue" w:hint="eastAsia"/>
          <w:i/>
        </w:rPr>
        <w:t> </w:t>
      </w:r>
      <w:r w:rsidRPr="002B1A95">
        <w:rPr>
          <w:rFonts w:ascii="Helvetica Neue" w:hAnsi="Helvetica Neue"/>
          <w:i/>
        </w:rPr>
        <w:t>4 of 2017</w:t>
      </w:r>
      <w:r w:rsidRPr="002B1A95">
        <w:t>; and</w:t>
      </w:r>
    </w:p>
    <w:p w:rsidR="007D17C5" w:rsidRPr="002B1A95" w:rsidRDefault="007D17C5" w:rsidP="007D17C5">
      <w:pPr>
        <w:pStyle w:val="paragraph"/>
      </w:pPr>
      <w:r w:rsidRPr="002B1A95">
        <w:tab/>
        <w:t>(c)</w:t>
      </w:r>
      <w:r w:rsidRPr="002B1A95">
        <w:tab/>
        <w:t>the share is issued subject to the following terms and conditions:</w:t>
      </w:r>
    </w:p>
    <w:p w:rsidR="007D17C5" w:rsidRPr="002B1A95" w:rsidRDefault="007D17C5" w:rsidP="007D17C5">
      <w:pPr>
        <w:pStyle w:val="paragraphsub"/>
      </w:pPr>
      <w:r w:rsidRPr="002B1A95">
        <w:tab/>
        <w:t>(i)</w:t>
      </w:r>
      <w:r w:rsidRPr="002B1A95">
        <w:tab/>
        <w:t>the share has a minimum term of 5 years;</w:t>
      </w:r>
    </w:p>
    <w:p w:rsidR="007D17C5" w:rsidRPr="002B1A95" w:rsidRDefault="007D17C5" w:rsidP="007D17C5">
      <w:pPr>
        <w:pStyle w:val="paragraphsub"/>
      </w:pPr>
      <w:r w:rsidRPr="002B1A95">
        <w:tab/>
        <w:t>(ii)</w:t>
      </w:r>
      <w:r w:rsidRPr="002B1A95">
        <w:tab/>
        <w:t>dividend payments for the share are to be paid only out of operating profits from the current year or the immediately previous year, and only to the extent that payment is permitted by law and by relevant regulatory authorities;</w:t>
      </w:r>
    </w:p>
    <w:p w:rsidR="007D17C5" w:rsidRPr="002B1A95" w:rsidRDefault="007D17C5" w:rsidP="007D17C5">
      <w:pPr>
        <w:pStyle w:val="paragraphsub"/>
      </w:pPr>
      <w:r w:rsidRPr="002B1A95">
        <w:tab/>
        <w:t>(iii)</w:t>
      </w:r>
      <w:r w:rsidRPr="002B1A95">
        <w:tab/>
        <w:t>dividend payments for the share are not cumulative;</w:t>
      </w:r>
    </w:p>
    <w:p w:rsidR="007D17C5" w:rsidRPr="002B1A95" w:rsidRDefault="007D17C5" w:rsidP="007D17C5">
      <w:pPr>
        <w:pStyle w:val="paragraphsub"/>
      </w:pPr>
      <w:r w:rsidRPr="002B1A95">
        <w:tab/>
        <w:t>(iv)</w:t>
      </w:r>
      <w:r w:rsidRPr="002B1A95">
        <w:tab/>
        <w:t>any payments made in relation to the share out of net profits or net assets have preferential rights over payments made in relation to ordinary shares (if any) from the same sources;</w:t>
      </w:r>
    </w:p>
    <w:p w:rsidR="007D17C5" w:rsidRPr="002B1A95" w:rsidRDefault="007D17C5" w:rsidP="007D17C5">
      <w:pPr>
        <w:pStyle w:val="paragraphsub"/>
      </w:pPr>
      <w:r w:rsidRPr="002B1A95">
        <w:tab/>
        <w:t>(v)</w:t>
      </w:r>
      <w:r w:rsidRPr="002B1A95">
        <w:tab/>
        <w:t>if the share is to be redeemed—the redemption cannot be carried out without the approval of the entity’s board;</w:t>
      </w:r>
    </w:p>
    <w:p w:rsidR="007D17C5" w:rsidRPr="002B1A95" w:rsidRDefault="007D17C5" w:rsidP="007D17C5">
      <w:pPr>
        <w:pStyle w:val="paragraphsub"/>
      </w:pPr>
      <w:r w:rsidRPr="002B1A95">
        <w:tab/>
        <w:t>(vi)</w:t>
      </w:r>
      <w:r w:rsidRPr="002B1A95">
        <w:tab/>
        <w:t xml:space="preserve">if the share is to be redeemed, but the redemption of the share would place the entity in breach of a prudential standard made under the </w:t>
      </w:r>
      <w:r w:rsidRPr="002B1A95">
        <w:rPr>
          <w:i/>
        </w:rPr>
        <w:t>Banking Act 1959</w:t>
      </w:r>
      <w:r w:rsidRPr="002B1A95">
        <w:t>—the redemption cannot be carried out without the approval of APRA; and</w:t>
      </w:r>
    </w:p>
    <w:p w:rsidR="007D17C5" w:rsidRPr="002B1A95" w:rsidRDefault="007D17C5" w:rsidP="007D17C5">
      <w:pPr>
        <w:pStyle w:val="paragraph"/>
      </w:pPr>
      <w:r w:rsidRPr="002B1A95">
        <w:tab/>
        <w:t>(d)</w:t>
      </w:r>
      <w:r w:rsidRPr="002B1A95">
        <w:tab/>
        <w:t>the redemption is carried out on or after 4</w:t>
      </w:r>
      <w:r w:rsidR="002B1A95" w:rsidRPr="002B1A95">
        <w:t> </w:t>
      </w:r>
      <w:r w:rsidRPr="002B1A95">
        <w:t>March 2003; and</w:t>
      </w:r>
    </w:p>
    <w:p w:rsidR="007D17C5" w:rsidRPr="002B1A95" w:rsidRDefault="007D17C5" w:rsidP="007D17C5">
      <w:pPr>
        <w:pStyle w:val="paragraph"/>
      </w:pPr>
      <w:r w:rsidRPr="002B1A95">
        <w:tab/>
        <w:t>(e)</w:t>
      </w:r>
      <w:r w:rsidRPr="002B1A95">
        <w:tab/>
        <w:t>the share is issued only to a member of the entity; and</w:t>
      </w:r>
    </w:p>
    <w:p w:rsidR="007D17C5" w:rsidRPr="002B1A95" w:rsidRDefault="007D17C5" w:rsidP="007D17C5">
      <w:pPr>
        <w:pStyle w:val="paragraph"/>
      </w:pPr>
      <w:r w:rsidRPr="002B1A95">
        <w:tab/>
        <w:t>(f)</w:t>
      </w:r>
      <w:r w:rsidRPr="002B1A95">
        <w:tab/>
        <w:t>a member of the entity and its connected entities can together hold not more than 10% by value of the shares of that kind issued by the entity.</w:t>
      </w:r>
    </w:p>
    <w:p w:rsidR="007D17C5" w:rsidRPr="002B1A95" w:rsidRDefault="007D17C5" w:rsidP="007D17C5">
      <w:pPr>
        <w:pStyle w:val="noteToPara"/>
      </w:pPr>
      <w:r w:rsidRPr="002B1A95">
        <w:t>Note:</w:t>
      </w:r>
      <w:r w:rsidRPr="002B1A95">
        <w:tab/>
        <w:t xml:space="preserve">For </w:t>
      </w:r>
      <w:r w:rsidRPr="002B1A95">
        <w:rPr>
          <w:b/>
          <w:i/>
        </w:rPr>
        <w:t>connected entity</w:t>
      </w:r>
      <w:r w:rsidRPr="002B1A95">
        <w:t>, see subsection</w:t>
      </w:r>
      <w:r w:rsidR="002B1A95" w:rsidRPr="002B1A95">
        <w:t> </w:t>
      </w:r>
      <w:r w:rsidRPr="002B1A95">
        <w:t>995</w:t>
      </w:r>
      <w:r w:rsidR="00782250">
        <w:noBreakHyphen/>
      </w:r>
      <w:r w:rsidRPr="002B1A95">
        <w:t>1(1) of the Act.</w:t>
      </w:r>
    </w:p>
    <w:p w:rsidR="007D17C5" w:rsidRPr="002B1A95" w:rsidRDefault="007D17C5" w:rsidP="007D17C5">
      <w:pPr>
        <w:pStyle w:val="ActHead5"/>
      </w:pPr>
      <w:bookmarkStart w:id="168" w:name="_Toc49765346"/>
      <w:r w:rsidRPr="00411C46">
        <w:rPr>
          <w:rStyle w:val="CharSectno"/>
        </w:rPr>
        <w:lastRenderedPageBreak/>
        <w:t>974</w:t>
      </w:r>
      <w:r w:rsidR="00782250" w:rsidRPr="00411C46">
        <w:rPr>
          <w:rStyle w:val="CharSectno"/>
        </w:rPr>
        <w:noBreakHyphen/>
      </w:r>
      <w:r w:rsidRPr="00411C46">
        <w:rPr>
          <w:rStyle w:val="CharSectno"/>
        </w:rPr>
        <w:t>135.02</w:t>
      </w:r>
      <w:r w:rsidRPr="002B1A95">
        <w:t xml:space="preserve">  Redeemable preference shares</w:t>
      </w:r>
      <w:bookmarkEnd w:id="168"/>
    </w:p>
    <w:p w:rsidR="007D17C5" w:rsidRPr="002B1A95" w:rsidRDefault="007D17C5" w:rsidP="007D17C5">
      <w:pPr>
        <w:pStyle w:val="subsection"/>
      </w:pPr>
      <w:r w:rsidRPr="002B1A95">
        <w:tab/>
      </w:r>
      <w:r w:rsidRPr="002B1A95">
        <w:tab/>
        <w:t>For the purposes of paragraph</w:t>
      </w:r>
      <w:r w:rsidR="002B1A95" w:rsidRPr="002B1A95">
        <w:t> </w:t>
      </w:r>
      <w:r w:rsidRPr="002B1A95">
        <w:t>974</w:t>
      </w:r>
      <w:r w:rsidR="00782250">
        <w:noBreakHyphen/>
      </w:r>
      <w:r w:rsidRPr="002B1A95">
        <w:t>135(8)(a) of the Act, an obligation to redeem or buy back a preference share in relation to a company is not a contingent obligation merely because a requirement exists, under a law, to the effect that:</w:t>
      </w:r>
    </w:p>
    <w:p w:rsidR="007D17C5" w:rsidRPr="002B1A95" w:rsidRDefault="007D17C5" w:rsidP="007D17C5">
      <w:pPr>
        <w:pStyle w:val="paragraph"/>
      </w:pPr>
      <w:r w:rsidRPr="002B1A95">
        <w:tab/>
        <w:t>(a)</w:t>
      </w:r>
      <w:r w:rsidRPr="002B1A95">
        <w:tab/>
        <w:t>the redemption or buy back must not prejudice the company’s ability to pay its creditors; or</w:t>
      </w:r>
    </w:p>
    <w:p w:rsidR="007D17C5" w:rsidRPr="002B1A95" w:rsidRDefault="007D17C5" w:rsidP="007D17C5">
      <w:pPr>
        <w:pStyle w:val="paragraph"/>
      </w:pPr>
      <w:r w:rsidRPr="002B1A95">
        <w:tab/>
        <w:t>(b)</w:t>
      </w:r>
      <w:r w:rsidRPr="002B1A95">
        <w:tab/>
        <w:t>the redemption or buy back must not cause the company’s remaining assets to become insufficient to pay any of the company’s debts for which provision for payment has not otherwise been made.</w:t>
      </w:r>
    </w:p>
    <w:p w:rsidR="007D17C5" w:rsidRPr="002B1A95" w:rsidRDefault="007D17C5" w:rsidP="007D17C5">
      <w:pPr>
        <w:pStyle w:val="ActHead5"/>
      </w:pPr>
      <w:bookmarkStart w:id="169" w:name="_Toc49765347"/>
      <w:r w:rsidRPr="00411C46">
        <w:rPr>
          <w:rStyle w:val="CharSectno"/>
        </w:rPr>
        <w:t>974</w:t>
      </w:r>
      <w:r w:rsidR="00782250" w:rsidRPr="00411C46">
        <w:rPr>
          <w:rStyle w:val="CharSectno"/>
        </w:rPr>
        <w:noBreakHyphen/>
      </w:r>
      <w:r w:rsidRPr="00411C46">
        <w:rPr>
          <w:rStyle w:val="CharSectno"/>
        </w:rPr>
        <w:t>135.03</w:t>
      </w:r>
      <w:r w:rsidRPr="002B1A95">
        <w:t xml:space="preserve">  Term cumulative subordinated note with insolvency or capital adequacy conditions</w:t>
      </w:r>
      <w:bookmarkEnd w:id="169"/>
    </w:p>
    <w:p w:rsidR="007D17C5" w:rsidRPr="002B1A95" w:rsidRDefault="007D17C5" w:rsidP="007D17C5">
      <w:pPr>
        <w:pStyle w:val="subsection"/>
      </w:pPr>
      <w:r w:rsidRPr="002B1A95">
        <w:tab/>
        <w:t>(1)</w:t>
      </w:r>
      <w:r w:rsidRPr="002B1A95">
        <w:tab/>
        <w:t>This section applies to an obligation to pay the principal or interest on a relevant term subordinated note at a particular time on or after 1</w:t>
      </w:r>
      <w:r w:rsidR="002B1A95" w:rsidRPr="002B1A95">
        <w:t> </w:t>
      </w:r>
      <w:r w:rsidRPr="002B1A95">
        <w:t>July 2001.</w:t>
      </w:r>
    </w:p>
    <w:p w:rsidR="007D17C5" w:rsidRPr="002B1A95" w:rsidRDefault="007D17C5" w:rsidP="007D17C5">
      <w:pPr>
        <w:pStyle w:val="subsection"/>
      </w:pPr>
      <w:r w:rsidRPr="002B1A95">
        <w:tab/>
        <w:t>(2)</w:t>
      </w:r>
      <w:r w:rsidRPr="002B1A95">
        <w:tab/>
        <w:t>For the purposes of paragraphs 974</w:t>
      </w:r>
      <w:r w:rsidR="00782250">
        <w:noBreakHyphen/>
      </w:r>
      <w:r w:rsidRPr="002B1A95">
        <w:t>135(8)(a) and (b) of the Act, the fact that the obligation is subject to insolvency or capital adequacy conditions does not in itself prevent the obligation from being a non</w:t>
      </w:r>
      <w:r w:rsidR="00782250">
        <w:noBreakHyphen/>
      </w:r>
      <w:r w:rsidRPr="002B1A95">
        <w:t>contingent obligation.</w:t>
      </w:r>
    </w:p>
    <w:p w:rsidR="007D17C5" w:rsidRPr="002B1A95" w:rsidRDefault="007D17C5" w:rsidP="007D17C5">
      <w:pPr>
        <w:pStyle w:val="SubsectionHead"/>
      </w:pPr>
      <w:r w:rsidRPr="002B1A95">
        <w:t xml:space="preserve">Meaning of </w:t>
      </w:r>
      <w:r w:rsidRPr="002B1A95">
        <w:rPr>
          <w:b/>
        </w:rPr>
        <w:t>relevant</w:t>
      </w:r>
    </w:p>
    <w:p w:rsidR="007D17C5" w:rsidRPr="002B1A95" w:rsidRDefault="007D17C5" w:rsidP="007D17C5">
      <w:pPr>
        <w:pStyle w:val="subsection"/>
      </w:pPr>
      <w:r w:rsidRPr="002B1A95">
        <w:tab/>
        <w:t>(3)</w:t>
      </w:r>
      <w:r w:rsidRPr="002B1A95">
        <w:tab/>
      </w:r>
      <w:r w:rsidRPr="002B1A95">
        <w:rPr>
          <w:color w:val="000000"/>
        </w:rPr>
        <w:t xml:space="preserve">A </w:t>
      </w:r>
      <w:r w:rsidRPr="002B1A95">
        <w:t xml:space="preserve">term subordinated note is </w:t>
      </w:r>
      <w:r w:rsidRPr="002B1A95">
        <w:rPr>
          <w:b/>
          <w:i/>
        </w:rPr>
        <w:t>relevant</w:t>
      </w:r>
      <w:r w:rsidRPr="002B1A95">
        <w:t xml:space="preserve"> if:</w:t>
      </w:r>
    </w:p>
    <w:p w:rsidR="007D17C5" w:rsidRPr="002B1A95" w:rsidRDefault="007D17C5" w:rsidP="007D17C5">
      <w:pPr>
        <w:pStyle w:val="paragraph"/>
      </w:pPr>
      <w:r w:rsidRPr="002B1A95">
        <w:tab/>
        <w:t>(a)</w:t>
      </w:r>
      <w:r w:rsidRPr="002B1A95">
        <w:tab/>
        <w:t>at the time of the note’s issue:</w:t>
      </w:r>
    </w:p>
    <w:p w:rsidR="007D17C5" w:rsidRPr="002B1A95" w:rsidRDefault="007D17C5" w:rsidP="007D17C5">
      <w:pPr>
        <w:pStyle w:val="paragraphsub"/>
      </w:pPr>
      <w:r w:rsidRPr="002B1A95">
        <w:tab/>
        <w:t>(i)</w:t>
      </w:r>
      <w:r w:rsidRPr="002B1A95">
        <w:tab/>
        <w:t>the note does not constitute or meet the requirements of a Tier 1 capital instrument; and</w:t>
      </w:r>
    </w:p>
    <w:p w:rsidR="007D17C5" w:rsidRPr="002B1A95" w:rsidRDefault="007D17C5" w:rsidP="007D17C5">
      <w:pPr>
        <w:pStyle w:val="paragraphsub"/>
      </w:pPr>
      <w:r w:rsidRPr="002B1A95">
        <w:tab/>
        <w:t>(ii)</w:t>
      </w:r>
      <w:r w:rsidRPr="002B1A95">
        <w:tab/>
        <w:t>the note does not form part of the Tier 1 capital of the issuer of the note, or a connected entity, and the reason for the note not doing so is not that the instrument is in excess of the Tier 1 capital required for the purposes of prudential standards that deal with capital adequacy; and</w:t>
      </w:r>
    </w:p>
    <w:p w:rsidR="007D17C5" w:rsidRPr="002B1A95" w:rsidRDefault="007D17C5" w:rsidP="007D17C5">
      <w:pPr>
        <w:pStyle w:val="paragraph"/>
      </w:pPr>
      <w:r w:rsidRPr="002B1A95">
        <w:tab/>
        <w:t>(b)</w:t>
      </w:r>
      <w:r w:rsidRPr="002B1A95">
        <w:tab/>
        <w:t>the note has a term of not more than 30 years; and</w:t>
      </w:r>
    </w:p>
    <w:p w:rsidR="007D17C5" w:rsidRPr="002B1A95" w:rsidRDefault="007D17C5" w:rsidP="007D17C5">
      <w:pPr>
        <w:pStyle w:val="paragraph"/>
      </w:pPr>
      <w:r w:rsidRPr="002B1A95">
        <w:tab/>
        <w:t>(c)</w:t>
      </w:r>
      <w:r w:rsidRPr="002B1A95">
        <w:tab/>
        <w:t>the note does not include an unconditional right to extend the term of the note beyond a total term of 30 years; and</w:t>
      </w:r>
    </w:p>
    <w:p w:rsidR="007D17C5" w:rsidRPr="002B1A95" w:rsidRDefault="007D17C5" w:rsidP="007D17C5">
      <w:pPr>
        <w:pStyle w:val="paragraph"/>
      </w:pPr>
      <w:r w:rsidRPr="002B1A95">
        <w:tab/>
        <w:t>(d)</w:t>
      </w:r>
      <w:r w:rsidRPr="002B1A95">
        <w:tab/>
        <w:t>the note is subject to a condition that any payment of the principal or interest beyond the date on which it would otherwise be payable must accumulate (with or without compounding); and</w:t>
      </w:r>
    </w:p>
    <w:p w:rsidR="007D17C5" w:rsidRPr="002B1A95" w:rsidRDefault="007D17C5" w:rsidP="007D17C5">
      <w:pPr>
        <w:pStyle w:val="paragraph"/>
      </w:pPr>
      <w:r w:rsidRPr="002B1A95">
        <w:tab/>
        <w:t>(e)</w:t>
      </w:r>
      <w:r w:rsidRPr="002B1A95">
        <w:tab/>
        <w:t>the note does not give the issuer of the note an unconditional right to decline to provide a financial benefit that is equal in nominal value to the issue price of the note to settle the obligations under the note.</w:t>
      </w:r>
    </w:p>
    <w:p w:rsidR="007D17C5" w:rsidRPr="002B1A95" w:rsidRDefault="007D17C5" w:rsidP="007D17C5">
      <w:pPr>
        <w:pStyle w:val="SubsectionHead"/>
      </w:pPr>
      <w:r w:rsidRPr="002B1A95">
        <w:t xml:space="preserve">Meaning of </w:t>
      </w:r>
      <w:r w:rsidRPr="002B1A95">
        <w:rPr>
          <w:b/>
        </w:rPr>
        <w:t>insolvency or capital adequacy conditions</w:t>
      </w:r>
    </w:p>
    <w:p w:rsidR="007D17C5" w:rsidRPr="002B1A95" w:rsidRDefault="007D17C5" w:rsidP="007D17C5">
      <w:pPr>
        <w:pStyle w:val="subsection"/>
      </w:pPr>
      <w:r w:rsidRPr="002B1A95">
        <w:tab/>
        <w:t>(4)</w:t>
      </w:r>
      <w:r w:rsidRPr="002B1A95">
        <w:tab/>
      </w:r>
      <w:r w:rsidRPr="002B1A95">
        <w:rPr>
          <w:color w:val="000000"/>
        </w:rPr>
        <w:t>C</w:t>
      </w:r>
      <w:r w:rsidRPr="002B1A95">
        <w:t xml:space="preserve">onditions applying to the obligation are </w:t>
      </w:r>
      <w:r w:rsidRPr="002B1A95">
        <w:rPr>
          <w:b/>
          <w:i/>
        </w:rPr>
        <w:t>insolvency or capital adequacy conditions</w:t>
      </w:r>
      <w:r w:rsidRPr="002B1A95">
        <w:t xml:space="preserve"> if they have the effect that the issuer of the note is obliged or able to defer the payment of the principal or interest beyond the date on which it would otherwise be payable if, on that date:</w:t>
      </w:r>
    </w:p>
    <w:p w:rsidR="007D17C5" w:rsidRPr="002B1A95" w:rsidRDefault="007D17C5" w:rsidP="007D17C5">
      <w:pPr>
        <w:pStyle w:val="paragraph"/>
      </w:pPr>
      <w:r w:rsidRPr="002B1A95">
        <w:lastRenderedPageBreak/>
        <w:tab/>
        <w:t>(a)</w:t>
      </w:r>
      <w:r w:rsidRPr="002B1A95">
        <w:tab/>
        <w:t>the issuer of the note is insolvent, or would become insolvent if the payment were made; or</w:t>
      </w:r>
    </w:p>
    <w:p w:rsidR="007D17C5" w:rsidRPr="002B1A95" w:rsidRDefault="007D17C5" w:rsidP="007D17C5">
      <w:pPr>
        <w:pStyle w:val="paragraph"/>
      </w:pPr>
      <w:r w:rsidRPr="002B1A95">
        <w:tab/>
        <w:t>(b)</w:t>
      </w:r>
      <w:r w:rsidRPr="002B1A95">
        <w:tab/>
        <w:t>if the issuer of the note is an entity that is regulated by APRA or a comparable foreign regulator—the issuer is in breach of its capital adequacy ratio or would be in breach if the payment were made.</w:t>
      </w:r>
    </w:p>
    <w:p w:rsidR="007D17C5" w:rsidRPr="002B1A95" w:rsidRDefault="007D17C5" w:rsidP="007D17C5">
      <w:pPr>
        <w:pStyle w:val="SubsectionHead"/>
      </w:pPr>
      <w:r w:rsidRPr="002B1A95">
        <w:t>Obligations to pay before 15</w:t>
      </w:r>
      <w:r w:rsidR="002B1A95" w:rsidRPr="002B1A95">
        <w:t> </w:t>
      </w:r>
      <w:r w:rsidRPr="002B1A95">
        <w:t>April 2010</w:t>
      </w:r>
    </w:p>
    <w:p w:rsidR="007D17C5" w:rsidRPr="002B1A95" w:rsidRDefault="007D17C5" w:rsidP="007D17C5">
      <w:pPr>
        <w:pStyle w:val="subsection"/>
      </w:pPr>
      <w:r w:rsidRPr="002B1A95">
        <w:tab/>
        <w:t>(5)</w:t>
      </w:r>
      <w:r w:rsidRPr="002B1A95">
        <w:tab/>
        <w:t>If the obligation is an obligation to pay at a time before 15</w:t>
      </w:r>
      <w:r w:rsidR="002B1A95" w:rsidRPr="002B1A95">
        <w:t> </w:t>
      </w:r>
      <w:r w:rsidRPr="002B1A95">
        <w:t>April 2010, this section applies only to the extent that applying it would not have the result that:</w:t>
      </w:r>
    </w:p>
    <w:p w:rsidR="007D17C5" w:rsidRPr="002B1A95" w:rsidRDefault="007D17C5" w:rsidP="007D17C5">
      <w:pPr>
        <w:pStyle w:val="paragraph"/>
      </w:pPr>
      <w:r w:rsidRPr="002B1A95">
        <w:tab/>
        <w:t>(a)</w:t>
      </w:r>
      <w:r w:rsidRPr="002B1A95">
        <w:tab/>
        <w:t>the rights of a person (other than the Commonwealth or an authority of the Commonwealth) immediately before 15</w:t>
      </w:r>
      <w:r w:rsidR="002B1A95" w:rsidRPr="002B1A95">
        <w:t> </w:t>
      </w:r>
      <w:r w:rsidRPr="002B1A95">
        <w:t>April 2010 would be affected so as to disadvantage the person; or</w:t>
      </w:r>
    </w:p>
    <w:p w:rsidR="007D17C5" w:rsidRPr="002B1A95" w:rsidRDefault="007D17C5" w:rsidP="007D17C5">
      <w:pPr>
        <w:pStyle w:val="paragraph"/>
      </w:pPr>
      <w:r w:rsidRPr="002B1A95">
        <w:tab/>
        <w:t>(b)</w:t>
      </w:r>
      <w:r w:rsidRPr="002B1A95">
        <w:tab/>
        <w:t>liabilities would be imposed on a person (other than the Commonwealth or an authority of the Commonwealth), for anything done or omitted to be done before 15</w:t>
      </w:r>
      <w:r w:rsidR="002B1A95" w:rsidRPr="002B1A95">
        <w:t> </w:t>
      </w:r>
      <w:r w:rsidRPr="002B1A95">
        <w:t>April 2010.</w:t>
      </w:r>
    </w:p>
    <w:p w:rsidR="007D17C5" w:rsidRPr="002B1A95" w:rsidRDefault="007D17C5" w:rsidP="007D17C5">
      <w:pPr>
        <w:pStyle w:val="ActHead5"/>
      </w:pPr>
      <w:bookmarkStart w:id="170" w:name="_Toc49765348"/>
      <w:r w:rsidRPr="00411C46">
        <w:rPr>
          <w:rStyle w:val="CharSectno"/>
        </w:rPr>
        <w:t>974</w:t>
      </w:r>
      <w:r w:rsidR="00782250" w:rsidRPr="00411C46">
        <w:rPr>
          <w:rStyle w:val="CharSectno"/>
        </w:rPr>
        <w:noBreakHyphen/>
      </w:r>
      <w:r w:rsidRPr="00411C46">
        <w:rPr>
          <w:rStyle w:val="CharSectno"/>
        </w:rPr>
        <w:t>135.04</w:t>
      </w:r>
      <w:r w:rsidRPr="002B1A95">
        <w:t xml:space="preserve">  Perpetual cumulative subordinated note with profitability, insolvency or negative earnings conditions</w:t>
      </w:r>
      <w:bookmarkEnd w:id="170"/>
    </w:p>
    <w:p w:rsidR="007D17C5" w:rsidRPr="002B1A95" w:rsidRDefault="007D17C5" w:rsidP="007D17C5">
      <w:pPr>
        <w:pStyle w:val="subsection"/>
      </w:pPr>
      <w:r w:rsidRPr="002B1A95">
        <w:rPr>
          <w:color w:val="000000"/>
        </w:rPr>
        <w:tab/>
        <w:t>(1)</w:t>
      </w:r>
      <w:r w:rsidRPr="002B1A95">
        <w:rPr>
          <w:color w:val="000000"/>
        </w:rPr>
        <w:tab/>
        <w:t>This section applies to an obligation to pay interest on a relevant perpetual subordinated note at a particular time on or after 1</w:t>
      </w:r>
      <w:r w:rsidR="002B1A95" w:rsidRPr="002B1A95">
        <w:rPr>
          <w:color w:val="000000"/>
        </w:rPr>
        <w:t> </w:t>
      </w:r>
      <w:r w:rsidRPr="002B1A95">
        <w:rPr>
          <w:color w:val="000000"/>
        </w:rPr>
        <w:t>July 2001.</w:t>
      </w:r>
    </w:p>
    <w:p w:rsidR="007D17C5" w:rsidRPr="002B1A95" w:rsidRDefault="007D17C5" w:rsidP="007D17C5">
      <w:pPr>
        <w:pStyle w:val="subsection"/>
        <w:rPr>
          <w:color w:val="000000"/>
        </w:rPr>
      </w:pPr>
      <w:r w:rsidRPr="002B1A95">
        <w:rPr>
          <w:color w:val="000000"/>
        </w:rPr>
        <w:tab/>
        <w:t>(2)</w:t>
      </w:r>
      <w:r w:rsidRPr="002B1A95">
        <w:rPr>
          <w:color w:val="000000"/>
        </w:rPr>
        <w:tab/>
        <w:t>For the purposes of paragraphs 974</w:t>
      </w:r>
      <w:r w:rsidR="00782250">
        <w:rPr>
          <w:color w:val="000000"/>
        </w:rPr>
        <w:noBreakHyphen/>
      </w:r>
      <w:r w:rsidRPr="002B1A95">
        <w:rPr>
          <w:color w:val="000000"/>
        </w:rPr>
        <w:t>135(8)(a) and (b) of the Act, the fact that the obligation is subject to profitability, insolvency or negative earnings conditions does not in itself prevent the obligation from being a non</w:t>
      </w:r>
      <w:r w:rsidR="00782250">
        <w:rPr>
          <w:color w:val="000000"/>
        </w:rPr>
        <w:noBreakHyphen/>
      </w:r>
      <w:r w:rsidRPr="002B1A95">
        <w:rPr>
          <w:color w:val="000000"/>
        </w:rPr>
        <w:t>contingent obligation.</w:t>
      </w:r>
    </w:p>
    <w:p w:rsidR="007D17C5" w:rsidRPr="002B1A95" w:rsidRDefault="007D17C5" w:rsidP="007D17C5">
      <w:pPr>
        <w:pStyle w:val="SubsectionHead"/>
      </w:pPr>
      <w:r w:rsidRPr="002B1A95">
        <w:t xml:space="preserve">Meaning of </w:t>
      </w:r>
      <w:r w:rsidRPr="002B1A95">
        <w:rPr>
          <w:b/>
        </w:rPr>
        <w:t>relevant perpetual subordinated note</w:t>
      </w:r>
    </w:p>
    <w:p w:rsidR="007D17C5" w:rsidRPr="002B1A95" w:rsidRDefault="007D17C5" w:rsidP="007D17C5">
      <w:pPr>
        <w:pStyle w:val="subsection"/>
      </w:pPr>
      <w:r w:rsidRPr="002B1A95">
        <w:tab/>
        <w:t>(3)</w:t>
      </w:r>
      <w:r w:rsidRPr="002B1A95">
        <w:tab/>
        <w:t xml:space="preserve">A </w:t>
      </w:r>
      <w:r w:rsidRPr="002B1A95">
        <w:rPr>
          <w:b/>
          <w:i/>
        </w:rPr>
        <w:t>relevant perpetual subordinated note</w:t>
      </w:r>
      <w:r w:rsidRPr="002B1A95">
        <w:t xml:space="preserve"> is a perpetual subordinated note that:</w:t>
      </w:r>
    </w:p>
    <w:p w:rsidR="007D17C5" w:rsidRPr="002B1A95" w:rsidRDefault="007D17C5" w:rsidP="007D17C5">
      <w:pPr>
        <w:pStyle w:val="paragraph"/>
      </w:pPr>
      <w:r w:rsidRPr="002B1A95">
        <w:tab/>
        <w:t>(a)</w:t>
      </w:r>
      <w:r w:rsidRPr="002B1A95">
        <w:tab/>
        <w:t>at the time of the note’s issue:</w:t>
      </w:r>
    </w:p>
    <w:p w:rsidR="007D17C5" w:rsidRPr="002B1A95" w:rsidRDefault="007D17C5" w:rsidP="007D17C5">
      <w:pPr>
        <w:pStyle w:val="paragraphsub"/>
      </w:pPr>
      <w:r w:rsidRPr="002B1A95">
        <w:rPr>
          <w:color w:val="000000"/>
        </w:rPr>
        <w:tab/>
        <w:t>(i)</w:t>
      </w:r>
      <w:r w:rsidRPr="002B1A95">
        <w:rPr>
          <w:color w:val="000000"/>
        </w:rPr>
        <w:tab/>
        <w:t>does not constitute or meet the requirements of a Tier 1 capital instrument; and</w:t>
      </w:r>
    </w:p>
    <w:p w:rsidR="007D17C5" w:rsidRPr="002B1A95" w:rsidRDefault="007D17C5" w:rsidP="007D17C5">
      <w:pPr>
        <w:pStyle w:val="paragraphsub"/>
      </w:pPr>
      <w:r w:rsidRPr="002B1A95">
        <w:tab/>
        <w:t>(ii)</w:t>
      </w:r>
      <w:r w:rsidRPr="002B1A95">
        <w:tab/>
      </w:r>
      <w:r w:rsidRPr="002B1A95">
        <w:rPr>
          <w:shd w:val="clear" w:color="auto" w:fill="FFFFFF"/>
        </w:rPr>
        <w:t xml:space="preserve">does not form part of the Tier 1 capital of the issuer of the note, or a connected entity, and the reason for </w:t>
      </w:r>
      <w:r w:rsidRPr="002B1A95">
        <w:t>the note</w:t>
      </w:r>
      <w:r w:rsidRPr="002B1A95">
        <w:rPr>
          <w:shd w:val="clear" w:color="auto" w:fill="FFFFFF"/>
        </w:rPr>
        <w:t xml:space="preserve"> not doing so is not that the instrument is in excess of the Tier 1 capital required for the purposes of prudential standards that deal with capital adequacy</w:t>
      </w:r>
      <w:r w:rsidRPr="002B1A95">
        <w:t>; and</w:t>
      </w:r>
    </w:p>
    <w:p w:rsidR="007D17C5" w:rsidRPr="002B1A95" w:rsidRDefault="007D17C5" w:rsidP="007D17C5">
      <w:pPr>
        <w:pStyle w:val="paragraph"/>
      </w:pPr>
      <w:r w:rsidRPr="002B1A95">
        <w:rPr>
          <w:color w:val="000000"/>
        </w:rPr>
        <w:tab/>
        <w:t>(b)</w:t>
      </w:r>
      <w:r w:rsidRPr="002B1A95">
        <w:rPr>
          <w:color w:val="000000"/>
        </w:rPr>
        <w:tab/>
        <w:t>would be a debt interest but for the obligation being subject to one or more profitability, insolvency or negative earnings conditions; and</w:t>
      </w:r>
    </w:p>
    <w:p w:rsidR="007D17C5" w:rsidRPr="002B1A95" w:rsidRDefault="007D17C5" w:rsidP="007D17C5">
      <w:pPr>
        <w:pStyle w:val="paragraph"/>
      </w:pPr>
      <w:r w:rsidRPr="002B1A95">
        <w:tab/>
        <w:t>(c)</w:t>
      </w:r>
      <w:r w:rsidRPr="002B1A95">
        <w:tab/>
        <w:t>is subject to the condition that any deferred interest must accumulate (with or without compounding); and</w:t>
      </w:r>
    </w:p>
    <w:p w:rsidR="007D17C5" w:rsidRPr="002B1A95" w:rsidRDefault="007D17C5" w:rsidP="007D17C5">
      <w:pPr>
        <w:pStyle w:val="paragraph"/>
      </w:pPr>
      <w:r w:rsidRPr="002B1A95">
        <w:tab/>
        <w:t>(d)</w:t>
      </w:r>
      <w:r w:rsidRPr="002B1A95">
        <w:tab/>
        <w:t>was issued by:</w:t>
      </w:r>
    </w:p>
    <w:p w:rsidR="007D17C5" w:rsidRPr="002B1A95" w:rsidRDefault="007D17C5" w:rsidP="007D17C5">
      <w:pPr>
        <w:pStyle w:val="paragraphsub"/>
      </w:pPr>
      <w:r w:rsidRPr="002B1A95">
        <w:rPr>
          <w:color w:val="000000"/>
        </w:rPr>
        <w:tab/>
        <w:t>(i)</w:t>
      </w:r>
      <w:r w:rsidRPr="002B1A95">
        <w:rPr>
          <w:color w:val="000000"/>
        </w:rPr>
        <w:tab/>
        <w:t>an ADI that is a bank or non</w:t>
      </w:r>
      <w:r w:rsidR="00782250">
        <w:rPr>
          <w:color w:val="000000"/>
        </w:rPr>
        <w:noBreakHyphen/>
      </w:r>
      <w:r w:rsidRPr="002B1A95">
        <w:rPr>
          <w:color w:val="000000"/>
        </w:rPr>
        <w:t>mutual building society and that is regulated for prudential purposes by APRA; or</w:t>
      </w:r>
    </w:p>
    <w:p w:rsidR="007D17C5" w:rsidRPr="002B1A95" w:rsidRDefault="007D17C5" w:rsidP="007D17C5">
      <w:pPr>
        <w:pStyle w:val="paragraphsub"/>
      </w:pPr>
      <w:r w:rsidRPr="002B1A95">
        <w:tab/>
        <w:t>(ii)</w:t>
      </w:r>
      <w:r w:rsidRPr="002B1A95">
        <w:tab/>
        <w:t xml:space="preserve">a subsidiary of an ADI mentioned in </w:t>
      </w:r>
      <w:r w:rsidR="002B1A95" w:rsidRPr="002B1A95">
        <w:t>subparagraph (</w:t>
      </w:r>
      <w:r w:rsidRPr="002B1A95">
        <w:t>i), being a subsidiary that is regulated with the ADI for prudential purposes by APRA; or</w:t>
      </w:r>
    </w:p>
    <w:p w:rsidR="007D17C5" w:rsidRPr="002B1A95" w:rsidRDefault="007D17C5" w:rsidP="007D17C5">
      <w:pPr>
        <w:pStyle w:val="paragraphsub"/>
      </w:pPr>
      <w:r w:rsidRPr="002B1A95">
        <w:lastRenderedPageBreak/>
        <w:tab/>
        <w:t>(iii)</w:t>
      </w:r>
      <w:r w:rsidRPr="002B1A95">
        <w:tab/>
        <w:t xml:space="preserve">an entity that </w:t>
      </w:r>
      <w:r w:rsidRPr="002B1A95">
        <w:rPr>
          <w:color w:val="000000"/>
        </w:rPr>
        <w:t xml:space="preserve">has undertaken to comply with prudential standards, issued by APRA, that deal with capital adequacy and </w:t>
      </w:r>
      <w:r w:rsidRPr="002B1A95">
        <w:t>is regulated for prudential purposes by APRA; or</w:t>
      </w:r>
    </w:p>
    <w:p w:rsidR="007D17C5" w:rsidRPr="002B1A95" w:rsidRDefault="007D17C5" w:rsidP="007D17C5">
      <w:pPr>
        <w:pStyle w:val="paragraphsub"/>
      </w:pPr>
      <w:r w:rsidRPr="002B1A95">
        <w:rPr>
          <w:color w:val="000000"/>
        </w:rPr>
        <w:tab/>
        <w:t>(iv)</w:t>
      </w:r>
      <w:r w:rsidRPr="002B1A95">
        <w:rPr>
          <w:color w:val="000000"/>
        </w:rPr>
        <w:tab/>
        <w:t xml:space="preserve">a subsidiary of an entity mentioned in </w:t>
      </w:r>
      <w:r w:rsidR="002B1A95" w:rsidRPr="002B1A95">
        <w:rPr>
          <w:color w:val="000000"/>
        </w:rPr>
        <w:t>subparagraph (</w:t>
      </w:r>
      <w:r w:rsidRPr="002B1A95">
        <w:rPr>
          <w:color w:val="000000"/>
        </w:rPr>
        <w:t>iii) that is covered by the undertaking mentioned in that subparagraph; or</w:t>
      </w:r>
    </w:p>
    <w:p w:rsidR="007D17C5" w:rsidRPr="002B1A95" w:rsidRDefault="007D17C5" w:rsidP="007D17C5">
      <w:pPr>
        <w:pStyle w:val="paragraphsub"/>
      </w:pPr>
      <w:r w:rsidRPr="002B1A95">
        <w:tab/>
        <w:t>(v)</w:t>
      </w:r>
      <w:r w:rsidRPr="002B1A95">
        <w:tab/>
        <w:t xml:space="preserve">an entity that is regulated for prudential purposes </w:t>
      </w:r>
      <w:r w:rsidRPr="002B1A95">
        <w:rPr>
          <w:color w:val="000000"/>
        </w:rPr>
        <w:t xml:space="preserve">by a foreign prudential regulator that has a prudential regulatory role comparable to that of APRA and </w:t>
      </w:r>
      <w:r w:rsidRPr="002B1A95">
        <w:t>under ADI capital adequacy requirements comparable to those of APRA; and</w:t>
      </w:r>
    </w:p>
    <w:p w:rsidR="007D17C5" w:rsidRPr="002B1A95" w:rsidRDefault="007D17C5" w:rsidP="007D17C5">
      <w:pPr>
        <w:pStyle w:val="paragraph"/>
      </w:pPr>
      <w:r w:rsidRPr="002B1A95">
        <w:tab/>
        <w:t>(e)</w:t>
      </w:r>
      <w:r w:rsidRPr="002B1A95">
        <w:tab/>
        <w:t>does not give the issuer of the note an unconditional right to decline to provide a financial benefit that is equal in nominal value to the issue price of the note to settle the obligations under the note.</w:t>
      </w:r>
    </w:p>
    <w:p w:rsidR="007D17C5" w:rsidRPr="002B1A95" w:rsidRDefault="007D17C5" w:rsidP="007D17C5">
      <w:pPr>
        <w:pStyle w:val="SubsectionHead"/>
      </w:pPr>
      <w:r w:rsidRPr="002B1A95">
        <w:t xml:space="preserve">Meaning of </w:t>
      </w:r>
      <w:r w:rsidRPr="002B1A95">
        <w:rPr>
          <w:b/>
        </w:rPr>
        <w:t>profitability, insolvency or negative earnings conditions</w:t>
      </w:r>
    </w:p>
    <w:p w:rsidR="007D17C5" w:rsidRPr="002B1A95" w:rsidRDefault="007D17C5" w:rsidP="007D17C5">
      <w:pPr>
        <w:pStyle w:val="subsection"/>
      </w:pPr>
      <w:r w:rsidRPr="002B1A95">
        <w:tab/>
        <w:t>(4)</w:t>
      </w:r>
      <w:r w:rsidRPr="002B1A95">
        <w:tab/>
        <w:t xml:space="preserve">Conditions applying to the obligation are </w:t>
      </w:r>
      <w:r w:rsidRPr="002B1A95">
        <w:rPr>
          <w:b/>
          <w:i/>
        </w:rPr>
        <w:t>profitability, insolvency or negative earnings conditions</w:t>
      </w:r>
      <w:r w:rsidRPr="002B1A95">
        <w:t xml:space="preserve"> if they have the effect that the issuer of the note is able, or obliged, to defer the payment of the interest (with or without compounding) beyond the date on which it would otherwise be payable if, on that date:</w:t>
      </w:r>
    </w:p>
    <w:p w:rsidR="007D17C5" w:rsidRPr="002B1A95" w:rsidRDefault="007D17C5" w:rsidP="007D17C5">
      <w:pPr>
        <w:pStyle w:val="paragraph"/>
      </w:pPr>
      <w:r w:rsidRPr="002B1A95">
        <w:rPr>
          <w:color w:val="000000"/>
        </w:rPr>
        <w:tab/>
        <w:t>(a)</w:t>
      </w:r>
      <w:r w:rsidRPr="002B1A95">
        <w:rPr>
          <w:color w:val="000000"/>
        </w:rPr>
        <w:tab/>
        <w:t>profitability does not justify the payment; or</w:t>
      </w:r>
    </w:p>
    <w:p w:rsidR="007D17C5" w:rsidRPr="002B1A95" w:rsidRDefault="007D17C5" w:rsidP="007D17C5">
      <w:pPr>
        <w:pStyle w:val="paragraph"/>
      </w:pPr>
      <w:r w:rsidRPr="002B1A95">
        <w:tab/>
        <w:t>(b)</w:t>
      </w:r>
      <w:r w:rsidRPr="002B1A95">
        <w:tab/>
        <w:t>the issuer of the note is insolvent, or would become insolvent if the payment were made; or</w:t>
      </w:r>
    </w:p>
    <w:p w:rsidR="007D17C5" w:rsidRPr="002B1A95" w:rsidRDefault="007D17C5" w:rsidP="007D17C5">
      <w:pPr>
        <w:pStyle w:val="paragraph"/>
      </w:pPr>
      <w:r w:rsidRPr="002B1A95">
        <w:tab/>
        <w:t>(c)</w:t>
      </w:r>
      <w:r w:rsidRPr="002B1A95">
        <w:tab/>
        <w:t>a dividend has not been declared or paid on a class or classes of share capital of the issuer during a specified period that:</w:t>
      </w:r>
    </w:p>
    <w:p w:rsidR="007D17C5" w:rsidRPr="002B1A95" w:rsidRDefault="007D17C5" w:rsidP="007D17C5">
      <w:pPr>
        <w:pStyle w:val="paragraphsub"/>
      </w:pPr>
      <w:r w:rsidRPr="002B1A95">
        <w:rPr>
          <w:color w:val="000000"/>
        </w:rPr>
        <w:tab/>
        <w:t>(i)</w:t>
      </w:r>
      <w:r w:rsidRPr="002B1A95">
        <w:rPr>
          <w:color w:val="000000"/>
        </w:rPr>
        <w:tab/>
        <w:t>immediately precedes that date; and</w:t>
      </w:r>
    </w:p>
    <w:p w:rsidR="007D17C5" w:rsidRPr="002B1A95" w:rsidRDefault="007D17C5" w:rsidP="007D17C5">
      <w:pPr>
        <w:pStyle w:val="paragraphsub"/>
      </w:pPr>
      <w:r w:rsidRPr="002B1A95">
        <w:tab/>
        <w:t>(ii)</w:t>
      </w:r>
      <w:r w:rsidRPr="002B1A95">
        <w:tab/>
        <w:t>is no more than 24 months; or</w:t>
      </w:r>
    </w:p>
    <w:p w:rsidR="007D17C5" w:rsidRPr="002B1A95" w:rsidRDefault="007D17C5" w:rsidP="007D17C5">
      <w:pPr>
        <w:pStyle w:val="paragraph"/>
        <w:rPr>
          <w:color w:val="000000"/>
        </w:rPr>
      </w:pPr>
      <w:r w:rsidRPr="002B1A95">
        <w:rPr>
          <w:color w:val="000000"/>
        </w:rPr>
        <w:tab/>
        <w:t>(d)</w:t>
      </w:r>
      <w:r w:rsidRPr="002B1A95">
        <w:rPr>
          <w:color w:val="000000"/>
        </w:rPr>
        <w:tab/>
        <w:t>the issuer’s retained earnings are negative, or would be negative if the payment were made.</w:t>
      </w:r>
    </w:p>
    <w:p w:rsidR="007D17C5" w:rsidRPr="002B1A95" w:rsidRDefault="007D17C5" w:rsidP="007D17C5">
      <w:pPr>
        <w:pStyle w:val="SubsectionHead"/>
      </w:pPr>
      <w:r w:rsidRPr="002B1A95">
        <w:t>Obligations to pay before 16</w:t>
      </w:r>
      <w:r w:rsidR="002B1A95" w:rsidRPr="002B1A95">
        <w:t> </w:t>
      </w:r>
      <w:r w:rsidRPr="002B1A95">
        <w:t>March 2011</w:t>
      </w:r>
    </w:p>
    <w:p w:rsidR="007D17C5" w:rsidRPr="002B1A95" w:rsidRDefault="007D17C5" w:rsidP="007D17C5">
      <w:pPr>
        <w:pStyle w:val="subsection"/>
      </w:pPr>
      <w:r w:rsidRPr="002B1A95">
        <w:tab/>
        <w:t>(5)</w:t>
      </w:r>
      <w:r w:rsidRPr="002B1A95">
        <w:tab/>
        <w:t>If the obligation is an obligation to pay at a time before 16</w:t>
      </w:r>
      <w:r w:rsidR="002B1A95" w:rsidRPr="002B1A95">
        <w:t> </w:t>
      </w:r>
      <w:r w:rsidRPr="002B1A95">
        <w:t>March 2011 this section applies only to the extent that applying it would not have the result that:</w:t>
      </w:r>
    </w:p>
    <w:p w:rsidR="007D17C5" w:rsidRPr="002B1A95" w:rsidRDefault="007D17C5" w:rsidP="007D17C5">
      <w:pPr>
        <w:pStyle w:val="paragraph"/>
        <w:jc w:val="both"/>
      </w:pPr>
      <w:r w:rsidRPr="002B1A95">
        <w:rPr>
          <w:color w:val="000000"/>
        </w:rPr>
        <w:tab/>
        <w:t>(a)</w:t>
      </w:r>
      <w:r w:rsidRPr="002B1A95">
        <w:rPr>
          <w:color w:val="000000"/>
        </w:rPr>
        <w:tab/>
        <w:t>the rights of a person (other than the Commonwealth or an authority of the Commonwealth) immediately before that day would be affected so as to disadvantage that person; or</w:t>
      </w:r>
    </w:p>
    <w:p w:rsidR="007D17C5" w:rsidRPr="002B1A95" w:rsidRDefault="007D17C5" w:rsidP="007D17C5">
      <w:pPr>
        <w:pStyle w:val="paragraph"/>
      </w:pPr>
      <w:r w:rsidRPr="002B1A95">
        <w:tab/>
        <w:t>(b)</w:t>
      </w:r>
      <w:r w:rsidRPr="002B1A95">
        <w:tab/>
        <w:t>liabilities would be imposed on a person (other than the Commonwealth or an authority of the Commonwealth) for anything done or omitted to be done before that day.</w:t>
      </w:r>
    </w:p>
    <w:p w:rsidR="007D17C5" w:rsidRPr="002B1A95" w:rsidRDefault="007D17C5" w:rsidP="007D17C5">
      <w:pPr>
        <w:pStyle w:val="notetext"/>
        <w:rPr>
          <w:color w:val="000000"/>
        </w:rPr>
      </w:pPr>
      <w:r w:rsidRPr="002B1A95">
        <w:rPr>
          <w:color w:val="000000"/>
        </w:rPr>
        <w:t>Note:</w:t>
      </w:r>
      <w:r w:rsidRPr="002B1A95">
        <w:rPr>
          <w:color w:val="000000"/>
        </w:rPr>
        <w:tab/>
        <w:t>The application of this section to a perpetual subordinated note does not mean that the note, together with one or more related schemes, cannot give rise to an equity interest.</w:t>
      </w:r>
    </w:p>
    <w:p w:rsidR="007D17C5" w:rsidRPr="002B1A95" w:rsidRDefault="007D17C5" w:rsidP="007D17C5">
      <w:pPr>
        <w:pStyle w:val="ActHead5"/>
      </w:pPr>
      <w:bookmarkStart w:id="171" w:name="_Toc49765349"/>
      <w:r w:rsidRPr="00411C46">
        <w:rPr>
          <w:rStyle w:val="CharSectno"/>
        </w:rPr>
        <w:t>974</w:t>
      </w:r>
      <w:r w:rsidR="00782250" w:rsidRPr="00411C46">
        <w:rPr>
          <w:rStyle w:val="CharSectno"/>
        </w:rPr>
        <w:noBreakHyphen/>
      </w:r>
      <w:r w:rsidRPr="00411C46">
        <w:rPr>
          <w:rStyle w:val="CharSectno"/>
        </w:rPr>
        <w:t>135.05</w:t>
      </w:r>
      <w:r w:rsidRPr="002B1A95">
        <w:t xml:space="preserve">  Term cumulative subordinated note with non</w:t>
      </w:r>
      <w:r w:rsidR="00782250">
        <w:noBreakHyphen/>
      </w:r>
      <w:r w:rsidRPr="002B1A95">
        <w:t>viability condition</w:t>
      </w:r>
      <w:bookmarkEnd w:id="171"/>
    </w:p>
    <w:p w:rsidR="007D17C5" w:rsidRPr="002B1A95" w:rsidRDefault="007D17C5" w:rsidP="007D17C5">
      <w:pPr>
        <w:pStyle w:val="subsection"/>
      </w:pPr>
      <w:r w:rsidRPr="002B1A95">
        <w:tab/>
        <w:t>(1)</w:t>
      </w:r>
      <w:r w:rsidRPr="002B1A95">
        <w:tab/>
        <w:t>This section applies to an obligation to pay the principal or interest on a relevant term subordinated note at a particular time on or after 12</w:t>
      </w:r>
      <w:r w:rsidR="002B1A95" w:rsidRPr="002B1A95">
        <w:t> </w:t>
      </w:r>
      <w:r w:rsidRPr="002B1A95">
        <w:t>December 2012.</w:t>
      </w:r>
    </w:p>
    <w:p w:rsidR="007D17C5" w:rsidRPr="002B1A95" w:rsidRDefault="007D17C5" w:rsidP="007D17C5">
      <w:pPr>
        <w:pStyle w:val="subsection"/>
      </w:pPr>
      <w:r w:rsidRPr="002B1A95">
        <w:lastRenderedPageBreak/>
        <w:tab/>
        <w:t>(2)</w:t>
      </w:r>
      <w:r w:rsidRPr="002B1A95">
        <w:tab/>
        <w:t>For the purposes of paragraphs 974</w:t>
      </w:r>
      <w:r w:rsidR="00782250">
        <w:noBreakHyphen/>
      </w:r>
      <w:r w:rsidRPr="002B1A95">
        <w:t>135(8)(a) and (b) of the Act, the fact that the obligation is subject to a non</w:t>
      </w:r>
      <w:r w:rsidR="00782250">
        <w:noBreakHyphen/>
      </w:r>
      <w:r w:rsidRPr="002B1A95">
        <w:t>viability condition does not in itself prevent the obligation from being a non</w:t>
      </w:r>
      <w:r w:rsidR="00782250">
        <w:noBreakHyphen/>
      </w:r>
      <w:r w:rsidRPr="002B1A95">
        <w:t>contingent obligation.</w:t>
      </w:r>
    </w:p>
    <w:p w:rsidR="007D17C5" w:rsidRPr="002B1A95" w:rsidRDefault="007D17C5" w:rsidP="007D17C5">
      <w:pPr>
        <w:pStyle w:val="SubsectionHead"/>
      </w:pPr>
      <w:r w:rsidRPr="002B1A95">
        <w:t xml:space="preserve">Meaning of </w:t>
      </w:r>
      <w:r w:rsidRPr="002B1A95">
        <w:rPr>
          <w:b/>
        </w:rPr>
        <w:t>relevant</w:t>
      </w:r>
    </w:p>
    <w:p w:rsidR="007D17C5" w:rsidRPr="002B1A95" w:rsidRDefault="007D17C5" w:rsidP="007D17C5">
      <w:pPr>
        <w:pStyle w:val="subsection"/>
      </w:pPr>
      <w:r w:rsidRPr="002B1A95">
        <w:tab/>
        <w:t>(3)</w:t>
      </w:r>
      <w:r w:rsidRPr="002B1A95">
        <w:tab/>
        <w:t xml:space="preserve">A term subordinated note is </w:t>
      </w:r>
      <w:r w:rsidRPr="002B1A95">
        <w:rPr>
          <w:b/>
          <w:i/>
        </w:rPr>
        <w:t>relevant</w:t>
      </w:r>
      <w:r w:rsidRPr="002B1A95">
        <w:t xml:space="preserve"> if:</w:t>
      </w:r>
    </w:p>
    <w:p w:rsidR="007D17C5" w:rsidRPr="002B1A95" w:rsidRDefault="007D17C5" w:rsidP="007D17C5">
      <w:pPr>
        <w:pStyle w:val="paragraph"/>
      </w:pPr>
      <w:r w:rsidRPr="002B1A95">
        <w:tab/>
        <w:t>(a)</w:t>
      </w:r>
      <w:r w:rsidRPr="002B1A95">
        <w:tab/>
        <w:t>the note is issued by an entity regulated for prudential purposes by APRA or a subsidiary of an entity that is regulated for prudential purposes by APRA; and</w:t>
      </w:r>
    </w:p>
    <w:p w:rsidR="007D17C5" w:rsidRPr="002B1A95" w:rsidRDefault="007D17C5" w:rsidP="007D17C5">
      <w:pPr>
        <w:pStyle w:val="paragraph"/>
      </w:pPr>
      <w:r w:rsidRPr="002B1A95">
        <w:tab/>
        <w:t>(b)</w:t>
      </w:r>
      <w:r w:rsidRPr="002B1A95">
        <w:tab/>
        <w:t>when the note is issued:</w:t>
      </w:r>
    </w:p>
    <w:p w:rsidR="007D17C5" w:rsidRPr="002B1A95" w:rsidRDefault="007D17C5" w:rsidP="007D17C5">
      <w:pPr>
        <w:pStyle w:val="paragraphsub"/>
      </w:pPr>
      <w:r w:rsidRPr="002B1A95">
        <w:tab/>
        <w:t>(i)</w:t>
      </w:r>
      <w:r w:rsidRPr="002B1A95">
        <w:tab/>
        <w:t>the note does not constitute or meet the requirements of a Tier 1 capital instrument; and</w:t>
      </w:r>
    </w:p>
    <w:p w:rsidR="007D17C5" w:rsidRPr="002B1A95" w:rsidRDefault="007D17C5" w:rsidP="007D17C5">
      <w:pPr>
        <w:pStyle w:val="paragraphsub"/>
      </w:pPr>
      <w:r w:rsidRPr="002B1A95">
        <w:tab/>
        <w:t>(ii)</w:t>
      </w:r>
      <w:r w:rsidRPr="002B1A95">
        <w:tab/>
        <w:t>the note does not form part of the Tier 1 capital of the issuer of the note, and the reason for the note not doing so is not that the instrument is in excess of the Tier 1 capital required for the purposes of prudential standards that deal with capital adequacy; and</w:t>
      </w:r>
    </w:p>
    <w:p w:rsidR="007D17C5" w:rsidRPr="002B1A95" w:rsidRDefault="007D17C5" w:rsidP="007D17C5">
      <w:pPr>
        <w:pStyle w:val="paragraph"/>
      </w:pPr>
      <w:r w:rsidRPr="002B1A95">
        <w:tab/>
        <w:t>(c)</w:t>
      </w:r>
      <w:r w:rsidRPr="002B1A95">
        <w:tab/>
        <w:t>the note has a term of no more than 30 years, and the note does not include an unconditional right to extend the term of the note beyond a total term of 30 years; and</w:t>
      </w:r>
    </w:p>
    <w:p w:rsidR="007D17C5" w:rsidRPr="002B1A95" w:rsidRDefault="007D17C5" w:rsidP="007D17C5">
      <w:pPr>
        <w:pStyle w:val="paragraph"/>
      </w:pPr>
      <w:r w:rsidRPr="002B1A95">
        <w:tab/>
        <w:t>(d)</w:t>
      </w:r>
      <w:r w:rsidRPr="002B1A95">
        <w:tab/>
        <w:t>the note is subject to a condition that, unless a non</w:t>
      </w:r>
      <w:r w:rsidR="00782250">
        <w:noBreakHyphen/>
      </w:r>
      <w:r w:rsidRPr="002B1A95">
        <w:t>viability trigger event occurs, any payment of the principal or interest beyond the date on which it would otherwise be payable must accumulate (with or without compounding); and</w:t>
      </w:r>
    </w:p>
    <w:p w:rsidR="007D17C5" w:rsidRPr="002B1A95" w:rsidRDefault="007D17C5" w:rsidP="007D17C5">
      <w:pPr>
        <w:pStyle w:val="paragraph"/>
      </w:pPr>
      <w:r w:rsidRPr="002B1A95">
        <w:tab/>
        <w:t>(e)</w:t>
      </w:r>
      <w:r w:rsidRPr="002B1A95">
        <w:tab/>
        <w:t>the note does not give the issuer of the note an unconditional right to decline to provide a financial benefit that is equal in nominal value to the issue price of the note to settle the obligations under the note.</w:t>
      </w:r>
    </w:p>
    <w:p w:rsidR="007D17C5" w:rsidRPr="002B1A95" w:rsidRDefault="007D17C5" w:rsidP="007D17C5">
      <w:pPr>
        <w:pStyle w:val="notetext"/>
      </w:pPr>
      <w:r w:rsidRPr="002B1A95">
        <w:t>Note:</w:t>
      </w:r>
      <w:r w:rsidRPr="002B1A95">
        <w:tab/>
        <w:t>Whether the note constitutes or meets the requirements of a Tier 1 capital instrument, or forms part of the Tier 1 capital of the issuer, is determined under the prudential standards that apply to the issuer.</w:t>
      </w:r>
    </w:p>
    <w:p w:rsidR="007D17C5" w:rsidRPr="002B1A95" w:rsidRDefault="007D17C5" w:rsidP="007D17C5">
      <w:pPr>
        <w:pStyle w:val="SubsectionHead"/>
      </w:pPr>
      <w:r w:rsidRPr="002B1A95">
        <w:t xml:space="preserve">Meaning of </w:t>
      </w:r>
      <w:r w:rsidRPr="002B1A95">
        <w:rPr>
          <w:b/>
        </w:rPr>
        <w:t>non</w:t>
      </w:r>
      <w:r w:rsidR="00782250">
        <w:rPr>
          <w:b/>
        </w:rPr>
        <w:noBreakHyphen/>
      </w:r>
      <w:r w:rsidRPr="002B1A95">
        <w:rPr>
          <w:b/>
        </w:rPr>
        <w:t>viability condition</w:t>
      </w:r>
    </w:p>
    <w:p w:rsidR="007D17C5" w:rsidRPr="002B1A95" w:rsidRDefault="007D17C5" w:rsidP="007D17C5">
      <w:pPr>
        <w:pStyle w:val="subsection"/>
      </w:pPr>
      <w:r w:rsidRPr="002B1A95">
        <w:tab/>
        <w:t>(4)</w:t>
      </w:r>
      <w:r w:rsidRPr="002B1A95">
        <w:tab/>
        <w:t xml:space="preserve">A condition applying to the obligation is a </w:t>
      </w:r>
      <w:r w:rsidRPr="002B1A95">
        <w:rPr>
          <w:b/>
          <w:i/>
        </w:rPr>
        <w:t>non</w:t>
      </w:r>
      <w:r w:rsidR="00782250">
        <w:rPr>
          <w:b/>
          <w:i/>
        </w:rPr>
        <w:noBreakHyphen/>
      </w:r>
      <w:r w:rsidRPr="002B1A95">
        <w:rPr>
          <w:b/>
          <w:i/>
        </w:rPr>
        <w:t>viability condition</w:t>
      </w:r>
      <w:r w:rsidRPr="002B1A95">
        <w:t xml:space="preserve"> if the condition has the effect that, if a non</w:t>
      </w:r>
      <w:r w:rsidR="00782250">
        <w:noBreakHyphen/>
      </w:r>
      <w:r w:rsidRPr="002B1A95">
        <w:t>viability trigger event occurs, the note must be:</w:t>
      </w:r>
    </w:p>
    <w:p w:rsidR="007D17C5" w:rsidRPr="002B1A95" w:rsidRDefault="007D17C5" w:rsidP="007D17C5">
      <w:pPr>
        <w:pStyle w:val="paragraph"/>
      </w:pPr>
      <w:r w:rsidRPr="002B1A95">
        <w:tab/>
        <w:t>(a)</w:t>
      </w:r>
      <w:r w:rsidRPr="002B1A95">
        <w:tab/>
        <w:t>written off; or</w:t>
      </w:r>
    </w:p>
    <w:p w:rsidR="007D17C5" w:rsidRPr="002B1A95" w:rsidRDefault="007D17C5" w:rsidP="007D17C5">
      <w:pPr>
        <w:pStyle w:val="paragraph"/>
      </w:pPr>
      <w:r w:rsidRPr="002B1A95">
        <w:tab/>
        <w:t>(b)</w:t>
      </w:r>
      <w:r w:rsidRPr="002B1A95">
        <w:tab/>
        <w:t>converted into ordinary shares of the issuer of the note or of a parent entity of the issuer; or</w:t>
      </w:r>
    </w:p>
    <w:p w:rsidR="007D17C5" w:rsidRPr="002B1A95" w:rsidRDefault="007D17C5" w:rsidP="007D17C5">
      <w:pPr>
        <w:pStyle w:val="paragraph"/>
      </w:pPr>
      <w:r w:rsidRPr="002B1A95">
        <w:tab/>
        <w:t>(c)</w:t>
      </w:r>
      <w:r w:rsidRPr="002B1A95">
        <w:tab/>
        <w:t>converted into mutual equity interests of the issuer of the note or of a parent entity of the issuer.</w:t>
      </w:r>
    </w:p>
    <w:p w:rsidR="007D17C5" w:rsidRPr="002B1A95" w:rsidRDefault="007D17C5" w:rsidP="007D17C5">
      <w:pPr>
        <w:pStyle w:val="SubsectionHead"/>
      </w:pPr>
      <w:r w:rsidRPr="002B1A95">
        <w:t xml:space="preserve">Meaning of </w:t>
      </w:r>
      <w:r w:rsidRPr="002B1A95">
        <w:rPr>
          <w:b/>
        </w:rPr>
        <w:t>non</w:t>
      </w:r>
      <w:r w:rsidR="00782250">
        <w:rPr>
          <w:b/>
        </w:rPr>
        <w:noBreakHyphen/>
      </w:r>
      <w:r w:rsidRPr="002B1A95">
        <w:rPr>
          <w:b/>
        </w:rPr>
        <w:t>viability trigger event</w:t>
      </w:r>
    </w:p>
    <w:p w:rsidR="007D17C5" w:rsidRPr="002B1A95" w:rsidRDefault="007D17C5" w:rsidP="007D17C5">
      <w:pPr>
        <w:pStyle w:val="subsection"/>
      </w:pPr>
      <w:r w:rsidRPr="002B1A95">
        <w:tab/>
        <w:t>(5)</w:t>
      </w:r>
      <w:r w:rsidRPr="002B1A95">
        <w:tab/>
        <w:t xml:space="preserve">A </w:t>
      </w:r>
      <w:r w:rsidRPr="002B1A95">
        <w:rPr>
          <w:b/>
          <w:i/>
        </w:rPr>
        <w:t>non</w:t>
      </w:r>
      <w:r w:rsidR="00782250">
        <w:rPr>
          <w:b/>
          <w:i/>
        </w:rPr>
        <w:noBreakHyphen/>
      </w:r>
      <w:r w:rsidRPr="002B1A95">
        <w:rPr>
          <w:b/>
          <w:i/>
        </w:rPr>
        <w:t>viability trigger event</w:t>
      </w:r>
      <w:r w:rsidRPr="002B1A95">
        <w:t>, in relation to a note, is any of the following:</w:t>
      </w:r>
    </w:p>
    <w:p w:rsidR="007D17C5" w:rsidRPr="002B1A95" w:rsidRDefault="007D17C5" w:rsidP="007D17C5">
      <w:pPr>
        <w:pStyle w:val="paragraph"/>
      </w:pPr>
      <w:r w:rsidRPr="002B1A95">
        <w:tab/>
        <w:t>(a)</w:t>
      </w:r>
      <w:r w:rsidRPr="002B1A95">
        <w:tab/>
        <w:t>APRA or a comparable foreign regulator issues a notice, in writing, to the issuer of the note stating that conversion or write</w:t>
      </w:r>
      <w:r w:rsidR="00782250">
        <w:noBreakHyphen/>
      </w:r>
      <w:r w:rsidRPr="002B1A95">
        <w:t>off of capital instruments issued by the issuer is necessary because, without it, APRA or the foreign regulator considers that the issuer will become non</w:t>
      </w:r>
      <w:r w:rsidR="00782250">
        <w:noBreakHyphen/>
      </w:r>
      <w:r w:rsidRPr="002B1A95">
        <w:t>viable;</w:t>
      </w:r>
    </w:p>
    <w:p w:rsidR="007D17C5" w:rsidRPr="002B1A95" w:rsidRDefault="007D17C5" w:rsidP="007D17C5">
      <w:pPr>
        <w:pStyle w:val="paragraph"/>
      </w:pPr>
      <w:r w:rsidRPr="002B1A95">
        <w:lastRenderedPageBreak/>
        <w:tab/>
        <w:t>(b)</w:t>
      </w:r>
      <w:r w:rsidRPr="002B1A95">
        <w:tab/>
        <w:t>APRA or a comparable foreign regulator determines, in writing given to the issuer of the note, that without an injection of capital, or equivalent support, from the public sector</w:t>
      </w:r>
      <w:r w:rsidRPr="002B1A95">
        <w:rPr>
          <w:i/>
        </w:rPr>
        <w:t xml:space="preserve"> </w:t>
      </w:r>
      <w:r w:rsidRPr="002B1A95">
        <w:t>the issuer will become non</w:t>
      </w:r>
      <w:r w:rsidR="00782250">
        <w:noBreakHyphen/>
      </w:r>
      <w:r w:rsidRPr="002B1A95">
        <w:t>viable;</w:t>
      </w:r>
    </w:p>
    <w:p w:rsidR="007D17C5" w:rsidRPr="002B1A95" w:rsidRDefault="007D17C5" w:rsidP="007D17C5">
      <w:pPr>
        <w:pStyle w:val="paragraph"/>
      </w:pPr>
      <w:r w:rsidRPr="002B1A95">
        <w:tab/>
        <w:t>(c)</w:t>
      </w:r>
      <w:r w:rsidRPr="002B1A95">
        <w:tab/>
        <w:t>APRA or a comparable foreign regulator issues a notice, in writing, to a parent entity of the issuer of the note stating that conversion or write</w:t>
      </w:r>
      <w:r w:rsidR="00782250">
        <w:noBreakHyphen/>
      </w:r>
      <w:r w:rsidRPr="002B1A95">
        <w:t>off of capital instruments is necessary because, without it, APRA or the foreign regulator considers that the parent entity or the issuer will become non</w:t>
      </w:r>
      <w:r w:rsidR="00782250">
        <w:noBreakHyphen/>
      </w:r>
      <w:r w:rsidRPr="002B1A95">
        <w:t>viable;</w:t>
      </w:r>
    </w:p>
    <w:p w:rsidR="007D17C5" w:rsidRPr="002B1A95" w:rsidRDefault="007D17C5" w:rsidP="007D17C5">
      <w:pPr>
        <w:pStyle w:val="paragraph"/>
      </w:pPr>
      <w:r w:rsidRPr="002B1A95">
        <w:tab/>
        <w:t>(d)</w:t>
      </w:r>
      <w:r w:rsidRPr="002B1A95">
        <w:tab/>
        <w:t>APRA or a comparable foreign regulator determines, in writing given to a parent entity of the issuer of the note, that without an injection of capital, or equivalent support, from the public sector</w:t>
      </w:r>
      <w:r w:rsidRPr="002B1A95">
        <w:rPr>
          <w:i/>
        </w:rPr>
        <w:t xml:space="preserve"> </w:t>
      </w:r>
      <w:r w:rsidRPr="002B1A95">
        <w:t>the parent entity or the issuer will become non</w:t>
      </w:r>
      <w:r w:rsidR="00782250">
        <w:noBreakHyphen/>
      </w:r>
      <w:r w:rsidRPr="002B1A95">
        <w:t>viable.</w:t>
      </w:r>
    </w:p>
    <w:p w:rsidR="007D17C5" w:rsidRPr="002B1A95" w:rsidRDefault="007D17C5" w:rsidP="007D17C5">
      <w:pPr>
        <w:pStyle w:val="subsection"/>
      </w:pPr>
      <w:r w:rsidRPr="002B1A95">
        <w:tab/>
        <w:t>(6)</w:t>
      </w:r>
      <w:r w:rsidRPr="002B1A95">
        <w:tab/>
        <w:t xml:space="preserve">For the purposes of this section, </w:t>
      </w:r>
      <w:r w:rsidRPr="002B1A95">
        <w:rPr>
          <w:b/>
          <w:i/>
        </w:rPr>
        <w:t>mutual equity interests</w:t>
      </w:r>
      <w:r w:rsidRPr="002B1A95">
        <w:t xml:space="preserve"> has the same meaning as in section</w:t>
      </w:r>
      <w:r w:rsidR="002B1A95" w:rsidRPr="002B1A95">
        <w:t> </w:t>
      </w:r>
      <w:r w:rsidRPr="002B1A95">
        <w:t xml:space="preserve">11CAA of the </w:t>
      </w:r>
      <w:r w:rsidRPr="002B1A95">
        <w:rPr>
          <w:i/>
        </w:rPr>
        <w:t>Banking Act 1959</w:t>
      </w:r>
      <w:r w:rsidRPr="002B1A95">
        <w:t>.</w:t>
      </w:r>
    </w:p>
    <w:p w:rsidR="007D17C5" w:rsidRPr="002B1A95" w:rsidRDefault="007D17C5" w:rsidP="00D96087">
      <w:pPr>
        <w:pStyle w:val="ActHead2"/>
        <w:pageBreakBefore/>
      </w:pPr>
      <w:bookmarkStart w:id="172" w:name="_Toc49765350"/>
      <w:r w:rsidRPr="00411C46">
        <w:rPr>
          <w:rStyle w:val="CharPartNo"/>
        </w:rPr>
        <w:lastRenderedPageBreak/>
        <w:t>Part</w:t>
      </w:r>
      <w:r w:rsidR="002B1A95" w:rsidRPr="00411C46">
        <w:rPr>
          <w:rStyle w:val="CharPartNo"/>
        </w:rPr>
        <w:t> </w:t>
      </w:r>
      <w:r w:rsidRPr="00411C46">
        <w:rPr>
          <w:rStyle w:val="CharPartNo"/>
        </w:rPr>
        <w:t>6</w:t>
      </w:r>
      <w:r w:rsidR="00782250" w:rsidRPr="00411C46">
        <w:rPr>
          <w:rStyle w:val="CharPartNo"/>
        </w:rPr>
        <w:noBreakHyphen/>
      </w:r>
      <w:r w:rsidRPr="00411C46">
        <w:rPr>
          <w:rStyle w:val="CharPartNo"/>
        </w:rPr>
        <w:t>5</w:t>
      </w:r>
      <w:r w:rsidRPr="002B1A95">
        <w:t>—</w:t>
      </w:r>
      <w:r w:rsidRPr="00411C46">
        <w:rPr>
          <w:rStyle w:val="CharPartText"/>
        </w:rPr>
        <w:t>Dictionary definitions</w:t>
      </w:r>
      <w:bookmarkEnd w:id="172"/>
    </w:p>
    <w:p w:rsidR="007D17C5" w:rsidRPr="002B1A95" w:rsidRDefault="007D17C5" w:rsidP="007D17C5">
      <w:pPr>
        <w:pStyle w:val="ActHead3"/>
      </w:pPr>
      <w:bookmarkStart w:id="173" w:name="_Toc49765351"/>
      <w:r w:rsidRPr="00411C46">
        <w:rPr>
          <w:rStyle w:val="CharDivNo"/>
        </w:rPr>
        <w:t>Division</w:t>
      </w:r>
      <w:r w:rsidR="002B1A95" w:rsidRPr="00411C46">
        <w:rPr>
          <w:rStyle w:val="CharDivNo"/>
        </w:rPr>
        <w:t> </w:t>
      </w:r>
      <w:r w:rsidRPr="00411C46">
        <w:rPr>
          <w:rStyle w:val="CharDivNo"/>
        </w:rPr>
        <w:t>995</w:t>
      </w:r>
      <w:r w:rsidRPr="002B1A95">
        <w:t>—</w:t>
      </w:r>
      <w:r w:rsidRPr="00411C46">
        <w:rPr>
          <w:rStyle w:val="CharDivText"/>
        </w:rPr>
        <w:t>Definitions</w:t>
      </w:r>
      <w:bookmarkEnd w:id="173"/>
    </w:p>
    <w:p w:rsidR="007D17C5" w:rsidRPr="002B1A95" w:rsidRDefault="007D17C5" w:rsidP="007D17C5">
      <w:pPr>
        <w:pStyle w:val="ActHead5"/>
      </w:pPr>
      <w:bookmarkStart w:id="174" w:name="_Toc49765352"/>
      <w:r w:rsidRPr="00411C46">
        <w:rPr>
          <w:rStyle w:val="CharSectno"/>
        </w:rPr>
        <w:t>995</w:t>
      </w:r>
      <w:r w:rsidR="00782250" w:rsidRPr="00411C46">
        <w:rPr>
          <w:rStyle w:val="CharSectno"/>
        </w:rPr>
        <w:noBreakHyphen/>
      </w:r>
      <w:r w:rsidRPr="00411C46">
        <w:rPr>
          <w:rStyle w:val="CharSectno"/>
        </w:rPr>
        <w:t>1.01</w:t>
      </w:r>
      <w:r w:rsidRPr="002B1A95">
        <w:t xml:space="preserve">  Definitions</w:t>
      </w:r>
      <w:bookmarkEnd w:id="174"/>
    </w:p>
    <w:p w:rsidR="007D17C5" w:rsidRPr="002B1A95" w:rsidRDefault="007D17C5" w:rsidP="007D17C5">
      <w:pPr>
        <w:pStyle w:val="notetext"/>
      </w:pPr>
      <w:r w:rsidRPr="002B1A95">
        <w:t>Note:</w:t>
      </w:r>
      <w:r w:rsidRPr="002B1A95">
        <w:tab/>
        <w:t>A number of expressions used in this instrument are defined in the Act, including the following:</w:t>
      </w:r>
    </w:p>
    <w:p w:rsidR="007D17C5" w:rsidRPr="002B1A95" w:rsidRDefault="007D17C5" w:rsidP="007D17C5">
      <w:pPr>
        <w:pStyle w:val="notepara"/>
      </w:pPr>
      <w:r w:rsidRPr="002B1A95">
        <w:t>(a)</w:t>
      </w:r>
      <w:r w:rsidRPr="002B1A95">
        <w:tab/>
        <w:t>superannuation benefit;</w:t>
      </w:r>
    </w:p>
    <w:p w:rsidR="007D17C5" w:rsidRPr="002B1A95" w:rsidRDefault="007D17C5" w:rsidP="007D17C5">
      <w:pPr>
        <w:pStyle w:val="notepara"/>
      </w:pPr>
      <w:r w:rsidRPr="002B1A95">
        <w:t>(b)</w:t>
      </w:r>
      <w:r w:rsidRPr="002B1A95">
        <w:tab/>
        <w:t>superannuation income stream benefit.</w:t>
      </w:r>
    </w:p>
    <w:p w:rsidR="007D17C5" w:rsidRPr="002B1A95" w:rsidRDefault="007D17C5" w:rsidP="007D17C5">
      <w:pPr>
        <w:pStyle w:val="subsection"/>
      </w:pPr>
      <w:r w:rsidRPr="002B1A95">
        <w:tab/>
      </w:r>
      <w:r w:rsidRPr="002B1A95">
        <w:tab/>
        <w:t>In this instrument:</w:t>
      </w:r>
    </w:p>
    <w:p w:rsidR="007D17C5" w:rsidRPr="002B1A95" w:rsidRDefault="007D17C5" w:rsidP="007D17C5">
      <w:pPr>
        <w:pStyle w:val="Definition"/>
      </w:pPr>
      <w:r w:rsidRPr="002B1A95">
        <w:rPr>
          <w:b/>
          <w:i/>
        </w:rPr>
        <w:t xml:space="preserve">2013 allowances determination </w:t>
      </w:r>
      <w:r w:rsidRPr="002B1A95">
        <w:t>has the meaning given by subsection 51</w:t>
      </w:r>
      <w:r w:rsidR="00782250">
        <w:noBreakHyphen/>
      </w:r>
      <w:r w:rsidRPr="002B1A95">
        <w:t>5.01(2).</w:t>
      </w:r>
    </w:p>
    <w:p w:rsidR="007D17C5" w:rsidRPr="002B1A95" w:rsidRDefault="007D17C5" w:rsidP="007D17C5">
      <w:pPr>
        <w:pStyle w:val="Definition"/>
      </w:pPr>
      <w:r w:rsidRPr="002B1A95">
        <w:rPr>
          <w:b/>
          <w:i/>
        </w:rPr>
        <w:t>accruing member</w:t>
      </w:r>
      <w:r w:rsidRPr="002B1A95">
        <w:t>:</w:t>
      </w:r>
    </w:p>
    <w:p w:rsidR="007D17C5" w:rsidRPr="002B1A95" w:rsidRDefault="007D17C5" w:rsidP="007D17C5">
      <w:pPr>
        <w:pStyle w:val="paragraph"/>
      </w:pPr>
      <w:r w:rsidRPr="002B1A95">
        <w:tab/>
        <w:t>(a)</w:t>
      </w:r>
      <w:r w:rsidRPr="002B1A95">
        <w:tab/>
        <w:t>for the purposes of Schedule</w:t>
      </w:r>
      <w:r w:rsidR="002B1A95" w:rsidRPr="002B1A95">
        <w:t> </w:t>
      </w:r>
      <w:r w:rsidRPr="002B1A95">
        <w:t>1A—has the meaning given by clause 1.1 of that Schedule; and</w:t>
      </w:r>
    </w:p>
    <w:p w:rsidR="007D17C5" w:rsidRPr="002B1A95" w:rsidRDefault="007D17C5" w:rsidP="007D17C5">
      <w:pPr>
        <w:pStyle w:val="paragraph"/>
      </w:pPr>
      <w:r w:rsidRPr="002B1A95">
        <w:tab/>
        <w:t>(b)</w:t>
      </w:r>
      <w:r w:rsidRPr="002B1A95">
        <w:tab/>
        <w:t>for the purposes of Subdivision</w:t>
      </w:r>
      <w:r w:rsidR="002B1A95" w:rsidRPr="002B1A95">
        <w:t> </w:t>
      </w:r>
      <w:r w:rsidRPr="002B1A95">
        <w:t>293</w:t>
      </w:r>
      <w:r w:rsidR="00782250">
        <w:noBreakHyphen/>
      </w:r>
      <w:r w:rsidRPr="002B1A95">
        <w:t>D and Schedule</w:t>
      </w:r>
      <w:r w:rsidR="002B1A95" w:rsidRPr="002B1A95">
        <w:t> </w:t>
      </w:r>
      <w:r w:rsidRPr="002B1A95">
        <w:t>1AA—has the meaning given by subsection 293</w:t>
      </w:r>
      <w:r w:rsidR="00782250">
        <w:noBreakHyphen/>
      </w:r>
      <w:r w:rsidRPr="002B1A95">
        <w:t>115.05(2).</w:t>
      </w:r>
    </w:p>
    <w:p w:rsidR="007D17C5" w:rsidRPr="002B1A95" w:rsidRDefault="007D17C5" w:rsidP="007D17C5">
      <w:pPr>
        <w:pStyle w:val="Definition"/>
      </w:pPr>
      <w:r w:rsidRPr="002B1A95">
        <w:rPr>
          <w:b/>
          <w:i/>
        </w:rPr>
        <w:t>Act</w:t>
      </w:r>
      <w:r w:rsidRPr="002B1A95">
        <w:t xml:space="preserve"> means the </w:t>
      </w:r>
      <w:r w:rsidRPr="002B1A95">
        <w:rPr>
          <w:i/>
        </w:rPr>
        <w:t>Income Tax Assessment Act 1997</w:t>
      </w:r>
      <w:r w:rsidRPr="002B1A95">
        <w:t>.</w:t>
      </w:r>
    </w:p>
    <w:p w:rsidR="007D17C5" w:rsidRPr="002B1A95" w:rsidRDefault="007D17C5" w:rsidP="007D17C5">
      <w:pPr>
        <w:pStyle w:val="Definition"/>
      </w:pPr>
      <w:r w:rsidRPr="002B1A95">
        <w:rPr>
          <w:b/>
          <w:i/>
        </w:rPr>
        <w:t xml:space="preserve">activities of daily living </w:t>
      </w:r>
      <w:r w:rsidRPr="002B1A95">
        <w:t>has the meaning given by subsection 295</w:t>
      </w:r>
      <w:r w:rsidR="00782250">
        <w:noBreakHyphen/>
      </w:r>
      <w:r w:rsidRPr="002B1A95">
        <w:t>465.01(5).</w:t>
      </w:r>
    </w:p>
    <w:p w:rsidR="007D17C5" w:rsidRPr="002B1A95" w:rsidRDefault="007D17C5" w:rsidP="007D17C5">
      <w:pPr>
        <w:pStyle w:val="Definition"/>
      </w:pPr>
      <w:r w:rsidRPr="002B1A95">
        <w:rPr>
          <w:b/>
          <w:i/>
        </w:rPr>
        <w:t>approved stock exchange</w:t>
      </w:r>
      <w:r w:rsidRPr="002B1A95">
        <w:t>: see section 995</w:t>
      </w:r>
      <w:r w:rsidR="00782250">
        <w:noBreakHyphen/>
      </w:r>
      <w:r w:rsidRPr="002B1A95">
        <w:t>1.02.</w:t>
      </w:r>
    </w:p>
    <w:p w:rsidR="007D17C5" w:rsidRPr="002B1A95" w:rsidRDefault="007D17C5" w:rsidP="007D17C5">
      <w:pPr>
        <w:pStyle w:val="Definition"/>
      </w:pPr>
      <w:r w:rsidRPr="002B1A95">
        <w:rPr>
          <w:b/>
          <w:i/>
        </w:rPr>
        <w:t>assessable contribution</w:t>
      </w:r>
      <w:r w:rsidRPr="002B1A95">
        <w:t xml:space="preserve"> means an amount included in the assessable income of an entity by Subdivision</w:t>
      </w:r>
      <w:r w:rsidR="002B1A95" w:rsidRPr="002B1A95">
        <w:t> </w:t>
      </w:r>
      <w:r w:rsidRPr="002B1A95">
        <w:t>295</w:t>
      </w:r>
      <w:r w:rsidR="00782250">
        <w:noBreakHyphen/>
      </w:r>
      <w:r w:rsidRPr="002B1A95">
        <w:t>C of the Act, disregarding item</w:t>
      </w:r>
      <w:r w:rsidR="002B1A95" w:rsidRPr="002B1A95">
        <w:t> </w:t>
      </w:r>
      <w:r w:rsidRPr="002B1A95">
        <w:t>5.3 of the table in section</w:t>
      </w:r>
      <w:r w:rsidR="002B1A95" w:rsidRPr="002B1A95">
        <w:t> </w:t>
      </w:r>
      <w:r w:rsidRPr="002B1A95">
        <w:t>50</w:t>
      </w:r>
      <w:r w:rsidR="00782250">
        <w:noBreakHyphen/>
      </w:r>
      <w:r w:rsidRPr="002B1A95">
        <w:t>25 of the Act (income tax exemption for constitutionally protected funds) and Subdivision</w:t>
      </w:r>
      <w:r w:rsidR="002B1A95" w:rsidRPr="002B1A95">
        <w:t> </w:t>
      </w:r>
      <w:r w:rsidRPr="002B1A95">
        <w:t>295</w:t>
      </w:r>
      <w:r w:rsidR="00782250">
        <w:noBreakHyphen/>
      </w:r>
      <w:r w:rsidRPr="002B1A95">
        <w:t>D of the Act (about excluded contributions).</w:t>
      </w:r>
    </w:p>
    <w:p w:rsidR="007D17C5" w:rsidRPr="002B1A95" w:rsidRDefault="007D17C5" w:rsidP="007D17C5">
      <w:pPr>
        <w:pStyle w:val="Definition"/>
        <w:rPr>
          <w:b/>
          <w:i/>
        </w:rPr>
      </w:pPr>
      <w:r w:rsidRPr="002B1A95">
        <w:rPr>
          <w:b/>
          <w:i/>
        </w:rPr>
        <w:t>benefit category</w:t>
      </w:r>
      <w:r w:rsidRPr="002B1A95">
        <w:t>:</w:t>
      </w:r>
    </w:p>
    <w:p w:rsidR="007D17C5" w:rsidRPr="002B1A95" w:rsidRDefault="007D17C5" w:rsidP="007D17C5">
      <w:pPr>
        <w:pStyle w:val="paragraph"/>
      </w:pPr>
      <w:r w:rsidRPr="002B1A95">
        <w:tab/>
        <w:t>(a)</w:t>
      </w:r>
      <w:r w:rsidRPr="002B1A95">
        <w:tab/>
        <w:t>for the purposes of Subdivision</w:t>
      </w:r>
      <w:r w:rsidR="002B1A95" w:rsidRPr="002B1A95">
        <w:t> </w:t>
      </w:r>
      <w:r w:rsidRPr="002B1A95">
        <w:t>291</w:t>
      </w:r>
      <w:r w:rsidR="00782250">
        <w:noBreakHyphen/>
      </w:r>
      <w:r w:rsidRPr="002B1A95">
        <w:t>C and Schedule</w:t>
      </w:r>
      <w:r w:rsidR="002B1A95" w:rsidRPr="002B1A95">
        <w:t> </w:t>
      </w:r>
      <w:r w:rsidRPr="002B1A95">
        <w:t>1A—has the meaning given by clause 1.2 of that Schedule; and</w:t>
      </w:r>
    </w:p>
    <w:p w:rsidR="007D17C5" w:rsidRPr="002B1A95" w:rsidRDefault="007D17C5" w:rsidP="007D17C5">
      <w:pPr>
        <w:pStyle w:val="paragraph"/>
      </w:pPr>
      <w:r w:rsidRPr="002B1A95">
        <w:tab/>
        <w:t>(b)</w:t>
      </w:r>
      <w:r w:rsidRPr="002B1A95">
        <w:tab/>
        <w:t>for the purposes of Schedule</w:t>
      </w:r>
      <w:r w:rsidR="002B1A95" w:rsidRPr="002B1A95">
        <w:t> </w:t>
      </w:r>
      <w:r w:rsidRPr="002B1A95">
        <w:t>1AA—has the meaning given by clause 2 of that Schedule.</w:t>
      </w:r>
    </w:p>
    <w:p w:rsidR="007D17C5" w:rsidRPr="002B1A95" w:rsidRDefault="007D17C5" w:rsidP="007D17C5">
      <w:pPr>
        <w:pStyle w:val="Definition"/>
      </w:pPr>
      <w:r w:rsidRPr="002B1A95">
        <w:rPr>
          <w:b/>
          <w:i/>
        </w:rPr>
        <w:t xml:space="preserve">bundled </w:t>
      </w:r>
      <w:r w:rsidRPr="002B1A95">
        <w:t>has the meaning given by subsection 295</w:t>
      </w:r>
      <w:r w:rsidR="00782250">
        <w:noBreakHyphen/>
      </w:r>
      <w:r w:rsidRPr="002B1A95">
        <w:t>465.01(5).</w:t>
      </w:r>
    </w:p>
    <w:p w:rsidR="007D17C5" w:rsidRPr="002B1A95" w:rsidRDefault="007D17C5" w:rsidP="007D17C5">
      <w:pPr>
        <w:pStyle w:val="Definition"/>
      </w:pPr>
      <w:r w:rsidRPr="002B1A95">
        <w:rPr>
          <w:b/>
          <w:i/>
        </w:rPr>
        <w:t>cognitive loss</w:t>
      </w:r>
      <w:r w:rsidRPr="002B1A95">
        <w:t xml:space="preserve"> has the meaning given by subsection 295</w:t>
      </w:r>
      <w:r w:rsidR="00782250">
        <w:noBreakHyphen/>
      </w:r>
      <w:r w:rsidRPr="002B1A95">
        <w:t>465.01(5).</w:t>
      </w:r>
    </w:p>
    <w:p w:rsidR="007D17C5" w:rsidRPr="002B1A95" w:rsidRDefault="007D17C5" w:rsidP="007D17C5">
      <w:pPr>
        <w:pStyle w:val="Definition"/>
        <w:rPr>
          <w:b/>
          <w:i/>
        </w:rPr>
      </w:pPr>
      <w:r w:rsidRPr="002B1A95">
        <w:rPr>
          <w:b/>
          <w:i/>
        </w:rPr>
        <w:t xml:space="preserve">conditions determination </w:t>
      </w:r>
      <w:r w:rsidRPr="002B1A95">
        <w:t>has the meaning given by subsection 51</w:t>
      </w:r>
      <w:r w:rsidR="00782250">
        <w:noBreakHyphen/>
      </w:r>
      <w:r w:rsidRPr="002B1A95">
        <w:t>5.01(2).</w:t>
      </w:r>
    </w:p>
    <w:p w:rsidR="007D17C5" w:rsidRPr="002B1A95" w:rsidRDefault="007D17C5" w:rsidP="007D17C5">
      <w:pPr>
        <w:pStyle w:val="Definition"/>
      </w:pPr>
      <w:r w:rsidRPr="002B1A95">
        <w:rPr>
          <w:b/>
          <w:i/>
        </w:rPr>
        <w:t>constitutionally protected fund</w:t>
      </w:r>
      <w:r w:rsidRPr="002B1A95">
        <w:t>: see section 995</w:t>
      </w:r>
      <w:r w:rsidR="00782250">
        <w:noBreakHyphen/>
      </w:r>
      <w:r w:rsidRPr="002B1A95">
        <w:t>1.03.</w:t>
      </w:r>
    </w:p>
    <w:p w:rsidR="007D17C5" w:rsidRPr="002B1A95" w:rsidRDefault="007D17C5" w:rsidP="007D17C5">
      <w:pPr>
        <w:pStyle w:val="Definition"/>
        <w:rPr>
          <w:color w:val="000000"/>
        </w:rPr>
      </w:pPr>
      <w:r w:rsidRPr="002B1A95">
        <w:rPr>
          <w:b/>
          <w:i/>
        </w:rPr>
        <w:t>death (life) cover</w:t>
      </w:r>
      <w:r w:rsidRPr="002B1A95">
        <w:t xml:space="preserve"> has the meaning given by subsection 295</w:t>
      </w:r>
      <w:r w:rsidR="00782250">
        <w:noBreakHyphen/>
      </w:r>
      <w:r w:rsidRPr="002B1A95">
        <w:t>465.01(5).</w:t>
      </w:r>
    </w:p>
    <w:p w:rsidR="007D17C5" w:rsidRPr="002B1A95" w:rsidRDefault="007D17C5" w:rsidP="007D17C5">
      <w:pPr>
        <w:pStyle w:val="Definition"/>
        <w:rPr>
          <w:b/>
          <w:i/>
        </w:rPr>
      </w:pPr>
      <w:r w:rsidRPr="002B1A95">
        <w:rPr>
          <w:b/>
          <w:i/>
        </w:rPr>
        <w:t>defined benefit fund</w:t>
      </w:r>
      <w:r w:rsidRPr="002B1A95">
        <w:t>:</w:t>
      </w:r>
    </w:p>
    <w:p w:rsidR="007D17C5" w:rsidRPr="002B1A95" w:rsidRDefault="007D17C5" w:rsidP="007D17C5">
      <w:pPr>
        <w:pStyle w:val="paragraph"/>
      </w:pPr>
      <w:r w:rsidRPr="002B1A95">
        <w:tab/>
        <w:t>(a)</w:t>
      </w:r>
      <w:r w:rsidRPr="002B1A95">
        <w:tab/>
        <w:t>for the purposes of Schedule</w:t>
      </w:r>
      <w:r w:rsidR="002B1A95" w:rsidRPr="002B1A95">
        <w:t> </w:t>
      </w:r>
      <w:r w:rsidRPr="002B1A95">
        <w:t>1A—has the meaning given by clause 1.3 of that Schedule; and</w:t>
      </w:r>
    </w:p>
    <w:p w:rsidR="007D17C5" w:rsidRPr="002B1A95" w:rsidRDefault="007D17C5" w:rsidP="007D17C5">
      <w:pPr>
        <w:pStyle w:val="paragraph"/>
      </w:pPr>
      <w:r w:rsidRPr="002B1A95">
        <w:lastRenderedPageBreak/>
        <w:tab/>
        <w:t>(b)</w:t>
      </w:r>
      <w:r w:rsidRPr="002B1A95">
        <w:tab/>
        <w:t>for the purposes of Schedule</w:t>
      </w:r>
      <w:r w:rsidR="002B1A95" w:rsidRPr="002B1A95">
        <w:t> </w:t>
      </w:r>
      <w:r w:rsidRPr="002B1A95">
        <w:t>1AA—has the meaning given by clause 2A of that Schedule.</w:t>
      </w:r>
    </w:p>
    <w:p w:rsidR="007D17C5" w:rsidRPr="002B1A95" w:rsidRDefault="007D17C5" w:rsidP="007D17C5">
      <w:pPr>
        <w:pStyle w:val="Definition"/>
      </w:pPr>
      <w:r w:rsidRPr="002B1A95">
        <w:rPr>
          <w:b/>
          <w:i/>
          <w:color w:val="000000"/>
        </w:rPr>
        <w:t>defined benefit member</w:t>
      </w:r>
      <w:r w:rsidRPr="002B1A95">
        <w:t>:</w:t>
      </w:r>
    </w:p>
    <w:p w:rsidR="007D17C5" w:rsidRPr="002B1A95" w:rsidRDefault="007D17C5" w:rsidP="007D17C5">
      <w:pPr>
        <w:pStyle w:val="paragraph"/>
      </w:pPr>
      <w:r w:rsidRPr="002B1A95">
        <w:tab/>
        <w:t>(a)</w:t>
      </w:r>
      <w:r w:rsidRPr="002B1A95">
        <w:tab/>
        <w:t>means a member of a superannuation fund whose entitlements to superannuation benefits (other than benefits payable on death or disability) are defined by reference to one or more of the following matters:</w:t>
      </w:r>
    </w:p>
    <w:p w:rsidR="007D17C5" w:rsidRPr="002B1A95" w:rsidRDefault="007D17C5" w:rsidP="007D17C5">
      <w:pPr>
        <w:pStyle w:val="paragraphsub"/>
      </w:pPr>
      <w:r w:rsidRPr="002B1A95">
        <w:rPr>
          <w:color w:val="000000"/>
        </w:rPr>
        <w:tab/>
        <w:t>(i)</w:t>
      </w:r>
      <w:r w:rsidRPr="002B1A95">
        <w:rPr>
          <w:color w:val="000000"/>
        </w:rPr>
        <w:tab/>
        <w:t>the member’s salary, or allowance in the nature of salary, at a particular date or averaged over a period;</w:t>
      </w:r>
    </w:p>
    <w:p w:rsidR="007D17C5" w:rsidRPr="002B1A95" w:rsidRDefault="007D17C5" w:rsidP="007D17C5">
      <w:pPr>
        <w:pStyle w:val="paragraphsub"/>
      </w:pPr>
      <w:r w:rsidRPr="002B1A95">
        <w:tab/>
        <w:t>(ii)</w:t>
      </w:r>
      <w:r w:rsidRPr="002B1A95">
        <w:tab/>
        <w:t>another individual’s salary, or allowance in the nature of salary, at a particular date or averaged over a period;</w:t>
      </w:r>
    </w:p>
    <w:p w:rsidR="007D17C5" w:rsidRPr="002B1A95" w:rsidRDefault="007D17C5" w:rsidP="007D17C5">
      <w:pPr>
        <w:pStyle w:val="paragraphsub"/>
      </w:pPr>
      <w:r w:rsidRPr="002B1A95">
        <w:tab/>
        <w:t>(iii)</w:t>
      </w:r>
      <w:r w:rsidRPr="002B1A95">
        <w:tab/>
        <w:t>a specified amount;</w:t>
      </w:r>
    </w:p>
    <w:p w:rsidR="007D17C5" w:rsidRPr="002B1A95" w:rsidRDefault="007D17C5" w:rsidP="007D17C5">
      <w:pPr>
        <w:pStyle w:val="paragraphsub"/>
      </w:pPr>
      <w:r w:rsidRPr="002B1A95">
        <w:tab/>
        <w:t>(iv)</w:t>
      </w:r>
      <w:r w:rsidRPr="002B1A95">
        <w:tab/>
        <w:t>specified conversion factors;</w:t>
      </w:r>
    </w:p>
    <w:p w:rsidR="007D17C5" w:rsidRPr="002B1A95" w:rsidRDefault="007D17C5" w:rsidP="007D17C5">
      <w:pPr>
        <w:pStyle w:val="paragraph"/>
      </w:pPr>
      <w:r w:rsidRPr="002B1A95">
        <w:tab/>
      </w:r>
      <w:r w:rsidRPr="002B1A95">
        <w:tab/>
        <w:t>other than a member of a superannuation fund whose entitlements to superannuation are defined solely by reference to one or more of the following matters:</w:t>
      </w:r>
    </w:p>
    <w:p w:rsidR="007D17C5" w:rsidRPr="002B1A95" w:rsidRDefault="007D17C5" w:rsidP="007D17C5">
      <w:pPr>
        <w:pStyle w:val="paragraphsub"/>
      </w:pPr>
      <w:r w:rsidRPr="002B1A95">
        <w:rPr>
          <w:color w:val="000000"/>
        </w:rPr>
        <w:tab/>
        <w:t>(v)</w:t>
      </w:r>
      <w:r w:rsidRPr="002B1A95">
        <w:rPr>
          <w:color w:val="000000"/>
        </w:rPr>
        <w:tab/>
        <w:t>the member’s disability superannuation benefits;</w:t>
      </w:r>
    </w:p>
    <w:p w:rsidR="007D17C5" w:rsidRPr="002B1A95" w:rsidRDefault="007D17C5" w:rsidP="007D17C5">
      <w:pPr>
        <w:pStyle w:val="paragraphsub"/>
      </w:pPr>
      <w:r w:rsidRPr="002B1A95">
        <w:tab/>
        <w:t>(vi)</w:t>
      </w:r>
      <w:r w:rsidRPr="002B1A95">
        <w:tab/>
        <w:t>the member’s superannuation death benefits;</w:t>
      </w:r>
    </w:p>
    <w:p w:rsidR="007D17C5" w:rsidRPr="002B1A95" w:rsidRDefault="007D17C5" w:rsidP="007D17C5">
      <w:pPr>
        <w:pStyle w:val="paragraphsub"/>
      </w:pPr>
      <w:r w:rsidRPr="002B1A95">
        <w:tab/>
        <w:t>(vii)</w:t>
      </w:r>
      <w:r w:rsidRPr="002B1A95">
        <w:tab/>
        <w:t>payments of amounts mentioned in paragraph</w:t>
      </w:r>
      <w:r w:rsidR="002B1A95" w:rsidRPr="002B1A95">
        <w:t> </w:t>
      </w:r>
      <w:r w:rsidRPr="002B1A95">
        <w:t>307</w:t>
      </w:r>
      <w:r w:rsidR="00782250">
        <w:noBreakHyphen/>
      </w:r>
      <w:r w:rsidRPr="002B1A95">
        <w:t>10(a) of the Act (which relates to temporary disability payments); and</w:t>
      </w:r>
    </w:p>
    <w:p w:rsidR="007D17C5" w:rsidRPr="002B1A95" w:rsidRDefault="007D17C5" w:rsidP="007D17C5">
      <w:pPr>
        <w:pStyle w:val="paragraph"/>
      </w:pPr>
      <w:r w:rsidRPr="002B1A95">
        <w:tab/>
        <w:t>(b)</w:t>
      </w:r>
      <w:r w:rsidRPr="002B1A95">
        <w:tab/>
        <w:t>in clause 3.6 of Schedule</w:t>
      </w:r>
      <w:r w:rsidR="002B1A95" w:rsidRPr="002B1A95">
        <w:t> </w:t>
      </w:r>
      <w:r w:rsidRPr="002B1A95">
        <w:t xml:space="preserve">1A—has a meaning affected by </w:t>
      </w:r>
      <w:r w:rsidR="002B1A95" w:rsidRPr="002B1A95">
        <w:t>subclause (</w:t>
      </w:r>
      <w:r w:rsidRPr="002B1A95">
        <w:t>4) of that clause; and</w:t>
      </w:r>
    </w:p>
    <w:p w:rsidR="007D17C5" w:rsidRPr="002B1A95" w:rsidRDefault="007D17C5" w:rsidP="007D17C5">
      <w:pPr>
        <w:pStyle w:val="paragraph"/>
      </w:pPr>
      <w:r w:rsidRPr="002B1A95">
        <w:tab/>
        <w:t>(c)</w:t>
      </w:r>
      <w:r w:rsidRPr="002B1A95">
        <w:tab/>
        <w:t>in clause 15 of Schedule</w:t>
      </w:r>
      <w:r w:rsidR="002B1A95" w:rsidRPr="002B1A95">
        <w:t> </w:t>
      </w:r>
      <w:r w:rsidRPr="002B1A95">
        <w:t xml:space="preserve">1AA—has a meaning affected by </w:t>
      </w:r>
      <w:r w:rsidR="002B1A95" w:rsidRPr="002B1A95">
        <w:t>subclause (</w:t>
      </w:r>
      <w:r w:rsidRPr="002B1A95">
        <w:t>4) of that clause.</w:t>
      </w:r>
    </w:p>
    <w:p w:rsidR="007D17C5" w:rsidRPr="002B1A95" w:rsidRDefault="007D17C5" w:rsidP="007D17C5">
      <w:pPr>
        <w:pStyle w:val="Definition"/>
        <w:rPr>
          <w:b/>
          <w:i/>
        </w:rPr>
      </w:pPr>
      <w:r w:rsidRPr="002B1A95">
        <w:rPr>
          <w:b/>
          <w:i/>
        </w:rPr>
        <w:t xml:space="preserve">domestic (home) duties </w:t>
      </w:r>
      <w:r w:rsidRPr="002B1A95">
        <w:t>has the meaning given by subsection 295</w:t>
      </w:r>
      <w:r w:rsidR="00782250">
        <w:noBreakHyphen/>
      </w:r>
      <w:r w:rsidRPr="002B1A95">
        <w:t>465.01(5).</w:t>
      </w:r>
    </w:p>
    <w:p w:rsidR="007D17C5" w:rsidRPr="002B1A95" w:rsidRDefault="007D17C5" w:rsidP="007D17C5">
      <w:pPr>
        <w:pStyle w:val="Definition"/>
        <w:rPr>
          <w:color w:val="000000"/>
        </w:rPr>
      </w:pPr>
      <w:r w:rsidRPr="002B1A95">
        <w:rPr>
          <w:b/>
          <w:bCs/>
          <w:i/>
          <w:color w:val="000000"/>
        </w:rPr>
        <w:t>employer</w:t>
      </w:r>
      <w:r w:rsidR="00782250">
        <w:rPr>
          <w:b/>
          <w:bCs/>
          <w:i/>
          <w:color w:val="000000"/>
        </w:rPr>
        <w:noBreakHyphen/>
      </w:r>
      <w:r w:rsidRPr="002B1A95">
        <w:rPr>
          <w:b/>
          <w:bCs/>
          <w:i/>
          <w:color w:val="000000"/>
        </w:rPr>
        <w:t>sponsor</w:t>
      </w:r>
      <w:r w:rsidRPr="002B1A95">
        <w:rPr>
          <w:bCs/>
          <w:color w:val="000000"/>
        </w:rPr>
        <w:t xml:space="preserve"> has the</w:t>
      </w:r>
      <w:r w:rsidRPr="002B1A95">
        <w:rPr>
          <w:color w:val="000000"/>
        </w:rPr>
        <w:t xml:space="preserve"> meaning given by subsection</w:t>
      </w:r>
      <w:r w:rsidR="002B1A95" w:rsidRPr="002B1A95">
        <w:rPr>
          <w:color w:val="000000"/>
        </w:rPr>
        <w:t> </w:t>
      </w:r>
      <w:r w:rsidRPr="002B1A95">
        <w:rPr>
          <w:color w:val="000000"/>
        </w:rPr>
        <w:t>16(1) of the SIS Act.</w:t>
      </w:r>
    </w:p>
    <w:p w:rsidR="007D17C5" w:rsidRPr="002B1A95" w:rsidRDefault="007D17C5" w:rsidP="007D17C5">
      <w:pPr>
        <w:pStyle w:val="Definition"/>
      </w:pPr>
      <w:r w:rsidRPr="002B1A95">
        <w:rPr>
          <w:b/>
          <w:i/>
        </w:rPr>
        <w:t>funded benefit interest</w:t>
      </w:r>
      <w:r w:rsidRPr="002B1A95">
        <w:t xml:space="preserve"> has the meaning given by subsection 293</w:t>
      </w:r>
      <w:r w:rsidR="00782250">
        <w:noBreakHyphen/>
      </w:r>
      <w:r w:rsidRPr="002B1A95">
        <w:t>115.15(2).</w:t>
      </w:r>
    </w:p>
    <w:p w:rsidR="007D17C5" w:rsidRPr="002B1A95" w:rsidRDefault="007D17C5" w:rsidP="007D17C5">
      <w:pPr>
        <w:pStyle w:val="Definition"/>
      </w:pPr>
      <w:r w:rsidRPr="002B1A95">
        <w:rPr>
          <w:b/>
          <w:i/>
        </w:rPr>
        <w:t>Governor</w:t>
      </w:r>
      <w:r w:rsidR="00782250">
        <w:rPr>
          <w:b/>
          <w:i/>
        </w:rPr>
        <w:noBreakHyphen/>
      </w:r>
      <w:r w:rsidRPr="002B1A95">
        <w:rPr>
          <w:b/>
          <w:i/>
        </w:rPr>
        <w:t xml:space="preserve">General Pension Scheme </w:t>
      </w:r>
      <w:r w:rsidRPr="002B1A95">
        <w:t>means the Governor</w:t>
      </w:r>
      <w:r w:rsidR="00782250">
        <w:noBreakHyphen/>
      </w:r>
      <w:r w:rsidRPr="002B1A95">
        <w:t>General Pension Scheme constituted by allowances payable under section</w:t>
      </w:r>
      <w:r w:rsidR="002B1A95" w:rsidRPr="002B1A95">
        <w:t> </w:t>
      </w:r>
      <w:r w:rsidRPr="002B1A95">
        <w:t xml:space="preserve">4 of the </w:t>
      </w:r>
      <w:r w:rsidRPr="002B1A95">
        <w:rPr>
          <w:i/>
        </w:rPr>
        <w:t>Governor</w:t>
      </w:r>
      <w:r w:rsidR="00782250">
        <w:rPr>
          <w:i/>
        </w:rPr>
        <w:noBreakHyphen/>
      </w:r>
      <w:r w:rsidRPr="002B1A95">
        <w:rPr>
          <w:i/>
        </w:rPr>
        <w:t>General Act 1974</w:t>
      </w:r>
      <w:r w:rsidRPr="002B1A95">
        <w:t>.</w:t>
      </w:r>
    </w:p>
    <w:p w:rsidR="007D17C5" w:rsidRPr="002B1A95" w:rsidRDefault="007D17C5" w:rsidP="007D17C5">
      <w:pPr>
        <w:pStyle w:val="Definition"/>
      </w:pPr>
      <w:r w:rsidRPr="002B1A95">
        <w:rPr>
          <w:b/>
          <w:i/>
          <w:color w:val="000000"/>
        </w:rPr>
        <w:t>insolvent</w:t>
      </w:r>
      <w:r w:rsidRPr="002B1A95">
        <w:t>, for an issuer, means:</w:t>
      </w:r>
    </w:p>
    <w:p w:rsidR="007D17C5" w:rsidRPr="002B1A95" w:rsidRDefault="007D17C5" w:rsidP="007D17C5">
      <w:pPr>
        <w:pStyle w:val="paragraph"/>
      </w:pPr>
      <w:r w:rsidRPr="002B1A95">
        <w:rPr>
          <w:color w:val="000000"/>
        </w:rPr>
        <w:tab/>
        <w:t>(a)</w:t>
      </w:r>
      <w:r w:rsidRPr="002B1A95">
        <w:rPr>
          <w:color w:val="000000"/>
        </w:rPr>
        <w:tab/>
        <w:t>the issuer cannot pay its debts as they fall due; or</w:t>
      </w:r>
    </w:p>
    <w:p w:rsidR="007D17C5" w:rsidRPr="002B1A95" w:rsidRDefault="007D17C5" w:rsidP="007D17C5">
      <w:pPr>
        <w:pStyle w:val="paragraph"/>
      </w:pPr>
      <w:r w:rsidRPr="002B1A95">
        <w:tab/>
        <w:t>(b)</w:t>
      </w:r>
      <w:r w:rsidRPr="002B1A95">
        <w:tab/>
        <w:t>the issuer’s liabilities exceed its assets.</w:t>
      </w:r>
    </w:p>
    <w:p w:rsidR="007D17C5" w:rsidRPr="002B1A95" w:rsidRDefault="007D17C5" w:rsidP="007D17C5">
      <w:pPr>
        <w:pStyle w:val="Definition"/>
        <w:rPr>
          <w:b/>
          <w:i/>
        </w:rPr>
      </w:pPr>
      <w:r w:rsidRPr="002B1A95">
        <w:rPr>
          <w:b/>
          <w:i/>
        </w:rPr>
        <w:t xml:space="preserve">loss of limb </w:t>
      </w:r>
      <w:r w:rsidRPr="002B1A95">
        <w:t>has the meaning given by subsection 295</w:t>
      </w:r>
      <w:r w:rsidR="00782250">
        <w:noBreakHyphen/>
      </w:r>
      <w:r w:rsidRPr="002B1A95">
        <w:t>465.01(5).</w:t>
      </w:r>
    </w:p>
    <w:p w:rsidR="007D17C5" w:rsidRPr="002B1A95" w:rsidRDefault="007D17C5" w:rsidP="007D17C5">
      <w:pPr>
        <w:pStyle w:val="Definition"/>
      </w:pPr>
      <w:r w:rsidRPr="002B1A95">
        <w:rPr>
          <w:b/>
          <w:i/>
        </w:rPr>
        <w:t>member contributions</w:t>
      </w:r>
      <w:r w:rsidRPr="002B1A95">
        <w:t xml:space="preserve"> has the meaning given by subregulation</w:t>
      </w:r>
      <w:r w:rsidR="002B1A95" w:rsidRPr="002B1A95">
        <w:t> </w:t>
      </w:r>
      <w:r w:rsidRPr="002B1A95">
        <w:t>5.01(1) of the SIS Regulations.</w:t>
      </w:r>
    </w:p>
    <w:p w:rsidR="007D17C5" w:rsidRPr="002B1A95" w:rsidRDefault="007D17C5" w:rsidP="007D17C5">
      <w:pPr>
        <w:pStyle w:val="Definition"/>
        <w:rPr>
          <w:b/>
        </w:rPr>
      </w:pPr>
      <w:r w:rsidRPr="002B1A95">
        <w:rPr>
          <w:b/>
          <w:i/>
        </w:rPr>
        <w:t>military or police person</w:t>
      </w:r>
      <w:r w:rsidRPr="002B1A95">
        <w:rPr>
          <w:b/>
        </w:rPr>
        <w:t xml:space="preserve"> </w:t>
      </w:r>
      <w:r w:rsidRPr="002B1A95">
        <w:t>means</w:t>
      </w:r>
      <w:r w:rsidRPr="002B1A95">
        <w:rPr>
          <w:b/>
        </w:rPr>
        <w:t xml:space="preserve"> </w:t>
      </w:r>
      <w:r w:rsidRPr="002B1A95">
        <w:t>a person mentioned in paragraph</w:t>
      </w:r>
      <w:r w:rsidR="002B1A95" w:rsidRPr="002B1A95">
        <w:t> </w:t>
      </w:r>
      <w:r w:rsidRPr="002B1A95">
        <w:t>302</w:t>
      </w:r>
      <w:r w:rsidR="00782250">
        <w:noBreakHyphen/>
      </w:r>
      <w:r w:rsidRPr="002B1A95">
        <w:t>195(2)(a), (b) or (c) of the Act.</w:t>
      </w:r>
    </w:p>
    <w:p w:rsidR="007D17C5" w:rsidRPr="002B1A95" w:rsidRDefault="007D17C5" w:rsidP="007D17C5">
      <w:pPr>
        <w:pStyle w:val="Definition"/>
        <w:rPr>
          <w:b/>
          <w:i/>
        </w:rPr>
      </w:pPr>
      <w:r w:rsidRPr="002B1A95">
        <w:rPr>
          <w:b/>
          <w:i/>
        </w:rPr>
        <w:t>Military Superannuation and Benefits Scheme</w:t>
      </w:r>
      <w:r w:rsidRPr="002B1A95">
        <w:t xml:space="preserve"> has the meaning given by section 307</w:t>
      </w:r>
      <w:r w:rsidR="00782250">
        <w:noBreakHyphen/>
      </w:r>
      <w:r w:rsidRPr="002B1A95">
        <w:t>125.01.</w:t>
      </w:r>
    </w:p>
    <w:p w:rsidR="007D17C5" w:rsidRPr="002B1A95" w:rsidRDefault="007D17C5" w:rsidP="007D17C5">
      <w:pPr>
        <w:pStyle w:val="Definition"/>
      </w:pPr>
      <w:r w:rsidRPr="002B1A95">
        <w:rPr>
          <w:b/>
          <w:i/>
        </w:rPr>
        <w:lastRenderedPageBreak/>
        <w:t>non</w:t>
      </w:r>
      <w:r w:rsidR="00782250">
        <w:rPr>
          <w:b/>
          <w:i/>
        </w:rPr>
        <w:noBreakHyphen/>
      </w:r>
      <w:r w:rsidRPr="002B1A95">
        <w:rPr>
          <w:b/>
          <w:i/>
        </w:rPr>
        <w:t>accruing member</w:t>
      </w:r>
      <w:r w:rsidRPr="002B1A95">
        <w:t>:</w:t>
      </w:r>
    </w:p>
    <w:p w:rsidR="007D17C5" w:rsidRPr="002B1A95" w:rsidRDefault="007D17C5" w:rsidP="007D17C5">
      <w:pPr>
        <w:pStyle w:val="paragraph"/>
      </w:pPr>
      <w:r w:rsidRPr="002B1A95">
        <w:tab/>
        <w:t>(a)</w:t>
      </w:r>
      <w:r w:rsidRPr="002B1A95">
        <w:tab/>
        <w:t>for the purposes of section 291</w:t>
      </w:r>
      <w:r w:rsidR="00782250">
        <w:noBreakHyphen/>
      </w:r>
      <w:r w:rsidRPr="002B1A95">
        <w:t>170.04 and Schedule</w:t>
      </w:r>
      <w:r w:rsidR="002B1A95" w:rsidRPr="002B1A95">
        <w:t> </w:t>
      </w:r>
      <w:r w:rsidRPr="002B1A95">
        <w:t>1A</w:t>
      </w:r>
      <w:r w:rsidRPr="002B1A95">
        <w:rPr>
          <w:rFonts w:eastAsiaTheme="majorEastAsia"/>
        </w:rPr>
        <w:t xml:space="preserve">—has </w:t>
      </w:r>
      <w:r w:rsidRPr="002B1A95">
        <w:t>the meaning given by subsection 291</w:t>
      </w:r>
      <w:r w:rsidR="00782250">
        <w:noBreakHyphen/>
      </w:r>
      <w:r w:rsidRPr="002B1A95">
        <w:t>170.04(5); and</w:t>
      </w:r>
    </w:p>
    <w:p w:rsidR="007D17C5" w:rsidRPr="002B1A95" w:rsidRDefault="007D17C5" w:rsidP="007D17C5">
      <w:pPr>
        <w:pStyle w:val="paragraph"/>
      </w:pPr>
      <w:r w:rsidRPr="002B1A95">
        <w:tab/>
        <w:t>(b)</w:t>
      </w:r>
      <w:r w:rsidRPr="002B1A95">
        <w:tab/>
        <w:t>for the purposes of Subdivision</w:t>
      </w:r>
      <w:r w:rsidR="002B1A95" w:rsidRPr="002B1A95">
        <w:t> </w:t>
      </w:r>
      <w:r w:rsidRPr="002B1A95">
        <w:t>293</w:t>
      </w:r>
      <w:r w:rsidR="00782250">
        <w:noBreakHyphen/>
      </w:r>
      <w:r w:rsidRPr="002B1A95">
        <w:t>D—has the meaning given by subsection 293</w:t>
      </w:r>
      <w:r w:rsidR="00782250">
        <w:noBreakHyphen/>
      </w:r>
      <w:r w:rsidRPr="002B1A95">
        <w:t>115.05(2).</w:t>
      </w:r>
    </w:p>
    <w:p w:rsidR="007D17C5" w:rsidRPr="002B1A95" w:rsidRDefault="007D17C5" w:rsidP="007D17C5">
      <w:pPr>
        <w:pStyle w:val="Definition"/>
      </w:pPr>
      <w:r w:rsidRPr="002B1A95">
        <w:rPr>
          <w:b/>
          <w:i/>
        </w:rPr>
        <w:t xml:space="preserve">normal domestic duties </w:t>
      </w:r>
      <w:r w:rsidRPr="002B1A95">
        <w:t>has the meaning given by subsection 295</w:t>
      </w:r>
      <w:r w:rsidR="00782250">
        <w:noBreakHyphen/>
      </w:r>
      <w:r w:rsidRPr="002B1A95">
        <w:t>465.01(5).</w:t>
      </w:r>
    </w:p>
    <w:p w:rsidR="007D17C5" w:rsidRPr="002B1A95" w:rsidRDefault="007D17C5" w:rsidP="007D17C5">
      <w:pPr>
        <w:pStyle w:val="Definition"/>
      </w:pPr>
      <w:r w:rsidRPr="002B1A95">
        <w:rPr>
          <w:b/>
          <w:i/>
        </w:rPr>
        <w:t>on</w:t>
      </w:r>
      <w:r w:rsidR="00782250">
        <w:rPr>
          <w:b/>
          <w:i/>
        </w:rPr>
        <w:noBreakHyphen/>
      </w:r>
      <w:r w:rsidRPr="002B1A95">
        <w:rPr>
          <w:b/>
          <w:i/>
        </w:rPr>
        <w:t>hold member</w:t>
      </w:r>
      <w:r w:rsidRPr="002B1A95">
        <w:t xml:space="preserve"> has the meaning given by subsection 291</w:t>
      </w:r>
      <w:r w:rsidR="00782250">
        <w:noBreakHyphen/>
      </w:r>
      <w:r w:rsidRPr="002B1A95">
        <w:t>170.04(6).</w:t>
      </w:r>
    </w:p>
    <w:p w:rsidR="007D17C5" w:rsidRPr="002B1A95" w:rsidRDefault="007D17C5" w:rsidP="007D17C5">
      <w:pPr>
        <w:pStyle w:val="Definition"/>
      </w:pPr>
      <w:r w:rsidRPr="002B1A95">
        <w:rPr>
          <w:b/>
          <w:i/>
        </w:rPr>
        <w:t>pensioned member</w:t>
      </w:r>
      <w:r w:rsidRPr="002B1A95">
        <w:t xml:space="preserve"> has the meaning given by subsection 291</w:t>
      </w:r>
      <w:r w:rsidR="00782250">
        <w:noBreakHyphen/>
      </w:r>
      <w:r w:rsidRPr="002B1A95">
        <w:t>170.04(7).</w:t>
      </w:r>
    </w:p>
    <w:p w:rsidR="007D17C5" w:rsidRPr="002B1A95" w:rsidRDefault="007D17C5" w:rsidP="007D17C5">
      <w:pPr>
        <w:pStyle w:val="Definition"/>
      </w:pPr>
      <w:r w:rsidRPr="002B1A95">
        <w:rPr>
          <w:b/>
          <w:i/>
          <w:color w:val="000000"/>
        </w:rPr>
        <w:t>pooled investment annuity</w:t>
      </w:r>
      <w:r w:rsidRPr="002B1A95">
        <w:rPr>
          <w:color w:val="000000"/>
        </w:rPr>
        <w:t xml:space="preserve"> has the meaning given by sub</w:t>
      </w:r>
      <w:r w:rsidRPr="002B1A95">
        <w:t>section</w:t>
      </w:r>
      <w:r w:rsidRPr="002B1A95">
        <w:rPr>
          <w:color w:val="000000"/>
        </w:rPr>
        <w:t xml:space="preserve"> </w:t>
      </w:r>
      <w:r w:rsidRPr="002B1A95">
        <w:t>307</w:t>
      </w:r>
      <w:r w:rsidR="00782250">
        <w:noBreakHyphen/>
      </w:r>
      <w:r w:rsidRPr="002B1A95">
        <w:t>205.02E(2).</w:t>
      </w:r>
    </w:p>
    <w:p w:rsidR="007D17C5" w:rsidRPr="002B1A95" w:rsidRDefault="007D17C5" w:rsidP="007D17C5">
      <w:pPr>
        <w:pStyle w:val="Definition"/>
      </w:pPr>
      <w:r w:rsidRPr="002B1A95">
        <w:rPr>
          <w:b/>
          <w:i/>
          <w:color w:val="000000"/>
        </w:rPr>
        <w:t>pooled investment pension</w:t>
      </w:r>
      <w:r w:rsidRPr="002B1A95">
        <w:rPr>
          <w:color w:val="000000"/>
        </w:rPr>
        <w:t xml:space="preserve"> has the meaning given by sub</w:t>
      </w:r>
      <w:r w:rsidRPr="002B1A95">
        <w:t>section</w:t>
      </w:r>
      <w:r w:rsidRPr="002B1A95">
        <w:rPr>
          <w:color w:val="000000"/>
        </w:rPr>
        <w:t xml:space="preserve"> </w:t>
      </w:r>
      <w:r w:rsidRPr="002B1A95">
        <w:t>307</w:t>
      </w:r>
      <w:r w:rsidR="00782250">
        <w:noBreakHyphen/>
      </w:r>
      <w:r w:rsidRPr="002B1A95">
        <w:t>205.02D(2).</w:t>
      </w:r>
    </w:p>
    <w:p w:rsidR="007D17C5" w:rsidRPr="002B1A95" w:rsidRDefault="007D17C5" w:rsidP="007D17C5">
      <w:pPr>
        <w:pStyle w:val="Definition"/>
      </w:pPr>
      <w:r w:rsidRPr="002B1A95">
        <w:rPr>
          <w:b/>
          <w:i/>
        </w:rPr>
        <w:t>registered organisation</w:t>
      </w:r>
      <w:r w:rsidRPr="002B1A95">
        <w:t xml:space="preserve"> has the meaning given by subsection</w:t>
      </w:r>
      <w:r w:rsidR="002B1A95" w:rsidRPr="002B1A95">
        <w:t> </w:t>
      </w:r>
      <w:r w:rsidRPr="002B1A95">
        <w:t>10(1) of the SIS Act.</w:t>
      </w:r>
    </w:p>
    <w:p w:rsidR="007D17C5" w:rsidRPr="002B1A95" w:rsidRDefault="007D17C5" w:rsidP="007D17C5">
      <w:pPr>
        <w:pStyle w:val="Definition"/>
      </w:pPr>
      <w:r w:rsidRPr="002B1A95">
        <w:rPr>
          <w:b/>
          <w:i/>
        </w:rPr>
        <w:t>relevant 2006 interest</w:t>
      </w:r>
      <w:r w:rsidRPr="002B1A95">
        <w:t>, in relation to a member, means:</w:t>
      </w:r>
    </w:p>
    <w:p w:rsidR="007D17C5" w:rsidRPr="002B1A95" w:rsidRDefault="007D17C5" w:rsidP="007D17C5">
      <w:pPr>
        <w:pStyle w:val="paragraph"/>
      </w:pPr>
      <w:r w:rsidRPr="002B1A95">
        <w:tab/>
        <w:t>(a)</w:t>
      </w:r>
      <w:r w:rsidRPr="002B1A95">
        <w:tab/>
        <w:t>a defined benefit interest held by the member on 5</w:t>
      </w:r>
      <w:r w:rsidR="002B1A95" w:rsidRPr="002B1A95">
        <w:t> </w:t>
      </w:r>
      <w:r w:rsidRPr="002B1A95">
        <w:t>September 2006; or</w:t>
      </w:r>
    </w:p>
    <w:p w:rsidR="007D17C5" w:rsidRPr="002B1A95" w:rsidRDefault="007D17C5" w:rsidP="007D17C5">
      <w:pPr>
        <w:pStyle w:val="paragraph"/>
      </w:pPr>
      <w:r w:rsidRPr="002B1A95">
        <w:tab/>
        <w:t>(b)</w:t>
      </w:r>
      <w:r w:rsidRPr="002B1A95">
        <w:tab/>
        <w:t xml:space="preserve">any superannuation interest to which the entire value of the interest mentioned in </w:t>
      </w:r>
      <w:r w:rsidR="002B1A95" w:rsidRPr="002B1A95">
        <w:t>paragraph (</w:t>
      </w:r>
      <w:r w:rsidRPr="002B1A95">
        <w:t>a) was transferred (whether directly or through a series of transfers between superannuation interests).</w:t>
      </w:r>
    </w:p>
    <w:p w:rsidR="007D17C5" w:rsidRPr="002B1A95" w:rsidRDefault="007D17C5" w:rsidP="007D17C5">
      <w:pPr>
        <w:pStyle w:val="Definition"/>
      </w:pPr>
      <w:r w:rsidRPr="002B1A95">
        <w:rPr>
          <w:b/>
          <w:i/>
        </w:rPr>
        <w:t>relevant 2009 interest</w:t>
      </w:r>
      <w:r w:rsidRPr="002B1A95">
        <w:t>, in relation to a member, means:</w:t>
      </w:r>
    </w:p>
    <w:p w:rsidR="007D17C5" w:rsidRPr="002B1A95" w:rsidRDefault="007D17C5" w:rsidP="007D17C5">
      <w:pPr>
        <w:pStyle w:val="paragraph"/>
      </w:pPr>
      <w:r w:rsidRPr="002B1A95">
        <w:tab/>
        <w:t>(a)</w:t>
      </w:r>
      <w:r w:rsidRPr="002B1A95">
        <w:tab/>
        <w:t>a defined benefit interest held by the member on 12</w:t>
      </w:r>
      <w:r w:rsidR="002B1A95" w:rsidRPr="002B1A95">
        <w:t> </w:t>
      </w:r>
      <w:r w:rsidRPr="002B1A95">
        <w:t>May 2009; or</w:t>
      </w:r>
    </w:p>
    <w:p w:rsidR="007D17C5" w:rsidRPr="002B1A95" w:rsidRDefault="007D17C5" w:rsidP="007D17C5">
      <w:pPr>
        <w:pStyle w:val="paragraph"/>
      </w:pPr>
      <w:r w:rsidRPr="002B1A95">
        <w:tab/>
        <w:t>(b)</w:t>
      </w:r>
      <w:r w:rsidRPr="002B1A95">
        <w:tab/>
        <w:t xml:space="preserve">any superannuation interest to which the entire value of the interest mentioned in </w:t>
      </w:r>
      <w:r w:rsidR="002B1A95" w:rsidRPr="002B1A95">
        <w:t>paragraph (</w:t>
      </w:r>
      <w:r w:rsidRPr="002B1A95">
        <w:t>a) was transferred (whether directly or through a series of transfers between superannuation interests).</w:t>
      </w:r>
    </w:p>
    <w:p w:rsidR="007D17C5" w:rsidRPr="002B1A95" w:rsidRDefault="007D17C5" w:rsidP="007D17C5">
      <w:pPr>
        <w:pStyle w:val="Definition"/>
      </w:pPr>
      <w:r w:rsidRPr="002B1A95">
        <w:rPr>
          <w:b/>
          <w:i/>
        </w:rPr>
        <w:t xml:space="preserve">RSA Act </w:t>
      </w:r>
      <w:r w:rsidRPr="002B1A95">
        <w:t xml:space="preserve">means the </w:t>
      </w:r>
      <w:r w:rsidRPr="002B1A95">
        <w:rPr>
          <w:i/>
        </w:rPr>
        <w:t>Retirement Savings Accounts Act 1997</w:t>
      </w:r>
      <w:r w:rsidRPr="002B1A95">
        <w:t>.</w:t>
      </w:r>
    </w:p>
    <w:p w:rsidR="007D17C5" w:rsidRPr="002B1A95" w:rsidRDefault="007D17C5" w:rsidP="007D17C5">
      <w:pPr>
        <w:pStyle w:val="Definition"/>
      </w:pPr>
      <w:r w:rsidRPr="002B1A95">
        <w:rPr>
          <w:b/>
          <w:i/>
        </w:rPr>
        <w:t xml:space="preserve">RSA Regulations </w:t>
      </w:r>
      <w:r w:rsidRPr="002B1A95">
        <w:t xml:space="preserve">means the </w:t>
      </w:r>
      <w:r w:rsidRPr="002B1A95">
        <w:rPr>
          <w:i/>
        </w:rPr>
        <w:t>Retirement Savings Accounts Regulations</w:t>
      </w:r>
      <w:r w:rsidR="002B1A95" w:rsidRPr="002B1A95">
        <w:rPr>
          <w:i/>
        </w:rPr>
        <w:t> </w:t>
      </w:r>
      <w:r w:rsidRPr="002B1A95">
        <w:rPr>
          <w:i/>
        </w:rPr>
        <w:t>1997</w:t>
      </w:r>
      <w:r w:rsidRPr="002B1A95">
        <w:t>.</w:t>
      </w:r>
    </w:p>
    <w:p w:rsidR="007D17C5" w:rsidRPr="002B1A95" w:rsidRDefault="007D17C5" w:rsidP="007D17C5">
      <w:pPr>
        <w:pStyle w:val="Definition"/>
      </w:pPr>
      <w:r w:rsidRPr="002B1A95">
        <w:rPr>
          <w:b/>
          <w:i/>
        </w:rPr>
        <w:t>RSE licensee</w:t>
      </w:r>
      <w:r w:rsidRPr="002B1A95">
        <w:t xml:space="preserve"> has the same meaning as in the SIS Act.</w:t>
      </w:r>
    </w:p>
    <w:p w:rsidR="007D17C5" w:rsidRPr="002B1A95" w:rsidRDefault="007D17C5" w:rsidP="007D17C5">
      <w:pPr>
        <w:pStyle w:val="Definition"/>
      </w:pPr>
      <w:r w:rsidRPr="002B1A95">
        <w:rPr>
          <w:b/>
          <w:i/>
        </w:rPr>
        <w:t xml:space="preserve">SIS Act </w:t>
      </w:r>
      <w:r w:rsidRPr="002B1A95">
        <w:t xml:space="preserve">means the </w:t>
      </w:r>
      <w:r w:rsidRPr="002B1A95">
        <w:rPr>
          <w:i/>
        </w:rPr>
        <w:t>Superannuation Industry (Supervision) Act 1993</w:t>
      </w:r>
      <w:r w:rsidRPr="002B1A95">
        <w:t>.</w:t>
      </w:r>
    </w:p>
    <w:p w:rsidR="007D17C5" w:rsidRPr="002B1A95" w:rsidRDefault="007D17C5" w:rsidP="007D17C5">
      <w:pPr>
        <w:pStyle w:val="Definition"/>
      </w:pPr>
      <w:r w:rsidRPr="002B1A95">
        <w:rPr>
          <w:b/>
          <w:i/>
        </w:rPr>
        <w:t xml:space="preserve">SIS Regulations </w:t>
      </w:r>
      <w:r w:rsidRPr="002B1A95">
        <w:t xml:space="preserve">means the </w:t>
      </w:r>
      <w:r w:rsidRPr="002B1A95">
        <w:rPr>
          <w:i/>
        </w:rPr>
        <w:t>Superannuation Industry (Supervision) Regulations</w:t>
      </w:r>
      <w:r w:rsidR="002B1A95" w:rsidRPr="002B1A95">
        <w:rPr>
          <w:i/>
        </w:rPr>
        <w:t> </w:t>
      </w:r>
      <w:r w:rsidRPr="002B1A95">
        <w:rPr>
          <w:i/>
        </w:rPr>
        <w:t>1994</w:t>
      </w:r>
      <w:r w:rsidRPr="002B1A95">
        <w:t>.</w:t>
      </w:r>
    </w:p>
    <w:p w:rsidR="007D17C5" w:rsidRPr="002B1A95" w:rsidRDefault="007D17C5" w:rsidP="007D17C5">
      <w:pPr>
        <w:pStyle w:val="Definition"/>
      </w:pPr>
      <w:r w:rsidRPr="002B1A95">
        <w:rPr>
          <w:b/>
          <w:i/>
          <w:color w:val="000000"/>
        </w:rPr>
        <w:t>superannuation annuity</w:t>
      </w:r>
      <w:r w:rsidRPr="002B1A95">
        <w:rPr>
          <w:color w:val="000000"/>
        </w:rPr>
        <w:t>: see</w:t>
      </w:r>
      <w:r w:rsidRPr="002B1A95">
        <w:t xml:space="preserve"> section 995</w:t>
      </w:r>
      <w:r w:rsidR="00782250">
        <w:noBreakHyphen/>
      </w:r>
      <w:r w:rsidRPr="002B1A95">
        <w:t>1.05.</w:t>
      </w:r>
    </w:p>
    <w:p w:rsidR="007D17C5" w:rsidRPr="002B1A95" w:rsidRDefault="007D17C5" w:rsidP="007D17C5">
      <w:pPr>
        <w:pStyle w:val="Definition"/>
      </w:pPr>
      <w:r w:rsidRPr="002B1A95">
        <w:rPr>
          <w:b/>
          <w:i/>
        </w:rPr>
        <w:t>superannuation income stream</w:t>
      </w:r>
      <w:r w:rsidRPr="002B1A95">
        <w:t>: see section 307</w:t>
      </w:r>
      <w:r w:rsidR="00782250">
        <w:noBreakHyphen/>
      </w:r>
      <w:r w:rsidRPr="002B1A95">
        <w:t>70.02.</w:t>
      </w:r>
    </w:p>
    <w:p w:rsidR="007D17C5" w:rsidRPr="002B1A95" w:rsidRDefault="007D17C5" w:rsidP="007D17C5">
      <w:pPr>
        <w:pStyle w:val="Definition"/>
      </w:pPr>
      <w:r w:rsidRPr="002B1A95">
        <w:rPr>
          <w:b/>
          <w:i/>
        </w:rPr>
        <w:t>superannuation salary</w:t>
      </w:r>
      <w:r w:rsidRPr="002B1A95">
        <w:t xml:space="preserve"> means the salary used to determine a person’s entitlement to superannuation benefits.</w:t>
      </w:r>
    </w:p>
    <w:p w:rsidR="007D17C5" w:rsidRPr="002B1A95" w:rsidRDefault="007D17C5" w:rsidP="007D17C5">
      <w:pPr>
        <w:pStyle w:val="Definition"/>
      </w:pPr>
      <w:r w:rsidRPr="002B1A95">
        <w:rPr>
          <w:b/>
          <w:i/>
        </w:rPr>
        <w:lastRenderedPageBreak/>
        <w:t>superannuation sub</w:t>
      </w:r>
      <w:r w:rsidR="00782250">
        <w:rPr>
          <w:b/>
          <w:i/>
        </w:rPr>
        <w:noBreakHyphen/>
      </w:r>
      <w:r w:rsidRPr="002B1A95">
        <w:rPr>
          <w:b/>
          <w:i/>
        </w:rPr>
        <w:t>fund</w:t>
      </w:r>
      <w:r w:rsidRPr="002B1A95">
        <w:t>, in relation to defined benefit members of a superannuation fund</w:t>
      </w:r>
      <w:r w:rsidRPr="002B1A95">
        <w:rPr>
          <w:color w:val="000000"/>
        </w:rPr>
        <w:t xml:space="preserve">, means an arrangement in the fund which </w:t>
      </w:r>
      <w:r w:rsidRPr="002B1A95">
        <w:t>satisfies the following conditions:</w:t>
      </w:r>
    </w:p>
    <w:p w:rsidR="007D17C5" w:rsidRPr="002B1A95" w:rsidRDefault="007D17C5" w:rsidP="007D17C5">
      <w:pPr>
        <w:pStyle w:val="paragraph"/>
      </w:pPr>
      <w:r w:rsidRPr="002B1A95">
        <w:tab/>
        <w:t>(a)</w:t>
      </w:r>
      <w:r w:rsidRPr="002B1A95">
        <w:tab/>
        <w:t>there are separately identifiable assets and separately identifiable beneficiaries;</w:t>
      </w:r>
    </w:p>
    <w:p w:rsidR="007D17C5" w:rsidRPr="002B1A95" w:rsidRDefault="007D17C5" w:rsidP="007D17C5">
      <w:pPr>
        <w:pStyle w:val="paragraph"/>
      </w:pPr>
      <w:r w:rsidRPr="002B1A95">
        <w:tab/>
        <w:t>(b)</w:t>
      </w:r>
      <w:r w:rsidRPr="002B1A95">
        <w:tab/>
        <w:t>the interest of each beneficiary is determined by reference only to the conditions governing that arrangement;</w:t>
      </w:r>
    </w:p>
    <w:p w:rsidR="007D17C5" w:rsidRPr="002B1A95" w:rsidRDefault="007D17C5" w:rsidP="007D17C5">
      <w:pPr>
        <w:pStyle w:val="paragraph"/>
      </w:pPr>
      <w:r w:rsidRPr="002B1A95">
        <w:tab/>
        <w:t>(c)</w:t>
      </w:r>
      <w:r w:rsidRPr="002B1A95">
        <w:tab/>
        <w:t>the defined benefit members have the same employer</w:t>
      </w:r>
      <w:r w:rsidR="00782250">
        <w:noBreakHyphen/>
      </w:r>
      <w:r w:rsidRPr="002B1A95">
        <w:t>sponsor;</w:t>
      </w:r>
    </w:p>
    <w:p w:rsidR="007D17C5" w:rsidRPr="002B1A95" w:rsidRDefault="007D17C5" w:rsidP="007D17C5">
      <w:pPr>
        <w:pStyle w:val="paragraph"/>
      </w:pPr>
      <w:r w:rsidRPr="002B1A95">
        <w:tab/>
        <w:t>(d)</w:t>
      </w:r>
      <w:r w:rsidRPr="002B1A95">
        <w:tab/>
        <w:t>the employer</w:t>
      </w:r>
      <w:r w:rsidR="00782250">
        <w:noBreakHyphen/>
      </w:r>
      <w:r w:rsidRPr="002B1A95">
        <w:t>sponsor deals with each of the defined benefit members at arm’s length.</w:t>
      </w:r>
    </w:p>
    <w:p w:rsidR="007D17C5" w:rsidRPr="002B1A95" w:rsidRDefault="007D17C5" w:rsidP="007D17C5">
      <w:pPr>
        <w:pStyle w:val="Definition"/>
        <w:rPr>
          <w:b/>
          <w:i/>
        </w:rPr>
      </w:pPr>
      <w:r w:rsidRPr="002B1A95">
        <w:rPr>
          <w:b/>
          <w:i/>
        </w:rPr>
        <w:t>terminal medical condition</w:t>
      </w:r>
      <w:r w:rsidRPr="002B1A95">
        <w:t>: see section 995</w:t>
      </w:r>
      <w:r w:rsidR="00782250">
        <w:noBreakHyphen/>
      </w:r>
      <w:r w:rsidRPr="002B1A95">
        <w:t>1.06.</w:t>
      </w:r>
    </w:p>
    <w:p w:rsidR="007D17C5" w:rsidRPr="002B1A95" w:rsidRDefault="007D17C5" w:rsidP="007D17C5">
      <w:pPr>
        <w:pStyle w:val="Definition"/>
      </w:pPr>
      <w:r w:rsidRPr="002B1A95">
        <w:rPr>
          <w:b/>
          <w:i/>
        </w:rPr>
        <w:t xml:space="preserve">TPD any occupation </w:t>
      </w:r>
      <w:r w:rsidRPr="002B1A95">
        <w:t>has the meaning given by subsection 295</w:t>
      </w:r>
      <w:r w:rsidR="00782250">
        <w:noBreakHyphen/>
      </w:r>
      <w:r w:rsidRPr="002B1A95">
        <w:t>465.01(5).</w:t>
      </w:r>
    </w:p>
    <w:p w:rsidR="007D17C5" w:rsidRPr="002B1A95" w:rsidRDefault="007D17C5" w:rsidP="007D17C5">
      <w:pPr>
        <w:pStyle w:val="Definition"/>
      </w:pPr>
      <w:r w:rsidRPr="002B1A95">
        <w:rPr>
          <w:b/>
          <w:i/>
        </w:rPr>
        <w:t xml:space="preserve">TPD own occupation </w:t>
      </w:r>
      <w:r w:rsidRPr="002B1A95">
        <w:t>has the meaning given by subsection 295</w:t>
      </w:r>
      <w:r w:rsidR="00782250">
        <w:noBreakHyphen/>
      </w:r>
      <w:r w:rsidRPr="002B1A95">
        <w:t>465.01(5).</w:t>
      </w:r>
    </w:p>
    <w:p w:rsidR="007D17C5" w:rsidRPr="002B1A95" w:rsidRDefault="007D17C5" w:rsidP="007D17C5">
      <w:pPr>
        <w:pStyle w:val="ActHead5"/>
      </w:pPr>
      <w:bookmarkStart w:id="175" w:name="_Toc49765353"/>
      <w:r w:rsidRPr="00411C46">
        <w:rPr>
          <w:rStyle w:val="CharSectno"/>
        </w:rPr>
        <w:t>995</w:t>
      </w:r>
      <w:r w:rsidR="00782250" w:rsidRPr="00411C46">
        <w:rPr>
          <w:rStyle w:val="CharSectno"/>
        </w:rPr>
        <w:noBreakHyphen/>
      </w:r>
      <w:r w:rsidRPr="00411C46">
        <w:rPr>
          <w:rStyle w:val="CharSectno"/>
        </w:rPr>
        <w:t>1.02</w:t>
      </w:r>
      <w:r w:rsidRPr="002B1A95">
        <w:t xml:space="preserve">  Approved stock exchanges</w:t>
      </w:r>
      <w:bookmarkEnd w:id="175"/>
    </w:p>
    <w:p w:rsidR="007D17C5" w:rsidRPr="002B1A95" w:rsidRDefault="007D17C5" w:rsidP="007D17C5">
      <w:pPr>
        <w:pStyle w:val="subsection"/>
      </w:pPr>
      <w:r w:rsidRPr="002B1A95">
        <w:tab/>
      </w:r>
      <w:r w:rsidRPr="002B1A95">
        <w:tab/>
        <w:t>The stock exchanges specified in Schedule</w:t>
      </w:r>
      <w:r w:rsidR="002B1A95" w:rsidRPr="002B1A95">
        <w:t> </w:t>
      </w:r>
      <w:r w:rsidRPr="002B1A95">
        <w:t xml:space="preserve">3 are named for the purposes of the definition of </w:t>
      </w:r>
      <w:r w:rsidRPr="002B1A95">
        <w:rPr>
          <w:b/>
          <w:i/>
        </w:rPr>
        <w:t>approved stock exchange</w:t>
      </w:r>
      <w:r w:rsidRPr="002B1A95">
        <w:t xml:space="preserve"> in subsection</w:t>
      </w:r>
      <w:r w:rsidR="002B1A95" w:rsidRPr="002B1A95">
        <w:t> </w:t>
      </w:r>
      <w:r w:rsidRPr="002B1A95">
        <w:t>995</w:t>
      </w:r>
      <w:r w:rsidR="00782250">
        <w:noBreakHyphen/>
      </w:r>
      <w:r w:rsidRPr="002B1A95">
        <w:t>1(1) of the Act.</w:t>
      </w:r>
    </w:p>
    <w:p w:rsidR="007D17C5" w:rsidRPr="002B1A95" w:rsidRDefault="007D17C5" w:rsidP="007D17C5">
      <w:pPr>
        <w:pStyle w:val="ActHead5"/>
      </w:pPr>
      <w:bookmarkStart w:id="176" w:name="_Toc49765354"/>
      <w:r w:rsidRPr="00411C46">
        <w:rPr>
          <w:rStyle w:val="CharSectno"/>
        </w:rPr>
        <w:t>995</w:t>
      </w:r>
      <w:r w:rsidR="00782250" w:rsidRPr="00411C46">
        <w:rPr>
          <w:rStyle w:val="CharSectno"/>
        </w:rPr>
        <w:noBreakHyphen/>
      </w:r>
      <w:r w:rsidRPr="00411C46">
        <w:rPr>
          <w:rStyle w:val="CharSectno"/>
        </w:rPr>
        <w:t>1.03</w:t>
      </w:r>
      <w:r w:rsidRPr="002B1A95">
        <w:t xml:space="preserve">  Constitutionally protected funds</w:t>
      </w:r>
      <w:bookmarkEnd w:id="176"/>
    </w:p>
    <w:p w:rsidR="007D17C5" w:rsidRPr="002B1A95" w:rsidRDefault="007D17C5" w:rsidP="007D17C5">
      <w:pPr>
        <w:pStyle w:val="subsection"/>
      </w:pPr>
      <w:r w:rsidRPr="002B1A95">
        <w:tab/>
      </w:r>
      <w:r w:rsidRPr="002B1A95">
        <w:tab/>
        <w:t xml:space="preserve">For the purposes of the definition of </w:t>
      </w:r>
      <w:r w:rsidRPr="002B1A95">
        <w:rPr>
          <w:b/>
          <w:i/>
        </w:rPr>
        <w:t>constitutionally protected fund</w:t>
      </w:r>
      <w:r w:rsidRPr="002B1A95">
        <w:t xml:space="preserve"> in subsection</w:t>
      </w:r>
      <w:r w:rsidR="002B1A95" w:rsidRPr="002B1A95">
        <w:t> </w:t>
      </w:r>
      <w:r w:rsidRPr="002B1A95">
        <w:t>995</w:t>
      </w:r>
      <w:r w:rsidR="00782250">
        <w:noBreakHyphen/>
      </w:r>
      <w:r w:rsidRPr="002B1A95">
        <w:t>1(1) of the Act, a fund:</w:t>
      </w:r>
    </w:p>
    <w:p w:rsidR="007D17C5" w:rsidRPr="002B1A95" w:rsidRDefault="007D17C5" w:rsidP="007D17C5">
      <w:pPr>
        <w:pStyle w:val="paragraph"/>
      </w:pPr>
      <w:r w:rsidRPr="002B1A95">
        <w:rPr>
          <w:color w:val="000000"/>
        </w:rPr>
        <w:tab/>
        <w:t>(a)</w:t>
      </w:r>
      <w:r w:rsidRPr="002B1A95">
        <w:rPr>
          <w:color w:val="000000"/>
        </w:rPr>
        <w:tab/>
        <w:t>of the kind to which, in the absence of item</w:t>
      </w:r>
      <w:r w:rsidR="002B1A95" w:rsidRPr="002B1A95">
        <w:rPr>
          <w:color w:val="000000"/>
        </w:rPr>
        <w:t> </w:t>
      </w:r>
      <w:r w:rsidRPr="002B1A95">
        <w:rPr>
          <w:color w:val="000000"/>
        </w:rPr>
        <w:t>5.3 of section</w:t>
      </w:r>
      <w:r w:rsidR="002B1A95" w:rsidRPr="002B1A95">
        <w:rPr>
          <w:color w:val="000000"/>
        </w:rPr>
        <w:t> </w:t>
      </w:r>
      <w:r w:rsidRPr="002B1A95">
        <w:rPr>
          <w:color w:val="000000"/>
        </w:rPr>
        <w:t>50</w:t>
      </w:r>
      <w:r w:rsidR="00782250">
        <w:rPr>
          <w:color w:val="000000"/>
        </w:rPr>
        <w:noBreakHyphen/>
      </w:r>
      <w:r w:rsidRPr="002B1A95">
        <w:rPr>
          <w:color w:val="000000"/>
        </w:rPr>
        <w:t>25 of the Act, Division</w:t>
      </w:r>
      <w:r w:rsidR="002B1A95" w:rsidRPr="002B1A95">
        <w:rPr>
          <w:color w:val="000000"/>
        </w:rPr>
        <w:t> </w:t>
      </w:r>
      <w:r w:rsidRPr="002B1A95">
        <w:rPr>
          <w:color w:val="000000"/>
        </w:rPr>
        <w:t>295 of the Act would apply; and</w:t>
      </w:r>
    </w:p>
    <w:p w:rsidR="007D17C5" w:rsidRPr="002B1A95" w:rsidRDefault="007D17C5" w:rsidP="007D17C5">
      <w:pPr>
        <w:pStyle w:val="paragraph"/>
        <w:rPr>
          <w:color w:val="000000"/>
        </w:rPr>
      </w:pPr>
      <w:r w:rsidRPr="002B1A95">
        <w:tab/>
        <w:t>(b)</w:t>
      </w:r>
      <w:r w:rsidRPr="002B1A95">
        <w:tab/>
        <w:t xml:space="preserve">established by </w:t>
      </w:r>
      <w:r w:rsidRPr="002B1A95">
        <w:rPr>
          <w:color w:val="000000"/>
        </w:rPr>
        <w:t>a State Act, or a provision of a State Act, mentioned in an item of the following table;</w:t>
      </w:r>
    </w:p>
    <w:p w:rsidR="007D17C5" w:rsidRPr="002B1A95" w:rsidRDefault="007D17C5" w:rsidP="007D17C5">
      <w:pPr>
        <w:pStyle w:val="subsection2"/>
      </w:pPr>
      <w:r w:rsidRPr="002B1A95">
        <w:t>is declared to be a constitutionally protected fund.</w:t>
      </w:r>
    </w:p>
    <w:p w:rsidR="007D17C5" w:rsidRPr="002B1A95" w:rsidRDefault="007D17C5" w:rsidP="007D17C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7599"/>
      </w:tblGrid>
      <w:tr w:rsidR="007D17C5" w:rsidRPr="002B1A95" w:rsidTr="009558BE">
        <w:trPr>
          <w:tblHeader/>
        </w:trPr>
        <w:tc>
          <w:tcPr>
            <w:tcW w:w="8313" w:type="dxa"/>
            <w:gridSpan w:val="2"/>
            <w:tcBorders>
              <w:top w:val="single" w:sz="12" w:space="0" w:color="auto"/>
              <w:bottom w:val="single" w:sz="6" w:space="0" w:color="auto"/>
            </w:tcBorders>
            <w:shd w:val="clear" w:color="auto" w:fill="auto"/>
          </w:tcPr>
          <w:p w:rsidR="007D17C5" w:rsidRPr="002B1A95" w:rsidRDefault="007D17C5" w:rsidP="009558BE">
            <w:pPr>
              <w:pStyle w:val="TableHeading"/>
            </w:pPr>
            <w:r w:rsidRPr="002B1A95">
              <w:t>State Acts or provisions of State Acts establishing constitutionally protected funds</w:t>
            </w:r>
          </w:p>
        </w:tc>
      </w:tr>
      <w:tr w:rsidR="007D17C5" w:rsidRPr="002B1A95" w:rsidTr="009558BE">
        <w:trPr>
          <w:tblHeader/>
        </w:trPr>
        <w:tc>
          <w:tcPr>
            <w:tcW w:w="714" w:type="dxa"/>
            <w:tcBorders>
              <w:top w:val="single" w:sz="6" w:space="0" w:color="auto"/>
              <w:bottom w:val="single" w:sz="12" w:space="0" w:color="auto"/>
            </w:tcBorders>
            <w:shd w:val="clear" w:color="auto" w:fill="auto"/>
          </w:tcPr>
          <w:p w:rsidR="007D17C5" w:rsidRPr="002B1A95" w:rsidRDefault="007D17C5" w:rsidP="009558BE">
            <w:pPr>
              <w:pStyle w:val="TableHeading"/>
            </w:pPr>
            <w:r w:rsidRPr="002B1A95">
              <w:t>Item</w:t>
            </w:r>
          </w:p>
        </w:tc>
        <w:tc>
          <w:tcPr>
            <w:tcW w:w="7599" w:type="dxa"/>
            <w:tcBorders>
              <w:top w:val="single" w:sz="6" w:space="0" w:color="auto"/>
              <w:bottom w:val="single" w:sz="12" w:space="0" w:color="auto"/>
            </w:tcBorders>
            <w:shd w:val="clear" w:color="auto" w:fill="auto"/>
          </w:tcPr>
          <w:p w:rsidR="007D17C5" w:rsidRPr="002B1A95" w:rsidRDefault="007D17C5" w:rsidP="009558BE">
            <w:pPr>
              <w:pStyle w:val="TableHeading"/>
            </w:pPr>
            <w:r w:rsidRPr="002B1A95">
              <w:t>State Act or provision of State Act</w:t>
            </w:r>
          </w:p>
        </w:tc>
      </w:tr>
      <w:tr w:rsidR="007D17C5" w:rsidRPr="002B1A95" w:rsidTr="009558BE">
        <w:tc>
          <w:tcPr>
            <w:tcW w:w="714" w:type="dxa"/>
            <w:tcBorders>
              <w:top w:val="single" w:sz="12" w:space="0" w:color="auto"/>
            </w:tcBorders>
            <w:shd w:val="clear" w:color="auto" w:fill="auto"/>
          </w:tcPr>
          <w:p w:rsidR="007D17C5" w:rsidRPr="002B1A95" w:rsidRDefault="007D17C5" w:rsidP="009558BE">
            <w:pPr>
              <w:pStyle w:val="Tabletext"/>
            </w:pPr>
            <w:r w:rsidRPr="002B1A95">
              <w:t>1</w:t>
            </w:r>
          </w:p>
        </w:tc>
        <w:tc>
          <w:tcPr>
            <w:tcW w:w="7599" w:type="dxa"/>
            <w:tcBorders>
              <w:top w:val="single" w:sz="12" w:space="0" w:color="auto"/>
            </w:tcBorders>
            <w:shd w:val="clear" w:color="auto" w:fill="auto"/>
          </w:tcPr>
          <w:p w:rsidR="007D17C5" w:rsidRPr="002B1A95" w:rsidRDefault="007D17C5" w:rsidP="009558BE">
            <w:pPr>
              <w:pStyle w:val="Tabletext"/>
            </w:pPr>
            <w:r w:rsidRPr="002B1A95">
              <w:rPr>
                <w:i/>
                <w:color w:val="000000"/>
              </w:rPr>
              <w:t xml:space="preserve">Judges’ Pensions Act 1953 </w:t>
            </w:r>
            <w:r w:rsidRPr="002B1A95">
              <w:rPr>
                <w:color w:val="000000"/>
              </w:rPr>
              <w:t>(NSW)</w:t>
            </w:r>
          </w:p>
        </w:tc>
      </w:tr>
      <w:tr w:rsidR="007D17C5" w:rsidRPr="002B1A95" w:rsidTr="009558BE">
        <w:tc>
          <w:tcPr>
            <w:tcW w:w="714" w:type="dxa"/>
            <w:shd w:val="clear" w:color="auto" w:fill="auto"/>
          </w:tcPr>
          <w:p w:rsidR="007D17C5" w:rsidRPr="002B1A95" w:rsidRDefault="007D17C5" w:rsidP="009558BE">
            <w:pPr>
              <w:pStyle w:val="Tabletext"/>
            </w:pPr>
            <w:r w:rsidRPr="002B1A95">
              <w:t>2</w:t>
            </w:r>
          </w:p>
        </w:tc>
        <w:tc>
          <w:tcPr>
            <w:tcW w:w="7599" w:type="dxa"/>
            <w:shd w:val="clear" w:color="auto" w:fill="auto"/>
          </w:tcPr>
          <w:p w:rsidR="007D17C5" w:rsidRPr="002B1A95" w:rsidRDefault="007D17C5" w:rsidP="009558BE">
            <w:pPr>
              <w:pStyle w:val="Tabletext"/>
            </w:pPr>
            <w:r w:rsidRPr="002B1A95">
              <w:rPr>
                <w:i/>
                <w:color w:val="000000"/>
              </w:rPr>
              <w:t>Attorney</w:t>
            </w:r>
            <w:r w:rsidR="00782250">
              <w:rPr>
                <w:i/>
                <w:color w:val="000000"/>
              </w:rPr>
              <w:noBreakHyphen/>
            </w:r>
            <w:r w:rsidRPr="002B1A95">
              <w:rPr>
                <w:i/>
                <w:color w:val="000000"/>
              </w:rPr>
              <w:t>General and Solicitor</w:t>
            </w:r>
            <w:r w:rsidR="00782250">
              <w:rPr>
                <w:i/>
                <w:color w:val="000000"/>
              </w:rPr>
              <w:noBreakHyphen/>
            </w:r>
            <w:r w:rsidRPr="002B1A95">
              <w:rPr>
                <w:i/>
                <w:color w:val="000000"/>
              </w:rPr>
              <w:t xml:space="preserve">General Act 1972 </w:t>
            </w:r>
            <w:r w:rsidRPr="002B1A95">
              <w:rPr>
                <w:color w:val="000000"/>
              </w:rPr>
              <w:t>(Vic.)</w:t>
            </w:r>
          </w:p>
        </w:tc>
      </w:tr>
      <w:tr w:rsidR="007D17C5" w:rsidRPr="002B1A95" w:rsidTr="009558BE">
        <w:tc>
          <w:tcPr>
            <w:tcW w:w="714" w:type="dxa"/>
            <w:shd w:val="clear" w:color="auto" w:fill="auto"/>
          </w:tcPr>
          <w:p w:rsidR="007D17C5" w:rsidRPr="002B1A95" w:rsidRDefault="007D17C5" w:rsidP="009558BE">
            <w:pPr>
              <w:pStyle w:val="Tabletext"/>
            </w:pPr>
            <w:r w:rsidRPr="002B1A95">
              <w:t>3</w:t>
            </w:r>
          </w:p>
        </w:tc>
        <w:tc>
          <w:tcPr>
            <w:tcW w:w="7599" w:type="dxa"/>
            <w:shd w:val="clear" w:color="auto" w:fill="auto"/>
          </w:tcPr>
          <w:p w:rsidR="007D17C5" w:rsidRPr="002B1A95" w:rsidRDefault="007D17C5" w:rsidP="009558BE">
            <w:pPr>
              <w:pStyle w:val="Tabletext"/>
            </w:pPr>
            <w:r w:rsidRPr="002B1A95">
              <w:rPr>
                <w:i/>
                <w:color w:val="000000"/>
              </w:rPr>
              <w:t>Coal Mines (Pensions) Act 1958</w:t>
            </w:r>
            <w:r w:rsidRPr="002B1A95">
              <w:rPr>
                <w:b/>
                <w:color w:val="000000"/>
              </w:rPr>
              <w:t xml:space="preserve"> </w:t>
            </w:r>
            <w:r w:rsidRPr="002B1A95">
              <w:rPr>
                <w:color w:val="000000"/>
              </w:rPr>
              <w:t>(Vic.)</w:t>
            </w:r>
          </w:p>
        </w:tc>
      </w:tr>
      <w:tr w:rsidR="007D17C5" w:rsidRPr="002B1A95" w:rsidTr="009558BE">
        <w:tc>
          <w:tcPr>
            <w:tcW w:w="714" w:type="dxa"/>
            <w:shd w:val="clear" w:color="auto" w:fill="auto"/>
          </w:tcPr>
          <w:p w:rsidR="007D17C5" w:rsidRPr="002B1A95" w:rsidRDefault="007D17C5" w:rsidP="009558BE">
            <w:pPr>
              <w:pStyle w:val="Tabletext"/>
            </w:pPr>
            <w:r w:rsidRPr="002B1A95">
              <w:t>4</w:t>
            </w:r>
          </w:p>
        </w:tc>
        <w:tc>
          <w:tcPr>
            <w:tcW w:w="7599" w:type="dxa"/>
            <w:shd w:val="clear" w:color="auto" w:fill="auto"/>
          </w:tcPr>
          <w:p w:rsidR="007D17C5" w:rsidRPr="002B1A95" w:rsidRDefault="007D17C5" w:rsidP="009558BE">
            <w:pPr>
              <w:pStyle w:val="Tabletext"/>
            </w:pPr>
            <w:r w:rsidRPr="002B1A95">
              <w:rPr>
                <w:i/>
                <w:color w:val="000000"/>
              </w:rPr>
              <w:t>Constitution Act 1975</w:t>
            </w:r>
            <w:r w:rsidRPr="002B1A95">
              <w:rPr>
                <w:color w:val="000000"/>
              </w:rPr>
              <w:t xml:space="preserve"> (Vic.)</w:t>
            </w:r>
          </w:p>
        </w:tc>
      </w:tr>
      <w:tr w:rsidR="007D17C5" w:rsidRPr="002B1A95" w:rsidTr="009558BE">
        <w:tc>
          <w:tcPr>
            <w:tcW w:w="714" w:type="dxa"/>
            <w:shd w:val="clear" w:color="auto" w:fill="auto"/>
          </w:tcPr>
          <w:p w:rsidR="007D17C5" w:rsidRPr="002B1A95" w:rsidRDefault="007D17C5" w:rsidP="009558BE">
            <w:pPr>
              <w:pStyle w:val="Tabletext"/>
            </w:pPr>
            <w:r w:rsidRPr="002B1A95">
              <w:t>5</w:t>
            </w:r>
          </w:p>
        </w:tc>
        <w:tc>
          <w:tcPr>
            <w:tcW w:w="7599" w:type="dxa"/>
            <w:shd w:val="clear" w:color="auto" w:fill="auto"/>
          </w:tcPr>
          <w:p w:rsidR="007D17C5" w:rsidRPr="002B1A95" w:rsidRDefault="007D17C5" w:rsidP="009558BE">
            <w:pPr>
              <w:pStyle w:val="Tabletext"/>
            </w:pPr>
            <w:r w:rsidRPr="002B1A95">
              <w:rPr>
                <w:i/>
                <w:color w:val="000000"/>
              </w:rPr>
              <w:t>County Court Act 1958</w:t>
            </w:r>
            <w:r w:rsidRPr="002B1A95">
              <w:rPr>
                <w:color w:val="000000"/>
              </w:rPr>
              <w:t xml:space="preserve"> (Vic.)</w:t>
            </w:r>
          </w:p>
        </w:tc>
      </w:tr>
      <w:tr w:rsidR="007D17C5" w:rsidRPr="002B1A95" w:rsidTr="009558BE">
        <w:tc>
          <w:tcPr>
            <w:tcW w:w="714" w:type="dxa"/>
            <w:shd w:val="clear" w:color="auto" w:fill="auto"/>
          </w:tcPr>
          <w:p w:rsidR="007D17C5" w:rsidRPr="002B1A95" w:rsidRDefault="007D17C5" w:rsidP="009558BE">
            <w:pPr>
              <w:pStyle w:val="Tabletext"/>
            </w:pPr>
            <w:r w:rsidRPr="002B1A95">
              <w:t>6</w:t>
            </w:r>
          </w:p>
        </w:tc>
        <w:tc>
          <w:tcPr>
            <w:tcW w:w="7599" w:type="dxa"/>
            <w:shd w:val="clear" w:color="auto" w:fill="auto"/>
          </w:tcPr>
          <w:p w:rsidR="007D17C5" w:rsidRPr="002B1A95" w:rsidRDefault="007D17C5" w:rsidP="009558BE">
            <w:pPr>
              <w:pStyle w:val="Tabletext"/>
            </w:pPr>
            <w:r w:rsidRPr="002B1A95">
              <w:rPr>
                <w:i/>
              </w:rPr>
              <w:t>Magistrates’ Court Act 1989</w:t>
            </w:r>
            <w:r w:rsidRPr="002B1A95">
              <w:t xml:space="preserve"> </w:t>
            </w:r>
            <w:r w:rsidRPr="002B1A95">
              <w:rPr>
                <w:color w:val="000000"/>
              </w:rPr>
              <w:t>(Vic.)</w:t>
            </w:r>
          </w:p>
        </w:tc>
      </w:tr>
      <w:tr w:rsidR="007D17C5" w:rsidRPr="002B1A95" w:rsidTr="009558BE">
        <w:tc>
          <w:tcPr>
            <w:tcW w:w="714" w:type="dxa"/>
            <w:shd w:val="clear" w:color="auto" w:fill="auto"/>
          </w:tcPr>
          <w:p w:rsidR="007D17C5" w:rsidRPr="002B1A95" w:rsidRDefault="007D17C5" w:rsidP="009558BE">
            <w:pPr>
              <w:pStyle w:val="Tabletext"/>
            </w:pPr>
            <w:r w:rsidRPr="002B1A95">
              <w:t>7</w:t>
            </w:r>
          </w:p>
        </w:tc>
        <w:tc>
          <w:tcPr>
            <w:tcW w:w="7599" w:type="dxa"/>
            <w:shd w:val="clear" w:color="auto" w:fill="auto"/>
          </w:tcPr>
          <w:p w:rsidR="007D17C5" w:rsidRPr="002B1A95" w:rsidRDefault="007D17C5" w:rsidP="009558BE">
            <w:pPr>
              <w:pStyle w:val="Tabletext"/>
            </w:pPr>
            <w:r w:rsidRPr="002B1A95">
              <w:rPr>
                <w:color w:val="000000"/>
              </w:rPr>
              <w:t>subsection</w:t>
            </w:r>
            <w:r w:rsidR="002B1A95" w:rsidRPr="002B1A95">
              <w:rPr>
                <w:color w:val="000000"/>
              </w:rPr>
              <w:t> </w:t>
            </w:r>
            <w:r w:rsidRPr="002B1A95">
              <w:rPr>
                <w:color w:val="000000"/>
              </w:rPr>
              <w:t xml:space="preserve">9(2) of the </w:t>
            </w:r>
            <w:r w:rsidRPr="002B1A95">
              <w:rPr>
                <w:i/>
                <w:color w:val="000000"/>
              </w:rPr>
              <w:t>Ombudsman Act 1973</w:t>
            </w:r>
            <w:r w:rsidRPr="002B1A95">
              <w:rPr>
                <w:color w:val="000000"/>
              </w:rPr>
              <w:t xml:space="preserve"> (Vic.)</w:t>
            </w:r>
          </w:p>
        </w:tc>
      </w:tr>
      <w:tr w:rsidR="007D17C5" w:rsidRPr="002B1A95" w:rsidTr="009558BE">
        <w:tc>
          <w:tcPr>
            <w:tcW w:w="714" w:type="dxa"/>
            <w:shd w:val="clear" w:color="auto" w:fill="auto"/>
          </w:tcPr>
          <w:p w:rsidR="007D17C5" w:rsidRPr="002B1A95" w:rsidRDefault="007D17C5" w:rsidP="009558BE">
            <w:pPr>
              <w:pStyle w:val="Tabletext"/>
            </w:pPr>
            <w:r w:rsidRPr="002B1A95">
              <w:t>8</w:t>
            </w:r>
          </w:p>
        </w:tc>
        <w:tc>
          <w:tcPr>
            <w:tcW w:w="7599" w:type="dxa"/>
            <w:shd w:val="clear" w:color="auto" w:fill="auto"/>
          </w:tcPr>
          <w:p w:rsidR="007D17C5" w:rsidRPr="002B1A95" w:rsidRDefault="007D17C5" w:rsidP="009558BE">
            <w:pPr>
              <w:pStyle w:val="Tabletext"/>
            </w:pPr>
            <w:r w:rsidRPr="002B1A95">
              <w:rPr>
                <w:i/>
              </w:rPr>
              <w:t>Public Prosecutions Act 1994</w:t>
            </w:r>
            <w:r w:rsidRPr="002B1A95">
              <w:t xml:space="preserve"> </w:t>
            </w:r>
            <w:r w:rsidRPr="002B1A95">
              <w:rPr>
                <w:color w:val="000000"/>
              </w:rPr>
              <w:t>(Vic.)</w:t>
            </w:r>
          </w:p>
        </w:tc>
      </w:tr>
      <w:tr w:rsidR="007D17C5" w:rsidRPr="002B1A95" w:rsidTr="009558BE">
        <w:tc>
          <w:tcPr>
            <w:tcW w:w="714" w:type="dxa"/>
            <w:shd w:val="clear" w:color="auto" w:fill="auto"/>
          </w:tcPr>
          <w:p w:rsidR="007D17C5" w:rsidRPr="002B1A95" w:rsidRDefault="007D17C5" w:rsidP="009558BE">
            <w:pPr>
              <w:pStyle w:val="Tabletext"/>
            </w:pPr>
            <w:r w:rsidRPr="002B1A95">
              <w:t>9</w:t>
            </w:r>
          </w:p>
        </w:tc>
        <w:tc>
          <w:tcPr>
            <w:tcW w:w="7599" w:type="dxa"/>
            <w:shd w:val="clear" w:color="auto" w:fill="auto"/>
          </w:tcPr>
          <w:p w:rsidR="007D17C5" w:rsidRPr="002B1A95" w:rsidRDefault="007D17C5" w:rsidP="009558BE">
            <w:pPr>
              <w:pStyle w:val="Tabletext"/>
            </w:pPr>
            <w:r w:rsidRPr="002B1A95">
              <w:rPr>
                <w:i/>
                <w:color w:val="000000"/>
              </w:rPr>
              <w:t>Supreme Court Act 1986</w:t>
            </w:r>
            <w:r w:rsidRPr="002B1A95">
              <w:rPr>
                <w:color w:val="000000"/>
              </w:rPr>
              <w:t xml:space="preserve"> (Vic.)</w:t>
            </w:r>
          </w:p>
        </w:tc>
      </w:tr>
      <w:tr w:rsidR="007D17C5" w:rsidRPr="002B1A95" w:rsidTr="009558BE">
        <w:tc>
          <w:tcPr>
            <w:tcW w:w="714" w:type="dxa"/>
            <w:shd w:val="clear" w:color="auto" w:fill="auto"/>
          </w:tcPr>
          <w:p w:rsidR="007D17C5" w:rsidRPr="002B1A95" w:rsidRDefault="007D17C5" w:rsidP="009558BE">
            <w:pPr>
              <w:pStyle w:val="Tabletext"/>
            </w:pPr>
            <w:r w:rsidRPr="002B1A95">
              <w:t>10</w:t>
            </w:r>
          </w:p>
        </w:tc>
        <w:tc>
          <w:tcPr>
            <w:tcW w:w="7599" w:type="dxa"/>
            <w:shd w:val="clear" w:color="auto" w:fill="auto"/>
          </w:tcPr>
          <w:p w:rsidR="007D17C5" w:rsidRPr="002B1A95" w:rsidRDefault="007D17C5" w:rsidP="009558BE">
            <w:pPr>
              <w:pStyle w:val="Tabletext"/>
            </w:pPr>
            <w:r w:rsidRPr="002B1A95">
              <w:rPr>
                <w:i/>
                <w:color w:val="000000"/>
              </w:rPr>
              <w:t xml:space="preserve">Governors (Salary and Pensions) Act 2003 </w:t>
            </w:r>
            <w:r w:rsidRPr="002B1A95">
              <w:rPr>
                <w:color w:val="000000"/>
              </w:rPr>
              <w:t>(Qld)</w:t>
            </w:r>
          </w:p>
        </w:tc>
      </w:tr>
      <w:tr w:rsidR="007D17C5" w:rsidRPr="002B1A95" w:rsidTr="009558BE">
        <w:tc>
          <w:tcPr>
            <w:tcW w:w="714" w:type="dxa"/>
            <w:shd w:val="clear" w:color="auto" w:fill="auto"/>
          </w:tcPr>
          <w:p w:rsidR="007D17C5" w:rsidRPr="002B1A95" w:rsidRDefault="007D17C5" w:rsidP="009558BE">
            <w:pPr>
              <w:pStyle w:val="Tabletext"/>
            </w:pPr>
            <w:r w:rsidRPr="002B1A95">
              <w:t>11</w:t>
            </w:r>
          </w:p>
        </w:tc>
        <w:tc>
          <w:tcPr>
            <w:tcW w:w="7599" w:type="dxa"/>
            <w:shd w:val="clear" w:color="auto" w:fill="auto"/>
          </w:tcPr>
          <w:p w:rsidR="007D17C5" w:rsidRPr="002B1A95" w:rsidRDefault="007D17C5" w:rsidP="009558BE">
            <w:pPr>
              <w:pStyle w:val="Tabletext"/>
            </w:pPr>
            <w:r w:rsidRPr="002B1A95">
              <w:rPr>
                <w:i/>
                <w:color w:val="000000"/>
              </w:rPr>
              <w:t xml:space="preserve">Judges (Pensions and Long Leave) Act 1957 </w:t>
            </w:r>
            <w:r w:rsidRPr="002B1A95">
              <w:rPr>
                <w:color w:val="000000"/>
              </w:rPr>
              <w:t>(Qld)</w:t>
            </w:r>
          </w:p>
        </w:tc>
      </w:tr>
      <w:tr w:rsidR="007D17C5" w:rsidRPr="002B1A95" w:rsidTr="009558BE">
        <w:tc>
          <w:tcPr>
            <w:tcW w:w="714" w:type="dxa"/>
            <w:shd w:val="clear" w:color="auto" w:fill="auto"/>
          </w:tcPr>
          <w:p w:rsidR="007D17C5" w:rsidRPr="002B1A95" w:rsidRDefault="007D17C5" w:rsidP="009558BE">
            <w:pPr>
              <w:pStyle w:val="Tabletext"/>
            </w:pPr>
            <w:r w:rsidRPr="002B1A95">
              <w:t>12</w:t>
            </w:r>
          </w:p>
        </w:tc>
        <w:tc>
          <w:tcPr>
            <w:tcW w:w="7599" w:type="dxa"/>
            <w:shd w:val="clear" w:color="auto" w:fill="auto"/>
          </w:tcPr>
          <w:p w:rsidR="007D17C5" w:rsidRPr="002B1A95" w:rsidRDefault="007D17C5" w:rsidP="009558BE">
            <w:pPr>
              <w:pStyle w:val="Tabletext"/>
            </w:pPr>
            <w:r w:rsidRPr="002B1A95">
              <w:rPr>
                <w:i/>
                <w:color w:val="000000"/>
              </w:rPr>
              <w:t xml:space="preserve">Judges’ Salaries and Pensions Act 1950 </w:t>
            </w:r>
            <w:r w:rsidRPr="002B1A95">
              <w:rPr>
                <w:color w:val="000000"/>
              </w:rPr>
              <w:t>(WA)</w:t>
            </w:r>
          </w:p>
        </w:tc>
      </w:tr>
      <w:tr w:rsidR="007D17C5" w:rsidRPr="002B1A95" w:rsidTr="009558BE">
        <w:tc>
          <w:tcPr>
            <w:tcW w:w="714" w:type="dxa"/>
            <w:shd w:val="clear" w:color="auto" w:fill="auto"/>
          </w:tcPr>
          <w:p w:rsidR="007D17C5" w:rsidRPr="002B1A95" w:rsidRDefault="007D17C5" w:rsidP="009558BE">
            <w:pPr>
              <w:pStyle w:val="Tabletext"/>
            </w:pPr>
            <w:r w:rsidRPr="002B1A95">
              <w:lastRenderedPageBreak/>
              <w:t>13</w:t>
            </w:r>
          </w:p>
        </w:tc>
        <w:tc>
          <w:tcPr>
            <w:tcW w:w="7599" w:type="dxa"/>
            <w:shd w:val="clear" w:color="auto" w:fill="auto"/>
          </w:tcPr>
          <w:p w:rsidR="007D17C5" w:rsidRPr="002B1A95" w:rsidRDefault="007D17C5" w:rsidP="009558BE">
            <w:pPr>
              <w:pStyle w:val="Tabletext"/>
            </w:pPr>
            <w:r w:rsidRPr="002B1A95">
              <w:rPr>
                <w:i/>
                <w:color w:val="000000"/>
              </w:rPr>
              <w:t xml:space="preserve">Parliamentary Superannuation Act 1970 </w:t>
            </w:r>
            <w:r w:rsidRPr="002B1A95">
              <w:rPr>
                <w:color w:val="000000"/>
              </w:rPr>
              <w:t>(WA)</w:t>
            </w:r>
          </w:p>
        </w:tc>
      </w:tr>
      <w:tr w:rsidR="007D17C5" w:rsidRPr="002B1A95" w:rsidTr="009558BE">
        <w:tc>
          <w:tcPr>
            <w:tcW w:w="714" w:type="dxa"/>
            <w:shd w:val="clear" w:color="auto" w:fill="auto"/>
          </w:tcPr>
          <w:p w:rsidR="007D17C5" w:rsidRPr="002B1A95" w:rsidRDefault="007D17C5" w:rsidP="009558BE">
            <w:pPr>
              <w:pStyle w:val="Tabletext"/>
            </w:pPr>
            <w:r w:rsidRPr="002B1A95">
              <w:t>14</w:t>
            </w:r>
          </w:p>
        </w:tc>
        <w:tc>
          <w:tcPr>
            <w:tcW w:w="7599" w:type="dxa"/>
            <w:shd w:val="clear" w:color="auto" w:fill="auto"/>
          </w:tcPr>
          <w:p w:rsidR="007D17C5" w:rsidRPr="002B1A95" w:rsidRDefault="007D17C5" w:rsidP="009558BE">
            <w:pPr>
              <w:pStyle w:val="Tabletext"/>
            </w:pPr>
            <w:r w:rsidRPr="002B1A95">
              <w:rPr>
                <w:i/>
                <w:color w:val="000000"/>
              </w:rPr>
              <w:t xml:space="preserve">State Superannuation Act 2000 </w:t>
            </w:r>
            <w:r w:rsidRPr="002B1A95">
              <w:rPr>
                <w:color w:val="000000"/>
              </w:rPr>
              <w:t>(WA)</w:t>
            </w:r>
          </w:p>
        </w:tc>
      </w:tr>
      <w:tr w:rsidR="007D17C5" w:rsidRPr="002B1A95" w:rsidTr="009558BE">
        <w:tc>
          <w:tcPr>
            <w:tcW w:w="714" w:type="dxa"/>
            <w:shd w:val="clear" w:color="auto" w:fill="auto"/>
          </w:tcPr>
          <w:p w:rsidR="007D17C5" w:rsidRPr="002B1A95" w:rsidRDefault="007D17C5" w:rsidP="009558BE">
            <w:pPr>
              <w:pStyle w:val="Tabletext"/>
            </w:pPr>
            <w:r w:rsidRPr="002B1A95">
              <w:t>15</w:t>
            </w:r>
          </w:p>
        </w:tc>
        <w:tc>
          <w:tcPr>
            <w:tcW w:w="7599" w:type="dxa"/>
            <w:shd w:val="clear" w:color="auto" w:fill="auto"/>
          </w:tcPr>
          <w:p w:rsidR="007D17C5" w:rsidRPr="002B1A95" w:rsidRDefault="007D17C5" w:rsidP="009558BE">
            <w:pPr>
              <w:pStyle w:val="Tabletext"/>
            </w:pPr>
            <w:r w:rsidRPr="002B1A95">
              <w:rPr>
                <w:i/>
                <w:color w:val="000000"/>
              </w:rPr>
              <w:t xml:space="preserve">Governors’ Pensions Act 1976 </w:t>
            </w:r>
            <w:r w:rsidRPr="002B1A95">
              <w:rPr>
                <w:color w:val="000000"/>
              </w:rPr>
              <w:t>(SA)</w:t>
            </w:r>
          </w:p>
        </w:tc>
      </w:tr>
      <w:tr w:rsidR="007D17C5" w:rsidRPr="002B1A95" w:rsidTr="009558BE">
        <w:tc>
          <w:tcPr>
            <w:tcW w:w="714" w:type="dxa"/>
            <w:shd w:val="clear" w:color="auto" w:fill="auto"/>
          </w:tcPr>
          <w:p w:rsidR="007D17C5" w:rsidRPr="002B1A95" w:rsidRDefault="007D17C5" w:rsidP="009558BE">
            <w:pPr>
              <w:pStyle w:val="Tabletext"/>
            </w:pPr>
            <w:r w:rsidRPr="002B1A95">
              <w:t>16</w:t>
            </w:r>
          </w:p>
        </w:tc>
        <w:tc>
          <w:tcPr>
            <w:tcW w:w="7599" w:type="dxa"/>
            <w:shd w:val="clear" w:color="auto" w:fill="auto"/>
          </w:tcPr>
          <w:p w:rsidR="007D17C5" w:rsidRPr="002B1A95" w:rsidRDefault="007D17C5" w:rsidP="009558BE">
            <w:pPr>
              <w:pStyle w:val="Tabletext"/>
            </w:pPr>
            <w:r w:rsidRPr="002B1A95">
              <w:rPr>
                <w:i/>
                <w:color w:val="000000"/>
              </w:rPr>
              <w:t xml:space="preserve">Judges’ Pensions Act 1971 </w:t>
            </w:r>
            <w:r w:rsidRPr="002B1A95">
              <w:rPr>
                <w:color w:val="000000"/>
              </w:rPr>
              <w:t>(SA)</w:t>
            </w:r>
          </w:p>
        </w:tc>
      </w:tr>
      <w:tr w:rsidR="007D17C5" w:rsidRPr="002B1A95" w:rsidTr="009558BE">
        <w:tc>
          <w:tcPr>
            <w:tcW w:w="714" w:type="dxa"/>
            <w:shd w:val="clear" w:color="auto" w:fill="auto"/>
          </w:tcPr>
          <w:p w:rsidR="007D17C5" w:rsidRPr="002B1A95" w:rsidRDefault="007D17C5" w:rsidP="009558BE">
            <w:pPr>
              <w:pStyle w:val="Tabletext"/>
            </w:pPr>
            <w:r w:rsidRPr="002B1A95">
              <w:t>17</w:t>
            </w:r>
          </w:p>
        </w:tc>
        <w:tc>
          <w:tcPr>
            <w:tcW w:w="7599" w:type="dxa"/>
            <w:shd w:val="clear" w:color="auto" w:fill="auto"/>
          </w:tcPr>
          <w:p w:rsidR="007D17C5" w:rsidRPr="002B1A95" w:rsidRDefault="007D17C5" w:rsidP="009558BE">
            <w:pPr>
              <w:pStyle w:val="Tabletext"/>
            </w:pPr>
            <w:r w:rsidRPr="002B1A95">
              <w:rPr>
                <w:i/>
                <w:color w:val="000000"/>
              </w:rPr>
              <w:t xml:space="preserve">Parliamentary Superannuation Act 1974 </w:t>
            </w:r>
            <w:r w:rsidRPr="002B1A95">
              <w:rPr>
                <w:color w:val="000000"/>
              </w:rPr>
              <w:t>(SA)</w:t>
            </w:r>
          </w:p>
        </w:tc>
      </w:tr>
      <w:tr w:rsidR="007D17C5" w:rsidRPr="002B1A95" w:rsidTr="009558BE">
        <w:tc>
          <w:tcPr>
            <w:tcW w:w="714" w:type="dxa"/>
            <w:shd w:val="clear" w:color="auto" w:fill="auto"/>
          </w:tcPr>
          <w:p w:rsidR="007D17C5" w:rsidRPr="002B1A95" w:rsidRDefault="007D17C5" w:rsidP="009558BE">
            <w:pPr>
              <w:pStyle w:val="Tabletext"/>
            </w:pPr>
            <w:r w:rsidRPr="002B1A95">
              <w:t>18</w:t>
            </w:r>
          </w:p>
        </w:tc>
        <w:tc>
          <w:tcPr>
            <w:tcW w:w="7599" w:type="dxa"/>
            <w:shd w:val="clear" w:color="auto" w:fill="auto"/>
          </w:tcPr>
          <w:p w:rsidR="007D17C5" w:rsidRPr="002B1A95" w:rsidRDefault="007D17C5" w:rsidP="009558BE">
            <w:pPr>
              <w:pStyle w:val="Tabletext"/>
            </w:pPr>
            <w:r w:rsidRPr="002B1A95">
              <w:rPr>
                <w:i/>
                <w:color w:val="000000"/>
              </w:rPr>
              <w:t>Police Superannuation Act 1990</w:t>
            </w:r>
            <w:r w:rsidRPr="002B1A95">
              <w:rPr>
                <w:color w:val="000000"/>
              </w:rPr>
              <w:t xml:space="preserve"> (SA)</w:t>
            </w:r>
          </w:p>
        </w:tc>
      </w:tr>
      <w:tr w:rsidR="007D17C5" w:rsidRPr="002B1A95" w:rsidTr="009558BE">
        <w:tc>
          <w:tcPr>
            <w:tcW w:w="714" w:type="dxa"/>
            <w:shd w:val="clear" w:color="auto" w:fill="auto"/>
          </w:tcPr>
          <w:p w:rsidR="007D17C5" w:rsidRPr="002B1A95" w:rsidRDefault="007D17C5" w:rsidP="009558BE">
            <w:pPr>
              <w:pStyle w:val="Tabletext"/>
            </w:pPr>
            <w:r w:rsidRPr="002B1A95">
              <w:t>19</w:t>
            </w:r>
          </w:p>
        </w:tc>
        <w:tc>
          <w:tcPr>
            <w:tcW w:w="7599" w:type="dxa"/>
            <w:shd w:val="clear" w:color="auto" w:fill="auto"/>
          </w:tcPr>
          <w:p w:rsidR="007D17C5" w:rsidRPr="002B1A95" w:rsidDel="007052BF" w:rsidRDefault="007D17C5" w:rsidP="009558BE">
            <w:pPr>
              <w:pStyle w:val="Tabletext"/>
            </w:pPr>
            <w:r w:rsidRPr="002B1A95">
              <w:t xml:space="preserve">a provision of the </w:t>
            </w:r>
            <w:r w:rsidRPr="002B1A95">
              <w:rPr>
                <w:i/>
              </w:rPr>
              <w:t xml:space="preserve">Southern State Superannuation Act 2009 </w:t>
            </w:r>
            <w:r w:rsidRPr="002B1A95">
              <w:t>(SA) (other than paragraph</w:t>
            </w:r>
            <w:r w:rsidR="002B1A95" w:rsidRPr="002B1A95">
              <w:t> </w:t>
            </w:r>
            <w:r w:rsidRPr="002B1A95">
              <w:t>30(2)(h))</w:t>
            </w:r>
          </w:p>
        </w:tc>
      </w:tr>
      <w:tr w:rsidR="007D17C5" w:rsidRPr="002B1A95" w:rsidTr="009558BE">
        <w:tc>
          <w:tcPr>
            <w:tcW w:w="714" w:type="dxa"/>
            <w:tcBorders>
              <w:bottom w:val="single" w:sz="2" w:space="0" w:color="auto"/>
            </w:tcBorders>
            <w:shd w:val="clear" w:color="auto" w:fill="auto"/>
          </w:tcPr>
          <w:p w:rsidR="007D17C5" w:rsidRPr="002B1A95" w:rsidRDefault="007D17C5" w:rsidP="009558BE">
            <w:pPr>
              <w:pStyle w:val="Tabletext"/>
            </w:pPr>
            <w:r w:rsidRPr="002B1A95">
              <w:t>20</w:t>
            </w:r>
          </w:p>
        </w:tc>
        <w:tc>
          <w:tcPr>
            <w:tcW w:w="7599" w:type="dxa"/>
            <w:tcBorders>
              <w:bottom w:val="single" w:sz="2" w:space="0" w:color="auto"/>
            </w:tcBorders>
            <w:shd w:val="clear" w:color="auto" w:fill="auto"/>
          </w:tcPr>
          <w:p w:rsidR="007D17C5" w:rsidRPr="002B1A95" w:rsidRDefault="007D17C5" w:rsidP="009558BE">
            <w:pPr>
              <w:pStyle w:val="Tabletext"/>
            </w:pPr>
            <w:r w:rsidRPr="002B1A95">
              <w:t xml:space="preserve">a provision of the </w:t>
            </w:r>
            <w:r w:rsidRPr="002B1A95">
              <w:rPr>
                <w:i/>
                <w:color w:val="000000"/>
              </w:rPr>
              <w:t>Superannuation Act 1988</w:t>
            </w:r>
            <w:r w:rsidRPr="002B1A95">
              <w:rPr>
                <w:color w:val="000000"/>
              </w:rPr>
              <w:t xml:space="preserve"> (SA) (other than section</w:t>
            </w:r>
            <w:r w:rsidR="002B1A95" w:rsidRPr="002B1A95">
              <w:rPr>
                <w:color w:val="000000"/>
              </w:rPr>
              <w:t> </w:t>
            </w:r>
            <w:r w:rsidRPr="002B1A95">
              <w:rPr>
                <w:color w:val="000000"/>
              </w:rPr>
              <w:t>52 and Schedule</w:t>
            </w:r>
            <w:r w:rsidR="002B1A95" w:rsidRPr="002B1A95">
              <w:rPr>
                <w:color w:val="000000"/>
              </w:rPr>
              <w:t> </w:t>
            </w:r>
            <w:r w:rsidRPr="002B1A95">
              <w:rPr>
                <w:color w:val="000000"/>
              </w:rPr>
              <w:t>3)</w:t>
            </w:r>
          </w:p>
        </w:tc>
      </w:tr>
      <w:tr w:rsidR="007D17C5" w:rsidRPr="002B1A95" w:rsidTr="009558BE">
        <w:tc>
          <w:tcPr>
            <w:tcW w:w="714" w:type="dxa"/>
            <w:tcBorders>
              <w:top w:val="single" w:sz="2" w:space="0" w:color="auto"/>
              <w:bottom w:val="single" w:sz="12" w:space="0" w:color="auto"/>
            </w:tcBorders>
            <w:shd w:val="clear" w:color="auto" w:fill="auto"/>
          </w:tcPr>
          <w:p w:rsidR="007D17C5" w:rsidRPr="002B1A95" w:rsidRDefault="007D17C5" w:rsidP="009558BE">
            <w:pPr>
              <w:pStyle w:val="Tabletext"/>
            </w:pPr>
            <w:r w:rsidRPr="002B1A95">
              <w:t>21</w:t>
            </w:r>
          </w:p>
        </w:tc>
        <w:tc>
          <w:tcPr>
            <w:tcW w:w="7599" w:type="dxa"/>
            <w:tcBorders>
              <w:top w:val="single" w:sz="2" w:space="0" w:color="auto"/>
              <w:bottom w:val="single" w:sz="12" w:space="0" w:color="auto"/>
            </w:tcBorders>
            <w:shd w:val="clear" w:color="auto" w:fill="auto"/>
          </w:tcPr>
          <w:p w:rsidR="007D17C5" w:rsidRPr="002B1A95" w:rsidRDefault="007D17C5" w:rsidP="009558BE">
            <w:pPr>
              <w:pStyle w:val="Tabletext"/>
            </w:pPr>
            <w:r w:rsidRPr="002B1A95">
              <w:rPr>
                <w:i/>
                <w:color w:val="000000"/>
              </w:rPr>
              <w:t xml:space="preserve">Judges’ Contributory Pensions Act 1968 </w:t>
            </w:r>
            <w:r w:rsidRPr="002B1A95">
              <w:rPr>
                <w:color w:val="000000"/>
              </w:rPr>
              <w:t>(Tas.)</w:t>
            </w:r>
          </w:p>
        </w:tc>
      </w:tr>
    </w:tbl>
    <w:p w:rsidR="007D17C5" w:rsidRPr="002B1A95" w:rsidRDefault="007D17C5" w:rsidP="007D17C5">
      <w:pPr>
        <w:pStyle w:val="ActHead5"/>
        <w:rPr>
          <w:i/>
        </w:rPr>
      </w:pPr>
      <w:bookmarkStart w:id="177" w:name="_Toc49765355"/>
      <w:r w:rsidRPr="00411C46">
        <w:rPr>
          <w:rStyle w:val="CharSectno"/>
        </w:rPr>
        <w:t>995</w:t>
      </w:r>
      <w:r w:rsidR="00782250" w:rsidRPr="00411C46">
        <w:rPr>
          <w:rStyle w:val="CharSectno"/>
        </w:rPr>
        <w:noBreakHyphen/>
      </w:r>
      <w:r w:rsidRPr="00411C46">
        <w:rPr>
          <w:rStyle w:val="CharSectno"/>
        </w:rPr>
        <w:t>1.04</w:t>
      </w:r>
      <w:r w:rsidRPr="002B1A95">
        <w:t xml:space="preserve">  Definition of </w:t>
      </w:r>
      <w:r w:rsidRPr="002B1A95">
        <w:rPr>
          <w:i/>
        </w:rPr>
        <w:t>contributions</w:t>
      </w:r>
      <w:r w:rsidR="00782250">
        <w:rPr>
          <w:i/>
        </w:rPr>
        <w:noBreakHyphen/>
      </w:r>
      <w:r w:rsidRPr="002B1A95">
        <w:rPr>
          <w:i/>
        </w:rPr>
        <w:t>splitting superannuation benefit</w:t>
      </w:r>
      <w:bookmarkEnd w:id="177"/>
    </w:p>
    <w:p w:rsidR="007D17C5" w:rsidRPr="002B1A95" w:rsidRDefault="007D17C5" w:rsidP="007D17C5">
      <w:pPr>
        <w:pStyle w:val="subsection"/>
      </w:pPr>
      <w:r w:rsidRPr="002B1A95">
        <w:tab/>
      </w:r>
      <w:r w:rsidRPr="002B1A95">
        <w:tab/>
        <w:t xml:space="preserve">For the purposes of the definition of </w:t>
      </w:r>
      <w:r w:rsidRPr="002B1A95">
        <w:rPr>
          <w:b/>
          <w:i/>
        </w:rPr>
        <w:t>contributions</w:t>
      </w:r>
      <w:r w:rsidR="00782250">
        <w:rPr>
          <w:b/>
          <w:i/>
        </w:rPr>
        <w:noBreakHyphen/>
      </w:r>
      <w:r w:rsidRPr="002B1A95">
        <w:rPr>
          <w:b/>
          <w:i/>
        </w:rPr>
        <w:t xml:space="preserve">splitting superannuation benefit </w:t>
      </w:r>
      <w:r w:rsidRPr="002B1A95">
        <w:t>in subsection</w:t>
      </w:r>
      <w:r w:rsidR="002B1A95" w:rsidRPr="002B1A95">
        <w:t> </w:t>
      </w:r>
      <w:r w:rsidRPr="002B1A95">
        <w:t>995</w:t>
      </w:r>
      <w:r w:rsidR="00782250">
        <w:noBreakHyphen/>
      </w:r>
      <w:r w:rsidRPr="002B1A95">
        <w:t xml:space="preserve">1(1) of the Act, </w:t>
      </w:r>
      <w:r w:rsidRPr="002B1A95">
        <w:rPr>
          <w:b/>
          <w:i/>
        </w:rPr>
        <w:t>contributions</w:t>
      </w:r>
      <w:r w:rsidR="00782250">
        <w:rPr>
          <w:b/>
          <w:i/>
        </w:rPr>
        <w:noBreakHyphen/>
      </w:r>
      <w:r w:rsidRPr="002B1A95">
        <w:rPr>
          <w:b/>
          <w:i/>
        </w:rPr>
        <w:t xml:space="preserve">splitting superannuation benefit </w:t>
      </w:r>
      <w:r w:rsidRPr="002B1A95">
        <w:t>means:</w:t>
      </w:r>
    </w:p>
    <w:p w:rsidR="007D17C5" w:rsidRPr="002B1A95" w:rsidRDefault="007D17C5" w:rsidP="007D17C5">
      <w:pPr>
        <w:pStyle w:val="paragraph"/>
      </w:pPr>
      <w:r w:rsidRPr="002B1A95">
        <w:tab/>
        <w:t>(a)</w:t>
      </w:r>
      <w:r w:rsidRPr="002B1A95">
        <w:tab/>
        <w:t>a payment made in accordance with subregulation</w:t>
      </w:r>
      <w:r w:rsidR="002B1A95" w:rsidRPr="002B1A95">
        <w:t> </w:t>
      </w:r>
      <w:r w:rsidRPr="002B1A95">
        <w:t>4.42(2) of the RSA Regulations; or</w:t>
      </w:r>
    </w:p>
    <w:p w:rsidR="007D17C5" w:rsidRPr="002B1A95" w:rsidRDefault="007D17C5" w:rsidP="007D17C5">
      <w:pPr>
        <w:pStyle w:val="paragraph"/>
      </w:pPr>
      <w:r w:rsidRPr="002B1A95">
        <w:tab/>
        <w:t>(b)</w:t>
      </w:r>
      <w:r w:rsidRPr="002B1A95">
        <w:tab/>
        <w:t>a payment made in accordance with subregulation</w:t>
      </w:r>
      <w:r w:rsidR="002B1A95" w:rsidRPr="002B1A95">
        <w:t> </w:t>
      </w:r>
      <w:r w:rsidRPr="002B1A95">
        <w:t>6.45(2) of the SIS Regulations.</w:t>
      </w:r>
    </w:p>
    <w:p w:rsidR="007D17C5" w:rsidRPr="002B1A95" w:rsidRDefault="007D17C5" w:rsidP="007D17C5">
      <w:pPr>
        <w:pStyle w:val="ActHead5"/>
      </w:pPr>
      <w:bookmarkStart w:id="178" w:name="_Toc49765356"/>
      <w:r w:rsidRPr="00411C46">
        <w:rPr>
          <w:rStyle w:val="CharSectno"/>
        </w:rPr>
        <w:t>995</w:t>
      </w:r>
      <w:r w:rsidR="00782250" w:rsidRPr="00411C46">
        <w:rPr>
          <w:rStyle w:val="CharSectno"/>
        </w:rPr>
        <w:noBreakHyphen/>
      </w:r>
      <w:r w:rsidRPr="00411C46">
        <w:rPr>
          <w:rStyle w:val="CharSectno"/>
        </w:rPr>
        <w:t>1.05</w:t>
      </w:r>
      <w:r w:rsidRPr="002B1A95">
        <w:t xml:space="preserve">  Meaning of </w:t>
      </w:r>
      <w:r w:rsidRPr="002B1A95">
        <w:rPr>
          <w:i/>
          <w:color w:val="000000"/>
        </w:rPr>
        <w:t>superannuation annuity</w:t>
      </w:r>
      <w:bookmarkEnd w:id="178"/>
    </w:p>
    <w:p w:rsidR="007D17C5" w:rsidRPr="002B1A95" w:rsidRDefault="007D17C5" w:rsidP="007D17C5">
      <w:pPr>
        <w:pStyle w:val="Definition"/>
      </w:pPr>
      <w:r w:rsidRPr="002B1A95">
        <w:t xml:space="preserve">For the purposes of the definition of </w:t>
      </w:r>
      <w:r w:rsidRPr="002B1A95">
        <w:rPr>
          <w:b/>
          <w:i/>
          <w:color w:val="000000"/>
        </w:rPr>
        <w:t>superannuation annuity</w:t>
      </w:r>
      <w:r w:rsidRPr="002B1A95">
        <w:rPr>
          <w:color w:val="000000"/>
        </w:rPr>
        <w:t xml:space="preserve"> in </w:t>
      </w:r>
      <w:r w:rsidRPr="002B1A95">
        <w:t>subsection</w:t>
      </w:r>
      <w:r w:rsidR="002B1A95" w:rsidRPr="002B1A95">
        <w:t> </w:t>
      </w:r>
      <w:r w:rsidRPr="002B1A95">
        <w:t>995</w:t>
      </w:r>
      <w:r w:rsidR="00782250">
        <w:noBreakHyphen/>
      </w:r>
      <w:r w:rsidRPr="002B1A95">
        <w:t>1(1) of the Act</w:t>
      </w:r>
      <w:r w:rsidRPr="002B1A95">
        <w:rPr>
          <w:color w:val="000000"/>
        </w:rPr>
        <w:t>,</w:t>
      </w:r>
      <w:r w:rsidRPr="002B1A95">
        <w:t xml:space="preserve"> </w:t>
      </w:r>
      <w:r w:rsidRPr="002B1A95">
        <w:rPr>
          <w:b/>
          <w:i/>
          <w:color w:val="000000"/>
        </w:rPr>
        <w:t xml:space="preserve">superannuation annuity </w:t>
      </w:r>
      <w:r w:rsidRPr="002B1A95">
        <w:t>means:</w:t>
      </w:r>
    </w:p>
    <w:p w:rsidR="007D17C5" w:rsidRPr="002B1A95" w:rsidRDefault="007D17C5" w:rsidP="007D17C5">
      <w:pPr>
        <w:pStyle w:val="paragraph"/>
      </w:pPr>
      <w:r w:rsidRPr="002B1A95">
        <w:tab/>
        <w:t>(a)</w:t>
      </w:r>
      <w:r w:rsidRPr="002B1A95">
        <w:tab/>
        <w:t>an income stream that:</w:t>
      </w:r>
    </w:p>
    <w:p w:rsidR="007D17C5" w:rsidRPr="002B1A95" w:rsidRDefault="007D17C5" w:rsidP="007D17C5">
      <w:pPr>
        <w:pStyle w:val="paragraphsub"/>
      </w:pPr>
      <w:r w:rsidRPr="002B1A95">
        <w:rPr>
          <w:color w:val="000000"/>
        </w:rPr>
        <w:tab/>
        <w:t>(i)</w:t>
      </w:r>
      <w:r w:rsidRPr="002B1A95">
        <w:rPr>
          <w:color w:val="000000"/>
        </w:rPr>
        <w:tab/>
        <w:t>is issued by a life insurance company or registered organisation; and</w:t>
      </w:r>
    </w:p>
    <w:p w:rsidR="007D17C5" w:rsidRPr="002B1A95" w:rsidRDefault="007D17C5" w:rsidP="007D17C5">
      <w:pPr>
        <w:pStyle w:val="paragraphsub"/>
      </w:pPr>
      <w:r w:rsidRPr="002B1A95">
        <w:tab/>
        <w:t>(ii)</w:t>
      </w:r>
      <w:r w:rsidRPr="002B1A95">
        <w:tab/>
        <w:t>commenced before 20</w:t>
      </w:r>
      <w:r w:rsidR="002B1A95" w:rsidRPr="002B1A95">
        <w:t> </w:t>
      </w:r>
      <w:r w:rsidRPr="002B1A95">
        <w:t>September 2007; and</w:t>
      </w:r>
    </w:p>
    <w:p w:rsidR="007D17C5" w:rsidRPr="002B1A95" w:rsidRDefault="007D17C5" w:rsidP="007D17C5">
      <w:pPr>
        <w:pStyle w:val="paragraphsub"/>
      </w:pPr>
      <w:r w:rsidRPr="002B1A95">
        <w:tab/>
        <w:t>(iii)</w:t>
      </w:r>
      <w:r w:rsidRPr="002B1A95">
        <w:tab/>
        <w:t xml:space="preserve">is an annuity within the meaning of </w:t>
      </w:r>
      <w:r w:rsidRPr="002B1A95">
        <w:rPr>
          <w:color w:val="000000"/>
        </w:rPr>
        <w:t>subsection</w:t>
      </w:r>
      <w:r w:rsidR="002B1A95" w:rsidRPr="002B1A95">
        <w:rPr>
          <w:color w:val="000000"/>
        </w:rPr>
        <w:t> </w:t>
      </w:r>
      <w:r w:rsidRPr="002B1A95">
        <w:rPr>
          <w:color w:val="000000"/>
        </w:rPr>
        <w:t>10(1) of the SIS Act or is a benefit mentioned in</w:t>
      </w:r>
      <w:r w:rsidRPr="002B1A95">
        <w:t xml:space="preserve"> subregulation</w:t>
      </w:r>
      <w:r w:rsidR="002B1A95" w:rsidRPr="002B1A95">
        <w:t> </w:t>
      </w:r>
      <w:r w:rsidRPr="002B1A95">
        <w:t>1.07(1A) of the RSA Regulations; or</w:t>
      </w:r>
    </w:p>
    <w:p w:rsidR="007D17C5" w:rsidRPr="002B1A95" w:rsidRDefault="007D17C5" w:rsidP="007D17C5">
      <w:pPr>
        <w:pStyle w:val="paragraph"/>
      </w:pPr>
      <w:r w:rsidRPr="002B1A95">
        <w:tab/>
        <w:t>(b)</w:t>
      </w:r>
      <w:r w:rsidRPr="002B1A95">
        <w:tab/>
        <w:t>an income stream that:</w:t>
      </w:r>
    </w:p>
    <w:p w:rsidR="007D17C5" w:rsidRPr="002B1A95" w:rsidRDefault="007D17C5" w:rsidP="007D17C5">
      <w:pPr>
        <w:pStyle w:val="paragraphsub"/>
      </w:pPr>
      <w:r w:rsidRPr="002B1A95">
        <w:rPr>
          <w:color w:val="000000"/>
        </w:rPr>
        <w:tab/>
        <w:t>(i)</w:t>
      </w:r>
      <w:r w:rsidRPr="002B1A95">
        <w:rPr>
          <w:color w:val="000000"/>
        </w:rPr>
        <w:tab/>
        <w:t>is issued by a life insurance company or registered organisation; and</w:t>
      </w:r>
    </w:p>
    <w:p w:rsidR="007D17C5" w:rsidRPr="002B1A95" w:rsidRDefault="007D17C5" w:rsidP="007D17C5">
      <w:pPr>
        <w:pStyle w:val="paragraphsub"/>
      </w:pPr>
      <w:r w:rsidRPr="002B1A95">
        <w:tab/>
        <w:t>(ii)</w:t>
      </w:r>
      <w:r w:rsidRPr="002B1A95">
        <w:tab/>
        <w:t>is taken to be an annuity for the purposes of the SIS Act in accordance with subregulation</w:t>
      </w:r>
      <w:r w:rsidR="002B1A95" w:rsidRPr="002B1A95">
        <w:t> </w:t>
      </w:r>
      <w:r w:rsidRPr="002B1A95">
        <w:t>1.05(1) of the SIS Regulations; or</w:t>
      </w:r>
    </w:p>
    <w:p w:rsidR="007D17C5" w:rsidRPr="002B1A95" w:rsidRDefault="007D17C5" w:rsidP="007D17C5">
      <w:pPr>
        <w:pStyle w:val="paragraph"/>
      </w:pPr>
      <w:r w:rsidRPr="002B1A95">
        <w:tab/>
        <w:t>(c)</w:t>
      </w:r>
      <w:r w:rsidRPr="002B1A95">
        <w:tab/>
        <w:t>a deferred superannuation income stream that is taken to be an annuity for the purposes of the SIS Act in accordance with subregulation</w:t>
      </w:r>
      <w:r w:rsidR="002B1A95" w:rsidRPr="002B1A95">
        <w:t> </w:t>
      </w:r>
      <w:r w:rsidRPr="002B1A95">
        <w:t>1.05(1) of the SIS Regulations because the contract for the provision of the income stream meets the standards of subregulation</w:t>
      </w:r>
      <w:r w:rsidR="002B1A95" w:rsidRPr="002B1A95">
        <w:t> </w:t>
      </w:r>
      <w:r w:rsidRPr="002B1A95">
        <w:t>1.06A(2) of the SIS Regulations.</w:t>
      </w:r>
    </w:p>
    <w:p w:rsidR="007D17C5" w:rsidRPr="002B1A95" w:rsidRDefault="007D17C5" w:rsidP="007D17C5">
      <w:pPr>
        <w:pStyle w:val="ActHead5"/>
      </w:pPr>
      <w:bookmarkStart w:id="179" w:name="_Toc49765357"/>
      <w:r w:rsidRPr="00411C46">
        <w:rPr>
          <w:rStyle w:val="CharSectno"/>
        </w:rPr>
        <w:lastRenderedPageBreak/>
        <w:t>995</w:t>
      </w:r>
      <w:r w:rsidR="00782250" w:rsidRPr="00411C46">
        <w:rPr>
          <w:rStyle w:val="CharSectno"/>
        </w:rPr>
        <w:noBreakHyphen/>
      </w:r>
      <w:r w:rsidRPr="00411C46">
        <w:rPr>
          <w:rStyle w:val="CharSectno"/>
        </w:rPr>
        <w:t>1.06</w:t>
      </w:r>
      <w:r w:rsidRPr="002B1A95">
        <w:t xml:space="preserve">  Meaning of </w:t>
      </w:r>
      <w:r w:rsidRPr="002B1A95">
        <w:rPr>
          <w:i/>
        </w:rPr>
        <w:t>terminal medical condition</w:t>
      </w:r>
      <w:bookmarkEnd w:id="179"/>
    </w:p>
    <w:p w:rsidR="007D17C5" w:rsidRPr="002B1A95" w:rsidRDefault="007D17C5" w:rsidP="007D17C5">
      <w:pPr>
        <w:pStyle w:val="subsection"/>
      </w:pPr>
      <w:r w:rsidRPr="002B1A95">
        <w:tab/>
      </w:r>
      <w:r w:rsidRPr="002B1A95">
        <w:tab/>
        <w:t xml:space="preserve">For the purposes of the definition of </w:t>
      </w:r>
      <w:r w:rsidRPr="002B1A95">
        <w:rPr>
          <w:b/>
          <w:i/>
        </w:rPr>
        <w:t>terminal medical condition</w:t>
      </w:r>
      <w:r w:rsidRPr="002B1A95">
        <w:t xml:space="preserve"> in subsection</w:t>
      </w:r>
      <w:r w:rsidR="002B1A95" w:rsidRPr="002B1A95">
        <w:t> </w:t>
      </w:r>
      <w:r w:rsidRPr="002B1A95">
        <w:t>995</w:t>
      </w:r>
      <w:r w:rsidR="00782250">
        <w:noBreakHyphen/>
      </w:r>
      <w:r w:rsidRPr="002B1A95">
        <w:t xml:space="preserve">1(1) of the Act, a </w:t>
      </w:r>
      <w:r w:rsidRPr="002B1A95">
        <w:rPr>
          <w:b/>
          <w:i/>
        </w:rPr>
        <w:t>terminal medical condition</w:t>
      </w:r>
      <w:r w:rsidRPr="002B1A95">
        <w:t xml:space="preserve"> exists in relation to a person at a particular time if the following circumstances exist:</w:t>
      </w:r>
    </w:p>
    <w:p w:rsidR="007D17C5" w:rsidRPr="002B1A95" w:rsidRDefault="007D17C5" w:rsidP="007D17C5">
      <w:pPr>
        <w:pStyle w:val="paragraph"/>
      </w:pPr>
      <w:r w:rsidRPr="002B1A95">
        <w:tab/>
        <w:t>(a)</w:t>
      </w:r>
      <w:r w:rsidRPr="002B1A95">
        <w:tab/>
        <w:t xml:space="preserve">2 registered medical practitioners have certified, jointly or separately, that the person suffers from an illness, or has incurred an injury, that is likely to result in the death of the person within a period (the </w:t>
      </w:r>
      <w:r w:rsidRPr="002B1A95">
        <w:rPr>
          <w:b/>
          <w:i/>
        </w:rPr>
        <w:t>certification period</w:t>
      </w:r>
      <w:r w:rsidRPr="002B1A95">
        <w:t>) that ends not more than 24 months after the date of the certification;</w:t>
      </w:r>
    </w:p>
    <w:p w:rsidR="007D17C5" w:rsidRPr="002B1A95" w:rsidRDefault="007D17C5" w:rsidP="007D17C5">
      <w:pPr>
        <w:pStyle w:val="paragraph"/>
      </w:pPr>
      <w:r w:rsidRPr="002B1A95">
        <w:tab/>
        <w:t>(b)</w:t>
      </w:r>
      <w:r w:rsidRPr="002B1A95">
        <w:tab/>
        <w:t>at least one of the registered medical practitioners is a specialist practising in an area related to the illness or injury suffered by the person;</w:t>
      </w:r>
    </w:p>
    <w:p w:rsidR="007D17C5" w:rsidRPr="002B1A95" w:rsidRDefault="007D17C5" w:rsidP="007D17C5">
      <w:pPr>
        <w:pStyle w:val="paragraph"/>
      </w:pPr>
      <w:r w:rsidRPr="002B1A95">
        <w:tab/>
        <w:t>(c)</w:t>
      </w:r>
      <w:r w:rsidRPr="002B1A95">
        <w:tab/>
        <w:t>either:</w:t>
      </w:r>
    </w:p>
    <w:p w:rsidR="007D17C5" w:rsidRPr="002B1A95" w:rsidRDefault="007D17C5" w:rsidP="007D17C5">
      <w:pPr>
        <w:pStyle w:val="paragraphsub"/>
      </w:pPr>
      <w:r w:rsidRPr="002B1A95">
        <w:tab/>
        <w:t>(i)</w:t>
      </w:r>
      <w:r w:rsidRPr="002B1A95">
        <w:tab/>
        <w:t>if there is one certification period—the certification period has not ended; or</w:t>
      </w:r>
    </w:p>
    <w:p w:rsidR="007D17C5" w:rsidRPr="002B1A95" w:rsidRDefault="007D17C5" w:rsidP="007D17C5">
      <w:pPr>
        <w:pStyle w:val="paragraphsub"/>
      </w:pPr>
      <w:r w:rsidRPr="002B1A95">
        <w:tab/>
        <w:t>(ii)</w:t>
      </w:r>
      <w:r w:rsidRPr="002B1A95">
        <w:tab/>
        <w:t>otherwise—neither of the certification periods has ended.</w:t>
      </w:r>
    </w:p>
    <w:p w:rsidR="003104D0" w:rsidRDefault="003104D0">
      <w:pPr>
        <w:sectPr w:rsidR="003104D0" w:rsidSect="003104D0">
          <w:headerReference w:type="even" r:id="rId31"/>
          <w:headerReference w:type="default" r:id="rId32"/>
          <w:footerReference w:type="even" r:id="rId33"/>
          <w:footerReference w:type="default" r:id="rId34"/>
          <w:footerReference w:type="first" r:id="rId35"/>
          <w:pgSz w:w="11907" w:h="16839" w:code="9"/>
          <w:pgMar w:top="2233" w:right="1797" w:bottom="1440" w:left="1797" w:header="720" w:footer="709" w:gutter="0"/>
          <w:pgNumType w:start="1"/>
          <w:cols w:space="720"/>
          <w:docGrid w:linePitch="299"/>
        </w:sectPr>
      </w:pPr>
    </w:p>
    <w:p w:rsidR="003104D0" w:rsidRDefault="003104D0" w:rsidP="009D7AC7">
      <w:pPr>
        <w:pStyle w:val="ActHead1"/>
        <w:pageBreakBefore/>
      </w:pPr>
      <w:bookmarkStart w:id="180" w:name="_Toc49765358"/>
      <w:r w:rsidRPr="00411C46">
        <w:rPr>
          <w:rStyle w:val="CharChapNo"/>
        </w:rPr>
        <w:lastRenderedPageBreak/>
        <w:t>Schedule 1</w:t>
      </w:r>
      <w:r w:rsidR="009D7AC7" w:rsidRPr="00411C46">
        <w:rPr>
          <w:rStyle w:val="CharChapNo"/>
        </w:rPr>
        <w:t>A</w:t>
      </w:r>
      <w:r>
        <w:t>—</w:t>
      </w:r>
      <w:r w:rsidR="009D7AC7" w:rsidRPr="00411C46">
        <w:rPr>
          <w:rStyle w:val="CharChapText"/>
        </w:rPr>
        <w:t>Method of working out amount of notional taxed contributions</w:t>
      </w:r>
      <w:bookmarkEnd w:id="180"/>
    </w:p>
    <w:p w:rsidR="007D17C5" w:rsidRPr="002B1A95" w:rsidRDefault="007D17C5" w:rsidP="007D17C5">
      <w:pPr>
        <w:pStyle w:val="notemargin"/>
        <w:rPr>
          <w:color w:val="000000"/>
        </w:rPr>
      </w:pPr>
      <w:r w:rsidRPr="002B1A95">
        <w:rPr>
          <w:color w:val="000000"/>
        </w:rPr>
        <w:t>Note:</w:t>
      </w:r>
      <w:r w:rsidRPr="002B1A95">
        <w:rPr>
          <w:color w:val="000000"/>
        </w:rPr>
        <w:tab/>
        <w:t>See sections 291</w:t>
      </w:r>
      <w:r w:rsidR="00782250">
        <w:rPr>
          <w:color w:val="000000"/>
        </w:rPr>
        <w:noBreakHyphen/>
      </w:r>
      <w:r w:rsidRPr="002B1A95">
        <w:rPr>
          <w:color w:val="000000"/>
        </w:rPr>
        <w:t>170.02, 291</w:t>
      </w:r>
      <w:r w:rsidR="00782250">
        <w:rPr>
          <w:color w:val="000000"/>
        </w:rPr>
        <w:noBreakHyphen/>
      </w:r>
      <w:r w:rsidRPr="002B1A95">
        <w:rPr>
          <w:color w:val="000000"/>
        </w:rPr>
        <w:t>170.05 and 291</w:t>
      </w:r>
      <w:r w:rsidR="00782250">
        <w:rPr>
          <w:color w:val="000000"/>
        </w:rPr>
        <w:noBreakHyphen/>
      </w:r>
      <w:r w:rsidRPr="002B1A95">
        <w:rPr>
          <w:color w:val="000000"/>
        </w:rPr>
        <w:t>170.07 and Schedule</w:t>
      </w:r>
      <w:r w:rsidR="002B1A95" w:rsidRPr="002B1A95">
        <w:rPr>
          <w:color w:val="000000"/>
        </w:rPr>
        <w:t> </w:t>
      </w:r>
      <w:r w:rsidRPr="002B1A95">
        <w:rPr>
          <w:color w:val="000000"/>
        </w:rPr>
        <w:t>1AA.</w:t>
      </w:r>
    </w:p>
    <w:p w:rsidR="007D17C5" w:rsidRPr="002B1A95" w:rsidRDefault="007D17C5" w:rsidP="007D17C5">
      <w:pPr>
        <w:pStyle w:val="ActHead2"/>
      </w:pPr>
      <w:bookmarkStart w:id="181" w:name="_Toc49765359"/>
      <w:r w:rsidRPr="00411C46">
        <w:rPr>
          <w:rStyle w:val="CharPartNo"/>
        </w:rPr>
        <w:t>Part</w:t>
      </w:r>
      <w:r w:rsidR="002B1A95" w:rsidRPr="00411C46">
        <w:rPr>
          <w:rStyle w:val="CharPartNo"/>
        </w:rPr>
        <w:t> </w:t>
      </w:r>
      <w:r w:rsidRPr="00411C46">
        <w:rPr>
          <w:rStyle w:val="CharPartNo"/>
        </w:rPr>
        <w:t>1</w:t>
      </w:r>
      <w:r w:rsidRPr="002B1A95">
        <w:t>—</w:t>
      </w:r>
      <w:r w:rsidRPr="00411C46">
        <w:rPr>
          <w:rStyle w:val="CharPartText"/>
        </w:rPr>
        <w:t>Preliminary</w:t>
      </w:r>
      <w:bookmarkEnd w:id="181"/>
    </w:p>
    <w:p w:rsidR="007D17C5" w:rsidRPr="002B1A95" w:rsidRDefault="007D17C5" w:rsidP="007D17C5">
      <w:pPr>
        <w:pStyle w:val="ActHead3"/>
      </w:pPr>
      <w:bookmarkStart w:id="182" w:name="_Toc49765360"/>
      <w:r w:rsidRPr="00411C46">
        <w:rPr>
          <w:rStyle w:val="CharDivNo"/>
        </w:rPr>
        <w:t>Division</w:t>
      </w:r>
      <w:r w:rsidR="002B1A95" w:rsidRPr="00411C46">
        <w:rPr>
          <w:rStyle w:val="CharDivNo"/>
        </w:rPr>
        <w:t> </w:t>
      </w:r>
      <w:r w:rsidRPr="00411C46">
        <w:rPr>
          <w:rStyle w:val="CharDivNo"/>
        </w:rPr>
        <w:t>1</w:t>
      </w:r>
      <w:r w:rsidRPr="002B1A95">
        <w:t>—</w:t>
      </w:r>
      <w:r w:rsidRPr="00411C46">
        <w:rPr>
          <w:rStyle w:val="CharDivText"/>
        </w:rPr>
        <w:t>Definitions</w:t>
      </w:r>
      <w:bookmarkEnd w:id="182"/>
    </w:p>
    <w:p w:rsidR="007D17C5" w:rsidRPr="002B1A95" w:rsidRDefault="007D17C5" w:rsidP="007D17C5">
      <w:pPr>
        <w:pStyle w:val="ActHead5"/>
      </w:pPr>
      <w:bookmarkStart w:id="183" w:name="_Toc49765361"/>
      <w:r w:rsidRPr="00411C46">
        <w:rPr>
          <w:rStyle w:val="CharSectno"/>
        </w:rPr>
        <w:t>1.1</w:t>
      </w:r>
      <w:r w:rsidRPr="002B1A95">
        <w:t xml:space="preserve">  Meaning of </w:t>
      </w:r>
      <w:r w:rsidRPr="002B1A95">
        <w:rPr>
          <w:i/>
        </w:rPr>
        <w:t>accruing member</w:t>
      </w:r>
      <w:bookmarkEnd w:id="183"/>
    </w:p>
    <w:p w:rsidR="007D17C5" w:rsidRPr="002B1A95" w:rsidRDefault="007D17C5" w:rsidP="007D17C5">
      <w:pPr>
        <w:pStyle w:val="subsection"/>
      </w:pPr>
      <w:r w:rsidRPr="002B1A95">
        <w:rPr>
          <w:color w:val="000000"/>
        </w:rPr>
        <w:tab/>
      </w:r>
      <w:r w:rsidRPr="002B1A95">
        <w:rPr>
          <w:color w:val="000000"/>
        </w:rPr>
        <w:tab/>
        <w:t xml:space="preserve">An </w:t>
      </w:r>
      <w:r w:rsidRPr="002B1A95">
        <w:rPr>
          <w:b/>
          <w:i/>
          <w:color w:val="000000"/>
        </w:rPr>
        <w:t>accruing member</w:t>
      </w:r>
      <w:r w:rsidRPr="002B1A95">
        <w:rPr>
          <w:color w:val="000000"/>
        </w:rPr>
        <w:t xml:space="preserve"> of a superannuation fund for a financial year is a defined benefit member of the fund who is not a non</w:t>
      </w:r>
      <w:r w:rsidR="00782250">
        <w:rPr>
          <w:color w:val="000000"/>
        </w:rPr>
        <w:noBreakHyphen/>
      </w:r>
      <w:r w:rsidRPr="002B1A95">
        <w:rPr>
          <w:color w:val="000000"/>
        </w:rPr>
        <w:t xml:space="preserve">accruing member of the fund for the financial year (within the meaning given by subsection </w:t>
      </w:r>
      <w:r w:rsidRPr="002B1A95">
        <w:t>291</w:t>
      </w:r>
      <w:r w:rsidR="00782250">
        <w:noBreakHyphen/>
      </w:r>
      <w:r w:rsidRPr="002B1A95">
        <w:t>170.04(5))</w:t>
      </w:r>
      <w:r w:rsidRPr="002B1A95">
        <w:rPr>
          <w:color w:val="000000"/>
        </w:rPr>
        <w:t>.</w:t>
      </w:r>
    </w:p>
    <w:p w:rsidR="007D17C5" w:rsidRPr="002B1A95" w:rsidRDefault="007D17C5" w:rsidP="007D17C5">
      <w:pPr>
        <w:pStyle w:val="ActHead5"/>
      </w:pPr>
      <w:bookmarkStart w:id="184" w:name="_Toc49765362"/>
      <w:r w:rsidRPr="00411C46">
        <w:rPr>
          <w:rStyle w:val="CharSectno"/>
        </w:rPr>
        <w:t>1.2</w:t>
      </w:r>
      <w:r w:rsidRPr="002B1A95">
        <w:t xml:space="preserve">  Meaning of </w:t>
      </w:r>
      <w:r w:rsidRPr="002B1A95">
        <w:rPr>
          <w:i/>
        </w:rPr>
        <w:t>benefit category</w:t>
      </w:r>
      <w:bookmarkEnd w:id="184"/>
    </w:p>
    <w:p w:rsidR="007D17C5" w:rsidRPr="002B1A95" w:rsidRDefault="007D17C5" w:rsidP="007D17C5">
      <w:pPr>
        <w:pStyle w:val="subsection"/>
        <w:rPr>
          <w:color w:val="000000"/>
        </w:rPr>
      </w:pPr>
      <w:r w:rsidRPr="002B1A95">
        <w:rPr>
          <w:color w:val="000000"/>
        </w:rPr>
        <w:tab/>
        <w:t>(1)</w:t>
      </w:r>
      <w:r w:rsidRPr="002B1A95">
        <w:rPr>
          <w:color w:val="000000"/>
        </w:rPr>
        <w:tab/>
        <w:t xml:space="preserve">A </w:t>
      </w:r>
      <w:r w:rsidRPr="002B1A95">
        <w:rPr>
          <w:b/>
          <w:i/>
          <w:color w:val="000000"/>
        </w:rPr>
        <w:t>benefit category</w:t>
      </w:r>
      <w:r w:rsidRPr="002B1A95">
        <w:rPr>
          <w:color w:val="000000"/>
        </w:rPr>
        <w:t xml:space="preserve"> is a category of membership of a defined benefit fund as certified by an actuary.</w:t>
      </w:r>
    </w:p>
    <w:p w:rsidR="007D17C5" w:rsidRPr="002B1A95" w:rsidRDefault="007D17C5" w:rsidP="007D17C5">
      <w:pPr>
        <w:pStyle w:val="subsection"/>
      </w:pPr>
      <w:r w:rsidRPr="002B1A95">
        <w:tab/>
        <w:t>(2)</w:t>
      </w:r>
      <w:r w:rsidRPr="002B1A95">
        <w:tab/>
        <w:t>An actuary must not certify a category of membership to be a benefit category unless the actuary is satisfied that:</w:t>
      </w:r>
    </w:p>
    <w:p w:rsidR="007D17C5" w:rsidRPr="002B1A95" w:rsidRDefault="007D17C5" w:rsidP="007D17C5">
      <w:pPr>
        <w:pStyle w:val="paragraph"/>
      </w:pPr>
      <w:r w:rsidRPr="002B1A95">
        <w:rPr>
          <w:color w:val="000000"/>
        </w:rPr>
        <w:tab/>
        <w:t>(a)</w:t>
      </w:r>
      <w:r w:rsidRPr="002B1A95">
        <w:rPr>
          <w:color w:val="000000"/>
        </w:rPr>
        <w:tab/>
        <w:t>each hypothetical new entrant to the benefit category with the same entry age would accrue retirement benefits on substantially the same basis</w:t>
      </w:r>
      <w:r w:rsidRPr="002B1A95">
        <w:t>; or</w:t>
      </w:r>
    </w:p>
    <w:p w:rsidR="007D17C5" w:rsidRPr="002B1A95" w:rsidRDefault="007D17C5" w:rsidP="007D17C5">
      <w:pPr>
        <w:pStyle w:val="paragraph"/>
      </w:pPr>
      <w:r w:rsidRPr="002B1A95">
        <w:tab/>
        <w:t>(b)</w:t>
      </w:r>
      <w:r w:rsidRPr="002B1A95">
        <w:tab/>
        <w:t>if any 2 hypothetical new entrants to the benefit category accrued retirement benefits on a different basis, the new entrant rates for each member calculated under Parts</w:t>
      </w:r>
      <w:r w:rsidR="002B1A95" w:rsidRPr="002B1A95">
        <w:t> </w:t>
      </w:r>
      <w:r w:rsidRPr="002B1A95">
        <w:t>2 and 3 would be equal.</w:t>
      </w:r>
    </w:p>
    <w:p w:rsidR="007D17C5" w:rsidRPr="002B1A95" w:rsidRDefault="007D17C5" w:rsidP="007D17C5">
      <w:pPr>
        <w:pStyle w:val="ActHead5"/>
      </w:pPr>
      <w:bookmarkStart w:id="185" w:name="_Toc49765363"/>
      <w:r w:rsidRPr="00411C46">
        <w:rPr>
          <w:rStyle w:val="CharSectno"/>
        </w:rPr>
        <w:t>1.3</w:t>
      </w:r>
      <w:r w:rsidRPr="002B1A95">
        <w:t xml:space="preserve">  Meaning of </w:t>
      </w:r>
      <w:r w:rsidRPr="002B1A95">
        <w:rPr>
          <w:i/>
        </w:rPr>
        <w:t>defined benefit fund</w:t>
      </w:r>
      <w:bookmarkEnd w:id="185"/>
    </w:p>
    <w:p w:rsidR="007D17C5" w:rsidRPr="002B1A95" w:rsidRDefault="007D17C5" w:rsidP="007D17C5">
      <w:pPr>
        <w:pStyle w:val="subsection"/>
      </w:pPr>
      <w:r w:rsidRPr="002B1A95">
        <w:tab/>
      </w:r>
      <w:r w:rsidRPr="002B1A95">
        <w:tab/>
        <w:t xml:space="preserve">A </w:t>
      </w:r>
      <w:r w:rsidRPr="002B1A95">
        <w:rPr>
          <w:b/>
          <w:i/>
        </w:rPr>
        <w:t>defined benefit fund</w:t>
      </w:r>
      <w:r w:rsidRPr="002B1A95">
        <w:t xml:space="preserve"> is a superannuation fund in which a member has a defined benefit interest.</w:t>
      </w:r>
    </w:p>
    <w:p w:rsidR="007D17C5" w:rsidRPr="002B1A95" w:rsidRDefault="007D17C5" w:rsidP="007D17C5">
      <w:pPr>
        <w:pStyle w:val="ActHead5"/>
      </w:pPr>
      <w:bookmarkStart w:id="186" w:name="_Toc49765364"/>
      <w:r w:rsidRPr="00411C46">
        <w:rPr>
          <w:rStyle w:val="CharSectno"/>
        </w:rPr>
        <w:t>1.4</w:t>
      </w:r>
      <w:r w:rsidRPr="002B1A95">
        <w:t xml:space="preserve">  Accruing member must not belong to more than one benefit category at the same time unless certified by an actuary</w:t>
      </w:r>
      <w:bookmarkEnd w:id="186"/>
    </w:p>
    <w:p w:rsidR="007D17C5" w:rsidRPr="002B1A95" w:rsidRDefault="007D17C5" w:rsidP="007D17C5">
      <w:pPr>
        <w:pStyle w:val="subsection"/>
        <w:rPr>
          <w:color w:val="000000"/>
        </w:rPr>
      </w:pPr>
      <w:r w:rsidRPr="002B1A95">
        <w:rPr>
          <w:color w:val="000000"/>
        </w:rPr>
        <w:tab/>
        <w:t>(1)</w:t>
      </w:r>
      <w:r w:rsidRPr="002B1A95">
        <w:rPr>
          <w:color w:val="000000"/>
        </w:rPr>
        <w:tab/>
        <w:t>An accruing member must not belong to more than one benefit category of the same defined benefit fund on the same day unless certified by an actuary.</w:t>
      </w:r>
    </w:p>
    <w:p w:rsidR="007D17C5" w:rsidRPr="002B1A95" w:rsidRDefault="007D17C5" w:rsidP="007D17C5">
      <w:pPr>
        <w:pStyle w:val="subsection"/>
      </w:pPr>
      <w:r w:rsidRPr="002B1A95">
        <w:rPr>
          <w:color w:val="000000"/>
        </w:rPr>
        <w:tab/>
        <w:t>(2)</w:t>
      </w:r>
      <w:r w:rsidRPr="002B1A95">
        <w:rPr>
          <w:color w:val="000000"/>
        </w:rPr>
        <w:tab/>
        <w:t>An actuary must certify that a member belongs to more than one benefit category on the same day if the actuary is satisfied that the amount of notional taxed contributions to be reported will be materially different from the amount of notional taxed contributions that would have been reported had the member belonged to only one benefit category on each relevant day.</w:t>
      </w:r>
    </w:p>
    <w:p w:rsidR="007D17C5" w:rsidRPr="002B1A95" w:rsidRDefault="007D17C5" w:rsidP="007D17C5">
      <w:pPr>
        <w:pStyle w:val="ActHead5"/>
      </w:pPr>
      <w:bookmarkStart w:id="187" w:name="_Toc49765365"/>
      <w:r w:rsidRPr="00411C46">
        <w:rPr>
          <w:rStyle w:val="CharSectno"/>
        </w:rPr>
        <w:t>1.5</w:t>
      </w:r>
      <w:r w:rsidRPr="002B1A95">
        <w:t xml:space="preserve">  Meaning of </w:t>
      </w:r>
      <w:r w:rsidRPr="002B1A95">
        <w:rPr>
          <w:i/>
        </w:rPr>
        <w:t>fund benefit</w:t>
      </w:r>
      <w:bookmarkEnd w:id="187"/>
    </w:p>
    <w:p w:rsidR="007D17C5" w:rsidRPr="002B1A95" w:rsidRDefault="007D17C5" w:rsidP="007D17C5">
      <w:pPr>
        <w:pStyle w:val="subsection"/>
      </w:pPr>
      <w:r w:rsidRPr="002B1A95">
        <w:rPr>
          <w:color w:val="000000"/>
        </w:rPr>
        <w:tab/>
      </w:r>
      <w:r w:rsidRPr="002B1A95">
        <w:rPr>
          <w:color w:val="000000"/>
        </w:rPr>
        <w:tab/>
        <w:t xml:space="preserve">That part of a defined benefit interest which is sourced from contributions made into a superannuation fund or earnings on such contributions is referred to as the </w:t>
      </w:r>
      <w:r w:rsidRPr="002B1A95">
        <w:rPr>
          <w:b/>
          <w:i/>
          <w:color w:val="000000"/>
        </w:rPr>
        <w:t>fund benefit</w:t>
      </w:r>
      <w:r w:rsidRPr="002B1A95">
        <w:rPr>
          <w:color w:val="000000"/>
        </w:rPr>
        <w:t>.</w:t>
      </w:r>
    </w:p>
    <w:p w:rsidR="007D17C5" w:rsidRPr="002B1A95" w:rsidRDefault="007D17C5" w:rsidP="007D17C5">
      <w:pPr>
        <w:pStyle w:val="notetext"/>
        <w:rPr>
          <w:color w:val="000000"/>
        </w:rPr>
      </w:pPr>
      <w:r w:rsidRPr="002B1A95">
        <w:rPr>
          <w:color w:val="000000"/>
        </w:rPr>
        <w:lastRenderedPageBreak/>
        <w:t>Note:</w:t>
      </w:r>
      <w:r w:rsidRPr="002B1A95">
        <w:rPr>
          <w:color w:val="000000"/>
        </w:rPr>
        <w:tab/>
        <w:t>A superannuation benefit may be wholly sourced from contributions made into a superannuation fund or earnings on such contributions. A superannuation benefit paid from a public sector superannuation fund may be wholly or partly sourced, or not sourced to any extent, from contributions made into a superannuation fund or earnings on such contributions. If a superannuation benefit is not sourced to any extent from contributions made into a superannuation fund, or earnings on such contributions, the amount of the fund benefit is zero.</w:t>
      </w:r>
    </w:p>
    <w:p w:rsidR="007D17C5" w:rsidRPr="002B1A95" w:rsidRDefault="007D17C5" w:rsidP="007D17C5">
      <w:pPr>
        <w:pStyle w:val="ActHead3"/>
        <w:pageBreakBefore/>
      </w:pPr>
      <w:bookmarkStart w:id="188" w:name="_Toc49765366"/>
      <w:r w:rsidRPr="00411C46">
        <w:rPr>
          <w:rStyle w:val="CharDivNo"/>
        </w:rPr>
        <w:lastRenderedPageBreak/>
        <w:t>Division</w:t>
      </w:r>
      <w:r w:rsidR="002B1A95" w:rsidRPr="00411C46">
        <w:rPr>
          <w:rStyle w:val="CharDivNo"/>
        </w:rPr>
        <w:t> </w:t>
      </w:r>
      <w:r w:rsidRPr="00411C46">
        <w:rPr>
          <w:rStyle w:val="CharDivNo"/>
        </w:rPr>
        <w:t>2</w:t>
      </w:r>
      <w:r w:rsidRPr="002B1A95">
        <w:t>—</w:t>
      </w:r>
      <w:r w:rsidRPr="00411C46">
        <w:rPr>
          <w:rStyle w:val="CharDivText"/>
        </w:rPr>
        <w:t>Method</w:t>
      </w:r>
      <w:bookmarkEnd w:id="188"/>
    </w:p>
    <w:p w:rsidR="007D17C5" w:rsidRPr="002B1A95" w:rsidRDefault="007D17C5" w:rsidP="007D17C5">
      <w:pPr>
        <w:pStyle w:val="ActHead5"/>
      </w:pPr>
      <w:bookmarkStart w:id="189" w:name="_Toc49765367"/>
      <w:r w:rsidRPr="00411C46">
        <w:rPr>
          <w:rStyle w:val="CharSectno"/>
        </w:rPr>
        <w:t>1.6</w:t>
      </w:r>
      <w:r w:rsidRPr="002B1A95">
        <w:t xml:space="preserve">  Method of working out amount of notional taxed contributions if the fund benefit is wholly sourced from an accumulation of contributions made in respect of the member</w:t>
      </w:r>
      <w:bookmarkEnd w:id="189"/>
    </w:p>
    <w:p w:rsidR="007D17C5" w:rsidRPr="002B1A95" w:rsidRDefault="007D17C5" w:rsidP="007D17C5">
      <w:pPr>
        <w:pStyle w:val="subsection"/>
      </w:pPr>
      <w:r w:rsidRPr="002B1A95">
        <w:tab/>
      </w:r>
      <w:r w:rsidRPr="002B1A95">
        <w:tab/>
        <w:t>If the fund benefit in relation to a benefit category is wholly sourced from:</w:t>
      </w:r>
    </w:p>
    <w:p w:rsidR="007D17C5" w:rsidRPr="002B1A95" w:rsidRDefault="007D17C5" w:rsidP="007D17C5">
      <w:pPr>
        <w:pStyle w:val="paragraph"/>
      </w:pPr>
      <w:r w:rsidRPr="002B1A95">
        <w:tab/>
        <w:t>(a)</w:t>
      </w:r>
      <w:r w:rsidRPr="002B1A95">
        <w:tab/>
        <w:t>an accumulation of concessional contributions made to a superannuation fund in respect of a member or earnings on such contributions; or</w:t>
      </w:r>
    </w:p>
    <w:p w:rsidR="007D17C5" w:rsidRPr="002B1A95" w:rsidRDefault="007D17C5" w:rsidP="007D17C5">
      <w:pPr>
        <w:pStyle w:val="paragraph"/>
      </w:pPr>
      <w:r w:rsidRPr="002B1A95">
        <w:tab/>
        <w:t>(b)</w:t>
      </w:r>
      <w:r w:rsidRPr="002B1A95">
        <w:tab/>
        <w:t>an accumulation of member contributions or earnings on such contributions;</w:t>
      </w:r>
    </w:p>
    <w:p w:rsidR="007D17C5" w:rsidRPr="002B1A95" w:rsidRDefault="007D17C5" w:rsidP="007D17C5">
      <w:pPr>
        <w:pStyle w:val="subsection2"/>
        <w:rPr>
          <w:color w:val="000000"/>
        </w:rPr>
      </w:pPr>
      <w:r w:rsidRPr="002B1A95">
        <w:t>the amount of NTC for the purposes of clause 1.8 for an accruing member of the benefit category for a financial year is the amount of concessional contributions made to the superannuation fund in respect of the member</w:t>
      </w:r>
      <w:r w:rsidRPr="002B1A95">
        <w:rPr>
          <w:color w:val="000000"/>
        </w:rPr>
        <w:t xml:space="preserve"> during the financial year.</w:t>
      </w:r>
    </w:p>
    <w:p w:rsidR="007D17C5" w:rsidRPr="002B1A95" w:rsidRDefault="007D17C5" w:rsidP="007D17C5">
      <w:pPr>
        <w:pStyle w:val="ActHead5"/>
      </w:pPr>
      <w:bookmarkStart w:id="190" w:name="_Toc49765368"/>
      <w:r w:rsidRPr="00411C46">
        <w:rPr>
          <w:rStyle w:val="CharSectno"/>
        </w:rPr>
        <w:t>1.7</w:t>
      </w:r>
      <w:r w:rsidRPr="002B1A95">
        <w:t xml:space="preserve">  Method of working out amount of notional taxed contributions in respect of a benefit category if the fund benefit is not wholly sourced from an accumulation of contributions made in respect of the member</w:t>
      </w:r>
      <w:bookmarkEnd w:id="190"/>
    </w:p>
    <w:p w:rsidR="007D17C5" w:rsidRPr="002B1A95" w:rsidRDefault="007D17C5" w:rsidP="007D17C5">
      <w:pPr>
        <w:pStyle w:val="subsection"/>
      </w:pPr>
      <w:r w:rsidRPr="002B1A95">
        <w:tab/>
      </w:r>
      <w:r w:rsidRPr="002B1A95">
        <w:tab/>
        <w:t>If clause 1.6 does not apply, the method of working out the amount of NTC for the purposes of clause 1.8 for an accruing member of a benefit category of a defined benefit fund for a financial year is the following formula:</w:t>
      </w:r>
    </w:p>
    <w:p w:rsidR="007D17C5" w:rsidRPr="002B1A95" w:rsidRDefault="007D17C5" w:rsidP="007D17C5">
      <w:pPr>
        <w:pStyle w:val="subsection2"/>
      </w:pPr>
      <w:r w:rsidRPr="002B1A95">
        <w:rPr>
          <w:position w:val="-56"/>
        </w:rPr>
        <w:object w:dxaOrig="6420" w:dyaOrig="1219">
          <v:shape id="_x0000_i1030" type="#_x0000_t75" style="width:321pt;height:61.5pt" o:ole="">
            <v:imagedata r:id="rId36" o:title=""/>
          </v:shape>
          <o:OLEObject Type="Embed" ProgID="Equation.DSMT4" ShapeID="_x0000_i1030" DrawAspect="Content" ObjectID="_1660378725" r:id="rId37"/>
        </w:object>
      </w:r>
    </w:p>
    <w:p w:rsidR="007D17C5" w:rsidRPr="002B1A95" w:rsidRDefault="007D17C5" w:rsidP="007D17C5">
      <w:pPr>
        <w:pStyle w:val="subsection2"/>
      </w:pPr>
      <w:r w:rsidRPr="002B1A95">
        <w:t>where, for the financial year:</w:t>
      </w:r>
    </w:p>
    <w:p w:rsidR="007D17C5" w:rsidRPr="002B1A95" w:rsidRDefault="007D17C5" w:rsidP="007D17C5">
      <w:pPr>
        <w:pStyle w:val="Definition"/>
      </w:pPr>
      <w:r w:rsidRPr="002B1A95">
        <w:rPr>
          <w:b/>
          <w:bCs/>
          <w:i/>
          <w:iCs/>
        </w:rPr>
        <w:t xml:space="preserve">member contributions amount </w:t>
      </w:r>
      <w:r w:rsidRPr="002B1A95">
        <w:t>is the amount of member contributions:</w:t>
      </w:r>
    </w:p>
    <w:p w:rsidR="007D17C5" w:rsidRPr="002B1A95" w:rsidRDefault="007D17C5" w:rsidP="007D17C5">
      <w:pPr>
        <w:pStyle w:val="paragraph"/>
      </w:pPr>
      <w:r w:rsidRPr="002B1A95">
        <w:tab/>
        <w:t>(a)</w:t>
      </w:r>
      <w:r w:rsidRPr="002B1A95">
        <w:tab/>
        <w:t>paid by or on behalf of the member in respect of the member’s defined benefit interest in the fund during that part of the financial year that the member was an accruing member of the benefit category; and</w:t>
      </w:r>
    </w:p>
    <w:p w:rsidR="007D17C5" w:rsidRPr="002B1A95" w:rsidRDefault="007D17C5" w:rsidP="007D17C5">
      <w:pPr>
        <w:pStyle w:val="paragraph"/>
      </w:pPr>
      <w:r w:rsidRPr="002B1A95">
        <w:tab/>
        <w:t>(b)</w:t>
      </w:r>
      <w:r w:rsidRPr="002B1A95">
        <w:tab/>
        <w:t>which are not assessable income of the fund.</w:t>
      </w:r>
    </w:p>
    <w:p w:rsidR="007D17C5" w:rsidRPr="002B1A95" w:rsidRDefault="007D17C5" w:rsidP="007D17C5">
      <w:pPr>
        <w:pStyle w:val="Definition"/>
        <w:rPr>
          <w:color w:val="000000"/>
        </w:rPr>
      </w:pPr>
      <w:r w:rsidRPr="002B1A95">
        <w:rPr>
          <w:b/>
          <w:i/>
          <w:color w:val="000000"/>
        </w:rPr>
        <w:t>new entrant rate</w:t>
      </w:r>
      <w:r w:rsidRPr="002B1A95">
        <w:rPr>
          <w:b/>
          <w:color w:val="000000"/>
        </w:rPr>
        <w:t xml:space="preserve"> </w:t>
      </w:r>
      <w:r w:rsidRPr="002B1A95">
        <w:rPr>
          <w:color w:val="000000"/>
        </w:rPr>
        <w:t>is the new entrant rate for the benefit category worked out by an actuary under Parts</w:t>
      </w:r>
      <w:r w:rsidR="002B1A95" w:rsidRPr="002B1A95">
        <w:rPr>
          <w:color w:val="000000"/>
        </w:rPr>
        <w:t> </w:t>
      </w:r>
      <w:r w:rsidRPr="002B1A95">
        <w:rPr>
          <w:color w:val="000000"/>
        </w:rPr>
        <w:t>2 and 3.</w:t>
      </w:r>
    </w:p>
    <w:p w:rsidR="007D17C5" w:rsidRPr="002B1A95" w:rsidRDefault="007D17C5" w:rsidP="007D17C5">
      <w:pPr>
        <w:pStyle w:val="Definition"/>
      </w:pPr>
      <w:r w:rsidRPr="002B1A95">
        <w:rPr>
          <w:b/>
          <w:i/>
        </w:rPr>
        <w:t>number of days</w:t>
      </w:r>
      <w:r w:rsidRPr="002B1A95">
        <w:t xml:space="preserve"> is the number of days during the financial year that the member was an accruing member of the benefit category.</w:t>
      </w:r>
    </w:p>
    <w:p w:rsidR="007D17C5" w:rsidRPr="002B1A95" w:rsidRDefault="007D17C5" w:rsidP="007D17C5">
      <w:pPr>
        <w:pStyle w:val="Definition"/>
      </w:pPr>
      <w:r w:rsidRPr="002B1A95">
        <w:rPr>
          <w:b/>
          <w:i/>
        </w:rPr>
        <w:t>superannuation salary amount</w:t>
      </w:r>
      <w:r w:rsidRPr="002B1A95">
        <w:t xml:space="preserve"> is the member’s annual superannuation salary relevant to the benefit category on the first day of the financial year on which the member had a defined benefit interest in the fund.</w:t>
      </w:r>
    </w:p>
    <w:p w:rsidR="007D17C5" w:rsidRPr="002B1A95" w:rsidRDefault="007D17C5" w:rsidP="007D17C5">
      <w:pPr>
        <w:pStyle w:val="ActHead5"/>
      </w:pPr>
      <w:bookmarkStart w:id="191" w:name="_Toc49765369"/>
      <w:r w:rsidRPr="00411C46">
        <w:rPr>
          <w:rStyle w:val="CharSectno"/>
        </w:rPr>
        <w:lastRenderedPageBreak/>
        <w:t>1.8</w:t>
      </w:r>
      <w:r w:rsidRPr="002B1A95">
        <w:t xml:space="preserve">  Method of working out amount of notional taxed contributions</w:t>
      </w:r>
      <w:bookmarkEnd w:id="191"/>
    </w:p>
    <w:p w:rsidR="007D17C5" w:rsidRPr="002B1A95" w:rsidRDefault="007D17C5" w:rsidP="007D17C5">
      <w:pPr>
        <w:pStyle w:val="subsection"/>
      </w:pPr>
      <w:r w:rsidRPr="002B1A95">
        <w:tab/>
      </w:r>
      <w:r w:rsidRPr="002B1A95">
        <w:tab/>
        <w:t>The method of working out the notional taxed contributions for an accruing member of a defined benefit fund for a financial year is the following formula:</w:t>
      </w:r>
    </w:p>
    <w:p w:rsidR="007D17C5" w:rsidRPr="002B1A95" w:rsidRDefault="007D17C5" w:rsidP="007D17C5">
      <w:pPr>
        <w:pStyle w:val="subsection2"/>
      </w:pPr>
      <w:r w:rsidRPr="002B1A95">
        <w:rPr>
          <w:position w:val="-88"/>
        </w:rPr>
        <w:object w:dxaOrig="7280" w:dyaOrig="1860">
          <v:shape id="_x0000_i1031" type="#_x0000_t75" style="width:363pt;height:93pt" o:ole="">
            <v:imagedata r:id="rId38" o:title=""/>
          </v:shape>
          <o:OLEObject Type="Embed" ProgID="Equation.DSMT4" ShapeID="_x0000_i1031" DrawAspect="Content" ObjectID="_1660378726" r:id="rId39"/>
        </w:object>
      </w:r>
    </w:p>
    <w:p w:rsidR="007D17C5" w:rsidRPr="002B1A95" w:rsidRDefault="007D17C5" w:rsidP="007D17C5">
      <w:pPr>
        <w:pStyle w:val="subsection2"/>
        <w:spacing w:before="120"/>
      </w:pPr>
      <w:r w:rsidRPr="002B1A95">
        <w:t>where, for the financial year:</w:t>
      </w:r>
    </w:p>
    <w:p w:rsidR="007D17C5" w:rsidRPr="002B1A95" w:rsidRDefault="007D17C5" w:rsidP="007D17C5">
      <w:pPr>
        <w:pStyle w:val="Definition"/>
      </w:pPr>
      <w:r w:rsidRPr="002B1A95">
        <w:rPr>
          <w:b/>
          <w:i/>
        </w:rPr>
        <w:t>category change or discretion adjustment amount</w:t>
      </w:r>
      <w:r w:rsidRPr="002B1A95">
        <w:t xml:space="preserve"> is an amount worked out on advice from an actuary under Part</w:t>
      </w:r>
      <w:r w:rsidR="002B1A95" w:rsidRPr="002B1A95">
        <w:t> </w:t>
      </w:r>
      <w:r w:rsidRPr="002B1A95">
        <w:t>5.</w:t>
      </w:r>
    </w:p>
    <w:p w:rsidR="007D17C5" w:rsidRPr="002B1A95" w:rsidRDefault="007D17C5" w:rsidP="007D17C5">
      <w:pPr>
        <w:pStyle w:val="Definition"/>
      </w:pPr>
      <w:r w:rsidRPr="002B1A95">
        <w:rPr>
          <w:b/>
          <w:i/>
        </w:rPr>
        <w:t>governing rules change adjustment amount</w:t>
      </w:r>
      <w:r w:rsidRPr="002B1A95">
        <w:t xml:space="preserve"> is an amount worked out on advice from an actuary under Part</w:t>
      </w:r>
      <w:r w:rsidR="002B1A95" w:rsidRPr="002B1A95">
        <w:t> </w:t>
      </w:r>
      <w:r w:rsidRPr="002B1A95">
        <w:t>6.</w:t>
      </w:r>
    </w:p>
    <w:p w:rsidR="007D17C5" w:rsidRPr="002B1A95" w:rsidRDefault="007D17C5" w:rsidP="007D17C5">
      <w:pPr>
        <w:pStyle w:val="Definition"/>
      </w:pPr>
      <w:r w:rsidRPr="002B1A95">
        <w:rPr>
          <w:b/>
          <w:i/>
        </w:rPr>
        <w:t xml:space="preserve">increased exit benefit adjustment amount </w:t>
      </w:r>
      <w:r w:rsidRPr="002B1A95">
        <w:t>is an amount worked out on advice from an actuary under Part</w:t>
      </w:r>
      <w:r w:rsidR="002B1A95" w:rsidRPr="002B1A95">
        <w:t> </w:t>
      </w:r>
      <w:r w:rsidRPr="002B1A95">
        <w:t>4.</w:t>
      </w:r>
    </w:p>
    <w:p w:rsidR="007D17C5" w:rsidRPr="002B1A95" w:rsidRDefault="007D17C5" w:rsidP="007D17C5">
      <w:pPr>
        <w:pStyle w:val="Definition"/>
      </w:pPr>
      <w:r w:rsidRPr="002B1A95">
        <w:rPr>
          <w:b/>
          <w:i/>
        </w:rPr>
        <w:t>increased superannuation salary adjustment amount</w:t>
      </w:r>
      <w:r w:rsidRPr="002B1A95">
        <w:t xml:space="preserve"> is an amount worked out on advice from an actuary under Part</w:t>
      </w:r>
      <w:r w:rsidR="002B1A95" w:rsidRPr="002B1A95">
        <w:t> </w:t>
      </w:r>
      <w:r w:rsidRPr="002B1A95">
        <w:t>7.</w:t>
      </w:r>
    </w:p>
    <w:p w:rsidR="007D17C5" w:rsidRPr="002B1A95" w:rsidRDefault="007D17C5" w:rsidP="007D17C5">
      <w:pPr>
        <w:pStyle w:val="Definition"/>
      </w:pPr>
      <w:r w:rsidRPr="002B1A95">
        <w:rPr>
          <w:b/>
          <w:i/>
          <w:color w:val="000000"/>
        </w:rPr>
        <w:t>sum of NTC</w:t>
      </w:r>
      <w:r w:rsidRPr="002B1A95">
        <w:rPr>
          <w:b/>
          <w:color w:val="000000"/>
        </w:rPr>
        <w:t xml:space="preserve"> </w:t>
      </w:r>
      <w:r w:rsidRPr="002B1A95">
        <w:rPr>
          <w:color w:val="000000"/>
        </w:rPr>
        <w:t xml:space="preserve">is </w:t>
      </w:r>
      <w:r w:rsidRPr="002B1A95">
        <w:t>the sum of the amounts of NTC for each benefit category that the member belongs to during the financial year calculated under clauses 1.6 and 1.7.</w:t>
      </w:r>
    </w:p>
    <w:p w:rsidR="007D17C5" w:rsidRPr="002B1A95" w:rsidRDefault="007D17C5" w:rsidP="007D17C5">
      <w:pPr>
        <w:pStyle w:val="ActHead2"/>
        <w:pageBreakBefore/>
      </w:pPr>
      <w:bookmarkStart w:id="192" w:name="_Toc49765370"/>
      <w:r w:rsidRPr="00411C46">
        <w:rPr>
          <w:rStyle w:val="CharPartNo"/>
        </w:rPr>
        <w:lastRenderedPageBreak/>
        <w:t>Part</w:t>
      </w:r>
      <w:r w:rsidR="002B1A95" w:rsidRPr="00411C46">
        <w:rPr>
          <w:rStyle w:val="CharPartNo"/>
        </w:rPr>
        <w:t> </w:t>
      </w:r>
      <w:r w:rsidRPr="00411C46">
        <w:rPr>
          <w:rStyle w:val="CharPartNo"/>
        </w:rPr>
        <w:t>2</w:t>
      </w:r>
      <w:r w:rsidRPr="002B1A95">
        <w:t>—</w:t>
      </w:r>
      <w:r w:rsidRPr="00411C46">
        <w:rPr>
          <w:rStyle w:val="CharPartText"/>
        </w:rPr>
        <w:t>New entrant rate</w:t>
      </w:r>
      <w:bookmarkEnd w:id="192"/>
    </w:p>
    <w:p w:rsidR="007D17C5" w:rsidRPr="00411C46" w:rsidRDefault="007D17C5" w:rsidP="007D17C5">
      <w:pPr>
        <w:pStyle w:val="Header"/>
      </w:pPr>
      <w:r w:rsidRPr="00411C46">
        <w:rPr>
          <w:rStyle w:val="CharDivNo"/>
        </w:rPr>
        <w:t xml:space="preserve"> </w:t>
      </w:r>
      <w:r w:rsidRPr="00411C46">
        <w:rPr>
          <w:rStyle w:val="CharDivText"/>
        </w:rPr>
        <w:t xml:space="preserve"> </w:t>
      </w:r>
    </w:p>
    <w:p w:rsidR="007D17C5" w:rsidRPr="002B1A95" w:rsidRDefault="007D17C5" w:rsidP="007D17C5">
      <w:pPr>
        <w:pStyle w:val="ActHead5"/>
      </w:pPr>
      <w:bookmarkStart w:id="193" w:name="_Toc49765371"/>
      <w:r w:rsidRPr="00411C46">
        <w:rPr>
          <w:rStyle w:val="CharSectno"/>
        </w:rPr>
        <w:t>2.1</w:t>
      </w:r>
      <w:r w:rsidRPr="002B1A95">
        <w:t xml:space="preserve">  Method of working out new entrant rate for a benefit category</w:t>
      </w:r>
      <w:bookmarkEnd w:id="193"/>
    </w:p>
    <w:p w:rsidR="007D17C5" w:rsidRPr="002B1A95" w:rsidRDefault="007D17C5" w:rsidP="007D17C5">
      <w:pPr>
        <w:pStyle w:val="subsection"/>
      </w:pPr>
      <w:r w:rsidRPr="002B1A95">
        <w:rPr>
          <w:color w:val="000000"/>
        </w:rPr>
        <w:tab/>
        <w:t>(1)</w:t>
      </w:r>
      <w:r w:rsidRPr="002B1A95">
        <w:rPr>
          <w:color w:val="000000"/>
        </w:rPr>
        <w:tab/>
        <w:t>The new entrant rate for a benefit category is the rate calculated under this Part and using the assumptions set out in Part</w:t>
      </w:r>
      <w:r w:rsidR="002B1A95" w:rsidRPr="002B1A95">
        <w:rPr>
          <w:color w:val="000000"/>
        </w:rPr>
        <w:t> </w:t>
      </w:r>
      <w:r w:rsidRPr="002B1A95">
        <w:rPr>
          <w:color w:val="000000"/>
        </w:rPr>
        <w:t>3.</w:t>
      </w:r>
    </w:p>
    <w:p w:rsidR="007D17C5" w:rsidRPr="002B1A95" w:rsidRDefault="007D17C5" w:rsidP="007D17C5">
      <w:pPr>
        <w:pStyle w:val="subsection"/>
      </w:pPr>
      <w:r w:rsidRPr="002B1A95">
        <w:rPr>
          <w:color w:val="000000"/>
        </w:rPr>
        <w:tab/>
        <w:t>(2)</w:t>
      </w:r>
      <w:r w:rsidRPr="002B1A95">
        <w:rPr>
          <w:color w:val="000000"/>
        </w:rPr>
        <w:tab/>
        <w:t>The new entrant rate for a benefit category is the rate that represents the long</w:t>
      </w:r>
      <w:r w:rsidR="00782250">
        <w:rPr>
          <w:color w:val="000000"/>
        </w:rPr>
        <w:noBreakHyphen/>
      </w:r>
      <w:r w:rsidRPr="002B1A95">
        <w:rPr>
          <w:color w:val="000000"/>
        </w:rPr>
        <w:t>term cost, expressed as a percentage of superannuation salary, of providing as much of the fund benefit as is payable on a voluntary exit to a hypothetical new entrant to the benefit category.</w:t>
      </w:r>
    </w:p>
    <w:p w:rsidR="007D17C5" w:rsidRPr="002B1A95" w:rsidRDefault="007D17C5" w:rsidP="007D17C5">
      <w:pPr>
        <w:pStyle w:val="subsection"/>
      </w:pPr>
      <w:r w:rsidRPr="002B1A95">
        <w:tab/>
        <w:t>(3)</w:t>
      </w:r>
      <w:r w:rsidRPr="002B1A95">
        <w:tab/>
        <w:t>The new entrant rate is calculated as the present value of the fund benefit payable on voluntary exit (resignation, early retirement, or retirement) under the rules of the defined benefit fund which are applicable to a new entrant to the benefit category divided by the present value of future superannuation salaries payable to the new entrant.</w:t>
      </w:r>
    </w:p>
    <w:p w:rsidR="007D17C5" w:rsidRPr="002B1A95" w:rsidRDefault="007D17C5" w:rsidP="007D17C5">
      <w:pPr>
        <w:pStyle w:val="subsection"/>
      </w:pPr>
      <w:r w:rsidRPr="002B1A95">
        <w:tab/>
        <w:t>(4)</w:t>
      </w:r>
      <w:r w:rsidRPr="002B1A95">
        <w:tab/>
        <w:t>To avoid doubt, the new entrant rate is to be calculated assuming that the fund benefit is to be wholly sourced from concessional contributions made into the fund at the new entrant rate and earnings on those contributions.</w:t>
      </w:r>
    </w:p>
    <w:p w:rsidR="007D17C5" w:rsidRPr="002B1A95" w:rsidRDefault="007D17C5" w:rsidP="007D17C5">
      <w:pPr>
        <w:pStyle w:val="subsection"/>
      </w:pPr>
      <w:r w:rsidRPr="002B1A95">
        <w:tab/>
        <w:t>(5)</w:t>
      </w:r>
      <w:r w:rsidRPr="002B1A95">
        <w:tab/>
        <w:t>The present value of the fund benefit is to be calculated having regard to the rules and practice of the defined benefit fund including benefit structure, caps, member options, reasonably expected discretions and member contributions, and using the economic, decrement and other parameters and the other assumptions set out in Part</w:t>
      </w:r>
      <w:r w:rsidR="002B1A95" w:rsidRPr="002B1A95">
        <w:t> </w:t>
      </w:r>
      <w:r w:rsidRPr="002B1A95">
        <w:t>3.</w:t>
      </w:r>
    </w:p>
    <w:p w:rsidR="007D17C5" w:rsidRPr="002B1A95" w:rsidRDefault="007D17C5" w:rsidP="007D17C5">
      <w:pPr>
        <w:pStyle w:val="ActHead5"/>
      </w:pPr>
      <w:bookmarkStart w:id="194" w:name="_Toc49765372"/>
      <w:bookmarkStart w:id="195" w:name="_GoBack"/>
      <w:bookmarkEnd w:id="195"/>
      <w:r w:rsidRPr="00411C46">
        <w:rPr>
          <w:rStyle w:val="CharSectno"/>
        </w:rPr>
        <w:t>2.2</w:t>
      </w:r>
      <w:r w:rsidRPr="002B1A95">
        <w:t xml:space="preserve">  New entrant rate to be based on period of membership needed to reach maximum benefit accrual</w:t>
      </w:r>
      <w:bookmarkEnd w:id="194"/>
    </w:p>
    <w:p w:rsidR="007D17C5" w:rsidRPr="002B1A95" w:rsidRDefault="007D17C5" w:rsidP="007D17C5">
      <w:pPr>
        <w:pStyle w:val="subsection"/>
      </w:pPr>
      <w:r w:rsidRPr="002B1A95">
        <w:rPr>
          <w:color w:val="000000"/>
        </w:rPr>
        <w:tab/>
      </w:r>
      <w:r w:rsidRPr="002B1A95">
        <w:rPr>
          <w:color w:val="000000"/>
        </w:rPr>
        <w:tab/>
        <w:t>If the rules of the defined benefit fund applicable to the benefit category provide for a maximum benefit accrual, the new entrant rate is to be calculated on the basis that the benefit is funded over the period to when maximum accrual is attained.</w:t>
      </w:r>
    </w:p>
    <w:p w:rsidR="007D17C5" w:rsidRPr="002B1A95" w:rsidRDefault="007D17C5" w:rsidP="007D17C5">
      <w:pPr>
        <w:pStyle w:val="notetext"/>
      </w:pPr>
      <w:r w:rsidRPr="002B1A95">
        <w:t>Note:</w:t>
      </w:r>
      <w:r w:rsidRPr="002B1A95">
        <w:tab/>
        <w:t>This means that, for the purpose of calculating the present value of future salaries payable to the new entrant, the superannuation salary is to be assumed to be zero at those ages after reaching maximum benefit accrual.</w:t>
      </w:r>
    </w:p>
    <w:p w:rsidR="007D17C5" w:rsidRPr="002B1A95" w:rsidRDefault="007D17C5" w:rsidP="007D17C5">
      <w:pPr>
        <w:pStyle w:val="notetext"/>
        <w:rPr>
          <w:color w:val="000000"/>
        </w:rPr>
      </w:pPr>
      <w:r w:rsidRPr="002B1A95">
        <w:t>Example</w:t>
      </w:r>
      <w:r w:rsidRPr="002B1A95">
        <w:rPr>
          <w:i/>
        </w:rPr>
        <w:t>:</w:t>
      </w:r>
      <w:r w:rsidRPr="002B1A95">
        <w:rPr>
          <w:i/>
        </w:rPr>
        <w:tab/>
      </w:r>
      <w:r w:rsidRPr="002B1A95">
        <w:rPr>
          <w:color w:val="000000"/>
        </w:rPr>
        <w:t>If maximum accrual is attained after 20 years of membership, the superannuation salary for a 30</w:t>
      </w:r>
      <w:r w:rsidR="00782250">
        <w:rPr>
          <w:color w:val="000000"/>
        </w:rPr>
        <w:noBreakHyphen/>
      </w:r>
      <w:r w:rsidRPr="002B1A95">
        <w:rPr>
          <w:color w:val="000000"/>
        </w:rPr>
        <w:t>year</w:t>
      </w:r>
      <w:r w:rsidR="00782250">
        <w:rPr>
          <w:color w:val="000000"/>
        </w:rPr>
        <w:noBreakHyphen/>
      </w:r>
      <w:r w:rsidRPr="002B1A95">
        <w:rPr>
          <w:color w:val="000000"/>
        </w:rPr>
        <w:t>old new entrant will be assumed to be zero at age 50 and above for the purpose of calculating the present value of future salaries payable to the new entrant.</w:t>
      </w:r>
    </w:p>
    <w:p w:rsidR="007D17C5" w:rsidRPr="002B1A95" w:rsidRDefault="007D17C5" w:rsidP="007D17C5">
      <w:pPr>
        <w:pStyle w:val="ActHead5"/>
      </w:pPr>
      <w:bookmarkStart w:id="196" w:name="_Toc49765373"/>
      <w:r w:rsidRPr="00411C46">
        <w:rPr>
          <w:rStyle w:val="CharSectno"/>
        </w:rPr>
        <w:t>2.3</w:t>
      </w:r>
      <w:r w:rsidRPr="002B1A95">
        <w:t xml:space="preserve">  New entrant rate to be rounded down</w:t>
      </w:r>
      <w:bookmarkEnd w:id="196"/>
    </w:p>
    <w:p w:rsidR="007D17C5" w:rsidRPr="002B1A95" w:rsidRDefault="007D17C5" w:rsidP="007D17C5">
      <w:pPr>
        <w:pStyle w:val="subsection"/>
      </w:pPr>
      <w:r w:rsidRPr="002B1A95">
        <w:rPr>
          <w:color w:val="000000"/>
        </w:rPr>
        <w:tab/>
      </w:r>
      <w:r w:rsidRPr="002B1A95">
        <w:rPr>
          <w:color w:val="000000"/>
        </w:rPr>
        <w:tab/>
        <w:t>The new entrant rate is to be rounded down to the lower 1 percentage point.</w:t>
      </w:r>
    </w:p>
    <w:p w:rsidR="007D17C5" w:rsidRPr="002B1A95" w:rsidRDefault="007D17C5" w:rsidP="007D17C5">
      <w:pPr>
        <w:pStyle w:val="notetext"/>
      </w:pPr>
      <w:r w:rsidRPr="002B1A95">
        <w:t>Example</w:t>
      </w:r>
      <w:r w:rsidRPr="002B1A95">
        <w:rPr>
          <w:i/>
        </w:rPr>
        <w:t>:</w:t>
      </w:r>
      <w:r w:rsidRPr="002B1A95">
        <w:rPr>
          <w:color w:val="000000"/>
        </w:rPr>
        <w:tab/>
      </w:r>
      <w:r w:rsidRPr="002B1A95">
        <w:t>10.6%</w:t>
      </w:r>
      <w:r w:rsidRPr="002B1A95">
        <w:rPr>
          <w:color w:val="000000"/>
        </w:rPr>
        <w:t xml:space="preserve"> would be rounded down to 10%.</w:t>
      </w:r>
    </w:p>
    <w:p w:rsidR="007D17C5" w:rsidRPr="002B1A95" w:rsidRDefault="007D17C5" w:rsidP="007D17C5">
      <w:pPr>
        <w:pStyle w:val="ActHead5"/>
      </w:pPr>
      <w:bookmarkStart w:id="197" w:name="_Toc49765374"/>
      <w:r w:rsidRPr="00411C46">
        <w:rPr>
          <w:rStyle w:val="CharSectno"/>
        </w:rPr>
        <w:lastRenderedPageBreak/>
        <w:t>2.4</w:t>
      </w:r>
      <w:r w:rsidRPr="002B1A95">
        <w:t xml:space="preserve">  No allowance for administration expenses or income tax on assessable contributions</w:t>
      </w:r>
      <w:bookmarkEnd w:id="197"/>
    </w:p>
    <w:p w:rsidR="007D17C5" w:rsidRPr="002B1A95" w:rsidRDefault="007D17C5" w:rsidP="007D17C5">
      <w:pPr>
        <w:pStyle w:val="subsection"/>
      </w:pPr>
      <w:r w:rsidRPr="002B1A95">
        <w:tab/>
      </w:r>
      <w:r w:rsidRPr="002B1A95">
        <w:tab/>
        <w:t>The new entrant rate is to be calculated ignoring:</w:t>
      </w:r>
    </w:p>
    <w:p w:rsidR="007D17C5" w:rsidRPr="002B1A95" w:rsidRDefault="007D17C5" w:rsidP="007D17C5">
      <w:pPr>
        <w:pStyle w:val="paragraph"/>
      </w:pPr>
      <w:r w:rsidRPr="002B1A95">
        <w:tab/>
        <w:t>(a)</w:t>
      </w:r>
      <w:r w:rsidRPr="002B1A95">
        <w:tab/>
        <w:t>administration expenses; and</w:t>
      </w:r>
    </w:p>
    <w:p w:rsidR="007D17C5" w:rsidRPr="002B1A95" w:rsidRDefault="007D17C5" w:rsidP="007D17C5">
      <w:pPr>
        <w:pStyle w:val="paragraph"/>
      </w:pPr>
      <w:r w:rsidRPr="002B1A95">
        <w:tab/>
        <w:t>(b)</w:t>
      </w:r>
      <w:r w:rsidRPr="002B1A95">
        <w:tab/>
        <w:t>income tax on assessable contributions.</w:t>
      </w:r>
    </w:p>
    <w:p w:rsidR="007D17C5" w:rsidRPr="002B1A95" w:rsidRDefault="007D17C5" w:rsidP="007D17C5">
      <w:pPr>
        <w:pStyle w:val="notetext"/>
      </w:pPr>
      <w:r w:rsidRPr="002B1A95">
        <w:rPr>
          <w:color w:val="000000"/>
        </w:rPr>
        <w:t>Note:</w:t>
      </w:r>
      <w:r w:rsidRPr="002B1A95">
        <w:rPr>
          <w:color w:val="000000"/>
        </w:rPr>
        <w:tab/>
        <w:t>These items are allowed for in the formula in clause 1.7 by multiplying by 1.2.</w:t>
      </w:r>
    </w:p>
    <w:p w:rsidR="007D17C5" w:rsidRPr="002B1A95" w:rsidRDefault="007D17C5" w:rsidP="007D17C5">
      <w:pPr>
        <w:pStyle w:val="ActHead5"/>
      </w:pPr>
      <w:bookmarkStart w:id="198" w:name="_Toc49765375"/>
      <w:r w:rsidRPr="00411C46">
        <w:rPr>
          <w:rStyle w:val="CharSectno"/>
        </w:rPr>
        <w:t>2.5</w:t>
      </w:r>
      <w:r w:rsidRPr="002B1A95">
        <w:t xml:space="preserve">  Certain discretions to be allowed for</w:t>
      </w:r>
      <w:bookmarkEnd w:id="198"/>
    </w:p>
    <w:p w:rsidR="007D17C5" w:rsidRPr="002B1A95" w:rsidRDefault="007D17C5" w:rsidP="007D17C5">
      <w:pPr>
        <w:pStyle w:val="subsection"/>
      </w:pPr>
      <w:r w:rsidRPr="002B1A95">
        <w:rPr>
          <w:color w:val="000000"/>
        </w:rPr>
        <w:tab/>
        <w:t>(1)</w:t>
      </w:r>
      <w:r w:rsidRPr="002B1A95">
        <w:rPr>
          <w:color w:val="000000"/>
        </w:rPr>
        <w:tab/>
        <w:t>The new entrant rate is to be calculated assuming that certain discretions are always exercised.</w:t>
      </w:r>
    </w:p>
    <w:p w:rsidR="007D17C5" w:rsidRPr="002B1A95" w:rsidRDefault="007D17C5" w:rsidP="007D17C5">
      <w:pPr>
        <w:pStyle w:val="subsection"/>
      </w:pPr>
      <w:r w:rsidRPr="002B1A95">
        <w:tab/>
        <w:t>(2)</w:t>
      </w:r>
      <w:r w:rsidRPr="002B1A95">
        <w:tab/>
        <w:t xml:space="preserve">Subject to </w:t>
      </w:r>
      <w:r w:rsidR="002B1A95" w:rsidRPr="002B1A95">
        <w:t>subclause (</w:t>
      </w:r>
      <w:r w:rsidRPr="002B1A95">
        <w:t>3), if the fund rules provide a discretion to pay, on voluntary exit, a benefit that is higher than the standard benefit, the actuary must assume that a higher benefit is always paid on voluntary exit on or after age 55.</w:t>
      </w:r>
    </w:p>
    <w:p w:rsidR="007D17C5" w:rsidRPr="002B1A95" w:rsidRDefault="007D17C5" w:rsidP="007D17C5">
      <w:pPr>
        <w:pStyle w:val="subsection"/>
      </w:pPr>
      <w:r w:rsidRPr="002B1A95">
        <w:tab/>
      </w:r>
      <w:r w:rsidRPr="002B1A95">
        <w:rPr>
          <w:color w:val="000000"/>
        </w:rPr>
        <w:t>(3)</w:t>
      </w:r>
      <w:r w:rsidRPr="002B1A95">
        <w:rPr>
          <w:color w:val="000000"/>
        </w:rPr>
        <w:tab/>
      </w:r>
      <w:r w:rsidRPr="002B1A95">
        <w:t xml:space="preserve">If the higher benefit mentioned in </w:t>
      </w:r>
      <w:r w:rsidR="002B1A95" w:rsidRPr="002B1A95">
        <w:t>subclause (</w:t>
      </w:r>
      <w:r w:rsidRPr="002B1A95">
        <w:t>2) exceeds the accrued retirement benefit, the actuary may assume that the benefit is an amount:</w:t>
      </w:r>
    </w:p>
    <w:p w:rsidR="007D17C5" w:rsidRPr="002B1A95" w:rsidRDefault="007D17C5" w:rsidP="007D17C5">
      <w:pPr>
        <w:pStyle w:val="paragraph"/>
      </w:pPr>
      <w:r w:rsidRPr="002B1A95">
        <w:tab/>
        <w:t>(a)</w:t>
      </w:r>
      <w:r w:rsidRPr="002B1A95">
        <w:tab/>
        <w:t>greater than or equal to the accrued retirement benefit; and</w:t>
      </w:r>
    </w:p>
    <w:p w:rsidR="007D17C5" w:rsidRPr="002B1A95" w:rsidRDefault="007D17C5" w:rsidP="007D17C5">
      <w:pPr>
        <w:pStyle w:val="paragraph"/>
        <w:rPr>
          <w:color w:val="000000"/>
        </w:rPr>
      </w:pPr>
      <w:r w:rsidRPr="002B1A95">
        <w:tab/>
        <w:t>(b)</w:t>
      </w:r>
      <w:r w:rsidRPr="002B1A95">
        <w:tab/>
        <w:t>less than or equal to the higher benefit.</w:t>
      </w:r>
    </w:p>
    <w:p w:rsidR="007D17C5" w:rsidRPr="002B1A95" w:rsidRDefault="007D17C5" w:rsidP="007D17C5">
      <w:pPr>
        <w:pStyle w:val="subsection"/>
      </w:pPr>
      <w:r w:rsidRPr="002B1A95">
        <w:rPr>
          <w:color w:val="000000"/>
        </w:rPr>
        <w:tab/>
        <w:t>(4)</w:t>
      </w:r>
      <w:r w:rsidRPr="002B1A95">
        <w:rPr>
          <w:color w:val="000000"/>
        </w:rPr>
        <w:tab/>
        <w:t>If the actuary believes that there is a reasonable expectation that a higher benefit than either the standard benefit or the accrued retirement benefit will be paid, then the actuary should assume that the benefit paid on voluntary exit on or after age 55 is always equal to the benefit reasonably expected to be paid.</w:t>
      </w:r>
    </w:p>
    <w:p w:rsidR="007D17C5" w:rsidRPr="002B1A95" w:rsidRDefault="007D17C5" w:rsidP="007D17C5">
      <w:pPr>
        <w:pStyle w:val="notetext"/>
      </w:pPr>
      <w:r w:rsidRPr="002B1A95">
        <w:rPr>
          <w:color w:val="000000"/>
        </w:rPr>
        <w:t>Note:</w:t>
      </w:r>
      <w:r w:rsidRPr="002B1A95">
        <w:rPr>
          <w:color w:val="000000"/>
        </w:rPr>
        <w:tab/>
        <w:t>In considering whether there is a reasonable expectation that a higher benefit will be paid, it would generally not be appropriate to assume payment unless such an assumption was adopted in the most recent actuarial review.</w:t>
      </w:r>
    </w:p>
    <w:p w:rsidR="007D17C5" w:rsidRPr="002B1A95" w:rsidRDefault="007D17C5" w:rsidP="007D17C5">
      <w:pPr>
        <w:pStyle w:val="ActHead5"/>
      </w:pPr>
      <w:bookmarkStart w:id="199" w:name="_Toc49765376"/>
      <w:r w:rsidRPr="00411C46">
        <w:rPr>
          <w:rStyle w:val="CharSectno"/>
        </w:rPr>
        <w:t>2.6</w:t>
      </w:r>
      <w:r w:rsidRPr="002B1A95">
        <w:t xml:space="preserve">  Method of working out new entrant rate for a member</w:t>
      </w:r>
      <w:bookmarkEnd w:id="199"/>
    </w:p>
    <w:p w:rsidR="007D17C5" w:rsidRPr="002B1A95" w:rsidRDefault="007D17C5" w:rsidP="007D17C5">
      <w:pPr>
        <w:pStyle w:val="subsection"/>
      </w:pPr>
      <w:r w:rsidRPr="002B1A95">
        <w:rPr>
          <w:color w:val="000000"/>
        </w:rPr>
        <w:tab/>
        <w:t>(1)</w:t>
      </w:r>
      <w:r w:rsidRPr="002B1A95">
        <w:rPr>
          <w:color w:val="000000"/>
        </w:rPr>
        <w:tab/>
        <w:t>If a member belongs to exactly one benefit category at a particular time, the new entrant rate for the member at that time is the new entrant rate for that benefit category.</w:t>
      </w:r>
    </w:p>
    <w:p w:rsidR="007D17C5" w:rsidRPr="002B1A95" w:rsidRDefault="007D17C5" w:rsidP="007D17C5">
      <w:pPr>
        <w:pStyle w:val="subsection"/>
      </w:pPr>
      <w:r w:rsidRPr="002B1A95">
        <w:rPr>
          <w:color w:val="000000"/>
        </w:rPr>
        <w:tab/>
        <w:t>(2)</w:t>
      </w:r>
      <w:r w:rsidRPr="002B1A95">
        <w:rPr>
          <w:color w:val="000000"/>
        </w:rPr>
        <w:tab/>
        <w:t>If a member belongs to more than one benefit category at a particular time, the new entrant rate for the member at that time is the sum of the new entrant rates for each benefit category to which the member belongs.</w:t>
      </w:r>
    </w:p>
    <w:p w:rsidR="007D17C5" w:rsidRPr="002B1A95" w:rsidRDefault="007D17C5" w:rsidP="007D17C5">
      <w:pPr>
        <w:pStyle w:val="notetext"/>
        <w:rPr>
          <w:color w:val="000000"/>
        </w:rPr>
      </w:pPr>
      <w:r w:rsidRPr="002B1A95">
        <w:rPr>
          <w:color w:val="000000"/>
        </w:rPr>
        <w:t>Note:</w:t>
      </w:r>
      <w:r w:rsidRPr="002B1A95">
        <w:rPr>
          <w:color w:val="000000"/>
        </w:rPr>
        <w:tab/>
        <w:t>The new entrant rate for a member is relevant to sections 291</w:t>
      </w:r>
      <w:r w:rsidR="00782250">
        <w:rPr>
          <w:color w:val="000000"/>
        </w:rPr>
        <w:noBreakHyphen/>
      </w:r>
      <w:r w:rsidRPr="002B1A95">
        <w:rPr>
          <w:color w:val="000000"/>
        </w:rPr>
        <w:t>170.05 and 291</w:t>
      </w:r>
      <w:r w:rsidR="00782250">
        <w:rPr>
          <w:color w:val="000000"/>
        </w:rPr>
        <w:noBreakHyphen/>
      </w:r>
      <w:r w:rsidRPr="002B1A95">
        <w:rPr>
          <w:color w:val="000000"/>
        </w:rPr>
        <w:t>170.07.</w:t>
      </w:r>
    </w:p>
    <w:p w:rsidR="007D17C5" w:rsidRPr="002B1A95" w:rsidRDefault="007D17C5" w:rsidP="007D17C5">
      <w:pPr>
        <w:pStyle w:val="ActHead2"/>
        <w:pageBreakBefore/>
      </w:pPr>
      <w:bookmarkStart w:id="200" w:name="_Toc49765377"/>
      <w:r w:rsidRPr="00411C46">
        <w:rPr>
          <w:rStyle w:val="CharPartNo"/>
        </w:rPr>
        <w:lastRenderedPageBreak/>
        <w:t>Part</w:t>
      </w:r>
      <w:r w:rsidR="002B1A95" w:rsidRPr="00411C46">
        <w:rPr>
          <w:rStyle w:val="CharPartNo"/>
        </w:rPr>
        <w:t> </w:t>
      </w:r>
      <w:r w:rsidRPr="00411C46">
        <w:rPr>
          <w:rStyle w:val="CharPartNo"/>
        </w:rPr>
        <w:t>3</w:t>
      </w:r>
      <w:r w:rsidRPr="002B1A95">
        <w:t>—</w:t>
      </w:r>
      <w:r w:rsidRPr="00411C46">
        <w:rPr>
          <w:rStyle w:val="CharPartText"/>
        </w:rPr>
        <w:t>Valuation parameters</w:t>
      </w:r>
      <w:bookmarkEnd w:id="200"/>
    </w:p>
    <w:p w:rsidR="007D17C5" w:rsidRPr="00411C46" w:rsidRDefault="007D17C5" w:rsidP="007D17C5">
      <w:pPr>
        <w:pStyle w:val="Header"/>
      </w:pPr>
      <w:r w:rsidRPr="00411C46">
        <w:rPr>
          <w:rStyle w:val="CharDivNo"/>
        </w:rPr>
        <w:t xml:space="preserve"> </w:t>
      </w:r>
      <w:r w:rsidRPr="00411C46">
        <w:rPr>
          <w:rStyle w:val="CharDivText"/>
        </w:rPr>
        <w:t xml:space="preserve"> </w:t>
      </w:r>
    </w:p>
    <w:p w:rsidR="007D17C5" w:rsidRPr="002B1A95" w:rsidRDefault="007D17C5" w:rsidP="007D17C5">
      <w:pPr>
        <w:pStyle w:val="ActHead5"/>
      </w:pPr>
      <w:bookmarkStart w:id="201" w:name="_Toc49765378"/>
      <w:r w:rsidRPr="00411C46">
        <w:rPr>
          <w:rStyle w:val="CharSectno"/>
        </w:rPr>
        <w:t>3.1</w:t>
      </w:r>
      <w:r w:rsidRPr="002B1A95">
        <w:t xml:space="preserve">  Application of economic, decrement and other parameters</w:t>
      </w:r>
      <w:bookmarkEnd w:id="201"/>
    </w:p>
    <w:p w:rsidR="007D17C5" w:rsidRPr="002B1A95" w:rsidRDefault="007D17C5" w:rsidP="007D17C5">
      <w:pPr>
        <w:pStyle w:val="subsection"/>
      </w:pPr>
      <w:r w:rsidRPr="002B1A95">
        <w:rPr>
          <w:color w:val="000000"/>
        </w:rPr>
        <w:tab/>
      </w:r>
      <w:r w:rsidRPr="002B1A95">
        <w:rPr>
          <w:color w:val="000000"/>
        </w:rPr>
        <w:tab/>
        <w:t>For the purpose of working out the new entrant rate for a benefit category mentioned in Part</w:t>
      </w:r>
      <w:r w:rsidR="002B1A95" w:rsidRPr="002B1A95">
        <w:rPr>
          <w:color w:val="000000"/>
        </w:rPr>
        <w:t> </w:t>
      </w:r>
      <w:r w:rsidRPr="002B1A95">
        <w:rPr>
          <w:color w:val="000000"/>
        </w:rPr>
        <w:t>1 or 2, the actuary is to apply the economic, decrement and other parameters set out in this Part.</w:t>
      </w:r>
    </w:p>
    <w:p w:rsidR="007D17C5" w:rsidRPr="002B1A95" w:rsidRDefault="007D17C5" w:rsidP="007D17C5">
      <w:pPr>
        <w:pStyle w:val="ActHead5"/>
      </w:pPr>
      <w:bookmarkStart w:id="202" w:name="_Toc49765379"/>
      <w:r w:rsidRPr="00411C46">
        <w:rPr>
          <w:rStyle w:val="CharSectno"/>
        </w:rPr>
        <w:t>3.2</w:t>
      </w:r>
      <w:r w:rsidRPr="002B1A95">
        <w:t xml:space="preserve">  Discount rate</w:t>
      </w:r>
      <w:bookmarkEnd w:id="202"/>
    </w:p>
    <w:p w:rsidR="007D17C5" w:rsidRPr="002B1A95" w:rsidRDefault="007D17C5" w:rsidP="007D17C5">
      <w:pPr>
        <w:pStyle w:val="subsection"/>
      </w:pPr>
      <w:r w:rsidRPr="002B1A95">
        <w:rPr>
          <w:color w:val="000000"/>
        </w:rPr>
        <w:tab/>
        <w:t>(1)</w:t>
      </w:r>
      <w:r w:rsidRPr="002B1A95">
        <w:rPr>
          <w:color w:val="000000"/>
        </w:rPr>
        <w:tab/>
        <w:t>The discount rate to be used to discount projected future benefits and salaries is 8% per year.</w:t>
      </w:r>
    </w:p>
    <w:p w:rsidR="007D17C5" w:rsidRPr="002B1A95" w:rsidRDefault="007D17C5" w:rsidP="007D17C5">
      <w:pPr>
        <w:pStyle w:val="subsection"/>
      </w:pPr>
      <w:r w:rsidRPr="002B1A95">
        <w:rPr>
          <w:color w:val="000000"/>
        </w:rPr>
        <w:tab/>
        <w:t>(2)</w:t>
      </w:r>
      <w:r w:rsidRPr="002B1A95">
        <w:rPr>
          <w:color w:val="000000"/>
        </w:rPr>
        <w:tab/>
        <w:t>The discount rate is not to be adjusted for investment expenses or investment</w:t>
      </w:r>
      <w:r w:rsidR="00782250">
        <w:rPr>
          <w:color w:val="000000"/>
        </w:rPr>
        <w:noBreakHyphen/>
      </w:r>
      <w:r w:rsidRPr="002B1A95">
        <w:rPr>
          <w:color w:val="000000"/>
        </w:rPr>
        <w:t>related taxation or for any other reason.</w:t>
      </w:r>
    </w:p>
    <w:p w:rsidR="007D17C5" w:rsidRPr="002B1A95" w:rsidRDefault="007D17C5" w:rsidP="007D17C5">
      <w:pPr>
        <w:pStyle w:val="ActHead5"/>
      </w:pPr>
      <w:bookmarkStart w:id="203" w:name="_Toc49765380"/>
      <w:r w:rsidRPr="00411C46">
        <w:rPr>
          <w:rStyle w:val="CharSectno"/>
        </w:rPr>
        <w:t>3.3</w:t>
      </w:r>
      <w:r w:rsidRPr="002B1A95">
        <w:t xml:space="preserve">  Fund earning rate and crediting rate</w:t>
      </w:r>
      <w:bookmarkEnd w:id="203"/>
    </w:p>
    <w:p w:rsidR="007D17C5" w:rsidRPr="002B1A95" w:rsidRDefault="007D17C5" w:rsidP="007D17C5">
      <w:pPr>
        <w:pStyle w:val="subsection"/>
      </w:pPr>
      <w:r w:rsidRPr="002B1A95">
        <w:tab/>
        <w:t>(1)</w:t>
      </w:r>
      <w:r w:rsidRPr="002B1A95">
        <w:tab/>
        <w:t>If necessary, the fund earning rate to be assumed is 8% per year.</w:t>
      </w:r>
    </w:p>
    <w:p w:rsidR="007D17C5" w:rsidRPr="002B1A95" w:rsidRDefault="007D17C5" w:rsidP="007D17C5">
      <w:pPr>
        <w:pStyle w:val="subsection"/>
      </w:pPr>
      <w:r w:rsidRPr="002B1A95">
        <w:tab/>
        <w:t>(2)</w:t>
      </w:r>
      <w:r w:rsidRPr="002B1A95">
        <w:tab/>
        <w:t>If necessary, the assumed crediting rate is to be based on the assumed fund earning rate.</w:t>
      </w:r>
    </w:p>
    <w:p w:rsidR="007D17C5" w:rsidRPr="002B1A95" w:rsidRDefault="007D17C5" w:rsidP="007D17C5">
      <w:pPr>
        <w:pStyle w:val="ActHead5"/>
      </w:pPr>
      <w:bookmarkStart w:id="204" w:name="_Toc49765381"/>
      <w:r w:rsidRPr="00411C46">
        <w:rPr>
          <w:rStyle w:val="CharSectno"/>
        </w:rPr>
        <w:t>3.4</w:t>
      </w:r>
      <w:r w:rsidRPr="002B1A95">
        <w:t xml:space="preserve">  Rate of future salary or wages growth</w:t>
      </w:r>
      <w:bookmarkEnd w:id="204"/>
    </w:p>
    <w:p w:rsidR="007D17C5" w:rsidRPr="002B1A95" w:rsidRDefault="007D17C5" w:rsidP="007D17C5">
      <w:pPr>
        <w:pStyle w:val="subsection"/>
      </w:pPr>
      <w:r w:rsidRPr="002B1A95">
        <w:rPr>
          <w:color w:val="000000"/>
        </w:rPr>
        <w:tab/>
        <w:t>(1)</w:t>
      </w:r>
      <w:r w:rsidRPr="002B1A95">
        <w:rPr>
          <w:color w:val="000000"/>
        </w:rPr>
        <w:tab/>
        <w:t>The rate of salary or wages growth to be applied is 4.5% per year.</w:t>
      </w:r>
    </w:p>
    <w:p w:rsidR="007D17C5" w:rsidRPr="002B1A95" w:rsidRDefault="007D17C5" w:rsidP="007D17C5">
      <w:pPr>
        <w:pStyle w:val="subsection"/>
      </w:pPr>
      <w:r w:rsidRPr="002B1A95">
        <w:tab/>
        <w:t>(2)</w:t>
      </w:r>
      <w:r w:rsidRPr="002B1A95">
        <w:tab/>
        <w:t>This rate is to be used:</w:t>
      </w:r>
    </w:p>
    <w:p w:rsidR="007D17C5" w:rsidRPr="002B1A95" w:rsidRDefault="007D17C5" w:rsidP="007D17C5">
      <w:pPr>
        <w:pStyle w:val="paragraph"/>
      </w:pPr>
      <w:r w:rsidRPr="002B1A95">
        <w:rPr>
          <w:color w:val="000000"/>
        </w:rPr>
        <w:tab/>
        <w:t>(a)</w:t>
      </w:r>
      <w:r w:rsidRPr="002B1A95">
        <w:rPr>
          <w:color w:val="000000"/>
        </w:rPr>
        <w:tab/>
        <w:t>to project the value of future salary or wages; and</w:t>
      </w:r>
    </w:p>
    <w:p w:rsidR="007D17C5" w:rsidRPr="002B1A95" w:rsidRDefault="007D17C5" w:rsidP="007D17C5">
      <w:pPr>
        <w:pStyle w:val="paragraph"/>
      </w:pPr>
      <w:r w:rsidRPr="002B1A95">
        <w:tab/>
        <w:t>(b)</w:t>
      </w:r>
      <w:r w:rsidRPr="002B1A95">
        <w:tab/>
        <w:t>to project benefits that increase in accordance with a general wage index (for example, average weekly earnings).</w:t>
      </w:r>
    </w:p>
    <w:p w:rsidR="007D17C5" w:rsidRPr="002B1A95" w:rsidRDefault="007D17C5" w:rsidP="007D17C5">
      <w:pPr>
        <w:pStyle w:val="ActHead5"/>
      </w:pPr>
      <w:bookmarkStart w:id="205" w:name="_Toc49765382"/>
      <w:r w:rsidRPr="00411C46">
        <w:rPr>
          <w:rStyle w:val="CharSectno"/>
        </w:rPr>
        <w:t>3.5</w:t>
      </w:r>
      <w:r w:rsidRPr="002B1A95">
        <w:t xml:space="preserve">  Rate of increase in price indices</w:t>
      </w:r>
      <w:bookmarkEnd w:id="205"/>
    </w:p>
    <w:p w:rsidR="007D17C5" w:rsidRPr="002B1A95" w:rsidRDefault="007D17C5" w:rsidP="007D17C5">
      <w:pPr>
        <w:pStyle w:val="subsection"/>
      </w:pPr>
      <w:r w:rsidRPr="002B1A95">
        <w:rPr>
          <w:color w:val="000000"/>
        </w:rPr>
        <w:tab/>
      </w:r>
      <w:r w:rsidRPr="002B1A95">
        <w:rPr>
          <w:color w:val="000000"/>
        </w:rPr>
        <w:tab/>
        <w:t>If a benefit is linked to an increase in a price index (for example, the Consumer Price Index), the rate of increase in the price index to be applied is 2.5% per year.</w:t>
      </w:r>
    </w:p>
    <w:p w:rsidR="007D17C5" w:rsidRPr="002B1A95" w:rsidRDefault="007D17C5" w:rsidP="007D17C5">
      <w:pPr>
        <w:pStyle w:val="ActHead5"/>
      </w:pPr>
      <w:bookmarkStart w:id="206" w:name="_Toc49765383"/>
      <w:r w:rsidRPr="00411C46">
        <w:rPr>
          <w:rStyle w:val="CharSectno"/>
        </w:rPr>
        <w:t>3.6</w:t>
      </w:r>
      <w:r w:rsidRPr="002B1A95">
        <w:t xml:space="preserve">  New entrant age</w:t>
      </w:r>
      <w:bookmarkEnd w:id="206"/>
    </w:p>
    <w:p w:rsidR="007D17C5" w:rsidRPr="002B1A95" w:rsidRDefault="007D17C5" w:rsidP="007D17C5">
      <w:pPr>
        <w:pStyle w:val="subsection"/>
      </w:pPr>
      <w:r w:rsidRPr="002B1A95">
        <w:rPr>
          <w:color w:val="000000"/>
        </w:rPr>
        <w:tab/>
        <w:t>(1)</w:t>
      </w:r>
      <w:r w:rsidRPr="002B1A95">
        <w:rPr>
          <w:color w:val="000000"/>
        </w:rPr>
        <w:tab/>
        <w:t>The age of new entrants to be assumed is based on the average age of entry to the fund of the persons who were defined benefit members of the fund at 1</w:t>
      </w:r>
      <w:r w:rsidR="002B1A95" w:rsidRPr="002B1A95">
        <w:rPr>
          <w:color w:val="000000"/>
        </w:rPr>
        <w:t> </w:t>
      </w:r>
      <w:r w:rsidRPr="002B1A95">
        <w:rPr>
          <w:color w:val="000000"/>
        </w:rPr>
        <w:t>July 2007.</w:t>
      </w:r>
    </w:p>
    <w:p w:rsidR="007D17C5" w:rsidRPr="002B1A95" w:rsidRDefault="007D17C5" w:rsidP="007D17C5">
      <w:pPr>
        <w:pStyle w:val="subsection"/>
        <w:rPr>
          <w:color w:val="000000"/>
        </w:rPr>
      </w:pPr>
      <w:r w:rsidRPr="002B1A95">
        <w:rPr>
          <w:color w:val="000000"/>
        </w:rPr>
        <w:tab/>
        <w:t>(2)</w:t>
      </w:r>
      <w:r w:rsidRPr="002B1A95">
        <w:rPr>
          <w:color w:val="000000"/>
        </w:rPr>
        <w:tab/>
        <w:t>The following table sets out the age of new entrants that is to be assumed.</w:t>
      </w:r>
    </w:p>
    <w:p w:rsidR="007D17C5" w:rsidRPr="002B1A95" w:rsidRDefault="007D17C5" w:rsidP="007D17C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7D17C5" w:rsidRPr="002B1A95" w:rsidTr="009558BE">
        <w:trPr>
          <w:tblHeader/>
        </w:trPr>
        <w:tc>
          <w:tcPr>
            <w:tcW w:w="5000" w:type="pct"/>
            <w:gridSpan w:val="3"/>
            <w:tcBorders>
              <w:top w:val="single" w:sz="12" w:space="0" w:color="auto"/>
              <w:bottom w:val="single" w:sz="6" w:space="0" w:color="auto"/>
            </w:tcBorders>
            <w:shd w:val="clear" w:color="auto" w:fill="auto"/>
          </w:tcPr>
          <w:p w:rsidR="007D17C5" w:rsidRPr="002B1A95" w:rsidRDefault="007D17C5" w:rsidP="009558BE">
            <w:pPr>
              <w:pStyle w:val="TableHeading"/>
            </w:pPr>
            <w:r w:rsidRPr="002B1A95">
              <w:lastRenderedPageBreak/>
              <w:t>New entrant age</w:t>
            </w:r>
          </w:p>
        </w:tc>
      </w:tr>
      <w:tr w:rsidR="007D17C5" w:rsidRPr="002B1A95" w:rsidTr="009558BE">
        <w:trPr>
          <w:tblHeader/>
        </w:trPr>
        <w:tc>
          <w:tcPr>
            <w:tcW w:w="429" w:type="pct"/>
            <w:tcBorders>
              <w:top w:val="single" w:sz="6" w:space="0" w:color="auto"/>
              <w:bottom w:val="single" w:sz="12" w:space="0" w:color="auto"/>
            </w:tcBorders>
            <w:shd w:val="clear" w:color="auto" w:fill="auto"/>
          </w:tcPr>
          <w:p w:rsidR="007D17C5" w:rsidRPr="002B1A95" w:rsidRDefault="007D17C5" w:rsidP="009558BE">
            <w:pPr>
              <w:pStyle w:val="TableHeading"/>
            </w:pPr>
            <w:r w:rsidRPr="002B1A95">
              <w:t>Item</w:t>
            </w:r>
          </w:p>
        </w:tc>
        <w:tc>
          <w:tcPr>
            <w:tcW w:w="2285" w:type="pct"/>
            <w:tcBorders>
              <w:top w:val="single" w:sz="6" w:space="0" w:color="auto"/>
              <w:bottom w:val="single" w:sz="12" w:space="0" w:color="auto"/>
            </w:tcBorders>
            <w:shd w:val="clear" w:color="auto" w:fill="auto"/>
          </w:tcPr>
          <w:p w:rsidR="007D17C5" w:rsidRPr="002B1A95" w:rsidRDefault="007D17C5" w:rsidP="009558BE">
            <w:pPr>
              <w:pStyle w:val="TableHeading"/>
            </w:pPr>
            <w:r w:rsidRPr="002B1A95">
              <w:t>Average age last birthday at commencement in fund of defined benefit members of the fund at 1</w:t>
            </w:r>
            <w:r w:rsidR="002B1A95" w:rsidRPr="002B1A95">
              <w:t> </w:t>
            </w:r>
            <w:r w:rsidRPr="002B1A95">
              <w:t>July 2007</w:t>
            </w:r>
          </w:p>
        </w:tc>
        <w:tc>
          <w:tcPr>
            <w:tcW w:w="2286" w:type="pct"/>
            <w:tcBorders>
              <w:top w:val="single" w:sz="6" w:space="0" w:color="auto"/>
              <w:bottom w:val="single" w:sz="12" w:space="0" w:color="auto"/>
            </w:tcBorders>
            <w:shd w:val="clear" w:color="auto" w:fill="auto"/>
          </w:tcPr>
          <w:p w:rsidR="007D17C5" w:rsidRPr="002B1A95" w:rsidRDefault="007D17C5" w:rsidP="009558BE">
            <w:pPr>
              <w:pStyle w:val="TableHeading"/>
            </w:pPr>
            <w:r w:rsidRPr="002B1A95">
              <w:t>New entrant age to be assumed</w:t>
            </w:r>
          </w:p>
        </w:tc>
      </w:tr>
      <w:tr w:rsidR="007D17C5" w:rsidRPr="002B1A95" w:rsidTr="009558BE">
        <w:tc>
          <w:tcPr>
            <w:tcW w:w="429" w:type="pct"/>
            <w:tcBorders>
              <w:top w:val="single" w:sz="12" w:space="0" w:color="auto"/>
            </w:tcBorders>
            <w:shd w:val="clear" w:color="auto" w:fill="auto"/>
          </w:tcPr>
          <w:p w:rsidR="007D17C5" w:rsidRPr="002B1A95" w:rsidRDefault="007D17C5" w:rsidP="009558BE">
            <w:pPr>
              <w:pStyle w:val="Tabletext"/>
            </w:pPr>
            <w:r w:rsidRPr="002B1A95">
              <w:t>1</w:t>
            </w:r>
          </w:p>
        </w:tc>
        <w:tc>
          <w:tcPr>
            <w:tcW w:w="2285" w:type="pct"/>
            <w:tcBorders>
              <w:top w:val="single" w:sz="12" w:space="0" w:color="auto"/>
            </w:tcBorders>
            <w:shd w:val="clear" w:color="auto" w:fill="auto"/>
          </w:tcPr>
          <w:p w:rsidR="007D17C5" w:rsidRPr="002B1A95" w:rsidRDefault="007D17C5" w:rsidP="009558BE">
            <w:pPr>
              <w:pStyle w:val="Tabletext"/>
            </w:pPr>
            <w:r w:rsidRPr="002B1A95">
              <w:rPr>
                <w:color w:val="000000"/>
              </w:rPr>
              <w:t>&lt;30</w:t>
            </w:r>
          </w:p>
        </w:tc>
        <w:tc>
          <w:tcPr>
            <w:tcW w:w="2286" w:type="pct"/>
            <w:tcBorders>
              <w:top w:val="single" w:sz="12" w:space="0" w:color="auto"/>
            </w:tcBorders>
            <w:shd w:val="clear" w:color="auto" w:fill="auto"/>
          </w:tcPr>
          <w:p w:rsidR="007D17C5" w:rsidRPr="002B1A95" w:rsidRDefault="007D17C5" w:rsidP="009558BE">
            <w:pPr>
              <w:pStyle w:val="Tabletext"/>
            </w:pPr>
            <w:r w:rsidRPr="002B1A95">
              <w:rPr>
                <w:color w:val="000000"/>
              </w:rPr>
              <w:t>25</w:t>
            </w:r>
          </w:p>
        </w:tc>
      </w:tr>
      <w:tr w:rsidR="007D17C5" w:rsidRPr="002B1A95" w:rsidTr="009558BE">
        <w:tc>
          <w:tcPr>
            <w:tcW w:w="429" w:type="pct"/>
            <w:shd w:val="clear" w:color="auto" w:fill="auto"/>
          </w:tcPr>
          <w:p w:rsidR="007D17C5" w:rsidRPr="002B1A95" w:rsidRDefault="007D17C5" w:rsidP="009558BE">
            <w:pPr>
              <w:pStyle w:val="Tabletext"/>
            </w:pPr>
            <w:r w:rsidRPr="002B1A95">
              <w:t>2</w:t>
            </w:r>
          </w:p>
        </w:tc>
        <w:tc>
          <w:tcPr>
            <w:tcW w:w="2285" w:type="pct"/>
            <w:shd w:val="clear" w:color="auto" w:fill="auto"/>
          </w:tcPr>
          <w:p w:rsidR="007D17C5" w:rsidRPr="002B1A95" w:rsidRDefault="007D17C5" w:rsidP="009558BE">
            <w:pPr>
              <w:pStyle w:val="Tabletext"/>
            </w:pPr>
            <w:r w:rsidRPr="002B1A95">
              <w:rPr>
                <w:color w:val="000000"/>
              </w:rPr>
              <w:t>30</w:t>
            </w:r>
            <w:r w:rsidR="00782250">
              <w:rPr>
                <w:color w:val="000000"/>
              </w:rPr>
              <w:noBreakHyphen/>
            </w:r>
            <w:r w:rsidRPr="002B1A95">
              <w:rPr>
                <w:color w:val="000000"/>
              </w:rPr>
              <w:t>34</w:t>
            </w:r>
          </w:p>
        </w:tc>
        <w:tc>
          <w:tcPr>
            <w:tcW w:w="2286" w:type="pct"/>
            <w:shd w:val="clear" w:color="auto" w:fill="auto"/>
          </w:tcPr>
          <w:p w:rsidR="007D17C5" w:rsidRPr="002B1A95" w:rsidRDefault="007D17C5" w:rsidP="009558BE">
            <w:pPr>
              <w:pStyle w:val="Tabletext"/>
            </w:pPr>
            <w:r w:rsidRPr="002B1A95">
              <w:rPr>
                <w:color w:val="000000"/>
              </w:rPr>
              <w:t>30</w:t>
            </w:r>
          </w:p>
        </w:tc>
      </w:tr>
      <w:tr w:rsidR="007D17C5" w:rsidRPr="002B1A95" w:rsidTr="009558BE">
        <w:tc>
          <w:tcPr>
            <w:tcW w:w="429" w:type="pct"/>
            <w:shd w:val="clear" w:color="auto" w:fill="auto"/>
          </w:tcPr>
          <w:p w:rsidR="007D17C5" w:rsidRPr="002B1A95" w:rsidRDefault="007D17C5" w:rsidP="009558BE">
            <w:pPr>
              <w:pStyle w:val="Tabletext"/>
            </w:pPr>
            <w:r w:rsidRPr="002B1A95">
              <w:t>3</w:t>
            </w:r>
          </w:p>
        </w:tc>
        <w:tc>
          <w:tcPr>
            <w:tcW w:w="2285" w:type="pct"/>
            <w:shd w:val="clear" w:color="auto" w:fill="auto"/>
          </w:tcPr>
          <w:p w:rsidR="007D17C5" w:rsidRPr="002B1A95" w:rsidRDefault="007D17C5" w:rsidP="009558BE">
            <w:pPr>
              <w:pStyle w:val="Tabletext"/>
            </w:pPr>
            <w:r w:rsidRPr="002B1A95">
              <w:rPr>
                <w:color w:val="000000"/>
              </w:rPr>
              <w:t>35</w:t>
            </w:r>
            <w:r w:rsidR="00782250">
              <w:rPr>
                <w:color w:val="000000"/>
              </w:rPr>
              <w:noBreakHyphen/>
            </w:r>
            <w:r w:rsidRPr="002B1A95">
              <w:rPr>
                <w:color w:val="000000"/>
              </w:rPr>
              <w:t>39</w:t>
            </w:r>
          </w:p>
        </w:tc>
        <w:tc>
          <w:tcPr>
            <w:tcW w:w="2286" w:type="pct"/>
            <w:shd w:val="clear" w:color="auto" w:fill="auto"/>
          </w:tcPr>
          <w:p w:rsidR="007D17C5" w:rsidRPr="002B1A95" w:rsidRDefault="007D17C5" w:rsidP="009558BE">
            <w:pPr>
              <w:pStyle w:val="Tabletext"/>
            </w:pPr>
            <w:r w:rsidRPr="002B1A95">
              <w:rPr>
                <w:color w:val="000000"/>
              </w:rPr>
              <w:t>35</w:t>
            </w:r>
          </w:p>
        </w:tc>
      </w:tr>
      <w:tr w:rsidR="007D17C5" w:rsidRPr="002B1A95" w:rsidTr="009558BE">
        <w:tc>
          <w:tcPr>
            <w:tcW w:w="429" w:type="pct"/>
            <w:shd w:val="clear" w:color="auto" w:fill="auto"/>
          </w:tcPr>
          <w:p w:rsidR="007D17C5" w:rsidRPr="002B1A95" w:rsidRDefault="007D17C5" w:rsidP="009558BE">
            <w:pPr>
              <w:pStyle w:val="Tabletext"/>
            </w:pPr>
            <w:r w:rsidRPr="002B1A95">
              <w:t>4</w:t>
            </w:r>
          </w:p>
        </w:tc>
        <w:tc>
          <w:tcPr>
            <w:tcW w:w="2285" w:type="pct"/>
            <w:shd w:val="clear" w:color="auto" w:fill="auto"/>
          </w:tcPr>
          <w:p w:rsidR="007D17C5" w:rsidRPr="002B1A95" w:rsidRDefault="007D17C5" w:rsidP="009558BE">
            <w:pPr>
              <w:pStyle w:val="Tabletext"/>
            </w:pPr>
            <w:r w:rsidRPr="002B1A95">
              <w:rPr>
                <w:color w:val="000000"/>
              </w:rPr>
              <w:t>40</w:t>
            </w:r>
            <w:r w:rsidR="00782250">
              <w:rPr>
                <w:color w:val="000000"/>
              </w:rPr>
              <w:noBreakHyphen/>
            </w:r>
            <w:r w:rsidRPr="002B1A95">
              <w:rPr>
                <w:color w:val="000000"/>
              </w:rPr>
              <w:t>44</w:t>
            </w:r>
          </w:p>
        </w:tc>
        <w:tc>
          <w:tcPr>
            <w:tcW w:w="2286" w:type="pct"/>
            <w:shd w:val="clear" w:color="auto" w:fill="auto"/>
          </w:tcPr>
          <w:p w:rsidR="007D17C5" w:rsidRPr="002B1A95" w:rsidRDefault="007D17C5" w:rsidP="009558BE">
            <w:pPr>
              <w:pStyle w:val="Tabletext"/>
            </w:pPr>
            <w:r w:rsidRPr="002B1A95">
              <w:rPr>
                <w:color w:val="000000"/>
              </w:rPr>
              <w:t>40</w:t>
            </w:r>
          </w:p>
        </w:tc>
      </w:tr>
      <w:tr w:rsidR="007D17C5" w:rsidRPr="002B1A95" w:rsidTr="009558BE">
        <w:tc>
          <w:tcPr>
            <w:tcW w:w="429" w:type="pct"/>
            <w:tcBorders>
              <w:bottom w:val="single" w:sz="2" w:space="0" w:color="auto"/>
            </w:tcBorders>
            <w:shd w:val="clear" w:color="auto" w:fill="auto"/>
          </w:tcPr>
          <w:p w:rsidR="007D17C5" w:rsidRPr="002B1A95" w:rsidRDefault="007D17C5" w:rsidP="009558BE">
            <w:pPr>
              <w:pStyle w:val="Tabletext"/>
            </w:pPr>
            <w:r w:rsidRPr="002B1A95">
              <w:t>5</w:t>
            </w:r>
          </w:p>
        </w:tc>
        <w:tc>
          <w:tcPr>
            <w:tcW w:w="2285" w:type="pct"/>
            <w:tcBorders>
              <w:bottom w:val="single" w:sz="2" w:space="0" w:color="auto"/>
            </w:tcBorders>
            <w:shd w:val="clear" w:color="auto" w:fill="auto"/>
          </w:tcPr>
          <w:p w:rsidR="007D17C5" w:rsidRPr="002B1A95" w:rsidRDefault="007D17C5" w:rsidP="009558BE">
            <w:pPr>
              <w:pStyle w:val="Tabletext"/>
            </w:pPr>
            <w:r w:rsidRPr="002B1A95">
              <w:rPr>
                <w:color w:val="000000"/>
              </w:rPr>
              <w:t>45</w:t>
            </w:r>
            <w:r w:rsidR="00782250">
              <w:rPr>
                <w:color w:val="000000"/>
              </w:rPr>
              <w:noBreakHyphen/>
            </w:r>
            <w:r w:rsidRPr="002B1A95">
              <w:rPr>
                <w:color w:val="000000"/>
              </w:rPr>
              <w:t>49</w:t>
            </w:r>
          </w:p>
        </w:tc>
        <w:tc>
          <w:tcPr>
            <w:tcW w:w="2286" w:type="pct"/>
            <w:tcBorders>
              <w:bottom w:val="single" w:sz="2" w:space="0" w:color="auto"/>
            </w:tcBorders>
            <w:shd w:val="clear" w:color="auto" w:fill="auto"/>
          </w:tcPr>
          <w:p w:rsidR="007D17C5" w:rsidRPr="002B1A95" w:rsidRDefault="007D17C5" w:rsidP="009558BE">
            <w:pPr>
              <w:pStyle w:val="Tabletext"/>
            </w:pPr>
            <w:r w:rsidRPr="002B1A95">
              <w:rPr>
                <w:color w:val="000000"/>
              </w:rPr>
              <w:t>45</w:t>
            </w:r>
          </w:p>
        </w:tc>
      </w:tr>
      <w:tr w:rsidR="007D17C5" w:rsidRPr="002B1A95" w:rsidTr="009558BE">
        <w:tc>
          <w:tcPr>
            <w:tcW w:w="429" w:type="pct"/>
            <w:tcBorders>
              <w:top w:val="single" w:sz="2" w:space="0" w:color="auto"/>
              <w:bottom w:val="single" w:sz="12" w:space="0" w:color="auto"/>
            </w:tcBorders>
            <w:shd w:val="clear" w:color="auto" w:fill="auto"/>
          </w:tcPr>
          <w:p w:rsidR="007D17C5" w:rsidRPr="002B1A95" w:rsidRDefault="007D17C5" w:rsidP="009558BE">
            <w:pPr>
              <w:pStyle w:val="Tabletext"/>
            </w:pPr>
            <w:r w:rsidRPr="002B1A95">
              <w:t>6</w:t>
            </w:r>
          </w:p>
        </w:tc>
        <w:tc>
          <w:tcPr>
            <w:tcW w:w="2285" w:type="pct"/>
            <w:tcBorders>
              <w:top w:val="single" w:sz="2" w:space="0" w:color="auto"/>
              <w:bottom w:val="single" w:sz="12" w:space="0" w:color="auto"/>
            </w:tcBorders>
            <w:shd w:val="clear" w:color="auto" w:fill="auto"/>
          </w:tcPr>
          <w:p w:rsidR="007D17C5" w:rsidRPr="002B1A95" w:rsidRDefault="007D17C5" w:rsidP="009558BE">
            <w:pPr>
              <w:pStyle w:val="Tabletext"/>
            </w:pPr>
            <w:r w:rsidRPr="002B1A95">
              <w:rPr>
                <w:color w:val="000000"/>
              </w:rPr>
              <w:t>50+</w:t>
            </w:r>
          </w:p>
        </w:tc>
        <w:tc>
          <w:tcPr>
            <w:tcW w:w="2286" w:type="pct"/>
            <w:tcBorders>
              <w:top w:val="single" w:sz="2" w:space="0" w:color="auto"/>
              <w:bottom w:val="single" w:sz="12" w:space="0" w:color="auto"/>
            </w:tcBorders>
            <w:shd w:val="clear" w:color="auto" w:fill="auto"/>
          </w:tcPr>
          <w:p w:rsidR="007D17C5" w:rsidRPr="002B1A95" w:rsidRDefault="007D17C5" w:rsidP="009558BE">
            <w:pPr>
              <w:pStyle w:val="Tabletext"/>
            </w:pPr>
            <w:r w:rsidRPr="002B1A95">
              <w:rPr>
                <w:color w:val="000000"/>
              </w:rPr>
              <w:t>50</w:t>
            </w:r>
          </w:p>
        </w:tc>
      </w:tr>
    </w:tbl>
    <w:p w:rsidR="007D17C5" w:rsidRPr="002B1A95" w:rsidRDefault="007D17C5" w:rsidP="007D17C5">
      <w:pPr>
        <w:pStyle w:val="subsection"/>
      </w:pPr>
      <w:r w:rsidRPr="002B1A95">
        <w:tab/>
        <w:t>(3)</w:t>
      </w:r>
      <w:r w:rsidRPr="002B1A95">
        <w:tab/>
        <w:t>If:</w:t>
      </w:r>
    </w:p>
    <w:p w:rsidR="007D17C5" w:rsidRPr="002B1A95" w:rsidRDefault="007D17C5" w:rsidP="007D17C5">
      <w:pPr>
        <w:pStyle w:val="paragraph"/>
      </w:pPr>
      <w:r w:rsidRPr="002B1A95">
        <w:tab/>
        <w:t>(a)</w:t>
      </w:r>
      <w:r w:rsidRPr="002B1A95">
        <w:tab/>
        <w:t>there has been a transfer of defined benefit members from a predecessor fund into the fund, or a superannuation sub</w:t>
      </w:r>
      <w:r w:rsidR="00782250">
        <w:noBreakHyphen/>
      </w:r>
      <w:r w:rsidRPr="002B1A95">
        <w:t>fund of the fund; and</w:t>
      </w:r>
    </w:p>
    <w:p w:rsidR="007D17C5" w:rsidRPr="002B1A95" w:rsidRDefault="007D17C5" w:rsidP="007D17C5">
      <w:pPr>
        <w:pStyle w:val="paragraph"/>
      </w:pPr>
      <w:r w:rsidRPr="002B1A95">
        <w:tab/>
        <w:t>(b)</w:t>
      </w:r>
      <w:r w:rsidRPr="002B1A95">
        <w:tab/>
        <w:t>the actuary considers it reasonable to do so;</w:t>
      </w:r>
    </w:p>
    <w:p w:rsidR="007D17C5" w:rsidRPr="002B1A95" w:rsidRDefault="007D17C5" w:rsidP="007D17C5">
      <w:pPr>
        <w:pStyle w:val="subsection2"/>
      </w:pPr>
      <w:r w:rsidRPr="002B1A95">
        <w:t>the actuary may determine a new entrant age for the fund or superannuation sub</w:t>
      </w:r>
      <w:r w:rsidR="00782250">
        <w:noBreakHyphen/>
      </w:r>
      <w:r w:rsidRPr="002B1A95">
        <w:t>fund taking account of the average age of entry used for or relevant for those members in the predecessor fund.</w:t>
      </w:r>
    </w:p>
    <w:p w:rsidR="007D17C5" w:rsidRPr="002B1A95" w:rsidRDefault="007D17C5" w:rsidP="007D17C5">
      <w:pPr>
        <w:pStyle w:val="subsection"/>
      </w:pPr>
      <w:r w:rsidRPr="002B1A95">
        <w:tab/>
        <w:t>(4)</w:t>
      </w:r>
      <w:r w:rsidRPr="002B1A95">
        <w:tab/>
        <w:t>For the purposes of this clause, a defined benefit member does not include a person who:</w:t>
      </w:r>
    </w:p>
    <w:p w:rsidR="007D17C5" w:rsidRPr="002B1A95" w:rsidRDefault="007D17C5" w:rsidP="007D17C5">
      <w:pPr>
        <w:pStyle w:val="paragraph"/>
      </w:pPr>
      <w:r w:rsidRPr="002B1A95">
        <w:tab/>
        <w:t>(a)</w:t>
      </w:r>
      <w:r w:rsidRPr="002B1A95">
        <w:tab/>
        <w:t>is receiving only a pension benefit from the fund; or</w:t>
      </w:r>
    </w:p>
    <w:p w:rsidR="007D17C5" w:rsidRPr="002B1A95" w:rsidRDefault="007D17C5" w:rsidP="007D17C5">
      <w:pPr>
        <w:pStyle w:val="paragraph"/>
      </w:pPr>
      <w:r w:rsidRPr="002B1A95">
        <w:tab/>
        <w:t>(b)</w:t>
      </w:r>
      <w:r w:rsidRPr="002B1A95">
        <w:tab/>
        <w:t>has deferred the person’s benefit entitlement in the fund.</w:t>
      </w:r>
    </w:p>
    <w:p w:rsidR="007D17C5" w:rsidRPr="002B1A95" w:rsidRDefault="007D17C5" w:rsidP="007D17C5">
      <w:pPr>
        <w:pStyle w:val="subsection"/>
      </w:pPr>
      <w:r w:rsidRPr="002B1A95">
        <w:rPr>
          <w:color w:val="000000"/>
        </w:rPr>
        <w:tab/>
        <w:t>(5)</w:t>
      </w:r>
      <w:r w:rsidRPr="002B1A95">
        <w:rPr>
          <w:color w:val="000000"/>
        </w:rPr>
        <w:tab/>
        <w:t>If the actuary believes that there is insufficient information available to calculate the average age of entry, the actuary is to assume that the age of a new entrant is 40.</w:t>
      </w:r>
    </w:p>
    <w:p w:rsidR="007D17C5" w:rsidRPr="002B1A95" w:rsidRDefault="007D17C5" w:rsidP="007D17C5">
      <w:pPr>
        <w:pStyle w:val="ActHead5"/>
      </w:pPr>
      <w:bookmarkStart w:id="207" w:name="_Toc49765384"/>
      <w:r w:rsidRPr="00411C46">
        <w:rPr>
          <w:rStyle w:val="CharSectno"/>
        </w:rPr>
        <w:t>3.7</w:t>
      </w:r>
      <w:r w:rsidRPr="002B1A95">
        <w:t xml:space="preserve">  Exit rates</w:t>
      </w:r>
      <w:bookmarkEnd w:id="207"/>
    </w:p>
    <w:p w:rsidR="007D17C5" w:rsidRPr="002B1A95" w:rsidRDefault="007D17C5" w:rsidP="007D17C5">
      <w:pPr>
        <w:pStyle w:val="subsection"/>
        <w:rPr>
          <w:color w:val="000000"/>
        </w:rPr>
      </w:pPr>
      <w:r w:rsidRPr="002B1A95">
        <w:rPr>
          <w:color w:val="000000"/>
        </w:rPr>
        <w:tab/>
        <w:t>(1)</w:t>
      </w:r>
      <w:r w:rsidRPr="002B1A95">
        <w:rPr>
          <w:color w:val="000000"/>
        </w:rPr>
        <w:tab/>
        <w:t>The following table sets out the rates of voluntary exit from the fund that are to be assumed.</w:t>
      </w:r>
    </w:p>
    <w:p w:rsidR="007D17C5" w:rsidRPr="002B1A95" w:rsidRDefault="007D17C5" w:rsidP="007D17C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7D17C5" w:rsidRPr="002B1A95" w:rsidTr="009558BE">
        <w:trPr>
          <w:tblHeader/>
        </w:trPr>
        <w:tc>
          <w:tcPr>
            <w:tcW w:w="5000" w:type="pct"/>
            <w:gridSpan w:val="3"/>
            <w:tcBorders>
              <w:top w:val="single" w:sz="12" w:space="0" w:color="auto"/>
              <w:bottom w:val="single" w:sz="6" w:space="0" w:color="auto"/>
            </w:tcBorders>
            <w:shd w:val="clear" w:color="auto" w:fill="auto"/>
          </w:tcPr>
          <w:p w:rsidR="007D17C5" w:rsidRPr="002B1A95" w:rsidRDefault="007D17C5" w:rsidP="009558BE">
            <w:pPr>
              <w:pStyle w:val="TableHeading"/>
            </w:pPr>
            <w:r w:rsidRPr="002B1A95">
              <w:rPr>
                <w:color w:val="000000"/>
              </w:rPr>
              <w:t>Voluntary exit rates</w:t>
            </w:r>
          </w:p>
        </w:tc>
      </w:tr>
      <w:tr w:rsidR="007D17C5" w:rsidRPr="002B1A95" w:rsidTr="009558BE">
        <w:trPr>
          <w:tblHeader/>
        </w:trPr>
        <w:tc>
          <w:tcPr>
            <w:tcW w:w="429" w:type="pct"/>
            <w:tcBorders>
              <w:top w:val="single" w:sz="6" w:space="0" w:color="auto"/>
              <w:bottom w:val="single" w:sz="12" w:space="0" w:color="auto"/>
            </w:tcBorders>
            <w:shd w:val="clear" w:color="auto" w:fill="auto"/>
          </w:tcPr>
          <w:p w:rsidR="007D17C5" w:rsidRPr="002B1A95" w:rsidRDefault="007D17C5" w:rsidP="009558BE">
            <w:pPr>
              <w:pStyle w:val="TableHeading"/>
            </w:pPr>
            <w:r w:rsidRPr="002B1A95">
              <w:t>Item</w:t>
            </w:r>
          </w:p>
        </w:tc>
        <w:tc>
          <w:tcPr>
            <w:tcW w:w="2285" w:type="pct"/>
            <w:tcBorders>
              <w:top w:val="single" w:sz="6" w:space="0" w:color="auto"/>
              <w:bottom w:val="single" w:sz="12" w:space="0" w:color="auto"/>
            </w:tcBorders>
            <w:shd w:val="clear" w:color="auto" w:fill="auto"/>
          </w:tcPr>
          <w:p w:rsidR="007D17C5" w:rsidRPr="002B1A95" w:rsidRDefault="007D17C5" w:rsidP="009558BE">
            <w:pPr>
              <w:pStyle w:val="TableHeading"/>
            </w:pPr>
            <w:r w:rsidRPr="002B1A95">
              <w:t>Age band</w:t>
            </w:r>
          </w:p>
        </w:tc>
        <w:tc>
          <w:tcPr>
            <w:tcW w:w="2286" w:type="pct"/>
            <w:tcBorders>
              <w:top w:val="single" w:sz="6" w:space="0" w:color="auto"/>
              <w:bottom w:val="single" w:sz="12" w:space="0" w:color="auto"/>
            </w:tcBorders>
            <w:shd w:val="clear" w:color="auto" w:fill="auto"/>
          </w:tcPr>
          <w:p w:rsidR="007D17C5" w:rsidRPr="002B1A95" w:rsidRDefault="007D17C5" w:rsidP="009558BE">
            <w:pPr>
              <w:pStyle w:val="TableHeading"/>
            </w:pPr>
            <w:r w:rsidRPr="002B1A95">
              <w:t>Exit rate</w:t>
            </w:r>
          </w:p>
        </w:tc>
      </w:tr>
      <w:tr w:rsidR="007D17C5" w:rsidRPr="002B1A95" w:rsidTr="009558BE">
        <w:tc>
          <w:tcPr>
            <w:tcW w:w="429" w:type="pct"/>
            <w:tcBorders>
              <w:top w:val="single" w:sz="12" w:space="0" w:color="auto"/>
            </w:tcBorders>
            <w:shd w:val="clear" w:color="auto" w:fill="auto"/>
          </w:tcPr>
          <w:p w:rsidR="007D17C5" w:rsidRPr="002B1A95" w:rsidRDefault="007D17C5" w:rsidP="009558BE">
            <w:pPr>
              <w:pStyle w:val="Tabletext"/>
            </w:pPr>
            <w:r w:rsidRPr="002B1A95">
              <w:t>1</w:t>
            </w:r>
          </w:p>
        </w:tc>
        <w:tc>
          <w:tcPr>
            <w:tcW w:w="2285" w:type="pct"/>
            <w:tcBorders>
              <w:top w:val="single" w:sz="12" w:space="0" w:color="auto"/>
            </w:tcBorders>
            <w:shd w:val="clear" w:color="auto" w:fill="auto"/>
          </w:tcPr>
          <w:p w:rsidR="007D17C5" w:rsidRPr="002B1A95" w:rsidRDefault="007D17C5" w:rsidP="009558BE">
            <w:pPr>
              <w:pStyle w:val="Tabletext"/>
            </w:pPr>
            <w:r w:rsidRPr="002B1A95">
              <w:rPr>
                <w:color w:val="000000"/>
              </w:rPr>
              <w:t>&lt;40</w:t>
            </w:r>
          </w:p>
        </w:tc>
        <w:tc>
          <w:tcPr>
            <w:tcW w:w="2286" w:type="pct"/>
            <w:tcBorders>
              <w:top w:val="single" w:sz="12" w:space="0" w:color="auto"/>
            </w:tcBorders>
            <w:shd w:val="clear" w:color="auto" w:fill="auto"/>
          </w:tcPr>
          <w:p w:rsidR="007D17C5" w:rsidRPr="002B1A95" w:rsidRDefault="007D17C5" w:rsidP="009558BE">
            <w:pPr>
              <w:pStyle w:val="Tabletext"/>
            </w:pPr>
            <w:r w:rsidRPr="002B1A95">
              <w:rPr>
                <w:color w:val="000000"/>
              </w:rPr>
              <w:t>0.05</w:t>
            </w:r>
          </w:p>
        </w:tc>
      </w:tr>
      <w:tr w:rsidR="007D17C5" w:rsidRPr="002B1A95" w:rsidTr="009558BE">
        <w:tc>
          <w:tcPr>
            <w:tcW w:w="429" w:type="pct"/>
            <w:shd w:val="clear" w:color="auto" w:fill="auto"/>
          </w:tcPr>
          <w:p w:rsidR="007D17C5" w:rsidRPr="002B1A95" w:rsidRDefault="007D17C5" w:rsidP="009558BE">
            <w:pPr>
              <w:pStyle w:val="Tabletext"/>
            </w:pPr>
            <w:r w:rsidRPr="002B1A95">
              <w:t>2</w:t>
            </w:r>
          </w:p>
        </w:tc>
        <w:tc>
          <w:tcPr>
            <w:tcW w:w="2285" w:type="pct"/>
            <w:shd w:val="clear" w:color="auto" w:fill="auto"/>
          </w:tcPr>
          <w:p w:rsidR="007D17C5" w:rsidRPr="002B1A95" w:rsidRDefault="007D17C5" w:rsidP="009558BE">
            <w:pPr>
              <w:pStyle w:val="Tabletext"/>
            </w:pPr>
            <w:r w:rsidRPr="002B1A95">
              <w:rPr>
                <w:color w:val="000000"/>
              </w:rPr>
              <w:t>40</w:t>
            </w:r>
            <w:r w:rsidR="00782250">
              <w:rPr>
                <w:color w:val="000000"/>
              </w:rPr>
              <w:noBreakHyphen/>
            </w:r>
            <w:r w:rsidRPr="002B1A95">
              <w:rPr>
                <w:color w:val="000000"/>
              </w:rPr>
              <w:t>44</w:t>
            </w:r>
          </w:p>
        </w:tc>
        <w:tc>
          <w:tcPr>
            <w:tcW w:w="2286" w:type="pct"/>
            <w:shd w:val="clear" w:color="auto" w:fill="auto"/>
          </w:tcPr>
          <w:p w:rsidR="007D17C5" w:rsidRPr="002B1A95" w:rsidRDefault="007D17C5" w:rsidP="009558BE">
            <w:pPr>
              <w:pStyle w:val="Tabletext"/>
            </w:pPr>
            <w:r w:rsidRPr="002B1A95">
              <w:rPr>
                <w:color w:val="000000"/>
              </w:rPr>
              <w:t>0.04</w:t>
            </w:r>
          </w:p>
        </w:tc>
      </w:tr>
      <w:tr w:rsidR="007D17C5" w:rsidRPr="002B1A95" w:rsidTr="009558BE">
        <w:tc>
          <w:tcPr>
            <w:tcW w:w="429" w:type="pct"/>
            <w:shd w:val="clear" w:color="auto" w:fill="auto"/>
          </w:tcPr>
          <w:p w:rsidR="007D17C5" w:rsidRPr="002B1A95" w:rsidRDefault="007D17C5" w:rsidP="009558BE">
            <w:pPr>
              <w:pStyle w:val="Tabletext"/>
            </w:pPr>
            <w:r w:rsidRPr="002B1A95">
              <w:t>3</w:t>
            </w:r>
          </w:p>
        </w:tc>
        <w:tc>
          <w:tcPr>
            <w:tcW w:w="2285" w:type="pct"/>
            <w:shd w:val="clear" w:color="auto" w:fill="auto"/>
          </w:tcPr>
          <w:p w:rsidR="007D17C5" w:rsidRPr="002B1A95" w:rsidRDefault="007D17C5" w:rsidP="009558BE">
            <w:pPr>
              <w:pStyle w:val="Tabletext"/>
            </w:pPr>
            <w:r w:rsidRPr="002B1A95">
              <w:rPr>
                <w:color w:val="000000"/>
              </w:rPr>
              <w:t>45</w:t>
            </w:r>
            <w:r w:rsidR="00782250">
              <w:rPr>
                <w:color w:val="000000"/>
              </w:rPr>
              <w:noBreakHyphen/>
            </w:r>
            <w:r w:rsidRPr="002B1A95">
              <w:rPr>
                <w:color w:val="000000"/>
              </w:rPr>
              <w:t>49</w:t>
            </w:r>
          </w:p>
        </w:tc>
        <w:tc>
          <w:tcPr>
            <w:tcW w:w="2286" w:type="pct"/>
            <w:shd w:val="clear" w:color="auto" w:fill="auto"/>
          </w:tcPr>
          <w:p w:rsidR="007D17C5" w:rsidRPr="002B1A95" w:rsidRDefault="007D17C5" w:rsidP="009558BE">
            <w:pPr>
              <w:pStyle w:val="Tabletext"/>
            </w:pPr>
            <w:r w:rsidRPr="002B1A95">
              <w:rPr>
                <w:color w:val="000000"/>
              </w:rPr>
              <w:t>0.04</w:t>
            </w:r>
          </w:p>
        </w:tc>
      </w:tr>
      <w:tr w:rsidR="007D17C5" w:rsidRPr="002B1A95" w:rsidTr="009558BE">
        <w:tc>
          <w:tcPr>
            <w:tcW w:w="429" w:type="pct"/>
            <w:shd w:val="clear" w:color="auto" w:fill="auto"/>
          </w:tcPr>
          <w:p w:rsidR="007D17C5" w:rsidRPr="002B1A95" w:rsidRDefault="007D17C5" w:rsidP="009558BE">
            <w:pPr>
              <w:pStyle w:val="Tabletext"/>
            </w:pPr>
            <w:r w:rsidRPr="002B1A95">
              <w:t>4</w:t>
            </w:r>
          </w:p>
        </w:tc>
        <w:tc>
          <w:tcPr>
            <w:tcW w:w="2285" w:type="pct"/>
            <w:shd w:val="clear" w:color="auto" w:fill="auto"/>
          </w:tcPr>
          <w:p w:rsidR="007D17C5" w:rsidRPr="002B1A95" w:rsidRDefault="007D17C5" w:rsidP="009558BE">
            <w:pPr>
              <w:pStyle w:val="Tabletext"/>
            </w:pPr>
            <w:r w:rsidRPr="002B1A95">
              <w:rPr>
                <w:color w:val="000000"/>
              </w:rPr>
              <w:t>50</w:t>
            </w:r>
            <w:r w:rsidR="00782250">
              <w:rPr>
                <w:color w:val="000000"/>
              </w:rPr>
              <w:noBreakHyphen/>
            </w:r>
            <w:r w:rsidRPr="002B1A95">
              <w:rPr>
                <w:color w:val="000000"/>
              </w:rPr>
              <w:t>54</w:t>
            </w:r>
          </w:p>
        </w:tc>
        <w:tc>
          <w:tcPr>
            <w:tcW w:w="2286" w:type="pct"/>
            <w:shd w:val="clear" w:color="auto" w:fill="auto"/>
          </w:tcPr>
          <w:p w:rsidR="007D17C5" w:rsidRPr="002B1A95" w:rsidRDefault="007D17C5" w:rsidP="009558BE">
            <w:pPr>
              <w:pStyle w:val="Tabletext"/>
            </w:pPr>
            <w:r w:rsidRPr="002B1A95">
              <w:rPr>
                <w:color w:val="000000"/>
              </w:rPr>
              <w:t>0.04</w:t>
            </w:r>
          </w:p>
        </w:tc>
      </w:tr>
      <w:tr w:rsidR="007D17C5" w:rsidRPr="002B1A95" w:rsidTr="009558BE">
        <w:tc>
          <w:tcPr>
            <w:tcW w:w="429" w:type="pct"/>
            <w:shd w:val="clear" w:color="auto" w:fill="auto"/>
          </w:tcPr>
          <w:p w:rsidR="007D17C5" w:rsidRPr="002B1A95" w:rsidRDefault="007D17C5" w:rsidP="009558BE">
            <w:pPr>
              <w:pStyle w:val="Tabletext"/>
            </w:pPr>
            <w:r w:rsidRPr="002B1A95">
              <w:t>5</w:t>
            </w:r>
          </w:p>
        </w:tc>
        <w:tc>
          <w:tcPr>
            <w:tcW w:w="2285" w:type="pct"/>
            <w:shd w:val="clear" w:color="auto" w:fill="auto"/>
          </w:tcPr>
          <w:p w:rsidR="007D17C5" w:rsidRPr="002B1A95" w:rsidRDefault="007D17C5" w:rsidP="009558BE">
            <w:pPr>
              <w:pStyle w:val="Tabletext"/>
            </w:pPr>
            <w:r w:rsidRPr="002B1A95">
              <w:rPr>
                <w:color w:val="000000"/>
              </w:rPr>
              <w:t>55</w:t>
            </w:r>
            <w:r w:rsidR="00782250">
              <w:rPr>
                <w:color w:val="000000"/>
              </w:rPr>
              <w:noBreakHyphen/>
            </w:r>
            <w:r w:rsidRPr="002B1A95">
              <w:rPr>
                <w:color w:val="000000"/>
              </w:rPr>
              <w:t>59</w:t>
            </w:r>
          </w:p>
        </w:tc>
        <w:tc>
          <w:tcPr>
            <w:tcW w:w="2286" w:type="pct"/>
            <w:shd w:val="clear" w:color="auto" w:fill="auto"/>
          </w:tcPr>
          <w:p w:rsidR="007D17C5" w:rsidRPr="002B1A95" w:rsidRDefault="007D17C5" w:rsidP="009558BE">
            <w:pPr>
              <w:pStyle w:val="Tabletext"/>
            </w:pPr>
            <w:r w:rsidRPr="002B1A95">
              <w:rPr>
                <w:color w:val="000000"/>
              </w:rPr>
              <w:t>0.08</w:t>
            </w:r>
          </w:p>
        </w:tc>
      </w:tr>
      <w:tr w:rsidR="007D17C5" w:rsidRPr="002B1A95" w:rsidTr="009558BE">
        <w:tc>
          <w:tcPr>
            <w:tcW w:w="429" w:type="pct"/>
            <w:shd w:val="clear" w:color="auto" w:fill="auto"/>
          </w:tcPr>
          <w:p w:rsidR="007D17C5" w:rsidRPr="002B1A95" w:rsidRDefault="007D17C5" w:rsidP="009558BE">
            <w:pPr>
              <w:pStyle w:val="Tabletext"/>
            </w:pPr>
            <w:r w:rsidRPr="002B1A95">
              <w:t>6</w:t>
            </w:r>
          </w:p>
        </w:tc>
        <w:tc>
          <w:tcPr>
            <w:tcW w:w="2285" w:type="pct"/>
            <w:shd w:val="clear" w:color="auto" w:fill="auto"/>
          </w:tcPr>
          <w:p w:rsidR="007D17C5" w:rsidRPr="002B1A95" w:rsidRDefault="007D17C5" w:rsidP="009558BE">
            <w:pPr>
              <w:pStyle w:val="Tabletext"/>
            </w:pPr>
            <w:r w:rsidRPr="002B1A95">
              <w:rPr>
                <w:color w:val="000000"/>
              </w:rPr>
              <w:t>60</w:t>
            </w:r>
          </w:p>
        </w:tc>
        <w:tc>
          <w:tcPr>
            <w:tcW w:w="2286" w:type="pct"/>
            <w:shd w:val="clear" w:color="auto" w:fill="auto"/>
          </w:tcPr>
          <w:p w:rsidR="007D17C5" w:rsidRPr="002B1A95" w:rsidRDefault="007D17C5" w:rsidP="009558BE">
            <w:pPr>
              <w:pStyle w:val="Tabletext"/>
            </w:pPr>
            <w:r w:rsidRPr="002B1A95">
              <w:rPr>
                <w:color w:val="000000"/>
              </w:rPr>
              <w:t>0.12</w:t>
            </w:r>
          </w:p>
        </w:tc>
      </w:tr>
      <w:tr w:rsidR="007D17C5" w:rsidRPr="002B1A95" w:rsidTr="009558BE">
        <w:tc>
          <w:tcPr>
            <w:tcW w:w="429" w:type="pct"/>
            <w:tcBorders>
              <w:bottom w:val="single" w:sz="2" w:space="0" w:color="auto"/>
            </w:tcBorders>
            <w:shd w:val="clear" w:color="auto" w:fill="auto"/>
          </w:tcPr>
          <w:p w:rsidR="007D17C5" w:rsidRPr="002B1A95" w:rsidRDefault="007D17C5" w:rsidP="009558BE">
            <w:pPr>
              <w:pStyle w:val="Tabletext"/>
            </w:pPr>
            <w:r w:rsidRPr="002B1A95">
              <w:t>7</w:t>
            </w:r>
          </w:p>
        </w:tc>
        <w:tc>
          <w:tcPr>
            <w:tcW w:w="2285" w:type="pct"/>
            <w:tcBorders>
              <w:bottom w:val="single" w:sz="2" w:space="0" w:color="auto"/>
            </w:tcBorders>
            <w:shd w:val="clear" w:color="auto" w:fill="auto"/>
          </w:tcPr>
          <w:p w:rsidR="007D17C5" w:rsidRPr="002B1A95" w:rsidRDefault="007D17C5" w:rsidP="009558BE">
            <w:pPr>
              <w:pStyle w:val="Tabletext"/>
            </w:pPr>
            <w:r w:rsidRPr="002B1A95">
              <w:rPr>
                <w:color w:val="000000"/>
              </w:rPr>
              <w:t>61</w:t>
            </w:r>
            <w:r w:rsidR="00782250">
              <w:rPr>
                <w:color w:val="000000"/>
              </w:rPr>
              <w:noBreakHyphen/>
            </w:r>
            <w:r w:rsidRPr="002B1A95">
              <w:rPr>
                <w:color w:val="000000"/>
              </w:rPr>
              <w:t>64</w:t>
            </w:r>
          </w:p>
        </w:tc>
        <w:tc>
          <w:tcPr>
            <w:tcW w:w="2286" w:type="pct"/>
            <w:tcBorders>
              <w:bottom w:val="single" w:sz="2" w:space="0" w:color="auto"/>
            </w:tcBorders>
            <w:shd w:val="clear" w:color="auto" w:fill="auto"/>
          </w:tcPr>
          <w:p w:rsidR="007D17C5" w:rsidRPr="002B1A95" w:rsidRDefault="007D17C5" w:rsidP="009558BE">
            <w:pPr>
              <w:pStyle w:val="Tabletext"/>
            </w:pPr>
            <w:r w:rsidRPr="002B1A95">
              <w:rPr>
                <w:color w:val="000000"/>
              </w:rPr>
              <w:t>0.10</w:t>
            </w:r>
          </w:p>
        </w:tc>
      </w:tr>
      <w:tr w:rsidR="007D17C5" w:rsidRPr="002B1A95" w:rsidTr="009558BE">
        <w:tc>
          <w:tcPr>
            <w:tcW w:w="429" w:type="pct"/>
            <w:tcBorders>
              <w:top w:val="single" w:sz="2" w:space="0" w:color="auto"/>
              <w:bottom w:val="single" w:sz="12" w:space="0" w:color="auto"/>
            </w:tcBorders>
            <w:shd w:val="clear" w:color="auto" w:fill="auto"/>
          </w:tcPr>
          <w:p w:rsidR="007D17C5" w:rsidRPr="002B1A95" w:rsidRDefault="007D17C5" w:rsidP="009558BE">
            <w:pPr>
              <w:pStyle w:val="Tabletext"/>
            </w:pPr>
            <w:r w:rsidRPr="002B1A95">
              <w:t>8</w:t>
            </w:r>
          </w:p>
        </w:tc>
        <w:tc>
          <w:tcPr>
            <w:tcW w:w="2285" w:type="pct"/>
            <w:tcBorders>
              <w:top w:val="single" w:sz="2" w:space="0" w:color="auto"/>
              <w:bottom w:val="single" w:sz="12" w:space="0" w:color="auto"/>
            </w:tcBorders>
            <w:shd w:val="clear" w:color="auto" w:fill="auto"/>
          </w:tcPr>
          <w:p w:rsidR="007D17C5" w:rsidRPr="002B1A95" w:rsidRDefault="007D17C5" w:rsidP="009558BE">
            <w:pPr>
              <w:pStyle w:val="Tabletext"/>
            </w:pPr>
            <w:r w:rsidRPr="002B1A95">
              <w:rPr>
                <w:color w:val="000000"/>
              </w:rPr>
              <w:t>65</w:t>
            </w:r>
          </w:p>
        </w:tc>
        <w:tc>
          <w:tcPr>
            <w:tcW w:w="2286" w:type="pct"/>
            <w:tcBorders>
              <w:top w:val="single" w:sz="2" w:space="0" w:color="auto"/>
              <w:bottom w:val="single" w:sz="12" w:space="0" w:color="auto"/>
            </w:tcBorders>
            <w:shd w:val="clear" w:color="auto" w:fill="auto"/>
          </w:tcPr>
          <w:p w:rsidR="007D17C5" w:rsidRPr="002B1A95" w:rsidRDefault="007D17C5" w:rsidP="009558BE">
            <w:pPr>
              <w:pStyle w:val="Tabletext"/>
            </w:pPr>
            <w:r w:rsidRPr="002B1A95">
              <w:rPr>
                <w:color w:val="000000"/>
              </w:rPr>
              <w:t>1.00</w:t>
            </w:r>
          </w:p>
        </w:tc>
      </w:tr>
    </w:tbl>
    <w:p w:rsidR="007D17C5" w:rsidRPr="002B1A95" w:rsidRDefault="007D17C5" w:rsidP="007D17C5">
      <w:pPr>
        <w:pStyle w:val="subsection"/>
      </w:pPr>
      <w:r w:rsidRPr="002B1A95">
        <w:rPr>
          <w:color w:val="000000"/>
        </w:rPr>
        <w:lastRenderedPageBreak/>
        <w:tab/>
        <w:t>(2)</w:t>
      </w:r>
      <w:r w:rsidRPr="002B1A95">
        <w:rPr>
          <w:color w:val="000000"/>
        </w:rPr>
        <w:tab/>
        <w:t>The rate of involuntary exit (including by redundancy, death or invalidity) to be assumed is zero.</w:t>
      </w:r>
    </w:p>
    <w:p w:rsidR="007D17C5" w:rsidRPr="002B1A95" w:rsidRDefault="007D17C5" w:rsidP="007D17C5">
      <w:pPr>
        <w:pStyle w:val="ActHead5"/>
      </w:pPr>
      <w:bookmarkStart w:id="208" w:name="_Toc49765385"/>
      <w:r w:rsidRPr="00411C46">
        <w:rPr>
          <w:rStyle w:val="CharSectno"/>
        </w:rPr>
        <w:t>3.8</w:t>
      </w:r>
      <w:r w:rsidRPr="002B1A95">
        <w:t xml:space="preserve">  Pensions</w:t>
      </w:r>
      <w:bookmarkEnd w:id="208"/>
    </w:p>
    <w:p w:rsidR="007D17C5" w:rsidRPr="002B1A95" w:rsidRDefault="007D17C5" w:rsidP="007D17C5">
      <w:pPr>
        <w:pStyle w:val="subsection"/>
      </w:pPr>
      <w:r w:rsidRPr="002B1A95">
        <w:rPr>
          <w:color w:val="000000"/>
        </w:rPr>
        <w:tab/>
        <w:t>(1)</w:t>
      </w:r>
      <w:r w:rsidRPr="002B1A95">
        <w:rPr>
          <w:color w:val="000000"/>
        </w:rPr>
        <w:tab/>
        <w:t>If the fund benefit is a single life pension, the pension is to be valued using the assumptions set out in this Part.</w:t>
      </w:r>
    </w:p>
    <w:p w:rsidR="007D17C5" w:rsidRPr="002B1A95" w:rsidRDefault="007D17C5" w:rsidP="007D17C5">
      <w:pPr>
        <w:pStyle w:val="subsection"/>
      </w:pPr>
      <w:r w:rsidRPr="002B1A95">
        <w:rPr>
          <w:color w:val="000000"/>
        </w:rPr>
        <w:tab/>
        <w:t>(2)</w:t>
      </w:r>
      <w:r w:rsidRPr="002B1A95">
        <w:rPr>
          <w:color w:val="000000"/>
        </w:rPr>
        <w:tab/>
        <w:t>If the fund benefit is a reversionary pension, the value of the pension is to be taken as the value of the pension assuming it is a single life pension, increased by 10%.</w:t>
      </w:r>
    </w:p>
    <w:p w:rsidR="007D17C5" w:rsidRPr="002B1A95" w:rsidRDefault="007D17C5" w:rsidP="007D17C5">
      <w:pPr>
        <w:pStyle w:val="ActHead5"/>
      </w:pPr>
      <w:bookmarkStart w:id="209" w:name="_Toc49765386"/>
      <w:r w:rsidRPr="00411C46">
        <w:rPr>
          <w:rStyle w:val="CharSectno"/>
        </w:rPr>
        <w:t>3.9</w:t>
      </w:r>
      <w:r w:rsidRPr="002B1A95">
        <w:t xml:space="preserve">  Mortality of pensioners</w:t>
      </w:r>
      <w:bookmarkEnd w:id="209"/>
    </w:p>
    <w:p w:rsidR="007D17C5" w:rsidRPr="002B1A95" w:rsidRDefault="007D17C5" w:rsidP="007D17C5">
      <w:pPr>
        <w:pStyle w:val="subsection"/>
        <w:rPr>
          <w:color w:val="000000"/>
        </w:rPr>
      </w:pPr>
      <w:r w:rsidRPr="002B1A95">
        <w:rPr>
          <w:color w:val="000000"/>
        </w:rPr>
        <w:tab/>
      </w:r>
      <w:r w:rsidRPr="002B1A95">
        <w:rPr>
          <w:color w:val="000000"/>
        </w:rPr>
        <w:tab/>
      </w:r>
      <w:r w:rsidRPr="002B1A95">
        <w:t>The following table sets out the rates of pensioner mortality (</w:t>
      </w:r>
      <w:r w:rsidRPr="002B1A95">
        <w:rPr>
          <w:b/>
          <w:i/>
        </w:rPr>
        <w:t>qx</w:t>
      </w:r>
      <w:r w:rsidRPr="002B1A95">
        <w:t>) that are to be assumed.</w:t>
      </w:r>
    </w:p>
    <w:p w:rsidR="007D17C5" w:rsidRPr="002B1A95" w:rsidRDefault="007D17C5" w:rsidP="007D17C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7D17C5" w:rsidRPr="002B1A95" w:rsidTr="009558BE">
        <w:trPr>
          <w:tblHeader/>
        </w:trPr>
        <w:tc>
          <w:tcPr>
            <w:tcW w:w="5000" w:type="pct"/>
            <w:gridSpan w:val="3"/>
            <w:tcBorders>
              <w:top w:val="single" w:sz="12" w:space="0" w:color="auto"/>
              <w:bottom w:val="single" w:sz="6" w:space="0" w:color="auto"/>
            </w:tcBorders>
            <w:shd w:val="clear" w:color="auto" w:fill="auto"/>
          </w:tcPr>
          <w:p w:rsidR="007D17C5" w:rsidRPr="002B1A95" w:rsidRDefault="007D17C5" w:rsidP="009558BE">
            <w:pPr>
              <w:pStyle w:val="TableHeading"/>
            </w:pPr>
            <w:r w:rsidRPr="002B1A95">
              <w:t>Pensioner mortality (</w:t>
            </w:r>
            <w:r w:rsidRPr="002B1A95">
              <w:rPr>
                <w:i/>
              </w:rPr>
              <w:t>qx</w:t>
            </w:r>
            <w:r w:rsidRPr="002B1A95">
              <w:t>) rates</w:t>
            </w:r>
          </w:p>
        </w:tc>
      </w:tr>
      <w:tr w:rsidR="007D17C5" w:rsidRPr="002B1A95" w:rsidTr="009558BE">
        <w:trPr>
          <w:tblHeader/>
        </w:trPr>
        <w:tc>
          <w:tcPr>
            <w:tcW w:w="429" w:type="pct"/>
            <w:tcBorders>
              <w:top w:val="single" w:sz="6" w:space="0" w:color="auto"/>
              <w:bottom w:val="single" w:sz="12" w:space="0" w:color="auto"/>
            </w:tcBorders>
            <w:shd w:val="clear" w:color="auto" w:fill="auto"/>
          </w:tcPr>
          <w:p w:rsidR="007D17C5" w:rsidRPr="002B1A95" w:rsidRDefault="007D17C5" w:rsidP="009558BE">
            <w:pPr>
              <w:pStyle w:val="TableHeading"/>
            </w:pPr>
            <w:r w:rsidRPr="002B1A95">
              <w:t>Item</w:t>
            </w:r>
          </w:p>
        </w:tc>
        <w:tc>
          <w:tcPr>
            <w:tcW w:w="2285" w:type="pct"/>
            <w:tcBorders>
              <w:top w:val="single" w:sz="6" w:space="0" w:color="auto"/>
              <w:bottom w:val="single" w:sz="12" w:space="0" w:color="auto"/>
            </w:tcBorders>
            <w:shd w:val="clear" w:color="auto" w:fill="auto"/>
          </w:tcPr>
          <w:p w:rsidR="007D17C5" w:rsidRPr="002B1A95" w:rsidRDefault="007D17C5" w:rsidP="009558BE">
            <w:pPr>
              <w:pStyle w:val="TableHeading"/>
              <w:keepNext w:val="0"/>
            </w:pPr>
            <w:r w:rsidRPr="002B1A95">
              <w:t>Age</w:t>
            </w:r>
          </w:p>
        </w:tc>
        <w:tc>
          <w:tcPr>
            <w:tcW w:w="2286" w:type="pct"/>
            <w:tcBorders>
              <w:top w:val="single" w:sz="6" w:space="0" w:color="auto"/>
              <w:bottom w:val="single" w:sz="12" w:space="0" w:color="auto"/>
            </w:tcBorders>
            <w:shd w:val="clear" w:color="auto" w:fill="auto"/>
          </w:tcPr>
          <w:p w:rsidR="007D17C5" w:rsidRPr="002B1A95" w:rsidRDefault="007D17C5" w:rsidP="009558BE">
            <w:pPr>
              <w:pStyle w:val="TableHeading"/>
              <w:keepNext w:val="0"/>
            </w:pPr>
            <w:r w:rsidRPr="002B1A95">
              <w:t>qx</w:t>
            </w:r>
          </w:p>
        </w:tc>
      </w:tr>
      <w:tr w:rsidR="007D17C5" w:rsidRPr="002B1A95" w:rsidTr="009558BE">
        <w:tc>
          <w:tcPr>
            <w:tcW w:w="429" w:type="pct"/>
            <w:tcBorders>
              <w:top w:val="single" w:sz="12" w:space="0" w:color="auto"/>
            </w:tcBorders>
            <w:shd w:val="clear" w:color="auto" w:fill="auto"/>
          </w:tcPr>
          <w:p w:rsidR="007D17C5" w:rsidRPr="002B1A95" w:rsidRDefault="007D17C5" w:rsidP="009558BE">
            <w:pPr>
              <w:pStyle w:val="Tabletext"/>
            </w:pPr>
            <w:r w:rsidRPr="002B1A95">
              <w:t>1</w:t>
            </w:r>
          </w:p>
        </w:tc>
        <w:tc>
          <w:tcPr>
            <w:tcW w:w="2285" w:type="pct"/>
            <w:tcBorders>
              <w:top w:val="single" w:sz="12" w:space="0" w:color="auto"/>
            </w:tcBorders>
            <w:shd w:val="clear" w:color="auto" w:fill="auto"/>
          </w:tcPr>
          <w:p w:rsidR="007D17C5" w:rsidRPr="002B1A95" w:rsidRDefault="007D17C5" w:rsidP="009558BE">
            <w:pPr>
              <w:pStyle w:val="Tabletext"/>
            </w:pPr>
            <w:r w:rsidRPr="002B1A95">
              <w:rPr>
                <w:color w:val="000000"/>
              </w:rPr>
              <w:t>35</w:t>
            </w:r>
            <w:r w:rsidR="00782250">
              <w:rPr>
                <w:color w:val="000000"/>
              </w:rPr>
              <w:noBreakHyphen/>
            </w:r>
            <w:r w:rsidRPr="002B1A95">
              <w:rPr>
                <w:color w:val="000000"/>
              </w:rPr>
              <w:t>49</w:t>
            </w:r>
          </w:p>
        </w:tc>
        <w:tc>
          <w:tcPr>
            <w:tcW w:w="2286" w:type="pct"/>
            <w:tcBorders>
              <w:top w:val="single" w:sz="12" w:space="0" w:color="auto"/>
            </w:tcBorders>
            <w:shd w:val="clear" w:color="auto" w:fill="auto"/>
          </w:tcPr>
          <w:p w:rsidR="007D17C5" w:rsidRPr="002B1A95" w:rsidRDefault="007D17C5" w:rsidP="009558BE">
            <w:pPr>
              <w:pStyle w:val="Tabletext"/>
            </w:pPr>
            <w:r w:rsidRPr="002B1A95">
              <w:rPr>
                <w:color w:val="000000"/>
              </w:rPr>
              <w:t>0.003</w:t>
            </w:r>
          </w:p>
        </w:tc>
      </w:tr>
      <w:tr w:rsidR="007D17C5" w:rsidRPr="002B1A95" w:rsidTr="009558BE">
        <w:tc>
          <w:tcPr>
            <w:tcW w:w="429" w:type="pct"/>
            <w:shd w:val="clear" w:color="auto" w:fill="auto"/>
          </w:tcPr>
          <w:p w:rsidR="007D17C5" w:rsidRPr="002B1A95" w:rsidRDefault="007D17C5" w:rsidP="009558BE">
            <w:pPr>
              <w:pStyle w:val="Tabletext"/>
            </w:pPr>
            <w:r w:rsidRPr="002B1A95">
              <w:t>2</w:t>
            </w:r>
          </w:p>
        </w:tc>
        <w:tc>
          <w:tcPr>
            <w:tcW w:w="2285" w:type="pct"/>
            <w:shd w:val="clear" w:color="auto" w:fill="auto"/>
          </w:tcPr>
          <w:p w:rsidR="007D17C5" w:rsidRPr="002B1A95" w:rsidRDefault="007D17C5" w:rsidP="009558BE">
            <w:pPr>
              <w:pStyle w:val="Tabletext"/>
            </w:pPr>
            <w:r w:rsidRPr="002B1A95">
              <w:rPr>
                <w:color w:val="000000"/>
              </w:rPr>
              <w:t>50</w:t>
            </w:r>
            <w:r w:rsidR="00782250">
              <w:rPr>
                <w:color w:val="000000"/>
              </w:rPr>
              <w:noBreakHyphen/>
            </w:r>
            <w:r w:rsidRPr="002B1A95">
              <w:rPr>
                <w:color w:val="000000"/>
              </w:rPr>
              <w:t>54</w:t>
            </w:r>
          </w:p>
        </w:tc>
        <w:tc>
          <w:tcPr>
            <w:tcW w:w="2286" w:type="pct"/>
            <w:shd w:val="clear" w:color="auto" w:fill="auto"/>
          </w:tcPr>
          <w:p w:rsidR="007D17C5" w:rsidRPr="002B1A95" w:rsidRDefault="007D17C5" w:rsidP="009558BE">
            <w:pPr>
              <w:pStyle w:val="Tabletext"/>
            </w:pPr>
            <w:r w:rsidRPr="002B1A95">
              <w:rPr>
                <w:color w:val="000000"/>
              </w:rPr>
              <w:t>0.004</w:t>
            </w:r>
          </w:p>
        </w:tc>
      </w:tr>
      <w:tr w:rsidR="007D17C5" w:rsidRPr="002B1A95" w:rsidTr="009558BE">
        <w:tc>
          <w:tcPr>
            <w:tcW w:w="429" w:type="pct"/>
            <w:shd w:val="clear" w:color="auto" w:fill="auto"/>
          </w:tcPr>
          <w:p w:rsidR="007D17C5" w:rsidRPr="002B1A95" w:rsidRDefault="007D17C5" w:rsidP="009558BE">
            <w:pPr>
              <w:pStyle w:val="Tabletext"/>
            </w:pPr>
            <w:r w:rsidRPr="002B1A95">
              <w:t>3</w:t>
            </w:r>
          </w:p>
        </w:tc>
        <w:tc>
          <w:tcPr>
            <w:tcW w:w="2285" w:type="pct"/>
            <w:shd w:val="clear" w:color="auto" w:fill="auto"/>
          </w:tcPr>
          <w:p w:rsidR="007D17C5" w:rsidRPr="002B1A95" w:rsidRDefault="007D17C5" w:rsidP="009558BE">
            <w:pPr>
              <w:pStyle w:val="Tabletext"/>
            </w:pPr>
            <w:r w:rsidRPr="002B1A95">
              <w:rPr>
                <w:color w:val="000000"/>
              </w:rPr>
              <w:t>55</w:t>
            </w:r>
          </w:p>
        </w:tc>
        <w:tc>
          <w:tcPr>
            <w:tcW w:w="2286" w:type="pct"/>
            <w:shd w:val="clear" w:color="auto" w:fill="auto"/>
          </w:tcPr>
          <w:p w:rsidR="007D17C5" w:rsidRPr="002B1A95" w:rsidRDefault="007D17C5" w:rsidP="009558BE">
            <w:pPr>
              <w:pStyle w:val="Tabletext"/>
            </w:pPr>
            <w:r w:rsidRPr="002B1A95">
              <w:rPr>
                <w:color w:val="000000"/>
              </w:rPr>
              <w:t>0.005</w:t>
            </w:r>
          </w:p>
        </w:tc>
      </w:tr>
      <w:tr w:rsidR="007D17C5" w:rsidRPr="002B1A95" w:rsidTr="009558BE">
        <w:tc>
          <w:tcPr>
            <w:tcW w:w="429" w:type="pct"/>
            <w:shd w:val="clear" w:color="auto" w:fill="auto"/>
          </w:tcPr>
          <w:p w:rsidR="007D17C5" w:rsidRPr="002B1A95" w:rsidRDefault="007D17C5" w:rsidP="009558BE">
            <w:pPr>
              <w:pStyle w:val="Tabletext"/>
            </w:pPr>
            <w:r w:rsidRPr="002B1A95">
              <w:t>4</w:t>
            </w:r>
          </w:p>
        </w:tc>
        <w:tc>
          <w:tcPr>
            <w:tcW w:w="2285" w:type="pct"/>
            <w:shd w:val="clear" w:color="auto" w:fill="auto"/>
          </w:tcPr>
          <w:p w:rsidR="007D17C5" w:rsidRPr="002B1A95" w:rsidRDefault="007D17C5" w:rsidP="009558BE">
            <w:pPr>
              <w:pStyle w:val="Tabletext"/>
            </w:pPr>
            <w:r w:rsidRPr="002B1A95">
              <w:rPr>
                <w:color w:val="000000"/>
              </w:rPr>
              <w:t>56</w:t>
            </w:r>
          </w:p>
        </w:tc>
        <w:tc>
          <w:tcPr>
            <w:tcW w:w="2286" w:type="pct"/>
            <w:shd w:val="clear" w:color="auto" w:fill="auto"/>
          </w:tcPr>
          <w:p w:rsidR="007D17C5" w:rsidRPr="002B1A95" w:rsidRDefault="007D17C5" w:rsidP="009558BE">
            <w:pPr>
              <w:pStyle w:val="Tabletext"/>
            </w:pPr>
            <w:r w:rsidRPr="002B1A95">
              <w:rPr>
                <w:color w:val="000000"/>
              </w:rPr>
              <w:t>0.006</w:t>
            </w:r>
          </w:p>
        </w:tc>
      </w:tr>
      <w:tr w:rsidR="007D17C5" w:rsidRPr="002B1A95" w:rsidTr="009558BE">
        <w:tc>
          <w:tcPr>
            <w:tcW w:w="429" w:type="pct"/>
            <w:shd w:val="clear" w:color="auto" w:fill="auto"/>
          </w:tcPr>
          <w:p w:rsidR="007D17C5" w:rsidRPr="002B1A95" w:rsidRDefault="007D17C5" w:rsidP="009558BE">
            <w:pPr>
              <w:pStyle w:val="Tabletext"/>
            </w:pPr>
            <w:r w:rsidRPr="002B1A95">
              <w:t>5</w:t>
            </w:r>
          </w:p>
        </w:tc>
        <w:tc>
          <w:tcPr>
            <w:tcW w:w="2285" w:type="pct"/>
            <w:shd w:val="clear" w:color="auto" w:fill="auto"/>
          </w:tcPr>
          <w:p w:rsidR="007D17C5" w:rsidRPr="002B1A95" w:rsidRDefault="007D17C5" w:rsidP="009558BE">
            <w:pPr>
              <w:pStyle w:val="Tabletext"/>
            </w:pPr>
            <w:r w:rsidRPr="002B1A95">
              <w:rPr>
                <w:color w:val="000000"/>
              </w:rPr>
              <w:t>57</w:t>
            </w:r>
          </w:p>
        </w:tc>
        <w:tc>
          <w:tcPr>
            <w:tcW w:w="2286" w:type="pct"/>
            <w:shd w:val="clear" w:color="auto" w:fill="auto"/>
          </w:tcPr>
          <w:p w:rsidR="007D17C5" w:rsidRPr="002B1A95" w:rsidRDefault="007D17C5" w:rsidP="009558BE">
            <w:pPr>
              <w:pStyle w:val="Tabletext"/>
            </w:pPr>
            <w:r w:rsidRPr="002B1A95">
              <w:rPr>
                <w:color w:val="000000"/>
              </w:rPr>
              <w:t>0.006</w:t>
            </w:r>
          </w:p>
        </w:tc>
      </w:tr>
      <w:tr w:rsidR="007D17C5" w:rsidRPr="002B1A95" w:rsidTr="009558BE">
        <w:tc>
          <w:tcPr>
            <w:tcW w:w="429" w:type="pct"/>
            <w:shd w:val="clear" w:color="auto" w:fill="auto"/>
          </w:tcPr>
          <w:p w:rsidR="007D17C5" w:rsidRPr="002B1A95" w:rsidRDefault="007D17C5" w:rsidP="009558BE">
            <w:pPr>
              <w:pStyle w:val="Tabletext"/>
            </w:pPr>
            <w:r w:rsidRPr="002B1A95">
              <w:t>6</w:t>
            </w:r>
          </w:p>
        </w:tc>
        <w:tc>
          <w:tcPr>
            <w:tcW w:w="2285" w:type="pct"/>
            <w:shd w:val="clear" w:color="auto" w:fill="auto"/>
          </w:tcPr>
          <w:p w:rsidR="007D17C5" w:rsidRPr="002B1A95" w:rsidRDefault="007D17C5" w:rsidP="009558BE">
            <w:pPr>
              <w:pStyle w:val="Tabletext"/>
            </w:pPr>
            <w:r w:rsidRPr="002B1A95">
              <w:rPr>
                <w:color w:val="000000"/>
              </w:rPr>
              <w:t>58</w:t>
            </w:r>
          </w:p>
        </w:tc>
        <w:tc>
          <w:tcPr>
            <w:tcW w:w="2286" w:type="pct"/>
            <w:shd w:val="clear" w:color="auto" w:fill="auto"/>
          </w:tcPr>
          <w:p w:rsidR="007D17C5" w:rsidRPr="002B1A95" w:rsidRDefault="007D17C5" w:rsidP="009558BE">
            <w:pPr>
              <w:pStyle w:val="Tabletext"/>
            </w:pPr>
            <w:r w:rsidRPr="002B1A95">
              <w:rPr>
                <w:color w:val="000000"/>
              </w:rPr>
              <w:t>0.007</w:t>
            </w:r>
          </w:p>
        </w:tc>
      </w:tr>
      <w:tr w:rsidR="007D17C5" w:rsidRPr="002B1A95" w:rsidTr="009558BE">
        <w:tc>
          <w:tcPr>
            <w:tcW w:w="429" w:type="pct"/>
            <w:shd w:val="clear" w:color="auto" w:fill="auto"/>
          </w:tcPr>
          <w:p w:rsidR="007D17C5" w:rsidRPr="002B1A95" w:rsidRDefault="007D17C5" w:rsidP="009558BE">
            <w:pPr>
              <w:pStyle w:val="Tabletext"/>
            </w:pPr>
            <w:r w:rsidRPr="002B1A95">
              <w:t>7</w:t>
            </w:r>
          </w:p>
        </w:tc>
        <w:tc>
          <w:tcPr>
            <w:tcW w:w="2285" w:type="pct"/>
            <w:shd w:val="clear" w:color="auto" w:fill="auto"/>
          </w:tcPr>
          <w:p w:rsidR="007D17C5" w:rsidRPr="002B1A95" w:rsidRDefault="007D17C5" w:rsidP="009558BE">
            <w:pPr>
              <w:pStyle w:val="Tabletext"/>
            </w:pPr>
            <w:r w:rsidRPr="002B1A95">
              <w:rPr>
                <w:color w:val="000000"/>
              </w:rPr>
              <w:t>59</w:t>
            </w:r>
          </w:p>
        </w:tc>
        <w:tc>
          <w:tcPr>
            <w:tcW w:w="2286" w:type="pct"/>
            <w:shd w:val="clear" w:color="auto" w:fill="auto"/>
          </w:tcPr>
          <w:p w:rsidR="007D17C5" w:rsidRPr="002B1A95" w:rsidRDefault="007D17C5" w:rsidP="009558BE">
            <w:pPr>
              <w:pStyle w:val="Tabletext"/>
            </w:pPr>
            <w:r w:rsidRPr="002B1A95">
              <w:rPr>
                <w:color w:val="000000"/>
              </w:rPr>
              <w:t>0.008</w:t>
            </w:r>
          </w:p>
        </w:tc>
      </w:tr>
      <w:tr w:rsidR="007D17C5" w:rsidRPr="002B1A95" w:rsidTr="009558BE">
        <w:tc>
          <w:tcPr>
            <w:tcW w:w="429" w:type="pct"/>
            <w:shd w:val="clear" w:color="auto" w:fill="auto"/>
          </w:tcPr>
          <w:p w:rsidR="007D17C5" w:rsidRPr="002B1A95" w:rsidRDefault="007D17C5" w:rsidP="009558BE">
            <w:pPr>
              <w:pStyle w:val="Tabletext"/>
            </w:pPr>
            <w:r w:rsidRPr="002B1A95">
              <w:t>8</w:t>
            </w:r>
          </w:p>
        </w:tc>
        <w:tc>
          <w:tcPr>
            <w:tcW w:w="2285" w:type="pct"/>
            <w:shd w:val="clear" w:color="auto" w:fill="auto"/>
          </w:tcPr>
          <w:p w:rsidR="007D17C5" w:rsidRPr="002B1A95" w:rsidRDefault="007D17C5" w:rsidP="009558BE">
            <w:pPr>
              <w:pStyle w:val="Tabletext"/>
            </w:pPr>
            <w:r w:rsidRPr="002B1A95">
              <w:rPr>
                <w:color w:val="000000"/>
              </w:rPr>
              <w:t>60</w:t>
            </w:r>
          </w:p>
        </w:tc>
        <w:tc>
          <w:tcPr>
            <w:tcW w:w="2286" w:type="pct"/>
            <w:shd w:val="clear" w:color="auto" w:fill="auto"/>
          </w:tcPr>
          <w:p w:rsidR="007D17C5" w:rsidRPr="002B1A95" w:rsidRDefault="007D17C5" w:rsidP="009558BE">
            <w:pPr>
              <w:pStyle w:val="Tabletext"/>
            </w:pPr>
            <w:r w:rsidRPr="002B1A95">
              <w:rPr>
                <w:color w:val="000000"/>
              </w:rPr>
              <w:t>0.008</w:t>
            </w:r>
          </w:p>
        </w:tc>
      </w:tr>
      <w:tr w:rsidR="007D17C5" w:rsidRPr="002B1A95" w:rsidTr="009558BE">
        <w:tc>
          <w:tcPr>
            <w:tcW w:w="429" w:type="pct"/>
            <w:shd w:val="clear" w:color="auto" w:fill="auto"/>
          </w:tcPr>
          <w:p w:rsidR="007D17C5" w:rsidRPr="002B1A95" w:rsidRDefault="007D17C5" w:rsidP="009558BE">
            <w:pPr>
              <w:pStyle w:val="Tabletext"/>
            </w:pPr>
            <w:r w:rsidRPr="002B1A95">
              <w:t>9</w:t>
            </w:r>
          </w:p>
        </w:tc>
        <w:tc>
          <w:tcPr>
            <w:tcW w:w="2285" w:type="pct"/>
            <w:shd w:val="clear" w:color="auto" w:fill="auto"/>
          </w:tcPr>
          <w:p w:rsidR="007D17C5" w:rsidRPr="002B1A95" w:rsidRDefault="007D17C5" w:rsidP="009558BE">
            <w:pPr>
              <w:pStyle w:val="Tabletext"/>
            </w:pPr>
            <w:r w:rsidRPr="002B1A95">
              <w:rPr>
                <w:color w:val="000000"/>
              </w:rPr>
              <w:t>61</w:t>
            </w:r>
          </w:p>
        </w:tc>
        <w:tc>
          <w:tcPr>
            <w:tcW w:w="2286" w:type="pct"/>
            <w:shd w:val="clear" w:color="auto" w:fill="auto"/>
          </w:tcPr>
          <w:p w:rsidR="007D17C5" w:rsidRPr="002B1A95" w:rsidRDefault="007D17C5" w:rsidP="009558BE">
            <w:pPr>
              <w:pStyle w:val="Tabletext"/>
            </w:pPr>
            <w:r w:rsidRPr="002B1A95">
              <w:rPr>
                <w:color w:val="000000"/>
              </w:rPr>
              <w:t>0.009</w:t>
            </w:r>
          </w:p>
        </w:tc>
      </w:tr>
      <w:tr w:rsidR="007D17C5" w:rsidRPr="002B1A95" w:rsidTr="009558BE">
        <w:tc>
          <w:tcPr>
            <w:tcW w:w="429" w:type="pct"/>
            <w:shd w:val="clear" w:color="auto" w:fill="auto"/>
          </w:tcPr>
          <w:p w:rsidR="007D17C5" w:rsidRPr="002B1A95" w:rsidRDefault="007D17C5" w:rsidP="009558BE">
            <w:pPr>
              <w:pStyle w:val="Tabletext"/>
            </w:pPr>
            <w:r w:rsidRPr="002B1A95">
              <w:t>10</w:t>
            </w:r>
          </w:p>
        </w:tc>
        <w:tc>
          <w:tcPr>
            <w:tcW w:w="2285" w:type="pct"/>
            <w:shd w:val="clear" w:color="auto" w:fill="auto"/>
          </w:tcPr>
          <w:p w:rsidR="007D17C5" w:rsidRPr="002B1A95" w:rsidRDefault="007D17C5" w:rsidP="009558BE">
            <w:pPr>
              <w:pStyle w:val="Tabletext"/>
            </w:pPr>
            <w:r w:rsidRPr="002B1A95">
              <w:rPr>
                <w:color w:val="000000"/>
              </w:rPr>
              <w:t>62</w:t>
            </w:r>
          </w:p>
        </w:tc>
        <w:tc>
          <w:tcPr>
            <w:tcW w:w="2286" w:type="pct"/>
            <w:shd w:val="clear" w:color="auto" w:fill="auto"/>
          </w:tcPr>
          <w:p w:rsidR="007D17C5" w:rsidRPr="002B1A95" w:rsidRDefault="007D17C5" w:rsidP="009558BE">
            <w:pPr>
              <w:pStyle w:val="Tabletext"/>
            </w:pPr>
            <w:r w:rsidRPr="002B1A95">
              <w:rPr>
                <w:color w:val="000000"/>
              </w:rPr>
              <w:t>0.010</w:t>
            </w:r>
          </w:p>
        </w:tc>
      </w:tr>
      <w:tr w:rsidR="007D17C5" w:rsidRPr="002B1A95" w:rsidTr="009558BE">
        <w:tc>
          <w:tcPr>
            <w:tcW w:w="429" w:type="pct"/>
            <w:shd w:val="clear" w:color="auto" w:fill="auto"/>
          </w:tcPr>
          <w:p w:rsidR="007D17C5" w:rsidRPr="002B1A95" w:rsidRDefault="007D17C5" w:rsidP="009558BE">
            <w:pPr>
              <w:pStyle w:val="Tabletext"/>
            </w:pPr>
            <w:r w:rsidRPr="002B1A95">
              <w:t>11</w:t>
            </w:r>
          </w:p>
        </w:tc>
        <w:tc>
          <w:tcPr>
            <w:tcW w:w="2285" w:type="pct"/>
            <w:shd w:val="clear" w:color="auto" w:fill="auto"/>
          </w:tcPr>
          <w:p w:rsidR="007D17C5" w:rsidRPr="002B1A95" w:rsidRDefault="007D17C5" w:rsidP="009558BE">
            <w:pPr>
              <w:pStyle w:val="Tabletext"/>
            </w:pPr>
            <w:r w:rsidRPr="002B1A95">
              <w:rPr>
                <w:color w:val="000000"/>
              </w:rPr>
              <w:t>63</w:t>
            </w:r>
          </w:p>
        </w:tc>
        <w:tc>
          <w:tcPr>
            <w:tcW w:w="2286" w:type="pct"/>
            <w:shd w:val="clear" w:color="auto" w:fill="auto"/>
          </w:tcPr>
          <w:p w:rsidR="007D17C5" w:rsidRPr="002B1A95" w:rsidRDefault="007D17C5" w:rsidP="009558BE">
            <w:pPr>
              <w:pStyle w:val="Tabletext"/>
            </w:pPr>
            <w:r w:rsidRPr="002B1A95">
              <w:rPr>
                <w:color w:val="000000"/>
              </w:rPr>
              <w:t>0.012</w:t>
            </w:r>
          </w:p>
        </w:tc>
      </w:tr>
      <w:tr w:rsidR="007D17C5" w:rsidRPr="002B1A95" w:rsidTr="009558BE">
        <w:tc>
          <w:tcPr>
            <w:tcW w:w="429" w:type="pct"/>
            <w:shd w:val="clear" w:color="auto" w:fill="auto"/>
          </w:tcPr>
          <w:p w:rsidR="007D17C5" w:rsidRPr="002B1A95" w:rsidRDefault="007D17C5" w:rsidP="009558BE">
            <w:pPr>
              <w:pStyle w:val="Tabletext"/>
            </w:pPr>
            <w:r w:rsidRPr="002B1A95">
              <w:t>12</w:t>
            </w:r>
          </w:p>
        </w:tc>
        <w:tc>
          <w:tcPr>
            <w:tcW w:w="2285" w:type="pct"/>
            <w:shd w:val="clear" w:color="auto" w:fill="auto"/>
          </w:tcPr>
          <w:p w:rsidR="007D17C5" w:rsidRPr="002B1A95" w:rsidRDefault="007D17C5" w:rsidP="009558BE">
            <w:pPr>
              <w:pStyle w:val="Tabletext"/>
            </w:pPr>
            <w:r w:rsidRPr="002B1A95">
              <w:rPr>
                <w:color w:val="000000"/>
              </w:rPr>
              <w:t>64</w:t>
            </w:r>
          </w:p>
        </w:tc>
        <w:tc>
          <w:tcPr>
            <w:tcW w:w="2286" w:type="pct"/>
            <w:shd w:val="clear" w:color="auto" w:fill="auto"/>
          </w:tcPr>
          <w:p w:rsidR="007D17C5" w:rsidRPr="002B1A95" w:rsidRDefault="007D17C5" w:rsidP="009558BE">
            <w:pPr>
              <w:pStyle w:val="Tabletext"/>
            </w:pPr>
            <w:r w:rsidRPr="002B1A95">
              <w:rPr>
                <w:color w:val="000000"/>
              </w:rPr>
              <w:t>0.013</w:t>
            </w:r>
          </w:p>
        </w:tc>
      </w:tr>
      <w:tr w:rsidR="007D17C5" w:rsidRPr="002B1A95" w:rsidTr="009558BE">
        <w:tc>
          <w:tcPr>
            <w:tcW w:w="429" w:type="pct"/>
            <w:shd w:val="clear" w:color="auto" w:fill="auto"/>
          </w:tcPr>
          <w:p w:rsidR="007D17C5" w:rsidRPr="002B1A95" w:rsidRDefault="007D17C5" w:rsidP="009558BE">
            <w:pPr>
              <w:pStyle w:val="Tabletext"/>
            </w:pPr>
            <w:r w:rsidRPr="002B1A95">
              <w:t>13</w:t>
            </w:r>
          </w:p>
        </w:tc>
        <w:tc>
          <w:tcPr>
            <w:tcW w:w="2285" w:type="pct"/>
            <w:shd w:val="clear" w:color="auto" w:fill="auto"/>
          </w:tcPr>
          <w:p w:rsidR="007D17C5" w:rsidRPr="002B1A95" w:rsidRDefault="007D17C5" w:rsidP="009558BE">
            <w:pPr>
              <w:pStyle w:val="Tabletext"/>
            </w:pPr>
            <w:r w:rsidRPr="002B1A95">
              <w:rPr>
                <w:color w:val="000000"/>
              </w:rPr>
              <w:t>65</w:t>
            </w:r>
          </w:p>
        </w:tc>
        <w:tc>
          <w:tcPr>
            <w:tcW w:w="2286" w:type="pct"/>
            <w:shd w:val="clear" w:color="auto" w:fill="auto"/>
          </w:tcPr>
          <w:p w:rsidR="007D17C5" w:rsidRPr="002B1A95" w:rsidRDefault="007D17C5" w:rsidP="009558BE">
            <w:pPr>
              <w:pStyle w:val="Tabletext"/>
            </w:pPr>
            <w:r w:rsidRPr="002B1A95">
              <w:rPr>
                <w:color w:val="000000"/>
              </w:rPr>
              <w:t>0.014</w:t>
            </w:r>
          </w:p>
        </w:tc>
      </w:tr>
      <w:tr w:rsidR="007D17C5" w:rsidRPr="002B1A95" w:rsidTr="009558BE">
        <w:tc>
          <w:tcPr>
            <w:tcW w:w="429" w:type="pct"/>
            <w:shd w:val="clear" w:color="auto" w:fill="auto"/>
          </w:tcPr>
          <w:p w:rsidR="007D17C5" w:rsidRPr="002B1A95" w:rsidRDefault="007D17C5" w:rsidP="009558BE">
            <w:pPr>
              <w:pStyle w:val="Tabletext"/>
            </w:pPr>
            <w:r w:rsidRPr="002B1A95">
              <w:t>14</w:t>
            </w:r>
          </w:p>
        </w:tc>
        <w:tc>
          <w:tcPr>
            <w:tcW w:w="2285" w:type="pct"/>
            <w:shd w:val="clear" w:color="auto" w:fill="auto"/>
          </w:tcPr>
          <w:p w:rsidR="007D17C5" w:rsidRPr="002B1A95" w:rsidRDefault="007D17C5" w:rsidP="009558BE">
            <w:pPr>
              <w:pStyle w:val="Tabletext"/>
            </w:pPr>
            <w:r w:rsidRPr="002B1A95">
              <w:rPr>
                <w:color w:val="000000"/>
              </w:rPr>
              <w:t>66</w:t>
            </w:r>
          </w:p>
        </w:tc>
        <w:tc>
          <w:tcPr>
            <w:tcW w:w="2286" w:type="pct"/>
            <w:shd w:val="clear" w:color="auto" w:fill="auto"/>
          </w:tcPr>
          <w:p w:rsidR="007D17C5" w:rsidRPr="002B1A95" w:rsidRDefault="007D17C5" w:rsidP="009558BE">
            <w:pPr>
              <w:pStyle w:val="Tabletext"/>
            </w:pPr>
            <w:r w:rsidRPr="002B1A95">
              <w:rPr>
                <w:color w:val="000000"/>
              </w:rPr>
              <w:t>0.016</w:t>
            </w:r>
          </w:p>
        </w:tc>
      </w:tr>
      <w:tr w:rsidR="007D17C5" w:rsidRPr="002B1A95" w:rsidTr="009558BE">
        <w:tc>
          <w:tcPr>
            <w:tcW w:w="429" w:type="pct"/>
            <w:shd w:val="clear" w:color="auto" w:fill="auto"/>
          </w:tcPr>
          <w:p w:rsidR="007D17C5" w:rsidRPr="002B1A95" w:rsidRDefault="007D17C5" w:rsidP="009558BE">
            <w:pPr>
              <w:pStyle w:val="Tabletext"/>
            </w:pPr>
            <w:r w:rsidRPr="002B1A95">
              <w:t>15</w:t>
            </w:r>
          </w:p>
        </w:tc>
        <w:tc>
          <w:tcPr>
            <w:tcW w:w="2285" w:type="pct"/>
            <w:shd w:val="clear" w:color="auto" w:fill="auto"/>
          </w:tcPr>
          <w:p w:rsidR="007D17C5" w:rsidRPr="002B1A95" w:rsidRDefault="007D17C5" w:rsidP="009558BE">
            <w:pPr>
              <w:pStyle w:val="Tabletext"/>
            </w:pPr>
            <w:r w:rsidRPr="002B1A95">
              <w:rPr>
                <w:color w:val="000000"/>
              </w:rPr>
              <w:t>67</w:t>
            </w:r>
          </w:p>
        </w:tc>
        <w:tc>
          <w:tcPr>
            <w:tcW w:w="2286" w:type="pct"/>
            <w:shd w:val="clear" w:color="auto" w:fill="auto"/>
          </w:tcPr>
          <w:p w:rsidR="007D17C5" w:rsidRPr="002B1A95" w:rsidRDefault="007D17C5" w:rsidP="009558BE">
            <w:pPr>
              <w:pStyle w:val="Tabletext"/>
            </w:pPr>
            <w:r w:rsidRPr="002B1A95">
              <w:rPr>
                <w:color w:val="000000"/>
              </w:rPr>
              <w:t>0.017</w:t>
            </w:r>
          </w:p>
        </w:tc>
      </w:tr>
      <w:tr w:rsidR="007D17C5" w:rsidRPr="002B1A95" w:rsidTr="009558BE">
        <w:tc>
          <w:tcPr>
            <w:tcW w:w="429" w:type="pct"/>
            <w:shd w:val="clear" w:color="auto" w:fill="auto"/>
          </w:tcPr>
          <w:p w:rsidR="007D17C5" w:rsidRPr="002B1A95" w:rsidRDefault="007D17C5" w:rsidP="009558BE">
            <w:pPr>
              <w:pStyle w:val="Tabletext"/>
            </w:pPr>
            <w:r w:rsidRPr="002B1A95">
              <w:t>16</w:t>
            </w:r>
          </w:p>
        </w:tc>
        <w:tc>
          <w:tcPr>
            <w:tcW w:w="2285" w:type="pct"/>
            <w:shd w:val="clear" w:color="auto" w:fill="auto"/>
          </w:tcPr>
          <w:p w:rsidR="007D17C5" w:rsidRPr="002B1A95" w:rsidRDefault="007D17C5" w:rsidP="009558BE">
            <w:pPr>
              <w:pStyle w:val="Tabletext"/>
            </w:pPr>
            <w:r w:rsidRPr="002B1A95">
              <w:rPr>
                <w:color w:val="000000"/>
              </w:rPr>
              <w:t>68</w:t>
            </w:r>
          </w:p>
        </w:tc>
        <w:tc>
          <w:tcPr>
            <w:tcW w:w="2286" w:type="pct"/>
            <w:shd w:val="clear" w:color="auto" w:fill="auto"/>
          </w:tcPr>
          <w:p w:rsidR="007D17C5" w:rsidRPr="002B1A95" w:rsidRDefault="007D17C5" w:rsidP="009558BE">
            <w:pPr>
              <w:pStyle w:val="Tabletext"/>
            </w:pPr>
            <w:r w:rsidRPr="002B1A95">
              <w:rPr>
                <w:color w:val="000000"/>
              </w:rPr>
              <w:t>0.019</w:t>
            </w:r>
          </w:p>
        </w:tc>
      </w:tr>
      <w:tr w:rsidR="007D17C5" w:rsidRPr="002B1A95" w:rsidTr="009558BE">
        <w:tc>
          <w:tcPr>
            <w:tcW w:w="429" w:type="pct"/>
            <w:shd w:val="clear" w:color="auto" w:fill="auto"/>
          </w:tcPr>
          <w:p w:rsidR="007D17C5" w:rsidRPr="002B1A95" w:rsidRDefault="007D17C5" w:rsidP="009558BE">
            <w:pPr>
              <w:pStyle w:val="Tabletext"/>
            </w:pPr>
            <w:r w:rsidRPr="002B1A95">
              <w:t>17</w:t>
            </w:r>
          </w:p>
        </w:tc>
        <w:tc>
          <w:tcPr>
            <w:tcW w:w="2285" w:type="pct"/>
            <w:shd w:val="clear" w:color="auto" w:fill="auto"/>
          </w:tcPr>
          <w:p w:rsidR="007D17C5" w:rsidRPr="002B1A95" w:rsidRDefault="007D17C5" w:rsidP="009558BE">
            <w:pPr>
              <w:pStyle w:val="Tabletext"/>
            </w:pPr>
            <w:r w:rsidRPr="002B1A95">
              <w:rPr>
                <w:color w:val="000000"/>
              </w:rPr>
              <w:t>69</w:t>
            </w:r>
          </w:p>
        </w:tc>
        <w:tc>
          <w:tcPr>
            <w:tcW w:w="2286" w:type="pct"/>
            <w:shd w:val="clear" w:color="auto" w:fill="auto"/>
          </w:tcPr>
          <w:p w:rsidR="007D17C5" w:rsidRPr="002B1A95" w:rsidRDefault="007D17C5" w:rsidP="009558BE">
            <w:pPr>
              <w:pStyle w:val="Tabletext"/>
            </w:pPr>
            <w:r w:rsidRPr="002B1A95">
              <w:rPr>
                <w:color w:val="000000"/>
              </w:rPr>
              <w:t>0.021</w:t>
            </w:r>
          </w:p>
        </w:tc>
      </w:tr>
      <w:tr w:rsidR="007D17C5" w:rsidRPr="002B1A95" w:rsidTr="009558BE">
        <w:tc>
          <w:tcPr>
            <w:tcW w:w="429" w:type="pct"/>
            <w:shd w:val="clear" w:color="auto" w:fill="auto"/>
          </w:tcPr>
          <w:p w:rsidR="007D17C5" w:rsidRPr="002B1A95" w:rsidRDefault="007D17C5" w:rsidP="009558BE">
            <w:pPr>
              <w:pStyle w:val="Tabletext"/>
            </w:pPr>
            <w:r w:rsidRPr="002B1A95">
              <w:t>18</w:t>
            </w:r>
          </w:p>
        </w:tc>
        <w:tc>
          <w:tcPr>
            <w:tcW w:w="2285" w:type="pct"/>
            <w:shd w:val="clear" w:color="auto" w:fill="auto"/>
          </w:tcPr>
          <w:p w:rsidR="007D17C5" w:rsidRPr="002B1A95" w:rsidRDefault="007D17C5" w:rsidP="009558BE">
            <w:pPr>
              <w:pStyle w:val="Tabletext"/>
            </w:pPr>
            <w:r w:rsidRPr="002B1A95">
              <w:rPr>
                <w:color w:val="000000"/>
              </w:rPr>
              <w:t>70</w:t>
            </w:r>
          </w:p>
        </w:tc>
        <w:tc>
          <w:tcPr>
            <w:tcW w:w="2286" w:type="pct"/>
            <w:shd w:val="clear" w:color="auto" w:fill="auto"/>
          </w:tcPr>
          <w:p w:rsidR="007D17C5" w:rsidRPr="002B1A95" w:rsidRDefault="007D17C5" w:rsidP="009558BE">
            <w:pPr>
              <w:pStyle w:val="Tabletext"/>
            </w:pPr>
            <w:r w:rsidRPr="002B1A95">
              <w:rPr>
                <w:color w:val="000000"/>
              </w:rPr>
              <w:t>0.023</w:t>
            </w:r>
          </w:p>
        </w:tc>
      </w:tr>
      <w:tr w:rsidR="007D17C5" w:rsidRPr="002B1A95" w:rsidTr="009558BE">
        <w:tc>
          <w:tcPr>
            <w:tcW w:w="429" w:type="pct"/>
            <w:shd w:val="clear" w:color="auto" w:fill="auto"/>
          </w:tcPr>
          <w:p w:rsidR="007D17C5" w:rsidRPr="002B1A95" w:rsidRDefault="007D17C5" w:rsidP="009558BE">
            <w:pPr>
              <w:pStyle w:val="Tabletext"/>
            </w:pPr>
            <w:r w:rsidRPr="002B1A95">
              <w:t>19</w:t>
            </w:r>
          </w:p>
        </w:tc>
        <w:tc>
          <w:tcPr>
            <w:tcW w:w="2285" w:type="pct"/>
            <w:shd w:val="clear" w:color="auto" w:fill="auto"/>
          </w:tcPr>
          <w:p w:rsidR="007D17C5" w:rsidRPr="002B1A95" w:rsidRDefault="007D17C5" w:rsidP="009558BE">
            <w:pPr>
              <w:pStyle w:val="Tabletext"/>
            </w:pPr>
            <w:r w:rsidRPr="002B1A95">
              <w:rPr>
                <w:color w:val="000000"/>
              </w:rPr>
              <w:t>71</w:t>
            </w:r>
          </w:p>
        </w:tc>
        <w:tc>
          <w:tcPr>
            <w:tcW w:w="2286" w:type="pct"/>
            <w:shd w:val="clear" w:color="auto" w:fill="auto"/>
          </w:tcPr>
          <w:p w:rsidR="007D17C5" w:rsidRPr="002B1A95" w:rsidRDefault="007D17C5" w:rsidP="009558BE">
            <w:pPr>
              <w:pStyle w:val="Tabletext"/>
            </w:pPr>
            <w:r w:rsidRPr="002B1A95">
              <w:rPr>
                <w:color w:val="000000"/>
              </w:rPr>
              <w:t>0.026</w:t>
            </w:r>
          </w:p>
        </w:tc>
      </w:tr>
      <w:tr w:rsidR="007D17C5" w:rsidRPr="002B1A95" w:rsidTr="009558BE">
        <w:tc>
          <w:tcPr>
            <w:tcW w:w="429" w:type="pct"/>
            <w:shd w:val="clear" w:color="auto" w:fill="auto"/>
          </w:tcPr>
          <w:p w:rsidR="007D17C5" w:rsidRPr="002B1A95" w:rsidRDefault="007D17C5" w:rsidP="009558BE">
            <w:pPr>
              <w:pStyle w:val="Tabletext"/>
            </w:pPr>
            <w:r w:rsidRPr="002B1A95">
              <w:t>20</w:t>
            </w:r>
          </w:p>
        </w:tc>
        <w:tc>
          <w:tcPr>
            <w:tcW w:w="2285" w:type="pct"/>
            <w:shd w:val="clear" w:color="auto" w:fill="auto"/>
          </w:tcPr>
          <w:p w:rsidR="007D17C5" w:rsidRPr="002B1A95" w:rsidRDefault="007D17C5" w:rsidP="009558BE">
            <w:pPr>
              <w:pStyle w:val="Tabletext"/>
            </w:pPr>
            <w:r w:rsidRPr="002B1A95">
              <w:rPr>
                <w:color w:val="000000"/>
              </w:rPr>
              <w:t>72</w:t>
            </w:r>
          </w:p>
        </w:tc>
        <w:tc>
          <w:tcPr>
            <w:tcW w:w="2286" w:type="pct"/>
            <w:shd w:val="clear" w:color="auto" w:fill="auto"/>
          </w:tcPr>
          <w:p w:rsidR="007D17C5" w:rsidRPr="002B1A95" w:rsidRDefault="007D17C5" w:rsidP="009558BE">
            <w:pPr>
              <w:pStyle w:val="Tabletext"/>
            </w:pPr>
            <w:r w:rsidRPr="002B1A95">
              <w:rPr>
                <w:color w:val="000000"/>
              </w:rPr>
              <w:t>0.029</w:t>
            </w:r>
          </w:p>
        </w:tc>
      </w:tr>
      <w:tr w:rsidR="007D17C5" w:rsidRPr="002B1A95" w:rsidTr="009558BE">
        <w:tc>
          <w:tcPr>
            <w:tcW w:w="429" w:type="pct"/>
            <w:shd w:val="clear" w:color="auto" w:fill="auto"/>
          </w:tcPr>
          <w:p w:rsidR="007D17C5" w:rsidRPr="002B1A95" w:rsidRDefault="007D17C5" w:rsidP="009558BE">
            <w:pPr>
              <w:pStyle w:val="Tabletext"/>
            </w:pPr>
            <w:r w:rsidRPr="002B1A95">
              <w:t>21</w:t>
            </w:r>
          </w:p>
        </w:tc>
        <w:tc>
          <w:tcPr>
            <w:tcW w:w="2285" w:type="pct"/>
            <w:shd w:val="clear" w:color="auto" w:fill="auto"/>
          </w:tcPr>
          <w:p w:rsidR="007D17C5" w:rsidRPr="002B1A95" w:rsidRDefault="007D17C5" w:rsidP="009558BE">
            <w:pPr>
              <w:pStyle w:val="Tabletext"/>
            </w:pPr>
            <w:r w:rsidRPr="002B1A95">
              <w:rPr>
                <w:color w:val="000000"/>
              </w:rPr>
              <w:t>73</w:t>
            </w:r>
          </w:p>
        </w:tc>
        <w:tc>
          <w:tcPr>
            <w:tcW w:w="2286" w:type="pct"/>
            <w:shd w:val="clear" w:color="auto" w:fill="auto"/>
          </w:tcPr>
          <w:p w:rsidR="007D17C5" w:rsidRPr="002B1A95" w:rsidRDefault="007D17C5" w:rsidP="009558BE">
            <w:pPr>
              <w:pStyle w:val="Tabletext"/>
            </w:pPr>
            <w:r w:rsidRPr="002B1A95">
              <w:rPr>
                <w:color w:val="000000"/>
              </w:rPr>
              <w:t>0.032</w:t>
            </w:r>
          </w:p>
        </w:tc>
      </w:tr>
      <w:tr w:rsidR="007D17C5" w:rsidRPr="002B1A95" w:rsidTr="009558BE">
        <w:tc>
          <w:tcPr>
            <w:tcW w:w="429" w:type="pct"/>
            <w:shd w:val="clear" w:color="auto" w:fill="auto"/>
          </w:tcPr>
          <w:p w:rsidR="007D17C5" w:rsidRPr="002B1A95" w:rsidRDefault="007D17C5" w:rsidP="009558BE">
            <w:pPr>
              <w:pStyle w:val="Tabletext"/>
            </w:pPr>
            <w:r w:rsidRPr="002B1A95">
              <w:t>22</w:t>
            </w:r>
          </w:p>
        </w:tc>
        <w:tc>
          <w:tcPr>
            <w:tcW w:w="2285" w:type="pct"/>
            <w:shd w:val="clear" w:color="auto" w:fill="auto"/>
          </w:tcPr>
          <w:p w:rsidR="007D17C5" w:rsidRPr="002B1A95" w:rsidRDefault="007D17C5" w:rsidP="009558BE">
            <w:pPr>
              <w:pStyle w:val="Tabletext"/>
            </w:pPr>
            <w:r w:rsidRPr="002B1A95">
              <w:rPr>
                <w:color w:val="000000"/>
              </w:rPr>
              <w:t>74</w:t>
            </w:r>
          </w:p>
        </w:tc>
        <w:tc>
          <w:tcPr>
            <w:tcW w:w="2286" w:type="pct"/>
            <w:shd w:val="clear" w:color="auto" w:fill="auto"/>
          </w:tcPr>
          <w:p w:rsidR="007D17C5" w:rsidRPr="002B1A95" w:rsidRDefault="007D17C5" w:rsidP="009558BE">
            <w:pPr>
              <w:pStyle w:val="Tabletext"/>
            </w:pPr>
            <w:r w:rsidRPr="002B1A95">
              <w:rPr>
                <w:color w:val="000000"/>
              </w:rPr>
              <w:t>0.035</w:t>
            </w:r>
          </w:p>
        </w:tc>
      </w:tr>
      <w:tr w:rsidR="007D17C5" w:rsidRPr="002B1A95" w:rsidTr="009558BE">
        <w:tc>
          <w:tcPr>
            <w:tcW w:w="429" w:type="pct"/>
            <w:shd w:val="clear" w:color="auto" w:fill="auto"/>
          </w:tcPr>
          <w:p w:rsidR="007D17C5" w:rsidRPr="002B1A95" w:rsidRDefault="007D17C5" w:rsidP="009558BE">
            <w:pPr>
              <w:pStyle w:val="Tabletext"/>
            </w:pPr>
            <w:r w:rsidRPr="002B1A95">
              <w:t>23</w:t>
            </w:r>
          </w:p>
        </w:tc>
        <w:tc>
          <w:tcPr>
            <w:tcW w:w="2285" w:type="pct"/>
            <w:shd w:val="clear" w:color="auto" w:fill="auto"/>
          </w:tcPr>
          <w:p w:rsidR="007D17C5" w:rsidRPr="002B1A95" w:rsidRDefault="007D17C5" w:rsidP="009558BE">
            <w:pPr>
              <w:pStyle w:val="Tabletext"/>
            </w:pPr>
            <w:r w:rsidRPr="002B1A95">
              <w:rPr>
                <w:color w:val="000000"/>
              </w:rPr>
              <w:t>75</w:t>
            </w:r>
          </w:p>
        </w:tc>
        <w:tc>
          <w:tcPr>
            <w:tcW w:w="2286" w:type="pct"/>
            <w:shd w:val="clear" w:color="auto" w:fill="auto"/>
          </w:tcPr>
          <w:p w:rsidR="007D17C5" w:rsidRPr="002B1A95" w:rsidRDefault="007D17C5" w:rsidP="009558BE">
            <w:pPr>
              <w:pStyle w:val="Tabletext"/>
            </w:pPr>
            <w:r w:rsidRPr="002B1A95">
              <w:rPr>
                <w:color w:val="000000"/>
              </w:rPr>
              <w:t>0.039</w:t>
            </w:r>
          </w:p>
        </w:tc>
      </w:tr>
      <w:tr w:rsidR="007D17C5" w:rsidRPr="002B1A95" w:rsidTr="009558BE">
        <w:tc>
          <w:tcPr>
            <w:tcW w:w="429" w:type="pct"/>
            <w:shd w:val="clear" w:color="auto" w:fill="auto"/>
          </w:tcPr>
          <w:p w:rsidR="007D17C5" w:rsidRPr="002B1A95" w:rsidRDefault="007D17C5" w:rsidP="009558BE">
            <w:pPr>
              <w:pStyle w:val="Tabletext"/>
            </w:pPr>
            <w:r w:rsidRPr="002B1A95">
              <w:t>24</w:t>
            </w:r>
          </w:p>
        </w:tc>
        <w:tc>
          <w:tcPr>
            <w:tcW w:w="2285" w:type="pct"/>
            <w:shd w:val="clear" w:color="auto" w:fill="auto"/>
          </w:tcPr>
          <w:p w:rsidR="007D17C5" w:rsidRPr="002B1A95" w:rsidRDefault="007D17C5" w:rsidP="009558BE">
            <w:pPr>
              <w:pStyle w:val="Tabletext"/>
            </w:pPr>
            <w:r w:rsidRPr="002B1A95">
              <w:rPr>
                <w:color w:val="000000"/>
              </w:rPr>
              <w:t>76</w:t>
            </w:r>
          </w:p>
        </w:tc>
        <w:tc>
          <w:tcPr>
            <w:tcW w:w="2286" w:type="pct"/>
            <w:shd w:val="clear" w:color="auto" w:fill="auto"/>
          </w:tcPr>
          <w:p w:rsidR="007D17C5" w:rsidRPr="002B1A95" w:rsidRDefault="007D17C5" w:rsidP="009558BE">
            <w:pPr>
              <w:pStyle w:val="Tabletext"/>
            </w:pPr>
            <w:r w:rsidRPr="002B1A95">
              <w:rPr>
                <w:color w:val="000000"/>
              </w:rPr>
              <w:t>0.043</w:t>
            </w:r>
          </w:p>
        </w:tc>
      </w:tr>
      <w:tr w:rsidR="007D17C5" w:rsidRPr="002B1A95" w:rsidTr="009558BE">
        <w:tc>
          <w:tcPr>
            <w:tcW w:w="429" w:type="pct"/>
            <w:shd w:val="clear" w:color="auto" w:fill="auto"/>
          </w:tcPr>
          <w:p w:rsidR="007D17C5" w:rsidRPr="002B1A95" w:rsidRDefault="007D17C5" w:rsidP="009558BE">
            <w:pPr>
              <w:pStyle w:val="Tabletext"/>
            </w:pPr>
            <w:r w:rsidRPr="002B1A95">
              <w:t>25</w:t>
            </w:r>
          </w:p>
        </w:tc>
        <w:tc>
          <w:tcPr>
            <w:tcW w:w="2285" w:type="pct"/>
            <w:shd w:val="clear" w:color="auto" w:fill="auto"/>
          </w:tcPr>
          <w:p w:rsidR="007D17C5" w:rsidRPr="002B1A95" w:rsidRDefault="007D17C5" w:rsidP="009558BE">
            <w:pPr>
              <w:pStyle w:val="Tabletext"/>
            </w:pPr>
            <w:r w:rsidRPr="002B1A95">
              <w:rPr>
                <w:color w:val="000000"/>
              </w:rPr>
              <w:t>77</w:t>
            </w:r>
          </w:p>
        </w:tc>
        <w:tc>
          <w:tcPr>
            <w:tcW w:w="2286" w:type="pct"/>
            <w:shd w:val="clear" w:color="auto" w:fill="auto"/>
          </w:tcPr>
          <w:p w:rsidR="007D17C5" w:rsidRPr="002B1A95" w:rsidRDefault="007D17C5" w:rsidP="009558BE">
            <w:pPr>
              <w:pStyle w:val="Tabletext"/>
            </w:pPr>
            <w:r w:rsidRPr="002B1A95">
              <w:rPr>
                <w:color w:val="000000"/>
              </w:rPr>
              <w:t>0.048</w:t>
            </w:r>
          </w:p>
        </w:tc>
      </w:tr>
      <w:tr w:rsidR="007D17C5" w:rsidRPr="002B1A95" w:rsidTr="009558BE">
        <w:tc>
          <w:tcPr>
            <w:tcW w:w="429" w:type="pct"/>
            <w:shd w:val="clear" w:color="auto" w:fill="auto"/>
          </w:tcPr>
          <w:p w:rsidR="007D17C5" w:rsidRPr="002B1A95" w:rsidRDefault="007D17C5" w:rsidP="009558BE">
            <w:pPr>
              <w:pStyle w:val="Tabletext"/>
            </w:pPr>
            <w:r w:rsidRPr="002B1A95">
              <w:lastRenderedPageBreak/>
              <w:t>26</w:t>
            </w:r>
          </w:p>
        </w:tc>
        <w:tc>
          <w:tcPr>
            <w:tcW w:w="2285" w:type="pct"/>
            <w:shd w:val="clear" w:color="auto" w:fill="auto"/>
          </w:tcPr>
          <w:p w:rsidR="007D17C5" w:rsidRPr="002B1A95" w:rsidRDefault="007D17C5" w:rsidP="009558BE">
            <w:pPr>
              <w:pStyle w:val="Tabletext"/>
            </w:pPr>
            <w:r w:rsidRPr="002B1A95">
              <w:rPr>
                <w:color w:val="000000"/>
              </w:rPr>
              <w:t>78</w:t>
            </w:r>
          </w:p>
        </w:tc>
        <w:tc>
          <w:tcPr>
            <w:tcW w:w="2286" w:type="pct"/>
            <w:shd w:val="clear" w:color="auto" w:fill="auto"/>
          </w:tcPr>
          <w:p w:rsidR="007D17C5" w:rsidRPr="002B1A95" w:rsidRDefault="007D17C5" w:rsidP="009558BE">
            <w:pPr>
              <w:pStyle w:val="Tabletext"/>
            </w:pPr>
            <w:r w:rsidRPr="002B1A95">
              <w:rPr>
                <w:color w:val="000000"/>
              </w:rPr>
              <w:t>0.053</w:t>
            </w:r>
          </w:p>
        </w:tc>
      </w:tr>
      <w:tr w:rsidR="007D17C5" w:rsidRPr="002B1A95" w:rsidTr="009558BE">
        <w:tc>
          <w:tcPr>
            <w:tcW w:w="429" w:type="pct"/>
            <w:shd w:val="clear" w:color="auto" w:fill="auto"/>
          </w:tcPr>
          <w:p w:rsidR="007D17C5" w:rsidRPr="002B1A95" w:rsidRDefault="007D17C5" w:rsidP="009558BE">
            <w:pPr>
              <w:pStyle w:val="Tabletext"/>
            </w:pPr>
            <w:r w:rsidRPr="002B1A95">
              <w:t>27</w:t>
            </w:r>
          </w:p>
        </w:tc>
        <w:tc>
          <w:tcPr>
            <w:tcW w:w="2285" w:type="pct"/>
            <w:shd w:val="clear" w:color="auto" w:fill="auto"/>
          </w:tcPr>
          <w:p w:rsidR="007D17C5" w:rsidRPr="002B1A95" w:rsidRDefault="007D17C5" w:rsidP="009558BE">
            <w:pPr>
              <w:pStyle w:val="Tabletext"/>
            </w:pPr>
            <w:r w:rsidRPr="002B1A95">
              <w:rPr>
                <w:color w:val="000000"/>
              </w:rPr>
              <w:t>79</w:t>
            </w:r>
          </w:p>
        </w:tc>
        <w:tc>
          <w:tcPr>
            <w:tcW w:w="2286" w:type="pct"/>
            <w:shd w:val="clear" w:color="auto" w:fill="auto"/>
          </w:tcPr>
          <w:p w:rsidR="007D17C5" w:rsidRPr="002B1A95" w:rsidRDefault="007D17C5" w:rsidP="009558BE">
            <w:pPr>
              <w:pStyle w:val="Tabletext"/>
            </w:pPr>
            <w:r w:rsidRPr="002B1A95">
              <w:rPr>
                <w:color w:val="000000"/>
              </w:rPr>
              <w:t>0.059</w:t>
            </w:r>
          </w:p>
        </w:tc>
      </w:tr>
      <w:tr w:rsidR="007D17C5" w:rsidRPr="002B1A95" w:rsidTr="009558BE">
        <w:tc>
          <w:tcPr>
            <w:tcW w:w="429" w:type="pct"/>
            <w:shd w:val="clear" w:color="auto" w:fill="auto"/>
          </w:tcPr>
          <w:p w:rsidR="007D17C5" w:rsidRPr="002B1A95" w:rsidRDefault="007D17C5" w:rsidP="009558BE">
            <w:pPr>
              <w:pStyle w:val="Tabletext"/>
            </w:pPr>
            <w:r w:rsidRPr="002B1A95">
              <w:t>28</w:t>
            </w:r>
          </w:p>
        </w:tc>
        <w:tc>
          <w:tcPr>
            <w:tcW w:w="2285" w:type="pct"/>
            <w:shd w:val="clear" w:color="auto" w:fill="auto"/>
          </w:tcPr>
          <w:p w:rsidR="007D17C5" w:rsidRPr="002B1A95" w:rsidRDefault="007D17C5" w:rsidP="009558BE">
            <w:pPr>
              <w:pStyle w:val="Tabletext"/>
            </w:pPr>
            <w:r w:rsidRPr="002B1A95">
              <w:rPr>
                <w:color w:val="000000"/>
              </w:rPr>
              <w:t>80</w:t>
            </w:r>
          </w:p>
        </w:tc>
        <w:tc>
          <w:tcPr>
            <w:tcW w:w="2286" w:type="pct"/>
            <w:shd w:val="clear" w:color="auto" w:fill="auto"/>
          </w:tcPr>
          <w:p w:rsidR="007D17C5" w:rsidRPr="002B1A95" w:rsidRDefault="007D17C5" w:rsidP="009558BE">
            <w:pPr>
              <w:pStyle w:val="Tabletext"/>
            </w:pPr>
            <w:r w:rsidRPr="002B1A95">
              <w:rPr>
                <w:color w:val="000000"/>
              </w:rPr>
              <w:t>0.064</w:t>
            </w:r>
          </w:p>
        </w:tc>
      </w:tr>
      <w:tr w:rsidR="007D17C5" w:rsidRPr="002B1A95" w:rsidTr="009558BE">
        <w:tc>
          <w:tcPr>
            <w:tcW w:w="429" w:type="pct"/>
            <w:shd w:val="clear" w:color="auto" w:fill="auto"/>
          </w:tcPr>
          <w:p w:rsidR="007D17C5" w:rsidRPr="002B1A95" w:rsidRDefault="007D17C5" w:rsidP="009558BE">
            <w:pPr>
              <w:pStyle w:val="Tabletext"/>
            </w:pPr>
            <w:r w:rsidRPr="002B1A95">
              <w:t>29</w:t>
            </w:r>
          </w:p>
        </w:tc>
        <w:tc>
          <w:tcPr>
            <w:tcW w:w="2285" w:type="pct"/>
            <w:shd w:val="clear" w:color="auto" w:fill="auto"/>
          </w:tcPr>
          <w:p w:rsidR="007D17C5" w:rsidRPr="002B1A95" w:rsidRDefault="007D17C5" w:rsidP="009558BE">
            <w:pPr>
              <w:pStyle w:val="Tabletext"/>
            </w:pPr>
            <w:r w:rsidRPr="002B1A95">
              <w:rPr>
                <w:color w:val="000000"/>
              </w:rPr>
              <w:t>81</w:t>
            </w:r>
          </w:p>
        </w:tc>
        <w:tc>
          <w:tcPr>
            <w:tcW w:w="2286" w:type="pct"/>
            <w:shd w:val="clear" w:color="auto" w:fill="auto"/>
          </w:tcPr>
          <w:p w:rsidR="007D17C5" w:rsidRPr="002B1A95" w:rsidRDefault="007D17C5" w:rsidP="009558BE">
            <w:pPr>
              <w:pStyle w:val="Tabletext"/>
            </w:pPr>
            <w:r w:rsidRPr="002B1A95">
              <w:rPr>
                <w:color w:val="000000"/>
              </w:rPr>
              <w:t>0.070</w:t>
            </w:r>
          </w:p>
        </w:tc>
      </w:tr>
      <w:tr w:rsidR="007D17C5" w:rsidRPr="002B1A95" w:rsidTr="009558BE">
        <w:tc>
          <w:tcPr>
            <w:tcW w:w="429" w:type="pct"/>
            <w:shd w:val="clear" w:color="auto" w:fill="auto"/>
          </w:tcPr>
          <w:p w:rsidR="007D17C5" w:rsidRPr="002B1A95" w:rsidRDefault="007D17C5" w:rsidP="009558BE">
            <w:pPr>
              <w:pStyle w:val="Tabletext"/>
            </w:pPr>
            <w:r w:rsidRPr="002B1A95">
              <w:t>30</w:t>
            </w:r>
          </w:p>
        </w:tc>
        <w:tc>
          <w:tcPr>
            <w:tcW w:w="2285" w:type="pct"/>
            <w:shd w:val="clear" w:color="auto" w:fill="auto"/>
          </w:tcPr>
          <w:p w:rsidR="007D17C5" w:rsidRPr="002B1A95" w:rsidRDefault="007D17C5" w:rsidP="009558BE">
            <w:pPr>
              <w:pStyle w:val="Tabletext"/>
            </w:pPr>
            <w:r w:rsidRPr="002B1A95">
              <w:rPr>
                <w:color w:val="000000"/>
              </w:rPr>
              <w:t>82</w:t>
            </w:r>
          </w:p>
        </w:tc>
        <w:tc>
          <w:tcPr>
            <w:tcW w:w="2286" w:type="pct"/>
            <w:shd w:val="clear" w:color="auto" w:fill="auto"/>
          </w:tcPr>
          <w:p w:rsidR="007D17C5" w:rsidRPr="002B1A95" w:rsidRDefault="007D17C5" w:rsidP="009558BE">
            <w:pPr>
              <w:pStyle w:val="Tabletext"/>
            </w:pPr>
            <w:r w:rsidRPr="002B1A95">
              <w:rPr>
                <w:color w:val="000000"/>
              </w:rPr>
              <w:t>0.077</w:t>
            </w:r>
          </w:p>
        </w:tc>
      </w:tr>
      <w:tr w:rsidR="007D17C5" w:rsidRPr="002B1A95" w:rsidTr="009558BE">
        <w:tc>
          <w:tcPr>
            <w:tcW w:w="429" w:type="pct"/>
            <w:shd w:val="clear" w:color="auto" w:fill="auto"/>
          </w:tcPr>
          <w:p w:rsidR="007D17C5" w:rsidRPr="002B1A95" w:rsidRDefault="007D17C5" w:rsidP="009558BE">
            <w:pPr>
              <w:pStyle w:val="Tabletext"/>
            </w:pPr>
            <w:r w:rsidRPr="002B1A95">
              <w:t>31</w:t>
            </w:r>
          </w:p>
        </w:tc>
        <w:tc>
          <w:tcPr>
            <w:tcW w:w="2285" w:type="pct"/>
            <w:shd w:val="clear" w:color="auto" w:fill="auto"/>
          </w:tcPr>
          <w:p w:rsidR="007D17C5" w:rsidRPr="002B1A95" w:rsidRDefault="007D17C5" w:rsidP="009558BE">
            <w:pPr>
              <w:pStyle w:val="Tabletext"/>
            </w:pPr>
            <w:r w:rsidRPr="002B1A95">
              <w:rPr>
                <w:color w:val="000000"/>
              </w:rPr>
              <w:t>83</w:t>
            </w:r>
          </w:p>
        </w:tc>
        <w:tc>
          <w:tcPr>
            <w:tcW w:w="2286" w:type="pct"/>
            <w:shd w:val="clear" w:color="auto" w:fill="auto"/>
          </w:tcPr>
          <w:p w:rsidR="007D17C5" w:rsidRPr="002B1A95" w:rsidRDefault="007D17C5" w:rsidP="009558BE">
            <w:pPr>
              <w:pStyle w:val="Tabletext"/>
            </w:pPr>
            <w:r w:rsidRPr="002B1A95">
              <w:rPr>
                <w:color w:val="000000"/>
              </w:rPr>
              <w:t>0.085</w:t>
            </w:r>
          </w:p>
        </w:tc>
      </w:tr>
      <w:tr w:rsidR="007D17C5" w:rsidRPr="002B1A95" w:rsidTr="009558BE">
        <w:tc>
          <w:tcPr>
            <w:tcW w:w="429" w:type="pct"/>
            <w:shd w:val="clear" w:color="auto" w:fill="auto"/>
          </w:tcPr>
          <w:p w:rsidR="007D17C5" w:rsidRPr="002B1A95" w:rsidRDefault="007D17C5" w:rsidP="009558BE">
            <w:pPr>
              <w:pStyle w:val="Tabletext"/>
            </w:pPr>
            <w:r w:rsidRPr="002B1A95">
              <w:t>32</w:t>
            </w:r>
          </w:p>
        </w:tc>
        <w:tc>
          <w:tcPr>
            <w:tcW w:w="2285" w:type="pct"/>
            <w:shd w:val="clear" w:color="auto" w:fill="auto"/>
          </w:tcPr>
          <w:p w:rsidR="007D17C5" w:rsidRPr="002B1A95" w:rsidRDefault="007D17C5" w:rsidP="009558BE">
            <w:pPr>
              <w:pStyle w:val="Tabletext"/>
            </w:pPr>
            <w:r w:rsidRPr="002B1A95">
              <w:rPr>
                <w:color w:val="000000"/>
              </w:rPr>
              <w:t>84</w:t>
            </w:r>
          </w:p>
        </w:tc>
        <w:tc>
          <w:tcPr>
            <w:tcW w:w="2286" w:type="pct"/>
            <w:shd w:val="clear" w:color="auto" w:fill="auto"/>
          </w:tcPr>
          <w:p w:rsidR="007D17C5" w:rsidRPr="002B1A95" w:rsidRDefault="007D17C5" w:rsidP="009558BE">
            <w:pPr>
              <w:pStyle w:val="Tabletext"/>
            </w:pPr>
            <w:r w:rsidRPr="002B1A95">
              <w:rPr>
                <w:color w:val="000000"/>
              </w:rPr>
              <w:t>0.095</w:t>
            </w:r>
          </w:p>
        </w:tc>
      </w:tr>
      <w:tr w:rsidR="007D17C5" w:rsidRPr="002B1A95" w:rsidTr="009558BE">
        <w:tc>
          <w:tcPr>
            <w:tcW w:w="429" w:type="pct"/>
            <w:shd w:val="clear" w:color="auto" w:fill="auto"/>
          </w:tcPr>
          <w:p w:rsidR="007D17C5" w:rsidRPr="002B1A95" w:rsidRDefault="007D17C5" w:rsidP="009558BE">
            <w:pPr>
              <w:pStyle w:val="Tabletext"/>
            </w:pPr>
            <w:r w:rsidRPr="002B1A95">
              <w:t>33</w:t>
            </w:r>
          </w:p>
        </w:tc>
        <w:tc>
          <w:tcPr>
            <w:tcW w:w="2285" w:type="pct"/>
            <w:shd w:val="clear" w:color="auto" w:fill="auto"/>
          </w:tcPr>
          <w:p w:rsidR="007D17C5" w:rsidRPr="002B1A95" w:rsidRDefault="007D17C5" w:rsidP="009558BE">
            <w:pPr>
              <w:pStyle w:val="Tabletext"/>
            </w:pPr>
            <w:r w:rsidRPr="002B1A95">
              <w:rPr>
                <w:color w:val="000000"/>
              </w:rPr>
              <w:t>85</w:t>
            </w:r>
          </w:p>
        </w:tc>
        <w:tc>
          <w:tcPr>
            <w:tcW w:w="2286" w:type="pct"/>
            <w:shd w:val="clear" w:color="auto" w:fill="auto"/>
          </w:tcPr>
          <w:p w:rsidR="007D17C5" w:rsidRPr="002B1A95" w:rsidRDefault="007D17C5" w:rsidP="009558BE">
            <w:pPr>
              <w:pStyle w:val="Tabletext"/>
            </w:pPr>
            <w:r w:rsidRPr="002B1A95">
              <w:rPr>
                <w:color w:val="000000"/>
              </w:rPr>
              <w:t>0.106</w:t>
            </w:r>
          </w:p>
        </w:tc>
      </w:tr>
      <w:tr w:rsidR="007D17C5" w:rsidRPr="002B1A95" w:rsidTr="009558BE">
        <w:tc>
          <w:tcPr>
            <w:tcW w:w="429" w:type="pct"/>
            <w:shd w:val="clear" w:color="auto" w:fill="auto"/>
          </w:tcPr>
          <w:p w:rsidR="007D17C5" w:rsidRPr="002B1A95" w:rsidRDefault="007D17C5" w:rsidP="009558BE">
            <w:pPr>
              <w:pStyle w:val="Tabletext"/>
            </w:pPr>
            <w:r w:rsidRPr="002B1A95">
              <w:t>34</w:t>
            </w:r>
          </w:p>
        </w:tc>
        <w:tc>
          <w:tcPr>
            <w:tcW w:w="2285" w:type="pct"/>
            <w:shd w:val="clear" w:color="auto" w:fill="auto"/>
          </w:tcPr>
          <w:p w:rsidR="007D17C5" w:rsidRPr="002B1A95" w:rsidRDefault="007D17C5" w:rsidP="009558BE">
            <w:pPr>
              <w:pStyle w:val="Tabletext"/>
            </w:pPr>
            <w:r w:rsidRPr="002B1A95">
              <w:rPr>
                <w:color w:val="000000"/>
              </w:rPr>
              <w:t>86</w:t>
            </w:r>
          </w:p>
        </w:tc>
        <w:tc>
          <w:tcPr>
            <w:tcW w:w="2286" w:type="pct"/>
            <w:shd w:val="clear" w:color="auto" w:fill="auto"/>
          </w:tcPr>
          <w:p w:rsidR="007D17C5" w:rsidRPr="002B1A95" w:rsidRDefault="007D17C5" w:rsidP="009558BE">
            <w:pPr>
              <w:pStyle w:val="Tabletext"/>
            </w:pPr>
            <w:r w:rsidRPr="002B1A95">
              <w:rPr>
                <w:color w:val="000000"/>
              </w:rPr>
              <w:t>0.116</w:t>
            </w:r>
          </w:p>
        </w:tc>
      </w:tr>
      <w:tr w:rsidR="007D17C5" w:rsidRPr="002B1A95" w:rsidTr="009558BE">
        <w:tc>
          <w:tcPr>
            <w:tcW w:w="429" w:type="pct"/>
            <w:shd w:val="clear" w:color="auto" w:fill="auto"/>
          </w:tcPr>
          <w:p w:rsidR="007D17C5" w:rsidRPr="002B1A95" w:rsidRDefault="007D17C5" w:rsidP="009558BE">
            <w:pPr>
              <w:pStyle w:val="Tabletext"/>
            </w:pPr>
            <w:r w:rsidRPr="002B1A95">
              <w:t>35</w:t>
            </w:r>
          </w:p>
        </w:tc>
        <w:tc>
          <w:tcPr>
            <w:tcW w:w="2285" w:type="pct"/>
            <w:shd w:val="clear" w:color="auto" w:fill="auto"/>
          </w:tcPr>
          <w:p w:rsidR="007D17C5" w:rsidRPr="002B1A95" w:rsidRDefault="007D17C5" w:rsidP="009558BE">
            <w:pPr>
              <w:pStyle w:val="Tabletext"/>
            </w:pPr>
            <w:r w:rsidRPr="002B1A95">
              <w:rPr>
                <w:color w:val="000000"/>
              </w:rPr>
              <w:t>87</w:t>
            </w:r>
          </w:p>
        </w:tc>
        <w:tc>
          <w:tcPr>
            <w:tcW w:w="2286" w:type="pct"/>
            <w:shd w:val="clear" w:color="auto" w:fill="auto"/>
          </w:tcPr>
          <w:p w:rsidR="007D17C5" w:rsidRPr="002B1A95" w:rsidRDefault="007D17C5" w:rsidP="009558BE">
            <w:pPr>
              <w:pStyle w:val="Tabletext"/>
            </w:pPr>
            <w:r w:rsidRPr="002B1A95">
              <w:rPr>
                <w:color w:val="000000"/>
              </w:rPr>
              <w:t>0.128</w:t>
            </w:r>
          </w:p>
        </w:tc>
      </w:tr>
      <w:tr w:rsidR="007D17C5" w:rsidRPr="002B1A95" w:rsidTr="009558BE">
        <w:tc>
          <w:tcPr>
            <w:tcW w:w="429" w:type="pct"/>
            <w:shd w:val="clear" w:color="auto" w:fill="auto"/>
          </w:tcPr>
          <w:p w:rsidR="007D17C5" w:rsidRPr="002B1A95" w:rsidRDefault="007D17C5" w:rsidP="009558BE">
            <w:pPr>
              <w:pStyle w:val="Tabletext"/>
            </w:pPr>
            <w:r w:rsidRPr="002B1A95">
              <w:t>36</w:t>
            </w:r>
          </w:p>
        </w:tc>
        <w:tc>
          <w:tcPr>
            <w:tcW w:w="2285" w:type="pct"/>
            <w:shd w:val="clear" w:color="auto" w:fill="auto"/>
          </w:tcPr>
          <w:p w:rsidR="007D17C5" w:rsidRPr="002B1A95" w:rsidRDefault="007D17C5" w:rsidP="009558BE">
            <w:pPr>
              <w:pStyle w:val="Tabletext"/>
            </w:pPr>
            <w:r w:rsidRPr="002B1A95">
              <w:rPr>
                <w:color w:val="000000"/>
              </w:rPr>
              <w:t>88</w:t>
            </w:r>
          </w:p>
        </w:tc>
        <w:tc>
          <w:tcPr>
            <w:tcW w:w="2286" w:type="pct"/>
            <w:shd w:val="clear" w:color="auto" w:fill="auto"/>
          </w:tcPr>
          <w:p w:rsidR="007D17C5" w:rsidRPr="002B1A95" w:rsidRDefault="007D17C5" w:rsidP="009558BE">
            <w:pPr>
              <w:pStyle w:val="Tabletext"/>
            </w:pPr>
            <w:r w:rsidRPr="002B1A95">
              <w:rPr>
                <w:color w:val="000000"/>
              </w:rPr>
              <w:t>0.139</w:t>
            </w:r>
          </w:p>
        </w:tc>
      </w:tr>
      <w:tr w:rsidR="007D17C5" w:rsidRPr="002B1A95" w:rsidTr="009558BE">
        <w:tc>
          <w:tcPr>
            <w:tcW w:w="429" w:type="pct"/>
            <w:shd w:val="clear" w:color="auto" w:fill="auto"/>
          </w:tcPr>
          <w:p w:rsidR="007D17C5" w:rsidRPr="002B1A95" w:rsidRDefault="007D17C5" w:rsidP="009558BE">
            <w:pPr>
              <w:pStyle w:val="Tabletext"/>
            </w:pPr>
            <w:r w:rsidRPr="002B1A95">
              <w:t>37</w:t>
            </w:r>
          </w:p>
        </w:tc>
        <w:tc>
          <w:tcPr>
            <w:tcW w:w="2285" w:type="pct"/>
            <w:shd w:val="clear" w:color="auto" w:fill="auto"/>
          </w:tcPr>
          <w:p w:rsidR="007D17C5" w:rsidRPr="002B1A95" w:rsidRDefault="007D17C5" w:rsidP="009558BE">
            <w:pPr>
              <w:pStyle w:val="Tabletext"/>
            </w:pPr>
            <w:r w:rsidRPr="002B1A95">
              <w:rPr>
                <w:color w:val="000000"/>
              </w:rPr>
              <w:t>89</w:t>
            </w:r>
          </w:p>
        </w:tc>
        <w:tc>
          <w:tcPr>
            <w:tcW w:w="2286" w:type="pct"/>
            <w:shd w:val="clear" w:color="auto" w:fill="auto"/>
          </w:tcPr>
          <w:p w:rsidR="007D17C5" w:rsidRPr="002B1A95" w:rsidRDefault="007D17C5" w:rsidP="009558BE">
            <w:pPr>
              <w:pStyle w:val="Tabletext"/>
            </w:pPr>
            <w:r w:rsidRPr="002B1A95">
              <w:rPr>
                <w:color w:val="000000"/>
              </w:rPr>
              <w:t>0.149</w:t>
            </w:r>
          </w:p>
        </w:tc>
      </w:tr>
      <w:tr w:rsidR="007D17C5" w:rsidRPr="002B1A95" w:rsidTr="009558BE">
        <w:tc>
          <w:tcPr>
            <w:tcW w:w="429" w:type="pct"/>
            <w:shd w:val="clear" w:color="auto" w:fill="auto"/>
          </w:tcPr>
          <w:p w:rsidR="007D17C5" w:rsidRPr="002B1A95" w:rsidRDefault="007D17C5" w:rsidP="009558BE">
            <w:pPr>
              <w:pStyle w:val="Tabletext"/>
            </w:pPr>
            <w:r w:rsidRPr="002B1A95">
              <w:t>38</w:t>
            </w:r>
          </w:p>
        </w:tc>
        <w:tc>
          <w:tcPr>
            <w:tcW w:w="2285" w:type="pct"/>
            <w:shd w:val="clear" w:color="auto" w:fill="auto"/>
          </w:tcPr>
          <w:p w:rsidR="007D17C5" w:rsidRPr="002B1A95" w:rsidRDefault="007D17C5" w:rsidP="009558BE">
            <w:pPr>
              <w:pStyle w:val="Tabletext"/>
            </w:pPr>
            <w:r w:rsidRPr="002B1A95">
              <w:rPr>
                <w:color w:val="000000"/>
              </w:rPr>
              <w:t>90</w:t>
            </w:r>
          </w:p>
        </w:tc>
        <w:tc>
          <w:tcPr>
            <w:tcW w:w="2286" w:type="pct"/>
            <w:shd w:val="clear" w:color="auto" w:fill="auto"/>
          </w:tcPr>
          <w:p w:rsidR="007D17C5" w:rsidRPr="002B1A95" w:rsidRDefault="007D17C5" w:rsidP="009558BE">
            <w:pPr>
              <w:pStyle w:val="Tabletext"/>
            </w:pPr>
            <w:r w:rsidRPr="002B1A95">
              <w:rPr>
                <w:color w:val="000000"/>
              </w:rPr>
              <w:t>0.159</w:t>
            </w:r>
          </w:p>
        </w:tc>
      </w:tr>
      <w:tr w:rsidR="007D17C5" w:rsidRPr="002B1A95" w:rsidTr="009558BE">
        <w:tc>
          <w:tcPr>
            <w:tcW w:w="429" w:type="pct"/>
            <w:shd w:val="clear" w:color="auto" w:fill="auto"/>
          </w:tcPr>
          <w:p w:rsidR="007D17C5" w:rsidRPr="002B1A95" w:rsidRDefault="007D17C5" w:rsidP="009558BE">
            <w:pPr>
              <w:pStyle w:val="Tabletext"/>
            </w:pPr>
            <w:r w:rsidRPr="002B1A95">
              <w:t>39</w:t>
            </w:r>
          </w:p>
        </w:tc>
        <w:tc>
          <w:tcPr>
            <w:tcW w:w="2285" w:type="pct"/>
            <w:shd w:val="clear" w:color="auto" w:fill="auto"/>
          </w:tcPr>
          <w:p w:rsidR="007D17C5" w:rsidRPr="002B1A95" w:rsidRDefault="007D17C5" w:rsidP="009558BE">
            <w:pPr>
              <w:pStyle w:val="Tabletext"/>
            </w:pPr>
            <w:r w:rsidRPr="002B1A95">
              <w:rPr>
                <w:color w:val="000000"/>
              </w:rPr>
              <w:t>91</w:t>
            </w:r>
          </w:p>
        </w:tc>
        <w:tc>
          <w:tcPr>
            <w:tcW w:w="2286" w:type="pct"/>
            <w:shd w:val="clear" w:color="auto" w:fill="auto"/>
          </w:tcPr>
          <w:p w:rsidR="007D17C5" w:rsidRPr="002B1A95" w:rsidRDefault="007D17C5" w:rsidP="009558BE">
            <w:pPr>
              <w:pStyle w:val="Tabletext"/>
            </w:pPr>
            <w:r w:rsidRPr="002B1A95">
              <w:rPr>
                <w:color w:val="000000"/>
              </w:rPr>
              <w:t>0.168</w:t>
            </w:r>
          </w:p>
        </w:tc>
      </w:tr>
      <w:tr w:rsidR="007D17C5" w:rsidRPr="002B1A95" w:rsidTr="009558BE">
        <w:tc>
          <w:tcPr>
            <w:tcW w:w="429" w:type="pct"/>
            <w:shd w:val="clear" w:color="auto" w:fill="auto"/>
          </w:tcPr>
          <w:p w:rsidR="007D17C5" w:rsidRPr="002B1A95" w:rsidRDefault="007D17C5" w:rsidP="009558BE">
            <w:pPr>
              <w:pStyle w:val="Tabletext"/>
            </w:pPr>
            <w:r w:rsidRPr="002B1A95">
              <w:t>40</w:t>
            </w:r>
          </w:p>
        </w:tc>
        <w:tc>
          <w:tcPr>
            <w:tcW w:w="2285" w:type="pct"/>
            <w:shd w:val="clear" w:color="auto" w:fill="auto"/>
          </w:tcPr>
          <w:p w:rsidR="007D17C5" w:rsidRPr="002B1A95" w:rsidRDefault="007D17C5" w:rsidP="009558BE">
            <w:pPr>
              <w:pStyle w:val="Tabletext"/>
            </w:pPr>
            <w:r w:rsidRPr="002B1A95">
              <w:rPr>
                <w:color w:val="000000"/>
              </w:rPr>
              <w:t>92</w:t>
            </w:r>
          </w:p>
        </w:tc>
        <w:tc>
          <w:tcPr>
            <w:tcW w:w="2286" w:type="pct"/>
            <w:shd w:val="clear" w:color="auto" w:fill="auto"/>
          </w:tcPr>
          <w:p w:rsidR="007D17C5" w:rsidRPr="002B1A95" w:rsidRDefault="007D17C5" w:rsidP="009558BE">
            <w:pPr>
              <w:pStyle w:val="Tabletext"/>
            </w:pPr>
            <w:r w:rsidRPr="002B1A95">
              <w:rPr>
                <w:color w:val="000000"/>
              </w:rPr>
              <w:t>0.176</w:t>
            </w:r>
          </w:p>
        </w:tc>
      </w:tr>
      <w:tr w:rsidR="007D17C5" w:rsidRPr="002B1A95" w:rsidTr="009558BE">
        <w:tc>
          <w:tcPr>
            <w:tcW w:w="429" w:type="pct"/>
            <w:shd w:val="clear" w:color="auto" w:fill="auto"/>
          </w:tcPr>
          <w:p w:rsidR="007D17C5" w:rsidRPr="002B1A95" w:rsidRDefault="007D17C5" w:rsidP="009558BE">
            <w:pPr>
              <w:pStyle w:val="Tabletext"/>
            </w:pPr>
            <w:r w:rsidRPr="002B1A95">
              <w:t>41</w:t>
            </w:r>
          </w:p>
        </w:tc>
        <w:tc>
          <w:tcPr>
            <w:tcW w:w="2285" w:type="pct"/>
            <w:shd w:val="clear" w:color="auto" w:fill="auto"/>
          </w:tcPr>
          <w:p w:rsidR="007D17C5" w:rsidRPr="002B1A95" w:rsidRDefault="007D17C5" w:rsidP="009558BE">
            <w:pPr>
              <w:pStyle w:val="Tabletext"/>
            </w:pPr>
            <w:r w:rsidRPr="002B1A95">
              <w:rPr>
                <w:color w:val="000000"/>
              </w:rPr>
              <w:t>93</w:t>
            </w:r>
          </w:p>
        </w:tc>
        <w:tc>
          <w:tcPr>
            <w:tcW w:w="2286" w:type="pct"/>
            <w:shd w:val="clear" w:color="auto" w:fill="auto"/>
          </w:tcPr>
          <w:p w:rsidR="007D17C5" w:rsidRPr="002B1A95" w:rsidRDefault="007D17C5" w:rsidP="009558BE">
            <w:pPr>
              <w:pStyle w:val="Tabletext"/>
            </w:pPr>
            <w:r w:rsidRPr="002B1A95">
              <w:rPr>
                <w:color w:val="000000"/>
              </w:rPr>
              <w:t>0.184</w:t>
            </w:r>
          </w:p>
        </w:tc>
      </w:tr>
      <w:tr w:rsidR="007D17C5" w:rsidRPr="002B1A95" w:rsidTr="009558BE">
        <w:tc>
          <w:tcPr>
            <w:tcW w:w="429" w:type="pct"/>
            <w:shd w:val="clear" w:color="auto" w:fill="auto"/>
          </w:tcPr>
          <w:p w:rsidR="007D17C5" w:rsidRPr="002B1A95" w:rsidRDefault="007D17C5" w:rsidP="009558BE">
            <w:pPr>
              <w:pStyle w:val="Tabletext"/>
            </w:pPr>
            <w:r w:rsidRPr="002B1A95">
              <w:t>42</w:t>
            </w:r>
          </w:p>
        </w:tc>
        <w:tc>
          <w:tcPr>
            <w:tcW w:w="2285" w:type="pct"/>
            <w:shd w:val="clear" w:color="auto" w:fill="auto"/>
          </w:tcPr>
          <w:p w:rsidR="007D17C5" w:rsidRPr="002B1A95" w:rsidRDefault="007D17C5" w:rsidP="009558BE">
            <w:pPr>
              <w:pStyle w:val="Tabletext"/>
            </w:pPr>
            <w:r w:rsidRPr="002B1A95">
              <w:rPr>
                <w:color w:val="000000"/>
              </w:rPr>
              <w:t>94</w:t>
            </w:r>
          </w:p>
        </w:tc>
        <w:tc>
          <w:tcPr>
            <w:tcW w:w="2286" w:type="pct"/>
            <w:shd w:val="clear" w:color="auto" w:fill="auto"/>
          </w:tcPr>
          <w:p w:rsidR="007D17C5" w:rsidRPr="002B1A95" w:rsidRDefault="007D17C5" w:rsidP="009558BE">
            <w:pPr>
              <w:pStyle w:val="Tabletext"/>
            </w:pPr>
            <w:r w:rsidRPr="002B1A95">
              <w:rPr>
                <w:color w:val="000000"/>
              </w:rPr>
              <w:t>0.193</w:t>
            </w:r>
          </w:p>
        </w:tc>
      </w:tr>
      <w:tr w:rsidR="007D17C5" w:rsidRPr="002B1A95" w:rsidTr="009558BE">
        <w:tc>
          <w:tcPr>
            <w:tcW w:w="429" w:type="pct"/>
            <w:shd w:val="clear" w:color="auto" w:fill="auto"/>
          </w:tcPr>
          <w:p w:rsidR="007D17C5" w:rsidRPr="002B1A95" w:rsidRDefault="007D17C5" w:rsidP="009558BE">
            <w:pPr>
              <w:pStyle w:val="Tabletext"/>
            </w:pPr>
            <w:r w:rsidRPr="002B1A95">
              <w:t>43</w:t>
            </w:r>
          </w:p>
        </w:tc>
        <w:tc>
          <w:tcPr>
            <w:tcW w:w="2285" w:type="pct"/>
            <w:shd w:val="clear" w:color="auto" w:fill="auto"/>
          </w:tcPr>
          <w:p w:rsidR="007D17C5" w:rsidRPr="002B1A95" w:rsidRDefault="007D17C5" w:rsidP="009558BE">
            <w:pPr>
              <w:pStyle w:val="Tabletext"/>
            </w:pPr>
            <w:r w:rsidRPr="002B1A95">
              <w:rPr>
                <w:color w:val="000000"/>
              </w:rPr>
              <w:t>95</w:t>
            </w:r>
          </w:p>
        </w:tc>
        <w:tc>
          <w:tcPr>
            <w:tcW w:w="2286" w:type="pct"/>
            <w:shd w:val="clear" w:color="auto" w:fill="auto"/>
          </w:tcPr>
          <w:p w:rsidR="007D17C5" w:rsidRPr="002B1A95" w:rsidRDefault="007D17C5" w:rsidP="009558BE">
            <w:pPr>
              <w:pStyle w:val="Tabletext"/>
            </w:pPr>
            <w:r w:rsidRPr="002B1A95">
              <w:rPr>
                <w:color w:val="000000"/>
              </w:rPr>
              <w:t>0.202</w:t>
            </w:r>
          </w:p>
        </w:tc>
      </w:tr>
      <w:tr w:rsidR="007D17C5" w:rsidRPr="002B1A95" w:rsidTr="009558BE">
        <w:tc>
          <w:tcPr>
            <w:tcW w:w="429" w:type="pct"/>
            <w:shd w:val="clear" w:color="auto" w:fill="auto"/>
          </w:tcPr>
          <w:p w:rsidR="007D17C5" w:rsidRPr="002B1A95" w:rsidRDefault="007D17C5" w:rsidP="009558BE">
            <w:pPr>
              <w:pStyle w:val="Tabletext"/>
            </w:pPr>
            <w:r w:rsidRPr="002B1A95">
              <w:t>44</w:t>
            </w:r>
          </w:p>
        </w:tc>
        <w:tc>
          <w:tcPr>
            <w:tcW w:w="2285" w:type="pct"/>
            <w:shd w:val="clear" w:color="auto" w:fill="auto"/>
          </w:tcPr>
          <w:p w:rsidR="007D17C5" w:rsidRPr="002B1A95" w:rsidRDefault="007D17C5" w:rsidP="009558BE">
            <w:pPr>
              <w:pStyle w:val="Tabletext"/>
            </w:pPr>
            <w:r w:rsidRPr="002B1A95">
              <w:rPr>
                <w:color w:val="000000"/>
              </w:rPr>
              <w:t>96</w:t>
            </w:r>
          </w:p>
        </w:tc>
        <w:tc>
          <w:tcPr>
            <w:tcW w:w="2286" w:type="pct"/>
            <w:shd w:val="clear" w:color="auto" w:fill="auto"/>
          </w:tcPr>
          <w:p w:rsidR="007D17C5" w:rsidRPr="002B1A95" w:rsidRDefault="007D17C5" w:rsidP="009558BE">
            <w:pPr>
              <w:pStyle w:val="Tabletext"/>
            </w:pPr>
            <w:r w:rsidRPr="002B1A95">
              <w:rPr>
                <w:color w:val="000000"/>
              </w:rPr>
              <w:t>0.211</w:t>
            </w:r>
          </w:p>
        </w:tc>
      </w:tr>
      <w:tr w:rsidR="007D17C5" w:rsidRPr="002B1A95" w:rsidTr="009558BE">
        <w:tc>
          <w:tcPr>
            <w:tcW w:w="429" w:type="pct"/>
            <w:shd w:val="clear" w:color="auto" w:fill="auto"/>
          </w:tcPr>
          <w:p w:rsidR="007D17C5" w:rsidRPr="002B1A95" w:rsidRDefault="007D17C5" w:rsidP="009558BE">
            <w:pPr>
              <w:pStyle w:val="Tabletext"/>
            </w:pPr>
            <w:r w:rsidRPr="002B1A95">
              <w:t>45</w:t>
            </w:r>
          </w:p>
        </w:tc>
        <w:tc>
          <w:tcPr>
            <w:tcW w:w="2285" w:type="pct"/>
            <w:shd w:val="clear" w:color="auto" w:fill="auto"/>
          </w:tcPr>
          <w:p w:rsidR="007D17C5" w:rsidRPr="002B1A95" w:rsidRDefault="007D17C5" w:rsidP="009558BE">
            <w:pPr>
              <w:pStyle w:val="Tabletext"/>
            </w:pPr>
            <w:r w:rsidRPr="002B1A95">
              <w:rPr>
                <w:color w:val="000000"/>
              </w:rPr>
              <w:t>97</w:t>
            </w:r>
          </w:p>
        </w:tc>
        <w:tc>
          <w:tcPr>
            <w:tcW w:w="2286" w:type="pct"/>
            <w:shd w:val="clear" w:color="auto" w:fill="auto"/>
          </w:tcPr>
          <w:p w:rsidR="007D17C5" w:rsidRPr="002B1A95" w:rsidRDefault="007D17C5" w:rsidP="009558BE">
            <w:pPr>
              <w:pStyle w:val="Tabletext"/>
            </w:pPr>
            <w:r w:rsidRPr="002B1A95">
              <w:rPr>
                <w:color w:val="000000"/>
              </w:rPr>
              <w:t>0.219</w:t>
            </w:r>
          </w:p>
        </w:tc>
      </w:tr>
      <w:tr w:rsidR="007D17C5" w:rsidRPr="002B1A95" w:rsidTr="009558BE">
        <w:tc>
          <w:tcPr>
            <w:tcW w:w="429" w:type="pct"/>
            <w:shd w:val="clear" w:color="auto" w:fill="auto"/>
          </w:tcPr>
          <w:p w:rsidR="007D17C5" w:rsidRPr="002B1A95" w:rsidRDefault="007D17C5" w:rsidP="009558BE">
            <w:pPr>
              <w:pStyle w:val="Tabletext"/>
            </w:pPr>
            <w:r w:rsidRPr="002B1A95">
              <w:t>46</w:t>
            </w:r>
          </w:p>
        </w:tc>
        <w:tc>
          <w:tcPr>
            <w:tcW w:w="2285" w:type="pct"/>
            <w:shd w:val="clear" w:color="auto" w:fill="auto"/>
          </w:tcPr>
          <w:p w:rsidR="007D17C5" w:rsidRPr="002B1A95" w:rsidRDefault="007D17C5" w:rsidP="009558BE">
            <w:pPr>
              <w:pStyle w:val="Tabletext"/>
            </w:pPr>
            <w:r w:rsidRPr="002B1A95">
              <w:rPr>
                <w:color w:val="000000"/>
              </w:rPr>
              <w:t>98</w:t>
            </w:r>
          </w:p>
        </w:tc>
        <w:tc>
          <w:tcPr>
            <w:tcW w:w="2286" w:type="pct"/>
            <w:shd w:val="clear" w:color="auto" w:fill="auto"/>
          </w:tcPr>
          <w:p w:rsidR="007D17C5" w:rsidRPr="002B1A95" w:rsidRDefault="007D17C5" w:rsidP="009558BE">
            <w:pPr>
              <w:pStyle w:val="Tabletext"/>
            </w:pPr>
            <w:r w:rsidRPr="002B1A95">
              <w:rPr>
                <w:color w:val="000000"/>
              </w:rPr>
              <w:t>0.228</w:t>
            </w:r>
          </w:p>
        </w:tc>
      </w:tr>
      <w:tr w:rsidR="007D17C5" w:rsidRPr="002B1A95" w:rsidTr="009558BE">
        <w:tc>
          <w:tcPr>
            <w:tcW w:w="429" w:type="pct"/>
            <w:tcBorders>
              <w:bottom w:val="single" w:sz="2" w:space="0" w:color="auto"/>
            </w:tcBorders>
            <w:shd w:val="clear" w:color="auto" w:fill="auto"/>
          </w:tcPr>
          <w:p w:rsidR="007D17C5" w:rsidRPr="002B1A95" w:rsidRDefault="007D17C5" w:rsidP="009558BE">
            <w:pPr>
              <w:pStyle w:val="Tabletext"/>
            </w:pPr>
            <w:r w:rsidRPr="002B1A95">
              <w:t>47</w:t>
            </w:r>
          </w:p>
        </w:tc>
        <w:tc>
          <w:tcPr>
            <w:tcW w:w="2285" w:type="pct"/>
            <w:tcBorders>
              <w:bottom w:val="single" w:sz="2" w:space="0" w:color="auto"/>
            </w:tcBorders>
            <w:shd w:val="clear" w:color="auto" w:fill="auto"/>
          </w:tcPr>
          <w:p w:rsidR="007D17C5" w:rsidRPr="002B1A95" w:rsidRDefault="007D17C5" w:rsidP="009558BE">
            <w:pPr>
              <w:pStyle w:val="Tabletext"/>
            </w:pPr>
            <w:r w:rsidRPr="002B1A95">
              <w:rPr>
                <w:color w:val="000000"/>
              </w:rPr>
              <w:t>99</w:t>
            </w:r>
          </w:p>
        </w:tc>
        <w:tc>
          <w:tcPr>
            <w:tcW w:w="2286" w:type="pct"/>
            <w:tcBorders>
              <w:bottom w:val="single" w:sz="2" w:space="0" w:color="auto"/>
            </w:tcBorders>
            <w:shd w:val="clear" w:color="auto" w:fill="auto"/>
          </w:tcPr>
          <w:p w:rsidR="007D17C5" w:rsidRPr="002B1A95" w:rsidRDefault="007D17C5" w:rsidP="009558BE">
            <w:pPr>
              <w:pStyle w:val="Tabletext"/>
            </w:pPr>
            <w:r w:rsidRPr="002B1A95">
              <w:rPr>
                <w:color w:val="000000"/>
              </w:rPr>
              <w:t>0.236</w:t>
            </w:r>
          </w:p>
        </w:tc>
      </w:tr>
      <w:tr w:rsidR="007D17C5" w:rsidRPr="002B1A95" w:rsidTr="009558BE">
        <w:tc>
          <w:tcPr>
            <w:tcW w:w="429" w:type="pct"/>
            <w:tcBorders>
              <w:top w:val="single" w:sz="2" w:space="0" w:color="auto"/>
              <w:bottom w:val="single" w:sz="12" w:space="0" w:color="auto"/>
            </w:tcBorders>
            <w:shd w:val="clear" w:color="auto" w:fill="auto"/>
          </w:tcPr>
          <w:p w:rsidR="007D17C5" w:rsidRPr="002B1A95" w:rsidRDefault="007D17C5" w:rsidP="009558BE">
            <w:pPr>
              <w:pStyle w:val="Tabletext"/>
            </w:pPr>
            <w:r w:rsidRPr="002B1A95">
              <w:t>48</w:t>
            </w:r>
          </w:p>
        </w:tc>
        <w:tc>
          <w:tcPr>
            <w:tcW w:w="2285" w:type="pct"/>
            <w:tcBorders>
              <w:top w:val="single" w:sz="2" w:space="0" w:color="auto"/>
              <w:bottom w:val="single" w:sz="12" w:space="0" w:color="auto"/>
            </w:tcBorders>
            <w:shd w:val="clear" w:color="auto" w:fill="auto"/>
          </w:tcPr>
          <w:p w:rsidR="007D17C5" w:rsidRPr="002B1A95" w:rsidRDefault="007D17C5" w:rsidP="009558BE">
            <w:pPr>
              <w:pStyle w:val="Tabletext"/>
            </w:pPr>
            <w:r w:rsidRPr="002B1A95">
              <w:rPr>
                <w:color w:val="000000"/>
              </w:rPr>
              <w:t>100</w:t>
            </w:r>
          </w:p>
        </w:tc>
        <w:tc>
          <w:tcPr>
            <w:tcW w:w="2286" w:type="pct"/>
            <w:tcBorders>
              <w:top w:val="single" w:sz="2" w:space="0" w:color="auto"/>
              <w:bottom w:val="single" w:sz="12" w:space="0" w:color="auto"/>
            </w:tcBorders>
            <w:shd w:val="clear" w:color="auto" w:fill="auto"/>
          </w:tcPr>
          <w:p w:rsidR="007D17C5" w:rsidRPr="002B1A95" w:rsidRDefault="007D17C5" w:rsidP="009558BE">
            <w:pPr>
              <w:pStyle w:val="Tabletext"/>
            </w:pPr>
            <w:r w:rsidRPr="002B1A95">
              <w:rPr>
                <w:color w:val="000000"/>
              </w:rPr>
              <w:t>1.000</w:t>
            </w:r>
          </w:p>
        </w:tc>
      </w:tr>
    </w:tbl>
    <w:p w:rsidR="007D17C5" w:rsidRPr="002B1A95" w:rsidRDefault="007D17C5" w:rsidP="007D17C5">
      <w:pPr>
        <w:pStyle w:val="ActHead5"/>
      </w:pPr>
      <w:bookmarkStart w:id="210" w:name="_Toc49765387"/>
      <w:r w:rsidRPr="00411C46">
        <w:rPr>
          <w:rStyle w:val="CharSectno"/>
        </w:rPr>
        <w:t>3.10</w:t>
      </w:r>
      <w:r w:rsidRPr="002B1A95">
        <w:t xml:space="preserve">  Taxed and untaxed benefits</w:t>
      </w:r>
      <w:bookmarkEnd w:id="210"/>
    </w:p>
    <w:p w:rsidR="007D17C5" w:rsidRPr="002B1A95" w:rsidRDefault="007D17C5" w:rsidP="007D17C5">
      <w:pPr>
        <w:pStyle w:val="subsection"/>
      </w:pPr>
      <w:r w:rsidRPr="002B1A95">
        <w:tab/>
      </w:r>
      <w:r w:rsidRPr="002B1A95">
        <w:tab/>
        <w:t>If the rules of the fund provide for benefits to be paid on either a taxed or an untaxed basis, the actuary is to assume that the employer component of the fund benefit is paid as a taxed benefit.</w:t>
      </w:r>
    </w:p>
    <w:p w:rsidR="007D17C5" w:rsidRPr="002B1A95" w:rsidRDefault="007D17C5" w:rsidP="007D17C5">
      <w:pPr>
        <w:pStyle w:val="notetext"/>
      </w:pPr>
      <w:r w:rsidRPr="002B1A95">
        <w:t>Note:</w:t>
      </w:r>
      <w:r w:rsidRPr="002B1A95">
        <w:tab/>
        <w:t>This situation applies to a small number of funds where the employer component of the fund benefit is generally met by a last</w:t>
      </w:r>
      <w:r w:rsidR="00782250">
        <w:noBreakHyphen/>
      </w:r>
      <w:r w:rsidRPr="002B1A95">
        <w:t>minute contribution to the superannuation fund.</w:t>
      </w:r>
    </w:p>
    <w:p w:rsidR="007D17C5" w:rsidRPr="002B1A95" w:rsidRDefault="007D17C5" w:rsidP="007D17C5">
      <w:pPr>
        <w:pStyle w:val="ActHead5"/>
      </w:pPr>
      <w:bookmarkStart w:id="211" w:name="_Toc49765388"/>
      <w:r w:rsidRPr="00411C46">
        <w:rPr>
          <w:rStyle w:val="CharSectno"/>
        </w:rPr>
        <w:t>3.11</w:t>
      </w:r>
      <w:r w:rsidRPr="002B1A95">
        <w:t xml:space="preserve">  Other assumptions to be set by the actuary</w:t>
      </w:r>
      <w:bookmarkEnd w:id="211"/>
    </w:p>
    <w:p w:rsidR="007D17C5" w:rsidRPr="002B1A95" w:rsidRDefault="007D17C5" w:rsidP="007D17C5">
      <w:pPr>
        <w:pStyle w:val="subsection"/>
      </w:pPr>
      <w:r w:rsidRPr="002B1A95">
        <w:rPr>
          <w:color w:val="000000"/>
        </w:rPr>
        <w:tab/>
        <w:t>(1)</w:t>
      </w:r>
      <w:r w:rsidRPr="002B1A95">
        <w:rPr>
          <w:color w:val="000000"/>
        </w:rPr>
        <w:tab/>
        <w:t>Any other assumptions which may be necessary are to be set by the actuary responsible for calculating the new entrant rate.</w:t>
      </w:r>
    </w:p>
    <w:p w:rsidR="007D17C5" w:rsidRPr="002B1A95" w:rsidRDefault="007D17C5" w:rsidP="007D17C5">
      <w:pPr>
        <w:pStyle w:val="subsection"/>
      </w:pPr>
      <w:r w:rsidRPr="002B1A95">
        <w:rPr>
          <w:color w:val="000000"/>
        </w:rPr>
        <w:tab/>
        <w:t>(2)</w:t>
      </w:r>
      <w:r w:rsidRPr="002B1A95">
        <w:rPr>
          <w:color w:val="000000"/>
        </w:rPr>
        <w:tab/>
        <w:t>The assumptions are to be based on the assumptions used in the most recent actuarial valuation of the fund, unless the actuary believes, having regard to the expected future experience of the fund, that they are no longer appropriate.</w:t>
      </w:r>
    </w:p>
    <w:p w:rsidR="007D17C5" w:rsidRPr="002B1A95" w:rsidRDefault="007D17C5" w:rsidP="007D17C5">
      <w:pPr>
        <w:pStyle w:val="subsection"/>
      </w:pPr>
      <w:r w:rsidRPr="002B1A95">
        <w:lastRenderedPageBreak/>
        <w:tab/>
        <w:t>(3)</w:t>
      </w:r>
      <w:r w:rsidRPr="002B1A95">
        <w:tab/>
        <w:t>If the actuary believes that the assumptions used in the most recent actuarial valuation are no longer appropriate, the assumptions should be set on a best estimate basis.</w:t>
      </w:r>
    </w:p>
    <w:p w:rsidR="007D17C5" w:rsidRPr="002B1A95" w:rsidRDefault="007D17C5" w:rsidP="007D17C5">
      <w:pPr>
        <w:pStyle w:val="ActHead2"/>
        <w:pageBreakBefore/>
      </w:pPr>
      <w:bookmarkStart w:id="212" w:name="_Toc49765389"/>
      <w:r w:rsidRPr="00411C46">
        <w:rPr>
          <w:rStyle w:val="CharPartNo"/>
        </w:rPr>
        <w:lastRenderedPageBreak/>
        <w:t>Part</w:t>
      </w:r>
      <w:r w:rsidR="002B1A95" w:rsidRPr="00411C46">
        <w:rPr>
          <w:rStyle w:val="CharPartNo"/>
        </w:rPr>
        <w:t> </w:t>
      </w:r>
      <w:r w:rsidRPr="00411C46">
        <w:rPr>
          <w:rStyle w:val="CharPartNo"/>
        </w:rPr>
        <w:t>4</w:t>
      </w:r>
      <w:r w:rsidRPr="002B1A95">
        <w:t>—</w:t>
      </w:r>
      <w:r w:rsidRPr="00411C46">
        <w:rPr>
          <w:rStyle w:val="CharPartText"/>
        </w:rPr>
        <w:t>Exercise of discretion to pay a benefit greater than the benefit assumed in calculating the new entrant rate</w:t>
      </w:r>
      <w:bookmarkEnd w:id="212"/>
    </w:p>
    <w:p w:rsidR="007D17C5" w:rsidRPr="00411C46" w:rsidRDefault="007D17C5" w:rsidP="007D17C5">
      <w:pPr>
        <w:pStyle w:val="Header"/>
      </w:pPr>
      <w:r w:rsidRPr="00411C46">
        <w:rPr>
          <w:rStyle w:val="CharDivNo"/>
        </w:rPr>
        <w:t xml:space="preserve"> </w:t>
      </w:r>
      <w:r w:rsidRPr="00411C46">
        <w:rPr>
          <w:rStyle w:val="CharDivText"/>
        </w:rPr>
        <w:t xml:space="preserve"> </w:t>
      </w:r>
    </w:p>
    <w:p w:rsidR="007D17C5" w:rsidRPr="002B1A95" w:rsidRDefault="007D17C5" w:rsidP="007D17C5">
      <w:pPr>
        <w:pStyle w:val="ActHead5"/>
      </w:pPr>
      <w:bookmarkStart w:id="213" w:name="_Toc49765390"/>
      <w:r w:rsidRPr="00411C46">
        <w:rPr>
          <w:rStyle w:val="CharSectno"/>
        </w:rPr>
        <w:t>4.1</w:t>
      </w:r>
      <w:r w:rsidRPr="002B1A95">
        <w:t xml:space="preserve">  Method of working out the increased exit benefit adjustment amount in the formula in clause 1.8</w:t>
      </w:r>
      <w:bookmarkEnd w:id="213"/>
    </w:p>
    <w:p w:rsidR="007D17C5" w:rsidRPr="002B1A95" w:rsidRDefault="007D17C5" w:rsidP="007D17C5">
      <w:pPr>
        <w:pStyle w:val="subsection"/>
      </w:pPr>
      <w:r w:rsidRPr="002B1A95">
        <w:tab/>
      </w:r>
      <w:r w:rsidRPr="002B1A95">
        <w:tab/>
        <w:t>For the purposes of the formula in clause 1.8:</w:t>
      </w:r>
    </w:p>
    <w:p w:rsidR="007D17C5" w:rsidRPr="002B1A95" w:rsidRDefault="007D17C5" w:rsidP="007D17C5">
      <w:pPr>
        <w:pStyle w:val="paragraph"/>
      </w:pPr>
      <w:r w:rsidRPr="002B1A95">
        <w:tab/>
        <w:t>(a)</w:t>
      </w:r>
      <w:r w:rsidRPr="002B1A95">
        <w:tab/>
        <w:t>for a financial year in which the trustee of the defined benefit fund pays, as a result of an exercise of a discretion, a benefit to the member on:</w:t>
      </w:r>
    </w:p>
    <w:p w:rsidR="007D17C5" w:rsidRPr="002B1A95" w:rsidRDefault="007D17C5" w:rsidP="007D17C5">
      <w:pPr>
        <w:pStyle w:val="paragraphsub"/>
      </w:pPr>
      <w:r w:rsidRPr="002B1A95">
        <w:tab/>
        <w:t>(i)</w:t>
      </w:r>
      <w:r w:rsidRPr="002B1A95">
        <w:tab/>
        <w:t>voluntary exit; or</w:t>
      </w:r>
    </w:p>
    <w:p w:rsidR="007D17C5" w:rsidRPr="002B1A95" w:rsidRDefault="007D17C5" w:rsidP="007D17C5">
      <w:pPr>
        <w:pStyle w:val="paragraphsub"/>
      </w:pPr>
      <w:r w:rsidRPr="002B1A95">
        <w:tab/>
        <w:t>(ii)</w:t>
      </w:r>
      <w:r w:rsidRPr="002B1A95">
        <w:tab/>
        <w:t>redundancy that is not bona fide;</w:t>
      </w:r>
    </w:p>
    <w:p w:rsidR="007D17C5" w:rsidRPr="002B1A95" w:rsidRDefault="007D17C5" w:rsidP="007D17C5">
      <w:pPr>
        <w:pStyle w:val="paragraph"/>
      </w:pPr>
      <w:r w:rsidRPr="002B1A95">
        <w:tab/>
      </w:r>
      <w:r w:rsidRPr="002B1A95">
        <w:tab/>
        <w:t xml:space="preserve">which exceeds the benefit assumed in calculating the new entrant rate for the benefit category to which the member belongs at the time the benefit is paid—the </w:t>
      </w:r>
      <w:r w:rsidRPr="002B1A95">
        <w:rPr>
          <w:b/>
          <w:i/>
        </w:rPr>
        <w:t>increased exit benefit adjustment amount</w:t>
      </w:r>
      <w:r w:rsidRPr="002B1A95">
        <w:t xml:space="preserve"> equals an amount worked out on advice from an actuary that represents the amount of the excess; and</w:t>
      </w:r>
    </w:p>
    <w:p w:rsidR="007D17C5" w:rsidRPr="002B1A95" w:rsidRDefault="007D17C5" w:rsidP="007D17C5">
      <w:pPr>
        <w:pStyle w:val="paragraph"/>
      </w:pPr>
      <w:r w:rsidRPr="002B1A95">
        <w:tab/>
        <w:t>(b)</w:t>
      </w:r>
      <w:r w:rsidRPr="002B1A95">
        <w:tab/>
        <w:t xml:space="preserve">for any other financial year—the </w:t>
      </w:r>
      <w:r w:rsidRPr="002B1A95">
        <w:rPr>
          <w:b/>
          <w:i/>
        </w:rPr>
        <w:t>increased exit benefit adjustment amount</w:t>
      </w:r>
      <w:r w:rsidRPr="002B1A95">
        <w:t xml:space="preserve"> equals zero.</w:t>
      </w:r>
    </w:p>
    <w:p w:rsidR="007D17C5" w:rsidRPr="002B1A95" w:rsidRDefault="007D17C5" w:rsidP="007D17C5">
      <w:pPr>
        <w:pStyle w:val="notetext"/>
      </w:pPr>
      <w:r w:rsidRPr="002B1A95">
        <w:t>Note:</w:t>
      </w:r>
      <w:r w:rsidRPr="002B1A95">
        <w:tab/>
        <w:t>If the trustee decides to pay an untaxed benefit rather than a taxed benefit, any excess of the amount of the untaxed benefit over the amount of the taxed benefit that would otherwise have been payable is not to be included in the increased exit benefit adjustment amount.</w:t>
      </w:r>
    </w:p>
    <w:p w:rsidR="007D17C5" w:rsidRPr="002B1A95" w:rsidRDefault="007D17C5" w:rsidP="007D17C5">
      <w:pPr>
        <w:pStyle w:val="ActHead2"/>
        <w:pageBreakBefore/>
      </w:pPr>
      <w:bookmarkStart w:id="214" w:name="_Toc49765391"/>
      <w:r w:rsidRPr="00411C46">
        <w:rPr>
          <w:rStyle w:val="CharPartNo"/>
        </w:rPr>
        <w:lastRenderedPageBreak/>
        <w:t>Part</w:t>
      </w:r>
      <w:r w:rsidR="002B1A95" w:rsidRPr="00411C46">
        <w:rPr>
          <w:rStyle w:val="CharPartNo"/>
        </w:rPr>
        <w:t> </w:t>
      </w:r>
      <w:r w:rsidRPr="00411C46">
        <w:rPr>
          <w:rStyle w:val="CharPartNo"/>
        </w:rPr>
        <w:t>5</w:t>
      </w:r>
      <w:r w:rsidRPr="002B1A95">
        <w:t>—</w:t>
      </w:r>
      <w:r w:rsidRPr="00411C46">
        <w:rPr>
          <w:rStyle w:val="CharPartText"/>
        </w:rPr>
        <w:t>Member has changed benefit category</w:t>
      </w:r>
      <w:bookmarkEnd w:id="214"/>
    </w:p>
    <w:p w:rsidR="007D17C5" w:rsidRPr="00411C46" w:rsidRDefault="007D17C5" w:rsidP="007D17C5">
      <w:pPr>
        <w:pStyle w:val="Header"/>
      </w:pPr>
      <w:r w:rsidRPr="00411C46">
        <w:rPr>
          <w:rStyle w:val="CharDivNo"/>
        </w:rPr>
        <w:t xml:space="preserve"> </w:t>
      </w:r>
      <w:r w:rsidRPr="00411C46">
        <w:rPr>
          <w:rStyle w:val="CharDivText"/>
        </w:rPr>
        <w:t xml:space="preserve"> </w:t>
      </w:r>
    </w:p>
    <w:p w:rsidR="007D17C5" w:rsidRPr="002B1A95" w:rsidRDefault="007D17C5" w:rsidP="007D17C5">
      <w:pPr>
        <w:pStyle w:val="ActHead5"/>
      </w:pPr>
      <w:bookmarkStart w:id="215" w:name="_Toc49765392"/>
      <w:r w:rsidRPr="00411C46">
        <w:rPr>
          <w:rStyle w:val="CharSectno"/>
        </w:rPr>
        <w:t>5.1</w:t>
      </w:r>
      <w:r w:rsidRPr="002B1A95">
        <w:t xml:space="preserve">  Method of working out the</w:t>
      </w:r>
      <w:r w:rsidRPr="002B1A95">
        <w:rPr>
          <w:color w:val="000000"/>
        </w:rPr>
        <w:t xml:space="preserve"> </w:t>
      </w:r>
      <w:r w:rsidRPr="002B1A95">
        <w:t>category change or discretion adjustment amount in the formula in clause 1.8</w:t>
      </w:r>
      <w:bookmarkEnd w:id="215"/>
    </w:p>
    <w:p w:rsidR="007D17C5" w:rsidRPr="002B1A95" w:rsidRDefault="007D17C5" w:rsidP="007D17C5">
      <w:pPr>
        <w:pStyle w:val="subsection"/>
      </w:pPr>
      <w:r w:rsidRPr="002B1A95">
        <w:tab/>
        <w:t>(1)</w:t>
      </w:r>
      <w:r w:rsidRPr="002B1A95">
        <w:tab/>
        <w:t>For the purposes of the formula in clause 1.8:</w:t>
      </w:r>
    </w:p>
    <w:p w:rsidR="007D17C5" w:rsidRPr="002B1A95" w:rsidRDefault="007D17C5" w:rsidP="007D17C5">
      <w:pPr>
        <w:pStyle w:val="paragraph"/>
      </w:pPr>
      <w:r w:rsidRPr="002B1A95">
        <w:tab/>
        <w:t>(a)</w:t>
      </w:r>
      <w:r w:rsidRPr="002B1A95">
        <w:tab/>
        <w:t>for a financial year in which the member’s accrued retirement benefit increases as a result of:</w:t>
      </w:r>
    </w:p>
    <w:p w:rsidR="007D17C5" w:rsidRPr="002B1A95" w:rsidRDefault="007D17C5" w:rsidP="007D17C5">
      <w:pPr>
        <w:pStyle w:val="paragraphsub"/>
      </w:pPr>
      <w:r w:rsidRPr="002B1A95">
        <w:tab/>
        <w:t>(i)</w:t>
      </w:r>
      <w:r w:rsidRPr="002B1A95">
        <w:tab/>
        <w:t>a change of benefit category; or</w:t>
      </w:r>
    </w:p>
    <w:p w:rsidR="007D17C5" w:rsidRPr="002B1A95" w:rsidRDefault="007D17C5" w:rsidP="007D17C5">
      <w:pPr>
        <w:pStyle w:val="paragraphsub"/>
      </w:pPr>
      <w:r w:rsidRPr="002B1A95">
        <w:tab/>
        <w:t>(ii)</w:t>
      </w:r>
      <w:r w:rsidRPr="002B1A95">
        <w:tab/>
        <w:t>an exercise of discretion;</w:t>
      </w:r>
    </w:p>
    <w:p w:rsidR="007D17C5" w:rsidRPr="002B1A95" w:rsidRDefault="007D17C5" w:rsidP="007D17C5">
      <w:pPr>
        <w:pStyle w:val="paragraph"/>
      </w:pPr>
      <w:r w:rsidRPr="002B1A95">
        <w:rPr>
          <w:color w:val="000000"/>
        </w:rPr>
        <w:tab/>
      </w:r>
      <w:r w:rsidRPr="002B1A95">
        <w:rPr>
          <w:color w:val="000000"/>
        </w:rPr>
        <w:tab/>
        <w:t xml:space="preserve">the </w:t>
      </w:r>
      <w:r w:rsidRPr="002B1A95">
        <w:rPr>
          <w:b/>
          <w:i/>
        </w:rPr>
        <w:t>category change or discretion adjustment amount</w:t>
      </w:r>
      <w:r w:rsidRPr="002B1A95">
        <w:rPr>
          <w:color w:val="000000"/>
        </w:rPr>
        <w:t xml:space="preserve"> </w:t>
      </w:r>
      <w:r w:rsidRPr="002B1A95">
        <w:t>equals an amount worked out on advice from an actuary that represents the increase in the value of the accrued retirement benefit, if any, as a result of the change in benefit category or the exercise of the discretion; and</w:t>
      </w:r>
    </w:p>
    <w:p w:rsidR="007D17C5" w:rsidRPr="002B1A95" w:rsidRDefault="007D17C5" w:rsidP="007D17C5">
      <w:pPr>
        <w:pStyle w:val="paragraph"/>
      </w:pPr>
      <w:r w:rsidRPr="002B1A95">
        <w:rPr>
          <w:color w:val="000000"/>
        </w:rPr>
        <w:tab/>
        <w:t>(b)</w:t>
      </w:r>
      <w:r w:rsidRPr="002B1A95">
        <w:rPr>
          <w:color w:val="000000"/>
        </w:rPr>
        <w:tab/>
        <w:t xml:space="preserve">for any other financial year—the </w:t>
      </w:r>
      <w:r w:rsidRPr="002B1A95">
        <w:rPr>
          <w:b/>
          <w:i/>
        </w:rPr>
        <w:t>category change or discretion adjustment amount</w:t>
      </w:r>
      <w:r w:rsidRPr="002B1A95">
        <w:rPr>
          <w:color w:val="000000"/>
        </w:rPr>
        <w:t xml:space="preserve"> equals zero.</w:t>
      </w:r>
    </w:p>
    <w:p w:rsidR="007D17C5" w:rsidRPr="002B1A95" w:rsidRDefault="007D17C5" w:rsidP="007D17C5">
      <w:pPr>
        <w:pStyle w:val="subsection"/>
      </w:pPr>
      <w:r w:rsidRPr="002B1A95">
        <w:rPr>
          <w:i/>
        </w:rPr>
        <w:tab/>
      </w:r>
      <w:r w:rsidRPr="002B1A95">
        <w:t>(2)</w:t>
      </w:r>
      <w:r w:rsidRPr="002B1A95">
        <w:tab/>
        <w:t xml:space="preserve">The economic, </w:t>
      </w:r>
      <w:r w:rsidRPr="002B1A95">
        <w:rPr>
          <w:color w:val="000000"/>
        </w:rPr>
        <w:t xml:space="preserve">decrement and other parameters </w:t>
      </w:r>
      <w:r w:rsidRPr="002B1A95">
        <w:t>and the</w:t>
      </w:r>
      <w:r w:rsidRPr="002B1A95">
        <w:rPr>
          <w:i/>
        </w:rPr>
        <w:t xml:space="preserve"> </w:t>
      </w:r>
      <w:r w:rsidRPr="002B1A95">
        <w:t>other assumptions to be used are set out in Part</w:t>
      </w:r>
      <w:r w:rsidR="002B1A95" w:rsidRPr="002B1A95">
        <w:t> </w:t>
      </w:r>
      <w:r w:rsidRPr="002B1A95">
        <w:t>3.</w:t>
      </w:r>
    </w:p>
    <w:p w:rsidR="007D17C5" w:rsidRPr="002B1A95" w:rsidRDefault="007D17C5" w:rsidP="007D17C5">
      <w:pPr>
        <w:pStyle w:val="ActHead2"/>
        <w:pageBreakBefore/>
      </w:pPr>
      <w:bookmarkStart w:id="216" w:name="_Toc49765393"/>
      <w:r w:rsidRPr="00411C46">
        <w:rPr>
          <w:rStyle w:val="CharPartNo"/>
        </w:rPr>
        <w:lastRenderedPageBreak/>
        <w:t>Part</w:t>
      </w:r>
      <w:r w:rsidR="002B1A95" w:rsidRPr="00411C46">
        <w:rPr>
          <w:rStyle w:val="CharPartNo"/>
        </w:rPr>
        <w:t> </w:t>
      </w:r>
      <w:r w:rsidRPr="00411C46">
        <w:rPr>
          <w:rStyle w:val="CharPartNo"/>
        </w:rPr>
        <w:t>6</w:t>
      </w:r>
      <w:r w:rsidRPr="002B1A95">
        <w:t>—</w:t>
      </w:r>
      <w:r w:rsidRPr="00411C46">
        <w:rPr>
          <w:rStyle w:val="CharPartText"/>
        </w:rPr>
        <w:t>Governing rules have changed</w:t>
      </w:r>
      <w:bookmarkEnd w:id="216"/>
    </w:p>
    <w:p w:rsidR="007D17C5" w:rsidRPr="00411C46" w:rsidRDefault="007D17C5" w:rsidP="007D17C5">
      <w:pPr>
        <w:pStyle w:val="Header"/>
      </w:pPr>
      <w:r w:rsidRPr="00411C46">
        <w:rPr>
          <w:rStyle w:val="CharDivNo"/>
        </w:rPr>
        <w:t xml:space="preserve"> </w:t>
      </w:r>
      <w:r w:rsidRPr="00411C46">
        <w:rPr>
          <w:rStyle w:val="CharDivText"/>
        </w:rPr>
        <w:t xml:space="preserve"> </w:t>
      </w:r>
    </w:p>
    <w:p w:rsidR="007D17C5" w:rsidRPr="002B1A95" w:rsidRDefault="007D17C5" w:rsidP="007D17C5">
      <w:pPr>
        <w:pStyle w:val="ActHead5"/>
      </w:pPr>
      <w:bookmarkStart w:id="217" w:name="_Toc49765394"/>
      <w:r w:rsidRPr="00411C46">
        <w:rPr>
          <w:rStyle w:val="CharSectno"/>
        </w:rPr>
        <w:t>6.1</w:t>
      </w:r>
      <w:r w:rsidRPr="002B1A95">
        <w:t xml:space="preserve">  Method of working out governing rules change adjustment amount in the formula in clause 1.8</w:t>
      </w:r>
      <w:bookmarkEnd w:id="217"/>
    </w:p>
    <w:p w:rsidR="007D17C5" w:rsidRPr="002B1A95" w:rsidRDefault="007D17C5" w:rsidP="007D17C5">
      <w:pPr>
        <w:pStyle w:val="subsection"/>
      </w:pPr>
      <w:r w:rsidRPr="002B1A95">
        <w:tab/>
        <w:t>(1)</w:t>
      </w:r>
      <w:r w:rsidRPr="002B1A95">
        <w:tab/>
        <w:t>For the purposes of the formula in clause 1.8:</w:t>
      </w:r>
    </w:p>
    <w:p w:rsidR="007D17C5" w:rsidRPr="002B1A95" w:rsidRDefault="007D17C5" w:rsidP="007D17C5">
      <w:pPr>
        <w:pStyle w:val="paragraph"/>
      </w:pPr>
      <w:r w:rsidRPr="002B1A95">
        <w:tab/>
        <w:t>(a)</w:t>
      </w:r>
      <w:r w:rsidRPr="002B1A95">
        <w:tab/>
        <w:t>for a financial year in which there is an amendment of the governing rules (within the meaning of subsection</w:t>
      </w:r>
      <w:r w:rsidR="002B1A95" w:rsidRPr="002B1A95">
        <w:t> </w:t>
      </w:r>
      <w:r w:rsidRPr="002B1A95">
        <w:t>10(1) of the SIS Act)</w:t>
      </w:r>
      <w:r w:rsidRPr="002B1A95">
        <w:rPr>
          <w:i/>
        </w:rPr>
        <w:t xml:space="preserve"> </w:t>
      </w:r>
      <w:r w:rsidRPr="002B1A95">
        <w:t>of the defined benefit fund that:</w:t>
      </w:r>
    </w:p>
    <w:p w:rsidR="007D17C5" w:rsidRPr="002B1A95" w:rsidRDefault="007D17C5" w:rsidP="007D17C5">
      <w:pPr>
        <w:pStyle w:val="paragraphsub"/>
      </w:pPr>
      <w:r w:rsidRPr="002B1A95">
        <w:tab/>
        <w:t>(i)</w:t>
      </w:r>
      <w:r w:rsidRPr="002B1A95">
        <w:tab/>
        <w:t>may result in an increase in the member’s benefit; and</w:t>
      </w:r>
    </w:p>
    <w:p w:rsidR="007D17C5" w:rsidRPr="002B1A95" w:rsidRDefault="007D17C5" w:rsidP="007D17C5">
      <w:pPr>
        <w:pStyle w:val="paragraphsub"/>
      </w:pPr>
      <w:r w:rsidRPr="002B1A95">
        <w:tab/>
        <w:t>(ii)</w:t>
      </w:r>
      <w:r w:rsidRPr="002B1A95">
        <w:tab/>
        <w:t>is made for a reason other than to satisfy a legislative requirement;</w:t>
      </w:r>
    </w:p>
    <w:p w:rsidR="007D17C5" w:rsidRPr="002B1A95" w:rsidRDefault="007D17C5" w:rsidP="007D17C5">
      <w:pPr>
        <w:pStyle w:val="paragraph"/>
        <w:rPr>
          <w:color w:val="000000"/>
        </w:rPr>
      </w:pPr>
      <w:r w:rsidRPr="002B1A95">
        <w:tab/>
      </w:r>
      <w:r w:rsidRPr="002B1A95">
        <w:tab/>
        <w:t xml:space="preserve">the </w:t>
      </w:r>
      <w:r w:rsidRPr="002B1A95">
        <w:rPr>
          <w:b/>
          <w:i/>
        </w:rPr>
        <w:t>governing rules change adjustment amount</w:t>
      </w:r>
      <w:r w:rsidRPr="002B1A95">
        <w:t xml:space="preserve"> equals </w:t>
      </w:r>
      <w:r w:rsidRPr="002B1A95">
        <w:rPr>
          <w:color w:val="000000"/>
        </w:rPr>
        <w:t>an amount worked out on advice from an actuary that represents the increase in the value of the accrued retirement benefit, if any, that accrued to the member as a result of the amendment to the governing rules; and</w:t>
      </w:r>
    </w:p>
    <w:p w:rsidR="007D17C5" w:rsidRPr="002B1A95" w:rsidRDefault="007D17C5" w:rsidP="007D17C5">
      <w:pPr>
        <w:pStyle w:val="paragraph"/>
      </w:pPr>
      <w:r w:rsidRPr="002B1A95">
        <w:rPr>
          <w:color w:val="000000"/>
        </w:rPr>
        <w:tab/>
        <w:t>(b)</w:t>
      </w:r>
      <w:r w:rsidRPr="002B1A95">
        <w:rPr>
          <w:color w:val="000000"/>
        </w:rPr>
        <w:tab/>
        <w:t xml:space="preserve">for any other financial year—the </w:t>
      </w:r>
      <w:r w:rsidRPr="002B1A95">
        <w:rPr>
          <w:b/>
          <w:i/>
        </w:rPr>
        <w:t>governing rules change adjustment amount</w:t>
      </w:r>
      <w:r w:rsidRPr="002B1A95">
        <w:t xml:space="preserve"> equals zero.</w:t>
      </w:r>
    </w:p>
    <w:p w:rsidR="007D17C5" w:rsidRPr="002B1A95" w:rsidRDefault="007D17C5" w:rsidP="007D17C5">
      <w:pPr>
        <w:pStyle w:val="subsection"/>
      </w:pPr>
      <w:r w:rsidRPr="002B1A95">
        <w:tab/>
        <w:t>(2)</w:t>
      </w:r>
      <w:r w:rsidRPr="002B1A95">
        <w:tab/>
        <w:t xml:space="preserve">The economic, </w:t>
      </w:r>
      <w:r w:rsidRPr="002B1A95">
        <w:rPr>
          <w:color w:val="000000"/>
        </w:rPr>
        <w:t>decrement and other parameters</w:t>
      </w:r>
      <w:r w:rsidRPr="002B1A95">
        <w:t xml:space="preserve"> and the other assumptions to be used are set out in Part</w:t>
      </w:r>
      <w:r w:rsidR="002B1A95" w:rsidRPr="002B1A95">
        <w:t> </w:t>
      </w:r>
      <w:r w:rsidRPr="002B1A95">
        <w:t>3.</w:t>
      </w:r>
    </w:p>
    <w:p w:rsidR="007D17C5" w:rsidRPr="002B1A95" w:rsidRDefault="007D17C5" w:rsidP="007D17C5">
      <w:pPr>
        <w:pStyle w:val="ActHead2"/>
        <w:pageBreakBefore/>
      </w:pPr>
      <w:bookmarkStart w:id="218" w:name="_Toc49765395"/>
      <w:r w:rsidRPr="00411C46">
        <w:rPr>
          <w:rStyle w:val="CharPartNo"/>
        </w:rPr>
        <w:lastRenderedPageBreak/>
        <w:t>Part</w:t>
      </w:r>
      <w:r w:rsidR="002B1A95" w:rsidRPr="00411C46">
        <w:rPr>
          <w:rStyle w:val="CharPartNo"/>
        </w:rPr>
        <w:t> </w:t>
      </w:r>
      <w:r w:rsidRPr="00411C46">
        <w:rPr>
          <w:rStyle w:val="CharPartNo"/>
        </w:rPr>
        <w:t>7</w:t>
      </w:r>
      <w:r w:rsidRPr="002B1A95">
        <w:t>—</w:t>
      </w:r>
      <w:r w:rsidRPr="00411C46">
        <w:rPr>
          <w:rStyle w:val="CharPartText"/>
        </w:rPr>
        <w:t>Non</w:t>
      </w:r>
      <w:r w:rsidR="00782250" w:rsidRPr="00411C46">
        <w:rPr>
          <w:rStyle w:val="CharPartText"/>
        </w:rPr>
        <w:noBreakHyphen/>
      </w:r>
      <w:r w:rsidRPr="00411C46">
        <w:rPr>
          <w:rStyle w:val="CharPartText"/>
        </w:rPr>
        <w:t>arm’s length increase in superannuation salary</w:t>
      </w:r>
      <w:bookmarkEnd w:id="218"/>
    </w:p>
    <w:p w:rsidR="007D17C5" w:rsidRPr="00411C46" w:rsidRDefault="007D17C5" w:rsidP="007D17C5">
      <w:pPr>
        <w:pStyle w:val="Header"/>
      </w:pPr>
      <w:r w:rsidRPr="00411C46">
        <w:rPr>
          <w:rStyle w:val="CharDivNo"/>
        </w:rPr>
        <w:t xml:space="preserve"> </w:t>
      </w:r>
      <w:r w:rsidRPr="00411C46">
        <w:rPr>
          <w:rStyle w:val="CharDivText"/>
        </w:rPr>
        <w:t xml:space="preserve"> </w:t>
      </w:r>
    </w:p>
    <w:p w:rsidR="007D17C5" w:rsidRPr="002B1A95" w:rsidRDefault="007D17C5" w:rsidP="007D17C5">
      <w:pPr>
        <w:pStyle w:val="ActHead5"/>
      </w:pPr>
      <w:bookmarkStart w:id="219" w:name="_Toc49765396"/>
      <w:r w:rsidRPr="00411C46">
        <w:rPr>
          <w:rStyle w:val="CharSectno"/>
        </w:rPr>
        <w:t>7.1</w:t>
      </w:r>
      <w:r w:rsidRPr="002B1A95">
        <w:t xml:space="preserve">  Method of working out the increased superannuation salary adjustment amount</w:t>
      </w:r>
      <w:r w:rsidRPr="002B1A95">
        <w:rPr>
          <w:b w:val="0"/>
          <w:i/>
        </w:rPr>
        <w:t xml:space="preserve"> </w:t>
      </w:r>
      <w:r w:rsidRPr="002B1A95">
        <w:t>in the formula in clause 1.8</w:t>
      </w:r>
      <w:bookmarkEnd w:id="219"/>
    </w:p>
    <w:p w:rsidR="007D17C5" w:rsidRPr="002B1A95" w:rsidRDefault="007D17C5" w:rsidP="007D17C5">
      <w:pPr>
        <w:pStyle w:val="subsection"/>
      </w:pPr>
      <w:r w:rsidRPr="002B1A95">
        <w:tab/>
        <w:t>(1)</w:t>
      </w:r>
      <w:r w:rsidRPr="002B1A95">
        <w:tab/>
        <w:t>For the purposes of the formula in clause 1.8:</w:t>
      </w:r>
    </w:p>
    <w:p w:rsidR="007D17C5" w:rsidRPr="002B1A95" w:rsidRDefault="007D17C5" w:rsidP="007D17C5">
      <w:pPr>
        <w:pStyle w:val="paragraph"/>
      </w:pPr>
      <w:r w:rsidRPr="002B1A95">
        <w:tab/>
        <w:t>(a)</w:t>
      </w:r>
      <w:r w:rsidRPr="002B1A95">
        <w:tab/>
        <w:t xml:space="preserve">for a financial year in which the member’s </w:t>
      </w:r>
      <w:r w:rsidRPr="002B1A95">
        <w:rPr>
          <w:color w:val="000000"/>
        </w:rPr>
        <w:t>superannuation salary is increased in a non</w:t>
      </w:r>
      <w:r w:rsidR="00782250">
        <w:rPr>
          <w:color w:val="000000"/>
        </w:rPr>
        <w:noBreakHyphen/>
      </w:r>
      <w:r w:rsidRPr="002B1A95">
        <w:rPr>
          <w:color w:val="000000"/>
        </w:rPr>
        <w:t xml:space="preserve">arm’s length way with the primary purpose of achieving an increase in superannuation benefit—the </w:t>
      </w:r>
      <w:r w:rsidRPr="002B1A95">
        <w:rPr>
          <w:b/>
          <w:i/>
          <w:color w:val="000000"/>
        </w:rPr>
        <w:t>increased superannuation salary adjustment amount</w:t>
      </w:r>
      <w:r w:rsidRPr="002B1A95">
        <w:rPr>
          <w:color w:val="000000"/>
        </w:rPr>
        <w:t xml:space="preserve"> equals a</w:t>
      </w:r>
      <w:r w:rsidRPr="002B1A95">
        <w:t>n amount worked out on advice from an actuary that represents the increase in the value of the accrued retirement benefit, if any, that accrued to the member as a result of the change in superannuation salary; and</w:t>
      </w:r>
    </w:p>
    <w:p w:rsidR="007D17C5" w:rsidRPr="002B1A95" w:rsidRDefault="007D17C5" w:rsidP="007D17C5">
      <w:pPr>
        <w:pStyle w:val="paragraph"/>
        <w:rPr>
          <w:b/>
          <w:i/>
        </w:rPr>
      </w:pPr>
      <w:r w:rsidRPr="002B1A95">
        <w:tab/>
        <w:t>(b)</w:t>
      </w:r>
      <w:r w:rsidRPr="002B1A95">
        <w:tab/>
        <w:t xml:space="preserve">for any other financial year—the </w:t>
      </w:r>
      <w:r w:rsidRPr="002B1A95">
        <w:rPr>
          <w:b/>
          <w:i/>
        </w:rPr>
        <w:t>increased superannuation salary adjustment amount</w:t>
      </w:r>
      <w:r w:rsidRPr="002B1A95">
        <w:rPr>
          <w:color w:val="000000"/>
        </w:rPr>
        <w:t xml:space="preserve"> equals zero.</w:t>
      </w:r>
    </w:p>
    <w:p w:rsidR="007D17C5" w:rsidRPr="002B1A95" w:rsidRDefault="007D17C5" w:rsidP="007D17C5">
      <w:pPr>
        <w:pStyle w:val="subsection"/>
      </w:pPr>
      <w:r w:rsidRPr="002B1A95">
        <w:tab/>
        <w:t>(2)</w:t>
      </w:r>
      <w:r w:rsidRPr="002B1A95">
        <w:tab/>
        <w:t>The economic</w:t>
      </w:r>
      <w:r w:rsidRPr="002B1A95">
        <w:rPr>
          <w:i/>
          <w:color w:val="000000"/>
        </w:rPr>
        <w:t xml:space="preserve">, </w:t>
      </w:r>
      <w:r w:rsidRPr="002B1A95">
        <w:rPr>
          <w:color w:val="000000"/>
        </w:rPr>
        <w:t>decrement and other parameters</w:t>
      </w:r>
      <w:r w:rsidRPr="002B1A95">
        <w:t xml:space="preserve"> and the other assumptions to be used are set out in Part</w:t>
      </w:r>
      <w:r w:rsidR="002B1A95" w:rsidRPr="002B1A95">
        <w:t> </w:t>
      </w:r>
      <w:r w:rsidRPr="002B1A95">
        <w:t>3.</w:t>
      </w:r>
    </w:p>
    <w:p w:rsidR="007D17C5" w:rsidRPr="002B1A95" w:rsidRDefault="007D17C5" w:rsidP="00E95BBE">
      <w:pPr>
        <w:pStyle w:val="ActHead1"/>
        <w:pageBreakBefore/>
      </w:pPr>
      <w:bookmarkStart w:id="220" w:name="_Toc49765397"/>
      <w:r w:rsidRPr="00411C46">
        <w:rPr>
          <w:rStyle w:val="CharChapNo"/>
        </w:rPr>
        <w:lastRenderedPageBreak/>
        <w:t>Schedule</w:t>
      </w:r>
      <w:r w:rsidR="002B1A95" w:rsidRPr="00411C46">
        <w:rPr>
          <w:rStyle w:val="CharChapNo"/>
        </w:rPr>
        <w:t> </w:t>
      </w:r>
      <w:r w:rsidRPr="00411C46">
        <w:rPr>
          <w:rStyle w:val="CharChapNo"/>
        </w:rPr>
        <w:t>1AA</w:t>
      </w:r>
      <w:r w:rsidRPr="002B1A95">
        <w:t>—</w:t>
      </w:r>
      <w:r w:rsidRPr="00411C46">
        <w:rPr>
          <w:rStyle w:val="CharChapText"/>
        </w:rPr>
        <w:t>Working out defined benefit contributions</w:t>
      </w:r>
      <w:bookmarkEnd w:id="220"/>
    </w:p>
    <w:p w:rsidR="00E95BBE" w:rsidRPr="002B1A95" w:rsidRDefault="007D17C5" w:rsidP="00E95BBE">
      <w:pPr>
        <w:pStyle w:val="notemargin"/>
        <w:rPr>
          <w:color w:val="000000"/>
        </w:rPr>
      </w:pPr>
      <w:r w:rsidRPr="002B1A95">
        <w:t>Note:</w:t>
      </w:r>
      <w:r w:rsidRPr="002B1A95">
        <w:tab/>
        <w:t>See subsection 293</w:t>
      </w:r>
      <w:r w:rsidR="00782250">
        <w:noBreakHyphen/>
      </w:r>
      <w:r w:rsidRPr="002B1A95">
        <w:t>115.20(2).</w:t>
      </w:r>
    </w:p>
    <w:p w:rsidR="00E95BBE" w:rsidRPr="002B1A95" w:rsidRDefault="00E95BBE" w:rsidP="00E95BBE">
      <w:pPr>
        <w:pStyle w:val="ActHead2"/>
      </w:pPr>
      <w:bookmarkStart w:id="221" w:name="_Toc49765398"/>
      <w:r w:rsidRPr="00411C46">
        <w:rPr>
          <w:rStyle w:val="CharPartNo"/>
        </w:rPr>
        <w:t>Part 1</w:t>
      </w:r>
      <w:r w:rsidRPr="002B1A95">
        <w:t>—</w:t>
      </w:r>
      <w:r w:rsidRPr="00411C46">
        <w:rPr>
          <w:rStyle w:val="CharPartText"/>
        </w:rPr>
        <w:t>Preliminary</w:t>
      </w:r>
      <w:bookmarkEnd w:id="221"/>
    </w:p>
    <w:p w:rsidR="007D17C5" w:rsidRPr="002B1A95" w:rsidRDefault="007D17C5" w:rsidP="00E95BBE">
      <w:pPr>
        <w:pStyle w:val="ActHead3"/>
      </w:pPr>
      <w:bookmarkStart w:id="222" w:name="_Toc49765399"/>
      <w:r w:rsidRPr="00411C46">
        <w:rPr>
          <w:rStyle w:val="CharDivNo"/>
        </w:rPr>
        <w:t>Division</w:t>
      </w:r>
      <w:r w:rsidR="002B1A95" w:rsidRPr="00411C46">
        <w:rPr>
          <w:rStyle w:val="CharDivNo"/>
        </w:rPr>
        <w:t> </w:t>
      </w:r>
      <w:r w:rsidRPr="00411C46">
        <w:rPr>
          <w:rStyle w:val="CharDivNo"/>
        </w:rPr>
        <w:t>1</w:t>
      </w:r>
      <w:r w:rsidRPr="002B1A95">
        <w:t>—</w:t>
      </w:r>
      <w:r w:rsidRPr="00411C46">
        <w:rPr>
          <w:rStyle w:val="CharDivText"/>
        </w:rPr>
        <w:t>Definitions</w:t>
      </w:r>
      <w:bookmarkEnd w:id="222"/>
    </w:p>
    <w:p w:rsidR="007D17C5" w:rsidRPr="002B1A95" w:rsidRDefault="007D17C5" w:rsidP="007D17C5">
      <w:pPr>
        <w:pStyle w:val="ActHead5"/>
      </w:pPr>
      <w:bookmarkStart w:id="223" w:name="_Toc49765400"/>
      <w:r w:rsidRPr="00411C46">
        <w:rPr>
          <w:rStyle w:val="CharSectno"/>
        </w:rPr>
        <w:t>1</w:t>
      </w:r>
      <w:r w:rsidRPr="002B1A95">
        <w:t xml:space="preserve">  Meaning of </w:t>
      </w:r>
      <w:r w:rsidRPr="002B1A95">
        <w:rPr>
          <w:i/>
        </w:rPr>
        <w:t>accruing member</w:t>
      </w:r>
      <w:bookmarkEnd w:id="223"/>
    </w:p>
    <w:p w:rsidR="007D17C5" w:rsidRPr="002B1A95" w:rsidRDefault="007D17C5" w:rsidP="007D17C5">
      <w:pPr>
        <w:pStyle w:val="subsection"/>
      </w:pPr>
      <w:r w:rsidRPr="002B1A95">
        <w:tab/>
      </w:r>
      <w:r w:rsidRPr="002B1A95">
        <w:tab/>
        <w:t xml:space="preserve">In this Schedule, </w:t>
      </w:r>
      <w:r w:rsidRPr="002B1A95">
        <w:rPr>
          <w:b/>
          <w:i/>
        </w:rPr>
        <w:t>accruing member</w:t>
      </w:r>
      <w:r w:rsidRPr="002B1A95">
        <w:t xml:space="preserve"> of a superannuation fund for a financial year, has the meaning given by subsection 293</w:t>
      </w:r>
      <w:r w:rsidR="00782250">
        <w:noBreakHyphen/>
      </w:r>
      <w:r w:rsidRPr="002B1A95">
        <w:t>115.05(2).</w:t>
      </w:r>
    </w:p>
    <w:p w:rsidR="007D17C5" w:rsidRPr="002B1A95" w:rsidRDefault="007D17C5" w:rsidP="007D17C5">
      <w:pPr>
        <w:pStyle w:val="ActHead5"/>
      </w:pPr>
      <w:bookmarkStart w:id="224" w:name="_Toc49765401"/>
      <w:r w:rsidRPr="00411C46">
        <w:rPr>
          <w:rStyle w:val="CharSectno"/>
        </w:rPr>
        <w:t>2</w:t>
      </w:r>
      <w:r w:rsidRPr="002B1A95">
        <w:t xml:space="preserve">  Meaning of </w:t>
      </w:r>
      <w:r w:rsidRPr="002B1A95">
        <w:rPr>
          <w:i/>
        </w:rPr>
        <w:t>benefit category</w:t>
      </w:r>
      <w:bookmarkEnd w:id="224"/>
    </w:p>
    <w:p w:rsidR="007D17C5" w:rsidRPr="002B1A95" w:rsidRDefault="007D17C5" w:rsidP="007D17C5">
      <w:pPr>
        <w:pStyle w:val="subsection"/>
      </w:pPr>
      <w:r w:rsidRPr="002B1A95">
        <w:rPr>
          <w:color w:val="000000"/>
        </w:rPr>
        <w:tab/>
        <w:t>(1)</w:t>
      </w:r>
      <w:r w:rsidRPr="002B1A95">
        <w:rPr>
          <w:color w:val="000000"/>
        </w:rPr>
        <w:tab/>
        <w:t xml:space="preserve">A </w:t>
      </w:r>
      <w:r w:rsidRPr="002B1A95">
        <w:rPr>
          <w:b/>
          <w:i/>
          <w:color w:val="000000"/>
        </w:rPr>
        <w:t>benefit category</w:t>
      </w:r>
      <w:r w:rsidRPr="002B1A95">
        <w:rPr>
          <w:color w:val="000000"/>
        </w:rPr>
        <w:t xml:space="preserve"> is a category of membership of a defined benefit fund as certified by an actuary.</w:t>
      </w:r>
    </w:p>
    <w:p w:rsidR="007D17C5" w:rsidRPr="002B1A95" w:rsidRDefault="007D17C5" w:rsidP="007D17C5">
      <w:pPr>
        <w:pStyle w:val="subsection"/>
      </w:pPr>
      <w:r w:rsidRPr="002B1A95">
        <w:tab/>
        <w:t>(2)</w:t>
      </w:r>
      <w:r w:rsidRPr="002B1A95">
        <w:tab/>
        <w:t>An actuary must not certify a category of membership to be a benefit category unless the actuary is satisfied that:</w:t>
      </w:r>
    </w:p>
    <w:p w:rsidR="007D17C5" w:rsidRPr="002B1A95" w:rsidRDefault="007D17C5" w:rsidP="007D17C5">
      <w:pPr>
        <w:pStyle w:val="paragraph"/>
      </w:pPr>
      <w:r w:rsidRPr="002B1A95">
        <w:rPr>
          <w:color w:val="000000"/>
        </w:rPr>
        <w:tab/>
        <w:t>(a)</w:t>
      </w:r>
      <w:r w:rsidRPr="002B1A95">
        <w:rPr>
          <w:color w:val="000000"/>
        </w:rPr>
        <w:tab/>
        <w:t>each hypothetical new entrant to the benefit category with the same entry age would accrue retirement benefits on substantially the same basis</w:t>
      </w:r>
      <w:r w:rsidRPr="002B1A95">
        <w:t>; or</w:t>
      </w:r>
    </w:p>
    <w:p w:rsidR="007D17C5" w:rsidRPr="002B1A95" w:rsidRDefault="007D17C5" w:rsidP="007D17C5">
      <w:pPr>
        <w:pStyle w:val="paragraph"/>
      </w:pPr>
      <w:r w:rsidRPr="002B1A95">
        <w:tab/>
        <w:t>(b)</w:t>
      </w:r>
      <w:r w:rsidRPr="002B1A95">
        <w:tab/>
        <w:t>if any 2 hypothetical new entrants to the benefit category accrued retirement benefits on a different basis, the new entrant rates for each member calculated under Parts</w:t>
      </w:r>
      <w:r w:rsidR="002B1A95" w:rsidRPr="002B1A95">
        <w:t> </w:t>
      </w:r>
      <w:r w:rsidRPr="002B1A95">
        <w:t>2 and 3 would be equal.</w:t>
      </w:r>
    </w:p>
    <w:p w:rsidR="007D17C5" w:rsidRPr="002B1A95" w:rsidRDefault="007D17C5" w:rsidP="007D17C5">
      <w:pPr>
        <w:pStyle w:val="ActHead5"/>
      </w:pPr>
      <w:bookmarkStart w:id="225" w:name="_Toc49765402"/>
      <w:r w:rsidRPr="00411C46">
        <w:rPr>
          <w:rStyle w:val="CharSectno"/>
        </w:rPr>
        <w:t>2A</w:t>
      </w:r>
      <w:r w:rsidRPr="002B1A95">
        <w:t xml:space="preserve">  Meaning of </w:t>
      </w:r>
      <w:r w:rsidRPr="002B1A95">
        <w:rPr>
          <w:i/>
        </w:rPr>
        <w:t>defined benefit fund</w:t>
      </w:r>
      <w:bookmarkEnd w:id="225"/>
    </w:p>
    <w:p w:rsidR="007D17C5" w:rsidRPr="002B1A95" w:rsidRDefault="007D17C5" w:rsidP="007D17C5">
      <w:pPr>
        <w:pStyle w:val="subsection"/>
      </w:pPr>
      <w:r w:rsidRPr="002B1A95">
        <w:tab/>
      </w:r>
      <w:r w:rsidRPr="002B1A95">
        <w:tab/>
        <w:t xml:space="preserve">A </w:t>
      </w:r>
      <w:r w:rsidRPr="002B1A95">
        <w:rPr>
          <w:b/>
          <w:i/>
        </w:rPr>
        <w:t>defined benefit fund</w:t>
      </w:r>
      <w:r w:rsidRPr="002B1A95">
        <w:t xml:space="preserve"> is a superannuation fund in which a member has a defined benefit interest.</w:t>
      </w:r>
    </w:p>
    <w:p w:rsidR="007D17C5" w:rsidRPr="002B1A95" w:rsidRDefault="007D17C5" w:rsidP="007D17C5">
      <w:pPr>
        <w:pStyle w:val="ActHead5"/>
      </w:pPr>
      <w:bookmarkStart w:id="226" w:name="_Toc49765403"/>
      <w:r w:rsidRPr="00411C46">
        <w:rPr>
          <w:rStyle w:val="CharSectno"/>
        </w:rPr>
        <w:t>2B</w:t>
      </w:r>
      <w:r w:rsidRPr="002B1A95">
        <w:t xml:space="preserve">  Treatment of superannuation sub</w:t>
      </w:r>
      <w:r w:rsidR="00782250">
        <w:noBreakHyphen/>
      </w:r>
      <w:r w:rsidRPr="002B1A95">
        <w:t>funds</w:t>
      </w:r>
      <w:bookmarkEnd w:id="226"/>
    </w:p>
    <w:p w:rsidR="007D17C5" w:rsidRPr="002B1A95" w:rsidRDefault="007D17C5" w:rsidP="007D17C5">
      <w:pPr>
        <w:pStyle w:val="subsection"/>
      </w:pPr>
      <w:r w:rsidRPr="002B1A95">
        <w:tab/>
      </w:r>
      <w:r w:rsidRPr="002B1A95">
        <w:tab/>
        <w:t>If there are 2 or more superannuation sub</w:t>
      </w:r>
      <w:r w:rsidR="00782250">
        <w:noBreakHyphen/>
      </w:r>
      <w:r w:rsidRPr="002B1A95">
        <w:t>funds in relation to defined benefit members of a superannuation fund, apply this Schedule to the superannuation fund separately in respect of each superannuation sub</w:t>
      </w:r>
      <w:r w:rsidR="00782250">
        <w:noBreakHyphen/>
      </w:r>
      <w:r w:rsidRPr="002B1A95">
        <w:t>fund.</w:t>
      </w:r>
    </w:p>
    <w:p w:rsidR="007D17C5" w:rsidRPr="002B1A95" w:rsidRDefault="007D17C5" w:rsidP="007D17C5">
      <w:pPr>
        <w:pStyle w:val="ActHead5"/>
      </w:pPr>
      <w:bookmarkStart w:id="227" w:name="_Toc49765404"/>
      <w:r w:rsidRPr="00411C46">
        <w:rPr>
          <w:rStyle w:val="CharSectno"/>
        </w:rPr>
        <w:t>3</w:t>
      </w:r>
      <w:r w:rsidRPr="002B1A95">
        <w:t xml:space="preserve">  Accruing member must not belong to more than one benefit category at the same time unless certified by an actuary</w:t>
      </w:r>
      <w:bookmarkEnd w:id="227"/>
    </w:p>
    <w:p w:rsidR="007D17C5" w:rsidRPr="002B1A95" w:rsidRDefault="007D17C5" w:rsidP="007D17C5">
      <w:pPr>
        <w:pStyle w:val="subsection"/>
      </w:pPr>
      <w:r w:rsidRPr="002B1A95">
        <w:rPr>
          <w:color w:val="000000"/>
        </w:rPr>
        <w:tab/>
        <w:t>(1)</w:t>
      </w:r>
      <w:r w:rsidRPr="002B1A95">
        <w:rPr>
          <w:color w:val="000000"/>
        </w:rPr>
        <w:tab/>
        <w:t>An accruing member must not belong to more than one benefit category of the same defined benefit fund on the same day unless certified by an actuary.</w:t>
      </w:r>
    </w:p>
    <w:p w:rsidR="007D17C5" w:rsidRPr="002B1A95" w:rsidRDefault="007D17C5" w:rsidP="007D17C5">
      <w:pPr>
        <w:pStyle w:val="subsection"/>
      </w:pPr>
      <w:r w:rsidRPr="002B1A95">
        <w:rPr>
          <w:color w:val="000000"/>
        </w:rPr>
        <w:tab/>
        <w:t>(2)</w:t>
      </w:r>
      <w:r w:rsidRPr="002B1A95">
        <w:rPr>
          <w:color w:val="000000"/>
        </w:rPr>
        <w:tab/>
        <w:t>An actuary must certify that a member belongs to more than one benefit category on the same day if the actuary is satisfied that the amount of defined benefit contributions to be reported will be materially different from the amount of defined benefit contributions that would have been reported had the member belonged to only one benefit category on each relevant day.</w:t>
      </w:r>
    </w:p>
    <w:p w:rsidR="007D17C5" w:rsidRPr="002B1A95" w:rsidRDefault="007D17C5" w:rsidP="007D17C5">
      <w:pPr>
        <w:pStyle w:val="ActHead3"/>
        <w:pageBreakBefore/>
      </w:pPr>
      <w:bookmarkStart w:id="228" w:name="_Toc49765405"/>
      <w:r w:rsidRPr="00411C46">
        <w:rPr>
          <w:rStyle w:val="CharDivNo"/>
        </w:rPr>
        <w:lastRenderedPageBreak/>
        <w:t>Division</w:t>
      </w:r>
      <w:r w:rsidR="002B1A95" w:rsidRPr="00411C46">
        <w:rPr>
          <w:rStyle w:val="CharDivNo"/>
        </w:rPr>
        <w:t> </w:t>
      </w:r>
      <w:r w:rsidRPr="00411C46">
        <w:rPr>
          <w:rStyle w:val="CharDivNo"/>
        </w:rPr>
        <w:t>2</w:t>
      </w:r>
      <w:r w:rsidRPr="002B1A95">
        <w:t>—</w:t>
      </w:r>
      <w:r w:rsidRPr="00411C46">
        <w:rPr>
          <w:rStyle w:val="CharDivText"/>
        </w:rPr>
        <w:t>Method</w:t>
      </w:r>
      <w:bookmarkEnd w:id="228"/>
    </w:p>
    <w:p w:rsidR="007D17C5" w:rsidRPr="002B1A95" w:rsidRDefault="007D17C5" w:rsidP="007D17C5">
      <w:pPr>
        <w:pStyle w:val="ActHead5"/>
      </w:pPr>
      <w:bookmarkStart w:id="229" w:name="_Toc49765406"/>
      <w:r w:rsidRPr="00411C46">
        <w:rPr>
          <w:rStyle w:val="CharSectno"/>
        </w:rPr>
        <w:t>4</w:t>
      </w:r>
      <w:r w:rsidRPr="002B1A95">
        <w:t xml:space="preserve">  Method of determining amount of defined benefit contributions</w:t>
      </w:r>
      <w:bookmarkEnd w:id="229"/>
    </w:p>
    <w:p w:rsidR="007D17C5" w:rsidRPr="002B1A95" w:rsidRDefault="007D17C5" w:rsidP="007D17C5">
      <w:pPr>
        <w:pStyle w:val="subsection"/>
      </w:pPr>
      <w:r w:rsidRPr="002B1A95">
        <w:tab/>
        <w:t>(1)</w:t>
      </w:r>
      <w:r w:rsidRPr="002B1A95">
        <w:tab/>
        <w:t xml:space="preserve">The </w:t>
      </w:r>
      <w:r w:rsidRPr="002B1A95">
        <w:rPr>
          <w:b/>
          <w:i/>
        </w:rPr>
        <w:t>defined benefit contributions</w:t>
      </w:r>
      <w:r w:rsidRPr="002B1A95">
        <w:t xml:space="preserve"> for an accruing member of a defined benefit fund for a financial year is the amount worked out using the following formula:</w:t>
      </w:r>
    </w:p>
    <w:p w:rsidR="007D17C5" w:rsidRPr="002B1A95" w:rsidRDefault="007D17C5" w:rsidP="007D17C5">
      <w:pPr>
        <w:pStyle w:val="subsection2"/>
      </w:pPr>
      <w:r w:rsidRPr="002B1A95">
        <w:object w:dxaOrig="2620" w:dyaOrig="580">
          <v:shape id="_x0000_i1032" type="#_x0000_t75" style="width:131.25pt;height:29.25pt" o:ole="">
            <v:imagedata r:id="rId40" o:title=""/>
          </v:shape>
          <o:OLEObject Type="Embed" ProgID="Equation.DSMT4" ShapeID="_x0000_i1032" DrawAspect="Content" ObjectID="_1660378727" r:id="rId41"/>
        </w:object>
      </w:r>
    </w:p>
    <w:p w:rsidR="007D17C5" w:rsidRPr="002B1A95" w:rsidRDefault="007D17C5" w:rsidP="007D17C5">
      <w:pPr>
        <w:pStyle w:val="subsection2"/>
      </w:pPr>
      <w:r w:rsidRPr="002B1A95">
        <w:t>where, for the financial year:</w:t>
      </w:r>
    </w:p>
    <w:p w:rsidR="007D17C5" w:rsidRPr="002B1A95" w:rsidRDefault="007D17C5" w:rsidP="007D17C5">
      <w:pPr>
        <w:pStyle w:val="Definition"/>
      </w:pPr>
      <w:r w:rsidRPr="002B1A95">
        <w:rPr>
          <w:b/>
          <w:i/>
        </w:rPr>
        <w:t>BC</w:t>
      </w:r>
      <w:r w:rsidRPr="002B1A95">
        <w:t xml:space="preserve"> is the notional employer contribution calculated for the member under </w:t>
      </w:r>
      <w:r w:rsidR="002B1A95" w:rsidRPr="002B1A95">
        <w:t>subclause (</w:t>
      </w:r>
      <w:r w:rsidRPr="002B1A95">
        <w:t>2).</w:t>
      </w:r>
    </w:p>
    <w:p w:rsidR="007D17C5" w:rsidRPr="002B1A95" w:rsidRDefault="007D17C5" w:rsidP="007D17C5">
      <w:pPr>
        <w:pStyle w:val="Definition"/>
      </w:pPr>
      <w:r w:rsidRPr="002B1A95">
        <w:rPr>
          <w:b/>
          <w:i/>
        </w:rPr>
        <w:t>NTC</w:t>
      </w:r>
      <w:r w:rsidRPr="002B1A95">
        <w:t xml:space="preserve"> is the notional taxed contributions calculated for the member for the financial year under Schedule</w:t>
      </w:r>
      <w:r w:rsidR="002B1A95" w:rsidRPr="002B1A95">
        <w:t> </w:t>
      </w:r>
      <w:r w:rsidRPr="002B1A95">
        <w:t>1A, disregarding Subdivision</w:t>
      </w:r>
      <w:r w:rsidR="002B1A95" w:rsidRPr="002B1A95">
        <w:t> </w:t>
      </w:r>
      <w:r w:rsidRPr="002B1A95">
        <w:t>291</w:t>
      </w:r>
      <w:r w:rsidR="00782250">
        <w:noBreakHyphen/>
      </w:r>
      <w:r w:rsidRPr="002B1A95">
        <w:t xml:space="preserve">C of the </w:t>
      </w:r>
      <w:r w:rsidRPr="002B1A95">
        <w:rPr>
          <w:i/>
        </w:rPr>
        <w:t>Income Tax (Transitional Provisions) Act 1997</w:t>
      </w:r>
      <w:r w:rsidRPr="002B1A95">
        <w:t>.</w:t>
      </w:r>
    </w:p>
    <w:p w:rsidR="007D17C5" w:rsidRPr="002B1A95" w:rsidRDefault="007D17C5" w:rsidP="007D17C5">
      <w:pPr>
        <w:pStyle w:val="notetext"/>
      </w:pPr>
      <w:r w:rsidRPr="002B1A95">
        <w:t>Note 1:</w:t>
      </w:r>
      <w:r w:rsidRPr="002B1A95">
        <w:tab/>
        <w:t>Section 291</w:t>
      </w:r>
      <w:r w:rsidR="00782250">
        <w:noBreakHyphen/>
      </w:r>
      <w:r w:rsidRPr="002B1A95">
        <w:t>170.04 sets out circumstances in which notional taxed contributions are nil.</w:t>
      </w:r>
    </w:p>
    <w:p w:rsidR="007D17C5" w:rsidRPr="002B1A95" w:rsidRDefault="007D17C5" w:rsidP="007D17C5">
      <w:pPr>
        <w:pStyle w:val="notetext"/>
      </w:pPr>
      <w:r w:rsidRPr="002B1A95">
        <w:t>Note 2:</w:t>
      </w:r>
      <w:r w:rsidRPr="002B1A95">
        <w:tab/>
        <w:t>Salary packaged contributions which do not contribute towards funding the defined benefit interest are included in the amount calculated under step 1 of the method statement set out in section</w:t>
      </w:r>
      <w:r w:rsidR="002B1A95" w:rsidRPr="002B1A95">
        <w:t> </w:t>
      </w:r>
      <w:r w:rsidRPr="002B1A95">
        <w:t>293</w:t>
      </w:r>
      <w:r w:rsidR="00782250">
        <w:noBreakHyphen/>
      </w:r>
      <w:r w:rsidRPr="002B1A95">
        <w:t>105 of the Act and do not form any part of the method of determining defined benefit contributions.</w:t>
      </w:r>
    </w:p>
    <w:p w:rsidR="007D17C5" w:rsidRPr="002B1A95" w:rsidRDefault="007D17C5" w:rsidP="007D17C5">
      <w:pPr>
        <w:pStyle w:val="subsection"/>
      </w:pPr>
      <w:r w:rsidRPr="002B1A95">
        <w:tab/>
        <w:t>(2)</w:t>
      </w:r>
      <w:r w:rsidRPr="002B1A95">
        <w:tab/>
        <w:t xml:space="preserve">The </w:t>
      </w:r>
      <w:r w:rsidRPr="002B1A95">
        <w:rPr>
          <w:b/>
          <w:i/>
        </w:rPr>
        <w:t>notional employer contribution</w:t>
      </w:r>
      <w:r w:rsidRPr="002B1A95">
        <w:t xml:space="preserve"> for an accruing member of a defined benefit fund for a financial year is the amount worked out using the following formula:</w:t>
      </w:r>
    </w:p>
    <w:p w:rsidR="007D17C5" w:rsidRPr="002B1A95" w:rsidRDefault="007D17C5" w:rsidP="007D17C5">
      <w:pPr>
        <w:pStyle w:val="subsection2"/>
      </w:pPr>
      <w:r w:rsidRPr="002B1A95">
        <w:rPr>
          <w:position w:val="-88"/>
        </w:rPr>
        <w:object w:dxaOrig="7280" w:dyaOrig="1860">
          <v:shape id="_x0000_i1033" type="#_x0000_t75" style="width:363pt;height:93pt" o:ole="">
            <v:imagedata r:id="rId42" o:title=""/>
          </v:shape>
          <o:OLEObject Type="Embed" ProgID="Equation.DSMT4" ShapeID="_x0000_i1033" DrawAspect="Content" ObjectID="_1660378728" r:id="rId43"/>
        </w:object>
      </w:r>
    </w:p>
    <w:p w:rsidR="007D17C5" w:rsidRPr="002B1A95" w:rsidRDefault="007D17C5" w:rsidP="007D17C5">
      <w:pPr>
        <w:pStyle w:val="subsection2"/>
      </w:pPr>
      <w:r w:rsidRPr="002B1A95">
        <w:t>where, for the financial year:</w:t>
      </w:r>
    </w:p>
    <w:p w:rsidR="007D17C5" w:rsidRPr="002B1A95" w:rsidRDefault="007D17C5" w:rsidP="007D17C5">
      <w:pPr>
        <w:pStyle w:val="Definition"/>
      </w:pPr>
      <w:r w:rsidRPr="002B1A95">
        <w:rPr>
          <w:b/>
          <w:i/>
        </w:rPr>
        <w:t>category change or discretion adjustment amount</w:t>
      </w:r>
      <w:r w:rsidRPr="002B1A95">
        <w:t xml:space="preserve"> is an amount worked out on advice from an actuary under Part</w:t>
      </w:r>
      <w:r w:rsidR="002B1A95" w:rsidRPr="002B1A95">
        <w:t> </w:t>
      </w:r>
      <w:r w:rsidRPr="002B1A95">
        <w:t>5.</w:t>
      </w:r>
    </w:p>
    <w:p w:rsidR="007D17C5" w:rsidRPr="002B1A95" w:rsidRDefault="007D17C5" w:rsidP="007D17C5">
      <w:pPr>
        <w:pStyle w:val="Definition"/>
      </w:pPr>
      <w:r w:rsidRPr="002B1A95">
        <w:rPr>
          <w:b/>
          <w:i/>
        </w:rPr>
        <w:t>governing rules change adjustment amount</w:t>
      </w:r>
      <w:r w:rsidRPr="002B1A95">
        <w:t xml:space="preserve"> is an amount worked out on advice from an actuary under Part</w:t>
      </w:r>
      <w:r w:rsidR="002B1A95" w:rsidRPr="002B1A95">
        <w:t> </w:t>
      </w:r>
      <w:r w:rsidRPr="002B1A95">
        <w:t>6.</w:t>
      </w:r>
    </w:p>
    <w:p w:rsidR="007D17C5" w:rsidRPr="002B1A95" w:rsidRDefault="007D17C5" w:rsidP="007D17C5">
      <w:pPr>
        <w:pStyle w:val="Definition"/>
      </w:pPr>
      <w:r w:rsidRPr="002B1A95">
        <w:rPr>
          <w:b/>
          <w:i/>
        </w:rPr>
        <w:t>increased exit benefit adjustment amount</w:t>
      </w:r>
      <w:r w:rsidRPr="002B1A95">
        <w:t xml:space="preserve"> is an amount worked out on advice from an actuary under Part</w:t>
      </w:r>
      <w:r w:rsidR="002B1A95" w:rsidRPr="002B1A95">
        <w:t> </w:t>
      </w:r>
      <w:r w:rsidRPr="002B1A95">
        <w:t>4.</w:t>
      </w:r>
    </w:p>
    <w:p w:rsidR="007D17C5" w:rsidRPr="002B1A95" w:rsidRDefault="007D17C5" w:rsidP="007D17C5">
      <w:pPr>
        <w:pStyle w:val="Definition"/>
      </w:pPr>
      <w:r w:rsidRPr="002B1A95">
        <w:rPr>
          <w:b/>
          <w:i/>
        </w:rPr>
        <w:t>increased superannuation salary adjustment amount</w:t>
      </w:r>
      <w:r w:rsidRPr="002B1A95">
        <w:t xml:space="preserve"> is an amount worked out on advice from an actuary under Part</w:t>
      </w:r>
      <w:r w:rsidR="002B1A95" w:rsidRPr="002B1A95">
        <w:t> </w:t>
      </w:r>
      <w:r w:rsidRPr="002B1A95">
        <w:t>7.</w:t>
      </w:r>
    </w:p>
    <w:p w:rsidR="007D17C5" w:rsidRPr="002B1A95" w:rsidRDefault="007D17C5" w:rsidP="007D17C5">
      <w:pPr>
        <w:pStyle w:val="Definition"/>
      </w:pPr>
      <w:r w:rsidRPr="002B1A95">
        <w:rPr>
          <w:b/>
          <w:i/>
          <w:color w:val="000000"/>
        </w:rPr>
        <w:t>sum of NEFC</w:t>
      </w:r>
      <w:r w:rsidRPr="002B1A95">
        <w:rPr>
          <w:b/>
          <w:bCs/>
          <w:i/>
          <w:iCs/>
        </w:rPr>
        <w:t xml:space="preserve"> </w:t>
      </w:r>
      <w:r w:rsidRPr="002B1A95">
        <w:t xml:space="preserve">is the sum of the amounts of notional employer financed contributions for each benefit category that the member belongs to during the financial year calculated under </w:t>
      </w:r>
      <w:r w:rsidR="002B1A95" w:rsidRPr="002B1A95">
        <w:t>subclause (</w:t>
      </w:r>
      <w:r w:rsidRPr="002B1A95">
        <w:t>3).</w:t>
      </w:r>
    </w:p>
    <w:p w:rsidR="007D17C5" w:rsidRPr="002B1A95" w:rsidRDefault="007D17C5" w:rsidP="007D17C5">
      <w:pPr>
        <w:pStyle w:val="subsection"/>
      </w:pPr>
      <w:r w:rsidRPr="002B1A95">
        <w:lastRenderedPageBreak/>
        <w:tab/>
        <w:t>(3)</w:t>
      </w:r>
      <w:r w:rsidRPr="002B1A95">
        <w:tab/>
        <w:t xml:space="preserve">The </w:t>
      </w:r>
      <w:r w:rsidRPr="002B1A95">
        <w:rPr>
          <w:b/>
          <w:i/>
        </w:rPr>
        <w:t>notional employer financed contributions</w:t>
      </w:r>
      <w:r w:rsidRPr="002B1A95">
        <w:t xml:space="preserve"> for an accruing member for a benefit category of a defined benefit fund for a financial year is the amount worked out using the following formula:</w:t>
      </w:r>
    </w:p>
    <w:p w:rsidR="007D17C5" w:rsidRPr="002B1A95" w:rsidRDefault="007D17C5" w:rsidP="007D17C5">
      <w:pPr>
        <w:pStyle w:val="subsection2"/>
      </w:pPr>
      <w:r w:rsidRPr="002B1A95">
        <w:rPr>
          <w:position w:val="-56"/>
        </w:rPr>
        <w:object w:dxaOrig="6420" w:dyaOrig="1219">
          <v:shape id="_x0000_i1034" type="#_x0000_t75" style="width:321pt;height:61.5pt" o:ole="">
            <v:imagedata r:id="rId44" o:title=""/>
          </v:shape>
          <o:OLEObject Type="Embed" ProgID="Equation.DSMT4" ShapeID="_x0000_i1034" DrawAspect="Content" ObjectID="_1660378729" r:id="rId45"/>
        </w:object>
      </w:r>
    </w:p>
    <w:p w:rsidR="007D17C5" w:rsidRPr="002B1A95" w:rsidRDefault="007D17C5" w:rsidP="007D17C5">
      <w:pPr>
        <w:pStyle w:val="subsection2"/>
      </w:pPr>
      <w:r w:rsidRPr="002B1A95">
        <w:t>where, for the financial year:</w:t>
      </w:r>
    </w:p>
    <w:p w:rsidR="007D17C5" w:rsidRPr="002B1A95" w:rsidRDefault="007D17C5" w:rsidP="007D17C5">
      <w:pPr>
        <w:pStyle w:val="Definition"/>
      </w:pPr>
      <w:r w:rsidRPr="002B1A95">
        <w:rPr>
          <w:b/>
          <w:bCs/>
          <w:i/>
          <w:iCs/>
        </w:rPr>
        <w:t xml:space="preserve">member contributions amount </w:t>
      </w:r>
      <w:r w:rsidRPr="002B1A95">
        <w:t>is the amount of member contributions:</w:t>
      </w:r>
    </w:p>
    <w:p w:rsidR="007D17C5" w:rsidRPr="002B1A95" w:rsidRDefault="007D17C5" w:rsidP="007D17C5">
      <w:pPr>
        <w:pStyle w:val="paragraph"/>
      </w:pPr>
      <w:r w:rsidRPr="002B1A95">
        <w:tab/>
        <w:t>(a)</w:t>
      </w:r>
      <w:r w:rsidRPr="002B1A95">
        <w:tab/>
        <w:t>paid by or on behalf of the member in respect of the member’s defined benefit interest in the fund during that part of the financial year that the member was an accruing member of the benefit category; and</w:t>
      </w:r>
    </w:p>
    <w:p w:rsidR="007D17C5" w:rsidRPr="002B1A95" w:rsidRDefault="007D17C5" w:rsidP="007D17C5">
      <w:pPr>
        <w:pStyle w:val="paragraph"/>
      </w:pPr>
      <w:r w:rsidRPr="002B1A95">
        <w:tab/>
        <w:t>(b)</w:t>
      </w:r>
      <w:r w:rsidRPr="002B1A95">
        <w:tab/>
        <w:t>which are not assessable income of the fund;</w:t>
      </w:r>
    </w:p>
    <w:p w:rsidR="007D17C5" w:rsidRPr="002B1A95" w:rsidRDefault="007D17C5" w:rsidP="007D17C5">
      <w:pPr>
        <w:pStyle w:val="subsection2"/>
      </w:pPr>
      <w:r w:rsidRPr="002B1A95">
        <w:t>but excluding any amounts which are not assessable income of the fund because of:</w:t>
      </w:r>
    </w:p>
    <w:p w:rsidR="007D17C5" w:rsidRPr="002B1A95" w:rsidRDefault="007D17C5" w:rsidP="007D17C5">
      <w:pPr>
        <w:pStyle w:val="paragraph"/>
      </w:pPr>
      <w:r w:rsidRPr="002B1A95">
        <w:tab/>
        <w:t>(c)</w:t>
      </w:r>
      <w:r w:rsidRPr="002B1A95">
        <w:tab/>
        <w:t>item</w:t>
      </w:r>
      <w:r w:rsidR="002B1A95" w:rsidRPr="002B1A95">
        <w:t> </w:t>
      </w:r>
      <w:r w:rsidRPr="002B1A95">
        <w:t>5.3 of the table in section</w:t>
      </w:r>
      <w:r w:rsidR="002B1A95" w:rsidRPr="002B1A95">
        <w:t> </w:t>
      </w:r>
      <w:r w:rsidRPr="002B1A95">
        <w:t>50</w:t>
      </w:r>
      <w:r w:rsidR="00782250">
        <w:noBreakHyphen/>
      </w:r>
      <w:r w:rsidRPr="002B1A95">
        <w:t>25 of the Act; or</w:t>
      </w:r>
    </w:p>
    <w:p w:rsidR="007D17C5" w:rsidRPr="002B1A95" w:rsidRDefault="007D17C5" w:rsidP="007D17C5">
      <w:pPr>
        <w:pStyle w:val="paragraph"/>
      </w:pPr>
      <w:r w:rsidRPr="002B1A95">
        <w:tab/>
        <w:t>(d)</w:t>
      </w:r>
      <w:r w:rsidRPr="002B1A95">
        <w:tab/>
        <w:t>a choice made under section</w:t>
      </w:r>
      <w:r w:rsidR="002B1A95" w:rsidRPr="002B1A95">
        <w:t> </w:t>
      </w:r>
      <w:r w:rsidRPr="002B1A95">
        <w:t>295</w:t>
      </w:r>
      <w:r w:rsidR="00782250">
        <w:noBreakHyphen/>
      </w:r>
      <w:r w:rsidRPr="002B1A95">
        <w:t>180 of the Act.</w:t>
      </w:r>
    </w:p>
    <w:p w:rsidR="007D17C5" w:rsidRPr="002B1A95" w:rsidRDefault="007D17C5" w:rsidP="007D17C5">
      <w:pPr>
        <w:pStyle w:val="Definition"/>
      </w:pPr>
      <w:r w:rsidRPr="002B1A95">
        <w:rPr>
          <w:b/>
          <w:bCs/>
          <w:i/>
          <w:iCs/>
        </w:rPr>
        <w:t xml:space="preserve">new entrant rate </w:t>
      </w:r>
      <w:r w:rsidRPr="002B1A95">
        <w:t>is the new entrant rate for the benefit category worked out by an actuary under Parts</w:t>
      </w:r>
      <w:r w:rsidR="002B1A95" w:rsidRPr="002B1A95">
        <w:t> </w:t>
      </w:r>
      <w:r w:rsidRPr="002B1A95">
        <w:t>2 and 3.</w:t>
      </w:r>
    </w:p>
    <w:p w:rsidR="007D17C5" w:rsidRPr="002B1A95" w:rsidRDefault="007D17C5" w:rsidP="007D17C5">
      <w:pPr>
        <w:pStyle w:val="Definition"/>
      </w:pPr>
      <w:r w:rsidRPr="002B1A95">
        <w:rPr>
          <w:b/>
          <w:bCs/>
          <w:i/>
          <w:iCs/>
        </w:rPr>
        <w:t xml:space="preserve">number of days </w:t>
      </w:r>
      <w:r w:rsidRPr="002B1A95">
        <w:t>is the number of days during the financial year that the member was an accruing member of the benefit category.</w:t>
      </w:r>
    </w:p>
    <w:p w:rsidR="007D17C5" w:rsidRPr="002B1A95" w:rsidRDefault="007D17C5" w:rsidP="007D17C5">
      <w:pPr>
        <w:pStyle w:val="Definition"/>
      </w:pPr>
      <w:r w:rsidRPr="002B1A95">
        <w:rPr>
          <w:b/>
          <w:bCs/>
          <w:i/>
          <w:iCs/>
        </w:rPr>
        <w:t xml:space="preserve">superannuation salary amount </w:t>
      </w:r>
      <w:r w:rsidRPr="002B1A95">
        <w:t>is the member’s annual superannuation salary relevant to the benefit category on the first day of the financial year on which the member had a defined benefit interest in the fund.</w:t>
      </w:r>
    </w:p>
    <w:p w:rsidR="007D17C5" w:rsidRPr="002B1A95" w:rsidRDefault="007D17C5" w:rsidP="007D17C5">
      <w:pPr>
        <w:pStyle w:val="ActHead2"/>
        <w:pageBreakBefore/>
      </w:pPr>
      <w:bookmarkStart w:id="230" w:name="_Toc49765407"/>
      <w:r w:rsidRPr="00411C46">
        <w:rPr>
          <w:rStyle w:val="CharPartNo"/>
        </w:rPr>
        <w:lastRenderedPageBreak/>
        <w:t>Part</w:t>
      </w:r>
      <w:r w:rsidR="002B1A95" w:rsidRPr="00411C46">
        <w:rPr>
          <w:rStyle w:val="CharPartNo"/>
        </w:rPr>
        <w:t> </w:t>
      </w:r>
      <w:r w:rsidRPr="00411C46">
        <w:rPr>
          <w:rStyle w:val="CharPartNo"/>
        </w:rPr>
        <w:t>2</w:t>
      </w:r>
      <w:r w:rsidRPr="002B1A95">
        <w:t>—</w:t>
      </w:r>
      <w:r w:rsidRPr="00411C46">
        <w:rPr>
          <w:rStyle w:val="CharPartText"/>
        </w:rPr>
        <w:t>New entrant rate</w:t>
      </w:r>
      <w:bookmarkEnd w:id="230"/>
    </w:p>
    <w:p w:rsidR="007D17C5" w:rsidRPr="00411C46" w:rsidRDefault="007D17C5" w:rsidP="007D17C5">
      <w:pPr>
        <w:pStyle w:val="Header"/>
      </w:pPr>
      <w:r w:rsidRPr="00411C46">
        <w:rPr>
          <w:rStyle w:val="CharDivNo"/>
        </w:rPr>
        <w:t xml:space="preserve"> </w:t>
      </w:r>
      <w:r w:rsidRPr="00411C46">
        <w:rPr>
          <w:rStyle w:val="CharDivText"/>
        </w:rPr>
        <w:t xml:space="preserve"> </w:t>
      </w:r>
    </w:p>
    <w:p w:rsidR="007D17C5" w:rsidRPr="002B1A95" w:rsidRDefault="007D17C5" w:rsidP="007D17C5">
      <w:pPr>
        <w:pStyle w:val="ActHead5"/>
      </w:pPr>
      <w:bookmarkStart w:id="231" w:name="_Toc49765408"/>
      <w:r w:rsidRPr="00411C46">
        <w:rPr>
          <w:rStyle w:val="CharSectno"/>
        </w:rPr>
        <w:t>5</w:t>
      </w:r>
      <w:r w:rsidRPr="002B1A95">
        <w:t xml:space="preserve">  Method of working out new entrant rate for a benefit category</w:t>
      </w:r>
      <w:bookmarkEnd w:id="231"/>
    </w:p>
    <w:p w:rsidR="007D17C5" w:rsidRPr="002B1A95" w:rsidRDefault="007D17C5" w:rsidP="007D17C5">
      <w:pPr>
        <w:pStyle w:val="subsection"/>
      </w:pPr>
      <w:r w:rsidRPr="002B1A95">
        <w:rPr>
          <w:color w:val="000000"/>
        </w:rPr>
        <w:tab/>
        <w:t>(1)</w:t>
      </w:r>
      <w:r w:rsidRPr="002B1A95">
        <w:rPr>
          <w:color w:val="000000"/>
        </w:rPr>
        <w:tab/>
        <w:t>The new entrant rate for a benefit category is the rate calculated under this Part and using the assumptions set out in Part</w:t>
      </w:r>
      <w:r w:rsidR="002B1A95" w:rsidRPr="002B1A95">
        <w:rPr>
          <w:color w:val="000000"/>
        </w:rPr>
        <w:t> </w:t>
      </w:r>
      <w:r w:rsidRPr="002B1A95">
        <w:rPr>
          <w:color w:val="000000"/>
        </w:rPr>
        <w:t>3.</w:t>
      </w:r>
    </w:p>
    <w:p w:rsidR="007D17C5" w:rsidRPr="002B1A95" w:rsidRDefault="007D17C5" w:rsidP="007D17C5">
      <w:pPr>
        <w:pStyle w:val="subsection"/>
      </w:pPr>
      <w:r w:rsidRPr="002B1A95">
        <w:tab/>
        <w:t>(2)</w:t>
      </w:r>
      <w:r w:rsidRPr="002B1A95">
        <w:tab/>
        <w:t>The new entrant rate for a benefit category is the rate that represents the long</w:t>
      </w:r>
      <w:r w:rsidR="00782250">
        <w:noBreakHyphen/>
      </w:r>
      <w:r w:rsidRPr="002B1A95">
        <w:t>term cost, expressed as a percentage of superannuation salary, of providing the benefits payable on a voluntary exit to a hypothetical new entrant to the benefit category.</w:t>
      </w:r>
    </w:p>
    <w:p w:rsidR="007D17C5" w:rsidRPr="002B1A95" w:rsidRDefault="007D17C5" w:rsidP="007D17C5">
      <w:pPr>
        <w:pStyle w:val="subsection"/>
      </w:pPr>
      <w:r w:rsidRPr="002B1A95">
        <w:tab/>
        <w:t>(3)</w:t>
      </w:r>
      <w:r w:rsidRPr="002B1A95">
        <w:tab/>
        <w:t>The new entrant rate is calculated as the present value of the benefits payable on voluntary exit (resignation, early retirement, or retirement) under the rules of the defined benefit fund which are applicable to a new entrant to the benefit category divided by the present value of future superannuation salaries payable to the new entrant.</w:t>
      </w:r>
    </w:p>
    <w:p w:rsidR="007D17C5" w:rsidRPr="002B1A95" w:rsidRDefault="007D17C5" w:rsidP="007D17C5">
      <w:pPr>
        <w:pStyle w:val="subsection"/>
      </w:pPr>
      <w:r w:rsidRPr="002B1A95">
        <w:tab/>
        <w:t>(4)</w:t>
      </w:r>
      <w:r w:rsidRPr="002B1A95">
        <w:tab/>
        <w:t>The present value of the benefits payable is to be calculated having regard to the rules and practice of the defined benefit fund including benefit structure, caps, member options, reasonably expected discretions and member contributions, and using the economic, decrement and other parameters and the other assumptions set out in Part</w:t>
      </w:r>
      <w:r w:rsidR="002B1A95" w:rsidRPr="002B1A95">
        <w:t> </w:t>
      </w:r>
      <w:r w:rsidRPr="002B1A95">
        <w:t>3.</w:t>
      </w:r>
    </w:p>
    <w:p w:rsidR="007D17C5" w:rsidRPr="002B1A95" w:rsidRDefault="007D17C5" w:rsidP="007D17C5">
      <w:pPr>
        <w:pStyle w:val="ActHead5"/>
      </w:pPr>
      <w:bookmarkStart w:id="232" w:name="_Toc49765409"/>
      <w:r w:rsidRPr="00411C46">
        <w:rPr>
          <w:rStyle w:val="CharSectno"/>
        </w:rPr>
        <w:t>6</w:t>
      </w:r>
      <w:r w:rsidRPr="002B1A95">
        <w:t xml:space="preserve">  New entrant rate to be based on period of membership needed to reach maximum benefit accrual</w:t>
      </w:r>
      <w:bookmarkEnd w:id="232"/>
    </w:p>
    <w:p w:rsidR="007D17C5" w:rsidRPr="002B1A95" w:rsidRDefault="007D17C5" w:rsidP="007D17C5">
      <w:pPr>
        <w:pStyle w:val="subsection"/>
      </w:pPr>
      <w:r w:rsidRPr="002B1A95">
        <w:tab/>
        <w:t>(1)</w:t>
      </w:r>
      <w:r w:rsidRPr="002B1A95">
        <w:tab/>
        <w:t>If the rules of the defined benefit fund applicable to the benefit category provide for a maximum benefit accrual, the new entrant rate is to be calculated on the basis that the benefit is funded over the period to when maximum accrual is attained.</w:t>
      </w:r>
    </w:p>
    <w:p w:rsidR="007D17C5" w:rsidRPr="002B1A95" w:rsidRDefault="007D17C5" w:rsidP="007D17C5">
      <w:pPr>
        <w:pStyle w:val="notetext"/>
      </w:pPr>
      <w:r w:rsidRPr="002B1A95">
        <w:t>Note:</w:t>
      </w:r>
      <w:r w:rsidRPr="002B1A95">
        <w:tab/>
        <w:t>This means that, for the purpose of calculating the present value of future salaries payable to the new entrant, the superannuation salary is to be assumed to be zero at those ages after reaching maximum benefit accrual.</w:t>
      </w:r>
    </w:p>
    <w:p w:rsidR="007D17C5" w:rsidRPr="002B1A95" w:rsidRDefault="007D17C5" w:rsidP="007D17C5">
      <w:pPr>
        <w:pStyle w:val="notetext"/>
      </w:pPr>
      <w:r w:rsidRPr="002B1A95">
        <w:t>Example</w:t>
      </w:r>
      <w:r w:rsidRPr="002B1A95">
        <w:rPr>
          <w:i/>
        </w:rPr>
        <w:t>:</w:t>
      </w:r>
      <w:r w:rsidRPr="002B1A95">
        <w:rPr>
          <w:i/>
        </w:rPr>
        <w:tab/>
      </w:r>
      <w:r w:rsidRPr="002B1A95">
        <w:t>If maximum accrual is attained after 20 years of membership, the superannuation salary for a 30</w:t>
      </w:r>
      <w:r w:rsidR="00782250">
        <w:noBreakHyphen/>
      </w:r>
      <w:r w:rsidRPr="002B1A95">
        <w:t>year</w:t>
      </w:r>
      <w:r w:rsidR="00782250">
        <w:noBreakHyphen/>
      </w:r>
      <w:r w:rsidRPr="002B1A95">
        <w:t>old new entrant will be assumed to be zero at age 50 and above for the purpose of calculating the present value of future salaries payable to the new entrant.</w:t>
      </w:r>
    </w:p>
    <w:p w:rsidR="007D17C5" w:rsidRPr="002B1A95" w:rsidRDefault="007D17C5" w:rsidP="007D17C5">
      <w:pPr>
        <w:pStyle w:val="subsection"/>
      </w:pPr>
      <w:r w:rsidRPr="002B1A95">
        <w:tab/>
        <w:t>(2)</w:t>
      </w:r>
      <w:r w:rsidRPr="002B1A95">
        <w:tab/>
        <w:t>For the Governor</w:t>
      </w:r>
      <w:r w:rsidR="00782250">
        <w:noBreakHyphen/>
      </w:r>
      <w:r w:rsidRPr="002B1A95">
        <w:t>General Pension Scheme, the period to when maximum benefit accrual is attained for a member of the Scheme is taken to be the period:</w:t>
      </w:r>
    </w:p>
    <w:p w:rsidR="007D17C5" w:rsidRPr="002B1A95" w:rsidRDefault="007D17C5" w:rsidP="007D17C5">
      <w:pPr>
        <w:pStyle w:val="paragraph"/>
      </w:pPr>
      <w:r w:rsidRPr="002B1A95">
        <w:tab/>
        <w:t>(a)</w:t>
      </w:r>
      <w:r w:rsidRPr="002B1A95">
        <w:tab/>
        <w:t>starting on the day the member’s appointment as Governor</w:t>
      </w:r>
      <w:r w:rsidR="00782250">
        <w:noBreakHyphen/>
      </w:r>
      <w:r w:rsidRPr="002B1A95">
        <w:t>General starts; and</w:t>
      </w:r>
    </w:p>
    <w:p w:rsidR="007D17C5" w:rsidRPr="002B1A95" w:rsidRDefault="007D17C5" w:rsidP="007D17C5">
      <w:pPr>
        <w:pStyle w:val="paragraph"/>
      </w:pPr>
      <w:r w:rsidRPr="002B1A95">
        <w:tab/>
        <w:t>(b)</w:t>
      </w:r>
      <w:r w:rsidRPr="002B1A95">
        <w:tab/>
        <w:t>ending at the end of the financial year in which the member’s appointment as Governor</w:t>
      </w:r>
      <w:r w:rsidR="00782250">
        <w:noBreakHyphen/>
      </w:r>
      <w:r w:rsidRPr="002B1A95">
        <w:t>General started.</w:t>
      </w:r>
    </w:p>
    <w:p w:rsidR="007D17C5" w:rsidRPr="002B1A95" w:rsidRDefault="007D17C5" w:rsidP="007D17C5">
      <w:pPr>
        <w:pStyle w:val="ActHead5"/>
      </w:pPr>
      <w:bookmarkStart w:id="233" w:name="_Toc49765410"/>
      <w:r w:rsidRPr="00411C46">
        <w:rPr>
          <w:rStyle w:val="CharSectno"/>
        </w:rPr>
        <w:t>7</w:t>
      </w:r>
      <w:r w:rsidRPr="002B1A95">
        <w:t xml:space="preserve">  New entrant rate to be rounded down</w:t>
      </w:r>
      <w:bookmarkEnd w:id="233"/>
    </w:p>
    <w:p w:rsidR="007D17C5" w:rsidRPr="002B1A95" w:rsidRDefault="007D17C5" w:rsidP="007D17C5">
      <w:pPr>
        <w:pStyle w:val="subsection"/>
      </w:pPr>
      <w:r w:rsidRPr="002B1A95">
        <w:tab/>
      </w:r>
      <w:r w:rsidRPr="002B1A95">
        <w:tab/>
        <w:t>The new entrant rate is to be rounded down to the lower 1 percentage point.</w:t>
      </w:r>
    </w:p>
    <w:p w:rsidR="007D17C5" w:rsidRPr="002B1A95" w:rsidRDefault="007D17C5" w:rsidP="007D17C5">
      <w:pPr>
        <w:pStyle w:val="notetext"/>
      </w:pPr>
      <w:r w:rsidRPr="002B1A95">
        <w:t>Example</w:t>
      </w:r>
      <w:r w:rsidRPr="002B1A95">
        <w:rPr>
          <w:i/>
        </w:rPr>
        <w:t>:</w:t>
      </w:r>
      <w:r w:rsidRPr="002B1A95">
        <w:tab/>
        <w:t>10.6% would be rounded down to 10%.</w:t>
      </w:r>
    </w:p>
    <w:p w:rsidR="007D17C5" w:rsidRPr="002B1A95" w:rsidRDefault="007D17C5" w:rsidP="007D17C5">
      <w:pPr>
        <w:pStyle w:val="ActHead5"/>
      </w:pPr>
      <w:bookmarkStart w:id="234" w:name="_Toc49765411"/>
      <w:r w:rsidRPr="00411C46">
        <w:rPr>
          <w:rStyle w:val="CharSectno"/>
        </w:rPr>
        <w:lastRenderedPageBreak/>
        <w:t>8</w:t>
      </w:r>
      <w:r w:rsidRPr="002B1A95">
        <w:t xml:space="preserve">  No allowance for administration expenses or income tax on assessable contributions</w:t>
      </w:r>
      <w:bookmarkEnd w:id="234"/>
    </w:p>
    <w:p w:rsidR="007D17C5" w:rsidRPr="002B1A95" w:rsidRDefault="007D17C5" w:rsidP="007D17C5">
      <w:pPr>
        <w:pStyle w:val="subsection"/>
      </w:pPr>
      <w:r w:rsidRPr="002B1A95">
        <w:tab/>
      </w:r>
      <w:r w:rsidRPr="002B1A95">
        <w:tab/>
        <w:t>The new entrant rate is to be calculated ignoring:</w:t>
      </w:r>
    </w:p>
    <w:p w:rsidR="007D17C5" w:rsidRPr="002B1A95" w:rsidRDefault="007D17C5" w:rsidP="007D17C5">
      <w:pPr>
        <w:pStyle w:val="paragraph"/>
      </w:pPr>
      <w:r w:rsidRPr="002B1A95">
        <w:tab/>
        <w:t>(a)</w:t>
      </w:r>
      <w:r w:rsidRPr="002B1A95">
        <w:tab/>
        <w:t>administration expenses; and</w:t>
      </w:r>
    </w:p>
    <w:p w:rsidR="007D17C5" w:rsidRPr="002B1A95" w:rsidRDefault="007D17C5" w:rsidP="007D17C5">
      <w:pPr>
        <w:pStyle w:val="paragraph"/>
      </w:pPr>
      <w:r w:rsidRPr="002B1A95">
        <w:tab/>
        <w:t>(b)</w:t>
      </w:r>
      <w:r w:rsidRPr="002B1A95">
        <w:tab/>
        <w:t>income tax on assessable contributions.</w:t>
      </w:r>
    </w:p>
    <w:p w:rsidR="007D17C5" w:rsidRPr="002B1A95" w:rsidRDefault="007D17C5" w:rsidP="007D17C5">
      <w:pPr>
        <w:pStyle w:val="notetext"/>
      </w:pPr>
      <w:r w:rsidRPr="002B1A95">
        <w:t>Note:</w:t>
      </w:r>
      <w:r w:rsidRPr="002B1A95">
        <w:tab/>
        <w:t>These items are allowed for in the formula in subclause 4(3) by multiplying by 1.2.</w:t>
      </w:r>
    </w:p>
    <w:p w:rsidR="007D17C5" w:rsidRPr="002B1A95" w:rsidRDefault="007D17C5" w:rsidP="007D17C5">
      <w:pPr>
        <w:pStyle w:val="ActHead5"/>
      </w:pPr>
      <w:bookmarkStart w:id="235" w:name="_Toc49765412"/>
      <w:r w:rsidRPr="00411C46">
        <w:rPr>
          <w:rStyle w:val="CharSectno"/>
        </w:rPr>
        <w:t>9</w:t>
      </w:r>
      <w:r w:rsidRPr="002B1A95">
        <w:t xml:space="preserve">  Certain discretions to be allowed for</w:t>
      </w:r>
      <w:bookmarkEnd w:id="235"/>
    </w:p>
    <w:p w:rsidR="007D17C5" w:rsidRPr="002B1A95" w:rsidRDefault="007D17C5" w:rsidP="007D17C5">
      <w:pPr>
        <w:pStyle w:val="subsection"/>
      </w:pPr>
      <w:r w:rsidRPr="002B1A95">
        <w:tab/>
        <w:t>(1)</w:t>
      </w:r>
      <w:r w:rsidRPr="002B1A95">
        <w:tab/>
        <w:t>The new entrant rate is to be calculated assuming that certain discretions are always exercised.</w:t>
      </w:r>
    </w:p>
    <w:p w:rsidR="007D17C5" w:rsidRPr="002B1A95" w:rsidRDefault="007D17C5" w:rsidP="007D17C5">
      <w:pPr>
        <w:pStyle w:val="subsection"/>
      </w:pPr>
      <w:r w:rsidRPr="002B1A95">
        <w:tab/>
        <w:t>(2)</w:t>
      </w:r>
      <w:r w:rsidRPr="002B1A95">
        <w:tab/>
        <w:t xml:space="preserve">Subject to </w:t>
      </w:r>
      <w:r w:rsidR="002B1A95" w:rsidRPr="002B1A95">
        <w:t>subclause (</w:t>
      </w:r>
      <w:r w:rsidRPr="002B1A95">
        <w:t>3), if the fund rules provide a discretion to pay, on voluntary exit, a benefit that is higher than the standard benefit, the actuary must assume that a higher benefit is always paid on voluntary exit on or after age 55.</w:t>
      </w:r>
    </w:p>
    <w:p w:rsidR="007D17C5" w:rsidRPr="002B1A95" w:rsidRDefault="007D17C5" w:rsidP="007D17C5">
      <w:pPr>
        <w:pStyle w:val="subsection"/>
      </w:pPr>
      <w:r w:rsidRPr="002B1A95">
        <w:tab/>
        <w:t>(3)</w:t>
      </w:r>
      <w:r w:rsidRPr="002B1A95">
        <w:tab/>
        <w:t xml:space="preserve">If the higher benefit mentioned in </w:t>
      </w:r>
      <w:r w:rsidR="002B1A95" w:rsidRPr="002B1A95">
        <w:t>subclause (</w:t>
      </w:r>
      <w:r w:rsidRPr="002B1A95">
        <w:t>2) exceeds the accrued retirement benefit, the actuary may assume that the benefit is an amount:</w:t>
      </w:r>
    </w:p>
    <w:p w:rsidR="007D17C5" w:rsidRPr="002B1A95" w:rsidRDefault="007D17C5" w:rsidP="007D17C5">
      <w:pPr>
        <w:pStyle w:val="paragraph"/>
      </w:pPr>
      <w:r w:rsidRPr="002B1A95">
        <w:tab/>
        <w:t>(a)</w:t>
      </w:r>
      <w:r w:rsidRPr="002B1A95">
        <w:tab/>
        <w:t>greater than or equal to the accrued retirement benefit; and</w:t>
      </w:r>
    </w:p>
    <w:p w:rsidR="007D17C5" w:rsidRPr="002B1A95" w:rsidRDefault="007D17C5" w:rsidP="007D17C5">
      <w:pPr>
        <w:pStyle w:val="paragraph"/>
        <w:rPr>
          <w:color w:val="000000"/>
        </w:rPr>
      </w:pPr>
      <w:r w:rsidRPr="002B1A95">
        <w:tab/>
        <w:t>(b)</w:t>
      </w:r>
      <w:r w:rsidRPr="002B1A95">
        <w:tab/>
        <w:t>less than or equal to the higher benefit.</w:t>
      </w:r>
    </w:p>
    <w:p w:rsidR="007D17C5" w:rsidRPr="002B1A95" w:rsidRDefault="007D17C5" w:rsidP="007D17C5">
      <w:pPr>
        <w:pStyle w:val="subsection"/>
      </w:pPr>
      <w:r w:rsidRPr="002B1A95">
        <w:tab/>
        <w:t>(4)</w:t>
      </w:r>
      <w:r w:rsidRPr="002B1A95">
        <w:tab/>
        <w:t>If the actuary believes that there is a reasonable expectation that a higher benefit than either the standard benefit or the accrued retirement benefit will be paid, then the actuary should assume that the benefit paid on voluntary exit on or after age 55 is always equal to the benefit reasonably expected to be paid.</w:t>
      </w:r>
    </w:p>
    <w:p w:rsidR="007D17C5" w:rsidRPr="002B1A95" w:rsidRDefault="007D17C5" w:rsidP="007D17C5">
      <w:pPr>
        <w:pStyle w:val="notetext"/>
      </w:pPr>
      <w:r w:rsidRPr="002B1A95">
        <w:t>Note:</w:t>
      </w:r>
      <w:r w:rsidRPr="002B1A95">
        <w:tab/>
        <w:t>In considering whether there is a reasonable expectation that a higher benefit will be paid, it would generally not be appropriate to assume payment unless such an assumption was adopted in the most recent actuarial review.</w:t>
      </w:r>
    </w:p>
    <w:p w:rsidR="007D17C5" w:rsidRPr="002B1A95" w:rsidRDefault="007D17C5" w:rsidP="002F07B9">
      <w:pPr>
        <w:pStyle w:val="ActHead2"/>
        <w:pageBreakBefore/>
      </w:pPr>
      <w:bookmarkStart w:id="236" w:name="_Toc49765413"/>
      <w:r w:rsidRPr="00411C46">
        <w:rPr>
          <w:rStyle w:val="CharPartNo"/>
        </w:rPr>
        <w:lastRenderedPageBreak/>
        <w:t>Part</w:t>
      </w:r>
      <w:r w:rsidR="002B1A95" w:rsidRPr="00411C46">
        <w:rPr>
          <w:rStyle w:val="CharPartNo"/>
        </w:rPr>
        <w:t> </w:t>
      </w:r>
      <w:r w:rsidRPr="00411C46">
        <w:rPr>
          <w:rStyle w:val="CharPartNo"/>
        </w:rPr>
        <w:t>3</w:t>
      </w:r>
      <w:r w:rsidRPr="002B1A95">
        <w:t>—</w:t>
      </w:r>
      <w:r w:rsidRPr="00411C46">
        <w:rPr>
          <w:rStyle w:val="CharPartText"/>
        </w:rPr>
        <w:t>Valuation parameters</w:t>
      </w:r>
      <w:bookmarkEnd w:id="236"/>
    </w:p>
    <w:p w:rsidR="007D17C5" w:rsidRPr="00411C46" w:rsidRDefault="007D17C5" w:rsidP="007D17C5">
      <w:pPr>
        <w:pStyle w:val="Header"/>
      </w:pPr>
      <w:r w:rsidRPr="00411C46">
        <w:rPr>
          <w:rStyle w:val="CharDivNo"/>
        </w:rPr>
        <w:t xml:space="preserve"> </w:t>
      </w:r>
      <w:r w:rsidRPr="00411C46">
        <w:rPr>
          <w:rStyle w:val="CharDivText"/>
        </w:rPr>
        <w:t xml:space="preserve"> </w:t>
      </w:r>
    </w:p>
    <w:p w:rsidR="007D17C5" w:rsidRPr="002B1A95" w:rsidRDefault="007D17C5" w:rsidP="007D17C5">
      <w:pPr>
        <w:pStyle w:val="ActHead5"/>
      </w:pPr>
      <w:bookmarkStart w:id="237" w:name="_Toc49765414"/>
      <w:r w:rsidRPr="00411C46">
        <w:rPr>
          <w:rStyle w:val="CharSectno"/>
        </w:rPr>
        <w:t>10</w:t>
      </w:r>
      <w:r w:rsidRPr="002B1A95">
        <w:t xml:space="preserve">  Application of economic, decrement and other parameters</w:t>
      </w:r>
      <w:bookmarkEnd w:id="237"/>
    </w:p>
    <w:p w:rsidR="007D17C5" w:rsidRPr="002B1A95" w:rsidRDefault="007D17C5" w:rsidP="007D17C5">
      <w:pPr>
        <w:pStyle w:val="subsection"/>
      </w:pPr>
      <w:r w:rsidRPr="002B1A95">
        <w:tab/>
      </w:r>
      <w:r w:rsidRPr="002B1A95">
        <w:tab/>
        <w:t>For the purpose of working out the new entrant rate for a benefit category mentioned in Part</w:t>
      </w:r>
      <w:r w:rsidR="002B1A95" w:rsidRPr="002B1A95">
        <w:t> </w:t>
      </w:r>
      <w:r w:rsidRPr="002B1A95">
        <w:t>1 or 2, the actuary is to apply the economic, decrement and other parameters set out in this Part.</w:t>
      </w:r>
    </w:p>
    <w:p w:rsidR="007D17C5" w:rsidRPr="002B1A95" w:rsidRDefault="007D17C5" w:rsidP="007D17C5">
      <w:pPr>
        <w:pStyle w:val="ActHead5"/>
      </w:pPr>
      <w:bookmarkStart w:id="238" w:name="_Toc49765415"/>
      <w:r w:rsidRPr="00411C46">
        <w:rPr>
          <w:rStyle w:val="CharSectno"/>
        </w:rPr>
        <w:t>11</w:t>
      </w:r>
      <w:r w:rsidRPr="002B1A95">
        <w:t xml:space="preserve">  Discount rate</w:t>
      </w:r>
      <w:bookmarkEnd w:id="238"/>
    </w:p>
    <w:p w:rsidR="007D17C5" w:rsidRPr="002B1A95" w:rsidRDefault="007D17C5" w:rsidP="007D17C5">
      <w:pPr>
        <w:pStyle w:val="subsection"/>
      </w:pPr>
      <w:r w:rsidRPr="002B1A95">
        <w:tab/>
        <w:t>(1)</w:t>
      </w:r>
      <w:r w:rsidRPr="002B1A95">
        <w:tab/>
        <w:t>The discount rate to be used to discount projected future benefits and salaries is 8% per year.</w:t>
      </w:r>
    </w:p>
    <w:p w:rsidR="007D17C5" w:rsidRPr="002B1A95" w:rsidRDefault="007D17C5" w:rsidP="007D17C5">
      <w:pPr>
        <w:pStyle w:val="subsection"/>
      </w:pPr>
      <w:r w:rsidRPr="002B1A95">
        <w:tab/>
        <w:t>(2)</w:t>
      </w:r>
      <w:r w:rsidRPr="002B1A95">
        <w:tab/>
        <w:t>The discount rate is not to be adjusted for investment expenses or investment</w:t>
      </w:r>
      <w:r w:rsidR="00782250">
        <w:noBreakHyphen/>
      </w:r>
      <w:r w:rsidRPr="002B1A95">
        <w:t>related taxation or for any other reason.</w:t>
      </w:r>
    </w:p>
    <w:p w:rsidR="007D17C5" w:rsidRPr="002B1A95" w:rsidRDefault="007D17C5" w:rsidP="007D17C5">
      <w:pPr>
        <w:pStyle w:val="ActHead5"/>
      </w:pPr>
      <w:bookmarkStart w:id="239" w:name="_Toc49765416"/>
      <w:r w:rsidRPr="00411C46">
        <w:rPr>
          <w:rStyle w:val="CharSectno"/>
        </w:rPr>
        <w:t>12</w:t>
      </w:r>
      <w:r w:rsidRPr="002B1A95">
        <w:t xml:space="preserve">  Fund earning rate and crediting rate</w:t>
      </w:r>
      <w:bookmarkEnd w:id="239"/>
    </w:p>
    <w:p w:rsidR="007D17C5" w:rsidRPr="002B1A95" w:rsidRDefault="007D17C5" w:rsidP="007D17C5">
      <w:pPr>
        <w:pStyle w:val="subsection"/>
      </w:pPr>
      <w:r w:rsidRPr="002B1A95">
        <w:tab/>
        <w:t>(1)</w:t>
      </w:r>
      <w:r w:rsidRPr="002B1A95">
        <w:tab/>
        <w:t>If necessary, the fund earning rate to be assumed is 8% per year.</w:t>
      </w:r>
    </w:p>
    <w:p w:rsidR="007D17C5" w:rsidRPr="002B1A95" w:rsidRDefault="007D17C5" w:rsidP="007D17C5">
      <w:pPr>
        <w:pStyle w:val="subsection"/>
      </w:pPr>
      <w:r w:rsidRPr="002B1A95">
        <w:tab/>
        <w:t>(2)</w:t>
      </w:r>
      <w:r w:rsidRPr="002B1A95">
        <w:tab/>
        <w:t>If necessary, the assumed crediting rate is to be based on the assumed fund earning rate.</w:t>
      </w:r>
    </w:p>
    <w:p w:rsidR="007D17C5" w:rsidRPr="002B1A95" w:rsidRDefault="007D17C5" w:rsidP="007D17C5">
      <w:pPr>
        <w:pStyle w:val="ActHead5"/>
      </w:pPr>
      <w:bookmarkStart w:id="240" w:name="_Toc49765417"/>
      <w:r w:rsidRPr="00411C46">
        <w:rPr>
          <w:rStyle w:val="CharSectno"/>
        </w:rPr>
        <w:t>13</w:t>
      </w:r>
      <w:r w:rsidRPr="002B1A95">
        <w:t xml:space="preserve">  Rate of future salary or wages growth</w:t>
      </w:r>
      <w:bookmarkEnd w:id="240"/>
    </w:p>
    <w:p w:rsidR="007D17C5" w:rsidRPr="002B1A95" w:rsidRDefault="007D17C5" w:rsidP="007D17C5">
      <w:pPr>
        <w:pStyle w:val="subsection"/>
      </w:pPr>
      <w:r w:rsidRPr="002B1A95">
        <w:tab/>
        <w:t>(1)</w:t>
      </w:r>
      <w:r w:rsidRPr="002B1A95">
        <w:tab/>
        <w:t>The rate of salary or wages growth to be applied is 4.5% per year.</w:t>
      </w:r>
    </w:p>
    <w:p w:rsidR="007D17C5" w:rsidRPr="002B1A95" w:rsidRDefault="007D17C5" w:rsidP="007D17C5">
      <w:pPr>
        <w:pStyle w:val="subsection"/>
      </w:pPr>
      <w:r w:rsidRPr="002B1A95">
        <w:tab/>
        <w:t>(2)</w:t>
      </w:r>
      <w:r w:rsidRPr="002B1A95">
        <w:tab/>
        <w:t>This rate is to be used:</w:t>
      </w:r>
    </w:p>
    <w:p w:rsidR="007D17C5" w:rsidRPr="002B1A95" w:rsidRDefault="007D17C5" w:rsidP="007D17C5">
      <w:pPr>
        <w:pStyle w:val="paragraph"/>
      </w:pPr>
      <w:r w:rsidRPr="002B1A95">
        <w:tab/>
        <w:t>(a)</w:t>
      </w:r>
      <w:r w:rsidRPr="002B1A95">
        <w:tab/>
        <w:t>to project the value of future salary or wages; and</w:t>
      </w:r>
    </w:p>
    <w:p w:rsidR="007D17C5" w:rsidRPr="002B1A95" w:rsidRDefault="007D17C5" w:rsidP="007D17C5">
      <w:pPr>
        <w:pStyle w:val="paragraph"/>
      </w:pPr>
      <w:r w:rsidRPr="002B1A95">
        <w:tab/>
        <w:t>(b)</w:t>
      </w:r>
      <w:r w:rsidRPr="002B1A95">
        <w:tab/>
        <w:t>to project benefits that increase in accordance with a general wage index (for example, average weekly earnings).</w:t>
      </w:r>
    </w:p>
    <w:p w:rsidR="007D17C5" w:rsidRPr="002B1A95" w:rsidRDefault="007D17C5" w:rsidP="007D17C5">
      <w:pPr>
        <w:pStyle w:val="ActHead5"/>
      </w:pPr>
      <w:bookmarkStart w:id="241" w:name="_Toc49765418"/>
      <w:r w:rsidRPr="00411C46">
        <w:rPr>
          <w:rStyle w:val="CharSectno"/>
        </w:rPr>
        <w:t>14</w:t>
      </w:r>
      <w:r w:rsidRPr="002B1A95">
        <w:t xml:space="preserve">  Rate of increase in price indices</w:t>
      </w:r>
      <w:bookmarkEnd w:id="241"/>
    </w:p>
    <w:p w:rsidR="007D17C5" w:rsidRPr="002B1A95" w:rsidRDefault="007D17C5" w:rsidP="007D17C5">
      <w:pPr>
        <w:pStyle w:val="subsection"/>
      </w:pPr>
      <w:r w:rsidRPr="002B1A95">
        <w:tab/>
      </w:r>
      <w:r w:rsidRPr="002B1A95">
        <w:tab/>
        <w:t>If a benefit is linked to an increase in a price index (for example, the Consumer Price Index), the rate of increase in the price index to be applied is 2.5% per year.</w:t>
      </w:r>
    </w:p>
    <w:p w:rsidR="007D17C5" w:rsidRPr="002B1A95" w:rsidRDefault="007D17C5" w:rsidP="007D17C5">
      <w:pPr>
        <w:pStyle w:val="ActHead5"/>
      </w:pPr>
      <w:bookmarkStart w:id="242" w:name="_Toc49765419"/>
      <w:r w:rsidRPr="00411C46">
        <w:rPr>
          <w:rStyle w:val="CharSectno"/>
        </w:rPr>
        <w:t>15</w:t>
      </w:r>
      <w:r w:rsidRPr="002B1A95">
        <w:t xml:space="preserve">  New entrant age</w:t>
      </w:r>
      <w:bookmarkEnd w:id="242"/>
    </w:p>
    <w:p w:rsidR="007D17C5" w:rsidRPr="002B1A95" w:rsidRDefault="007D17C5" w:rsidP="007D17C5">
      <w:pPr>
        <w:pStyle w:val="subsection"/>
      </w:pPr>
      <w:r w:rsidRPr="002B1A95">
        <w:tab/>
        <w:t>(1)</w:t>
      </w:r>
      <w:r w:rsidRPr="002B1A95">
        <w:tab/>
        <w:t>The age of new entrants to be assumed is based on the average age of entry to the fund of the persons who were defined benefit members of the fund at 1</w:t>
      </w:r>
      <w:r w:rsidR="002B1A95" w:rsidRPr="002B1A95">
        <w:t> </w:t>
      </w:r>
      <w:r w:rsidRPr="002B1A95">
        <w:t>July 2007.</w:t>
      </w:r>
    </w:p>
    <w:p w:rsidR="007D17C5" w:rsidRPr="002B1A95" w:rsidRDefault="007D17C5" w:rsidP="007D17C5">
      <w:pPr>
        <w:pStyle w:val="subsection"/>
      </w:pPr>
      <w:r w:rsidRPr="002B1A95">
        <w:tab/>
        <w:t>(2)</w:t>
      </w:r>
      <w:r w:rsidRPr="002B1A95">
        <w:tab/>
        <w:t>The following table sets out the age of new entrants that is to be assumed.</w:t>
      </w:r>
    </w:p>
    <w:p w:rsidR="007D17C5" w:rsidRPr="002B1A95" w:rsidRDefault="007D17C5" w:rsidP="007D17C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2"/>
        <w:gridCol w:w="3898"/>
        <w:gridCol w:w="3899"/>
      </w:tblGrid>
      <w:tr w:rsidR="007D17C5" w:rsidRPr="002B1A95" w:rsidTr="009558BE">
        <w:trPr>
          <w:tblHeader/>
        </w:trPr>
        <w:tc>
          <w:tcPr>
            <w:tcW w:w="5000" w:type="pct"/>
            <w:gridSpan w:val="3"/>
            <w:tcBorders>
              <w:top w:val="single" w:sz="12" w:space="0" w:color="auto"/>
              <w:bottom w:val="single" w:sz="6" w:space="0" w:color="auto"/>
            </w:tcBorders>
            <w:shd w:val="clear" w:color="auto" w:fill="auto"/>
          </w:tcPr>
          <w:p w:rsidR="007D17C5" w:rsidRPr="002B1A95" w:rsidRDefault="007D17C5" w:rsidP="009558BE">
            <w:pPr>
              <w:pStyle w:val="TableHeading"/>
            </w:pPr>
            <w:r w:rsidRPr="002B1A95">
              <w:lastRenderedPageBreak/>
              <w:t>New entrant age</w:t>
            </w:r>
          </w:p>
        </w:tc>
      </w:tr>
      <w:tr w:rsidR="007D17C5" w:rsidRPr="002B1A95" w:rsidTr="009558BE">
        <w:trPr>
          <w:tblHeader/>
        </w:trPr>
        <w:tc>
          <w:tcPr>
            <w:tcW w:w="429" w:type="pct"/>
            <w:tcBorders>
              <w:top w:val="single" w:sz="6" w:space="0" w:color="auto"/>
              <w:bottom w:val="single" w:sz="12" w:space="0" w:color="auto"/>
            </w:tcBorders>
            <w:shd w:val="clear" w:color="auto" w:fill="auto"/>
          </w:tcPr>
          <w:p w:rsidR="007D17C5" w:rsidRPr="002B1A95" w:rsidRDefault="007D17C5" w:rsidP="009558BE">
            <w:pPr>
              <w:pStyle w:val="TableHeading"/>
            </w:pPr>
            <w:r w:rsidRPr="002B1A95">
              <w:t>Item</w:t>
            </w:r>
          </w:p>
        </w:tc>
        <w:tc>
          <w:tcPr>
            <w:tcW w:w="2285" w:type="pct"/>
            <w:tcBorders>
              <w:top w:val="single" w:sz="6" w:space="0" w:color="auto"/>
              <w:bottom w:val="single" w:sz="12" w:space="0" w:color="auto"/>
            </w:tcBorders>
            <w:shd w:val="clear" w:color="auto" w:fill="auto"/>
          </w:tcPr>
          <w:p w:rsidR="007D17C5" w:rsidRPr="002B1A95" w:rsidRDefault="007D17C5" w:rsidP="009558BE">
            <w:pPr>
              <w:pStyle w:val="TableHeading"/>
            </w:pPr>
            <w:r w:rsidRPr="002B1A95">
              <w:t>Average age last birthday at commencement in fund of defined benefit members of the fund at 1</w:t>
            </w:r>
            <w:r w:rsidR="002B1A95" w:rsidRPr="002B1A95">
              <w:t> </w:t>
            </w:r>
            <w:r w:rsidRPr="002B1A95">
              <w:t>July 2007</w:t>
            </w:r>
          </w:p>
        </w:tc>
        <w:tc>
          <w:tcPr>
            <w:tcW w:w="2285" w:type="pct"/>
            <w:tcBorders>
              <w:top w:val="single" w:sz="6" w:space="0" w:color="auto"/>
              <w:bottom w:val="single" w:sz="12" w:space="0" w:color="auto"/>
            </w:tcBorders>
            <w:shd w:val="clear" w:color="auto" w:fill="auto"/>
          </w:tcPr>
          <w:p w:rsidR="007D17C5" w:rsidRPr="002B1A95" w:rsidRDefault="007D17C5" w:rsidP="009558BE">
            <w:pPr>
              <w:pStyle w:val="TableHeading"/>
            </w:pPr>
            <w:r w:rsidRPr="002B1A95">
              <w:t>New entrant age to be assumed</w:t>
            </w:r>
          </w:p>
        </w:tc>
      </w:tr>
      <w:tr w:rsidR="007D17C5" w:rsidRPr="002B1A95" w:rsidTr="009558BE">
        <w:tc>
          <w:tcPr>
            <w:tcW w:w="429" w:type="pct"/>
            <w:tcBorders>
              <w:top w:val="single" w:sz="12" w:space="0" w:color="auto"/>
            </w:tcBorders>
            <w:shd w:val="clear" w:color="auto" w:fill="auto"/>
          </w:tcPr>
          <w:p w:rsidR="007D17C5" w:rsidRPr="002B1A95" w:rsidRDefault="007D17C5" w:rsidP="009558BE">
            <w:pPr>
              <w:pStyle w:val="Tabletext"/>
            </w:pPr>
            <w:r w:rsidRPr="002B1A95">
              <w:t>1</w:t>
            </w:r>
          </w:p>
        </w:tc>
        <w:tc>
          <w:tcPr>
            <w:tcW w:w="2285" w:type="pct"/>
            <w:tcBorders>
              <w:top w:val="single" w:sz="12" w:space="0" w:color="auto"/>
            </w:tcBorders>
            <w:shd w:val="clear" w:color="auto" w:fill="auto"/>
          </w:tcPr>
          <w:p w:rsidR="007D17C5" w:rsidRPr="002B1A95" w:rsidRDefault="007D17C5" w:rsidP="009558BE">
            <w:pPr>
              <w:pStyle w:val="Tabletext"/>
            </w:pPr>
            <w:r w:rsidRPr="002B1A95">
              <w:rPr>
                <w:color w:val="000000"/>
              </w:rPr>
              <w:t>&lt;30</w:t>
            </w:r>
          </w:p>
        </w:tc>
        <w:tc>
          <w:tcPr>
            <w:tcW w:w="2285" w:type="pct"/>
            <w:tcBorders>
              <w:top w:val="single" w:sz="12" w:space="0" w:color="auto"/>
            </w:tcBorders>
            <w:shd w:val="clear" w:color="auto" w:fill="auto"/>
          </w:tcPr>
          <w:p w:rsidR="007D17C5" w:rsidRPr="002B1A95" w:rsidRDefault="007D17C5" w:rsidP="009558BE">
            <w:pPr>
              <w:pStyle w:val="Tabletext"/>
              <w:ind w:left="720"/>
            </w:pPr>
            <w:r w:rsidRPr="002B1A95">
              <w:rPr>
                <w:color w:val="000000"/>
              </w:rPr>
              <w:t>25</w:t>
            </w:r>
          </w:p>
        </w:tc>
      </w:tr>
      <w:tr w:rsidR="007D17C5" w:rsidRPr="002B1A95" w:rsidTr="009558BE">
        <w:tc>
          <w:tcPr>
            <w:tcW w:w="429" w:type="pct"/>
            <w:shd w:val="clear" w:color="auto" w:fill="auto"/>
          </w:tcPr>
          <w:p w:rsidR="007D17C5" w:rsidRPr="002B1A95" w:rsidRDefault="007D17C5" w:rsidP="009558BE">
            <w:pPr>
              <w:pStyle w:val="Tabletext"/>
            </w:pPr>
            <w:r w:rsidRPr="002B1A95">
              <w:t>2</w:t>
            </w:r>
          </w:p>
        </w:tc>
        <w:tc>
          <w:tcPr>
            <w:tcW w:w="2285" w:type="pct"/>
            <w:shd w:val="clear" w:color="auto" w:fill="auto"/>
          </w:tcPr>
          <w:p w:rsidR="007D17C5" w:rsidRPr="002B1A95" w:rsidRDefault="007D17C5" w:rsidP="009558BE">
            <w:pPr>
              <w:pStyle w:val="Tabletext"/>
            </w:pPr>
            <w:r w:rsidRPr="002B1A95">
              <w:rPr>
                <w:color w:val="000000"/>
              </w:rPr>
              <w:t>30</w:t>
            </w:r>
            <w:r w:rsidR="00782250">
              <w:rPr>
                <w:color w:val="000000"/>
              </w:rPr>
              <w:noBreakHyphen/>
            </w:r>
            <w:r w:rsidRPr="002B1A95">
              <w:rPr>
                <w:color w:val="000000"/>
              </w:rPr>
              <w:t>34</w:t>
            </w:r>
          </w:p>
        </w:tc>
        <w:tc>
          <w:tcPr>
            <w:tcW w:w="2285" w:type="pct"/>
            <w:shd w:val="clear" w:color="auto" w:fill="auto"/>
          </w:tcPr>
          <w:p w:rsidR="007D17C5" w:rsidRPr="002B1A95" w:rsidRDefault="007D17C5" w:rsidP="009558BE">
            <w:pPr>
              <w:pStyle w:val="Tabletext"/>
              <w:ind w:left="720"/>
            </w:pPr>
            <w:r w:rsidRPr="002B1A95">
              <w:rPr>
                <w:color w:val="000000"/>
              </w:rPr>
              <w:t>30</w:t>
            </w:r>
          </w:p>
        </w:tc>
      </w:tr>
      <w:tr w:rsidR="007D17C5" w:rsidRPr="002B1A95" w:rsidTr="009558BE">
        <w:tc>
          <w:tcPr>
            <w:tcW w:w="429" w:type="pct"/>
            <w:shd w:val="clear" w:color="auto" w:fill="auto"/>
          </w:tcPr>
          <w:p w:rsidR="007D17C5" w:rsidRPr="002B1A95" w:rsidRDefault="007D17C5" w:rsidP="009558BE">
            <w:pPr>
              <w:pStyle w:val="Tabletext"/>
            </w:pPr>
            <w:r w:rsidRPr="002B1A95">
              <w:t>3</w:t>
            </w:r>
          </w:p>
        </w:tc>
        <w:tc>
          <w:tcPr>
            <w:tcW w:w="2285" w:type="pct"/>
            <w:shd w:val="clear" w:color="auto" w:fill="auto"/>
          </w:tcPr>
          <w:p w:rsidR="007D17C5" w:rsidRPr="002B1A95" w:rsidRDefault="007D17C5" w:rsidP="009558BE">
            <w:pPr>
              <w:pStyle w:val="Tabletext"/>
            </w:pPr>
            <w:r w:rsidRPr="002B1A95">
              <w:rPr>
                <w:color w:val="000000"/>
              </w:rPr>
              <w:t>35</w:t>
            </w:r>
            <w:r w:rsidR="00782250">
              <w:rPr>
                <w:color w:val="000000"/>
              </w:rPr>
              <w:noBreakHyphen/>
            </w:r>
            <w:r w:rsidRPr="002B1A95">
              <w:rPr>
                <w:color w:val="000000"/>
              </w:rPr>
              <w:t>39</w:t>
            </w:r>
          </w:p>
        </w:tc>
        <w:tc>
          <w:tcPr>
            <w:tcW w:w="2285" w:type="pct"/>
            <w:shd w:val="clear" w:color="auto" w:fill="auto"/>
          </w:tcPr>
          <w:p w:rsidR="007D17C5" w:rsidRPr="002B1A95" w:rsidRDefault="007D17C5" w:rsidP="009558BE">
            <w:pPr>
              <w:pStyle w:val="Tabletext"/>
              <w:ind w:left="720"/>
            </w:pPr>
            <w:r w:rsidRPr="002B1A95">
              <w:rPr>
                <w:color w:val="000000"/>
              </w:rPr>
              <w:t>35</w:t>
            </w:r>
          </w:p>
        </w:tc>
      </w:tr>
      <w:tr w:rsidR="007D17C5" w:rsidRPr="002B1A95" w:rsidTr="009558BE">
        <w:tc>
          <w:tcPr>
            <w:tcW w:w="429" w:type="pct"/>
            <w:shd w:val="clear" w:color="auto" w:fill="auto"/>
          </w:tcPr>
          <w:p w:rsidR="007D17C5" w:rsidRPr="002B1A95" w:rsidRDefault="007D17C5" w:rsidP="009558BE">
            <w:pPr>
              <w:pStyle w:val="Tabletext"/>
            </w:pPr>
            <w:r w:rsidRPr="002B1A95">
              <w:t>4</w:t>
            </w:r>
          </w:p>
        </w:tc>
        <w:tc>
          <w:tcPr>
            <w:tcW w:w="2285" w:type="pct"/>
            <w:shd w:val="clear" w:color="auto" w:fill="auto"/>
          </w:tcPr>
          <w:p w:rsidR="007D17C5" w:rsidRPr="002B1A95" w:rsidRDefault="007D17C5" w:rsidP="009558BE">
            <w:pPr>
              <w:pStyle w:val="Tabletext"/>
            </w:pPr>
            <w:r w:rsidRPr="002B1A95">
              <w:rPr>
                <w:color w:val="000000"/>
              </w:rPr>
              <w:t>40</w:t>
            </w:r>
            <w:r w:rsidR="00782250">
              <w:rPr>
                <w:color w:val="000000"/>
              </w:rPr>
              <w:noBreakHyphen/>
            </w:r>
            <w:r w:rsidRPr="002B1A95">
              <w:rPr>
                <w:color w:val="000000"/>
              </w:rPr>
              <w:t>44</w:t>
            </w:r>
          </w:p>
        </w:tc>
        <w:tc>
          <w:tcPr>
            <w:tcW w:w="2285" w:type="pct"/>
            <w:shd w:val="clear" w:color="auto" w:fill="auto"/>
          </w:tcPr>
          <w:p w:rsidR="007D17C5" w:rsidRPr="002B1A95" w:rsidRDefault="007D17C5" w:rsidP="009558BE">
            <w:pPr>
              <w:pStyle w:val="Tabletext"/>
              <w:ind w:left="720"/>
            </w:pPr>
            <w:r w:rsidRPr="002B1A95">
              <w:rPr>
                <w:color w:val="000000"/>
              </w:rPr>
              <w:t>40</w:t>
            </w:r>
          </w:p>
        </w:tc>
      </w:tr>
      <w:tr w:rsidR="007D17C5" w:rsidRPr="002B1A95" w:rsidTr="009558BE">
        <w:tc>
          <w:tcPr>
            <w:tcW w:w="429" w:type="pct"/>
            <w:tcBorders>
              <w:bottom w:val="single" w:sz="2" w:space="0" w:color="auto"/>
            </w:tcBorders>
            <w:shd w:val="clear" w:color="auto" w:fill="auto"/>
          </w:tcPr>
          <w:p w:rsidR="007D17C5" w:rsidRPr="002B1A95" w:rsidRDefault="007D17C5" w:rsidP="009558BE">
            <w:pPr>
              <w:pStyle w:val="Tabletext"/>
            </w:pPr>
            <w:r w:rsidRPr="002B1A95">
              <w:t>5</w:t>
            </w:r>
          </w:p>
        </w:tc>
        <w:tc>
          <w:tcPr>
            <w:tcW w:w="2285" w:type="pct"/>
            <w:tcBorders>
              <w:bottom w:val="single" w:sz="2" w:space="0" w:color="auto"/>
            </w:tcBorders>
            <w:shd w:val="clear" w:color="auto" w:fill="auto"/>
          </w:tcPr>
          <w:p w:rsidR="007D17C5" w:rsidRPr="002B1A95" w:rsidRDefault="007D17C5" w:rsidP="009558BE">
            <w:pPr>
              <w:pStyle w:val="Tabletext"/>
            </w:pPr>
            <w:r w:rsidRPr="002B1A95">
              <w:rPr>
                <w:color w:val="000000"/>
              </w:rPr>
              <w:t>45</w:t>
            </w:r>
            <w:r w:rsidR="00782250">
              <w:rPr>
                <w:color w:val="000000"/>
              </w:rPr>
              <w:noBreakHyphen/>
            </w:r>
            <w:r w:rsidRPr="002B1A95">
              <w:rPr>
                <w:color w:val="000000"/>
              </w:rPr>
              <w:t>49</w:t>
            </w:r>
          </w:p>
        </w:tc>
        <w:tc>
          <w:tcPr>
            <w:tcW w:w="2285" w:type="pct"/>
            <w:tcBorders>
              <w:bottom w:val="single" w:sz="2" w:space="0" w:color="auto"/>
            </w:tcBorders>
            <w:shd w:val="clear" w:color="auto" w:fill="auto"/>
          </w:tcPr>
          <w:p w:rsidR="007D17C5" w:rsidRPr="002B1A95" w:rsidRDefault="007D17C5" w:rsidP="009558BE">
            <w:pPr>
              <w:pStyle w:val="Tabletext"/>
              <w:ind w:left="720"/>
            </w:pPr>
            <w:r w:rsidRPr="002B1A95">
              <w:rPr>
                <w:color w:val="000000"/>
              </w:rPr>
              <w:t>45</w:t>
            </w:r>
          </w:p>
        </w:tc>
      </w:tr>
      <w:tr w:rsidR="007D17C5" w:rsidRPr="002B1A95" w:rsidTr="009558BE">
        <w:tc>
          <w:tcPr>
            <w:tcW w:w="429" w:type="pct"/>
            <w:tcBorders>
              <w:top w:val="single" w:sz="2" w:space="0" w:color="auto"/>
              <w:bottom w:val="single" w:sz="12" w:space="0" w:color="auto"/>
            </w:tcBorders>
            <w:shd w:val="clear" w:color="auto" w:fill="auto"/>
          </w:tcPr>
          <w:p w:rsidR="007D17C5" w:rsidRPr="002B1A95" w:rsidRDefault="007D17C5" w:rsidP="009558BE">
            <w:pPr>
              <w:pStyle w:val="Tabletext"/>
            </w:pPr>
            <w:r w:rsidRPr="002B1A95">
              <w:t>6</w:t>
            </w:r>
          </w:p>
        </w:tc>
        <w:tc>
          <w:tcPr>
            <w:tcW w:w="2285" w:type="pct"/>
            <w:tcBorders>
              <w:top w:val="single" w:sz="2" w:space="0" w:color="auto"/>
              <w:bottom w:val="single" w:sz="12" w:space="0" w:color="auto"/>
            </w:tcBorders>
            <w:shd w:val="clear" w:color="auto" w:fill="auto"/>
          </w:tcPr>
          <w:p w:rsidR="007D17C5" w:rsidRPr="002B1A95" w:rsidRDefault="007D17C5" w:rsidP="009558BE">
            <w:pPr>
              <w:pStyle w:val="Tabletext"/>
            </w:pPr>
            <w:r w:rsidRPr="002B1A95">
              <w:rPr>
                <w:color w:val="000000"/>
              </w:rPr>
              <w:t>50+</w:t>
            </w:r>
          </w:p>
        </w:tc>
        <w:tc>
          <w:tcPr>
            <w:tcW w:w="2285" w:type="pct"/>
            <w:tcBorders>
              <w:top w:val="single" w:sz="2" w:space="0" w:color="auto"/>
              <w:bottom w:val="single" w:sz="12" w:space="0" w:color="auto"/>
            </w:tcBorders>
            <w:shd w:val="clear" w:color="auto" w:fill="auto"/>
          </w:tcPr>
          <w:p w:rsidR="007D17C5" w:rsidRPr="002B1A95" w:rsidRDefault="007D17C5" w:rsidP="009558BE">
            <w:pPr>
              <w:pStyle w:val="Tabletext"/>
              <w:ind w:left="720"/>
            </w:pPr>
            <w:r w:rsidRPr="002B1A95">
              <w:rPr>
                <w:color w:val="000000"/>
              </w:rPr>
              <w:t>50</w:t>
            </w:r>
          </w:p>
        </w:tc>
      </w:tr>
    </w:tbl>
    <w:p w:rsidR="007D17C5" w:rsidRPr="002B1A95" w:rsidRDefault="007D17C5" w:rsidP="007D17C5">
      <w:pPr>
        <w:pStyle w:val="subsection"/>
      </w:pPr>
      <w:r w:rsidRPr="002B1A95">
        <w:tab/>
        <w:t>(3)</w:t>
      </w:r>
      <w:r w:rsidRPr="002B1A95">
        <w:tab/>
        <w:t>If:</w:t>
      </w:r>
    </w:p>
    <w:p w:rsidR="007D17C5" w:rsidRPr="002B1A95" w:rsidRDefault="007D17C5" w:rsidP="007D17C5">
      <w:pPr>
        <w:pStyle w:val="paragraph"/>
      </w:pPr>
      <w:r w:rsidRPr="002B1A95">
        <w:tab/>
        <w:t>(a)</w:t>
      </w:r>
      <w:r w:rsidRPr="002B1A95">
        <w:tab/>
        <w:t>there has been a transfer of defined benefit members from a predecessor fund into the fund, or a superannuation sub</w:t>
      </w:r>
      <w:r w:rsidR="00782250">
        <w:noBreakHyphen/>
      </w:r>
      <w:r w:rsidRPr="002B1A95">
        <w:t>fund of the fund; and</w:t>
      </w:r>
    </w:p>
    <w:p w:rsidR="007D17C5" w:rsidRPr="002B1A95" w:rsidRDefault="007D17C5" w:rsidP="007D17C5">
      <w:pPr>
        <w:pStyle w:val="paragraph"/>
      </w:pPr>
      <w:r w:rsidRPr="002B1A95">
        <w:tab/>
        <w:t>(b)</w:t>
      </w:r>
      <w:r w:rsidRPr="002B1A95">
        <w:tab/>
        <w:t>the actuary considers it reasonable to do so;</w:t>
      </w:r>
    </w:p>
    <w:p w:rsidR="007D17C5" w:rsidRPr="002B1A95" w:rsidRDefault="007D17C5" w:rsidP="007D17C5">
      <w:pPr>
        <w:pStyle w:val="subsection2"/>
      </w:pPr>
      <w:r w:rsidRPr="002B1A95">
        <w:t>the actuary may determine a new entrant age for the fund or superannuation sub</w:t>
      </w:r>
      <w:r w:rsidR="00782250">
        <w:noBreakHyphen/>
      </w:r>
      <w:r w:rsidRPr="002B1A95">
        <w:t>fund taking account of the average age of entry used for or relevant for those members in the predecessor fund.</w:t>
      </w:r>
    </w:p>
    <w:p w:rsidR="007D17C5" w:rsidRPr="002B1A95" w:rsidRDefault="007D17C5" w:rsidP="007D17C5">
      <w:pPr>
        <w:pStyle w:val="subsection"/>
      </w:pPr>
      <w:r w:rsidRPr="002B1A95">
        <w:tab/>
        <w:t>(4)</w:t>
      </w:r>
      <w:r w:rsidRPr="002B1A95">
        <w:tab/>
        <w:t>For the purposes of this clause, a defined benefit member does not include a person who:</w:t>
      </w:r>
    </w:p>
    <w:p w:rsidR="007D17C5" w:rsidRPr="002B1A95" w:rsidRDefault="007D17C5" w:rsidP="007D17C5">
      <w:pPr>
        <w:pStyle w:val="paragraph"/>
      </w:pPr>
      <w:r w:rsidRPr="002B1A95">
        <w:tab/>
        <w:t>(a)</w:t>
      </w:r>
      <w:r w:rsidRPr="002B1A95">
        <w:tab/>
        <w:t>is receiving only a pension benefit from the fund; or</w:t>
      </w:r>
    </w:p>
    <w:p w:rsidR="007D17C5" w:rsidRPr="002B1A95" w:rsidRDefault="007D17C5" w:rsidP="007D17C5">
      <w:pPr>
        <w:pStyle w:val="paragraph"/>
      </w:pPr>
      <w:r w:rsidRPr="002B1A95">
        <w:tab/>
        <w:t>(b)</w:t>
      </w:r>
      <w:r w:rsidRPr="002B1A95">
        <w:tab/>
        <w:t>has deferred the person’s benefit entitlement in the fund.</w:t>
      </w:r>
    </w:p>
    <w:p w:rsidR="007D17C5" w:rsidRPr="002B1A95" w:rsidRDefault="007D17C5" w:rsidP="007D17C5">
      <w:pPr>
        <w:pStyle w:val="subsection"/>
      </w:pPr>
      <w:r w:rsidRPr="002B1A95">
        <w:tab/>
        <w:t>(5)</w:t>
      </w:r>
      <w:r w:rsidRPr="002B1A95">
        <w:tab/>
        <w:t>If the actuary believes that there is insufficient information available to calculate the average age of entry, the actuary is to assume that the age of a new entrant is 40.</w:t>
      </w:r>
    </w:p>
    <w:p w:rsidR="007D17C5" w:rsidRPr="002B1A95" w:rsidRDefault="007D17C5" w:rsidP="007D17C5">
      <w:pPr>
        <w:pStyle w:val="subsection"/>
      </w:pPr>
      <w:r w:rsidRPr="002B1A95">
        <w:tab/>
        <w:t>(6)</w:t>
      </w:r>
      <w:r w:rsidRPr="002B1A95">
        <w:tab/>
        <w:t>If an actuary certifies a benefit category for the purposes of subclause 2(1) in relation to a person’s membership of the Governor</w:t>
      </w:r>
      <w:r w:rsidR="00782250">
        <w:noBreakHyphen/>
      </w:r>
      <w:r w:rsidRPr="002B1A95">
        <w:t xml:space="preserve">General Pension Scheme, then, despite </w:t>
      </w:r>
      <w:r w:rsidR="002B1A95" w:rsidRPr="002B1A95">
        <w:t>subclauses (</w:t>
      </w:r>
      <w:r w:rsidRPr="002B1A95">
        <w:t>1) to (5) of this clause, the new entrant age to be assumed for the benefit category is:</w:t>
      </w:r>
    </w:p>
    <w:p w:rsidR="007D17C5" w:rsidRPr="002B1A95" w:rsidRDefault="007D17C5" w:rsidP="007D17C5">
      <w:pPr>
        <w:pStyle w:val="paragraph"/>
      </w:pPr>
      <w:r w:rsidRPr="002B1A95">
        <w:tab/>
        <w:t>(a)</w:t>
      </w:r>
      <w:r w:rsidRPr="002B1A95">
        <w:tab/>
        <w:t xml:space="preserve">the new entrant age specified by the </w:t>
      </w:r>
      <w:r w:rsidRPr="002B1A95">
        <w:rPr>
          <w:i/>
        </w:rPr>
        <w:t>Governor</w:t>
      </w:r>
      <w:r w:rsidR="00782250">
        <w:rPr>
          <w:i/>
        </w:rPr>
        <w:noBreakHyphen/>
      </w:r>
      <w:r w:rsidRPr="002B1A95">
        <w:rPr>
          <w:i/>
        </w:rPr>
        <w:t>General Act 1974</w:t>
      </w:r>
      <w:r w:rsidRPr="002B1A95">
        <w:t>; or</w:t>
      </w:r>
    </w:p>
    <w:p w:rsidR="007D17C5" w:rsidRPr="002B1A95" w:rsidRDefault="007D17C5" w:rsidP="007D17C5">
      <w:pPr>
        <w:pStyle w:val="paragraph"/>
      </w:pPr>
      <w:r w:rsidRPr="002B1A95">
        <w:tab/>
        <w:t>(b)</w:t>
      </w:r>
      <w:r w:rsidRPr="002B1A95">
        <w:tab/>
        <w:t>if that Act does not specify a new entrant age—the person’s age when the person’s appointment as Governor</w:t>
      </w:r>
      <w:r w:rsidR="00782250">
        <w:noBreakHyphen/>
      </w:r>
      <w:r w:rsidRPr="002B1A95">
        <w:t>General commences.</w:t>
      </w:r>
    </w:p>
    <w:p w:rsidR="007D17C5" w:rsidRPr="002B1A95" w:rsidRDefault="007D17C5" w:rsidP="007D17C5">
      <w:pPr>
        <w:pStyle w:val="ActHead5"/>
      </w:pPr>
      <w:bookmarkStart w:id="243" w:name="_Toc49765420"/>
      <w:r w:rsidRPr="00411C46">
        <w:rPr>
          <w:rStyle w:val="CharSectno"/>
        </w:rPr>
        <w:t>16</w:t>
      </w:r>
      <w:r w:rsidRPr="002B1A95">
        <w:t xml:space="preserve">  Exit rates</w:t>
      </w:r>
      <w:bookmarkEnd w:id="243"/>
    </w:p>
    <w:p w:rsidR="007D17C5" w:rsidRPr="002B1A95" w:rsidRDefault="007D17C5" w:rsidP="007D17C5">
      <w:pPr>
        <w:pStyle w:val="subsection"/>
      </w:pPr>
      <w:r w:rsidRPr="002B1A95">
        <w:tab/>
        <w:t>(1)</w:t>
      </w:r>
      <w:r w:rsidRPr="002B1A95">
        <w:tab/>
        <w:t>The following table sets out the rates of voluntary exit from the fund that are to be assumed.</w:t>
      </w:r>
    </w:p>
    <w:p w:rsidR="007D17C5" w:rsidRPr="002B1A95" w:rsidRDefault="007D17C5" w:rsidP="007D17C5">
      <w:pPr>
        <w:pStyle w:val="Tabletext"/>
      </w:pP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817"/>
        <w:gridCol w:w="3828"/>
        <w:gridCol w:w="3884"/>
      </w:tblGrid>
      <w:tr w:rsidR="007D17C5" w:rsidRPr="002B1A95" w:rsidTr="009558BE">
        <w:trPr>
          <w:tblHeader/>
        </w:trPr>
        <w:tc>
          <w:tcPr>
            <w:tcW w:w="5000" w:type="pct"/>
            <w:gridSpan w:val="3"/>
            <w:tcBorders>
              <w:top w:val="single" w:sz="12" w:space="0" w:color="auto"/>
              <w:bottom w:val="single" w:sz="6" w:space="0" w:color="auto"/>
            </w:tcBorders>
          </w:tcPr>
          <w:p w:rsidR="007D17C5" w:rsidRPr="002B1A95" w:rsidRDefault="007D17C5" w:rsidP="009558BE">
            <w:pPr>
              <w:pStyle w:val="TableHeading"/>
            </w:pPr>
            <w:r w:rsidRPr="002B1A95">
              <w:t>Voluntary exit rates</w:t>
            </w:r>
          </w:p>
        </w:tc>
      </w:tr>
      <w:tr w:rsidR="007D17C5" w:rsidRPr="002B1A95" w:rsidTr="009558BE">
        <w:trPr>
          <w:tblHeader/>
        </w:trPr>
        <w:tc>
          <w:tcPr>
            <w:tcW w:w="479" w:type="pct"/>
            <w:tcBorders>
              <w:top w:val="single" w:sz="6" w:space="0" w:color="auto"/>
              <w:bottom w:val="single" w:sz="12" w:space="0" w:color="auto"/>
            </w:tcBorders>
          </w:tcPr>
          <w:p w:rsidR="007D17C5" w:rsidRPr="002B1A95" w:rsidRDefault="007D17C5" w:rsidP="009558BE">
            <w:pPr>
              <w:pStyle w:val="TableHeading"/>
            </w:pPr>
            <w:r w:rsidRPr="002B1A95">
              <w:t>Item</w:t>
            </w:r>
          </w:p>
        </w:tc>
        <w:tc>
          <w:tcPr>
            <w:tcW w:w="2244" w:type="pct"/>
            <w:tcBorders>
              <w:top w:val="single" w:sz="6" w:space="0" w:color="auto"/>
              <w:bottom w:val="single" w:sz="12" w:space="0" w:color="auto"/>
            </w:tcBorders>
            <w:shd w:val="clear" w:color="auto" w:fill="auto"/>
          </w:tcPr>
          <w:p w:rsidR="007D17C5" w:rsidRPr="002B1A95" w:rsidRDefault="007D17C5" w:rsidP="009558BE">
            <w:pPr>
              <w:pStyle w:val="TableHeading"/>
            </w:pPr>
            <w:r w:rsidRPr="002B1A95">
              <w:t>Age band</w:t>
            </w:r>
          </w:p>
        </w:tc>
        <w:tc>
          <w:tcPr>
            <w:tcW w:w="2277" w:type="pct"/>
            <w:tcBorders>
              <w:top w:val="single" w:sz="6" w:space="0" w:color="auto"/>
              <w:bottom w:val="single" w:sz="12" w:space="0" w:color="auto"/>
            </w:tcBorders>
            <w:shd w:val="clear" w:color="auto" w:fill="auto"/>
          </w:tcPr>
          <w:p w:rsidR="007D17C5" w:rsidRPr="002B1A95" w:rsidRDefault="007D17C5" w:rsidP="009558BE">
            <w:pPr>
              <w:pStyle w:val="TableHeading"/>
            </w:pPr>
            <w:r w:rsidRPr="002B1A95">
              <w:t>Exit rate</w:t>
            </w:r>
          </w:p>
        </w:tc>
      </w:tr>
      <w:tr w:rsidR="007D17C5" w:rsidRPr="002B1A95" w:rsidTr="009558BE">
        <w:tc>
          <w:tcPr>
            <w:tcW w:w="479" w:type="pct"/>
            <w:tcBorders>
              <w:top w:val="single" w:sz="12" w:space="0" w:color="auto"/>
            </w:tcBorders>
          </w:tcPr>
          <w:p w:rsidR="007D17C5" w:rsidRPr="002B1A95" w:rsidRDefault="007D17C5" w:rsidP="009558BE">
            <w:pPr>
              <w:pStyle w:val="Tabletext"/>
              <w:rPr>
                <w:color w:val="000000"/>
              </w:rPr>
            </w:pPr>
            <w:r w:rsidRPr="002B1A95">
              <w:rPr>
                <w:color w:val="000000"/>
              </w:rPr>
              <w:t>1</w:t>
            </w:r>
          </w:p>
        </w:tc>
        <w:tc>
          <w:tcPr>
            <w:tcW w:w="2244" w:type="pct"/>
            <w:tcBorders>
              <w:top w:val="single" w:sz="12" w:space="0" w:color="auto"/>
            </w:tcBorders>
            <w:shd w:val="clear" w:color="auto" w:fill="auto"/>
          </w:tcPr>
          <w:p w:rsidR="007D17C5" w:rsidRPr="002B1A95" w:rsidRDefault="007D17C5" w:rsidP="009558BE">
            <w:pPr>
              <w:pStyle w:val="Tabletext"/>
            </w:pPr>
            <w:r w:rsidRPr="002B1A95">
              <w:rPr>
                <w:color w:val="000000"/>
              </w:rPr>
              <w:t>&lt;40</w:t>
            </w:r>
          </w:p>
        </w:tc>
        <w:tc>
          <w:tcPr>
            <w:tcW w:w="2277" w:type="pct"/>
            <w:tcBorders>
              <w:top w:val="single" w:sz="12" w:space="0" w:color="auto"/>
            </w:tcBorders>
            <w:shd w:val="clear" w:color="auto" w:fill="auto"/>
          </w:tcPr>
          <w:p w:rsidR="007D17C5" w:rsidRPr="002B1A95" w:rsidRDefault="007D17C5" w:rsidP="009558BE">
            <w:pPr>
              <w:pStyle w:val="Tabletext"/>
            </w:pPr>
            <w:r w:rsidRPr="002B1A95">
              <w:rPr>
                <w:color w:val="000000"/>
              </w:rPr>
              <w:t>0.05</w:t>
            </w:r>
          </w:p>
        </w:tc>
      </w:tr>
      <w:tr w:rsidR="007D17C5" w:rsidRPr="002B1A95" w:rsidTr="009558BE">
        <w:tc>
          <w:tcPr>
            <w:tcW w:w="479" w:type="pct"/>
          </w:tcPr>
          <w:p w:rsidR="007D17C5" w:rsidRPr="002B1A95" w:rsidRDefault="007D17C5" w:rsidP="009558BE">
            <w:pPr>
              <w:pStyle w:val="Tabletext"/>
              <w:rPr>
                <w:color w:val="000000"/>
              </w:rPr>
            </w:pPr>
            <w:r w:rsidRPr="002B1A95">
              <w:rPr>
                <w:color w:val="000000"/>
              </w:rPr>
              <w:t>2</w:t>
            </w:r>
          </w:p>
        </w:tc>
        <w:tc>
          <w:tcPr>
            <w:tcW w:w="2244" w:type="pct"/>
            <w:shd w:val="clear" w:color="auto" w:fill="auto"/>
          </w:tcPr>
          <w:p w:rsidR="007D17C5" w:rsidRPr="002B1A95" w:rsidRDefault="007D17C5" w:rsidP="009558BE">
            <w:pPr>
              <w:pStyle w:val="Tabletext"/>
            </w:pPr>
            <w:r w:rsidRPr="002B1A95">
              <w:rPr>
                <w:color w:val="000000"/>
              </w:rPr>
              <w:t>40</w:t>
            </w:r>
            <w:r w:rsidR="00782250">
              <w:rPr>
                <w:color w:val="000000"/>
              </w:rPr>
              <w:noBreakHyphen/>
            </w:r>
            <w:r w:rsidRPr="002B1A95">
              <w:rPr>
                <w:color w:val="000000"/>
              </w:rPr>
              <w:t>44</w:t>
            </w:r>
          </w:p>
        </w:tc>
        <w:tc>
          <w:tcPr>
            <w:tcW w:w="2277" w:type="pct"/>
            <w:shd w:val="clear" w:color="auto" w:fill="auto"/>
          </w:tcPr>
          <w:p w:rsidR="007D17C5" w:rsidRPr="002B1A95" w:rsidRDefault="007D17C5" w:rsidP="009558BE">
            <w:pPr>
              <w:pStyle w:val="Tabletext"/>
            </w:pPr>
            <w:r w:rsidRPr="002B1A95">
              <w:rPr>
                <w:color w:val="000000"/>
              </w:rPr>
              <w:t>0.04</w:t>
            </w:r>
          </w:p>
        </w:tc>
      </w:tr>
      <w:tr w:rsidR="007D17C5" w:rsidRPr="002B1A95" w:rsidTr="009558BE">
        <w:tc>
          <w:tcPr>
            <w:tcW w:w="479" w:type="pct"/>
          </w:tcPr>
          <w:p w:rsidR="007D17C5" w:rsidRPr="002B1A95" w:rsidRDefault="007D17C5" w:rsidP="009558BE">
            <w:pPr>
              <w:pStyle w:val="Tabletext"/>
              <w:rPr>
                <w:color w:val="000000"/>
              </w:rPr>
            </w:pPr>
            <w:r w:rsidRPr="002B1A95">
              <w:rPr>
                <w:color w:val="000000"/>
              </w:rPr>
              <w:t>3</w:t>
            </w:r>
          </w:p>
        </w:tc>
        <w:tc>
          <w:tcPr>
            <w:tcW w:w="2244" w:type="pct"/>
            <w:shd w:val="clear" w:color="auto" w:fill="auto"/>
          </w:tcPr>
          <w:p w:rsidR="007D17C5" w:rsidRPr="002B1A95" w:rsidRDefault="007D17C5" w:rsidP="009558BE">
            <w:pPr>
              <w:pStyle w:val="Tabletext"/>
            </w:pPr>
            <w:r w:rsidRPr="002B1A95">
              <w:rPr>
                <w:color w:val="000000"/>
              </w:rPr>
              <w:t>45</w:t>
            </w:r>
            <w:r w:rsidR="00782250">
              <w:rPr>
                <w:color w:val="000000"/>
              </w:rPr>
              <w:noBreakHyphen/>
            </w:r>
            <w:r w:rsidRPr="002B1A95">
              <w:rPr>
                <w:color w:val="000000"/>
              </w:rPr>
              <w:t>49</w:t>
            </w:r>
          </w:p>
        </w:tc>
        <w:tc>
          <w:tcPr>
            <w:tcW w:w="2277" w:type="pct"/>
            <w:shd w:val="clear" w:color="auto" w:fill="auto"/>
          </w:tcPr>
          <w:p w:rsidR="007D17C5" w:rsidRPr="002B1A95" w:rsidRDefault="007D17C5" w:rsidP="009558BE">
            <w:pPr>
              <w:pStyle w:val="Tabletext"/>
            </w:pPr>
            <w:r w:rsidRPr="002B1A95">
              <w:rPr>
                <w:color w:val="000000"/>
              </w:rPr>
              <w:t>0.04</w:t>
            </w:r>
          </w:p>
        </w:tc>
      </w:tr>
      <w:tr w:rsidR="007D17C5" w:rsidRPr="002B1A95" w:rsidTr="009558BE">
        <w:tc>
          <w:tcPr>
            <w:tcW w:w="479" w:type="pct"/>
          </w:tcPr>
          <w:p w:rsidR="007D17C5" w:rsidRPr="002B1A95" w:rsidRDefault="007D17C5" w:rsidP="009558BE">
            <w:pPr>
              <w:pStyle w:val="Tabletext"/>
              <w:rPr>
                <w:color w:val="000000"/>
              </w:rPr>
            </w:pPr>
            <w:r w:rsidRPr="002B1A95">
              <w:rPr>
                <w:color w:val="000000"/>
              </w:rPr>
              <w:lastRenderedPageBreak/>
              <w:t>4</w:t>
            </w:r>
          </w:p>
        </w:tc>
        <w:tc>
          <w:tcPr>
            <w:tcW w:w="2244" w:type="pct"/>
            <w:shd w:val="clear" w:color="auto" w:fill="auto"/>
          </w:tcPr>
          <w:p w:rsidR="007D17C5" w:rsidRPr="002B1A95" w:rsidRDefault="007D17C5" w:rsidP="009558BE">
            <w:pPr>
              <w:pStyle w:val="Tabletext"/>
            </w:pPr>
            <w:r w:rsidRPr="002B1A95">
              <w:rPr>
                <w:color w:val="000000"/>
              </w:rPr>
              <w:t>50</w:t>
            </w:r>
            <w:r w:rsidR="00782250">
              <w:rPr>
                <w:color w:val="000000"/>
              </w:rPr>
              <w:noBreakHyphen/>
            </w:r>
            <w:r w:rsidRPr="002B1A95">
              <w:rPr>
                <w:color w:val="000000"/>
              </w:rPr>
              <w:t>54</w:t>
            </w:r>
          </w:p>
        </w:tc>
        <w:tc>
          <w:tcPr>
            <w:tcW w:w="2277" w:type="pct"/>
            <w:shd w:val="clear" w:color="auto" w:fill="auto"/>
          </w:tcPr>
          <w:p w:rsidR="007D17C5" w:rsidRPr="002B1A95" w:rsidRDefault="007D17C5" w:rsidP="009558BE">
            <w:pPr>
              <w:pStyle w:val="Tabletext"/>
            </w:pPr>
            <w:r w:rsidRPr="002B1A95">
              <w:rPr>
                <w:color w:val="000000"/>
              </w:rPr>
              <w:t>0.04</w:t>
            </w:r>
          </w:p>
        </w:tc>
      </w:tr>
      <w:tr w:rsidR="007D17C5" w:rsidRPr="002B1A95" w:rsidTr="009558BE">
        <w:tc>
          <w:tcPr>
            <w:tcW w:w="479" w:type="pct"/>
          </w:tcPr>
          <w:p w:rsidR="007D17C5" w:rsidRPr="002B1A95" w:rsidRDefault="007D17C5" w:rsidP="009558BE">
            <w:pPr>
              <w:pStyle w:val="Tabletext"/>
              <w:rPr>
                <w:color w:val="000000"/>
              </w:rPr>
            </w:pPr>
            <w:r w:rsidRPr="002B1A95">
              <w:rPr>
                <w:color w:val="000000"/>
              </w:rPr>
              <w:t>5</w:t>
            </w:r>
          </w:p>
        </w:tc>
        <w:tc>
          <w:tcPr>
            <w:tcW w:w="2244" w:type="pct"/>
            <w:shd w:val="clear" w:color="auto" w:fill="auto"/>
          </w:tcPr>
          <w:p w:rsidR="007D17C5" w:rsidRPr="002B1A95" w:rsidRDefault="007D17C5" w:rsidP="009558BE">
            <w:pPr>
              <w:pStyle w:val="Tabletext"/>
            </w:pPr>
            <w:r w:rsidRPr="002B1A95">
              <w:rPr>
                <w:color w:val="000000"/>
              </w:rPr>
              <w:t>55</w:t>
            </w:r>
            <w:r w:rsidR="00782250">
              <w:rPr>
                <w:color w:val="000000"/>
              </w:rPr>
              <w:noBreakHyphen/>
            </w:r>
            <w:r w:rsidRPr="002B1A95">
              <w:rPr>
                <w:color w:val="000000"/>
              </w:rPr>
              <w:t>59</w:t>
            </w:r>
          </w:p>
        </w:tc>
        <w:tc>
          <w:tcPr>
            <w:tcW w:w="2277" w:type="pct"/>
            <w:shd w:val="clear" w:color="auto" w:fill="auto"/>
          </w:tcPr>
          <w:p w:rsidR="007D17C5" w:rsidRPr="002B1A95" w:rsidRDefault="007D17C5" w:rsidP="009558BE">
            <w:pPr>
              <w:pStyle w:val="Tabletext"/>
            </w:pPr>
            <w:r w:rsidRPr="002B1A95">
              <w:rPr>
                <w:color w:val="000000"/>
              </w:rPr>
              <w:t>0.08</w:t>
            </w:r>
          </w:p>
        </w:tc>
      </w:tr>
      <w:tr w:rsidR="007D17C5" w:rsidRPr="002B1A95" w:rsidTr="009558BE">
        <w:tc>
          <w:tcPr>
            <w:tcW w:w="479" w:type="pct"/>
          </w:tcPr>
          <w:p w:rsidR="007D17C5" w:rsidRPr="002B1A95" w:rsidRDefault="007D17C5" w:rsidP="009558BE">
            <w:pPr>
              <w:pStyle w:val="Tabletext"/>
              <w:rPr>
                <w:color w:val="000000"/>
              </w:rPr>
            </w:pPr>
            <w:r w:rsidRPr="002B1A95">
              <w:rPr>
                <w:color w:val="000000"/>
              </w:rPr>
              <w:t>6</w:t>
            </w:r>
          </w:p>
        </w:tc>
        <w:tc>
          <w:tcPr>
            <w:tcW w:w="2244" w:type="pct"/>
            <w:shd w:val="clear" w:color="auto" w:fill="auto"/>
          </w:tcPr>
          <w:p w:rsidR="007D17C5" w:rsidRPr="002B1A95" w:rsidRDefault="007D17C5" w:rsidP="009558BE">
            <w:pPr>
              <w:pStyle w:val="Tabletext"/>
            </w:pPr>
            <w:r w:rsidRPr="002B1A95">
              <w:rPr>
                <w:color w:val="000000"/>
              </w:rPr>
              <w:t>60</w:t>
            </w:r>
          </w:p>
        </w:tc>
        <w:tc>
          <w:tcPr>
            <w:tcW w:w="2277" w:type="pct"/>
            <w:shd w:val="clear" w:color="auto" w:fill="auto"/>
          </w:tcPr>
          <w:p w:rsidR="007D17C5" w:rsidRPr="002B1A95" w:rsidRDefault="007D17C5" w:rsidP="009558BE">
            <w:pPr>
              <w:pStyle w:val="Tabletext"/>
            </w:pPr>
            <w:r w:rsidRPr="002B1A95">
              <w:rPr>
                <w:color w:val="000000"/>
              </w:rPr>
              <w:t>0.12</w:t>
            </w:r>
          </w:p>
        </w:tc>
      </w:tr>
      <w:tr w:rsidR="007D17C5" w:rsidRPr="002B1A95" w:rsidTr="009558BE">
        <w:tc>
          <w:tcPr>
            <w:tcW w:w="479" w:type="pct"/>
            <w:tcBorders>
              <w:bottom w:val="single" w:sz="4" w:space="0" w:color="auto"/>
            </w:tcBorders>
          </w:tcPr>
          <w:p w:rsidR="007D17C5" w:rsidRPr="002B1A95" w:rsidRDefault="007D17C5" w:rsidP="009558BE">
            <w:pPr>
              <w:pStyle w:val="Tabletext"/>
              <w:rPr>
                <w:color w:val="000000"/>
              </w:rPr>
            </w:pPr>
            <w:r w:rsidRPr="002B1A95">
              <w:rPr>
                <w:color w:val="000000"/>
              </w:rPr>
              <w:t>7</w:t>
            </w:r>
          </w:p>
        </w:tc>
        <w:tc>
          <w:tcPr>
            <w:tcW w:w="2244" w:type="pct"/>
            <w:tcBorders>
              <w:bottom w:val="single" w:sz="4" w:space="0" w:color="auto"/>
            </w:tcBorders>
            <w:shd w:val="clear" w:color="auto" w:fill="auto"/>
          </w:tcPr>
          <w:p w:rsidR="007D17C5" w:rsidRPr="002B1A95" w:rsidRDefault="007D17C5" w:rsidP="009558BE">
            <w:pPr>
              <w:pStyle w:val="Tabletext"/>
            </w:pPr>
            <w:r w:rsidRPr="002B1A95">
              <w:rPr>
                <w:color w:val="000000"/>
              </w:rPr>
              <w:t>61</w:t>
            </w:r>
            <w:r w:rsidR="00782250">
              <w:rPr>
                <w:color w:val="000000"/>
              </w:rPr>
              <w:noBreakHyphen/>
            </w:r>
            <w:r w:rsidRPr="002B1A95">
              <w:rPr>
                <w:color w:val="000000"/>
              </w:rPr>
              <w:t>64</w:t>
            </w:r>
          </w:p>
        </w:tc>
        <w:tc>
          <w:tcPr>
            <w:tcW w:w="2277" w:type="pct"/>
            <w:tcBorders>
              <w:bottom w:val="single" w:sz="4" w:space="0" w:color="auto"/>
            </w:tcBorders>
            <w:shd w:val="clear" w:color="auto" w:fill="auto"/>
          </w:tcPr>
          <w:p w:rsidR="007D17C5" w:rsidRPr="002B1A95" w:rsidRDefault="007D17C5" w:rsidP="009558BE">
            <w:pPr>
              <w:pStyle w:val="Tabletext"/>
            </w:pPr>
            <w:r w:rsidRPr="002B1A95">
              <w:rPr>
                <w:color w:val="000000"/>
              </w:rPr>
              <w:t>0.10</w:t>
            </w:r>
          </w:p>
        </w:tc>
      </w:tr>
      <w:tr w:rsidR="007D17C5" w:rsidRPr="002B1A95" w:rsidTr="009558BE">
        <w:tc>
          <w:tcPr>
            <w:tcW w:w="479" w:type="pct"/>
            <w:tcBorders>
              <w:bottom w:val="single" w:sz="12" w:space="0" w:color="auto"/>
            </w:tcBorders>
          </w:tcPr>
          <w:p w:rsidR="007D17C5" w:rsidRPr="002B1A95" w:rsidRDefault="007D17C5" w:rsidP="009558BE">
            <w:pPr>
              <w:pStyle w:val="Tabletext"/>
              <w:rPr>
                <w:color w:val="000000"/>
              </w:rPr>
            </w:pPr>
            <w:r w:rsidRPr="002B1A95">
              <w:rPr>
                <w:color w:val="000000"/>
              </w:rPr>
              <w:t>8</w:t>
            </w:r>
          </w:p>
        </w:tc>
        <w:tc>
          <w:tcPr>
            <w:tcW w:w="2244" w:type="pct"/>
            <w:tcBorders>
              <w:bottom w:val="single" w:sz="12" w:space="0" w:color="auto"/>
            </w:tcBorders>
            <w:shd w:val="clear" w:color="auto" w:fill="auto"/>
          </w:tcPr>
          <w:p w:rsidR="007D17C5" w:rsidRPr="002B1A95" w:rsidRDefault="007D17C5" w:rsidP="009558BE">
            <w:pPr>
              <w:pStyle w:val="Tabletext"/>
            </w:pPr>
            <w:r w:rsidRPr="002B1A95">
              <w:rPr>
                <w:color w:val="000000"/>
              </w:rPr>
              <w:t>65</w:t>
            </w:r>
          </w:p>
        </w:tc>
        <w:tc>
          <w:tcPr>
            <w:tcW w:w="2277" w:type="pct"/>
            <w:tcBorders>
              <w:bottom w:val="single" w:sz="12" w:space="0" w:color="auto"/>
            </w:tcBorders>
            <w:shd w:val="clear" w:color="auto" w:fill="auto"/>
          </w:tcPr>
          <w:p w:rsidR="007D17C5" w:rsidRPr="002B1A95" w:rsidRDefault="007D17C5" w:rsidP="009558BE">
            <w:pPr>
              <w:pStyle w:val="Tabletext"/>
            </w:pPr>
            <w:r w:rsidRPr="002B1A95">
              <w:rPr>
                <w:color w:val="000000"/>
              </w:rPr>
              <w:t>1.00</w:t>
            </w:r>
          </w:p>
        </w:tc>
      </w:tr>
    </w:tbl>
    <w:p w:rsidR="007D17C5" w:rsidRPr="002B1A95" w:rsidRDefault="007D17C5" w:rsidP="007D17C5">
      <w:pPr>
        <w:pStyle w:val="subsection"/>
      </w:pPr>
      <w:r w:rsidRPr="002B1A95">
        <w:tab/>
        <w:t>(2)</w:t>
      </w:r>
      <w:r w:rsidRPr="002B1A95">
        <w:tab/>
        <w:t>However, if an actuary certifies a benefit category for the purposes of subclause 2(1) in relation to a person’s membership of the Governor</w:t>
      </w:r>
      <w:r w:rsidR="00782250">
        <w:noBreakHyphen/>
      </w:r>
      <w:r w:rsidRPr="002B1A95">
        <w:t xml:space="preserve">General Pension Scheme, then, despite </w:t>
      </w:r>
      <w:r w:rsidR="002B1A95" w:rsidRPr="002B1A95">
        <w:t>subclause (</w:t>
      </w:r>
      <w:r w:rsidRPr="002B1A95">
        <w:t>1) of this clause, the voluntary exit rates to be assumed for the benefit category are:</w:t>
      </w:r>
    </w:p>
    <w:p w:rsidR="007D17C5" w:rsidRPr="002B1A95" w:rsidRDefault="007D17C5" w:rsidP="007D17C5">
      <w:pPr>
        <w:pStyle w:val="paragraph"/>
      </w:pPr>
      <w:r w:rsidRPr="002B1A95">
        <w:tab/>
        <w:t>(a)</w:t>
      </w:r>
      <w:r w:rsidRPr="002B1A95">
        <w:tab/>
        <w:t xml:space="preserve">the voluntary exit rates specified by the </w:t>
      </w:r>
      <w:r w:rsidRPr="002B1A95">
        <w:rPr>
          <w:i/>
        </w:rPr>
        <w:t>Governor</w:t>
      </w:r>
      <w:r w:rsidR="00782250">
        <w:rPr>
          <w:i/>
        </w:rPr>
        <w:noBreakHyphen/>
      </w:r>
      <w:r w:rsidRPr="002B1A95">
        <w:rPr>
          <w:i/>
        </w:rPr>
        <w:t>General Act 1974</w:t>
      </w:r>
      <w:r w:rsidRPr="002B1A95">
        <w:t>; or</w:t>
      </w:r>
    </w:p>
    <w:p w:rsidR="007D17C5" w:rsidRPr="002B1A95" w:rsidRDefault="007D17C5" w:rsidP="007D17C5">
      <w:pPr>
        <w:pStyle w:val="paragraph"/>
      </w:pPr>
      <w:r w:rsidRPr="002B1A95">
        <w:tab/>
        <w:t>(b)</w:t>
      </w:r>
      <w:r w:rsidRPr="002B1A95">
        <w:tab/>
        <w:t>if that Act does not specify voluntary exit rates—the following rates:</w:t>
      </w:r>
    </w:p>
    <w:p w:rsidR="007D17C5" w:rsidRPr="002B1A95" w:rsidRDefault="007D17C5" w:rsidP="007D17C5">
      <w:pPr>
        <w:pStyle w:val="paragraphsub"/>
      </w:pPr>
      <w:r w:rsidRPr="002B1A95">
        <w:tab/>
        <w:t>(i)</w:t>
      </w:r>
      <w:r w:rsidRPr="002B1A95">
        <w:tab/>
        <w:t>from the age of the person on the day the person’s appointment as Governor</w:t>
      </w:r>
      <w:r w:rsidR="00782250">
        <w:noBreakHyphen/>
      </w:r>
      <w:r w:rsidRPr="002B1A95">
        <w:t xml:space="preserve">General commences (the </w:t>
      </w:r>
      <w:r w:rsidRPr="002B1A95">
        <w:rPr>
          <w:b/>
          <w:i/>
        </w:rPr>
        <w:t>appointment day</w:t>
      </w:r>
      <w:r w:rsidRPr="002B1A95">
        <w:t>) to the person’s age on the fourth anniversary of the appointment day—0.00;</w:t>
      </w:r>
    </w:p>
    <w:p w:rsidR="007D17C5" w:rsidRPr="002B1A95" w:rsidRDefault="007D17C5" w:rsidP="007D17C5">
      <w:pPr>
        <w:pStyle w:val="paragraphsub"/>
      </w:pPr>
      <w:r w:rsidRPr="002B1A95">
        <w:tab/>
        <w:t>(ii)</w:t>
      </w:r>
      <w:r w:rsidRPr="002B1A95">
        <w:tab/>
        <w:t>from the age of the person on the person’s next birthday after the fourth anniversary of the appointment day to any later age—1.00.</w:t>
      </w:r>
    </w:p>
    <w:p w:rsidR="007D17C5" w:rsidRPr="002B1A95" w:rsidRDefault="007D17C5" w:rsidP="007D17C5">
      <w:pPr>
        <w:pStyle w:val="subsection"/>
      </w:pPr>
      <w:r w:rsidRPr="002B1A95">
        <w:tab/>
        <w:t>(3)</w:t>
      </w:r>
      <w:r w:rsidRPr="002B1A95">
        <w:tab/>
        <w:t>The rate of involuntary exit (including by redundancy, death or invalidity) to be assumed is zero.</w:t>
      </w:r>
    </w:p>
    <w:p w:rsidR="007D17C5" w:rsidRPr="002B1A95" w:rsidRDefault="007D17C5" w:rsidP="007D17C5">
      <w:pPr>
        <w:pStyle w:val="ActHead5"/>
      </w:pPr>
      <w:bookmarkStart w:id="244" w:name="_Toc49765421"/>
      <w:r w:rsidRPr="00411C46">
        <w:rPr>
          <w:rStyle w:val="CharSectno"/>
        </w:rPr>
        <w:t>17</w:t>
      </w:r>
      <w:r w:rsidRPr="002B1A95">
        <w:t xml:space="preserve">  Pensions</w:t>
      </w:r>
      <w:bookmarkEnd w:id="244"/>
    </w:p>
    <w:p w:rsidR="007D17C5" w:rsidRPr="002B1A95" w:rsidRDefault="007D17C5" w:rsidP="007D17C5">
      <w:pPr>
        <w:pStyle w:val="subsection"/>
      </w:pPr>
      <w:r w:rsidRPr="002B1A95">
        <w:rPr>
          <w:color w:val="000000"/>
        </w:rPr>
        <w:tab/>
        <w:t>(1)</w:t>
      </w:r>
      <w:r w:rsidRPr="002B1A95">
        <w:rPr>
          <w:color w:val="000000"/>
        </w:rPr>
        <w:tab/>
        <w:t>If the benefit is a single life pension, the pension is to be valued using the assumptions set out in this Part.</w:t>
      </w:r>
    </w:p>
    <w:p w:rsidR="007D17C5" w:rsidRPr="002B1A95" w:rsidRDefault="007D17C5" w:rsidP="007D17C5">
      <w:pPr>
        <w:pStyle w:val="subsection"/>
      </w:pPr>
      <w:r w:rsidRPr="002B1A95">
        <w:tab/>
        <w:t>(2)</w:t>
      </w:r>
      <w:r w:rsidRPr="002B1A95">
        <w:tab/>
        <w:t xml:space="preserve">If the </w:t>
      </w:r>
      <w:r w:rsidRPr="002B1A95">
        <w:rPr>
          <w:color w:val="000000"/>
        </w:rPr>
        <w:t xml:space="preserve">benefit </w:t>
      </w:r>
      <w:r w:rsidRPr="002B1A95">
        <w:t>is a reversionary pension, the value of the pension is to be taken as the value of the pension assuming it is a single life pension, increased by 10%.</w:t>
      </w:r>
    </w:p>
    <w:p w:rsidR="007D17C5" w:rsidRPr="002B1A95" w:rsidRDefault="007D17C5" w:rsidP="007D17C5">
      <w:pPr>
        <w:pStyle w:val="ActHead5"/>
      </w:pPr>
      <w:bookmarkStart w:id="245" w:name="_Toc49765422"/>
      <w:r w:rsidRPr="00411C46">
        <w:rPr>
          <w:rStyle w:val="CharSectno"/>
        </w:rPr>
        <w:t>18</w:t>
      </w:r>
      <w:r w:rsidRPr="002B1A95">
        <w:t xml:space="preserve">  Mortality of pensioners</w:t>
      </w:r>
      <w:bookmarkEnd w:id="245"/>
    </w:p>
    <w:p w:rsidR="007D17C5" w:rsidRPr="002B1A95" w:rsidRDefault="007D17C5" w:rsidP="007D17C5">
      <w:pPr>
        <w:pStyle w:val="subsection"/>
      </w:pPr>
      <w:r w:rsidRPr="002B1A95">
        <w:tab/>
      </w:r>
      <w:r w:rsidRPr="002B1A95">
        <w:tab/>
        <w:t>The following table sets out the rates of pensioner mortality (</w:t>
      </w:r>
      <w:r w:rsidRPr="002B1A95">
        <w:rPr>
          <w:b/>
          <w:i/>
        </w:rPr>
        <w:t>qx</w:t>
      </w:r>
      <w:r w:rsidRPr="002B1A95">
        <w:t>) that are to be assumed.</w:t>
      </w:r>
    </w:p>
    <w:p w:rsidR="007D17C5" w:rsidRPr="002B1A95" w:rsidRDefault="007D17C5" w:rsidP="007D17C5">
      <w:pPr>
        <w:pStyle w:val="Tabletext"/>
      </w:pP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676"/>
        <w:gridCol w:w="3969"/>
        <w:gridCol w:w="3884"/>
      </w:tblGrid>
      <w:tr w:rsidR="007D17C5" w:rsidRPr="002B1A95" w:rsidTr="009558BE">
        <w:trPr>
          <w:tblHeader/>
        </w:trPr>
        <w:tc>
          <w:tcPr>
            <w:tcW w:w="5000" w:type="pct"/>
            <w:gridSpan w:val="3"/>
            <w:tcBorders>
              <w:top w:val="single" w:sz="12" w:space="0" w:color="auto"/>
              <w:bottom w:val="single" w:sz="6" w:space="0" w:color="auto"/>
            </w:tcBorders>
          </w:tcPr>
          <w:p w:rsidR="007D17C5" w:rsidRPr="002B1A95" w:rsidRDefault="007D17C5" w:rsidP="009558BE">
            <w:pPr>
              <w:pStyle w:val="TableHeading"/>
              <w:keepNext w:val="0"/>
            </w:pPr>
            <w:r w:rsidRPr="002B1A95">
              <w:t>Pensioner mortality (</w:t>
            </w:r>
            <w:r w:rsidRPr="002B1A95">
              <w:rPr>
                <w:i/>
              </w:rPr>
              <w:t>qx</w:t>
            </w:r>
            <w:r w:rsidRPr="002B1A95">
              <w:t>) rates</w:t>
            </w:r>
          </w:p>
        </w:tc>
      </w:tr>
      <w:tr w:rsidR="007D17C5" w:rsidRPr="002B1A95" w:rsidTr="009558BE">
        <w:trPr>
          <w:tblHeader/>
        </w:trPr>
        <w:tc>
          <w:tcPr>
            <w:tcW w:w="396" w:type="pct"/>
            <w:tcBorders>
              <w:top w:val="single" w:sz="6" w:space="0" w:color="auto"/>
              <w:bottom w:val="single" w:sz="12" w:space="0" w:color="auto"/>
            </w:tcBorders>
          </w:tcPr>
          <w:p w:rsidR="007D17C5" w:rsidRPr="002B1A95" w:rsidRDefault="007D17C5" w:rsidP="009558BE">
            <w:pPr>
              <w:pStyle w:val="TableHeading"/>
              <w:keepNext w:val="0"/>
            </w:pPr>
            <w:r w:rsidRPr="002B1A95">
              <w:t>Item</w:t>
            </w:r>
          </w:p>
        </w:tc>
        <w:tc>
          <w:tcPr>
            <w:tcW w:w="2327" w:type="pct"/>
            <w:tcBorders>
              <w:top w:val="single" w:sz="6" w:space="0" w:color="auto"/>
              <w:bottom w:val="single" w:sz="12" w:space="0" w:color="auto"/>
            </w:tcBorders>
            <w:shd w:val="clear" w:color="auto" w:fill="auto"/>
          </w:tcPr>
          <w:p w:rsidR="007D17C5" w:rsidRPr="002B1A95" w:rsidRDefault="007D17C5" w:rsidP="009558BE">
            <w:pPr>
              <w:pStyle w:val="TableHeading"/>
              <w:keepNext w:val="0"/>
            </w:pPr>
            <w:r w:rsidRPr="002B1A95">
              <w:t>Age</w:t>
            </w:r>
          </w:p>
        </w:tc>
        <w:tc>
          <w:tcPr>
            <w:tcW w:w="2277" w:type="pct"/>
            <w:tcBorders>
              <w:top w:val="single" w:sz="6" w:space="0" w:color="auto"/>
              <w:bottom w:val="single" w:sz="12" w:space="0" w:color="auto"/>
            </w:tcBorders>
            <w:shd w:val="clear" w:color="auto" w:fill="auto"/>
          </w:tcPr>
          <w:p w:rsidR="007D17C5" w:rsidRPr="002B1A95" w:rsidRDefault="007D17C5" w:rsidP="009558BE">
            <w:pPr>
              <w:pStyle w:val="TableHeading"/>
              <w:keepNext w:val="0"/>
            </w:pPr>
            <w:r w:rsidRPr="002B1A95">
              <w:t>qx</w:t>
            </w:r>
          </w:p>
        </w:tc>
      </w:tr>
      <w:tr w:rsidR="007D17C5" w:rsidRPr="002B1A95" w:rsidTr="009558BE">
        <w:tc>
          <w:tcPr>
            <w:tcW w:w="396" w:type="pct"/>
            <w:tcBorders>
              <w:top w:val="single" w:sz="12" w:space="0" w:color="auto"/>
              <w:bottom w:val="single" w:sz="4" w:space="0" w:color="auto"/>
            </w:tcBorders>
          </w:tcPr>
          <w:p w:rsidR="007D17C5" w:rsidRPr="002B1A95" w:rsidRDefault="007D17C5" w:rsidP="009558BE">
            <w:pPr>
              <w:pStyle w:val="Tabletext"/>
              <w:rPr>
                <w:color w:val="000000"/>
              </w:rPr>
            </w:pPr>
            <w:r w:rsidRPr="002B1A95">
              <w:rPr>
                <w:color w:val="000000"/>
              </w:rPr>
              <w:t>1</w:t>
            </w:r>
          </w:p>
        </w:tc>
        <w:tc>
          <w:tcPr>
            <w:tcW w:w="2327" w:type="pct"/>
            <w:tcBorders>
              <w:top w:val="single" w:sz="12" w:space="0" w:color="auto"/>
              <w:bottom w:val="single" w:sz="4" w:space="0" w:color="auto"/>
            </w:tcBorders>
            <w:shd w:val="clear" w:color="auto" w:fill="auto"/>
          </w:tcPr>
          <w:p w:rsidR="007D17C5" w:rsidRPr="002B1A95" w:rsidRDefault="007D17C5" w:rsidP="009558BE">
            <w:pPr>
              <w:pStyle w:val="Tabletext"/>
            </w:pPr>
            <w:r w:rsidRPr="002B1A95">
              <w:rPr>
                <w:color w:val="000000"/>
              </w:rPr>
              <w:t>35</w:t>
            </w:r>
            <w:r w:rsidR="00782250">
              <w:rPr>
                <w:color w:val="000000"/>
              </w:rPr>
              <w:noBreakHyphen/>
            </w:r>
            <w:r w:rsidRPr="002B1A95">
              <w:rPr>
                <w:color w:val="000000"/>
              </w:rPr>
              <w:t>49</w:t>
            </w:r>
          </w:p>
        </w:tc>
        <w:tc>
          <w:tcPr>
            <w:tcW w:w="2277" w:type="pct"/>
            <w:tcBorders>
              <w:top w:val="single" w:sz="12" w:space="0" w:color="auto"/>
              <w:bottom w:val="single" w:sz="4" w:space="0" w:color="auto"/>
            </w:tcBorders>
            <w:shd w:val="clear" w:color="auto" w:fill="auto"/>
          </w:tcPr>
          <w:p w:rsidR="007D17C5" w:rsidRPr="002B1A95" w:rsidRDefault="007D17C5" w:rsidP="009558BE">
            <w:pPr>
              <w:pStyle w:val="Tabletext"/>
            </w:pPr>
            <w:r w:rsidRPr="002B1A95">
              <w:rPr>
                <w:color w:val="000000"/>
              </w:rPr>
              <w:t>0.003</w:t>
            </w:r>
          </w:p>
        </w:tc>
      </w:tr>
      <w:tr w:rsidR="007D17C5" w:rsidRPr="002B1A95" w:rsidTr="009558BE">
        <w:tc>
          <w:tcPr>
            <w:tcW w:w="396" w:type="pct"/>
            <w:tcBorders>
              <w:bottom w:val="single" w:sz="4" w:space="0" w:color="auto"/>
            </w:tcBorders>
            <w:shd w:val="clear" w:color="auto" w:fill="auto"/>
          </w:tcPr>
          <w:p w:rsidR="007D17C5" w:rsidRPr="002B1A95" w:rsidRDefault="007D17C5" w:rsidP="009558BE">
            <w:pPr>
              <w:pStyle w:val="Tabletext"/>
              <w:rPr>
                <w:color w:val="000000"/>
              </w:rPr>
            </w:pPr>
            <w:bookmarkStart w:id="246" w:name="CU_4203613"/>
            <w:bookmarkStart w:id="247" w:name="CU_4200567"/>
            <w:bookmarkEnd w:id="246"/>
            <w:bookmarkEnd w:id="247"/>
            <w:r w:rsidRPr="002B1A95">
              <w:rPr>
                <w:color w:val="000000"/>
              </w:rPr>
              <w:t>2</w:t>
            </w:r>
          </w:p>
        </w:tc>
        <w:tc>
          <w:tcPr>
            <w:tcW w:w="2327" w:type="pct"/>
            <w:tcBorders>
              <w:bottom w:val="single" w:sz="4" w:space="0" w:color="auto"/>
            </w:tcBorders>
            <w:shd w:val="clear" w:color="auto" w:fill="auto"/>
          </w:tcPr>
          <w:p w:rsidR="007D17C5" w:rsidRPr="002B1A95" w:rsidRDefault="007D17C5" w:rsidP="009558BE">
            <w:pPr>
              <w:pStyle w:val="Tabletext"/>
            </w:pPr>
            <w:r w:rsidRPr="002B1A95">
              <w:rPr>
                <w:color w:val="000000"/>
              </w:rPr>
              <w:t>50</w:t>
            </w:r>
            <w:r w:rsidR="00782250">
              <w:rPr>
                <w:color w:val="000000"/>
              </w:rPr>
              <w:noBreakHyphen/>
            </w:r>
            <w:r w:rsidRPr="002B1A95">
              <w:rPr>
                <w:color w:val="000000"/>
              </w:rPr>
              <w:t>54</w:t>
            </w:r>
          </w:p>
        </w:tc>
        <w:tc>
          <w:tcPr>
            <w:tcW w:w="2277" w:type="pct"/>
            <w:tcBorders>
              <w:bottom w:val="single" w:sz="4" w:space="0" w:color="auto"/>
            </w:tcBorders>
            <w:shd w:val="clear" w:color="auto" w:fill="auto"/>
          </w:tcPr>
          <w:p w:rsidR="007D17C5" w:rsidRPr="002B1A95" w:rsidRDefault="007D17C5" w:rsidP="009558BE">
            <w:pPr>
              <w:pStyle w:val="Tabletext"/>
            </w:pPr>
            <w:r w:rsidRPr="002B1A95">
              <w:rPr>
                <w:color w:val="000000"/>
              </w:rPr>
              <w:t>0.004</w:t>
            </w:r>
          </w:p>
        </w:tc>
      </w:tr>
      <w:tr w:rsidR="007D17C5" w:rsidRPr="002B1A95" w:rsidTr="009558BE">
        <w:tc>
          <w:tcPr>
            <w:tcW w:w="396" w:type="pct"/>
            <w:tcBorders>
              <w:top w:val="single" w:sz="4" w:space="0" w:color="auto"/>
            </w:tcBorders>
          </w:tcPr>
          <w:p w:rsidR="007D17C5" w:rsidRPr="002B1A95" w:rsidRDefault="007D17C5" w:rsidP="009558BE">
            <w:pPr>
              <w:pStyle w:val="Tabletext"/>
              <w:rPr>
                <w:color w:val="000000"/>
              </w:rPr>
            </w:pPr>
            <w:r w:rsidRPr="002B1A95">
              <w:rPr>
                <w:color w:val="000000"/>
              </w:rPr>
              <w:t>3</w:t>
            </w:r>
          </w:p>
        </w:tc>
        <w:tc>
          <w:tcPr>
            <w:tcW w:w="2327" w:type="pct"/>
            <w:tcBorders>
              <w:top w:val="single" w:sz="4" w:space="0" w:color="auto"/>
            </w:tcBorders>
            <w:shd w:val="clear" w:color="auto" w:fill="auto"/>
          </w:tcPr>
          <w:p w:rsidR="007D17C5" w:rsidRPr="002B1A95" w:rsidRDefault="007D17C5" w:rsidP="009558BE">
            <w:pPr>
              <w:pStyle w:val="Tabletext"/>
            </w:pPr>
            <w:r w:rsidRPr="002B1A95">
              <w:rPr>
                <w:color w:val="000000"/>
              </w:rPr>
              <w:t>55</w:t>
            </w:r>
          </w:p>
        </w:tc>
        <w:tc>
          <w:tcPr>
            <w:tcW w:w="2277" w:type="pct"/>
            <w:tcBorders>
              <w:top w:val="single" w:sz="4" w:space="0" w:color="auto"/>
            </w:tcBorders>
            <w:shd w:val="clear" w:color="auto" w:fill="auto"/>
          </w:tcPr>
          <w:p w:rsidR="007D17C5" w:rsidRPr="002B1A95" w:rsidRDefault="007D17C5" w:rsidP="009558BE">
            <w:pPr>
              <w:pStyle w:val="Tabletext"/>
            </w:pPr>
            <w:r w:rsidRPr="002B1A95">
              <w:rPr>
                <w:color w:val="000000"/>
              </w:rPr>
              <w:t>0.005</w:t>
            </w:r>
          </w:p>
        </w:tc>
      </w:tr>
      <w:tr w:rsidR="007D17C5" w:rsidRPr="002B1A95" w:rsidTr="009558BE">
        <w:tc>
          <w:tcPr>
            <w:tcW w:w="396" w:type="pct"/>
          </w:tcPr>
          <w:p w:rsidR="007D17C5" w:rsidRPr="002B1A95" w:rsidRDefault="007D17C5" w:rsidP="009558BE">
            <w:pPr>
              <w:pStyle w:val="Tabletext"/>
              <w:rPr>
                <w:color w:val="000000"/>
              </w:rPr>
            </w:pPr>
            <w:r w:rsidRPr="002B1A95">
              <w:rPr>
                <w:color w:val="000000"/>
              </w:rPr>
              <w:t>4</w:t>
            </w:r>
          </w:p>
        </w:tc>
        <w:tc>
          <w:tcPr>
            <w:tcW w:w="2327" w:type="pct"/>
            <w:shd w:val="clear" w:color="auto" w:fill="auto"/>
          </w:tcPr>
          <w:p w:rsidR="007D17C5" w:rsidRPr="002B1A95" w:rsidRDefault="007D17C5" w:rsidP="009558BE">
            <w:pPr>
              <w:pStyle w:val="Tabletext"/>
            </w:pPr>
            <w:r w:rsidRPr="002B1A95">
              <w:rPr>
                <w:color w:val="000000"/>
              </w:rPr>
              <w:t>56</w:t>
            </w:r>
          </w:p>
        </w:tc>
        <w:tc>
          <w:tcPr>
            <w:tcW w:w="2277" w:type="pct"/>
            <w:shd w:val="clear" w:color="auto" w:fill="auto"/>
          </w:tcPr>
          <w:p w:rsidR="007D17C5" w:rsidRPr="002B1A95" w:rsidRDefault="007D17C5" w:rsidP="009558BE">
            <w:pPr>
              <w:pStyle w:val="Tabletext"/>
            </w:pPr>
            <w:r w:rsidRPr="002B1A95">
              <w:rPr>
                <w:color w:val="000000"/>
              </w:rPr>
              <w:t>0.006</w:t>
            </w:r>
          </w:p>
        </w:tc>
      </w:tr>
      <w:tr w:rsidR="007D17C5" w:rsidRPr="002B1A95" w:rsidTr="009558BE">
        <w:tc>
          <w:tcPr>
            <w:tcW w:w="396" w:type="pct"/>
          </w:tcPr>
          <w:p w:rsidR="007D17C5" w:rsidRPr="002B1A95" w:rsidRDefault="007D17C5" w:rsidP="009558BE">
            <w:pPr>
              <w:pStyle w:val="Tabletext"/>
              <w:rPr>
                <w:color w:val="000000"/>
              </w:rPr>
            </w:pPr>
            <w:r w:rsidRPr="002B1A95">
              <w:rPr>
                <w:color w:val="000000"/>
              </w:rPr>
              <w:t>5</w:t>
            </w:r>
          </w:p>
        </w:tc>
        <w:tc>
          <w:tcPr>
            <w:tcW w:w="2327" w:type="pct"/>
            <w:shd w:val="clear" w:color="auto" w:fill="auto"/>
          </w:tcPr>
          <w:p w:rsidR="007D17C5" w:rsidRPr="002B1A95" w:rsidRDefault="007D17C5" w:rsidP="009558BE">
            <w:pPr>
              <w:pStyle w:val="Tabletext"/>
            </w:pPr>
            <w:r w:rsidRPr="002B1A95">
              <w:rPr>
                <w:color w:val="000000"/>
              </w:rPr>
              <w:t>57</w:t>
            </w:r>
          </w:p>
        </w:tc>
        <w:tc>
          <w:tcPr>
            <w:tcW w:w="2277" w:type="pct"/>
            <w:shd w:val="clear" w:color="auto" w:fill="auto"/>
          </w:tcPr>
          <w:p w:rsidR="007D17C5" w:rsidRPr="002B1A95" w:rsidRDefault="007D17C5" w:rsidP="009558BE">
            <w:pPr>
              <w:pStyle w:val="Tabletext"/>
            </w:pPr>
            <w:r w:rsidRPr="002B1A95">
              <w:rPr>
                <w:color w:val="000000"/>
              </w:rPr>
              <w:t>0.006</w:t>
            </w:r>
          </w:p>
        </w:tc>
      </w:tr>
      <w:tr w:rsidR="007D17C5" w:rsidRPr="002B1A95" w:rsidTr="009558BE">
        <w:tc>
          <w:tcPr>
            <w:tcW w:w="396" w:type="pct"/>
          </w:tcPr>
          <w:p w:rsidR="007D17C5" w:rsidRPr="002B1A95" w:rsidRDefault="007D17C5" w:rsidP="009558BE">
            <w:pPr>
              <w:pStyle w:val="Tabletext"/>
              <w:rPr>
                <w:color w:val="000000"/>
              </w:rPr>
            </w:pPr>
            <w:r w:rsidRPr="002B1A95">
              <w:rPr>
                <w:color w:val="000000"/>
              </w:rPr>
              <w:t>6</w:t>
            </w:r>
          </w:p>
        </w:tc>
        <w:tc>
          <w:tcPr>
            <w:tcW w:w="2327" w:type="pct"/>
            <w:shd w:val="clear" w:color="auto" w:fill="auto"/>
          </w:tcPr>
          <w:p w:rsidR="007D17C5" w:rsidRPr="002B1A95" w:rsidRDefault="007D17C5" w:rsidP="009558BE">
            <w:pPr>
              <w:pStyle w:val="Tabletext"/>
            </w:pPr>
            <w:r w:rsidRPr="002B1A95">
              <w:rPr>
                <w:color w:val="000000"/>
              </w:rPr>
              <w:t>58</w:t>
            </w:r>
          </w:p>
        </w:tc>
        <w:tc>
          <w:tcPr>
            <w:tcW w:w="2277" w:type="pct"/>
            <w:shd w:val="clear" w:color="auto" w:fill="auto"/>
          </w:tcPr>
          <w:p w:rsidR="007D17C5" w:rsidRPr="002B1A95" w:rsidRDefault="007D17C5" w:rsidP="009558BE">
            <w:pPr>
              <w:pStyle w:val="Tabletext"/>
            </w:pPr>
            <w:r w:rsidRPr="002B1A95">
              <w:rPr>
                <w:color w:val="000000"/>
              </w:rPr>
              <w:t>0.007</w:t>
            </w:r>
          </w:p>
        </w:tc>
      </w:tr>
      <w:tr w:rsidR="007D17C5" w:rsidRPr="002B1A95" w:rsidTr="009558BE">
        <w:tc>
          <w:tcPr>
            <w:tcW w:w="396" w:type="pct"/>
          </w:tcPr>
          <w:p w:rsidR="007D17C5" w:rsidRPr="002B1A95" w:rsidRDefault="007D17C5" w:rsidP="009558BE">
            <w:pPr>
              <w:pStyle w:val="Tabletext"/>
              <w:rPr>
                <w:color w:val="000000"/>
              </w:rPr>
            </w:pPr>
            <w:r w:rsidRPr="002B1A95">
              <w:rPr>
                <w:color w:val="000000"/>
              </w:rPr>
              <w:t>7</w:t>
            </w:r>
          </w:p>
        </w:tc>
        <w:tc>
          <w:tcPr>
            <w:tcW w:w="2327" w:type="pct"/>
            <w:shd w:val="clear" w:color="auto" w:fill="auto"/>
          </w:tcPr>
          <w:p w:rsidR="007D17C5" w:rsidRPr="002B1A95" w:rsidRDefault="007D17C5" w:rsidP="009558BE">
            <w:pPr>
              <w:pStyle w:val="Tabletext"/>
            </w:pPr>
            <w:r w:rsidRPr="002B1A95">
              <w:rPr>
                <w:color w:val="000000"/>
              </w:rPr>
              <w:t>59</w:t>
            </w:r>
          </w:p>
        </w:tc>
        <w:tc>
          <w:tcPr>
            <w:tcW w:w="2277" w:type="pct"/>
            <w:shd w:val="clear" w:color="auto" w:fill="auto"/>
          </w:tcPr>
          <w:p w:rsidR="007D17C5" w:rsidRPr="002B1A95" w:rsidRDefault="007D17C5" w:rsidP="009558BE">
            <w:pPr>
              <w:pStyle w:val="Tabletext"/>
            </w:pPr>
            <w:r w:rsidRPr="002B1A95">
              <w:rPr>
                <w:color w:val="000000"/>
              </w:rPr>
              <w:t>0.008</w:t>
            </w:r>
          </w:p>
        </w:tc>
      </w:tr>
      <w:tr w:rsidR="007D17C5" w:rsidRPr="002B1A95" w:rsidTr="009558BE">
        <w:tc>
          <w:tcPr>
            <w:tcW w:w="396" w:type="pct"/>
          </w:tcPr>
          <w:p w:rsidR="007D17C5" w:rsidRPr="002B1A95" w:rsidRDefault="007D17C5" w:rsidP="009558BE">
            <w:pPr>
              <w:pStyle w:val="Tabletext"/>
              <w:rPr>
                <w:color w:val="000000"/>
              </w:rPr>
            </w:pPr>
            <w:r w:rsidRPr="002B1A95">
              <w:rPr>
                <w:color w:val="000000"/>
              </w:rPr>
              <w:t>8</w:t>
            </w:r>
          </w:p>
        </w:tc>
        <w:tc>
          <w:tcPr>
            <w:tcW w:w="2327" w:type="pct"/>
            <w:shd w:val="clear" w:color="auto" w:fill="auto"/>
          </w:tcPr>
          <w:p w:rsidR="007D17C5" w:rsidRPr="002B1A95" w:rsidRDefault="007D17C5" w:rsidP="009558BE">
            <w:pPr>
              <w:pStyle w:val="Tabletext"/>
            </w:pPr>
            <w:r w:rsidRPr="002B1A95">
              <w:rPr>
                <w:color w:val="000000"/>
              </w:rPr>
              <w:t>60</w:t>
            </w:r>
          </w:p>
        </w:tc>
        <w:tc>
          <w:tcPr>
            <w:tcW w:w="2277" w:type="pct"/>
            <w:shd w:val="clear" w:color="auto" w:fill="auto"/>
          </w:tcPr>
          <w:p w:rsidR="007D17C5" w:rsidRPr="002B1A95" w:rsidRDefault="007D17C5" w:rsidP="009558BE">
            <w:pPr>
              <w:pStyle w:val="Tabletext"/>
            </w:pPr>
            <w:r w:rsidRPr="002B1A95">
              <w:rPr>
                <w:color w:val="000000"/>
              </w:rPr>
              <w:t>0.008</w:t>
            </w:r>
          </w:p>
        </w:tc>
      </w:tr>
      <w:tr w:rsidR="007D17C5" w:rsidRPr="002B1A95" w:rsidTr="009558BE">
        <w:tc>
          <w:tcPr>
            <w:tcW w:w="396" w:type="pct"/>
          </w:tcPr>
          <w:p w:rsidR="007D17C5" w:rsidRPr="002B1A95" w:rsidRDefault="007D17C5" w:rsidP="009558BE">
            <w:pPr>
              <w:pStyle w:val="Tabletext"/>
              <w:rPr>
                <w:color w:val="000000"/>
              </w:rPr>
            </w:pPr>
            <w:r w:rsidRPr="002B1A95">
              <w:rPr>
                <w:color w:val="000000"/>
              </w:rPr>
              <w:lastRenderedPageBreak/>
              <w:t>9</w:t>
            </w:r>
          </w:p>
        </w:tc>
        <w:tc>
          <w:tcPr>
            <w:tcW w:w="2327" w:type="pct"/>
            <w:shd w:val="clear" w:color="auto" w:fill="auto"/>
          </w:tcPr>
          <w:p w:rsidR="007D17C5" w:rsidRPr="002B1A95" w:rsidRDefault="007D17C5" w:rsidP="009558BE">
            <w:pPr>
              <w:pStyle w:val="Tabletext"/>
            </w:pPr>
            <w:r w:rsidRPr="002B1A95">
              <w:rPr>
                <w:color w:val="000000"/>
              </w:rPr>
              <w:t>61</w:t>
            </w:r>
          </w:p>
        </w:tc>
        <w:tc>
          <w:tcPr>
            <w:tcW w:w="2277" w:type="pct"/>
            <w:shd w:val="clear" w:color="auto" w:fill="auto"/>
          </w:tcPr>
          <w:p w:rsidR="007D17C5" w:rsidRPr="002B1A95" w:rsidRDefault="007D17C5" w:rsidP="009558BE">
            <w:pPr>
              <w:pStyle w:val="Tabletext"/>
            </w:pPr>
            <w:r w:rsidRPr="002B1A95">
              <w:rPr>
                <w:color w:val="000000"/>
              </w:rPr>
              <w:t>0.009</w:t>
            </w:r>
          </w:p>
        </w:tc>
      </w:tr>
      <w:tr w:rsidR="007D17C5" w:rsidRPr="002B1A95" w:rsidTr="009558BE">
        <w:tc>
          <w:tcPr>
            <w:tcW w:w="396" w:type="pct"/>
          </w:tcPr>
          <w:p w:rsidR="007D17C5" w:rsidRPr="002B1A95" w:rsidRDefault="007D17C5" w:rsidP="009558BE">
            <w:pPr>
              <w:pStyle w:val="Tabletext"/>
              <w:rPr>
                <w:color w:val="000000"/>
              </w:rPr>
            </w:pPr>
            <w:r w:rsidRPr="002B1A95">
              <w:rPr>
                <w:color w:val="000000"/>
              </w:rPr>
              <w:t>10</w:t>
            </w:r>
          </w:p>
        </w:tc>
        <w:tc>
          <w:tcPr>
            <w:tcW w:w="2327" w:type="pct"/>
            <w:shd w:val="clear" w:color="auto" w:fill="auto"/>
          </w:tcPr>
          <w:p w:rsidR="007D17C5" w:rsidRPr="002B1A95" w:rsidRDefault="007D17C5" w:rsidP="009558BE">
            <w:pPr>
              <w:pStyle w:val="Tabletext"/>
            </w:pPr>
            <w:r w:rsidRPr="002B1A95">
              <w:rPr>
                <w:color w:val="000000"/>
              </w:rPr>
              <w:t>62</w:t>
            </w:r>
          </w:p>
        </w:tc>
        <w:tc>
          <w:tcPr>
            <w:tcW w:w="2277" w:type="pct"/>
            <w:shd w:val="clear" w:color="auto" w:fill="auto"/>
          </w:tcPr>
          <w:p w:rsidR="007D17C5" w:rsidRPr="002B1A95" w:rsidRDefault="007D17C5" w:rsidP="009558BE">
            <w:pPr>
              <w:pStyle w:val="Tabletext"/>
            </w:pPr>
            <w:r w:rsidRPr="002B1A95">
              <w:rPr>
                <w:color w:val="000000"/>
              </w:rPr>
              <w:t>0.010</w:t>
            </w:r>
          </w:p>
        </w:tc>
      </w:tr>
      <w:tr w:rsidR="007D17C5" w:rsidRPr="002B1A95" w:rsidTr="009558BE">
        <w:tc>
          <w:tcPr>
            <w:tcW w:w="396" w:type="pct"/>
          </w:tcPr>
          <w:p w:rsidR="007D17C5" w:rsidRPr="002B1A95" w:rsidRDefault="007D17C5" w:rsidP="009558BE">
            <w:pPr>
              <w:pStyle w:val="Tabletext"/>
              <w:rPr>
                <w:color w:val="000000"/>
              </w:rPr>
            </w:pPr>
            <w:r w:rsidRPr="002B1A95">
              <w:rPr>
                <w:color w:val="000000"/>
              </w:rPr>
              <w:t>11</w:t>
            </w:r>
          </w:p>
        </w:tc>
        <w:tc>
          <w:tcPr>
            <w:tcW w:w="2327" w:type="pct"/>
            <w:shd w:val="clear" w:color="auto" w:fill="auto"/>
          </w:tcPr>
          <w:p w:rsidR="007D17C5" w:rsidRPr="002B1A95" w:rsidRDefault="007D17C5" w:rsidP="009558BE">
            <w:pPr>
              <w:pStyle w:val="Tabletext"/>
            </w:pPr>
            <w:r w:rsidRPr="002B1A95">
              <w:rPr>
                <w:color w:val="000000"/>
              </w:rPr>
              <w:t>63</w:t>
            </w:r>
          </w:p>
        </w:tc>
        <w:tc>
          <w:tcPr>
            <w:tcW w:w="2277" w:type="pct"/>
            <w:shd w:val="clear" w:color="auto" w:fill="auto"/>
          </w:tcPr>
          <w:p w:rsidR="007D17C5" w:rsidRPr="002B1A95" w:rsidRDefault="007D17C5" w:rsidP="009558BE">
            <w:pPr>
              <w:pStyle w:val="Tabletext"/>
            </w:pPr>
            <w:r w:rsidRPr="002B1A95">
              <w:rPr>
                <w:color w:val="000000"/>
              </w:rPr>
              <w:t>0.012</w:t>
            </w:r>
          </w:p>
        </w:tc>
      </w:tr>
      <w:tr w:rsidR="007D17C5" w:rsidRPr="002B1A95" w:rsidTr="009558BE">
        <w:tc>
          <w:tcPr>
            <w:tcW w:w="396" w:type="pct"/>
          </w:tcPr>
          <w:p w:rsidR="007D17C5" w:rsidRPr="002B1A95" w:rsidRDefault="007D17C5" w:rsidP="009558BE">
            <w:pPr>
              <w:pStyle w:val="Tabletext"/>
              <w:rPr>
                <w:color w:val="000000"/>
              </w:rPr>
            </w:pPr>
            <w:r w:rsidRPr="002B1A95">
              <w:rPr>
                <w:color w:val="000000"/>
              </w:rPr>
              <w:t>12</w:t>
            </w:r>
          </w:p>
        </w:tc>
        <w:tc>
          <w:tcPr>
            <w:tcW w:w="2327" w:type="pct"/>
            <w:shd w:val="clear" w:color="auto" w:fill="auto"/>
          </w:tcPr>
          <w:p w:rsidR="007D17C5" w:rsidRPr="002B1A95" w:rsidRDefault="007D17C5" w:rsidP="009558BE">
            <w:pPr>
              <w:pStyle w:val="Tabletext"/>
            </w:pPr>
            <w:r w:rsidRPr="002B1A95">
              <w:rPr>
                <w:color w:val="000000"/>
              </w:rPr>
              <w:t>64</w:t>
            </w:r>
          </w:p>
        </w:tc>
        <w:tc>
          <w:tcPr>
            <w:tcW w:w="2277" w:type="pct"/>
            <w:shd w:val="clear" w:color="auto" w:fill="auto"/>
          </w:tcPr>
          <w:p w:rsidR="007D17C5" w:rsidRPr="002B1A95" w:rsidRDefault="007D17C5" w:rsidP="009558BE">
            <w:pPr>
              <w:pStyle w:val="Tabletext"/>
            </w:pPr>
            <w:r w:rsidRPr="002B1A95">
              <w:rPr>
                <w:color w:val="000000"/>
              </w:rPr>
              <w:t>0.013</w:t>
            </w:r>
          </w:p>
        </w:tc>
      </w:tr>
      <w:tr w:rsidR="007D17C5" w:rsidRPr="002B1A95" w:rsidTr="009558BE">
        <w:tc>
          <w:tcPr>
            <w:tcW w:w="396" w:type="pct"/>
          </w:tcPr>
          <w:p w:rsidR="007D17C5" w:rsidRPr="002B1A95" w:rsidRDefault="007D17C5" w:rsidP="009558BE">
            <w:pPr>
              <w:pStyle w:val="Tabletext"/>
              <w:rPr>
                <w:color w:val="000000"/>
              </w:rPr>
            </w:pPr>
            <w:r w:rsidRPr="002B1A95">
              <w:rPr>
                <w:color w:val="000000"/>
              </w:rPr>
              <w:t>13</w:t>
            </w:r>
          </w:p>
        </w:tc>
        <w:tc>
          <w:tcPr>
            <w:tcW w:w="2327" w:type="pct"/>
            <w:shd w:val="clear" w:color="auto" w:fill="auto"/>
          </w:tcPr>
          <w:p w:rsidR="007D17C5" w:rsidRPr="002B1A95" w:rsidRDefault="007D17C5" w:rsidP="009558BE">
            <w:pPr>
              <w:pStyle w:val="Tabletext"/>
            </w:pPr>
            <w:r w:rsidRPr="002B1A95">
              <w:rPr>
                <w:color w:val="000000"/>
              </w:rPr>
              <w:t>65</w:t>
            </w:r>
          </w:p>
        </w:tc>
        <w:tc>
          <w:tcPr>
            <w:tcW w:w="2277" w:type="pct"/>
            <w:shd w:val="clear" w:color="auto" w:fill="auto"/>
          </w:tcPr>
          <w:p w:rsidR="007D17C5" w:rsidRPr="002B1A95" w:rsidRDefault="007D17C5" w:rsidP="009558BE">
            <w:pPr>
              <w:pStyle w:val="Tabletext"/>
            </w:pPr>
            <w:r w:rsidRPr="002B1A95">
              <w:rPr>
                <w:color w:val="000000"/>
              </w:rPr>
              <w:t>0.014</w:t>
            </w:r>
          </w:p>
        </w:tc>
      </w:tr>
      <w:tr w:rsidR="007D17C5" w:rsidRPr="002B1A95" w:rsidTr="009558BE">
        <w:tc>
          <w:tcPr>
            <w:tcW w:w="396" w:type="pct"/>
          </w:tcPr>
          <w:p w:rsidR="007D17C5" w:rsidRPr="002B1A95" w:rsidRDefault="007D17C5" w:rsidP="009558BE">
            <w:pPr>
              <w:pStyle w:val="Tabletext"/>
              <w:rPr>
                <w:color w:val="000000"/>
              </w:rPr>
            </w:pPr>
            <w:r w:rsidRPr="002B1A95">
              <w:rPr>
                <w:color w:val="000000"/>
              </w:rPr>
              <w:t>14</w:t>
            </w:r>
          </w:p>
        </w:tc>
        <w:tc>
          <w:tcPr>
            <w:tcW w:w="2327" w:type="pct"/>
            <w:shd w:val="clear" w:color="auto" w:fill="auto"/>
          </w:tcPr>
          <w:p w:rsidR="007D17C5" w:rsidRPr="002B1A95" w:rsidRDefault="007D17C5" w:rsidP="009558BE">
            <w:pPr>
              <w:pStyle w:val="Tabletext"/>
            </w:pPr>
            <w:r w:rsidRPr="002B1A95">
              <w:rPr>
                <w:color w:val="000000"/>
              </w:rPr>
              <w:t>66</w:t>
            </w:r>
          </w:p>
        </w:tc>
        <w:tc>
          <w:tcPr>
            <w:tcW w:w="2277" w:type="pct"/>
            <w:shd w:val="clear" w:color="auto" w:fill="auto"/>
          </w:tcPr>
          <w:p w:rsidR="007D17C5" w:rsidRPr="002B1A95" w:rsidRDefault="007D17C5" w:rsidP="009558BE">
            <w:pPr>
              <w:pStyle w:val="Tabletext"/>
            </w:pPr>
            <w:r w:rsidRPr="002B1A95">
              <w:rPr>
                <w:color w:val="000000"/>
              </w:rPr>
              <w:t>0.016</w:t>
            </w:r>
          </w:p>
        </w:tc>
      </w:tr>
      <w:tr w:rsidR="007D17C5" w:rsidRPr="002B1A95" w:rsidTr="009558BE">
        <w:tc>
          <w:tcPr>
            <w:tcW w:w="396" w:type="pct"/>
          </w:tcPr>
          <w:p w:rsidR="007D17C5" w:rsidRPr="002B1A95" w:rsidRDefault="007D17C5" w:rsidP="009558BE">
            <w:pPr>
              <w:pStyle w:val="Tabletext"/>
              <w:rPr>
                <w:color w:val="000000"/>
              </w:rPr>
            </w:pPr>
            <w:r w:rsidRPr="002B1A95">
              <w:rPr>
                <w:color w:val="000000"/>
              </w:rPr>
              <w:t>15</w:t>
            </w:r>
          </w:p>
        </w:tc>
        <w:tc>
          <w:tcPr>
            <w:tcW w:w="2327" w:type="pct"/>
            <w:shd w:val="clear" w:color="auto" w:fill="auto"/>
          </w:tcPr>
          <w:p w:rsidR="007D17C5" w:rsidRPr="002B1A95" w:rsidRDefault="007D17C5" w:rsidP="009558BE">
            <w:pPr>
              <w:pStyle w:val="Tabletext"/>
            </w:pPr>
            <w:r w:rsidRPr="002B1A95">
              <w:rPr>
                <w:color w:val="000000"/>
              </w:rPr>
              <w:t>67</w:t>
            </w:r>
          </w:p>
        </w:tc>
        <w:tc>
          <w:tcPr>
            <w:tcW w:w="2277" w:type="pct"/>
            <w:shd w:val="clear" w:color="auto" w:fill="auto"/>
          </w:tcPr>
          <w:p w:rsidR="007D17C5" w:rsidRPr="002B1A95" w:rsidRDefault="007D17C5" w:rsidP="009558BE">
            <w:pPr>
              <w:pStyle w:val="Tabletext"/>
            </w:pPr>
            <w:r w:rsidRPr="002B1A95">
              <w:rPr>
                <w:color w:val="000000"/>
              </w:rPr>
              <w:t>0.017</w:t>
            </w:r>
          </w:p>
        </w:tc>
      </w:tr>
      <w:tr w:rsidR="007D17C5" w:rsidRPr="002B1A95" w:rsidTr="009558BE">
        <w:tc>
          <w:tcPr>
            <w:tcW w:w="396" w:type="pct"/>
          </w:tcPr>
          <w:p w:rsidR="007D17C5" w:rsidRPr="002B1A95" w:rsidRDefault="007D17C5" w:rsidP="009558BE">
            <w:pPr>
              <w:pStyle w:val="Tabletext"/>
              <w:rPr>
                <w:color w:val="000000"/>
              </w:rPr>
            </w:pPr>
            <w:r w:rsidRPr="002B1A95">
              <w:rPr>
                <w:color w:val="000000"/>
              </w:rPr>
              <w:t>16</w:t>
            </w:r>
          </w:p>
        </w:tc>
        <w:tc>
          <w:tcPr>
            <w:tcW w:w="2327" w:type="pct"/>
            <w:shd w:val="clear" w:color="auto" w:fill="auto"/>
          </w:tcPr>
          <w:p w:rsidR="007D17C5" w:rsidRPr="002B1A95" w:rsidRDefault="007D17C5" w:rsidP="009558BE">
            <w:pPr>
              <w:pStyle w:val="Tabletext"/>
            </w:pPr>
            <w:r w:rsidRPr="002B1A95">
              <w:rPr>
                <w:color w:val="000000"/>
              </w:rPr>
              <w:t>68</w:t>
            </w:r>
          </w:p>
        </w:tc>
        <w:tc>
          <w:tcPr>
            <w:tcW w:w="2277" w:type="pct"/>
            <w:shd w:val="clear" w:color="auto" w:fill="auto"/>
          </w:tcPr>
          <w:p w:rsidR="007D17C5" w:rsidRPr="002B1A95" w:rsidRDefault="007D17C5" w:rsidP="009558BE">
            <w:pPr>
              <w:pStyle w:val="Tabletext"/>
            </w:pPr>
            <w:r w:rsidRPr="002B1A95">
              <w:rPr>
                <w:color w:val="000000"/>
              </w:rPr>
              <w:t>0.019</w:t>
            </w:r>
          </w:p>
        </w:tc>
      </w:tr>
      <w:tr w:rsidR="007D17C5" w:rsidRPr="002B1A95" w:rsidTr="009558BE">
        <w:tc>
          <w:tcPr>
            <w:tcW w:w="396" w:type="pct"/>
          </w:tcPr>
          <w:p w:rsidR="007D17C5" w:rsidRPr="002B1A95" w:rsidRDefault="007D17C5" w:rsidP="009558BE">
            <w:pPr>
              <w:pStyle w:val="Tabletext"/>
              <w:rPr>
                <w:color w:val="000000"/>
              </w:rPr>
            </w:pPr>
            <w:r w:rsidRPr="002B1A95">
              <w:rPr>
                <w:color w:val="000000"/>
              </w:rPr>
              <w:t>17</w:t>
            </w:r>
          </w:p>
        </w:tc>
        <w:tc>
          <w:tcPr>
            <w:tcW w:w="2327" w:type="pct"/>
            <w:shd w:val="clear" w:color="auto" w:fill="auto"/>
          </w:tcPr>
          <w:p w:rsidR="007D17C5" w:rsidRPr="002B1A95" w:rsidRDefault="007D17C5" w:rsidP="009558BE">
            <w:pPr>
              <w:pStyle w:val="Tabletext"/>
            </w:pPr>
            <w:r w:rsidRPr="002B1A95">
              <w:rPr>
                <w:color w:val="000000"/>
              </w:rPr>
              <w:t>69</w:t>
            </w:r>
          </w:p>
        </w:tc>
        <w:tc>
          <w:tcPr>
            <w:tcW w:w="2277" w:type="pct"/>
            <w:shd w:val="clear" w:color="auto" w:fill="auto"/>
          </w:tcPr>
          <w:p w:rsidR="007D17C5" w:rsidRPr="002B1A95" w:rsidRDefault="007D17C5" w:rsidP="009558BE">
            <w:pPr>
              <w:pStyle w:val="Tabletext"/>
            </w:pPr>
            <w:r w:rsidRPr="002B1A95">
              <w:rPr>
                <w:color w:val="000000"/>
              </w:rPr>
              <w:t>0.021</w:t>
            </w:r>
          </w:p>
        </w:tc>
      </w:tr>
      <w:tr w:rsidR="007D17C5" w:rsidRPr="002B1A95" w:rsidTr="009558BE">
        <w:tc>
          <w:tcPr>
            <w:tcW w:w="396" w:type="pct"/>
          </w:tcPr>
          <w:p w:rsidR="007D17C5" w:rsidRPr="002B1A95" w:rsidRDefault="007D17C5" w:rsidP="009558BE">
            <w:pPr>
              <w:pStyle w:val="Tabletext"/>
              <w:rPr>
                <w:color w:val="000000"/>
              </w:rPr>
            </w:pPr>
            <w:r w:rsidRPr="002B1A95">
              <w:rPr>
                <w:color w:val="000000"/>
              </w:rPr>
              <w:t>18</w:t>
            </w:r>
          </w:p>
        </w:tc>
        <w:tc>
          <w:tcPr>
            <w:tcW w:w="2327" w:type="pct"/>
            <w:shd w:val="clear" w:color="auto" w:fill="auto"/>
          </w:tcPr>
          <w:p w:rsidR="007D17C5" w:rsidRPr="002B1A95" w:rsidRDefault="007D17C5" w:rsidP="009558BE">
            <w:pPr>
              <w:pStyle w:val="Tabletext"/>
            </w:pPr>
            <w:r w:rsidRPr="002B1A95">
              <w:rPr>
                <w:color w:val="000000"/>
              </w:rPr>
              <w:t>70</w:t>
            </w:r>
          </w:p>
        </w:tc>
        <w:tc>
          <w:tcPr>
            <w:tcW w:w="2277" w:type="pct"/>
            <w:shd w:val="clear" w:color="auto" w:fill="auto"/>
          </w:tcPr>
          <w:p w:rsidR="007D17C5" w:rsidRPr="002B1A95" w:rsidRDefault="007D17C5" w:rsidP="009558BE">
            <w:pPr>
              <w:pStyle w:val="Tabletext"/>
            </w:pPr>
            <w:r w:rsidRPr="002B1A95">
              <w:rPr>
                <w:color w:val="000000"/>
              </w:rPr>
              <w:t>0.023</w:t>
            </w:r>
          </w:p>
        </w:tc>
      </w:tr>
      <w:tr w:rsidR="007D17C5" w:rsidRPr="002B1A95" w:rsidTr="009558BE">
        <w:tc>
          <w:tcPr>
            <w:tcW w:w="396" w:type="pct"/>
          </w:tcPr>
          <w:p w:rsidR="007D17C5" w:rsidRPr="002B1A95" w:rsidRDefault="007D17C5" w:rsidP="009558BE">
            <w:pPr>
              <w:pStyle w:val="Tabletext"/>
              <w:rPr>
                <w:color w:val="000000"/>
              </w:rPr>
            </w:pPr>
            <w:r w:rsidRPr="002B1A95">
              <w:rPr>
                <w:color w:val="000000"/>
              </w:rPr>
              <w:t>19</w:t>
            </w:r>
          </w:p>
        </w:tc>
        <w:tc>
          <w:tcPr>
            <w:tcW w:w="2327" w:type="pct"/>
            <w:shd w:val="clear" w:color="auto" w:fill="auto"/>
          </w:tcPr>
          <w:p w:rsidR="007D17C5" w:rsidRPr="002B1A95" w:rsidRDefault="007D17C5" w:rsidP="009558BE">
            <w:pPr>
              <w:pStyle w:val="Tabletext"/>
            </w:pPr>
            <w:r w:rsidRPr="002B1A95">
              <w:rPr>
                <w:color w:val="000000"/>
              </w:rPr>
              <w:t>71</w:t>
            </w:r>
          </w:p>
        </w:tc>
        <w:tc>
          <w:tcPr>
            <w:tcW w:w="2277" w:type="pct"/>
            <w:shd w:val="clear" w:color="auto" w:fill="auto"/>
          </w:tcPr>
          <w:p w:rsidR="007D17C5" w:rsidRPr="002B1A95" w:rsidRDefault="007D17C5" w:rsidP="009558BE">
            <w:pPr>
              <w:pStyle w:val="Tabletext"/>
            </w:pPr>
            <w:r w:rsidRPr="002B1A95">
              <w:rPr>
                <w:color w:val="000000"/>
              </w:rPr>
              <w:t>0.026</w:t>
            </w:r>
          </w:p>
        </w:tc>
      </w:tr>
      <w:tr w:rsidR="007D17C5" w:rsidRPr="002B1A95" w:rsidTr="009558BE">
        <w:tc>
          <w:tcPr>
            <w:tcW w:w="396" w:type="pct"/>
          </w:tcPr>
          <w:p w:rsidR="007D17C5" w:rsidRPr="002B1A95" w:rsidRDefault="007D17C5" w:rsidP="009558BE">
            <w:pPr>
              <w:pStyle w:val="Tabletext"/>
              <w:rPr>
                <w:color w:val="000000"/>
              </w:rPr>
            </w:pPr>
            <w:r w:rsidRPr="002B1A95">
              <w:rPr>
                <w:color w:val="000000"/>
              </w:rPr>
              <w:t>20</w:t>
            </w:r>
          </w:p>
        </w:tc>
        <w:tc>
          <w:tcPr>
            <w:tcW w:w="2327" w:type="pct"/>
            <w:shd w:val="clear" w:color="auto" w:fill="auto"/>
          </w:tcPr>
          <w:p w:rsidR="007D17C5" w:rsidRPr="002B1A95" w:rsidRDefault="007D17C5" w:rsidP="009558BE">
            <w:pPr>
              <w:pStyle w:val="Tabletext"/>
            </w:pPr>
            <w:r w:rsidRPr="002B1A95">
              <w:rPr>
                <w:color w:val="000000"/>
              </w:rPr>
              <w:t>72</w:t>
            </w:r>
          </w:p>
        </w:tc>
        <w:tc>
          <w:tcPr>
            <w:tcW w:w="2277" w:type="pct"/>
            <w:shd w:val="clear" w:color="auto" w:fill="auto"/>
          </w:tcPr>
          <w:p w:rsidR="007D17C5" w:rsidRPr="002B1A95" w:rsidRDefault="007D17C5" w:rsidP="009558BE">
            <w:pPr>
              <w:pStyle w:val="Tabletext"/>
            </w:pPr>
            <w:r w:rsidRPr="002B1A95">
              <w:rPr>
                <w:color w:val="000000"/>
              </w:rPr>
              <w:t>0.029</w:t>
            </w:r>
          </w:p>
        </w:tc>
      </w:tr>
      <w:tr w:rsidR="007D17C5" w:rsidRPr="002B1A95" w:rsidTr="009558BE">
        <w:tc>
          <w:tcPr>
            <w:tcW w:w="396" w:type="pct"/>
          </w:tcPr>
          <w:p w:rsidR="007D17C5" w:rsidRPr="002B1A95" w:rsidRDefault="007D17C5" w:rsidP="009558BE">
            <w:pPr>
              <w:pStyle w:val="Tabletext"/>
              <w:rPr>
                <w:color w:val="000000"/>
              </w:rPr>
            </w:pPr>
            <w:r w:rsidRPr="002B1A95">
              <w:rPr>
                <w:color w:val="000000"/>
              </w:rPr>
              <w:t>21</w:t>
            </w:r>
          </w:p>
        </w:tc>
        <w:tc>
          <w:tcPr>
            <w:tcW w:w="2327" w:type="pct"/>
            <w:shd w:val="clear" w:color="auto" w:fill="auto"/>
          </w:tcPr>
          <w:p w:rsidR="007D17C5" w:rsidRPr="002B1A95" w:rsidRDefault="007D17C5" w:rsidP="009558BE">
            <w:pPr>
              <w:pStyle w:val="Tabletext"/>
            </w:pPr>
            <w:r w:rsidRPr="002B1A95">
              <w:rPr>
                <w:color w:val="000000"/>
              </w:rPr>
              <w:t>73</w:t>
            </w:r>
          </w:p>
        </w:tc>
        <w:tc>
          <w:tcPr>
            <w:tcW w:w="2277" w:type="pct"/>
            <w:shd w:val="clear" w:color="auto" w:fill="auto"/>
          </w:tcPr>
          <w:p w:rsidR="007D17C5" w:rsidRPr="002B1A95" w:rsidRDefault="007D17C5" w:rsidP="009558BE">
            <w:pPr>
              <w:pStyle w:val="Tabletext"/>
            </w:pPr>
            <w:r w:rsidRPr="002B1A95">
              <w:rPr>
                <w:color w:val="000000"/>
              </w:rPr>
              <w:t>0.032</w:t>
            </w:r>
          </w:p>
        </w:tc>
      </w:tr>
      <w:tr w:rsidR="007D17C5" w:rsidRPr="002B1A95" w:rsidTr="009558BE">
        <w:tc>
          <w:tcPr>
            <w:tcW w:w="396" w:type="pct"/>
          </w:tcPr>
          <w:p w:rsidR="007D17C5" w:rsidRPr="002B1A95" w:rsidRDefault="007D17C5" w:rsidP="009558BE">
            <w:pPr>
              <w:pStyle w:val="Tabletext"/>
              <w:rPr>
                <w:color w:val="000000"/>
              </w:rPr>
            </w:pPr>
            <w:r w:rsidRPr="002B1A95">
              <w:rPr>
                <w:color w:val="000000"/>
              </w:rPr>
              <w:t>22</w:t>
            </w:r>
          </w:p>
        </w:tc>
        <w:tc>
          <w:tcPr>
            <w:tcW w:w="2327" w:type="pct"/>
            <w:shd w:val="clear" w:color="auto" w:fill="auto"/>
          </w:tcPr>
          <w:p w:rsidR="007D17C5" w:rsidRPr="002B1A95" w:rsidRDefault="007D17C5" w:rsidP="009558BE">
            <w:pPr>
              <w:pStyle w:val="Tabletext"/>
            </w:pPr>
            <w:r w:rsidRPr="002B1A95">
              <w:rPr>
                <w:color w:val="000000"/>
              </w:rPr>
              <w:t>74</w:t>
            </w:r>
          </w:p>
        </w:tc>
        <w:tc>
          <w:tcPr>
            <w:tcW w:w="2277" w:type="pct"/>
            <w:shd w:val="clear" w:color="auto" w:fill="auto"/>
          </w:tcPr>
          <w:p w:rsidR="007D17C5" w:rsidRPr="002B1A95" w:rsidRDefault="007D17C5" w:rsidP="009558BE">
            <w:pPr>
              <w:pStyle w:val="Tabletext"/>
            </w:pPr>
            <w:r w:rsidRPr="002B1A95">
              <w:rPr>
                <w:color w:val="000000"/>
              </w:rPr>
              <w:t>0.035</w:t>
            </w:r>
          </w:p>
        </w:tc>
      </w:tr>
      <w:tr w:rsidR="007D17C5" w:rsidRPr="002B1A95" w:rsidTr="009558BE">
        <w:tc>
          <w:tcPr>
            <w:tcW w:w="396" w:type="pct"/>
          </w:tcPr>
          <w:p w:rsidR="007D17C5" w:rsidRPr="002B1A95" w:rsidRDefault="007D17C5" w:rsidP="009558BE">
            <w:pPr>
              <w:pStyle w:val="Tabletext"/>
              <w:rPr>
                <w:color w:val="000000"/>
              </w:rPr>
            </w:pPr>
            <w:r w:rsidRPr="002B1A95">
              <w:rPr>
                <w:color w:val="000000"/>
              </w:rPr>
              <w:t>23</w:t>
            </w:r>
          </w:p>
        </w:tc>
        <w:tc>
          <w:tcPr>
            <w:tcW w:w="2327" w:type="pct"/>
            <w:shd w:val="clear" w:color="auto" w:fill="auto"/>
          </w:tcPr>
          <w:p w:rsidR="007D17C5" w:rsidRPr="002B1A95" w:rsidRDefault="007D17C5" w:rsidP="009558BE">
            <w:pPr>
              <w:pStyle w:val="Tabletext"/>
            </w:pPr>
            <w:r w:rsidRPr="002B1A95">
              <w:rPr>
                <w:color w:val="000000"/>
              </w:rPr>
              <w:t>75</w:t>
            </w:r>
          </w:p>
        </w:tc>
        <w:tc>
          <w:tcPr>
            <w:tcW w:w="2277" w:type="pct"/>
            <w:shd w:val="clear" w:color="auto" w:fill="auto"/>
          </w:tcPr>
          <w:p w:rsidR="007D17C5" w:rsidRPr="002B1A95" w:rsidRDefault="007D17C5" w:rsidP="009558BE">
            <w:pPr>
              <w:pStyle w:val="Tabletext"/>
            </w:pPr>
            <w:r w:rsidRPr="002B1A95">
              <w:rPr>
                <w:color w:val="000000"/>
              </w:rPr>
              <w:t>0.039</w:t>
            </w:r>
          </w:p>
        </w:tc>
      </w:tr>
      <w:tr w:rsidR="007D17C5" w:rsidRPr="002B1A95" w:rsidTr="009558BE">
        <w:tc>
          <w:tcPr>
            <w:tcW w:w="396" w:type="pct"/>
          </w:tcPr>
          <w:p w:rsidR="007D17C5" w:rsidRPr="002B1A95" w:rsidRDefault="007D17C5" w:rsidP="009558BE">
            <w:pPr>
              <w:pStyle w:val="Tabletext"/>
              <w:rPr>
                <w:color w:val="000000"/>
              </w:rPr>
            </w:pPr>
            <w:r w:rsidRPr="002B1A95">
              <w:rPr>
                <w:color w:val="000000"/>
              </w:rPr>
              <w:t>24</w:t>
            </w:r>
          </w:p>
        </w:tc>
        <w:tc>
          <w:tcPr>
            <w:tcW w:w="2327" w:type="pct"/>
            <w:shd w:val="clear" w:color="auto" w:fill="auto"/>
          </w:tcPr>
          <w:p w:rsidR="007D17C5" w:rsidRPr="002B1A95" w:rsidRDefault="007D17C5" w:rsidP="009558BE">
            <w:pPr>
              <w:pStyle w:val="Tabletext"/>
            </w:pPr>
            <w:r w:rsidRPr="002B1A95">
              <w:rPr>
                <w:color w:val="000000"/>
              </w:rPr>
              <w:t>76</w:t>
            </w:r>
          </w:p>
        </w:tc>
        <w:tc>
          <w:tcPr>
            <w:tcW w:w="2277" w:type="pct"/>
            <w:shd w:val="clear" w:color="auto" w:fill="auto"/>
          </w:tcPr>
          <w:p w:rsidR="007D17C5" w:rsidRPr="002B1A95" w:rsidRDefault="007D17C5" w:rsidP="009558BE">
            <w:pPr>
              <w:pStyle w:val="Tabletext"/>
            </w:pPr>
            <w:r w:rsidRPr="002B1A95">
              <w:rPr>
                <w:color w:val="000000"/>
              </w:rPr>
              <w:t>0.043</w:t>
            </w:r>
          </w:p>
        </w:tc>
      </w:tr>
      <w:tr w:rsidR="007D17C5" w:rsidRPr="002B1A95" w:rsidTr="009558BE">
        <w:tc>
          <w:tcPr>
            <w:tcW w:w="396" w:type="pct"/>
          </w:tcPr>
          <w:p w:rsidR="007D17C5" w:rsidRPr="002B1A95" w:rsidRDefault="007D17C5" w:rsidP="009558BE">
            <w:pPr>
              <w:pStyle w:val="Tabletext"/>
              <w:rPr>
                <w:color w:val="000000"/>
              </w:rPr>
            </w:pPr>
            <w:r w:rsidRPr="002B1A95">
              <w:rPr>
                <w:color w:val="000000"/>
              </w:rPr>
              <w:t>25</w:t>
            </w:r>
          </w:p>
        </w:tc>
        <w:tc>
          <w:tcPr>
            <w:tcW w:w="2327" w:type="pct"/>
            <w:shd w:val="clear" w:color="auto" w:fill="auto"/>
          </w:tcPr>
          <w:p w:rsidR="007D17C5" w:rsidRPr="002B1A95" w:rsidRDefault="007D17C5" w:rsidP="009558BE">
            <w:pPr>
              <w:pStyle w:val="Tabletext"/>
            </w:pPr>
            <w:r w:rsidRPr="002B1A95">
              <w:rPr>
                <w:color w:val="000000"/>
              </w:rPr>
              <w:t>77</w:t>
            </w:r>
          </w:p>
        </w:tc>
        <w:tc>
          <w:tcPr>
            <w:tcW w:w="2277" w:type="pct"/>
            <w:shd w:val="clear" w:color="auto" w:fill="auto"/>
          </w:tcPr>
          <w:p w:rsidR="007D17C5" w:rsidRPr="002B1A95" w:rsidRDefault="007D17C5" w:rsidP="009558BE">
            <w:pPr>
              <w:pStyle w:val="Tabletext"/>
            </w:pPr>
            <w:r w:rsidRPr="002B1A95">
              <w:rPr>
                <w:color w:val="000000"/>
              </w:rPr>
              <w:t>0.048</w:t>
            </w:r>
          </w:p>
        </w:tc>
      </w:tr>
      <w:tr w:rsidR="007D17C5" w:rsidRPr="002B1A95" w:rsidTr="009558BE">
        <w:tc>
          <w:tcPr>
            <w:tcW w:w="396" w:type="pct"/>
          </w:tcPr>
          <w:p w:rsidR="007D17C5" w:rsidRPr="002B1A95" w:rsidRDefault="007D17C5" w:rsidP="009558BE">
            <w:pPr>
              <w:pStyle w:val="Tabletext"/>
              <w:rPr>
                <w:color w:val="000000"/>
              </w:rPr>
            </w:pPr>
            <w:r w:rsidRPr="002B1A95">
              <w:rPr>
                <w:color w:val="000000"/>
              </w:rPr>
              <w:t>26</w:t>
            </w:r>
          </w:p>
        </w:tc>
        <w:tc>
          <w:tcPr>
            <w:tcW w:w="2327" w:type="pct"/>
            <w:shd w:val="clear" w:color="auto" w:fill="auto"/>
          </w:tcPr>
          <w:p w:rsidR="007D17C5" w:rsidRPr="002B1A95" w:rsidRDefault="007D17C5" w:rsidP="009558BE">
            <w:pPr>
              <w:pStyle w:val="Tabletext"/>
            </w:pPr>
            <w:r w:rsidRPr="002B1A95">
              <w:rPr>
                <w:color w:val="000000"/>
              </w:rPr>
              <w:t>78</w:t>
            </w:r>
          </w:p>
        </w:tc>
        <w:tc>
          <w:tcPr>
            <w:tcW w:w="2277" w:type="pct"/>
            <w:shd w:val="clear" w:color="auto" w:fill="auto"/>
          </w:tcPr>
          <w:p w:rsidR="007D17C5" w:rsidRPr="002B1A95" w:rsidRDefault="007D17C5" w:rsidP="009558BE">
            <w:pPr>
              <w:pStyle w:val="Tabletext"/>
            </w:pPr>
            <w:r w:rsidRPr="002B1A95">
              <w:rPr>
                <w:color w:val="000000"/>
              </w:rPr>
              <w:t>0.053</w:t>
            </w:r>
          </w:p>
        </w:tc>
      </w:tr>
      <w:tr w:rsidR="007D17C5" w:rsidRPr="002B1A95" w:rsidTr="009558BE">
        <w:tc>
          <w:tcPr>
            <w:tcW w:w="396" w:type="pct"/>
          </w:tcPr>
          <w:p w:rsidR="007D17C5" w:rsidRPr="002B1A95" w:rsidRDefault="007D17C5" w:rsidP="009558BE">
            <w:pPr>
              <w:pStyle w:val="Tabletext"/>
              <w:rPr>
                <w:color w:val="000000"/>
              </w:rPr>
            </w:pPr>
            <w:r w:rsidRPr="002B1A95">
              <w:rPr>
                <w:color w:val="000000"/>
              </w:rPr>
              <w:t>27</w:t>
            </w:r>
          </w:p>
        </w:tc>
        <w:tc>
          <w:tcPr>
            <w:tcW w:w="2327" w:type="pct"/>
            <w:shd w:val="clear" w:color="auto" w:fill="auto"/>
          </w:tcPr>
          <w:p w:rsidR="007D17C5" w:rsidRPr="002B1A95" w:rsidRDefault="007D17C5" w:rsidP="009558BE">
            <w:pPr>
              <w:pStyle w:val="Tabletext"/>
            </w:pPr>
            <w:r w:rsidRPr="002B1A95">
              <w:rPr>
                <w:color w:val="000000"/>
              </w:rPr>
              <w:t>79</w:t>
            </w:r>
          </w:p>
        </w:tc>
        <w:tc>
          <w:tcPr>
            <w:tcW w:w="2277" w:type="pct"/>
            <w:shd w:val="clear" w:color="auto" w:fill="auto"/>
          </w:tcPr>
          <w:p w:rsidR="007D17C5" w:rsidRPr="002B1A95" w:rsidRDefault="007D17C5" w:rsidP="009558BE">
            <w:pPr>
              <w:pStyle w:val="Tabletext"/>
            </w:pPr>
            <w:r w:rsidRPr="002B1A95">
              <w:rPr>
                <w:color w:val="000000"/>
              </w:rPr>
              <w:t>0.059</w:t>
            </w:r>
          </w:p>
        </w:tc>
      </w:tr>
      <w:tr w:rsidR="007D17C5" w:rsidRPr="002B1A95" w:rsidTr="009558BE">
        <w:tc>
          <w:tcPr>
            <w:tcW w:w="396" w:type="pct"/>
          </w:tcPr>
          <w:p w:rsidR="007D17C5" w:rsidRPr="002B1A95" w:rsidRDefault="007D17C5" w:rsidP="009558BE">
            <w:pPr>
              <w:pStyle w:val="Tabletext"/>
              <w:rPr>
                <w:color w:val="000000"/>
              </w:rPr>
            </w:pPr>
            <w:r w:rsidRPr="002B1A95">
              <w:rPr>
                <w:color w:val="000000"/>
              </w:rPr>
              <w:t>28</w:t>
            </w:r>
          </w:p>
        </w:tc>
        <w:tc>
          <w:tcPr>
            <w:tcW w:w="2327" w:type="pct"/>
            <w:shd w:val="clear" w:color="auto" w:fill="auto"/>
          </w:tcPr>
          <w:p w:rsidR="007D17C5" w:rsidRPr="002B1A95" w:rsidRDefault="007D17C5" w:rsidP="009558BE">
            <w:pPr>
              <w:pStyle w:val="Tabletext"/>
            </w:pPr>
            <w:r w:rsidRPr="002B1A95">
              <w:rPr>
                <w:color w:val="000000"/>
              </w:rPr>
              <w:t>80</w:t>
            </w:r>
          </w:p>
        </w:tc>
        <w:tc>
          <w:tcPr>
            <w:tcW w:w="2277" w:type="pct"/>
            <w:shd w:val="clear" w:color="auto" w:fill="auto"/>
          </w:tcPr>
          <w:p w:rsidR="007D17C5" w:rsidRPr="002B1A95" w:rsidRDefault="007D17C5" w:rsidP="009558BE">
            <w:pPr>
              <w:pStyle w:val="Tabletext"/>
            </w:pPr>
            <w:r w:rsidRPr="002B1A95">
              <w:rPr>
                <w:color w:val="000000"/>
              </w:rPr>
              <w:t>0.064</w:t>
            </w:r>
          </w:p>
        </w:tc>
      </w:tr>
      <w:tr w:rsidR="007D17C5" w:rsidRPr="002B1A95" w:rsidTr="009558BE">
        <w:tc>
          <w:tcPr>
            <w:tcW w:w="396" w:type="pct"/>
          </w:tcPr>
          <w:p w:rsidR="007D17C5" w:rsidRPr="002B1A95" w:rsidRDefault="007D17C5" w:rsidP="009558BE">
            <w:pPr>
              <w:pStyle w:val="Tabletext"/>
              <w:rPr>
                <w:color w:val="000000"/>
              </w:rPr>
            </w:pPr>
            <w:r w:rsidRPr="002B1A95">
              <w:rPr>
                <w:color w:val="000000"/>
              </w:rPr>
              <w:t>29</w:t>
            </w:r>
          </w:p>
        </w:tc>
        <w:tc>
          <w:tcPr>
            <w:tcW w:w="2327" w:type="pct"/>
            <w:shd w:val="clear" w:color="auto" w:fill="auto"/>
          </w:tcPr>
          <w:p w:rsidR="007D17C5" w:rsidRPr="002B1A95" w:rsidRDefault="007D17C5" w:rsidP="009558BE">
            <w:pPr>
              <w:pStyle w:val="Tabletext"/>
            </w:pPr>
            <w:r w:rsidRPr="002B1A95">
              <w:rPr>
                <w:color w:val="000000"/>
              </w:rPr>
              <w:t>81</w:t>
            </w:r>
          </w:p>
        </w:tc>
        <w:tc>
          <w:tcPr>
            <w:tcW w:w="2277" w:type="pct"/>
            <w:shd w:val="clear" w:color="auto" w:fill="auto"/>
          </w:tcPr>
          <w:p w:rsidR="007D17C5" w:rsidRPr="002B1A95" w:rsidRDefault="007D17C5" w:rsidP="009558BE">
            <w:pPr>
              <w:pStyle w:val="Tabletext"/>
            </w:pPr>
            <w:r w:rsidRPr="002B1A95">
              <w:rPr>
                <w:color w:val="000000"/>
              </w:rPr>
              <w:t>0.070</w:t>
            </w:r>
          </w:p>
        </w:tc>
      </w:tr>
      <w:tr w:rsidR="007D17C5" w:rsidRPr="002B1A95" w:rsidTr="009558BE">
        <w:tc>
          <w:tcPr>
            <w:tcW w:w="396" w:type="pct"/>
          </w:tcPr>
          <w:p w:rsidR="007D17C5" w:rsidRPr="002B1A95" w:rsidRDefault="007D17C5" w:rsidP="009558BE">
            <w:pPr>
              <w:pStyle w:val="Tabletext"/>
              <w:rPr>
                <w:color w:val="000000"/>
              </w:rPr>
            </w:pPr>
            <w:r w:rsidRPr="002B1A95">
              <w:rPr>
                <w:color w:val="000000"/>
              </w:rPr>
              <w:t>30</w:t>
            </w:r>
          </w:p>
        </w:tc>
        <w:tc>
          <w:tcPr>
            <w:tcW w:w="2327" w:type="pct"/>
            <w:shd w:val="clear" w:color="auto" w:fill="auto"/>
          </w:tcPr>
          <w:p w:rsidR="007D17C5" w:rsidRPr="002B1A95" w:rsidRDefault="007D17C5" w:rsidP="009558BE">
            <w:pPr>
              <w:pStyle w:val="Tabletext"/>
            </w:pPr>
            <w:r w:rsidRPr="002B1A95">
              <w:rPr>
                <w:color w:val="000000"/>
              </w:rPr>
              <w:t>82</w:t>
            </w:r>
          </w:p>
        </w:tc>
        <w:tc>
          <w:tcPr>
            <w:tcW w:w="2277" w:type="pct"/>
            <w:shd w:val="clear" w:color="auto" w:fill="auto"/>
          </w:tcPr>
          <w:p w:rsidR="007D17C5" w:rsidRPr="002B1A95" w:rsidRDefault="007D17C5" w:rsidP="009558BE">
            <w:pPr>
              <w:pStyle w:val="Tabletext"/>
            </w:pPr>
            <w:r w:rsidRPr="002B1A95">
              <w:rPr>
                <w:color w:val="000000"/>
              </w:rPr>
              <w:t>0.077</w:t>
            </w:r>
          </w:p>
        </w:tc>
      </w:tr>
      <w:tr w:rsidR="007D17C5" w:rsidRPr="002B1A95" w:rsidTr="009558BE">
        <w:tc>
          <w:tcPr>
            <w:tcW w:w="396" w:type="pct"/>
          </w:tcPr>
          <w:p w:rsidR="007D17C5" w:rsidRPr="002B1A95" w:rsidRDefault="007D17C5" w:rsidP="009558BE">
            <w:pPr>
              <w:pStyle w:val="Tabletext"/>
              <w:rPr>
                <w:color w:val="000000"/>
              </w:rPr>
            </w:pPr>
            <w:r w:rsidRPr="002B1A95">
              <w:rPr>
                <w:color w:val="000000"/>
              </w:rPr>
              <w:t>31</w:t>
            </w:r>
          </w:p>
        </w:tc>
        <w:tc>
          <w:tcPr>
            <w:tcW w:w="2327" w:type="pct"/>
            <w:shd w:val="clear" w:color="auto" w:fill="auto"/>
          </w:tcPr>
          <w:p w:rsidR="007D17C5" w:rsidRPr="002B1A95" w:rsidRDefault="007D17C5" w:rsidP="009558BE">
            <w:pPr>
              <w:pStyle w:val="Tabletext"/>
            </w:pPr>
            <w:r w:rsidRPr="002B1A95">
              <w:rPr>
                <w:color w:val="000000"/>
              </w:rPr>
              <w:t>83</w:t>
            </w:r>
          </w:p>
        </w:tc>
        <w:tc>
          <w:tcPr>
            <w:tcW w:w="2277" w:type="pct"/>
            <w:shd w:val="clear" w:color="auto" w:fill="auto"/>
          </w:tcPr>
          <w:p w:rsidR="007D17C5" w:rsidRPr="002B1A95" w:rsidRDefault="007D17C5" w:rsidP="009558BE">
            <w:pPr>
              <w:pStyle w:val="Tabletext"/>
            </w:pPr>
            <w:r w:rsidRPr="002B1A95">
              <w:rPr>
                <w:color w:val="000000"/>
              </w:rPr>
              <w:t>0.085</w:t>
            </w:r>
          </w:p>
        </w:tc>
      </w:tr>
      <w:tr w:rsidR="007D17C5" w:rsidRPr="002B1A95" w:rsidTr="009558BE">
        <w:tc>
          <w:tcPr>
            <w:tcW w:w="396" w:type="pct"/>
          </w:tcPr>
          <w:p w:rsidR="007D17C5" w:rsidRPr="002B1A95" w:rsidRDefault="007D17C5" w:rsidP="009558BE">
            <w:pPr>
              <w:pStyle w:val="Tabletext"/>
              <w:rPr>
                <w:color w:val="000000"/>
              </w:rPr>
            </w:pPr>
            <w:r w:rsidRPr="002B1A95">
              <w:rPr>
                <w:color w:val="000000"/>
              </w:rPr>
              <w:t>32</w:t>
            </w:r>
          </w:p>
        </w:tc>
        <w:tc>
          <w:tcPr>
            <w:tcW w:w="2327" w:type="pct"/>
            <w:shd w:val="clear" w:color="auto" w:fill="auto"/>
          </w:tcPr>
          <w:p w:rsidR="007D17C5" w:rsidRPr="002B1A95" w:rsidRDefault="007D17C5" w:rsidP="009558BE">
            <w:pPr>
              <w:pStyle w:val="Tabletext"/>
            </w:pPr>
            <w:r w:rsidRPr="002B1A95">
              <w:rPr>
                <w:color w:val="000000"/>
              </w:rPr>
              <w:t>84</w:t>
            </w:r>
          </w:p>
        </w:tc>
        <w:tc>
          <w:tcPr>
            <w:tcW w:w="2277" w:type="pct"/>
            <w:shd w:val="clear" w:color="auto" w:fill="auto"/>
          </w:tcPr>
          <w:p w:rsidR="007D17C5" w:rsidRPr="002B1A95" w:rsidRDefault="007D17C5" w:rsidP="009558BE">
            <w:pPr>
              <w:pStyle w:val="Tabletext"/>
            </w:pPr>
            <w:r w:rsidRPr="002B1A95">
              <w:rPr>
                <w:color w:val="000000"/>
              </w:rPr>
              <w:t>0.095</w:t>
            </w:r>
          </w:p>
        </w:tc>
      </w:tr>
      <w:tr w:rsidR="007D17C5" w:rsidRPr="002B1A95" w:rsidTr="009558BE">
        <w:tc>
          <w:tcPr>
            <w:tcW w:w="396" w:type="pct"/>
            <w:tcBorders>
              <w:bottom w:val="single" w:sz="4" w:space="0" w:color="auto"/>
            </w:tcBorders>
          </w:tcPr>
          <w:p w:rsidR="007D17C5" w:rsidRPr="002B1A95" w:rsidRDefault="007D17C5" w:rsidP="009558BE">
            <w:pPr>
              <w:pStyle w:val="Tabletext"/>
              <w:rPr>
                <w:color w:val="000000"/>
              </w:rPr>
            </w:pPr>
            <w:r w:rsidRPr="002B1A95">
              <w:rPr>
                <w:color w:val="000000"/>
              </w:rPr>
              <w:t>33</w:t>
            </w:r>
          </w:p>
        </w:tc>
        <w:tc>
          <w:tcPr>
            <w:tcW w:w="2327" w:type="pct"/>
            <w:tcBorders>
              <w:bottom w:val="single" w:sz="4" w:space="0" w:color="auto"/>
            </w:tcBorders>
            <w:shd w:val="clear" w:color="auto" w:fill="auto"/>
          </w:tcPr>
          <w:p w:rsidR="007D17C5" w:rsidRPr="002B1A95" w:rsidRDefault="007D17C5" w:rsidP="009558BE">
            <w:pPr>
              <w:pStyle w:val="Tabletext"/>
            </w:pPr>
            <w:r w:rsidRPr="002B1A95">
              <w:rPr>
                <w:color w:val="000000"/>
              </w:rPr>
              <w:t>85</w:t>
            </w:r>
          </w:p>
        </w:tc>
        <w:tc>
          <w:tcPr>
            <w:tcW w:w="2277" w:type="pct"/>
            <w:tcBorders>
              <w:bottom w:val="single" w:sz="4" w:space="0" w:color="auto"/>
            </w:tcBorders>
            <w:shd w:val="clear" w:color="auto" w:fill="auto"/>
          </w:tcPr>
          <w:p w:rsidR="007D17C5" w:rsidRPr="002B1A95" w:rsidRDefault="007D17C5" w:rsidP="009558BE">
            <w:pPr>
              <w:pStyle w:val="Tabletext"/>
            </w:pPr>
            <w:r w:rsidRPr="002B1A95">
              <w:rPr>
                <w:color w:val="000000"/>
              </w:rPr>
              <w:t>0.106</w:t>
            </w:r>
          </w:p>
        </w:tc>
      </w:tr>
      <w:tr w:rsidR="007D17C5" w:rsidRPr="002B1A95" w:rsidTr="009558BE">
        <w:tc>
          <w:tcPr>
            <w:tcW w:w="396" w:type="pct"/>
            <w:tcBorders>
              <w:bottom w:val="single" w:sz="4" w:space="0" w:color="auto"/>
            </w:tcBorders>
            <w:shd w:val="clear" w:color="auto" w:fill="auto"/>
          </w:tcPr>
          <w:p w:rsidR="007D17C5" w:rsidRPr="002B1A95" w:rsidRDefault="007D17C5" w:rsidP="009558BE">
            <w:pPr>
              <w:pStyle w:val="Tabletext"/>
              <w:rPr>
                <w:color w:val="000000"/>
              </w:rPr>
            </w:pPr>
            <w:bookmarkStart w:id="248" w:name="CU_36204024"/>
            <w:bookmarkStart w:id="249" w:name="CU_36200978"/>
            <w:bookmarkEnd w:id="248"/>
            <w:bookmarkEnd w:id="249"/>
            <w:r w:rsidRPr="002B1A95">
              <w:rPr>
                <w:color w:val="000000"/>
              </w:rPr>
              <w:t>34</w:t>
            </w:r>
          </w:p>
        </w:tc>
        <w:tc>
          <w:tcPr>
            <w:tcW w:w="2327" w:type="pct"/>
            <w:tcBorders>
              <w:bottom w:val="single" w:sz="4" w:space="0" w:color="auto"/>
            </w:tcBorders>
            <w:shd w:val="clear" w:color="auto" w:fill="auto"/>
          </w:tcPr>
          <w:p w:rsidR="007D17C5" w:rsidRPr="002B1A95" w:rsidRDefault="007D17C5" w:rsidP="009558BE">
            <w:pPr>
              <w:pStyle w:val="Tabletext"/>
            </w:pPr>
            <w:r w:rsidRPr="002B1A95">
              <w:rPr>
                <w:color w:val="000000"/>
              </w:rPr>
              <w:t>86</w:t>
            </w:r>
          </w:p>
        </w:tc>
        <w:tc>
          <w:tcPr>
            <w:tcW w:w="2277" w:type="pct"/>
            <w:tcBorders>
              <w:bottom w:val="single" w:sz="4" w:space="0" w:color="auto"/>
            </w:tcBorders>
            <w:shd w:val="clear" w:color="auto" w:fill="auto"/>
          </w:tcPr>
          <w:p w:rsidR="007D17C5" w:rsidRPr="002B1A95" w:rsidRDefault="007D17C5" w:rsidP="009558BE">
            <w:pPr>
              <w:pStyle w:val="Tabletext"/>
            </w:pPr>
            <w:r w:rsidRPr="002B1A95">
              <w:rPr>
                <w:color w:val="000000"/>
              </w:rPr>
              <w:t>0.116</w:t>
            </w:r>
          </w:p>
        </w:tc>
      </w:tr>
      <w:tr w:rsidR="007D17C5" w:rsidRPr="002B1A95" w:rsidTr="009558BE">
        <w:tc>
          <w:tcPr>
            <w:tcW w:w="396" w:type="pct"/>
            <w:tcBorders>
              <w:top w:val="single" w:sz="4" w:space="0" w:color="auto"/>
            </w:tcBorders>
          </w:tcPr>
          <w:p w:rsidR="007D17C5" w:rsidRPr="002B1A95" w:rsidRDefault="007D17C5" w:rsidP="009558BE">
            <w:pPr>
              <w:pStyle w:val="Tabletext"/>
              <w:rPr>
                <w:color w:val="000000"/>
              </w:rPr>
            </w:pPr>
            <w:r w:rsidRPr="002B1A95">
              <w:rPr>
                <w:color w:val="000000"/>
              </w:rPr>
              <w:t>35</w:t>
            </w:r>
          </w:p>
        </w:tc>
        <w:tc>
          <w:tcPr>
            <w:tcW w:w="2327" w:type="pct"/>
            <w:tcBorders>
              <w:top w:val="single" w:sz="4" w:space="0" w:color="auto"/>
            </w:tcBorders>
            <w:shd w:val="clear" w:color="auto" w:fill="auto"/>
          </w:tcPr>
          <w:p w:rsidR="007D17C5" w:rsidRPr="002B1A95" w:rsidRDefault="007D17C5" w:rsidP="009558BE">
            <w:pPr>
              <w:pStyle w:val="Tabletext"/>
            </w:pPr>
            <w:r w:rsidRPr="002B1A95">
              <w:rPr>
                <w:color w:val="000000"/>
              </w:rPr>
              <w:t>87</w:t>
            </w:r>
          </w:p>
        </w:tc>
        <w:tc>
          <w:tcPr>
            <w:tcW w:w="2277" w:type="pct"/>
            <w:tcBorders>
              <w:top w:val="single" w:sz="4" w:space="0" w:color="auto"/>
            </w:tcBorders>
            <w:shd w:val="clear" w:color="auto" w:fill="auto"/>
          </w:tcPr>
          <w:p w:rsidR="007D17C5" w:rsidRPr="002B1A95" w:rsidRDefault="007D17C5" w:rsidP="009558BE">
            <w:pPr>
              <w:pStyle w:val="Tabletext"/>
            </w:pPr>
            <w:r w:rsidRPr="002B1A95">
              <w:rPr>
                <w:color w:val="000000"/>
              </w:rPr>
              <w:t>0.128</w:t>
            </w:r>
          </w:p>
        </w:tc>
      </w:tr>
      <w:tr w:rsidR="007D17C5" w:rsidRPr="002B1A95" w:rsidTr="009558BE">
        <w:tc>
          <w:tcPr>
            <w:tcW w:w="396" w:type="pct"/>
          </w:tcPr>
          <w:p w:rsidR="007D17C5" w:rsidRPr="002B1A95" w:rsidRDefault="007D17C5" w:rsidP="009558BE">
            <w:pPr>
              <w:pStyle w:val="Tabletext"/>
              <w:rPr>
                <w:color w:val="000000"/>
              </w:rPr>
            </w:pPr>
            <w:r w:rsidRPr="002B1A95">
              <w:rPr>
                <w:color w:val="000000"/>
              </w:rPr>
              <w:t>36</w:t>
            </w:r>
          </w:p>
        </w:tc>
        <w:tc>
          <w:tcPr>
            <w:tcW w:w="2327" w:type="pct"/>
            <w:shd w:val="clear" w:color="auto" w:fill="auto"/>
          </w:tcPr>
          <w:p w:rsidR="007D17C5" w:rsidRPr="002B1A95" w:rsidRDefault="007D17C5" w:rsidP="009558BE">
            <w:pPr>
              <w:pStyle w:val="Tabletext"/>
            </w:pPr>
            <w:r w:rsidRPr="002B1A95">
              <w:rPr>
                <w:color w:val="000000"/>
              </w:rPr>
              <w:t>88</w:t>
            </w:r>
          </w:p>
        </w:tc>
        <w:tc>
          <w:tcPr>
            <w:tcW w:w="2277" w:type="pct"/>
            <w:shd w:val="clear" w:color="auto" w:fill="auto"/>
          </w:tcPr>
          <w:p w:rsidR="007D17C5" w:rsidRPr="002B1A95" w:rsidRDefault="007D17C5" w:rsidP="009558BE">
            <w:pPr>
              <w:pStyle w:val="Tabletext"/>
            </w:pPr>
            <w:r w:rsidRPr="002B1A95">
              <w:rPr>
                <w:color w:val="000000"/>
              </w:rPr>
              <w:t>0.139</w:t>
            </w:r>
          </w:p>
        </w:tc>
      </w:tr>
      <w:tr w:rsidR="007D17C5" w:rsidRPr="002B1A95" w:rsidTr="009558BE">
        <w:tc>
          <w:tcPr>
            <w:tcW w:w="396" w:type="pct"/>
          </w:tcPr>
          <w:p w:rsidR="007D17C5" w:rsidRPr="002B1A95" w:rsidRDefault="007D17C5" w:rsidP="009558BE">
            <w:pPr>
              <w:pStyle w:val="Tabletext"/>
              <w:rPr>
                <w:color w:val="000000"/>
              </w:rPr>
            </w:pPr>
            <w:r w:rsidRPr="002B1A95">
              <w:rPr>
                <w:color w:val="000000"/>
              </w:rPr>
              <w:t>37</w:t>
            </w:r>
          </w:p>
        </w:tc>
        <w:tc>
          <w:tcPr>
            <w:tcW w:w="2327" w:type="pct"/>
            <w:shd w:val="clear" w:color="auto" w:fill="auto"/>
          </w:tcPr>
          <w:p w:rsidR="007D17C5" w:rsidRPr="002B1A95" w:rsidRDefault="007D17C5" w:rsidP="009558BE">
            <w:pPr>
              <w:pStyle w:val="Tabletext"/>
            </w:pPr>
            <w:r w:rsidRPr="002B1A95">
              <w:rPr>
                <w:color w:val="000000"/>
              </w:rPr>
              <w:t>89</w:t>
            </w:r>
          </w:p>
        </w:tc>
        <w:tc>
          <w:tcPr>
            <w:tcW w:w="2277" w:type="pct"/>
            <w:shd w:val="clear" w:color="auto" w:fill="auto"/>
          </w:tcPr>
          <w:p w:rsidR="007D17C5" w:rsidRPr="002B1A95" w:rsidRDefault="007D17C5" w:rsidP="009558BE">
            <w:pPr>
              <w:pStyle w:val="Tabletext"/>
            </w:pPr>
            <w:r w:rsidRPr="002B1A95">
              <w:rPr>
                <w:color w:val="000000"/>
              </w:rPr>
              <w:t>0.149</w:t>
            </w:r>
          </w:p>
        </w:tc>
      </w:tr>
      <w:tr w:rsidR="007D17C5" w:rsidRPr="002B1A95" w:rsidTr="009558BE">
        <w:tc>
          <w:tcPr>
            <w:tcW w:w="396" w:type="pct"/>
          </w:tcPr>
          <w:p w:rsidR="007D17C5" w:rsidRPr="002B1A95" w:rsidRDefault="007D17C5" w:rsidP="009558BE">
            <w:pPr>
              <w:pStyle w:val="Tabletext"/>
              <w:rPr>
                <w:color w:val="000000"/>
              </w:rPr>
            </w:pPr>
            <w:r w:rsidRPr="002B1A95">
              <w:rPr>
                <w:color w:val="000000"/>
              </w:rPr>
              <w:t>38</w:t>
            </w:r>
          </w:p>
        </w:tc>
        <w:tc>
          <w:tcPr>
            <w:tcW w:w="2327" w:type="pct"/>
            <w:shd w:val="clear" w:color="auto" w:fill="auto"/>
          </w:tcPr>
          <w:p w:rsidR="007D17C5" w:rsidRPr="002B1A95" w:rsidRDefault="007D17C5" w:rsidP="009558BE">
            <w:pPr>
              <w:pStyle w:val="Tabletext"/>
            </w:pPr>
            <w:r w:rsidRPr="002B1A95">
              <w:rPr>
                <w:color w:val="000000"/>
              </w:rPr>
              <w:t>90</w:t>
            </w:r>
          </w:p>
        </w:tc>
        <w:tc>
          <w:tcPr>
            <w:tcW w:w="2277" w:type="pct"/>
            <w:shd w:val="clear" w:color="auto" w:fill="auto"/>
          </w:tcPr>
          <w:p w:rsidR="007D17C5" w:rsidRPr="002B1A95" w:rsidRDefault="007D17C5" w:rsidP="009558BE">
            <w:pPr>
              <w:pStyle w:val="Tabletext"/>
            </w:pPr>
            <w:r w:rsidRPr="002B1A95">
              <w:rPr>
                <w:color w:val="000000"/>
              </w:rPr>
              <w:t>0.159</w:t>
            </w:r>
          </w:p>
        </w:tc>
      </w:tr>
      <w:tr w:rsidR="007D17C5" w:rsidRPr="002B1A95" w:rsidTr="009558BE">
        <w:tc>
          <w:tcPr>
            <w:tcW w:w="396" w:type="pct"/>
          </w:tcPr>
          <w:p w:rsidR="007D17C5" w:rsidRPr="002B1A95" w:rsidRDefault="007D17C5" w:rsidP="009558BE">
            <w:pPr>
              <w:pStyle w:val="Tabletext"/>
              <w:rPr>
                <w:color w:val="000000"/>
              </w:rPr>
            </w:pPr>
            <w:r w:rsidRPr="002B1A95">
              <w:rPr>
                <w:color w:val="000000"/>
              </w:rPr>
              <w:t>39</w:t>
            </w:r>
          </w:p>
        </w:tc>
        <w:tc>
          <w:tcPr>
            <w:tcW w:w="2327" w:type="pct"/>
            <w:shd w:val="clear" w:color="auto" w:fill="auto"/>
          </w:tcPr>
          <w:p w:rsidR="007D17C5" w:rsidRPr="002B1A95" w:rsidRDefault="007D17C5" w:rsidP="009558BE">
            <w:pPr>
              <w:pStyle w:val="Tabletext"/>
            </w:pPr>
            <w:r w:rsidRPr="002B1A95">
              <w:rPr>
                <w:color w:val="000000"/>
              </w:rPr>
              <w:t>91</w:t>
            </w:r>
          </w:p>
        </w:tc>
        <w:tc>
          <w:tcPr>
            <w:tcW w:w="2277" w:type="pct"/>
            <w:shd w:val="clear" w:color="auto" w:fill="auto"/>
          </w:tcPr>
          <w:p w:rsidR="007D17C5" w:rsidRPr="002B1A95" w:rsidRDefault="007D17C5" w:rsidP="009558BE">
            <w:pPr>
              <w:pStyle w:val="Tabletext"/>
            </w:pPr>
            <w:r w:rsidRPr="002B1A95">
              <w:rPr>
                <w:color w:val="000000"/>
              </w:rPr>
              <w:t>0.168</w:t>
            </w:r>
          </w:p>
        </w:tc>
      </w:tr>
      <w:tr w:rsidR="007D17C5" w:rsidRPr="002B1A95" w:rsidTr="009558BE">
        <w:tc>
          <w:tcPr>
            <w:tcW w:w="396" w:type="pct"/>
          </w:tcPr>
          <w:p w:rsidR="007D17C5" w:rsidRPr="002B1A95" w:rsidRDefault="007D17C5" w:rsidP="009558BE">
            <w:pPr>
              <w:pStyle w:val="Tabletext"/>
              <w:rPr>
                <w:color w:val="000000"/>
              </w:rPr>
            </w:pPr>
            <w:r w:rsidRPr="002B1A95">
              <w:rPr>
                <w:color w:val="000000"/>
              </w:rPr>
              <w:t>40</w:t>
            </w:r>
          </w:p>
        </w:tc>
        <w:tc>
          <w:tcPr>
            <w:tcW w:w="2327" w:type="pct"/>
            <w:shd w:val="clear" w:color="auto" w:fill="auto"/>
          </w:tcPr>
          <w:p w:rsidR="007D17C5" w:rsidRPr="002B1A95" w:rsidRDefault="007D17C5" w:rsidP="009558BE">
            <w:pPr>
              <w:pStyle w:val="Tabletext"/>
            </w:pPr>
            <w:r w:rsidRPr="002B1A95">
              <w:rPr>
                <w:color w:val="000000"/>
              </w:rPr>
              <w:t>92</w:t>
            </w:r>
          </w:p>
        </w:tc>
        <w:tc>
          <w:tcPr>
            <w:tcW w:w="2277" w:type="pct"/>
            <w:shd w:val="clear" w:color="auto" w:fill="auto"/>
          </w:tcPr>
          <w:p w:rsidR="007D17C5" w:rsidRPr="002B1A95" w:rsidRDefault="007D17C5" w:rsidP="009558BE">
            <w:pPr>
              <w:pStyle w:val="Tabletext"/>
            </w:pPr>
            <w:r w:rsidRPr="002B1A95">
              <w:rPr>
                <w:color w:val="000000"/>
              </w:rPr>
              <w:t>0.176</w:t>
            </w:r>
          </w:p>
        </w:tc>
      </w:tr>
      <w:tr w:rsidR="007D17C5" w:rsidRPr="002B1A95" w:rsidTr="009558BE">
        <w:tc>
          <w:tcPr>
            <w:tcW w:w="396" w:type="pct"/>
          </w:tcPr>
          <w:p w:rsidR="007D17C5" w:rsidRPr="002B1A95" w:rsidRDefault="007D17C5" w:rsidP="009558BE">
            <w:pPr>
              <w:pStyle w:val="Tabletext"/>
              <w:rPr>
                <w:color w:val="000000"/>
              </w:rPr>
            </w:pPr>
            <w:r w:rsidRPr="002B1A95">
              <w:rPr>
                <w:color w:val="000000"/>
              </w:rPr>
              <w:t>41</w:t>
            </w:r>
          </w:p>
        </w:tc>
        <w:tc>
          <w:tcPr>
            <w:tcW w:w="2327" w:type="pct"/>
            <w:shd w:val="clear" w:color="auto" w:fill="auto"/>
          </w:tcPr>
          <w:p w:rsidR="007D17C5" w:rsidRPr="002B1A95" w:rsidRDefault="007D17C5" w:rsidP="009558BE">
            <w:pPr>
              <w:pStyle w:val="Tabletext"/>
            </w:pPr>
            <w:r w:rsidRPr="002B1A95">
              <w:rPr>
                <w:color w:val="000000"/>
              </w:rPr>
              <w:t>93</w:t>
            </w:r>
          </w:p>
        </w:tc>
        <w:tc>
          <w:tcPr>
            <w:tcW w:w="2277" w:type="pct"/>
            <w:shd w:val="clear" w:color="auto" w:fill="auto"/>
          </w:tcPr>
          <w:p w:rsidR="007D17C5" w:rsidRPr="002B1A95" w:rsidRDefault="007D17C5" w:rsidP="009558BE">
            <w:pPr>
              <w:pStyle w:val="Tabletext"/>
            </w:pPr>
            <w:r w:rsidRPr="002B1A95">
              <w:rPr>
                <w:color w:val="000000"/>
              </w:rPr>
              <w:t>0.184</w:t>
            </w:r>
          </w:p>
        </w:tc>
      </w:tr>
      <w:tr w:rsidR="007D17C5" w:rsidRPr="002B1A95" w:rsidTr="009558BE">
        <w:tc>
          <w:tcPr>
            <w:tcW w:w="396" w:type="pct"/>
          </w:tcPr>
          <w:p w:rsidR="007D17C5" w:rsidRPr="002B1A95" w:rsidRDefault="007D17C5" w:rsidP="009558BE">
            <w:pPr>
              <w:pStyle w:val="Tabletext"/>
              <w:rPr>
                <w:color w:val="000000"/>
              </w:rPr>
            </w:pPr>
            <w:r w:rsidRPr="002B1A95">
              <w:rPr>
                <w:color w:val="000000"/>
              </w:rPr>
              <w:t>42</w:t>
            </w:r>
          </w:p>
        </w:tc>
        <w:tc>
          <w:tcPr>
            <w:tcW w:w="2327" w:type="pct"/>
            <w:shd w:val="clear" w:color="auto" w:fill="auto"/>
          </w:tcPr>
          <w:p w:rsidR="007D17C5" w:rsidRPr="002B1A95" w:rsidRDefault="007D17C5" w:rsidP="009558BE">
            <w:pPr>
              <w:pStyle w:val="Tabletext"/>
            </w:pPr>
            <w:r w:rsidRPr="002B1A95">
              <w:rPr>
                <w:color w:val="000000"/>
              </w:rPr>
              <w:t>94</w:t>
            </w:r>
          </w:p>
        </w:tc>
        <w:tc>
          <w:tcPr>
            <w:tcW w:w="2277" w:type="pct"/>
            <w:shd w:val="clear" w:color="auto" w:fill="auto"/>
          </w:tcPr>
          <w:p w:rsidR="007D17C5" w:rsidRPr="002B1A95" w:rsidRDefault="007D17C5" w:rsidP="009558BE">
            <w:pPr>
              <w:pStyle w:val="Tabletext"/>
            </w:pPr>
            <w:r w:rsidRPr="002B1A95">
              <w:rPr>
                <w:color w:val="000000"/>
              </w:rPr>
              <w:t>0.193</w:t>
            </w:r>
          </w:p>
        </w:tc>
      </w:tr>
      <w:tr w:rsidR="007D17C5" w:rsidRPr="002B1A95" w:rsidTr="009558BE">
        <w:tc>
          <w:tcPr>
            <w:tcW w:w="396" w:type="pct"/>
          </w:tcPr>
          <w:p w:rsidR="007D17C5" w:rsidRPr="002B1A95" w:rsidRDefault="007D17C5" w:rsidP="009558BE">
            <w:pPr>
              <w:pStyle w:val="Tabletext"/>
              <w:rPr>
                <w:color w:val="000000"/>
              </w:rPr>
            </w:pPr>
            <w:r w:rsidRPr="002B1A95">
              <w:rPr>
                <w:color w:val="000000"/>
              </w:rPr>
              <w:t>43</w:t>
            </w:r>
          </w:p>
        </w:tc>
        <w:tc>
          <w:tcPr>
            <w:tcW w:w="2327" w:type="pct"/>
            <w:shd w:val="clear" w:color="auto" w:fill="auto"/>
          </w:tcPr>
          <w:p w:rsidR="007D17C5" w:rsidRPr="002B1A95" w:rsidRDefault="007D17C5" w:rsidP="009558BE">
            <w:pPr>
              <w:pStyle w:val="Tabletext"/>
            </w:pPr>
            <w:r w:rsidRPr="002B1A95">
              <w:rPr>
                <w:color w:val="000000"/>
              </w:rPr>
              <w:t>95</w:t>
            </w:r>
          </w:p>
        </w:tc>
        <w:tc>
          <w:tcPr>
            <w:tcW w:w="2277" w:type="pct"/>
            <w:shd w:val="clear" w:color="auto" w:fill="auto"/>
          </w:tcPr>
          <w:p w:rsidR="007D17C5" w:rsidRPr="002B1A95" w:rsidRDefault="007D17C5" w:rsidP="009558BE">
            <w:pPr>
              <w:pStyle w:val="Tabletext"/>
            </w:pPr>
            <w:r w:rsidRPr="002B1A95">
              <w:rPr>
                <w:color w:val="000000"/>
              </w:rPr>
              <w:t>0.202</w:t>
            </w:r>
          </w:p>
        </w:tc>
      </w:tr>
      <w:tr w:rsidR="007D17C5" w:rsidRPr="002B1A95" w:rsidTr="009558BE">
        <w:tc>
          <w:tcPr>
            <w:tcW w:w="396" w:type="pct"/>
          </w:tcPr>
          <w:p w:rsidR="007D17C5" w:rsidRPr="002B1A95" w:rsidRDefault="007D17C5" w:rsidP="009558BE">
            <w:pPr>
              <w:pStyle w:val="Tabletext"/>
              <w:rPr>
                <w:color w:val="000000"/>
              </w:rPr>
            </w:pPr>
            <w:r w:rsidRPr="002B1A95">
              <w:rPr>
                <w:color w:val="000000"/>
              </w:rPr>
              <w:t>44</w:t>
            </w:r>
          </w:p>
        </w:tc>
        <w:tc>
          <w:tcPr>
            <w:tcW w:w="2327" w:type="pct"/>
            <w:shd w:val="clear" w:color="auto" w:fill="auto"/>
          </w:tcPr>
          <w:p w:rsidR="007D17C5" w:rsidRPr="002B1A95" w:rsidRDefault="007D17C5" w:rsidP="009558BE">
            <w:pPr>
              <w:pStyle w:val="Tabletext"/>
            </w:pPr>
            <w:r w:rsidRPr="002B1A95">
              <w:rPr>
                <w:color w:val="000000"/>
              </w:rPr>
              <w:t>96</w:t>
            </w:r>
          </w:p>
        </w:tc>
        <w:tc>
          <w:tcPr>
            <w:tcW w:w="2277" w:type="pct"/>
            <w:shd w:val="clear" w:color="auto" w:fill="auto"/>
          </w:tcPr>
          <w:p w:rsidR="007D17C5" w:rsidRPr="002B1A95" w:rsidRDefault="007D17C5" w:rsidP="009558BE">
            <w:pPr>
              <w:pStyle w:val="Tabletext"/>
            </w:pPr>
            <w:r w:rsidRPr="002B1A95">
              <w:rPr>
                <w:color w:val="000000"/>
              </w:rPr>
              <w:t>0.211</w:t>
            </w:r>
          </w:p>
        </w:tc>
      </w:tr>
      <w:tr w:rsidR="007D17C5" w:rsidRPr="002B1A95" w:rsidTr="009558BE">
        <w:tc>
          <w:tcPr>
            <w:tcW w:w="396" w:type="pct"/>
          </w:tcPr>
          <w:p w:rsidR="007D17C5" w:rsidRPr="002B1A95" w:rsidRDefault="007D17C5" w:rsidP="009558BE">
            <w:pPr>
              <w:pStyle w:val="Tabletext"/>
              <w:rPr>
                <w:color w:val="000000"/>
              </w:rPr>
            </w:pPr>
            <w:r w:rsidRPr="002B1A95">
              <w:rPr>
                <w:color w:val="000000"/>
              </w:rPr>
              <w:t>45</w:t>
            </w:r>
          </w:p>
        </w:tc>
        <w:tc>
          <w:tcPr>
            <w:tcW w:w="2327" w:type="pct"/>
            <w:shd w:val="clear" w:color="auto" w:fill="auto"/>
          </w:tcPr>
          <w:p w:rsidR="007D17C5" w:rsidRPr="002B1A95" w:rsidRDefault="007D17C5" w:rsidP="009558BE">
            <w:pPr>
              <w:pStyle w:val="Tabletext"/>
            </w:pPr>
            <w:r w:rsidRPr="002B1A95">
              <w:rPr>
                <w:color w:val="000000"/>
              </w:rPr>
              <w:t>97</w:t>
            </w:r>
          </w:p>
        </w:tc>
        <w:tc>
          <w:tcPr>
            <w:tcW w:w="2277" w:type="pct"/>
            <w:shd w:val="clear" w:color="auto" w:fill="auto"/>
          </w:tcPr>
          <w:p w:rsidR="007D17C5" w:rsidRPr="002B1A95" w:rsidRDefault="007D17C5" w:rsidP="009558BE">
            <w:pPr>
              <w:pStyle w:val="Tabletext"/>
            </w:pPr>
            <w:r w:rsidRPr="002B1A95">
              <w:rPr>
                <w:color w:val="000000"/>
              </w:rPr>
              <w:t>0.219</w:t>
            </w:r>
          </w:p>
        </w:tc>
      </w:tr>
      <w:tr w:rsidR="007D17C5" w:rsidRPr="002B1A95" w:rsidTr="009558BE">
        <w:tc>
          <w:tcPr>
            <w:tcW w:w="396" w:type="pct"/>
          </w:tcPr>
          <w:p w:rsidR="007D17C5" w:rsidRPr="002B1A95" w:rsidRDefault="007D17C5" w:rsidP="009558BE">
            <w:pPr>
              <w:pStyle w:val="Tabletext"/>
              <w:rPr>
                <w:color w:val="000000"/>
              </w:rPr>
            </w:pPr>
            <w:r w:rsidRPr="002B1A95">
              <w:rPr>
                <w:color w:val="000000"/>
              </w:rPr>
              <w:t>46</w:t>
            </w:r>
          </w:p>
        </w:tc>
        <w:tc>
          <w:tcPr>
            <w:tcW w:w="2327" w:type="pct"/>
            <w:shd w:val="clear" w:color="auto" w:fill="auto"/>
          </w:tcPr>
          <w:p w:rsidR="007D17C5" w:rsidRPr="002B1A95" w:rsidRDefault="007D17C5" w:rsidP="009558BE">
            <w:pPr>
              <w:pStyle w:val="Tabletext"/>
            </w:pPr>
            <w:r w:rsidRPr="002B1A95">
              <w:rPr>
                <w:color w:val="000000"/>
              </w:rPr>
              <w:t>98</w:t>
            </w:r>
          </w:p>
        </w:tc>
        <w:tc>
          <w:tcPr>
            <w:tcW w:w="2277" w:type="pct"/>
            <w:shd w:val="clear" w:color="auto" w:fill="auto"/>
          </w:tcPr>
          <w:p w:rsidR="007D17C5" w:rsidRPr="002B1A95" w:rsidRDefault="007D17C5" w:rsidP="009558BE">
            <w:pPr>
              <w:pStyle w:val="Tabletext"/>
            </w:pPr>
            <w:r w:rsidRPr="002B1A95">
              <w:rPr>
                <w:color w:val="000000"/>
              </w:rPr>
              <w:t>0.228</w:t>
            </w:r>
          </w:p>
        </w:tc>
      </w:tr>
      <w:tr w:rsidR="007D17C5" w:rsidRPr="002B1A95" w:rsidTr="009558BE">
        <w:tc>
          <w:tcPr>
            <w:tcW w:w="396" w:type="pct"/>
            <w:tcBorders>
              <w:bottom w:val="single" w:sz="4" w:space="0" w:color="auto"/>
            </w:tcBorders>
          </w:tcPr>
          <w:p w:rsidR="007D17C5" w:rsidRPr="002B1A95" w:rsidRDefault="007D17C5" w:rsidP="009558BE">
            <w:pPr>
              <w:pStyle w:val="Tabletext"/>
              <w:rPr>
                <w:color w:val="000000"/>
              </w:rPr>
            </w:pPr>
            <w:r w:rsidRPr="002B1A95">
              <w:rPr>
                <w:color w:val="000000"/>
              </w:rPr>
              <w:lastRenderedPageBreak/>
              <w:t>47</w:t>
            </w:r>
          </w:p>
        </w:tc>
        <w:tc>
          <w:tcPr>
            <w:tcW w:w="2327" w:type="pct"/>
            <w:tcBorders>
              <w:bottom w:val="single" w:sz="4" w:space="0" w:color="auto"/>
            </w:tcBorders>
            <w:shd w:val="clear" w:color="auto" w:fill="auto"/>
          </w:tcPr>
          <w:p w:rsidR="007D17C5" w:rsidRPr="002B1A95" w:rsidRDefault="007D17C5" w:rsidP="009558BE">
            <w:pPr>
              <w:pStyle w:val="Tabletext"/>
            </w:pPr>
            <w:r w:rsidRPr="002B1A95">
              <w:rPr>
                <w:color w:val="000000"/>
              </w:rPr>
              <w:t>99</w:t>
            </w:r>
          </w:p>
        </w:tc>
        <w:tc>
          <w:tcPr>
            <w:tcW w:w="2277" w:type="pct"/>
            <w:tcBorders>
              <w:bottom w:val="single" w:sz="4" w:space="0" w:color="auto"/>
            </w:tcBorders>
            <w:shd w:val="clear" w:color="auto" w:fill="auto"/>
          </w:tcPr>
          <w:p w:rsidR="007D17C5" w:rsidRPr="002B1A95" w:rsidRDefault="007D17C5" w:rsidP="009558BE">
            <w:pPr>
              <w:pStyle w:val="Tabletext"/>
            </w:pPr>
            <w:r w:rsidRPr="002B1A95">
              <w:rPr>
                <w:color w:val="000000"/>
              </w:rPr>
              <w:t>0.236</w:t>
            </w:r>
          </w:p>
        </w:tc>
      </w:tr>
      <w:tr w:rsidR="007D17C5" w:rsidRPr="002B1A95" w:rsidTr="009558BE">
        <w:tc>
          <w:tcPr>
            <w:tcW w:w="396" w:type="pct"/>
            <w:tcBorders>
              <w:bottom w:val="single" w:sz="12" w:space="0" w:color="auto"/>
            </w:tcBorders>
          </w:tcPr>
          <w:p w:rsidR="007D17C5" w:rsidRPr="002B1A95" w:rsidRDefault="007D17C5" w:rsidP="009558BE">
            <w:pPr>
              <w:pStyle w:val="Tabletext"/>
              <w:rPr>
                <w:color w:val="000000"/>
              </w:rPr>
            </w:pPr>
            <w:r w:rsidRPr="002B1A95">
              <w:rPr>
                <w:color w:val="000000"/>
              </w:rPr>
              <w:t>48</w:t>
            </w:r>
          </w:p>
        </w:tc>
        <w:tc>
          <w:tcPr>
            <w:tcW w:w="2327" w:type="pct"/>
            <w:tcBorders>
              <w:bottom w:val="single" w:sz="12" w:space="0" w:color="auto"/>
            </w:tcBorders>
            <w:shd w:val="clear" w:color="auto" w:fill="auto"/>
          </w:tcPr>
          <w:p w:rsidR="007D17C5" w:rsidRPr="002B1A95" w:rsidRDefault="007D17C5" w:rsidP="009558BE">
            <w:pPr>
              <w:pStyle w:val="Tabletext"/>
            </w:pPr>
            <w:r w:rsidRPr="002B1A95">
              <w:rPr>
                <w:color w:val="000000"/>
              </w:rPr>
              <w:t>100</w:t>
            </w:r>
          </w:p>
        </w:tc>
        <w:tc>
          <w:tcPr>
            <w:tcW w:w="2277" w:type="pct"/>
            <w:tcBorders>
              <w:bottom w:val="single" w:sz="12" w:space="0" w:color="auto"/>
            </w:tcBorders>
            <w:shd w:val="clear" w:color="auto" w:fill="auto"/>
          </w:tcPr>
          <w:p w:rsidR="007D17C5" w:rsidRPr="002B1A95" w:rsidRDefault="007D17C5" w:rsidP="009558BE">
            <w:pPr>
              <w:pStyle w:val="Tabletext"/>
            </w:pPr>
            <w:r w:rsidRPr="002B1A95">
              <w:rPr>
                <w:color w:val="000000"/>
              </w:rPr>
              <w:t>1.000</w:t>
            </w:r>
          </w:p>
        </w:tc>
      </w:tr>
    </w:tbl>
    <w:p w:rsidR="007D17C5" w:rsidRPr="002B1A95" w:rsidRDefault="007D17C5" w:rsidP="007D17C5">
      <w:pPr>
        <w:pStyle w:val="ActHead5"/>
      </w:pPr>
      <w:bookmarkStart w:id="250" w:name="_Toc49765423"/>
      <w:r w:rsidRPr="00411C46">
        <w:rPr>
          <w:rStyle w:val="CharSectno"/>
        </w:rPr>
        <w:t>19</w:t>
      </w:r>
      <w:r w:rsidRPr="002B1A95">
        <w:t xml:space="preserve">  Other assumptions to be set by the actuary</w:t>
      </w:r>
      <w:bookmarkEnd w:id="250"/>
    </w:p>
    <w:p w:rsidR="007D17C5" w:rsidRPr="002B1A95" w:rsidRDefault="007D17C5" w:rsidP="007D17C5">
      <w:pPr>
        <w:pStyle w:val="subsection"/>
      </w:pPr>
      <w:r w:rsidRPr="002B1A95">
        <w:tab/>
        <w:t>(1)</w:t>
      </w:r>
      <w:r w:rsidRPr="002B1A95">
        <w:tab/>
        <w:t>Any other assumptions which may be necessary are to be set by the actuary responsible for calculating the new entrant rate.</w:t>
      </w:r>
    </w:p>
    <w:p w:rsidR="007D17C5" w:rsidRPr="002B1A95" w:rsidRDefault="007D17C5" w:rsidP="007D17C5">
      <w:pPr>
        <w:pStyle w:val="subsection"/>
      </w:pPr>
      <w:r w:rsidRPr="002B1A95">
        <w:tab/>
        <w:t>(2)</w:t>
      </w:r>
      <w:r w:rsidRPr="002B1A95">
        <w:tab/>
        <w:t>The assumptions are to be based on the assumptions used in the most recent actuarial valuation of the fund, unless the actuary believes, having regard to the expected future experience of the fund, that they are no longer appropriate.</w:t>
      </w:r>
    </w:p>
    <w:p w:rsidR="007D17C5" w:rsidRPr="002B1A95" w:rsidRDefault="007D17C5" w:rsidP="007D17C5">
      <w:pPr>
        <w:pStyle w:val="subsection"/>
      </w:pPr>
      <w:r w:rsidRPr="002B1A95">
        <w:tab/>
        <w:t>(3)</w:t>
      </w:r>
      <w:r w:rsidRPr="002B1A95">
        <w:tab/>
        <w:t>If the actuary believes that the assumptions used in the most recent actuarial valuation are no longer appropriate, the assumptions should be set on a best estimate basis.</w:t>
      </w:r>
    </w:p>
    <w:p w:rsidR="007D17C5" w:rsidRPr="002B1A95" w:rsidRDefault="007D17C5" w:rsidP="007D17C5">
      <w:pPr>
        <w:pStyle w:val="ActHead2"/>
        <w:pageBreakBefore/>
      </w:pPr>
      <w:bookmarkStart w:id="251" w:name="_Toc49765424"/>
      <w:r w:rsidRPr="00411C46">
        <w:rPr>
          <w:rStyle w:val="CharPartNo"/>
        </w:rPr>
        <w:lastRenderedPageBreak/>
        <w:t>Part</w:t>
      </w:r>
      <w:r w:rsidR="002B1A95" w:rsidRPr="00411C46">
        <w:rPr>
          <w:rStyle w:val="CharPartNo"/>
        </w:rPr>
        <w:t> </w:t>
      </w:r>
      <w:r w:rsidRPr="00411C46">
        <w:rPr>
          <w:rStyle w:val="CharPartNo"/>
        </w:rPr>
        <w:t>4</w:t>
      </w:r>
      <w:r w:rsidRPr="002B1A95">
        <w:t>—</w:t>
      </w:r>
      <w:r w:rsidRPr="00411C46">
        <w:rPr>
          <w:rStyle w:val="CharPartText"/>
        </w:rPr>
        <w:t>Exercise of discretion to pay a benefit greater than the benefit assumed in calculating the new entrant rate</w:t>
      </w:r>
      <w:bookmarkEnd w:id="251"/>
    </w:p>
    <w:p w:rsidR="007D17C5" w:rsidRPr="00411C46" w:rsidRDefault="007D17C5" w:rsidP="007D17C5">
      <w:pPr>
        <w:pStyle w:val="Header"/>
      </w:pPr>
      <w:r w:rsidRPr="00411C46">
        <w:rPr>
          <w:rStyle w:val="CharDivNo"/>
        </w:rPr>
        <w:t xml:space="preserve"> </w:t>
      </w:r>
      <w:r w:rsidRPr="00411C46">
        <w:rPr>
          <w:rStyle w:val="CharDivText"/>
        </w:rPr>
        <w:t xml:space="preserve"> </w:t>
      </w:r>
    </w:p>
    <w:p w:rsidR="007D17C5" w:rsidRPr="002B1A95" w:rsidRDefault="007D17C5" w:rsidP="007D17C5">
      <w:pPr>
        <w:pStyle w:val="ActHead5"/>
      </w:pPr>
      <w:bookmarkStart w:id="252" w:name="_Toc49765425"/>
      <w:r w:rsidRPr="00411C46">
        <w:rPr>
          <w:rStyle w:val="CharSectno"/>
        </w:rPr>
        <w:t>20</w:t>
      </w:r>
      <w:r w:rsidRPr="002B1A95">
        <w:t xml:space="preserve">  Method of working out the increased exit benefit adjustment amount in the formula in subclause 4(2)</w:t>
      </w:r>
      <w:bookmarkEnd w:id="252"/>
    </w:p>
    <w:p w:rsidR="007D17C5" w:rsidRPr="002B1A95" w:rsidRDefault="007D17C5" w:rsidP="007D17C5">
      <w:pPr>
        <w:pStyle w:val="subsection"/>
      </w:pPr>
      <w:r w:rsidRPr="002B1A95">
        <w:tab/>
      </w:r>
      <w:r w:rsidRPr="002B1A95">
        <w:tab/>
        <w:t>For the purposes of the formula in subclause 4(2):</w:t>
      </w:r>
    </w:p>
    <w:p w:rsidR="007D17C5" w:rsidRPr="002B1A95" w:rsidRDefault="007D17C5" w:rsidP="007D17C5">
      <w:pPr>
        <w:pStyle w:val="paragraph"/>
      </w:pPr>
      <w:r w:rsidRPr="002B1A95">
        <w:tab/>
        <w:t>(a)</w:t>
      </w:r>
      <w:r w:rsidRPr="002B1A95">
        <w:tab/>
        <w:t>for a financial year in which the trustee of the defined benefit fund pays, as a result of an exercise of a discretion, a benefit to the member on:</w:t>
      </w:r>
    </w:p>
    <w:p w:rsidR="007D17C5" w:rsidRPr="002B1A95" w:rsidRDefault="007D17C5" w:rsidP="007D17C5">
      <w:pPr>
        <w:pStyle w:val="paragraphsub"/>
      </w:pPr>
      <w:r w:rsidRPr="002B1A95">
        <w:tab/>
        <w:t>(i)</w:t>
      </w:r>
      <w:r w:rsidRPr="002B1A95">
        <w:tab/>
        <w:t>voluntary exit; or</w:t>
      </w:r>
    </w:p>
    <w:p w:rsidR="007D17C5" w:rsidRPr="002B1A95" w:rsidRDefault="007D17C5" w:rsidP="007D17C5">
      <w:pPr>
        <w:pStyle w:val="paragraphsub"/>
      </w:pPr>
      <w:r w:rsidRPr="002B1A95">
        <w:tab/>
        <w:t>(ii)</w:t>
      </w:r>
      <w:r w:rsidRPr="002B1A95">
        <w:tab/>
        <w:t>redundancy that is not bona fide;</w:t>
      </w:r>
    </w:p>
    <w:p w:rsidR="007D17C5" w:rsidRPr="002B1A95" w:rsidRDefault="007D17C5" w:rsidP="007D17C5">
      <w:pPr>
        <w:pStyle w:val="paragraph"/>
      </w:pPr>
      <w:r w:rsidRPr="002B1A95">
        <w:tab/>
      </w:r>
      <w:r w:rsidRPr="002B1A95">
        <w:tab/>
        <w:t xml:space="preserve">which exceeds the benefit assumed in calculating the new entrant rate for the benefit category to which the member belongs at the time the benefit is paid—the </w:t>
      </w:r>
      <w:r w:rsidRPr="002B1A95">
        <w:rPr>
          <w:b/>
          <w:i/>
        </w:rPr>
        <w:t>increased exit benefit adjustment amount</w:t>
      </w:r>
      <w:r w:rsidRPr="002B1A95">
        <w:t xml:space="preserve"> equals an amount worked out on advice from an actuary that represents the amount of the excess; and</w:t>
      </w:r>
    </w:p>
    <w:p w:rsidR="007D17C5" w:rsidRPr="002B1A95" w:rsidRDefault="007D17C5" w:rsidP="007D17C5">
      <w:pPr>
        <w:pStyle w:val="paragraph"/>
      </w:pPr>
      <w:r w:rsidRPr="002B1A95">
        <w:tab/>
        <w:t>(b)</w:t>
      </w:r>
      <w:r w:rsidRPr="002B1A95">
        <w:tab/>
        <w:t xml:space="preserve">for any other financial year—the </w:t>
      </w:r>
      <w:r w:rsidRPr="002B1A95">
        <w:rPr>
          <w:b/>
          <w:i/>
        </w:rPr>
        <w:t>increased exit benefit adjustment amount</w:t>
      </w:r>
      <w:r w:rsidRPr="002B1A95">
        <w:t xml:space="preserve"> equals zero.</w:t>
      </w:r>
    </w:p>
    <w:p w:rsidR="007D17C5" w:rsidRPr="002B1A95" w:rsidRDefault="007D17C5" w:rsidP="007D17C5">
      <w:pPr>
        <w:pStyle w:val="ActHead2"/>
        <w:pageBreakBefore/>
      </w:pPr>
      <w:bookmarkStart w:id="253" w:name="_Toc49765426"/>
      <w:r w:rsidRPr="00411C46">
        <w:rPr>
          <w:rStyle w:val="CharPartNo"/>
        </w:rPr>
        <w:lastRenderedPageBreak/>
        <w:t>Part</w:t>
      </w:r>
      <w:r w:rsidR="002B1A95" w:rsidRPr="00411C46">
        <w:rPr>
          <w:rStyle w:val="CharPartNo"/>
        </w:rPr>
        <w:t> </w:t>
      </w:r>
      <w:r w:rsidRPr="00411C46">
        <w:rPr>
          <w:rStyle w:val="CharPartNo"/>
        </w:rPr>
        <w:t>5</w:t>
      </w:r>
      <w:r w:rsidRPr="002B1A95">
        <w:t>—</w:t>
      </w:r>
      <w:r w:rsidRPr="00411C46">
        <w:rPr>
          <w:rStyle w:val="CharPartText"/>
        </w:rPr>
        <w:t>Member has changed benefit category</w:t>
      </w:r>
      <w:bookmarkEnd w:id="253"/>
    </w:p>
    <w:p w:rsidR="007D17C5" w:rsidRPr="00411C46" w:rsidRDefault="007D17C5" w:rsidP="007D17C5">
      <w:pPr>
        <w:pStyle w:val="Header"/>
      </w:pPr>
      <w:r w:rsidRPr="00411C46">
        <w:rPr>
          <w:rStyle w:val="CharDivNo"/>
        </w:rPr>
        <w:t xml:space="preserve"> </w:t>
      </w:r>
      <w:r w:rsidRPr="00411C46">
        <w:rPr>
          <w:rStyle w:val="CharDivText"/>
        </w:rPr>
        <w:t xml:space="preserve"> </w:t>
      </w:r>
    </w:p>
    <w:p w:rsidR="007D17C5" w:rsidRPr="002B1A95" w:rsidRDefault="007D17C5" w:rsidP="007D17C5">
      <w:pPr>
        <w:pStyle w:val="ActHead5"/>
      </w:pPr>
      <w:bookmarkStart w:id="254" w:name="_Toc49765427"/>
      <w:r w:rsidRPr="00411C46">
        <w:rPr>
          <w:rStyle w:val="CharSectno"/>
        </w:rPr>
        <w:t>21</w:t>
      </w:r>
      <w:r w:rsidRPr="002B1A95">
        <w:t xml:space="preserve">  Method of working out the category change or discretion adjustment amount in the formula in subclause 4(2)</w:t>
      </w:r>
      <w:bookmarkEnd w:id="254"/>
    </w:p>
    <w:p w:rsidR="007D17C5" w:rsidRPr="002B1A95" w:rsidRDefault="007D17C5" w:rsidP="007D17C5">
      <w:pPr>
        <w:pStyle w:val="subsection"/>
      </w:pPr>
      <w:r w:rsidRPr="002B1A95">
        <w:tab/>
        <w:t>(1)</w:t>
      </w:r>
      <w:r w:rsidRPr="002B1A95">
        <w:tab/>
        <w:t>For the purposes of the formula in subclause 4(2):</w:t>
      </w:r>
    </w:p>
    <w:p w:rsidR="007D17C5" w:rsidRPr="002B1A95" w:rsidRDefault="007D17C5" w:rsidP="007D17C5">
      <w:pPr>
        <w:pStyle w:val="paragraph"/>
      </w:pPr>
      <w:r w:rsidRPr="002B1A95">
        <w:tab/>
        <w:t>(a)</w:t>
      </w:r>
      <w:r w:rsidRPr="002B1A95">
        <w:tab/>
        <w:t>for a financial year in which the member’s accrued retirement benefit increases as a result of:</w:t>
      </w:r>
    </w:p>
    <w:p w:rsidR="007D17C5" w:rsidRPr="002B1A95" w:rsidRDefault="007D17C5" w:rsidP="007D17C5">
      <w:pPr>
        <w:pStyle w:val="paragraphsub"/>
      </w:pPr>
      <w:r w:rsidRPr="002B1A95">
        <w:tab/>
        <w:t>(i)</w:t>
      </w:r>
      <w:r w:rsidRPr="002B1A95">
        <w:tab/>
        <w:t>a change of benefit category; or</w:t>
      </w:r>
    </w:p>
    <w:p w:rsidR="007D17C5" w:rsidRPr="002B1A95" w:rsidRDefault="007D17C5" w:rsidP="007D17C5">
      <w:pPr>
        <w:pStyle w:val="paragraphsub"/>
      </w:pPr>
      <w:r w:rsidRPr="002B1A95">
        <w:tab/>
        <w:t>(ii)</w:t>
      </w:r>
      <w:r w:rsidRPr="002B1A95">
        <w:tab/>
        <w:t>an exercise of discretion;</w:t>
      </w:r>
    </w:p>
    <w:p w:rsidR="007D17C5" w:rsidRPr="002B1A95" w:rsidRDefault="007D17C5" w:rsidP="007D17C5">
      <w:pPr>
        <w:pStyle w:val="paragraph"/>
      </w:pPr>
      <w:r w:rsidRPr="002B1A95">
        <w:rPr>
          <w:color w:val="000000"/>
        </w:rPr>
        <w:tab/>
      </w:r>
      <w:r w:rsidRPr="002B1A95">
        <w:rPr>
          <w:color w:val="000000"/>
        </w:rPr>
        <w:tab/>
        <w:t xml:space="preserve">the </w:t>
      </w:r>
      <w:r w:rsidRPr="002B1A95">
        <w:rPr>
          <w:b/>
          <w:i/>
        </w:rPr>
        <w:t>category change or discretion adjustment amount</w:t>
      </w:r>
      <w:r w:rsidRPr="002B1A95">
        <w:rPr>
          <w:color w:val="000000"/>
        </w:rPr>
        <w:t xml:space="preserve"> </w:t>
      </w:r>
      <w:r w:rsidRPr="002B1A95">
        <w:t>equals an amount worked out on advice from an actuary that represents the increase in the value of the accrued retirement benefit, if any, as a result of the change in benefit category or the exercise of the discretion; and</w:t>
      </w:r>
    </w:p>
    <w:p w:rsidR="007D17C5" w:rsidRPr="002B1A95" w:rsidRDefault="007D17C5" w:rsidP="007D17C5">
      <w:pPr>
        <w:pStyle w:val="paragraph"/>
      </w:pPr>
      <w:r w:rsidRPr="002B1A95">
        <w:rPr>
          <w:color w:val="000000"/>
        </w:rPr>
        <w:tab/>
        <w:t>(b)</w:t>
      </w:r>
      <w:r w:rsidRPr="002B1A95">
        <w:rPr>
          <w:color w:val="000000"/>
        </w:rPr>
        <w:tab/>
        <w:t xml:space="preserve">for any other financial year—the </w:t>
      </w:r>
      <w:r w:rsidRPr="002B1A95">
        <w:rPr>
          <w:b/>
          <w:i/>
        </w:rPr>
        <w:t>category change or discretion adjustment amount</w:t>
      </w:r>
      <w:r w:rsidRPr="002B1A95">
        <w:rPr>
          <w:color w:val="000000"/>
        </w:rPr>
        <w:t xml:space="preserve"> equals zero.</w:t>
      </w:r>
    </w:p>
    <w:p w:rsidR="007D17C5" w:rsidRPr="002B1A95" w:rsidRDefault="007D17C5" w:rsidP="007D17C5">
      <w:pPr>
        <w:pStyle w:val="subsection"/>
      </w:pPr>
      <w:r w:rsidRPr="002B1A95">
        <w:tab/>
        <w:t>(2)</w:t>
      </w:r>
      <w:r w:rsidRPr="002B1A95">
        <w:tab/>
        <w:t xml:space="preserve">The economic, </w:t>
      </w:r>
      <w:r w:rsidRPr="002B1A95">
        <w:rPr>
          <w:color w:val="000000"/>
        </w:rPr>
        <w:t>decrement and other parameters</w:t>
      </w:r>
      <w:r w:rsidRPr="002B1A95">
        <w:t xml:space="preserve"> and the other assumptions to be used are set out in Part</w:t>
      </w:r>
      <w:r w:rsidR="002B1A95" w:rsidRPr="002B1A95">
        <w:t> </w:t>
      </w:r>
      <w:r w:rsidRPr="002B1A95">
        <w:t>3.</w:t>
      </w:r>
    </w:p>
    <w:p w:rsidR="007D17C5" w:rsidRPr="002B1A95" w:rsidRDefault="007D17C5" w:rsidP="007D17C5">
      <w:pPr>
        <w:pStyle w:val="ActHead2"/>
        <w:pageBreakBefore/>
      </w:pPr>
      <w:bookmarkStart w:id="255" w:name="_Toc49765428"/>
      <w:r w:rsidRPr="00411C46">
        <w:rPr>
          <w:rStyle w:val="CharPartNo"/>
        </w:rPr>
        <w:lastRenderedPageBreak/>
        <w:t>Part</w:t>
      </w:r>
      <w:r w:rsidR="002B1A95" w:rsidRPr="00411C46">
        <w:rPr>
          <w:rStyle w:val="CharPartNo"/>
        </w:rPr>
        <w:t> </w:t>
      </w:r>
      <w:r w:rsidRPr="00411C46">
        <w:rPr>
          <w:rStyle w:val="CharPartNo"/>
        </w:rPr>
        <w:t>6</w:t>
      </w:r>
      <w:r w:rsidRPr="002B1A95">
        <w:t>—</w:t>
      </w:r>
      <w:r w:rsidRPr="00411C46">
        <w:rPr>
          <w:rStyle w:val="CharPartText"/>
        </w:rPr>
        <w:t>Governing rules have changed</w:t>
      </w:r>
      <w:bookmarkEnd w:id="255"/>
    </w:p>
    <w:p w:rsidR="007D17C5" w:rsidRPr="00411C46" w:rsidRDefault="007D17C5" w:rsidP="007D17C5">
      <w:pPr>
        <w:pStyle w:val="Header"/>
      </w:pPr>
      <w:r w:rsidRPr="00411C46">
        <w:rPr>
          <w:rStyle w:val="CharDivNo"/>
        </w:rPr>
        <w:t xml:space="preserve"> </w:t>
      </w:r>
      <w:r w:rsidRPr="00411C46">
        <w:rPr>
          <w:rStyle w:val="CharDivText"/>
        </w:rPr>
        <w:t xml:space="preserve"> </w:t>
      </w:r>
    </w:p>
    <w:p w:rsidR="007D17C5" w:rsidRPr="002B1A95" w:rsidRDefault="007D17C5" w:rsidP="007D17C5">
      <w:pPr>
        <w:pStyle w:val="ActHead5"/>
      </w:pPr>
      <w:bookmarkStart w:id="256" w:name="_Toc49765429"/>
      <w:r w:rsidRPr="00411C46">
        <w:rPr>
          <w:rStyle w:val="CharSectno"/>
        </w:rPr>
        <w:t>22</w:t>
      </w:r>
      <w:r w:rsidRPr="002B1A95">
        <w:t xml:space="preserve">  Method of working out governing rules change adjustment amount in the formula in subclause 4(2)</w:t>
      </w:r>
      <w:bookmarkEnd w:id="256"/>
    </w:p>
    <w:p w:rsidR="007D17C5" w:rsidRPr="002B1A95" w:rsidRDefault="007D17C5" w:rsidP="007D17C5">
      <w:pPr>
        <w:pStyle w:val="subsection"/>
      </w:pPr>
      <w:r w:rsidRPr="002B1A95">
        <w:tab/>
        <w:t>(1)</w:t>
      </w:r>
      <w:r w:rsidRPr="002B1A95">
        <w:tab/>
        <w:t>For the purposes of the formula in subclause 4(2):</w:t>
      </w:r>
    </w:p>
    <w:p w:rsidR="007D17C5" w:rsidRPr="002B1A95" w:rsidRDefault="007D17C5" w:rsidP="007D17C5">
      <w:pPr>
        <w:pStyle w:val="paragraph"/>
      </w:pPr>
      <w:r w:rsidRPr="002B1A95">
        <w:tab/>
        <w:t>(a)</w:t>
      </w:r>
      <w:r w:rsidRPr="002B1A95">
        <w:tab/>
        <w:t>for a financial year in which there is an amendment of the governing rules (within the meaning of subsection</w:t>
      </w:r>
      <w:r w:rsidR="002B1A95" w:rsidRPr="002B1A95">
        <w:t> </w:t>
      </w:r>
      <w:r w:rsidRPr="002B1A95">
        <w:t>10(1) of the SIS Act)</w:t>
      </w:r>
      <w:r w:rsidRPr="002B1A95">
        <w:rPr>
          <w:i/>
        </w:rPr>
        <w:t xml:space="preserve"> </w:t>
      </w:r>
      <w:r w:rsidRPr="002B1A95">
        <w:t>of the defined benefit fund that:</w:t>
      </w:r>
    </w:p>
    <w:p w:rsidR="007D17C5" w:rsidRPr="002B1A95" w:rsidRDefault="007D17C5" w:rsidP="007D17C5">
      <w:pPr>
        <w:pStyle w:val="paragraphsub"/>
      </w:pPr>
      <w:r w:rsidRPr="002B1A95">
        <w:tab/>
        <w:t>(i)</w:t>
      </w:r>
      <w:r w:rsidRPr="002B1A95">
        <w:tab/>
        <w:t>may result in an increase in the member’s benefit; and</w:t>
      </w:r>
    </w:p>
    <w:p w:rsidR="007D17C5" w:rsidRPr="002B1A95" w:rsidRDefault="007D17C5" w:rsidP="007D17C5">
      <w:pPr>
        <w:pStyle w:val="paragraphsub"/>
      </w:pPr>
      <w:r w:rsidRPr="002B1A95">
        <w:tab/>
        <w:t>(ii)</w:t>
      </w:r>
      <w:r w:rsidRPr="002B1A95">
        <w:tab/>
        <w:t>is made for a reason other than to satisfy a legislative requirement;</w:t>
      </w:r>
    </w:p>
    <w:p w:rsidR="007D17C5" w:rsidRPr="002B1A95" w:rsidRDefault="007D17C5" w:rsidP="007D17C5">
      <w:pPr>
        <w:pStyle w:val="paragraph"/>
        <w:rPr>
          <w:color w:val="000000"/>
        </w:rPr>
      </w:pPr>
      <w:r w:rsidRPr="002B1A95">
        <w:tab/>
      </w:r>
      <w:r w:rsidRPr="002B1A95">
        <w:tab/>
        <w:t xml:space="preserve">the </w:t>
      </w:r>
      <w:r w:rsidRPr="002B1A95">
        <w:rPr>
          <w:b/>
          <w:i/>
        </w:rPr>
        <w:t>governing rules change adjustment amount</w:t>
      </w:r>
      <w:r w:rsidRPr="002B1A95">
        <w:t xml:space="preserve"> equals </w:t>
      </w:r>
      <w:r w:rsidRPr="002B1A95">
        <w:rPr>
          <w:color w:val="000000"/>
        </w:rPr>
        <w:t>an amount worked out on advice from an actuary that represents the increase in the value of the accrued retirement benefit, if any, that accrued to the member as a result of the amendment to the governing rules; and</w:t>
      </w:r>
    </w:p>
    <w:p w:rsidR="007D17C5" w:rsidRPr="002B1A95" w:rsidRDefault="007D17C5" w:rsidP="007D17C5">
      <w:pPr>
        <w:pStyle w:val="paragraph"/>
      </w:pPr>
      <w:r w:rsidRPr="002B1A95">
        <w:rPr>
          <w:color w:val="000000"/>
        </w:rPr>
        <w:tab/>
        <w:t>(b)</w:t>
      </w:r>
      <w:r w:rsidRPr="002B1A95">
        <w:rPr>
          <w:color w:val="000000"/>
        </w:rPr>
        <w:tab/>
        <w:t xml:space="preserve">for any other financial year—the </w:t>
      </w:r>
      <w:r w:rsidRPr="002B1A95">
        <w:rPr>
          <w:b/>
          <w:i/>
        </w:rPr>
        <w:t>governing rules change adjustment amount</w:t>
      </w:r>
      <w:r w:rsidRPr="002B1A95">
        <w:t xml:space="preserve"> equals zero.</w:t>
      </w:r>
    </w:p>
    <w:p w:rsidR="007D17C5" w:rsidRPr="002B1A95" w:rsidRDefault="007D17C5" w:rsidP="007D17C5">
      <w:pPr>
        <w:pStyle w:val="subsection"/>
      </w:pPr>
      <w:r w:rsidRPr="002B1A95">
        <w:tab/>
        <w:t>(2)</w:t>
      </w:r>
      <w:r w:rsidRPr="002B1A95">
        <w:tab/>
        <w:t xml:space="preserve">The economic, </w:t>
      </w:r>
      <w:r w:rsidRPr="002B1A95">
        <w:rPr>
          <w:color w:val="000000"/>
        </w:rPr>
        <w:t>decrement and other parameters</w:t>
      </w:r>
      <w:r w:rsidRPr="002B1A95">
        <w:t xml:space="preserve"> and the other assumptions to be used are set out in Part</w:t>
      </w:r>
      <w:r w:rsidR="002B1A95" w:rsidRPr="002B1A95">
        <w:t> </w:t>
      </w:r>
      <w:r w:rsidRPr="002B1A95">
        <w:t>3.</w:t>
      </w:r>
    </w:p>
    <w:p w:rsidR="007D17C5" w:rsidRPr="002B1A95" w:rsidRDefault="007D17C5" w:rsidP="007D17C5">
      <w:pPr>
        <w:pStyle w:val="ActHead2"/>
        <w:pageBreakBefore/>
      </w:pPr>
      <w:bookmarkStart w:id="257" w:name="_Toc49765430"/>
      <w:r w:rsidRPr="00411C46">
        <w:rPr>
          <w:rStyle w:val="CharPartNo"/>
        </w:rPr>
        <w:lastRenderedPageBreak/>
        <w:t>Part</w:t>
      </w:r>
      <w:r w:rsidR="002B1A95" w:rsidRPr="00411C46">
        <w:rPr>
          <w:rStyle w:val="CharPartNo"/>
        </w:rPr>
        <w:t> </w:t>
      </w:r>
      <w:r w:rsidRPr="00411C46">
        <w:rPr>
          <w:rStyle w:val="CharPartNo"/>
        </w:rPr>
        <w:t>7</w:t>
      </w:r>
      <w:r w:rsidRPr="002B1A95">
        <w:t>—</w:t>
      </w:r>
      <w:r w:rsidRPr="00411C46">
        <w:rPr>
          <w:rStyle w:val="CharPartText"/>
        </w:rPr>
        <w:t>Non</w:t>
      </w:r>
      <w:r w:rsidR="00782250" w:rsidRPr="00411C46">
        <w:rPr>
          <w:rStyle w:val="CharPartText"/>
        </w:rPr>
        <w:noBreakHyphen/>
      </w:r>
      <w:r w:rsidRPr="00411C46">
        <w:rPr>
          <w:rStyle w:val="CharPartText"/>
        </w:rPr>
        <w:t>arm’s length increase in superannuation salary</w:t>
      </w:r>
      <w:bookmarkEnd w:id="257"/>
    </w:p>
    <w:p w:rsidR="007D17C5" w:rsidRPr="00411C46" w:rsidRDefault="007D17C5" w:rsidP="007D17C5">
      <w:pPr>
        <w:pStyle w:val="Header"/>
      </w:pPr>
      <w:r w:rsidRPr="00411C46">
        <w:rPr>
          <w:rStyle w:val="CharDivNo"/>
        </w:rPr>
        <w:t xml:space="preserve"> </w:t>
      </w:r>
      <w:r w:rsidRPr="00411C46">
        <w:rPr>
          <w:rStyle w:val="CharDivText"/>
        </w:rPr>
        <w:t xml:space="preserve"> </w:t>
      </w:r>
    </w:p>
    <w:p w:rsidR="007D17C5" w:rsidRPr="002B1A95" w:rsidRDefault="007D17C5" w:rsidP="007D17C5">
      <w:pPr>
        <w:pStyle w:val="ActHead5"/>
      </w:pPr>
      <w:bookmarkStart w:id="258" w:name="_Toc49765431"/>
      <w:r w:rsidRPr="00411C46">
        <w:rPr>
          <w:rStyle w:val="CharSectno"/>
        </w:rPr>
        <w:t>23</w:t>
      </w:r>
      <w:r w:rsidRPr="002B1A95">
        <w:t xml:space="preserve">  Method of working out </w:t>
      </w:r>
      <w:r w:rsidRPr="002B1A95">
        <w:rPr>
          <w:lang w:eastAsia="en-US"/>
        </w:rPr>
        <w:t>the increased superannuation salary adjustment amount</w:t>
      </w:r>
      <w:r w:rsidRPr="002B1A95">
        <w:rPr>
          <w:i/>
        </w:rPr>
        <w:t xml:space="preserve"> </w:t>
      </w:r>
      <w:r w:rsidRPr="002B1A95">
        <w:t>in the formula in subclause 4(2)</w:t>
      </w:r>
      <w:bookmarkEnd w:id="258"/>
    </w:p>
    <w:p w:rsidR="007D17C5" w:rsidRPr="002B1A95" w:rsidRDefault="007D17C5" w:rsidP="007D17C5">
      <w:pPr>
        <w:pStyle w:val="subsection"/>
      </w:pPr>
      <w:r w:rsidRPr="002B1A95">
        <w:tab/>
        <w:t>(1)</w:t>
      </w:r>
      <w:r w:rsidRPr="002B1A95">
        <w:tab/>
        <w:t>For the purposes of the formula in subclause 4(2):</w:t>
      </w:r>
    </w:p>
    <w:p w:rsidR="007D17C5" w:rsidRPr="002B1A95" w:rsidRDefault="007D17C5" w:rsidP="007D17C5">
      <w:pPr>
        <w:pStyle w:val="paragraph"/>
      </w:pPr>
      <w:r w:rsidRPr="002B1A95">
        <w:tab/>
        <w:t>(a)</w:t>
      </w:r>
      <w:r w:rsidRPr="002B1A95">
        <w:tab/>
        <w:t xml:space="preserve">for a financial year in which the member’s </w:t>
      </w:r>
      <w:r w:rsidRPr="002B1A95">
        <w:rPr>
          <w:color w:val="000000"/>
        </w:rPr>
        <w:t>superannuation salary is increased in a non</w:t>
      </w:r>
      <w:r w:rsidR="00782250">
        <w:rPr>
          <w:color w:val="000000"/>
        </w:rPr>
        <w:noBreakHyphen/>
      </w:r>
      <w:r w:rsidRPr="002B1A95">
        <w:rPr>
          <w:color w:val="000000"/>
        </w:rPr>
        <w:t xml:space="preserve">arm’s length way with the primary purpose of achieving an increase in superannuation benefit—the </w:t>
      </w:r>
      <w:r w:rsidRPr="002B1A95">
        <w:rPr>
          <w:b/>
          <w:i/>
          <w:color w:val="000000"/>
        </w:rPr>
        <w:t>increased superannuation salary adjustment amount</w:t>
      </w:r>
      <w:r w:rsidRPr="002B1A95">
        <w:rPr>
          <w:color w:val="000000"/>
        </w:rPr>
        <w:t xml:space="preserve"> equals a</w:t>
      </w:r>
      <w:r w:rsidRPr="002B1A95">
        <w:t>n amount worked out on advice from an actuary that represents the increase in the value of the accrued retirement benefit, if any, that accrued to the member as a result of the change in superannuation salary; and</w:t>
      </w:r>
    </w:p>
    <w:p w:rsidR="007D17C5" w:rsidRPr="002B1A95" w:rsidRDefault="007D17C5" w:rsidP="007D17C5">
      <w:pPr>
        <w:pStyle w:val="paragraph"/>
        <w:rPr>
          <w:b/>
          <w:i/>
        </w:rPr>
      </w:pPr>
      <w:r w:rsidRPr="002B1A95">
        <w:tab/>
        <w:t>(b)</w:t>
      </w:r>
      <w:r w:rsidRPr="002B1A95">
        <w:tab/>
        <w:t xml:space="preserve">for any other financial year—the </w:t>
      </w:r>
      <w:r w:rsidRPr="002B1A95">
        <w:rPr>
          <w:b/>
          <w:i/>
        </w:rPr>
        <w:t>increased superannuation salary adjustment amount</w:t>
      </w:r>
      <w:r w:rsidRPr="002B1A95">
        <w:rPr>
          <w:color w:val="000000"/>
        </w:rPr>
        <w:t xml:space="preserve"> equals zero.</w:t>
      </w:r>
    </w:p>
    <w:p w:rsidR="007D17C5" w:rsidRPr="002B1A95" w:rsidRDefault="007D17C5" w:rsidP="007D17C5">
      <w:pPr>
        <w:pStyle w:val="subsection"/>
      </w:pPr>
      <w:r w:rsidRPr="002B1A95">
        <w:tab/>
        <w:t>(2)</w:t>
      </w:r>
      <w:r w:rsidRPr="002B1A95">
        <w:tab/>
        <w:t xml:space="preserve">The economic, </w:t>
      </w:r>
      <w:r w:rsidRPr="002B1A95">
        <w:rPr>
          <w:color w:val="000000"/>
        </w:rPr>
        <w:t>decrement and other parameters</w:t>
      </w:r>
      <w:r w:rsidRPr="002B1A95">
        <w:t xml:space="preserve"> and the other assumptions to be used are set out in Part</w:t>
      </w:r>
      <w:r w:rsidR="002B1A95" w:rsidRPr="002B1A95">
        <w:t> </w:t>
      </w:r>
      <w:r w:rsidRPr="002B1A95">
        <w:t>3.</w:t>
      </w:r>
    </w:p>
    <w:p w:rsidR="007D17C5" w:rsidRPr="002B1A95" w:rsidRDefault="007D17C5" w:rsidP="007D17C5">
      <w:pPr>
        <w:pStyle w:val="ActHead1"/>
        <w:pageBreakBefore/>
      </w:pPr>
      <w:bookmarkStart w:id="259" w:name="_Toc49765432"/>
      <w:r w:rsidRPr="00411C46">
        <w:rPr>
          <w:rStyle w:val="CharChapNo"/>
        </w:rPr>
        <w:lastRenderedPageBreak/>
        <w:t>Schedule</w:t>
      </w:r>
      <w:r w:rsidR="002B1A95" w:rsidRPr="00411C46">
        <w:rPr>
          <w:rStyle w:val="CharChapNo"/>
        </w:rPr>
        <w:t> </w:t>
      </w:r>
      <w:r w:rsidRPr="00411C46">
        <w:rPr>
          <w:rStyle w:val="CharChapNo"/>
        </w:rPr>
        <w:t>1B</w:t>
      </w:r>
      <w:r w:rsidRPr="002B1A95">
        <w:t>—</w:t>
      </w:r>
      <w:r w:rsidRPr="00411C46">
        <w:rPr>
          <w:rStyle w:val="CharChapText"/>
        </w:rPr>
        <w:t>Valuation factors</w:t>
      </w:r>
      <w:bookmarkEnd w:id="259"/>
    </w:p>
    <w:p w:rsidR="007D17C5" w:rsidRPr="002B1A95" w:rsidRDefault="007D17C5" w:rsidP="007D17C5">
      <w:pPr>
        <w:pStyle w:val="notemargin"/>
      </w:pPr>
      <w:r w:rsidRPr="002B1A95">
        <w:t>Note:</w:t>
      </w:r>
      <w:r w:rsidRPr="002B1A95">
        <w:tab/>
        <w:t>See sections 307</w:t>
      </w:r>
      <w:r w:rsidR="00782250">
        <w:noBreakHyphen/>
      </w:r>
      <w:r w:rsidRPr="002B1A95">
        <w:t>205.01A and 307</w:t>
      </w:r>
      <w:r w:rsidR="00782250">
        <w:noBreakHyphen/>
      </w:r>
      <w:r w:rsidRPr="002B1A95">
        <w:t>205.02.</w:t>
      </w:r>
    </w:p>
    <w:p w:rsidR="007D17C5" w:rsidRPr="00411C46" w:rsidRDefault="007D17C5" w:rsidP="007D17C5">
      <w:pPr>
        <w:pStyle w:val="Header"/>
      </w:pPr>
      <w:r w:rsidRPr="00411C46">
        <w:rPr>
          <w:rStyle w:val="CharPartNo"/>
        </w:rPr>
        <w:t xml:space="preserve"> </w:t>
      </w:r>
      <w:r w:rsidRPr="00411C46">
        <w:rPr>
          <w:rStyle w:val="CharPartText"/>
        </w:rPr>
        <w:t xml:space="preserve"> </w:t>
      </w:r>
    </w:p>
    <w:p w:rsidR="007D17C5" w:rsidRPr="00411C46" w:rsidRDefault="007D17C5" w:rsidP="007D17C5">
      <w:pPr>
        <w:pStyle w:val="Header"/>
      </w:pPr>
      <w:r w:rsidRPr="00411C46">
        <w:rPr>
          <w:rStyle w:val="CharDivNo"/>
        </w:rPr>
        <w:t xml:space="preserve"> </w:t>
      </w:r>
      <w:r w:rsidRPr="00411C46">
        <w:rPr>
          <w:rStyle w:val="CharDivText"/>
        </w:rPr>
        <w:t xml:space="preserve"> </w:t>
      </w:r>
    </w:p>
    <w:p w:rsidR="007D17C5" w:rsidRPr="002B1A95" w:rsidRDefault="007D17C5" w:rsidP="007D17C5">
      <w:pPr>
        <w:pStyle w:val="ActHead5"/>
      </w:pPr>
      <w:bookmarkStart w:id="260" w:name="_Toc49765433"/>
      <w:r w:rsidRPr="00411C46">
        <w:rPr>
          <w:rStyle w:val="CharSectno"/>
        </w:rPr>
        <w:t>1</w:t>
      </w:r>
      <w:r w:rsidRPr="002B1A95">
        <w:t xml:space="preserve">  Income stream valuation factors</w:t>
      </w:r>
      <w:bookmarkEnd w:id="260"/>
    </w:p>
    <w:p w:rsidR="007D17C5" w:rsidRPr="002B1A95" w:rsidRDefault="007D17C5" w:rsidP="007D17C5">
      <w:pPr>
        <w:pStyle w:val="subsection"/>
      </w:pPr>
      <w:r w:rsidRPr="002B1A95">
        <w:tab/>
        <w:t>(1)</w:t>
      </w:r>
      <w:r w:rsidRPr="002B1A95">
        <w:tab/>
        <w:t xml:space="preserve">For </w:t>
      </w:r>
      <w:r w:rsidRPr="002B1A95">
        <w:rPr>
          <w:color w:val="000000"/>
        </w:rPr>
        <w:t>the purposes of paragraph</w:t>
      </w:r>
      <w:r w:rsidRPr="002B1A95">
        <w:t xml:space="preserve"> 307</w:t>
      </w:r>
      <w:r w:rsidR="00782250">
        <w:noBreakHyphen/>
      </w:r>
      <w:r w:rsidRPr="002B1A95">
        <w:t xml:space="preserve">205.01A(3)(b), the applicable factor for the superannuation income stream is the factor given in the table in </w:t>
      </w:r>
      <w:r w:rsidR="002B1A95" w:rsidRPr="002B1A95">
        <w:t>subclause (</w:t>
      </w:r>
      <w:r w:rsidRPr="002B1A95">
        <w:t>3) (</w:t>
      </w:r>
      <w:r w:rsidRPr="002B1A95">
        <w:rPr>
          <w:b/>
          <w:i/>
        </w:rPr>
        <w:t>table 1</w:t>
      </w:r>
      <w:r w:rsidRPr="002B1A95">
        <w:t>) at the age which is the greater of:</w:t>
      </w:r>
    </w:p>
    <w:p w:rsidR="007D17C5" w:rsidRPr="002B1A95" w:rsidRDefault="007D17C5" w:rsidP="007D17C5">
      <w:pPr>
        <w:pStyle w:val="paragraph"/>
      </w:pPr>
      <w:r w:rsidRPr="002B1A95">
        <w:tab/>
        <w:t>(a)</w:t>
      </w:r>
      <w:r w:rsidRPr="002B1A95">
        <w:tab/>
        <w:t>the minimum age at which a retirement benefit can be taken without requiring the consent of the employer; and</w:t>
      </w:r>
    </w:p>
    <w:p w:rsidR="007D17C5" w:rsidRPr="002B1A95" w:rsidRDefault="007D17C5" w:rsidP="007D17C5">
      <w:pPr>
        <w:pStyle w:val="paragraph"/>
      </w:pPr>
      <w:r w:rsidRPr="002B1A95">
        <w:tab/>
        <w:t>(b)</w:t>
      </w:r>
      <w:r w:rsidRPr="002B1A95">
        <w:tab/>
        <w:t>the member’s actual age as at the member’s last birthday before 1</w:t>
      </w:r>
      <w:r w:rsidR="002B1A95" w:rsidRPr="002B1A95">
        <w:t> </w:t>
      </w:r>
      <w:r w:rsidRPr="002B1A95">
        <w:t>July 2007.</w:t>
      </w:r>
    </w:p>
    <w:p w:rsidR="007D17C5" w:rsidRPr="002B1A95" w:rsidRDefault="007D17C5" w:rsidP="007D17C5">
      <w:pPr>
        <w:pStyle w:val="subsection"/>
      </w:pPr>
      <w:r w:rsidRPr="002B1A95">
        <w:tab/>
        <w:t>(2)</w:t>
      </w:r>
      <w:r w:rsidRPr="002B1A95">
        <w:tab/>
        <w:t xml:space="preserve">For </w:t>
      </w:r>
      <w:r w:rsidRPr="002B1A95">
        <w:rPr>
          <w:color w:val="000000"/>
        </w:rPr>
        <w:t xml:space="preserve">the purposes of </w:t>
      </w:r>
      <w:r w:rsidRPr="002B1A95">
        <w:t>subparagraph 307</w:t>
      </w:r>
      <w:r w:rsidR="00782250">
        <w:noBreakHyphen/>
      </w:r>
      <w:r w:rsidRPr="002B1A95">
        <w:t>205.02(3)(a)(ii), the applicable factor for the superannuation income stream is:</w:t>
      </w:r>
    </w:p>
    <w:p w:rsidR="007D17C5" w:rsidRPr="002B1A95" w:rsidRDefault="007D17C5" w:rsidP="007D17C5">
      <w:pPr>
        <w:pStyle w:val="paragraph"/>
      </w:pPr>
      <w:r w:rsidRPr="002B1A95">
        <w:tab/>
        <w:t>(a)</w:t>
      </w:r>
      <w:r w:rsidRPr="002B1A95">
        <w:tab/>
        <w:t xml:space="preserve">if the superannuation income stream is payable for the life of the member—the factor given in the table in </w:t>
      </w:r>
      <w:r w:rsidR="002B1A95" w:rsidRPr="002B1A95">
        <w:t>subclause (</w:t>
      </w:r>
      <w:r w:rsidRPr="002B1A95">
        <w:t>3) (</w:t>
      </w:r>
      <w:r w:rsidRPr="002B1A95">
        <w:rPr>
          <w:b/>
          <w:i/>
        </w:rPr>
        <w:t>table 1</w:t>
      </w:r>
      <w:r w:rsidRPr="002B1A95">
        <w:t>) for the age of the member at the member’s last birthday before the day after the date on which the superannuation income stream is to be valued; or</w:t>
      </w:r>
    </w:p>
    <w:p w:rsidR="007D17C5" w:rsidRPr="002B1A95" w:rsidRDefault="007D17C5" w:rsidP="007D17C5">
      <w:pPr>
        <w:pStyle w:val="paragraph"/>
      </w:pPr>
      <w:r w:rsidRPr="002B1A95">
        <w:tab/>
        <w:t>(b)</w:t>
      </w:r>
      <w:r w:rsidRPr="002B1A95">
        <w:tab/>
        <w:t xml:space="preserve">if the superannuation income stream is payable for a fixed term—the factor given in the table in </w:t>
      </w:r>
      <w:r w:rsidR="002B1A95" w:rsidRPr="002B1A95">
        <w:t>subclause (</w:t>
      </w:r>
      <w:r w:rsidRPr="002B1A95">
        <w:t>4) (</w:t>
      </w:r>
      <w:r w:rsidRPr="002B1A95">
        <w:rPr>
          <w:b/>
          <w:i/>
        </w:rPr>
        <w:t>table 2</w:t>
      </w:r>
      <w:r w:rsidRPr="002B1A95">
        <w:t>) for the number of complete years remaining in the term of the superannuation income stream on the day preceding the date on which the superannuation income stream is to be valued.</w:t>
      </w:r>
    </w:p>
    <w:p w:rsidR="007D17C5" w:rsidRPr="002B1A95" w:rsidRDefault="007D17C5" w:rsidP="007D17C5">
      <w:pPr>
        <w:pStyle w:val="subsection"/>
      </w:pPr>
      <w:r w:rsidRPr="002B1A95">
        <w:tab/>
        <w:t>(3)</w:t>
      </w:r>
      <w:r w:rsidRPr="002B1A95">
        <w:tab/>
        <w:t>The following is table 1.</w:t>
      </w:r>
    </w:p>
    <w:p w:rsidR="007D17C5" w:rsidRPr="002B1A95" w:rsidRDefault="007D17C5" w:rsidP="007D17C5">
      <w:pPr>
        <w:pStyle w:val="Tabletext"/>
      </w:pPr>
    </w:p>
    <w:tbl>
      <w:tblPr>
        <w:tblW w:w="4967"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1928"/>
        <w:gridCol w:w="3272"/>
        <w:gridCol w:w="2542"/>
      </w:tblGrid>
      <w:tr w:rsidR="007D17C5" w:rsidRPr="002B1A95" w:rsidTr="009558BE">
        <w:trPr>
          <w:tblHeader/>
        </w:trPr>
        <w:tc>
          <w:tcPr>
            <w:tcW w:w="5000" w:type="pct"/>
            <w:gridSpan w:val="4"/>
            <w:tcBorders>
              <w:top w:val="single" w:sz="12" w:space="0" w:color="auto"/>
              <w:bottom w:val="single" w:sz="6" w:space="0" w:color="auto"/>
            </w:tcBorders>
            <w:shd w:val="clear" w:color="auto" w:fill="auto"/>
          </w:tcPr>
          <w:p w:rsidR="007D17C5" w:rsidRPr="002B1A95" w:rsidRDefault="007D17C5" w:rsidP="009558BE">
            <w:pPr>
              <w:pStyle w:val="TableHeading"/>
            </w:pPr>
            <w:r w:rsidRPr="002B1A95">
              <w:t>Table 1</w:t>
            </w:r>
          </w:p>
        </w:tc>
      </w:tr>
      <w:tr w:rsidR="007D17C5" w:rsidRPr="002B1A95" w:rsidTr="009558BE">
        <w:trPr>
          <w:tblHeader/>
        </w:trPr>
        <w:tc>
          <w:tcPr>
            <w:tcW w:w="431" w:type="pct"/>
            <w:tcBorders>
              <w:top w:val="single" w:sz="6" w:space="0" w:color="auto"/>
              <w:bottom w:val="single" w:sz="12" w:space="0" w:color="auto"/>
            </w:tcBorders>
            <w:shd w:val="clear" w:color="auto" w:fill="auto"/>
          </w:tcPr>
          <w:p w:rsidR="007D17C5" w:rsidRPr="002B1A95" w:rsidRDefault="007D17C5" w:rsidP="009558BE">
            <w:pPr>
              <w:pStyle w:val="TableHeading"/>
            </w:pPr>
            <w:r w:rsidRPr="002B1A95">
              <w:t>Item</w:t>
            </w:r>
          </w:p>
        </w:tc>
        <w:tc>
          <w:tcPr>
            <w:tcW w:w="1138" w:type="pct"/>
            <w:tcBorders>
              <w:top w:val="single" w:sz="6" w:space="0" w:color="auto"/>
              <w:bottom w:val="single" w:sz="12" w:space="0" w:color="auto"/>
            </w:tcBorders>
            <w:shd w:val="clear" w:color="auto" w:fill="auto"/>
          </w:tcPr>
          <w:p w:rsidR="007D17C5" w:rsidRPr="002B1A95" w:rsidRDefault="007D17C5" w:rsidP="009558BE">
            <w:pPr>
              <w:pStyle w:val="TableHeading"/>
              <w:spacing w:before="50"/>
              <w:rPr>
                <w:sz w:val="19"/>
                <w:szCs w:val="19"/>
              </w:rPr>
            </w:pPr>
            <w:r w:rsidRPr="002B1A95">
              <w:rPr>
                <w:sz w:val="19"/>
                <w:szCs w:val="19"/>
              </w:rPr>
              <w:t>Age</w:t>
            </w:r>
          </w:p>
        </w:tc>
        <w:tc>
          <w:tcPr>
            <w:tcW w:w="1931" w:type="pct"/>
            <w:tcBorders>
              <w:top w:val="single" w:sz="6" w:space="0" w:color="auto"/>
              <w:bottom w:val="single" w:sz="12" w:space="0" w:color="auto"/>
            </w:tcBorders>
            <w:shd w:val="clear" w:color="auto" w:fill="auto"/>
          </w:tcPr>
          <w:p w:rsidR="007D17C5" w:rsidRPr="002B1A95" w:rsidRDefault="007D17C5" w:rsidP="009558BE">
            <w:pPr>
              <w:pStyle w:val="TableHeading"/>
              <w:spacing w:before="50"/>
              <w:rPr>
                <w:sz w:val="19"/>
                <w:szCs w:val="19"/>
              </w:rPr>
            </w:pPr>
            <w:r w:rsidRPr="002B1A95">
              <w:rPr>
                <w:sz w:val="19"/>
                <w:szCs w:val="19"/>
              </w:rPr>
              <w:t>Factor for indexed lifetime income stream</w:t>
            </w:r>
          </w:p>
        </w:tc>
        <w:tc>
          <w:tcPr>
            <w:tcW w:w="1499" w:type="pct"/>
            <w:tcBorders>
              <w:top w:val="single" w:sz="6" w:space="0" w:color="auto"/>
              <w:bottom w:val="single" w:sz="12" w:space="0" w:color="auto"/>
            </w:tcBorders>
            <w:shd w:val="clear" w:color="auto" w:fill="auto"/>
          </w:tcPr>
          <w:p w:rsidR="007D17C5" w:rsidRPr="002B1A95" w:rsidRDefault="007D17C5" w:rsidP="009558BE">
            <w:pPr>
              <w:pStyle w:val="TableHeading"/>
              <w:spacing w:before="50"/>
              <w:rPr>
                <w:sz w:val="19"/>
                <w:szCs w:val="19"/>
              </w:rPr>
            </w:pPr>
            <w:r w:rsidRPr="002B1A95">
              <w:rPr>
                <w:sz w:val="19"/>
                <w:szCs w:val="19"/>
              </w:rPr>
              <w:t>Factor for non</w:t>
            </w:r>
            <w:r w:rsidR="00782250">
              <w:rPr>
                <w:sz w:val="19"/>
                <w:szCs w:val="19"/>
              </w:rPr>
              <w:noBreakHyphen/>
            </w:r>
            <w:r w:rsidRPr="002B1A95">
              <w:rPr>
                <w:sz w:val="19"/>
                <w:szCs w:val="19"/>
              </w:rPr>
              <w:t>indexed lifetime income stream</w:t>
            </w:r>
          </w:p>
        </w:tc>
      </w:tr>
      <w:tr w:rsidR="007D17C5" w:rsidRPr="002B1A95" w:rsidTr="009558BE">
        <w:tc>
          <w:tcPr>
            <w:tcW w:w="431" w:type="pct"/>
            <w:tcBorders>
              <w:top w:val="single" w:sz="12" w:space="0" w:color="auto"/>
            </w:tcBorders>
            <w:shd w:val="clear" w:color="auto" w:fill="auto"/>
          </w:tcPr>
          <w:p w:rsidR="007D17C5" w:rsidRPr="002B1A95" w:rsidRDefault="007D17C5" w:rsidP="009558BE">
            <w:pPr>
              <w:pStyle w:val="Tabletext"/>
            </w:pPr>
            <w:r w:rsidRPr="002B1A95">
              <w:t>1</w:t>
            </w:r>
          </w:p>
        </w:tc>
        <w:tc>
          <w:tcPr>
            <w:tcW w:w="1138" w:type="pct"/>
            <w:tcBorders>
              <w:top w:val="single" w:sz="12" w:space="0" w:color="auto"/>
            </w:tcBorders>
            <w:shd w:val="clear" w:color="auto" w:fill="auto"/>
          </w:tcPr>
          <w:p w:rsidR="007D17C5" w:rsidRPr="002B1A95" w:rsidRDefault="007D17C5" w:rsidP="009558BE">
            <w:pPr>
              <w:pStyle w:val="Tabletext"/>
              <w:spacing w:before="50"/>
            </w:pPr>
            <w:r w:rsidRPr="002B1A95">
              <w:t>18</w:t>
            </w:r>
          </w:p>
        </w:tc>
        <w:tc>
          <w:tcPr>
            <w:tcW w:w="1931" w:type="pct"/>
            <w:tcBorders>
              <w:top w:val="single" w:sz="12" w:space="0" w:color="auto"/>
            </w:tcBorders>
            <w:shd w:val="clear" w:color="auto" w:fill="auto"/>
            <w:vAlign w:val="bottom"/>
          </w:tcPr>
          <w:p w:rsidR="007D17C5" w:rsidRPr="002B1A95" w:rsidRDefault="007D17C5" w:rsidP="009558BE">
            <w:pPr>
              <w:pStyle w:val="Tabletext"/>
              <w:spacing w:before="50"/>
            </w:pPr>
            <w:r w:rsidRPr="002B1A95">
              <w:t>23.238</w:t>
            </w:r>
          </w:p>
        </w:tc>
        <w:tc>
          <w:tcPr>
            <w:tcW w:w="1499" w:type="pct"/>
            <w:tcBorders>
              <w:top w:val="single" w:sz="12" w:space="0" w:color="auto"/>
            </w:tcBorders>
            <w:shd w:val="clear" w:color="auto" w:fill="auto"/>
          </w:tcPr>
          <w:p w:rsidR="007D17C5" w:rsidRPr="002B1A95" w:rsidRDefault="007D17C5" w:rsidP="009558BE">
            <w:pPr>
              <w:pStyle w:val="Tabletext"/>
              <w:spacing w:before="50"/>
            </w:pPr>
            <w:r w:rsidRPr="002B1A95">
              <w:t>15.405</w:t>
            </w:r>
          </w:p>
        </w:tc>
      </w:tr>
      <w:tr w:rsidR="007D17C5" w:rsidRPr="002B1A95" w:rsidTr="009558BE">
        <w:tc>
          <w:tcPr>
            <w:tcW w:w="431" w:type="pct"/>
            <w:shd w:val="clear" w:color="auto" w:fill="auto"/>
          </w:tcPr>
          <w:p w:rsidR="007D17C5" w:rsidRPr="002B1A95" w:rsidRDefault="007D17C5" w:rsidP="009558BE">
            <w:pPr>
              <w:pStyle w:val="Tabletext"/>
            </w:pPr>
            <w:r w:rsidRPr="002B1A95">
              <w:t>2</w:t>
            </w:r>
          </w:p>
        </w:tc>
        <w:tc>
          <w:tcPr>
            <w:tcW w:w="1138" w:type="pct"/>
            <w:shd w:val="clear" w:color="auto" w:fill="auto"/>
          </w:tcPr>
          <w:p w:rsidR="007D17C5" w:rsidRPr="002B1A95" w:rsidRDefault="007D17C5" w:rsidP="009558BE">
            <w:pPr>
              <w:pStyle w:val="Tabletext"/>
              <w:spacing w:before="50"/>
            </w:pPr>
            <w:r w:rsidRPr="002B1A95">
              <w:t>19</w:t>
            </w:r>
          </w:p>
        </w:tc>
        <w:tc>
          <w:tcPr>
            <w:tcW w:w="1931" w:type="pct"/>
            <w:shd w:val="clear" w:color="auto" w:fill="auto"/>
            <w:vAlign w:val="bottom"/>
          </w:tcPr>
          <w:p w:rsidR="007D17C5" w:rsidRPr="002B1A95" w:rsidRDefault="007D17C5" w:rsidP="009558BE">
            <w:pPr>
              <w:pStyle w:val="Tabletext"/>
              <w:spacing w:before="50"/>
            </w:pPr>
            <w:r w:rsidRPr="002B1A95">
              <w:t>23.158</w:t>
            </w:r>
          </w:p>
        </w:tc>
        <w:tc>
          <w:tcPr>
            <w:tcW w:w="1499" w:type="pct"/>
            <w:shd w:val="clear" w:color="auto" w:fill="auto"/>
          </w:tcPr>
          <w:p w:rsidR="007D17C5" w:rsidRPr="002B1A95" w:rsidRDefault="007D17C5" w:rsidP="009558BE">
            <w:pPr>
              <w:pStyle w:val="Tabletext"/>
              <w:spacing w:before="50"/>
            </w:pPr>
            <w:r w:rsidRPr="002B1A95">
              <w:t>15.385</w:t>
            </w:r>
          </w:p>
        </w:tc>
      </w:tr>
      <w:tr w:rsidR="007D17C5" w:rsidRPr="002B1A95" w:rsidTr="009558BE">
        <w:tc>
          <w:tcPr>
            <w:tcW w:w="431" w:type="pct"/>
            <w:shd w:val="clear" w:color="auto" w:fill="auto"/>
          </w:tcPr>
          <w:p w:rsidR="007D17C5" w:rsidRPr="002B1A95" w:rsidRDefault="007D17C5" w:rsidP="009558BE">
            <w:pPr>
              <w:pStyle w:val="Tabletext"/>
            </w:pPr>
            <w:r w:rsidRPr="002B1A95">
              <w:t>3</w:t>
            </w:r>
          </w:p>
        </w:tc>
        <w:tc>
          <w:tcPr>
            <w:tcW w:w="1138" w:type="pct"/>
            <w:shd w:val="clear" w:color="auto" w:fill="auto"/>
          </w:tcPr>
          <w:p w:rsidR="007D17C5" w:rsidRPr="002B1A95" w:rsidRDefault="007D17C5" w:rsidP="009558BE">
            <w:pPr>
              <w:pStyle w:val="Tabletext"/>
              <w:spacing w:before="50"/>
            </w:pPr>
            <w:r w:rsidRPr="002B1A95">
              <w:t>20</w:t>
            </w:r>
          </w:p>
        </w:tc>
        <w:tc>
          <w:tcPr>
            <w:tcW w:w="1931" w:type="pct"/>
            <w:shd w:val="clear" w:color="auto" w:fill="auto"/>
            <w:vAlign w:val="bottom"/>
          </w:tcPr>
          <w:p w:rsidR="007D17C5" w:rsidRPr="002B1A95" w:rsidRDefault="007D17C5" w:rsidP="009558BE">
            <w:pPr>
              <w:pStyle w:val="Tabletext"/>
              <w:spacing w:before="50"/>
            </w:pPr>
            <w:r w:rsidRPr="002B1A95">
              <w:t>23.084</w:t>
            </w:r>
          </w:p>
        </w:tc>
        <w:tc>
          <w:tcPr>
            <w:tcW w:w="1499" w:type="pct"/>
            <w:shd w:val="clear" w:color="auto" w:fill="auto"/>
          </w:tcPr>
          <w:p w:rsidR="007D17C5" w:rsidRPr="002B1A95" w:rsidRDefault="007D17C5" w:rsidP="009558BE">
            <w:pPr>
              <w:pStyle w:val="Tabletext"/>
              <w:spacing w:before="50"/>
            </w:pPr>
            <w:r w:rsidRPr="002B1A95">
              <w:t>15.366</w:t>
            </w:r>
          </w:p>
        </w:tc>
      </w:tr>
      <w:tr w:rsidR="007D17C5" w:rsidRPr="002B1A95" w:rsidTr="009558BE">
        <w:tc>
          <w:tcPr>
            <w:tcW w:w="431" w:type="pct"/>
            <w:shd w:val="clear" w:color="auto" w:fill="auto"/>
          </w:tcPr>
          <w:p w:rsidR="007D17C5" w:rsidRPr="002B1A95" w:rsidRDefault="007D17C5" w:rsidP="009558BE">
            <w:pPr>
              <w:pStyle w:val="Tabletext"/>
            </w:pPr>
            <w:r w:rsidRPr="002B1A95">
              <w:t>4</w:t>
            </w:r>
          </w:p>
        </w:tc>
        <w:tc>
          <w:tcPr>
            <w:tcW w:w="1138" w:type="pct"/>
            <w:shd w:val="clear" w:color="auto" w:fill="auto"/>
          </w:tcPr>
          <w:p w:rsidR="007D17C5" w:rsidRPr="002B1A95" w:rsidRDefault="007D17C5" w:rsidP="009558BE">
            <w:pPr>
              <w:pStyle w:val="Tabletext"/>
              <w:spacing w:before="50"/>
            </w:pPr>
            <w:r w:rsidRPr="002B1A95">
              <w:t>21</w:t>
            </w:r>
          </w:p>
        </w:tc>
        <w:tc>
          <w:tcPr>
            <w:tcW w:w="1931" w:type="pct"/>
            <w:shd w:val="clear" w:color="auto" w:fill="auto"/>
            <w:vAlign w:val="bottom"/>
          </w:tcPr>
          <w:p w:rsidR="007D17C5" w:rsidRPr="002B1A95" w:rsidRDefault="007D17C5" w:rsidP="009558BE">
            <w:pPr>
              <w:pStyle w:val="Tabletext"/>
              <w:spacing w:before="50"/>
            </w:pPr>
            <w:r w:rsidRPr="002B1A95">
              <w:t>23.016</w:t>
            </w:r>
          </w:p>
        </w:tc>
        <w:tc>
          <w:tcPr>
            <w:tcW w:w="1499" w:type="pct"/>
            <w:shd w:val="clear" w:color="auto" w:fill="auto"/>
          </w:tcPr>
          <w:p w:rsidR="007D17C5" w:rsidRPr="002B1A95" w:rsidRDefault="007D17C5" w:rsidP="009558BE">
            <w:pPr>
              <w:pStyle w:val="Tabletext"/>
              <w:spacing w:before="50"/>
            </w:pPr>
            <w:r w:rsidRPr="002B1A95">
              <w:t>15.349</w:t>
            </w:r>
          </w:p>
        </w:tc>
      </w:tr>
      <w:tr w:rsidR="007D17C5" w:rsidRPr="002B1A95" w:rsidTr="009558BE">
        <w:tc>
          <w:tcPr>
            <w:tcW w:w="431" w:type="pct"/>
            <w:shd w:val="clear" w:color="auto" w:fill="auto"/>
          </w:tcPr>
          <w:p w:rsidR="007D17C5" w:rsidRPr="002B1A95" w:rsidRDefault="007D17C5" w:rsidP="009558BE">
            <w:pPr>
              <w:pStyle w:val="Tabletext"/>
            </w:pPr>
            <w:r w:rsidRPr="002B1A95">
              <w:t>5</w:t>
            </w:r>
          </w:p>
        </w:tc>
        <w:tc>
          <w:tcPr>
            <w:tcW w:w="1138" w:type="pct"/>
            <w:shd w:val="clear" w:color="auto" w:fill="auto"/>
          </w:tcPr>
          <w:p w:rsidR="007D17C5" w:rsidRPr="002B1A95" w:rsidRDefault="007D17C5" w:rsidP="009558BE">
            <w:pPr>
              <w:pStyle w:val="Tabletext"/>
              <w:spacing w:before="50"/>
            </w:pPr>
            <w:r w:rsidRPr="002B1A95">
              <w:t>22</w:t>
            </w:r>
          </w:p>
        </w:tc>
        <w:tc>
          <w:tcPr>
            <w:tcW w:w="1931" w:type="pct"/>
            <w:shd w:val="clear" w:color="auto" w:fill="auto"/>
            <w:vAlign w:val="bottom"/>
          </w:tcPr>
          <w:p w:rsidR="007D17C5" w:rsidRPr="002B1A95" w:rsidRDefault="007D17C5" w:rsidP="009558BE">
            <w:pPr>
              <w:pStyle w:val="Tabletext"/>
              <w:spacing w:before="50"/>
            </w:pPr>
            <w:r w:rsidRPr="002B1A95">
              <w:t>22.956</w:t>
            </w:r>
          </w:p>
        </w:tc>
        <w:tc>
          <w:tcPr>
            <w:tcW w:w="1499" w:type="pct"/>
            <w:shd w:val="clear" w:color="auto" w:fill="auto"/>
          </w:tcPr>
          <w:p w:rsidR="007D17C5" w:rsidRPr="002B1A95" w:rsidRDefault="007D17C5" w:rsidP="009558BE">
            <w:pPr>
              <w:pStyle w:val="Tabletext"/>
              <w:spacing w:before="50"/>
            </w:pPr>
            <w:r w:rsidRPr="002B1A95">
              <w:t>15.334</w:t>
            </w:r>
          </w:p>
        </w:tc>
      </w:tr>
      <w:tr w:rsidR="007D17C5" w:rsidRPr="002B1A95" w:rsidTr="009558BE">
        <w:tc>
          <w:tcPr>
            <w:tcW w:w="431" w:type="pct"/>
            <w:shd w:val="clear" w:color="auto" w:fill="auto"/>
          </w:tcPr>
          <w:p w:rsidR="007D17C5" w:rsidRPr="002B1A95" w:rsidRDefault="007D17C5" w:rsidP="009558BE">
            <w:pPr>
              <w:pStyle w:val="Tabletext"/>
            </w:pPr>
            <w:r w:rsidRPr="002B1A95">
              <w:t>6</w:t>
            </w:r>
          </w:p>
        </w:tc>
        <w:tc>
          <w:tcPr>
            <w:tcW w:w="1138" w:type="pct"/>
            <w:shd w:val="clear" w:color="auto" w:fill="auto"/>
          </w:tcPr>
          <w:p w:rsidR="007D17C5" w:rsidRPr="002B1A95" w:rsidRDefault="007D17C5" w:rsidP="009558BE">
            <w:pPr>
              <w:pStyle w:val="Tabletext"/>
              <w:spacing w:before="50"/>
            </w:pPr>
            <w:r w:rsidRPr="002B1A95">
              <w:t>23</w:t>
            </w:r>
          </w:p>
        </w:tc>
        <w:tc>
          <w:tcPr>
            <w:tcW w:w="1931" w:type="pct"/>
            <w:shd w:val="clear" w:color="auto" w:fill="auto"/>
            <w:vAlign w:val="bottom"/>
          </w:tcPr>
          <w:p w:rsidR="007D17C5" w:rsidRPr="002B1A95" w:rsidRDefault="007D17C5" w:rsidP="009558BE">
            <w:pPr>
              <w:pStyle w:val="Tabletext"/>
              <w:spacing w:before="50"/>
            </w:pPr>
            <w:r w:rsidRPr="002B1A95">
              <w:t>22.906</w:t>
            </w:r>
          </w:p>
        </w:tc>
        <w:tc>
          <w:tcPr>
            <w:tcW w:w="1499" w:type="pct"/>
            <w:shd w:val="clear" w:color="auto" w:fill="auto"/>
          </w:tcPr>
          <w:p w:rsidR="007D17C5" w:rsidRPr="002B1A95" w:rsidRDefault="007D17C5" w:rsidP="009558BE">
            <w:pPr>
              <w:pStyle w:val="Tabletext"/>
              <w:spacing w:before="50"/>
            </w:pPr>
            <w:r w:rsidRPr="002B1A95">
              <w:t>15.322</w:t>
            </w:r>
          </w:p>
        </w:tc>
      </w:tr>
      <w:tr w:rsidR="007D17C5" w:rsidRPr="002B1A95" w:rsidTr="009558BE">
        <w:tc>
          <w:tcPr>
            <w:tcW w:w="431" w:type="pct"/>
            <w:shd w:val="clear" w:color="auto" w:fill="auto"/>
          </w:tcPr>
          <w:p w:rsidR="007D17C5" w:rsidRPr="002B1A95" w:rsidRDefault="007D17C5" w:rsidP="009558BE">
            <w:pPr>
              <w:pStyle w:val="Tabletext"/>
            </w:pPr>
            <w:r w:rsidRPr="002B1A95">
              <w:t>7</w:t>
            </w:r>
          </w:p>
        </w:tc>
        <w:tc>
          <w:tcPr>
            <w:tcW w:w="1138" w:type="pct"/>
            <w:shd w:val="clear" w:color="auto" w:fill="auto"/>
          </w:tcPr>
          <w:p w:rsidR="007D17C5" w:rsidRPr="002B1A95" w:rsidRDefault="007D17C5" w:rsidP="009558BE">
            <w:pPr>
              <w:pStyle w:val="Tabletext"/>
              <w:spacing w:before="50"/>
            </w:pPr>
            <w:r w:rsidRPr="002B1A95">
              <w:t>24</w:t>
            </w:r>
          </w:p>
        </w:tc>
        <w:tc>
          <w:tcPr>
            <w:tcW w:w="1931" w:type="pct"/>
            <w:shd w:val="clear" w:color="auto" w:fill="auto"/>
            <w:vAlign w:val="bottom"/>
          </w:tcPr>
          <w:p w:rsidR="007D17C5" w:rsidRPr="002B1A95" w:rsidRDefault="007D17C5" w:rsidP="009558BE">
            <w:pPr>
              <w:pStyle w:val="Tabletext"/>
              <w:spacing w:before="50"/>
            </w:pPr>
            <w:r w:rsidRPr="002B1A95">
              <w:t>22.862</w:t>
            </w:r>
          </w:p>
        </w:tc>
        <w:tc>
          <w:tcPr>
            <w:tcW w:w="1499" w:type="pct"/>
            <w:shd w:val="clear" w:color="auto" w:fill="auto"/>
          </w:tcPr>
          <w:p w:rsidR="007D17C5" w:rsidRPr="002B1A95" w:rsidRDefault="007D17C5" w:rsidP="009558BE">
            <w:pPr>
              <w:pStyle w:val="Tabletext"/>
              <w:spacing w:before="50"/>
            </w:pPr>
            <w:r w:rsidRPr="002B1A95">
              <w:t>15.312</w:t>
            </w:r>
          </w:p>
        </w:tc>
      </w:tr>
      <w:tr w:rsidR="007D17C5" w:rsidRPr="002B1A95" w:rsidTr="009558BE">
        <w:tc>
          <w:tcPr>
            <w:tcW w:w="431" w:type="pct"/>
            <w:shd w:val="clear" w:color="auto" w:fill="auto"/>
          </w:tcPr>
          <w:p w:rsidR="007D17C5" w:rsidRPr="002B1A95" w:rsidRDefault="007D17C5" w:rsidP="009558BE">
            <w:pPr>
              <w:pStyle w:val="Tabletext"/>
            </w:pPr>
            <w:r w:rsidRPr="002B1A95">
              <w:t>8</w:t>
            </w:r>
          </w:p>
        </w:tc>
        <w:tc>
          <w:tcPr>
            <w:tcW w:w="1138" w:type="pct"/>
            <w:shd w:val="clear" w:color="auto" w:fill="auto"/>
          </w:tcPr>
          <w:p w:rsidR="007D17C5" w:rsidRPr="002B1A95" w:rsidRDefault="007D17C5" w:rsidP="009558BE">
            <w:pPr>
              <w:pStyle w:val="Tabletext"/>
              <w:spacing w:before="50"/>
            </w:pPr>
            <w:r w:rsidRPr="002B1A95">
              <w:t>25</w:t>
            </w:r>
          </w:p>
        </w:tc>
        <w:tc>
          <w:tcPr>
            <w:tcW w:w="1931" w:type="pct"/>
            <w:shd w:val="clear" w:color="auto" w:fill="auto"/>
            <w:vAlign w:val="bottom"/>
          </w:tcPr>
          <w:p w:rsidR="007D17C5" w:rsidRPr="002B1A95" w:rsidRDefault="007D17C5" w:rsidP="009558BE">
            <w:pPr>
              <w:pStyle w:val="Tabletext"/>
              <w:spacing w:before="50"/>
            </w:pPr>
            <w:r w:rsidRPr="002B1A95">
              <w:t>22.816</w:t>
            </w:r>
          </w:p>
        </w:tc>
        <w:tc>
          <w:tcPr>
            <w:tcW w:w="1499" w:type="pct"/>
            <w:shd w:val="clear" w:color="auto" w:fill="auto"/>
          </w:tcPr>
          <w:p w:rsidR="007D17C5" w:rsidRPr="002B1A95" w:rsidRDefault="007D17C5" w:rsidP="009558BE">
            <w:pPr>
              <w:pStyle w:val="Tabletext"/>
              <w:spacing w:before="50"/>
            </w:pPr>
            <w:r w:rsidRPr="002B1A95">
              <w:t>15.302</w:t>
            </w:r>
          </w:p>
        </w:tc>
      </w:tr>
      <w:tr w:rsidR="007D17C5" w:rsidRPr="002B1A95" w:rsidTr="009558BE">
        <w:tc>
          <w:tcPr>
            <w:tcW w:w="431" w:type="pct"/>
            <w:shd w:val="clear" w:color="auto" w:fill="auto"/>
          </w:tcPr>
          <w:p w:rsidR="007D17C5" w:rsidRPr="002B1A95" w:rsidRDefault="007D17C5" w:rsidP="009558BE">
            <w:pPr>
              <w:pStyle w:val="Tabletext"/>
            </w:pPr>
            <w:r w:rsidRPr="002B1A95">
              <w:t>9</w:t>
            </w:r>
          </w:p>
        </w:tc>
        <w:tc>
          <w:tcPr>
            <w:tcW w:w="1138" w:type="pct"/>
            <w:shd w:val="clear" w:color="auto" w:fill="auto"/>
          </w:tcPr>
          <w:p w:rsidR="007D17C5" w:rsidRPr="002B1A95" w:rsidRDefault="007D17C5" w:rsidP="009558BE">
            <w:pPr>
              <w:pStyle w:val="Tabletext"/>
              <w:spacing w:before="50"/>
            </w:pPr>
            <w:r w:rsidRPr="002B1A95">
              <w:t>26</w:t>
            </w:r>
          </w:p>
        </w:tc>
        <w:tc>
          <w:tcPr>
            <w:tcW w:w="1931" w:type="pct"/>
            <w:shd w:val="clear" w:color="auto" w:fill="auto"/>
            <w:vAlign w:val="bottom"/>
          </w:tcPr>
          <w:p w:rsidR="007D17C5" w:rsidRPr="002B1A95" w:rsidRDefault="007D17C5" w:rsidP="009558BE">
            <w:pPr>
              <w:pStyle w:val="Tabletext"/>
              <w:spacing w:before="50"/>
            </w:pPr>
            <w:r w:rsidRPr="002B1A95">
              <w:t>22.763</w:t>
            </w:r>
          </w:p>
        </w:tc>
        <w:tc>
          <w:tcPr>
            <w:tcW w:w="1499" w:type="pct"/>
            <w:shd w:val="clear" w:color="auto" w:fill="auto"/>
          </w:tcPr>
          <w:p w:rsidR="007D17C5" w:rsidRPr="002B1A95" w:rsidRDefault="007D17C5" w:rsidP="009558BE">
            <w:pPr>
              <w:pStyle w:val="Tabletext"/>
              <w:spacing w:before="50"/>
            </w:pPr>
            <w:r w:rsidRPr="002B1A95">
              <w:t>15.289</w:t>
            </w:r>
          </w:p>
        </w:tc>
      </w:tr>
      <w:tr w:rsidR="007D17C5" w:rsidRPr="002B1A95" w:rsidTr="009558BE">
        <w:tc>
          <w:tcPr>
            <w:tcW w:w="431" w:type="pct"/>
            <w:shd w:val="clear" w:color="auto" w:fill="auto"/>
          </w:tcPr>
          <w:p w:rsidR="007D17C5" w:rsidRPr="002B1A95" w:rsidRDefault="007D17C5" w:rsidP="009558BE">
            <w:pPr>
              <w:pStyle w:val="Tabletext"/>
            </w:pPr>
            <w:r w:rsidRPr="002B1A95">
              <w:t>10</w:t>
            </w:r>
          </w:p>
        </w:tc>
        <w:tc>
          <w:tcPr>
            <w:tcW w:w="1138" w:type="pct"/>
            <w:shd w:val="clear" w:color="auto" w:fill="auto"/>
          </w:tcPr>
          <w:p w:rsidR="007D17C5" w:rsidRPr="002B1A95" w:rsidRDefault="007D17C5" w:rsidP="009558BE">
            <w:pPr>
              <w:pStyle w:val="Tabletext"/>
              <w:spacing w:before="50"/>
            </w:pPr>
            <w:r w:rsidRPr="002B1A95">
              <w:t>27</w:t>
            </w:r>
          </w:p>
        </w:tc>
        <w:tc>
          <w:tcPr>
            <w:tcW w:w="1931" w:type="pct"/>
            <w:shd w:val="clear" w:color="auto" w:fill="auto"/>
            <w:vAlign w:val="bottom"/>
          </w:tcPr>
          <w:p w:rsidR="007D17C5" w:rsidRPr="002B1A95" w:rsidRDefault="007D17C5" w:rsidP="009558BE">
            <w:pPr>
              <w:pStyle w:val="Tabletext"/>
              <w:spacing w:before="50"/>
            </w:pPr>
            <w:r w:rsidRPr="002B1A95">
              <w:t>22.694</w:t>
            </w:r>
          </w:p>
        </w:tc>
        <w:tc>
          <w:tcPr>
            <w:tcW w:w="1499" w:type="pct"/>
            <w:shd w:val="clear" w:color="auto" w:fill="auto"/>
          </w:tcPr>
          <w:p w:rsidR="007D17C5" w:rsidRPr="002B1A95" w:rsidRDefault="007D17C5" w:rsidP="009558BE">
            <w:pPr>
              <w:pStyle w:val="Tabletext"/>
              <w:spacing w:before="50"/>
            </w:pPr>
            <w:r w:rsidRPr="002B1A95">
              <w:t>15.271</w:t>
            </w:r>
          </w:p>
        </w:tc>
      </w:tr>
      <w:tr w:rsidR="007D17C5" w:rsidRPr="002B1A95" w:rsidTr="009558BE">
        <w:tc>
          <w:tcPr>
            <w:tcW w:w="431" w:type="pct"/>
            <w:shd w:val="clear" w:color="auto" w:fill="auto"/>
          </w:tcPr>
          <w:p w:rsidR="007D17C5" w:rsidRPr="002B1A95" w:rsidRDefault="007D17C5" w:rsidP="009558BE">
            <w:pPr>
              <w:pStyle w:val="Tabletext"/>
            </w:pPr>
            <w:r w:rsidRPr="002B1A95">
              <w:t>11</w:t>
            </w:r>
          </w:p>
        </w:tc>
        <w:tc>
          <w:tcPr>
            <w:tcW w:w="1138" w:type="pct"/>
            <w:shd w:val="clear" w:color="auto" w:fill="auto"/>
          </w:tcPr>
          <w:p w:rsidR="007D17C5" w:rsidRPr="002B1A95" w:rsidRDefault="007D17C5" w:rsidP="009558BE">
            <w:pPr>
              <w:pStyle w:val="Tabletext"/>
              <w:spacing w:before="50"/>
            </w:pPr>
            <w:r w:rsidRPr="002B1A95">
              <w:t>28</w:t>
            </w:r>
          </w:p>
        </w:tc>
        <w:tc>
          <w:tcPr>
            <w:tcW w:w="1931" w:type="pct"/>
            <w:shd w:val="clear" w:color="auto" w:fill="auto"/>
            <w:vAlign w:val="bottom"/>
          </w:tcPr>
          <w:p w:rsidR="007D17C5" w:rsidRPr="002B1A95" w:rsidRDefault="007D17C5" w:rsidP="009558BE">
            <w:pPr>
              <w:pStyle w:val="Tabletext"/>
              <w:spacing w:before="50"/>
            </w:pPr>
            <w:r w:rsidRPr="002B1A95">
              <w:t>22.612</w:t>
            </w:r>
          </w:p>
        </w:tc>
        <w:tc>
          <w:tcPr>
            <w:tcW w:w="1499" w:type="pct"/>
            <w:shd w:val="clear" w:color="auto" w:fill="auto"/>
          </w:tcPr>
          <w:p w:rsidR="007D17C5" w:rsidRPr="002B1A95" w:rsidRDefault="007D17C5" w:rsidP="009558BE">
            <w:pPr>
              <w:pStyle w:val="Tabletext"/>
              <w:spacing w:before="50"/>
            </w:pPr>
            <w:r w:rsidRPr="002B1A95">
              <w:t>15.248</w:t>
            </w:r>
          </w:p>
        </w:tc>
      </w:tr>
      <w:tr w:rsidR="007D17C5" w:rsidRPr="002B1A95" w:rsidTr="009558BE">
        <w:tc>
          <w:tcPr>
            <w:tcW w:w="431" w:type="pct"/>
            <w:shd w:val="clear" w:color="auto" w:fill="auto"/>
          </w:tcPr>
          <w:p w:rsidR="007D17C5" w:rsidRPr="002B1A95" w:rsidRDefault="007D17C5" w:rsidP="009558BE">
            <w:pPr>
              <w:pStyle w:val="Tabletext"/>
            </w:pPr>
            <w:r w:rsidRPr="002B1A95">
              <w:t>12</w:t>
            </w:r>
          </w:p>
        </w:tc>
        <w:tc>
          <w:tcPr>
            <w:tcW w:w="1138" w:type="pct"/>
            <w:shd w:val="clear" w:color="auto" w:fill="auto"/>
          </w:tcPr>
          <w:p w:rsidR="007D17C5" w:rsidRPr="002B1A95" w:rsidRDefault="007D17C5" w:rsidP="009558BE">
            <w:pPr>
              <w:pStyle w:val="Tabletext"/>
              <w:spacing w:before="50"/>
            </w:pPr>
            <w:r w:rsidRPr="002B1A95">
              <w:t>29</w:t>
            </w:r>
          </w:p>
        </w:tc>
        <w:tc>
          <w:tcPr>
            <w:tcW w:w="1931" w:type="pct"/>
            <w:shd w:val="clear" w:color="auto" w:fill="auto"/>
            <w:vAlign w:val="bottom"/>
          </w:tcPr>
          <w:p w:rsidR="007D17C5" w:rsidRPr="002B1A95" w:rsidRDefault="007D17C5" w:rsidP="009558BE">
            <w:pPr>
              <w:pStyle w:val="Tabletext"/>
              <w:spacing w:before="50"/>
            </w:pPr>
            <w:r w:rsidRPr="002B1A95">
              <w:t>22.523</w:t>
            </w:r>
          </w:p>
        </w:tc>
        <w:tc>
          <w:tcPr>
            <w:tcW w:w="1499" w:type="pct"/>
            <w:shd w:val="clear" w:color="auto" w:fill="auto"/>
          </w:tcPr>
          <w:p w:rsidR="007D17C5" w:rsidRPr="002B1A95" w:rsidRDefault="007D17C5" w:rsidP="009558BE">
            <w:pPr>
              <w:pStyle w:val="Tabletext"/>
              <w:spacing w:before="50"/>
            </w:pPr>
            <w:r w:rsidRPr="002B1A95">
              <w:t>15.223</w:t>
            </w:r>
          </w:p>
        </w:tc>
      </w:tr>
      <w:tr w:rsidR="007D17C5" w:rsidRPr="002B1A95" w:rsidTr="009558BE">
        <w:tc>
          <w:tcPr>
            <w:tcW w:w="431" w:type="pct"/>
            <w:shd w:val="clear" w:color="auto" w:fill="auto"/>
          </w:tcPr>
          <w:p w:rsidR="007D17C5" w:rsidRPr="002B1A95" w:rsidRDefault="007D17C5" w:rsidP="009558BE">
            <w:pPr>
              <w:pStyle w:val="Tabletext"/>
            </w:pPr>
            <w:r w:rsidRPr="002B1A95">
              <w:t>13</w:t>
            </w:r>
          </w:p>
        </w:tc>
        <w:tc>
          <w:tcPr>
            <w:tcW w:w="1138" w:type="pct"/>
            <w:shd w:val="clear" w:color="auto" w:fill="auto"/>
          </w:tcPr>
          <w:p w:rsidR="007D17C5" w:rsidRPr="002B1A95" w:rsidRDefault="007D17C5" w:rsidP="009558BE">
            <w:pPr>
              <w:pStyle w:val="Tabletext"/>
              <w:spacing w:before="50"/>
            </w:pPr>
            <w:r w:rsidRPr="002B1A95">
              <w:t>30</w:t>
            </w:r>
          </w:p>
        </w:tc>
        <w:tc>
          <w:tcPr>
            <w:tcW w:w="1931" w:type="pct"/>
            <w:shd w:val="clear" w:color="auto" w:fill="auto"/>
            <w:vAlign w:val="bottom"/>
          </w:tcPr>
          <w:p w:rsidR="007D17C5" w:rsidRPr="002B1A95" w:rsidRDefault="007D17C5" w:rsidP="009558BE">
            <w:pPr>
              <w:pStyle w:val="Tabletext"/>
              <w:spacing w:before="50"/>
            </w:pPr>
            <w:r w:rsidRPr="002B1A95">
              <w:t>22.422</w:t>
            </w:r>
          </w:p>
        </w:tc>
        <w:tc>
          <w:tcPr>
            <w:tcW w:w="1499" w:type="pct"/>
            <w:shd w:val="clear" w:color="auto" w:fill="auto"/>
          </w:tcPr>
          <w:p w:rsidR="007D17C5" w:rsidRPr="002B1A95" w:rsidRDefault="007D17C5" w:rsidP="009558BE">
            <w:pPr>
              <w:pStyle w:val="Tabletext"/>
              <w:spacing w:before="50"/>
            </w:pPr>
            <w:r w:rsidRPr="002B1A95">
              <w:t>15.194</w:t>
            </w:r>
          </w:p>
        </w:tc>
      </w:tr>
      <w:tr w:rsidR="007D17C5" w:rsidRPr="002B1A95" w:rsidTr="009558BE">
        <w:tc>
          <w:tcPr>
            <w:tcW w:w="431" w:type="pct"/>
            <w:shd w:val="clear" w:color="auto" w:fill="auto"/>
          </w:tcPr>
          <w:p w:rsidR="007D17C5" w:rsidRPr="002B1A95" w:rsidRDefault="007D17C5" w:rsidP="009558BE">
            <w:pPr>
              <w:pStyle w:val="Tabletext"/>
            </w:pPr>
            <w:r w:rsidRPr="002B1A95">
              <w:lastRenderedPageBreak/>
              <w:t>14</w:t>
            </w:r>
          </w:p>
        </w:tc>
        <w:tc>
          <w:tcPr>
            <w:tcW w:w="1138" w:type="pct"/>
            <w:shd w:val="clear" w:color="auto" w:fill="auto"/>
          </w:tcPr>
          <w:p w:rsidR="007D17C5" w:rsidRPr="002B1A95" w:rsidRDefault="007D17C5" w:rsidP="009558BE">
            <w:pPr>
              <w:pStyle w:val="Tabletext"/>
              <w:spacing w:before="50"/>
            </w:pPr>
            <w:r w:rsidRPr="002B1A95">
              <w:t>31</w:t>
            </w:r>
          </w:p>
        </w:tc>
        <w:tc>
          <w:tcPr>
            <w:tcW w:w="1931" w:type="pct"/>
            <w:shd w:val="clear" w:color="auto" w:fill="auto"/>
            <w:vAlign w:val="bottom"/>
          </w:tcPr>
          <w:p w:rsidR="007D17C5" w:rsidRPr="002B1A95" w:rsidRDefault="007D17C5" w:rsidP="009558BE">
            <w:pPr>
              <w:pStyle w:val="Tabletext"/>
              <w:spacing w:before="50"/>
            </w:pPr>
            <w:r w:rsidRPr="002B1A95">
              <w:t>22.310</w:t>
            </w:r>
          </w:p>
        </w:tc>
        <w:tc>
          <w:tcPr>
            <w:tcW w:w="1499" w:type="pct"/>
            <w:shd w:val="clear" w:color="auto" w:fill="auto"/>
          </w:tcPr>
          <w:p w:rsidR="007D17C5" w:rsidRPr="002B1A95" w:rsidRDefault="007D17C5" w:rsidP="009558BE">
            <w:pPr>
              <w:pStyle w:val="Tabletext"/>
              <w:spacing w:before="50"/>
            </w:pPr>
            <w:r w:rsidRPr="002B1A95">
              <w:t>15.160</w:t>
            </w:r>
          </w:p>
        </w:tc>
      </w:tr>
      <w:tr w:rsidR="007D17C5" w:rsidRPr="002B1A95" w:rsidTr="009558BE">
        <w:tc>
          <w:tcPr>
            <w:tcW w:w="431" w:type="pct"/>
            <w:shd w:val="clear" w:color="auto" w:fill="auto"/>
          </w:tcPr>
          <w:p w:rsidR="007D17C5" w:rsidRPr="002B1A95" w:rsidRDefault="007D17C5" w:rsidP="009558BE">
            <w:pPr>
              <w:pStyle w:val="Tabletext"/>
            </w:pPr>
            <w:r w:rsidRPr="002B1A95">
              <w:t>15</w:t>
            </w:r>
          </w:p>
        </w:tc>
        <w:tc>
          <w:tcPr>
            <w:tcW w:w="1138" w:type="pct"/>
            <w:shd w:val="clear" w:color="auto" w:fill="auto"/>
          </w:tcPr>
          <w:p w:rsidR="007D17C5" w:rsidRPr="002B1A95" w:rsidRDefault="007D17C5" w:rsidP="009558BE">
            <w:pPr>
              <w:pStyle w:val="Tabletext"/>
              <w:spacing w:before="50"/>
            </w:pPr>
            <w:r w:rsidRPr="002B1A95">
              <w:t>32</w:t>
            </w:r>
          </w:p>
        </w:tc>
        <w:tc>
          <w:tcPr>
            <w:tcW w:w="1931" w:type="pct"/>
            <w:shd w:val="clear" w:color="auto" w:fill="auto"/>
            <w:vAlign w:val="bottom"/>
          </w:tcPr>
          <w:p w:rsidR="007D17C5" w:rsidRPr="002B1A95" w:rsidRDefault="007D17C5" w:rsidP="009558BE">
            <w:pPr>
              <w:pStyle w:val="Tabletext"/>
              <w:spacing w:before="50"/>
            </w:pPr>
            <w:r w:rsidRPr="002B1A95">
              <w:t>22.193</w:t>
            </w:r>
          </w:p>
        </w:tc>
        <w:tc>
          <w:tcPr>
            <w:tcW w:w="1499" w:type="pct"/>
            <w:shd w:val="clear" w:color="auto" w:fill="auto"/>
          </w:tcPr>
          <w:p w:rsidR="007D17C5" w:rsidRPr="002B1A95" w:rsidRDefault="007D17C5" w:rsidP="009558BE">
            <w:pPr>
              <w:pStyle w:val="Tabletext"/>
              <w:spacing w:before="50"/>
            </w:pPr>
            <w:r w:rsidRPr="002B1A95">
              <w:t>15.124</w:t>
            </w:r>
          </w:p>
        </w:tc>
      </w:tr>
      <w:tr w:rsidR="007D17C5" w:rsidRPr="002B1A95" w:rsidTr="009558BE">
        <w:tc>
          <w:tcPr>
            <w:tcW w:w="431" w:type="pct"/>
            <w:shd w:val="clear" w:color="auto" w:fill="auto"/>
          </w:tcPr>
          <w:p w:rsidR="007D17C5" w:rsidRPr="002B1A95" w:rsidRDefault="007D17C5" w:rsidP="009558BE">
            <w:pPr>
              <w:pStyle w:val="Tabletext"/>
            </w:pPr>
            <w:r w:rsidRPr="002B1A95">
              <w:t>16</w:t>
            </w:r>
          </w:p>
        </w:tc>
        <w:tc>
          <w:tcPr>
            <w:tcW w:w="1138" w:type="pct"/>
            <w:shd w:val="clear" w:color="auto" w:fill="auto"/>
          </w:tcPr>
          <w:p w:rsidR="007D17C5" w:rsidRPr="002B1A95" w:rsidRDefault="007D17C5" w:rsidP="009558BE">
            <w:pPr>
              <w:pStyle w:val="Tabletext"/>
              <w:spacing w:before="50"/>
            </w:pPr>
            <w:r w:rsidRPr="002B1A95">
              <w:t>33</w:t>
            </w:r>
          </w:p>
        </w:tc>
        <w:tc>
          <w:tcPr>
            <w:tcW w:w="1931" w:type="pct"/>
            <w:shd w:val="clear" w:color="auto" w:fill="auto"/>
            <w:vAlign w:val="bottom"/>
          </w:tcPr>
          <w:p w:rsidR="007D17C5" w:rsidRPr="002B1A95" w:rsidRDefault="007D17C5" w:rsidP="009558BE">
            <w:pPr>
              <w:pStyle w:val="Tabletext"/>
              <w:spacing w:before="50"/>
            </w:pPr>
            <w:r w:rsidRPr="002B1A95">
              <w:t>22.076</w:t>
            </w:r>
          </w:p>
        </w:tc>
        <w:tc>
          <w:tcPr>
            <w:tcW w:w="1499" w:type="pct"/>
            <w:shd w:val="clear" w:color="auto" w:fill="auto"/>
          </w:tcPr>
          <w:p w:rsidR="007D17C5" w:rsidRPr="002B1A95" w:rsidRDefault="007D17C5" w:rsidP="009558BE">
            <w:pPr>
              <w:pStyle w:val="Tabletext"/>
              <w:spacing w:before="50"/>
            </w:pPr>
            <w:r w:rsidRPr="002B1A95">
              <w:t>15.086</w:t>
            </w:r>
          </w:p>
        </w:tc>
      </w:tr>
      <w:tr w:rsidR="007D17C5" w:rsidRPr="002B1A95" w:rsidTr="009558BE">
        <w:tc>
          <w:tcPr>
            <w:tcW w:w="431" w:type="pct"/>
            <w:shd w:val="clear" w:color="auto" w:fill="auto"/>
          </w:tcPr>
          <w:p w:rsidR="007D17C5" w:rsidRPr="002B1A95" w:rsidRDefault="007D17C5" w:rsidP="009558BE">
            <w:pPr>
              <w:pStyle w:val="Tabletext"/>
            </w:pPr>
            <w:r w:rsidRPr="002B1A95">
              <w:t>17</w:t>
            </w:r>
          </w:p>
        </w:tc>
        <w:tc>
          <w:tcPr>
            <w:tcW w:w="1138" w:type="pct"/>
            <w:shd w:val="clear" w:color="auto" w:fill="auto"/>
          </w:tcPr>
          <w:p w:rsidR="007D17C5" w:rsidRPr="002B1A95" w:rsidRDefault="007D17C5" w:rsidP="009558BE">
            <w:pPr>
              <w:pStyle w:val="Tabletext"/>
              <w:spacing w:before="50"/>
            </w:pPr>
            <w:r w:rsidRPr="002B1A95">
              <w:t>34</w:t>
            </w:r>
          </w:p>
        </w:tc>
        <w:tc>
          <w:tcPr>
            <w:tcW w:w="1931" w:type="pct"/>
            <w:shd w:val="clear" w:color="auto" w:fill="auto"/>
            <w:vAlign w:val="bottom"/>
          </w:tcPr>
          <w:p w:rsidR="007D17C5" w:rsidRPr="002B1A95" w:rsidRDefault="007D17C5" w:rsidP="009558BE">
            <w:pPr>
              <w:pStyle w:val="Tabletext"/>
              <w:spacing w:before="50"/>
            </w:pPr>
            <w:r w:rsidRPr="002B1A95">
              <w:t>21.950</w:t>
            </w:r>
          </w:p>
        </w:tc>
        <w:tc>
          <w:tcPr>
            <w:tcW w:w="1499" w:type="pct"/>
            <w:shd w:val="clear" w:color="auto" w:fill="auto"/>
          </w:tcPr>
          <w:p w:rsidR="007D17C5" w:rsidRPr="002B1A95" w:rsidRDefault="007D17C5" w:rsidP="009558BE">
            <w:pPr>
              <w:pStyle w:val="Tabletext"/>
              <w:spacing w:before="50"/>
            </w:pPr>
            <w:r w:rsidRPr="002B1A95">
              <w:t>15.045</w:t>
            </w:r>
          </w:p>
        </w:tc>
      </w:tr>
      <w:tr w:rsidR="007D17C5" w:rsidRPr="002B1A95" w:rsidTr="009558BE">
        <w:tc>
          <w:tcPr>
            <w:tcW w:w="431" w:type="pct"/>
            <w:shd w:val="clear" w:color="auto" w:fill="auto"/>
          </w:tcPr>
          <w:p w:rsidR="007D17C5" w:rsidRPr="002B1A95" w:rsidRDefault="007D17C5" w:rsidP="009558BE">
            <w:pPr>
              <w:pStyle w:val="Tabletext"/>
            </w:pPr>
            <w:r w:rsidRPr="002B1A95">
              <w:t>18</w:t>
            </w:r>
          </w:p>
        </w:tc>
        <w:tc>
          <w:tcPr>
            <w:tcW w:w="1138" w:type="pct"/>
            <w:shd w:val="clear" w:color="auto" w:fill="auto"/>
          </w:tcPr>
          <w:p w:rsidR="007D17C5" w:rsidRPr="002B1A95" w:rsidRDefault="007D17C5" w:rsidP="009558BE">
            <w:pPr>
              <w:pStyle w:val="Tabletext"/>
              <w:spacing w:before="50"/>
            </w:pPr>
            <w:r w:rsidRPr="002B1A95">
              <w:t>35</w:t>
            </w:r>
          </w:p>
        </w:tc>
        <w:tc>
          <w:tcPr>
            <w:tcW w:w="1931" w:type="pct"/>
            <w:shd w:val="clear" w:color="auto" w:fill="auto"/>
            <w:vAlign w:val="bottom"/>
          </w:tcPr>
          <w:p w:rsidR="007D17C5" w:rsidRPr="002B1A95" w:rsidRDefault="007D17C5" w:rsidP="009558BE">
            <w:pPr>
              <w:pStyle w:val="Tabletext"/>
              <w:spacing w:before="50"/>
            </w:pPr>
            <w:r w:rsidRPr="002B1A95">
              <w:t>21.821</w:t>
            </w:r>
          </w:p>
        </w:tc>
        <w:tc>
          <w:tcPr>
            <w:tcW w:w="1499" w:type="pct"/>
            <w:shd w:val="clear" w:color="auto" w:fill="auto"/>
          </w:tcPr>
          <w:p w:rsidR="007D17C5" w:rsidRPr="002B1A95" w:rsidRDefault="007D17C5" w:rsidP="009558BE">
            <w:pPr>
              <w:pStyle w:val="Tabletext"/>
              <w:spacing w:before="50"/>
            </w:pPr>
            <w:r w:rsidRPr="002B1A95">
              <w:t>15.002</w:t>
            </w:r>
          </w:p>
        </w:tc>
      </w:tr>
      <w:tr w:rsidR="007D17C5" w:rsidRPr="002B1A95" w:rsidTr="009558BE">
        <w:tc>
          <w:tcPr>
            <w:tcW w:w="431" w:type="pct"/>
            <w:shd w:val="clear" w:color="auto" w:fill="auto"/>
          </w:tcPr>
          <w:p w:rsidR="007D17C5" w:rsidRPr="002B1A95" w:rsidRDefault="007D17C5" w:rsidP="009558BE">
            <w:pPr>
              <w:pStyle w:val="Tabletext"/>
            </w:pPr>
            <w:r w:rsidRPr="002B1A95">
              <w:t>19</w:t>
            </w:r>
          </w:p>
        </w:tc>
        <w:tc>
          <w:tcPr>
            <w:tcW w:w="1138" w:type="pct"/>
            <w:shd w:val="clear" w:color="auto" w:fill="auto"/>
          </w:tcPr>
          <w:p w:rsidR="007D17C5" w:rsidRPr="002B1A95" w:rsidRDefault="007D17C5" w:rsidP="009558BE">
            <w:pPr>
              <w:pStyle w:val="Tabletext"/>
              <w:spacing w:before="50"/>
            </w:pPr>
            <w:r w:rsidRPr="002B1A95">
              <w:t>36</w:t>
            </w:r>
          </w:p>
        </w:tc>
        <w:tc>
          <w:tcPr>
            <w:tcW w:w="1931" w:type="pct"/>
            <w:shd w:val="clear" w:color="auto" w:fill="auto"/>
            <w:vAlign w:val="bottom"/>
          </w:tcPr>
          <w:p w:rsidR="007D17C5" w:rsidRPr="002B1A95" w:rsidRDefault="007D17C5" w:rsidP="009558BE">
            <w:pPr>
              <w:pStyle w:val="Tabletext"/>
              <w:spacing w:before="50"/>
            </w:pPr>
            <w:r w:rsidRPr="002B1A95">
              <w:t>21.691</w:t>
            </w:r>
          </w:p>
        </w:tc>
        <w:tc>
          <w:tcPr>
            <w:tcW w:w="1499" w:type="pct"/>
            <w:shd w:val="clear" w:color="auto" w:fill="auto"/>
          </w:tcPr>
          <w:p w:rsidR="007D17C5" w:rsidRPr="002B1A95" w:rsidRDefault="007D17C5" w:rsidP="009558BE">
            <w:pPr>
              <w:pStyle w:val="Tabletext"/>
              <w:spacing w:before="50"/>
            </w:pPr>
            <w:r w:rsidRPr="002B1A95">
              <w:t>14.958</w:t>
            </w:r>
          </w:p>
        </w:tc>
      </w:tr>
      <w:tr w:rsidR="007D17C5" w:rsidRPr="002B1A95" w:rsidTr="009558BE">
        <w:tc>
          <w:tcPr>
            <w:tcW w:w="431" w:type="pct"/>
            <w:shd w:val="clear" w:color="auto" w:fill="auto"/>
          </w:tcPr>
          <w:p w:rsidR="007D17C5" w:rsidRPr="002B1A95" w:rsidRDefault="007D17C5" w:rsidP="009558BE">
            <w:pPr>
              <w:pStyle w:val="Tabletext"/>
            </w:pPr>
            <w:r w:rsidRPr="002B1A95">
              <w:t>20</w:t>
            </w:r>
          </w:p>
        </w:tc>
        <w:tc>
          <w:tcPr>
            <w:tcW w:w="1138" w:type="pct"/>
            <w:shd w:val="clear" w:color="auto" w:fill="auto"/>
          </w:tcPr>
          <w:p w:rsidR="007D17C5" w:rsidRPr="002B1A95" w:rsidRDefault="007D17C5" w:rsidP="009558BE">
            <w:pPr>
              <w:pStyle w:val="Tabletext"/>
              <w:spacing w:before="50"/>
            </w:pPr>
            <w:r w:rsidRPr="002B1A95">
              <w:t>37</w:t>
            </w:r>
          </w:p>
        </w:tc>
        <w:tc>
          <w:tcPr>
            <w:tcW w:w="1931" w:type="pct"/>
            <w:shd w:val="clear" w:color="auto" w:fill="auto"/>
            <w:vAlign w:val="bottom"/>
          </w:tcPr>
          <w:p w:rsidR="007D17C5" w:rsidRPr="002B1A95" w:rsidRDefault="007D17C5" w:rsidP="009558BE">
            <w:pPr>
              <w:pStyle w:val="Tabletext"/>
              <w:spacing w:before="50"/>
            </w:pPr>
            <w:r w:rsidRPr="002B1A95">
              <w:t>21.553</w:t>
            </w:r>
          </w:p>
        </w:tc>
        <w:tc>
          <w:tcPr>
            <w:tcW w:w="1499" w:type="pct"/>
            <w:shd w:val="clear" w:color="auto" w:fill="auto"/>
          </w:tcPr>
          <w:p w:rsidR="007D17C5" w:rsidRPr="002B1A95" w:rsidRDefault="007D17C5" w:rsidP="009558BE">
            <w:pPr>
              <w:pStyle w:val="Tabletext"/>
              <w:spacing w:before="50"/>
            </w:pPr>
            <w:r w:rsidRPr="002B1A95">
              <w:t>14.911</w:t>
            </w:r>
          </w:p>
        </w:tc>
      </w:tr>
      <w:tr w:rsidR="007D17C5" w:rsidRPr="002B1A95" w:rsidTr="009558BE">
        <w:tc>
          <w:tcPr>
            <w:tcW w:w="431" w:type="pct"/>
            <w:shd w:val="clear" w:color="auto" w:fill="auto"/>
          </w:tcPr>
          <w:p w:rsidR="007D17C5" w:rsidRPr="002B1A95" w:rsidRDefault="007D17C5" w:rsidP="009558BE">
            <w:pPr>
              <w:pStyle w:val="Tabletext"/>
            </w:pPr>
            <w:r w:rsidRPr="002B1A95">
              <w:t>21</w:t>
            </w:r>
          </w:p>
        </w:tc>
        <w:tc>
          <w:tcPr>
            <w:tcW w:w="1138" w:type="pct"/>
            <w:shd w:val="clear" w:color="auto" w:fill="auto"/>
          </w:tcPr>
          <w:p w:rsidR="007D17C5" w:rsidRPr="002B1A95" w:rsidRDefault="007D17C5" w:rsidP="009558BE">
            <w:pPr>
              <w:pStyle w:val="Tabletext"/>
              <w:spacing w:before="50"/>
            </w:pPr>
            <w:r w:rsidRPr="002B1A95">
              <w:t>38</w:t>
            </w:r>
          </w:p>
        </w:tc>
        <w:tc>
          <w:tcPr>
            <w:tcW w:w="1931" w:type="pct"/>
            <w:shd w:val="clear" w:color="auto" w:fill="auto"/>
            <w:vAlign w:val="bottom"/>
          </w:tcPr>
          <w:p w:rsidR="007D17C5" w:rsidRPr="002B1A95" w:rsidRDefault="007D17C5" w:rsidP="009558BE">
            <w:pPr>
              <w:pStyle w:val="Tabletext"/>
              <w:spacing w:before="50"/>
            </w:pPr>
            <w:r w:rsidRPr="002B1A95">
              <w:t>21.410</w:t>
            </w:r>
          </w:p>
        </w:tc>
        <w:tc>
          <w:tcPr>
            <w:tcW w:w="1499" w:type="pct"/>
            <w:shd w:val="clear" w:color="auto" w:fill="auto"/>
          </w:tcPr>
          <w:p w:rsidR="007D17C5" w:rsidRPr="002B1A95" w:rsidRDefault="007D17C5" w:rsidP="009558BE">
            <w:pPr>
              <w:pStyle w:val="Tabletext"/>
              <w:spacing w:before="50"/>
            </w:pPr>
            <w:r w:rsidRPr="002B1A95">
              <w:t>14.861</w:t>
            </w:r>
          </w:p>
        </w:tc>
      </w:tr>
      <w:tr w:rsidR="007D17C5" w:rsidRPr="002B1A95" w:rsidTr="009558BE">
        <w:tc>
          <w:tcPr>
            <w:tcW w:w="431" w:type="pct"/>
            <w:shd w:val="clear" w:color="auto" w:fill="auto"/>
          </w:tcPr>
          <w:p w:rsidR="007D17C5" w:rsidRPr="002B1A95" w:rsidRDefault="007D17C5" w:rsidP="009558BE">
            <w:pPr>
              <w:pStyle w:val="Tabletext"/>
            </w:pPr>
            <w:r w:rsidRPr="002B1A95">
              <w:t>22</w:t>
            </w:r>
          </w:p>
        </w:tc>
        <w:tc>
          <w:tcPr>
            <w:tcW w:w="1138" w:type="pct"/>
            <w:shd w:val="clear" w:color="auto" w:fill="auto"/>
          </w:tcPr>
          <w:p w:rsidR="007D17C5" w:rsidRPr="002B1A95" w:rsidRDefault="007D17C5" w:rsidP="009558BE">
            <w:pPr>
              <w:pStyle w:val="Tabletext"/>
              <w:spacing w:before="50"/>
            </w:pPr>
            <w:r w:rsidRPr="002B1A95">
              <w:t>39</w:t>
            </w:r>
          </w:p>
        </w:tc>
        <w:tc>
          <w:tcPr>
            <w:tcW w:w="1931" w:type="pct"/>
            <w:shd w:val="clear" w:color="auto" w:fill="auto"/>
            <w:vAlign w:val="bottom"/>
          </w:tcPr>
          <w:p w:rsidR="007D17C5" w:rsidRPr="002B1A95" w:rsidRDefault="007D17C5" w:rsidP="009558BE">
            <w:pPr>
              <w:pStyle w:val="Tabletext"/>
              <w:spacing w:before="50"/>
            </w:pPr>
            <w:r w:rsidRPr="002B1A95">
              <w:t>21.266</w:t>
            </w:r>
          </w:p>
        </w:tc>
        <w:tc>
          <w:tcPr>
            <w:tcW w:w="1499" w:type="pct"/>
            <w:shd w:val="clear" w:color="auto" w:fill="auto"/>
          </w:tcPr>
          <w:p w:rsidR="007D17C5" w:rsidRPr="002B1A95" w:rsidRDefault="007D17C5" w:rsidP="009558BE">
            <w:pPr>
              <w:pStyle w:val="Tabletext"/>
              <w:spacing w:before="50"/>
            </w:pPr>
            <w:r w:rsidRPr="002B1A95">
              <w:t>14.809</w:t>
            </w:r>
          </w:p>
        </w:tc>
      </w:tr>
      <w:tr w:rsidR="007D17C5" w:rsidRPr="002B1A95" w:rsidTr="009558BE">
        <w:tc>
          <w:tcPr>
            <w:tcW w:w="431" w:type="pct"/>
            <w:shd w:val="clear" w:color="auto" w:fill="auto"/>
          </w:tcPr>
          <w:p w:rsidR="007D17C5" w:rsidRPr="002B1A95" w:rsidRDefault="007D17C5" w:rsidP="009558BE">
            <w:pPr>
              <w:pStyle w:val="Tabletext"/>
            </w:pPr>
            <w:r w:rsidRPr="002B1A95">
              <w:t>23</w:t>
            </w:r>
          </w:p>
        </w:tc>
        <w:tc>
          <w:tcPr>
            <w:tcW w:w="1138" w:type="pct"/>
            <w:shd w:val="clear" w:color="auto" w:fill="auto"/>
          </w:tcPr>
          <w:p w:rsidR="007D17C5" w:rsidRPr="002B1A95" w:rsidRDefault="007D17C5" w:rsidP="009558BE">
            <w:pPr>
              <w:pStyle w:val="Tabletext"/>
              <w:spacing w:before="50"/>
            </w:pPr>
            <w:r w:rsidRPr="002B1A95">
              <w:t>40</w:t>
            </w:r>
          </w:p>
        </w:tc>
        <w:tc>
          <w:tcPr>
            <w:tcW w:w="1931" w:type="pct"/>
            <w:shd w:val="clear" w:color="auto" w:fill="auto"/>
            <w:vAlign w:val="bottom"/>
          </w:tcPr>
          <w:p w:rsidR="007D17C5" w:rsidRPr="002B1A95" w:rsidRDefault="007D17C5" w:rsidP="009558BE">
            <w:pPr>
              <w:pStyle w:val="Tabletext"/>
              <w:spacing w:before="50"/>
            </w:pPr>
            <w:r w:rsidRPr="002B1A95">
              <w:t>21.113</w:t>
            </w:r>
          </w:p>
        </w:tc>
        <w:tc>
          <w:tcPr>
            <w:tcW w:w="1499" w:type="pct"/>
            <w:shd w:val="clear" w:color="auto" w:fill="auto"/>
          </w:tcPr>
          <w:p w:rsidR="007D17C5" w:rsidRPr="002B1A95" w:rsidRDefault="007D17C5" w:rsidP="009558BE">
            <w:pPr>
              <w:pStyle w:val="Tabletext"/>
              <w:spacing w:before="50"/>
            </w:pPr>
            <w:r w:rsidRPr="002B1A95">
              <w:t>14.754</w:t>
            </w:r>
          </w:p>
        </w:tc>
      </w:tr>
      <w:tr w:rsidR="007D17C5" w:rsidRPr="002B1A95" w:rsidTr="009558BE">
        <w:tc>
          <w:tcPr>
            <w:tcW w:w="431" w:type="pct"/>
            <w:shd w:val="clear" w:color="auto" w:fill="auto"/>
          </w:tcPr>
          <w:p w:rsidR="007D17C5" w:rsidRPr="002B1A95" w:rsidRDefault="007D17C5" w:rsidP="009558BE">
            <w:pPr>
              <w:pStyle w:val="Tabletext"/>
            </w:pPr>
            <w:r w:rsidRPr="002B1A95">
              <w:t>24</w:t>
            </w:r>
          </w:p>
        </w:tc>
        <w:tc>
          <w:tcPr>
            <w:tcW w:w="1138" w:type="pct"/>
            <w:shd w:val="clear" w:color="auto" w:fill="auto"/>
          </w:tcPr>
          <w:p w:rsidR="007D17C5" w:rsidRPr="002B1A95" w:rsidRDefault="007D17C5" w:rsidP="009558BE">
            <w:pPr>
              <w:pStyle w:val="Tabletext"/>
              <w:spacing w:before="50"/>
            </w:pPr>
            <w:r w:rsidRPr="002B1A95">
              <w:t>41</w:t>
            </w:r>
          </w:p>
        </w:tc>
        <w:tc>
          <w:tcPr>
            <w:tcW w:w="1931" w:type="pct"/>
            <w:shd w:val="clear" w:color="auto" w:fill="auto"/>
            <w:vAlign w:val="bottom"/>
          </w:tcPr>
          <w:p w:rsidR="007D17C5" w:rsidRPr="002B1A95" w:rsidRDefault="007D17C5" w:rsidP="009558BE">
            <w:pPr>
              <w:pStyle w:val="Tabletext"/>
              <w:spacing w:before="50"/>
            </w:pPr>
            <w:r w:rsidRPr="002B1A95">
              <w:t>20.956</w:t>
            </w:r>
          </w:p>
        </w:tc>
        <w:tc>
          <w:tcPr>
            <w:tcW w:w="1499" w:type="pct"/>
            <w:shd w:val="clear" w:color="auto" w:fill="auto"/>
          </w:tcPr>
          <w:p w:rsidR="007D17C5" w:rsidRPr="002B1A95" w:rsidRDefault="007D17C5" w:rsidP="009558BE">
            <w:pPr>
              <w:pStyle w:val="Tabletext"/>
              <w:spacing w:before="50"/>
            </w:pPr>
            <w:r w:rsidRPr="002B1A95">
              <w:t>14.695</w:t>
            </w:r>
          </w:p>
        </w:tc>
      </w:tr>
      <w:tr w:rsidR="007D17C5" w:rsidRPr="002B1A95" w:rsidTr="009558BE">
        <w:tc>
          <w:tcPr>
            <w:tcW w:w="431" w:type="pct"/>
            <w:shd w:val="clear" w:color="auto" w:fill="auto"/>
          </w:tcPr>
          <w:p w:rsidR="007D17C5" w:rsidRPr="002B1A95" w:rsidRDefault="007D17C5" w:rsidP="009558BE">
            <w:pPr>
              <w:pStyle w:val="Tabletext"/>
            </w:pPr>
            <w:r w:rsidRPr="002B1A95">
              <w:t>25</w:t>
            </w:r>
          </w:p>
        </w:tc>
        <w:tc>
          <w:tcPr>
            <w:tcW w:w="1138" w:type="pct"/>
            <w:shd w:val="clear" w:color="auto" w:fill="auto"/>
          </w:tcPr>
          <w:p w:rsidR="007D17C5" w:rsidRPr="002B1A95" w:rsidRDefault="007D17C5" w:rsidP="009558BE">
            <w:pPr>
              <w:pStyle w:val="Tabletext"/>
              <w:spacing w:before="50"/>
            </w:pPr>
            <w:r w:rsidRPr="002B1A95">
              <w:t>42</w:t>
            </w:r>
          </w:p>
        </w:tc>
        <w:tc>
          <w:tcPr>
            <w:tcW w:w="1931" w:type="pct"/>
            <w:shd w:val="clear" w:color="auto" w:fill="auto"/>
            <w:vAlign w:val="bottom"/>
          </w:tcPr>
          <w:p w:rsidR="007D17C5" w:rsidRPr="002B1A95" w:rsidRDefault="007D17C5" w:rsidP="009558BE">
            <w:pPr>
              <w:pStyle w:val="Tabletext"/>
              <w:spacing w:before="50"/>
            </w:pPr>
            <w:r w:rsidRPr="002B1A95">
              <w:t>20.790</w:t>
            </w:r>
          </w:p>
        </w:tc>
        <w:tc>
          <w:tcPr>
            <w:tcW w:w="1499" w:type="pct"/>
            <w:shd w:val="clear" w:color="auto" w:fill="auto"/>
          </w:tcPr>
          <w:p w:rsidR="007D17C5" w:rsidRPr="002B1A95" w:rsidRDefault="007D17C5" w:rsidP="009558BE">
            <w:pPr>
              <w:pStyle w:val="Tabletext"/>
              <w:spacing w:before="50"/>
            </w:pPr>
            <w:r w:rsidRPr="002B1A95">
              <w:t>14.632</w:t>
            </w:r>
          </w:p>
        </w:tc>
      </w:tr>
      <w:tr w:rsidR="007D17C5" w:rsidRPr="002B1A95" w:rsidTr="009558BE">
        <w:tc>
          <w:tcPr>
            <w:tcW w:w="431" w:type="pct"/>
            <w:shd w:val="clear" w:color="auto" w:fill="auto"/>
          </w:tcPr>
          <w:p w:rsidR="007D17C5" w:rsidRPr="002B1A95" w:rsidRDefault="007D17C5" w:rsidP="009558BE">
            <w:pPr>
              <w:pStyle w:val="Tabletext"/>
            </w:pPr>
            <w:r w:rsidRPr="002B1A95">
              <w:t>26</w:t>
            </w:r>
          </w:p>
        </w:tc>
        <w:tc>
          <w:tcPr>
            <w:tcW w:w="1138" w:type="pct"/>
            <w:shd w:val="clear" w:color="auto" w:fill="auto"/>
          </w:tcPr>
          <w:p w:rsidR="007D17C5" w:rsidRPr="002B1A95" w:rsidRDefault="007D17C5" w:rsidP="009558BE">
            <w:pPr>
              <w:pStyle w:val="Tabletext"/>
              <w:spacing w:before="50"/>
            </w:pPr>
            <w:r w:rsidRPr="002B1A95">
              <w:t>43</w:t>
            </w:r>
          </w:p>
        </w:tc>
        <w:tc>
          <w:tcPr>
            <w:tcW w:w="1931" w:type="pct"/>
            <w:shd w:val="clear" w:color="auto" w:fill="auto"/>
            <w:vAlign w:val="bottom"/>
          </w:tcPr>
          <w:p w:rsidR="007D17C5" w:rsidRPr="002B1A95" w:rsidRDefault="007D17C5" w:rsidP="009558BE">
            <w:pPr>
              <w:pStyle w:val="Tabletext"/>
              <w:spacing w:before="50"/>
            </w:pPr>
            <w:r w:rsidRPr="002B1A95">
              <w:t>20.609</w:t>
            </w:r>
          </w:p>
        </w:tc>
        <w:tc>
          <w:tcPr>
            <w:tcW w:w="1499" w:type="pct"/>
            <w:shd w:val="clear" w:color="auto" w:fill="auto"/>
          </w:tcPr>
          <w:p w:rsidR="007D17C5" w:rsidRPr="002B1A95" w:rsidRDefault="007D17C5" w:rsidP="009558BE">
            <w:pPr>
              <w:pStyle w:val="Tabletext"/>
              <w:spacing w:before="50"/>
            </w:pPr>
            <w:r w:rsidRPr="002B1A95">
              <w:t>14.562</w:t>
            </w:r>
          </w:p>
        </w:tc>
      </w:tr>
      <w:tr w:rsidR="007D17C5" w:rsidRPr="002B1A95" w:rsidTr="009558BE">
        <w:tc>
          <w:tcPr>
            <w:tcW w:w="431" w:type="pct"/>
            <w:shd w:val="clear" w:color="auto" w:fill="auto"/>
          </w:tcPr>
          <w:p w:rsidR="007D17C5" w:rsidRPr="002B1A95" w:rsidRDefault="007D17C5" w:rsidP="009558BE">
            <w:pPr>
              <w:pStyle w:val="Tabletext"/>
            </w:pPr>
            <w:r w:rsidRPr="002B1A95">
              <w:t>27</w:t>
            </w:r>
          </w:p>
        </w:tc>
        <w:tc>
          <w:tcPr>
            <w:tcW w:w="1138" w:type="pct"/>
            <w:shd w:val="clear" w:color="auto" w:fill="auto"/>
          </w:tcPr>
          <w:p w:rsidR="007D17C5" w:rsidRPr="002B1A95" w:rsidRDefault="007D17C5" w:rsidP="009558BE">
            <w:pPr>
              <w:pStyle w:val="Tabletext"/>
              <w:spacing w:before="50"/>
            </w:pPr>
            <w:r w:rsidRPr="002B1A95">
              <w:t>44</w:t>
            </w:r>
          </w:p>
        </w:tc>
        <w:tc>
          <w:tcPr>
            <w:tcW w:w="1931" w:type="pct"/>
            <w:shd w:val="clear" w:color="auto" w:fill="auto"/>
            <w:vAlign w:val="bottom"/>
          </w:tcPr>
          <w:p w:rsidR="007D17C5" w:rsidRPr="002B1A95" w:rsidRDefault="007D17C5" w:rsidP="009558BE">
            <w:pPr>
              <w:pStyle w:val="Tabletext"/>
              <w:spacing w:before="50"/>
            </w:pPr>
            <w:r w:rsidRPr="002B1A95">
              <w:t>20.421</w:t>
            </w:r>
          </w:p>
        </w:tc>
        <w:tc>
          <w:tcPr>
            <w:tcW w:w="1499" w:type="pct"/>
            <w:shd w:val="clear" w:color="auto" w:fill="auto"/>
          </w:tcPr>
          <w:p w:rsidR="007D17C5" w:rsidRPr="002B1A95" w:rsidRDefault="007D17C5" w:rsidP="009558BE">
            <w:pPr>
              <w:pStyle w:val="Tabletext"/>
              <w:spacing w:before="50"/>
            </w:pPr>
            <w:r w:rsidRPr="002B1A95">
              <w:t>14.487</w:t>
            </w:r>
          </w:p>
        </w:tc>
      </w:tr>
      <w:tr w:rsidR="007D17C5" w:rsidRPr="002B1A95" w:rsidTr="009558BE">
        <w:tc>
          <w:tcPr>
            <w:tcW w:w="431" w:type="pct"/>
            <w:shd w:val="clear" w:color="auto" w:fill="auto"/>
          </w:tcPr>
          <w:p w:rsidR="007D17C5" w:rsidRPr="002B1A95" w:rsidRDefault="007D17C5" w:rsidP="009558BE">
            <w:pPr>
              <w:pStyle w:val="Tabletext"/>
            </w:pPr>
            <w:r w:rsidRPr="002B1A95">
              <w:t>28</w:t>
            </w:r>
          </w:p>
        </w:tc>
        <w:tc>
          <w:tcPr>
            <w:tcW w:w="1138" w:type="pct"/>
            <w:shd w:val="clear" w:color="auto" w:fill="auto"/>
          </w:tcPr>
          <w:p w:rsidR="007D17C5" w:rsidRPr="002B1A95" w:rsidRDefault="007D17C5" w:rsidP="009558BE">
            <w:pPr>
              <w:pStyle w:val="Tabletext"/>
              <w:spacing w:before="50"/>
            </w:pPr>
            <w:r w:rsidRPr="002B1A95">
              <w:t>45</w:t>
            </w:r>
          </w:p>
        </w:tc>
        <w:tc>
          <w:tcPr>
            <w:tcW w:w="1931" w:type="pct"/>
            <w:shd w:val="clear" w:color="auto" w:fill="auto"/>
            <w:vAlign w:val="bottom"/>
          </w:tcPr>
          <w:p w:rsidR="007D17C5" w:rsidRPr="002B1A95" w:rsidRDefault="007D17C5" w:rsidP="009558BE">
            <w:pPr>
              <w:pStyle w:val="Tabletext"/>
              <w:spacing w:before="50"/>
            </w:pPr>
            <w:r w:rsidRPr="002B1A95">
              <w:t>20.229</w:t>
            </w:r>
          </w:p>
        </w:tc>
        <w:tc>
          <w:tcPr>
            <w:tcW w:w="1499" w:type="pct"/>
            <w:shd w:val="clear" w:color="auto" w:fill="auto"/>
          </w:tcPr>
          <w:p w:rsidR="007D17C5" w:rsidRPr="002B1A95" w:rsidRDefault="007D17C5" w:rsidP="009558BE">
            <w:pPr>
              <w:pStyle w:val="Tabletext"/>
              <w:spacing w:before="50"/>
            </w:pPr>
            <w:r w:rsidRPr="002B1A95">
              <w:t>14.409</w:t>
            </w:r>
          </w:p>
        </w:tc>
      </w:tr>
      <w:tr w:rsidR="007D17C5" w:rsidRPr="002B1A95" w:rsidTr="009558BE">
        <w:tc>
          <w:tcPr>
            <w:tcW w:w="431" w:type="pct"/>
            <w:shd w:val="clear" w:color="auto" w:fill="auto"/>
          </w:tcPr>
          <w:p w:rsidR="007D17C5" w:rsidRPr="002B1A95" w:rsidRDefault="007D17C5" w:rsidP="009558BE">
            <w:pPr>
              <w:pStyle w:val="Tabletext"/>
            </w:pPr>
            <w:r w:rsidRPr="002B1A95">
              <w:t>29</w:t>
            </w:r>
          </w:p>
        </w:tc>
        <w:tc>
          <w:tcPr>
            <w:tcW w:w="1138" w:type="pct"/>
            <w:shd w:val="clear" w:color="auto" w:fill="auto"/>
          </w:tcPr>
          <w:p w:rsidR="007D17C5" w:rsidRPr="002B1A95" w:rsidRDefault="007D17C5" w:rsidP="009558BE">
            <w:pPr>
              <w:pStyle w:val="Tabletext"/>
              <w:spacing w:before="50"/>
            </w:pPr>
            <w:r w:rsidRPr="002B1A95">
              <w:t>46</w:t>
            </w:r>
          </w:p>
        </w:tc>
        <w:tc>
          <w:tcPr>
            <w:tcW w:w="1931" w:type="pct"/>
            <w:shd w:val="clear" w:color="auto" w:fill="auto"/>
            <w:vAlign w:val="bottom"/>
          </w:tcPr>
          <w:p w:rsidR="007D17C5" w:rsidRPr="002B1A95" w:rsidRDefault="007D17C5" w:rsidP="009558BE">
            <w:pPr>
              <w:pStyle w:val="Tabletext"/>
              <w:spacing w:before="50"/>
            </w:pPr>
            <w:r w:rsidRPr="002B1A95">
              <w:t>20.030</w:t>
            </w:r>
          </w:p>
        </w:tc>
        <w:tc>
          <w:tcPr>
            <w:tcW w:w="1499" w:type="pct"/>
            <w:shd w:val="clear" w:color="auto" w:fill="auto"/>
          </w:tcPr>
          <w:p w:rsidR="007D17C5" w:rsidRPr="002B1A95" w:rsidRDefault="007D17C5" w:rsidP="009558BE">
            <w:pPr>
              <w:pStyle w:val="Tabletext"/>
              <w:spacing w:before="50"/>
            </w:pPr>
            <w:r w:rsidRPr="002B1A95">
              <w:t>14.326</w:t>
            </w:r>
          </w:p>
        </w:tc>
      </w:tr>
      <w:tr w:rsidR="007D17C5" w:rsidRPr="002B1A95" w:rsidTr="009558BE">
        <w:tc>
          <w:tcPr>
            <w:tcW w:w="431" w:type="pct"/>
            <w:shd w:val="clear" w:color="auto" w:fill="auto"/>
          </w:tcPr>
          <w:p w:rsidR="007D17C5" w:rsidRPr="002B1A95" w:rsidRDefault="007D17C5" w:rsidP="009558BE">
            <w:pPr>
              <w:pStyle w:val="Tabletext"/>
            </w:pPr>
            <w:r w:rsidRPr="002B1A95">
              <w:t>30</w:t>
            </w:r>
          </w:p>
        </w:tc>
        <w:tc>
          <w:tcPr>
            <w:tcW w:w="1138" w:type="pct"/>
            <w:shd w:val="clear" w:color="auto" w:fill="auto"/>
          </w:tcPr>
          <w:p w:rsidR="007D17C5" w:rsidRPr="002B1A95" w:rsidRDefault="007D17C5" w:rsidP="009558BE">
            <w:pPr>
              <w:pStyle w:val="Tabletext"/>
              <w:spacing w:before="50"/>
            </w:pPr>
            <w:r w:rsidRPr="002B1A95">
              <w:t>47</w:t>
            </w:r>
          </w:p>
        </w:tc>
        <w:tc>
          <w:tcPr>
            <w:tcW w:w="1931" w:type="pct"/>
            <w:shd w:val="clear" w:color="auto" w:fill="auto"/>
            <w:vAlign w:val="bottom"/>
          </w:tcPr>
          <w:p w:rsidR="007D17C5" w:rsidRPr="002B1A95" w:rsidRDefault="007D17C5" w:rsidP="009558BE">
            <w:pPr>
              <w:pStyle w:val="Tabletext"/>
              <w:spacing w:before="50"/>
            </w:pPr>
            <w:r w:rsidRPr="002B1A95">
              <w:t>19.823</w:t>
            </w:r>
          </w:p>
        </w:tc>
        <w:tc>
          <w:tcPr>
            <w:tcW w:w="1499" w:type="pct"/>
            <w:shd w:val="clear" w:color="auto" w:fill="auto"/>
          </w:tcPr>
          <w:p w:rsidR="007D17C5" w:rsidRPr="002B1A95" w:rsidRDefault="007D17C5" w:rsidP="009558BE">
            <w:pPr>
              <w:pStyle w:val="Tabletext"/>
              <w:spacing w:before="50"/>
            </w:pPr>
            <w:r w:rsidRPr="002B1A95">
              <w:t>14.239</w:t>
            </w:r>
          </w:p>
        </w:tc>
      </w:tr>
      <w:tr w:rsidR="007D17C5" w:rsidRPr="002B1A95" w:rsidTr="009558BE">
        <w:tc>
          <w:tcPr>
            <w:tcW w:w="431" w:type="pct"/>
            <w:shd w:val="clear" w:color="auto" w:fill="auto"/>
          </w:tcPr>
          <w:p w:rsidR="007D17C5" w:rsidRPr="002B1A95" w:rsidRDefault="007D17C5" w:rsidP="009558BE">
            <w:pPr>
              <w:pStyle w:val="Tabletext"/>
            </w:pPr>
            <w:r w:rsidRPr="002B1A95">
              <w:t>31</w:t>
            </w:r>
          </w:p>
        </w:tc>
        <w:tc>
          <w:tcPr>
            <w:tcW w:w="1138" w:type="pct"/>
            <w:shd w:val="clear" w:color="auto" w:fill="auto"/>
          </w:tcPr>
          <w:p w:rsidR="007D17C5" w:rsidRPr="002B1A95" w:rsidRDefault="007D17C5" w:rsidP="009558BE">
            <w:pPr>
              <w:pStyle w:val="Tabletext"/>
              <w:spacing w:before="50"/>
            </w:pPr>
            <w:r w:rsidRPr="002B1A95">
              <w:t>48</w:t>
            </w:r>
          </w:p>
        </w:tc>
        <w:tc>
          <w:tcPr>
            <w:tcW w:w="1931" w:type="pct"/>
            <w:shd w:val="clear" w:color="auto" w:fill="auto"/>
            <w:vAlign w:val="bottom"/>
          </w:tcPr>
          <w:p w:rsidR="007D17C5" w:rsidRPr="002B1A95" w:rsidRDefault="007D17C5" w:rsidP="009558BE">
            <w:pPr>
              <w:pStyle w:val="Tabletext"/>
              <w:spacing w:before="50"/>
            </w:pPr>
            <w:r w:rsidRPr="002B1A95">
              <w:t>19.610</w:t>
            </w:r>
          </w:p>
        </w:tc>
        <w:tc>
          <w:tcPr>
            <w:tcW w:w="1499" w:type="pct"/>
            <w:shd w:val="clear" w:color="auto" w:fill="auto"/>
          </w:tcPr>
          <w:p w:rsidR="007D17C5" w:rsidRPr="002B1A95" w:rsidRDefault="007D17C5" w:rsidP="009558BE">
            <w:pPr>
              <w:pStyle w:val="Tabletext"/>
              <w:spacing w:before="50"/>
            </w:pPr>
            <w:r w:rsidRPr="002B1A95">
              <w:t>14.148</w:t>
            </w:r>
          </w:p>
        </w:tc>
      </w:tr>
      <w:tr w:rsidR="007D17C5" w:rsidRPr="002B1A95" w:rsidTr="009558BE">
        <w:tc>
          <w:tcPr>
            <w:tcW w:w="431" w:type="pct"/>
            <w:shd w:val="clear" w:color="auto" w:fill="auto"/>
          </w:tcPr>
          <w:p w:rsidR="007D17C5" w:rsidRPr="002B1A95" w:rsidRDefault="007D17C5" w:rsidP="009558BE">
            <w:pPr>
              <w:pStyle w:val="Tabletext"/>
            </w:pPr>
            <w:r w:rsidRPr="002B1A95">
              <w:t>32</w:t>
            </w:r>
          </w:p>
        </w:tc>
        <w:tc>
          <w:tcPr>
            <w:tcW w:w="1138" w:type="pct"/>
            <w:shd w:val="clear" w:color="auto" w:fill="auto"/>
          </w:tcPr>
          <w:p w:rsidR="007D17C5" w:rsidRPr="002B1A95" w:rsidRDefault="007D17C5" w:rsidP="009558BE">
            <w:pPr>
              <w:pStyle w:val="Tabletext"/>
              <w:spacing w:before="50"/>
            </w:pPr>
            <w:r w:rsidRPr="002B1A95">
              <w:t>49</w:t>
            </w:r>
          </w:p>
        </w:tc>
        <w:tc>
          <w:tcPr>
            <w:tcW w:w="1931" w:type="pct"/>
            <w:shd w:val="clear" w:color="auto" w:fill="auto"/>
            <w:vAlign w:val="bottom"/>
          </w:tcPr>
          <w:p w:rsidR="007D17C5" w:rsidRPr="002B1A95" w:rsidRDefault="007D17C5" w:rsidP="009558BE">
            <w:pPr>
              <w:pStyle w:val="Tabletext"/>
              <w:spacing w:before="50"/>
            </w:pPr>
            <w:r w:rsidRPr="002B1A95">
              <w:t>19.391</w:t>
            </w:r>
          </w:p>
        </w:tc>
        <w:tc>
          <w:tcPr>
            <w:tcW w:w="1499" w:type="pct"/>
            <w:shd w:val="clear" w:color="auto" w:fill="auto"/>
          </w:tcPr>
          <w:p w:rsidR="007D17C5" w:rsidRPr="002B1A95" w:rsidRDefault="007D17C5" w:rsidP="009558BE">
            <w:pPr>
              <w:pStyle w:val="Tabletext"/>
              <w:spacing w:before="50"/>
            </w:pPr>
            <w:r w:rsidRPr="002B1A95">
              <w:t>14.052</w:t>
            </w:r>
          </w:p>
        </w:tc>
      </w:tr>
      <w:tr w:rsidR="007D17C5" w:rsidRPr="002B1A95" w:rsidTr="009558BE">
        <w:tc>
          <w:tcPr>
            <w:tcW w:w="431" w:type="pct"/>
            <w:shd w:val="clear" w:color="auto" w:fill="auto"/>
          </w:tcPr>
          <w:p w:rsidR="007D17C5" w:rsidRPr="002B1A95" w:rsidRDefault="007D17C5" w:rsidP="009558BE">
            <w:pPr>
              <w:pStyle w:val="Tabletext"/>
            </w:pPr>
            <w:r w:rsidRPr="002B1A95">
              <w:t>33</w:t>
            </w:r>
          </w:p>
        </w:tc>
        <w:tc>
          <w:tcPr>
            <w:tcW w:w="1138" w:type="pct"/>
            <w:shd w:val="clear" w:color="auto" w:fill="auto"/>
          </w:tcPr>
          <w:p w:rsidR="007D17C5" w:rsidRPr="002B1A95" w:rsidRDefault="007D17C5" w:rsidP="009558BE">
            <w:pPr>
              <w:pStyle w:val="Tabletext"/>
              <w:spacing w:before="50"/>
            </w:pPr>
            <w:r w:rsidRPr="002B1A95">
              <w:t>50</w:t>
            </w:r>
          </w:p>
        </w:tc>
        <w:tc>
          <w:tcPr>
            <w:tcW w:w="1931" w:type="pct"/>
            <w:shd w:val="clear" w:color="auto" w:fill="auto"/>
            <w:vAlign w:val="bottom"/>
          </w:tcPr>
          <w:p w:rsidR="007D17C5" w:rsidRPr="002B1A95" w:rsidRDefault="007D17C5" w:rsidP="009558BE">
            <w:pPr>
              <w:pStyle w:val="Tabletext"/>
              <w:spacing w:before="50"/>
            </w:pPr>
            <w:r w:rsidRPr="002B1A95">
              <w:t>19.164</w:t>
            </w:r>
          </w:p>
        </w:tc>
        <w:tc>
          <w:tcPr>
            <w:tcW w:w="1499" w:type="pct"/>
            <w:shd w:val="clear" w:color="auto" w:fill="auto"/>
          </w:tcPr>
          <w:p w:rsidR="007D17C5" w:rsidRPr="002B1A95" w:rsidRDefault="007D17C5" w:rsidP="009558BE">
            <w:pPr>
              <w:pStyle w:val="Tabletext"/>
              <w:spacing w:before="50"/>
            </w:pPr>
            <w:r w:rsidRPr="002B1A95">
              <w:t>13.950</w:t>
            </w:r>
          </w:p>
        </w:tc>
      </w:tr>
      <w:tr w:rsidR="007D17C5" w:rsidRPr="002B1A95" w:rsidTr="009558BE">
        <w:tc>
          <w:tcPr>
            <w:tcW w:w="431" w:type="pct"/>
            <w:shd w:val="clear" w:color="auto" w:fill="auto"/>
          </w:tcPr>
          <w:p w:rsidR="007D17C5" w:rsidRPr="002B1A95" w:rsidRDefault="007D17C5" w:rsidP="009558BE">
            <w:pPr>
              <w:pStyle w:val="Tabletext"/>
            </w:pPr>
            <w:r w:rsidRPr="002B1A95">
              <w:t>34</w:t>
            </w:r>
          </w:p>
        </w:tc>
        <w:tc>
          <w:tcPr>
            <w:tcW w:w="1138" w:type="pct"/>
            <w:shd w:val="clear" w:color="auto" w:fill="auto"/>
          </w:tcPr>
          <w:p w:rsidR="007D17C5" w:rsidRPr="002B1A95" w:rsidRDefault="007D17C5" w:rsidP="009558BE">
            <w:pPr>
              <w:pStyle w:val="Tabletext"/>
              <w:spacing w:before="50"/>
            </w:pPr>
            <w:r w:rsidRPr="002B1A95">
              <w:t>51</w:t>
            </w:r>
          </w:p>
        </w:tc>
        <w:tc>
          <w:tcPr>
            <w:tcW w:w="1931" w:type="pct"/>
            <w:shd w:val="clear" w:color="auto" w:fill="auto"/>
            <w:vAlign w:val="bottom"/>
          </w:tcPr>
          <w:p w:rsidR="007D17C5" w:rsidRPr="002B1A95" w:rsidRDefault="007D17C5" w:rsidP="009558BE">
            <w:pPr>
              <w:pStyle w:val="Tabletext"/>
              <w:spacing w:before="50"/>
            </w:pPr>
            <w:r w:rsidRPr="002B1A95">
              <w:t>18.931</w:t>
            </w:r>
          </w:p>
        </w:tc>
        <w:tc>
          <w:tcPr>
            <w:tcW w:w="1499" w:type="pct"/>
            <w:shd w:val="clear" w:color="auto" w:fill="auto"/>
          </w:tcPr>
          <w:p w:rsidR="007D17C5" w:rsidRPr="002B1A95" w:rsidRDefault="007D17C5" w:rsidP="009558BE">
            <w:pPr>
              <w:pStyle w:val="Tabletext"/>
              <w:spacing w:before="50"/>
            </w:pPr>
            <w:r w:rsidRPr="002B1A95">
              <w:t>13.844</w:t>
            </w:r>
          </w:p>
        </w:tc>
      </w:tr>
      <w:tr w:rsidR="007D17C5" w:rsidRPr="002B1A95" w:rsidTr="009558BE">
        <w:tc>
          <w:tcPr>
            <w:tcW w:w="431" w:type="pct"/>
            <w:shd w:val="clear" w:color="auto" w:fill="auto"/>
          </w:tcPr>
          <w:p w:rsidR="007D17C5" w:rsidRPr="002B1A95" w:rsidRDefault="007D17C5" w:rsidP="009558BE">
            <w:pPr>
              <w:pStyle w:val="Tabletext"/>
            </w:pPr>
            <w:r w:rsidRPr="002B1A95">
              <w:t>35</w:t>
            </w:r>
          </w:p>
        </w:tc>
        <w:tc>
          <w:tcPr>
            <w:tcW w:w="1138" w:type="pct"/>
            <w:shd w:val="clear" w:color="auto" w:fill="auto"/>
          </w:tcPr>
          <w:p w:rsidR="007D17C5" w:rsidRPr="002B1A95" w:rsidRDefault="007D17C5" w:rsidP="009558BE">
            <w:pPr>
              <w:pStyle w:val="Tabletext"/>
              <w:spacing w:before="50"/>
            </w:pPr>
            <w:r w:rsidRPr="002B1A95">
              <w:t>52</w:t>
            </w:r>
          </w:p>
        </w:tc>
        <w:tc>
          <w:tcPr>
            <w:tcW w:w="1931" w:type="pct"/>
            <w:shd w:val="clear" w:color="auto" w:fill="auto"/>
            <w:vAlign w:val="bottom"/>
          </w:tcPr>
          <w:p w:rsidR="007D17C5" w:rsidRPr="002B1A95" w:rsidRDefault="007D17C5" w:rsidP="009558BE">
            <w:pPr>
              <w:pStyle w:val="Tabletext"/>
              <w:spacing w:before="50"/>
            </w:pPr>
            <w:r w:rsidRPr="002B1A95">
              <w:t>18.691</w:t>
            </w:r>
          </w:p>
        </w:tc>
        <w:tc>
          <w:tcPr>
            <w:tcW w:w="1499" w:type="pct"/>
            <w:shd w:val="clear" w:color="auto" w:fill="auto"/>
          </w:tcPr>
          <w:p w:rsidR="007D17C5" w:rsidRPr="002B1A95" w:rsidRDefault="007D17C5" w:rsidP="009558BE">
            <w:pPr>
              <w:pStyle w:val="Tabletext"/>
              <w:spacing w:before="50"/>
            </w:pPr>
            <w:r w:rsidRPr="002B1A95">
              <w:t>13.732</w:t>
            </w:r>
          </w:p>
        </w:tc>
      </w:tr>
      <w:tr w:rsidR="007D17C5" w:rsidRPr="002B1A95" w:rsidTr="009558BE">
        <w:tc>
          <w:tcPr>
            <w:tcW w:w="431" w:type="pct"/>
            <w:shd w:val="clear" w:color="auto" w:fill="auto"/>
          </w:tcPr>
          <w:p w:rsidR="007D17C5" w:rsidRPr="002B1A95" w:rsidRDefault="007D17C5" w:rsidP="009558BE">
            <w:pPr>
              <w:pStyle w:val="Tabletext"/>
            </w:pPr>
            <w:r w:rsidRPr="002B1A95">
              <w:t>36</w:t>
            </w:r>
          </w:p>
        </w:tc>
        <w:tc>
          <w:tcPr>
            <w:tcW w:w="1138" w:type="pct"/>
            <w:shd w:val="clear" w:color="auto" w:fill="auto"/>
          </w:tcPr>
          <w:p w:rsidR="007D17C5" w:rsidRPr="002B1A95" w:rsidRDefault="007D17C5" w:rsidP="009558BE">
            <w:pPr>
              <w:pStyle w:val="Tabletext"/>
              <w:spacing w:before="50"/>
            </w:pPr>
            <w:r w:rsidRPr="002B1A95">
              <w:t>53</w:t>
            </w:r>
          </w:p>
        </w:tc>
        <w:tc>
          <w:tcPr>
            <w:tcW w:w="1931" w:type="pct"/>
            <w:shd w:val="clear" w:color="auto" w:fill="auto"/>
            <w:vAlign w:val="bottom"/>
          </w:tcPr>
          <w:p w:rsidR="007D17C5" w:rsidRPr="002B1A95" w:rsidRDefault="007D17C5" w:rsidP="009558BE">
            <w:pPr>
              <w:pStyle w:val="Tabletext"/>
              <w:spacing w:before="50"/>
            </w:pPr>
            <w:r w:rsidRPr="002B1A95">
              <w:t>18.443</w:t>
            </w:r>
          </w:p>
        </w:tc>
        <w:tc>
          <w:tcPr>
            <w:tcW w:w="1499" w:type="pct"/>
            <w:shd w:val="clear" w:color="auto" w:fill="auto"/>
          </w:tcPr>
          <w:p w:rsidR="007D17C5" w:rsidRPr="002B1A95" w:rsidRDefault="007D17C5" w:rsidP="009558BE">
            <w:pPr>
              <w:pStyle w:val="Tabletext"/>
              <w:spacing w:before="50"/>
            </w:pPr>
            <w:r w:rsidRPr="002B1A95">
              <w:t>13.615</w:t>
            </w:r>
          </w:p>
        </w:tc>
      </w:tr>
      <w:tr w:rsidR="007D17C5" w:rsidRPr="002B1A95" w:rsidTr="009558BE">
        <w:tc>
          <w:tcPr>
            <w:tcW w:w="431" w:type="pct"/>
            <w:shd w:val="clear" w:color="auto" w:fill="auto"/>
          </w:tcPr>
          <w:p w:rsidR="007D17C5" w:rsidRPr="002B1A95" w:rsidRDefault="007D17C5" w:rsidP="009558BE">
            <w:pPr>
              <w:pStyle w:val="Tabletext"/>
            </w:pPr>
            <w:r w:rsidRPr="002B1A95">
              <w:t>37</w:t>
            </w:r>
          </w:p>
        </w:tc>
        <w:tc>
          <w:tcPr>
            <w:tcW w:w="1138" w:type="pct"/>
            <w:shd w:val="clear" w:color="auto" w:fill="auto"/>
          </w:tcPr>
          <w:p w:rsidR="007D17C5" w:rsidRPr="002B1A95" w:rsidRDefault="007D17C5" w:rsidP="009558BE">
            <w:pPr>
              <w:pStyle w:val="Tabletext"/>
              <w:spacing w:before="50"/>
            </w:pPr>
            <w:r w:rsidRPr="002B1A95">
              <w:t>54</w:t>
            </w:r>
          </w:p>
        </w:tc>
        <w:tc>
          <w:tcPr>
            <w:tcW w:w="1931" w:type="pct"/>
            <w:shd w:val="clear" w:color="auto" w:fill="auto"/>
            <w:vAlign w:val="bottom"/>
          </w:tcPr>
          <w:p w:rsidR="007D17C5" w:rsidRPr="002B1A95" w:rsidRDefault="007D17C5" w:rsidP="009558BE">
            <w:pPr>
              <w:pStyle w:val="Tabletext"/>
              <w:spacing w:before="50"/>
            </w:pPr>
            <w:r w:rsidRPr="002B1A95">
              <w:t>18.189</w:t>
            </w:r>
          </w:p>
        </w:tc>
        <w:tc>
          <w:tcPr>
            <w:tcW w:w="1499" w:type="pct"/>
            <w:shd w:val="clear" w:color="auto" w:fill="auto"/>
          </w:tcPr>
          <w:p w:rsidR="007D17C5" w:rsidRPr="002B1A95" w:rsidRDefault="007D17C5" w:rsidP="009558BE">
            <w:pPr>
              <w:pStyle w:val="Tabletext"/>
              <w:spacing w:before="50"/>
            </w:pPr>
            <w:r w:rsidRPr="002B1A95">
              <w:t>13.492</w:t>
            </w:r>
          </w:p>
        </w:tc>
      </w:tr>
      <w:tr w:rsidR="007D17C5" w:rsidRPr="002B1A95" w:rsidTr="009558BE">
        <w:tc>
          <w:tcPr>
            <w:tcW w:w="431" w:type="pct"/>
            <w:shd w:val="clear" w:color="auto" w:fill="auto"/>
          </w:tcPr>
          <w:p w:rsidR="007D17C5" w:rsidRPr="002B1A95" w:rsidRDefault="007D17C5" w:rsidP="009558BE">
            <w:pPr>
              <w:pStyle w:val="Tabletext"/>
            </w:pPr>
            <w:r w:rsidRPr="002B1A95">
              <w:t>38</w:t>
            </w:r>
          </w:p>
        </w:tc>
        <w:tc>
          <w:tcPr>
            <w:tcW w:w="1138" w:type="pct"/>
            <w:shd w:val="clear" w:color="auto" w:fill="auto"/>
          </w:tcPr>
          <w:p w:rsidR="007D17C5" w:rsidRPr="002B1A95" w:rsidRDefault="007D17C5" w:rsidP="009558BE">
            <w:pPr>
              <w:pStyle w:val="Tabletext"/>
              <w:spacing w:before="50"/>
            </w:pPr>
            <w:r w:rsidRPr="002B1A95">
              <w:t>55</w:t>
            </w:r>
          </w:p>
        </w:tc>
        <w:tc>
          <w:tcPr>
            <w:tcW w:w="1931" w:type="pct"/>
            <w:shd w:val="clear" w:color="auto" w:fill="auto"/>
            <w:vAlign w:val="bottom"/>
          </w:tcPr>
          <w:p w:rsidR="007D17C5" w:rsidRPr="002B1A95" w:rsidRDefault="007D17C5" w:rsidP="009558BE">
            <w:pPr>
              <w:pStyle w:val="Tabletext"/>
              <w:spacing w:before="50"/>
            </w:pPr>
            <w:r w:rsidRPr="002B1A95">
              <w:t>17.927</w:t>
            </w:r>
          </w:p>
        </w:tc>
        <w:tc>
          <w:tcPr>
            <w:tcW w:w="1499" w:type="pct"/>
            <w:shd w:val="clear" w:color="auto" w:fill="auto"/>
          </w:tcPr>
          <w:p w:rsidR="007D17C5" w:rsidRPr="002B1A95" w:rsidRDefault="007D17C5" w:rsidP="009558BE">
            <w:pPr>
              <w:pStyle w:val="Tabletext"/>
              <w:spacing w:before="50"/>
            </w:pPr>
            <w:r w:rsidRPr="002B1A95">
              <w:t>13.364</w:t>
            </w:r>
          </w:p>
        </w:tc>
      </w:tr>
      <w:tr w:rsidR="007D17C5" w:rsidRPr="002B1A95" w:rsidTr="009558BE">
        <w:tc>
          <w:tcPr>
            <w:tcW w:w="431" w:type="pct"/>
            <w:shd w:val="clear" w:color="auto" w:fill="auto"/>
          </w:tcPr>
          <w:p w:rsidR="007D17C5" w:rsidRPr="002B1A95" w:rsidRDefault="007D17C5" w:rsidP="009558BE">
            <w:pPr>
              <w:pStyle w:val="Tabletext"/>
            </w:pPr>
            <w:r w:rsidRPr="002B1A95">
              <w:t>39</w:t>
            </w:r>
          </w:p>
        </w:tc>
        <w:tc>
          <w:tcPr>
            <w:tcW w:w="1138" w:type="pct"/>
            <w:shd w:val="clear" w:color="auto" w:fill="auto"/>
          </w:tcPr>
          <w:p w:rsidR="007D17C5" w:rsidRPr="002B1A95" w:rsidRDefault="007D17C5" w:rsidP="009558BE">
            <w:pPr>
              <w:pStyle w:val="Tabletext"/>
              <w:spacing w:before="50"/>
            </w:pPr>
            <w:r w:rsidRPr="002B1A95">
              <w:t>56</w:t>
            </w:r>
          </w:p>
        </w:tc>
        <w:tc>
          <w:tcPr>
            <w:tcW w:w="1931" w:type="pct"/>
            <w:shd w:val="clear" w:color="auto" w:fill="auto"/>
            <w:vAlign w:val="bottom"/>
          </w:tcPr>
          <w:p w:rsidR="007D17C5" w:rsidRPr="002B1A95" w:rsidRDefault="007D17C5" w:rsidP="009558BE">
            <w:pPr>
              <w:pStyle w:val="Tabletext"/>
              <w:spacing w:before="50"/>
            </w:pPr>
            <w:r w:rsidRPr="002B1A95">
              <w:t>17.659</w:t>
            </w:r>
          </w:p>
        </w:tc>
        <w:tc>
          <w:tcPr>
            <w:tcW w:w="1499" w:type="pct"/>
            <w:shd w:val="clear" w:color="auto" w:fill="auto"/>
          </w:tcPr>
          <w:p w:rsidR="007D17C5" w:rsidRPr="002B1A95" w:rsidRDefault="007D17C5" w:rsidP="009558BE">
            <w:pPr>
              <w:pStyle w:val="Tabletext"/>
              <w:spacing w:before="50"/>
            </w:pPr>
            <w:r w:rsidRPr="002B1A95">
              <w:t>13.230</w:t>
            </w:r>
          </w:p>
        </w:tc>
      </w:tr>
      <w:tr w:rsidR="007D17C5" w:rsidRPr="002B1A95" w:rsidTr="009558BE">
        <w:tc>
          <w:tcPr>
            <w:tcW w:w="431" w:type="pct"/>
            <w:shd w:val="clear" w:color="auto" w:fill="auto"/>
          </w:tcPr>
          <w:p w:rsidR="007D17C5" w:rsidRPr="002B1A95" w:rsidRDefault="007D17C5" w:rsidP="009558BE">
            <w:pPr>
              <w:pStyle w:val="Tabletext"/>
            </w:pPr>
            <w:r w:rsidRPr="002B1A95">
              <w:t>40</w:t>
            </w:r>
          </w:p>
        </w:tc>
        <w:tc>
          <w:tcPr>
            <w:tcW w:w="1138" w:type="pct"/>
            <w:shd w:val="clear" w:color="auto" w:fill="auto"/>
          </w:tcPr>
          <w:p w:rsidR="007D17C5" w:rsidRPr="002B1A95" w:rsidRDefault="007D17C5" w:rsidP="009558BE">
            <w:pPr>
              <w:pStyle w:val="Tabletext"/>
              <w:spacing w:before="50"/>
            </w:pPr>
            <w:r w:rsidRPr="002B1A95">
              <w:t>57</w:t>
            </w:r>
          </w:p>
        </w:tc>
        <w:tc>
          <w:tcPr>
            <w:tcW w:w="1931" w:type="pct"/>
            <w:shd w:val="clear" w:color="auto" w:fill="auto"/>
            <w:vAlign w:val="bottom"/>
          </w:tcPr>
          <w:p w:rsidR="007D17C5" w:rsidRPr="002B1A95" w:rsidRDefault="007D17C5" w:rsidP="009558BE">
            <w:pPr>
              <w:pStyle w:val="Tabletext"/>
              <w:spacing w:before="50"/>
            </w:pPr>
            <w:r w:rsidRPr="002B1A95">
              <w:t>17.383</w:t>
            </w:r>
          </w:p>
        </w:tc>
        <w:tc>
          <w:tcPr>
            <w:tcW w:w="1499" w:type="pct"/>
            <w:shd w:val="clear" w:color="auto" w:fill="auto"/>
          </w:tcPr>
          <w:p w:rsidR="007D17C5" w:rsidRPr="002B1A95" w:rsidRDefault="007D17C5" w:rsidP="009558BE">
            <w:pPr>
              <w:pStyle w:val="Tabletext"/>
              <w:spacing w:before="50"/>
            </w:pPr>
            <w:r w:rsidRPr="002B1A95">
              <w:t>13.089</w:t>
            </w:r>
          </w:p>
        </w:tc>
      </w:tr>
      <w:tr w:rsidR="007D17C5" w:rsidRPr="002B1A95" w:rsidTr="009558BE">
        <w:tc>
          <w:tcPr>
            <w:tcW w:w="431" w:type="pct"/>
            <w:shd w:val="clear" w:color="auto" w:fill="auto"/>
          </w:tcPr>
          <w:p w:rsidR="007D17C5" w:rsidRPr="002B1A95" w:rsidRDefault="007D17C5" w:rsidP="009558BE">
            <w:pPr>
              <w:pStyle w:val="Tabletext"/>
            </w:pPr>
            <w:r w:rsidRPr="002B1A95">
              <w:t>41</w:t>
            </w:r>
          </w:p>
        </w:tc>
        <w:tc>
          <w:tcPr>
            <w:tcW w:w="1138" w:type="pct"/>
            <w:shd w:val="clear" w:color="auto" w:fill="auto"/>
          </w:tcPr>
          <w:p w:rsidR="007D17C5" w:rsidRPr="002B1A95" w:rsidRDefault="007D17C5" w:rsidP="009558BE">
            <w:pPr>
              <w:pStyle w:val="Tabletext"/>
              <w:spacing w:before="50"/>
            </w:pPr>
            <w:r w:rsidRPr="002B1A95">
              <w:t>58</w:t>
            </w:r>
          </w:p>
        </w:tc>
        <w:tc>
          <w:tcPr>
            <w:tcW w:w="1931" w:type="pct"/>
            <w:shd w:val="clear" w:color="auto" w:fill="auto"/>
            <w:vAlign w:val="bottom"/>
          </w:tcPr>
          <w:p w:rsidR="007D17C5" w:rsidRPr="002B1A95" w:rsidRDefault="007D17C5" w:rsidP="009558BE">
            <w:pPr>
              <w:pStyle w:val="Tabletext"/>
              <w:spacing w:before="50"/>
            </w:pPr>
            <w:r w:rsidRPr="002B1A95">
              <w:t>17.100</w:t>
            </w:r>
          </w:p>
        </w:tc>
        <w:tc>
          <w:tcPr>
            <w:tcW w:w="1499" w:type="pct"/>
            <w:shd w:val="clear" w:color="auto" w:fill="auto"/>
          </w:tcPr>
          <w:p w:rsidR="007D17C5" w:rsidRPr="002B1A95" w:rsidRDefault="007D17C5" w:rsidP="009558BE">
            <w:pPr>
              <w:pStyle w:val="Tabletext"/>
              <w:spacing w:before="50"/>
            </w:pPr>
            <w:r w:rsidRPr="002B1A95">
              <w:t>12.943</w:t>
            </w:r>
          </w:p>
        </w:tc>
      </w:tr>
      <w:tr w:rsidR="007D17C5" w:rsidRPr="002B1A95" w:rsidTr="009558BE">
        <w:tc>
          <w:tcPr>
            <w:tcW w:w="431" w:type="pct"/>
            <w:shd w:val="clear" w:color="auto" w:fill="auto"/>
          </w:tcPr>
          <w:p w:rsidR="007D17C5" w:rsidRPr="002B1A95" w:rsidRDefault="007D17C5" w:rsidP="009558BE">
            <w:pPr>
              <w:pStyle w:val="Tabletext"/>
            </w:pPr>
            <w:r w:rsidRPr="002B1A95">
              <w:t>42</w:t>
            </w:r>
          </w:p>
        </w:tc>
        <w:tc>
          <w:tcPr>
            <w:tcW w:w="1138" w:type="pct"/>
            <w:shd w:val="clear" w:color="auto" w:fill="auto"/>
          </w:tcPr>
          <w:p w:rsidR="007D17C5" w:rsidRPr="002B1A95" w:rsidRDefault="007D17C5" w:rsidP="009558BE">
            <w:pPr>
              <w:pStyle w:val="Tabletext"/>
              <w:spacing w:before="50"/>
            </w:pPr>
            <w:r w:rsidRPr="002B1A95">
              <w:t>59</w:t>
            </w:r>
          </w:p>
        </w:tc>
        <w:tc>
          <w:tcPr>
            <w:tcW w:w="1931" w:type="pct"/>
            <w:shd w:val="clear" w:color="auto" w:fill="auto"/>
            <w:vAlign w:val="bottom"/>
          </w:tcPr>
          <w:p w:rsidR="007D17C5" w:rsidRPr="002B1A95" w:rsidRDefault="007D17C5" w:rsidP="009558BE">
            <w:pPr>
              <w:pStyle w:val="Tabletext"/>
              <w:spacing w:before="50"/>
            </w:pPr>
            <w:r w:rsidRPr="002B1A95">
              <w:t>16.810</w:t>
            </w:r>
          </w:p>
        </w:tc>
        <w:tc>
          <w:tcPr>
            <w:tcW w:w="1499" w:type="pct"/>
            <w:shd w:val="clear" w:color="auto" w:fill="auto"/>
          </w:tcPr>
          <w:p w:rsidR="007D17C5" w:rsidRPr="002B1A95" w:rsidRDefault="007D17C5" w:rsidP="009558BE">
            <w:pPr>
              <w:pStyle w:val="Tabletext"/>
              <w:spacing w:before="50"/>
            </w:pPr>
            <w:r w:rsidRPr="002B1A95">
              <w:t>12.790</w:t>
            </w:r>
          </w:p>
        </w:tc>
      </w:tr>
      <w:tr w:rsidR="007D17C5" w:rsidRPr="002B1A95" w:rsidTr="009558BE">
        <w:tc>
          <w:tcPr>
            <w:tcW w:w="431" w:type="pct"/>
            <w:shd w:val="clear" w:color="auto" w:fill="auto"/>
          </w:tcPr>
          <w:p w:rsidR="007D17C5" w:rsidRPr="002B1A95" w:rsidRDefault="007D17C5" w:rsidP="009558BE">
            <w:pPr>
              <w:pStyle w:val="Tabletext"/>
            </w:pPr>
            <w:r w:rsidRPr="002B1A95">
              <w:t>43</w:t>
            </w:r>
          </w:p>
        </w:tc>
        <w:tc>
          <w:tcPr>
            <w:tcW w:w="1138" w:type="pct"/>
            <w:shd w:val="clear" w:color="auto" w:fill="auto"/>
          </w:tcPr>
          <w:p w:rsidR="007D17C5" w:rsidRPr="002B1A95" w:rsidRDefault="007D17C5" w:rsidP="009558BE">
            <w:pPr>
              <w:pStyle w:val="Tabletext"/>
              <w:spacing w:before="50"/>
            </w:pPr>
            <w:r w:rsidRPr="002B1A95">
              <w:t>60</w:t>
            </w:r>
          </w:p>
        </w:tc>
        <w:tc>
          <w:tcPr>
            <w:tcW w:w="1931" w:type="pct"/>
            <w:shd w:val="clear" w:color="auto" w:fill="auto"/>
            <w:vAlign w:val="bottom"/>
          </w:tcPr>
          <w:p w:rsidR="007D17C5" w:rsidRPr="002B1A95" w:rsidRDefault="007D17C5" w:rsidP="009558BE">
            <w:pPr>
              <w:pStyle w:val="Tabletext"/>
              <w:spacing w:before="50"/>
            </w:pPr>
            <w:r w:rsidRPr="002B1A95">
              <w:t>16.513</w:t>
            </w:r>
          </w:p>
        </w:tc>
        <w:tc>
          <w:tcPr>
            <w:tcW w:w="1499" w:type="pct"/>
            <w:shd w:val="clear" w:color="auto" w:fill="auto"/>
          </w:tcPr>
          <w:p w:rsidR="007D17C5" w:rsidRPr="002B1A95" w:rsidRDefault="007D17C5" w:rsidP="009558BE">
            <w:pPr>
              <w:pStyle w:val="Tabletext"/>
              <w:spacing w:before="50"/>
            </w:pPr>
            <w:r w:rsidRPr="002B1A95">
              <w:t>12.631</w:t>
            </w:r>
          </w:p>
        </w:tc>
      </w:tr>
      <w:tr w:rsidR="007D17C5" w:rsidRPr="002B1A95" w:rsidTr="009558BE">
        <w:tc>
          <w:tcPr>
            <w:tcW w:w="431" w:type="pct"/>
            <w:shd w:val="clear" w:color="auto" w:fill="auto"/>
          </w:tcPr>
          <w:p w:rsidR="007D17C5" w:rsidRPr="002B1A95" w:rsidRDefault="007D17C5" w:rsidP="009558BE">
            <w:pPr>
              <w:pStyle w:val="Tabletext"/>
            </w:pPr>
            <w:r w:rsidRPr="002B1A95">
              <w:t>44</w:t>
            </w:r>
          </w:p>
        </w:tc>
        <w:tc>
          <w:tcPr>
            <w:tcW w:w="1138" w:type="pct"/>
            <w:shd w:val="clear" w:color="auto" w:fill="auto"/>
          </w:tcPr>
          <w:p w:rsidR="007D17C5" w:rsidRPr="002B1A95" w:rsidRDefault="007D17C5" w:rsidP="009558BE">
            <w:pPr>
              <w:pStyle w:val="Tabletext"/>
              <w:spacing w:before="50"/>
            </w:pPr>
            <w:r w:rsidRPr="002B1A95">
              <w:t>61</w:t>
            </w:r>
          </w:p>
        </w:tc>
        <w:tc>
          <w:tcPr>
            <w:tcW w:w="1931" w:type="pct"/>
            <w:shd w:val="clear" w:color="auto" w:fill="auto"/>
            <w:vAlign w:val="bottom"/>
          </w:tcPr>
          <w:p w:rsidR="007D17C5" w:rsidRPr="002B1A95" w:rsidRDefault="007D17C5" w:rsidP="009558BE">
            <w:pPr>
              <w:pStyle w:val="Tabletext"/>
              <w:spacing w:before="50"/>
            </w:pPr>
            <w:r w:rsidRPr="002B1A95">
              <w:t>16.209</w:t>
            </w:r>
          </w:p>
        </w:tc>
        <w:tc>
          <w:tcPr>
            <w:tcW w:w="1499" w:type="pct"/>
            <w:shd w:val="clear" w:color="auto" w:fill="auto"/>
          </w:tcPr>
          <w:p w:rsidR="007D17C5" w:rsidRPr="002B1A95" w:rsidRDefault="007D17C5" w:rsidP="009558BE">
            <w:pPr>
              <w:pStyle w:val="Tabletext"/>
              <w:spacing w:before="50"/>
            </w:pPr>
            <w:r w:rsidRPr="002B1A95">
              <w:t>12.465</w:t>
            </w:r>
          </w:p>
        </w:tc>
      </w:tr>
      <w:tr w:rsidR="007D17C5" w:rsidRPr="002B1A95" w:rsidTr="009558BE">
        <w:tc>
          <w:tcPr>
            <w:tcW w:w="431" w:type="pct"/>
            <w:shd w:val="clear" w:color="auto" w:fill="auto"/>
          </w:tcPr>
          <w:p w:rsidR="007D17C5" w:rsidRPr="002B1A95" w:rsidRDefault="007D17C5" w:rsidP="009558BE">
            <w:pPr>
              <w:pStyle w:val="Tabletext"/>
            </w:pPr>
            <w:r w:rsidRPr="002B1A95">
              <w:t>45</w:t>
            </w:r>
          </w:p>
        </w:tc>
        <w:tc>
          <w:tcPr>
            <w:tcW w:w="1138" w:type="pct"/>
            <w:shd w:val="clear" w:color="auto" w:fill="auto"/>
          </w:tcPr>
          <w:p w:rsidR="007D17C5" w:rsidRPr="002B1A95" w:rsidRDefault="007D17C5" w:rsidP="009558BE">
            <w:pPr>
              <w:pStyle w:val="Tabletext"/>
              <w:spacing w:before="50"/>
            </w:pPr>
            <w:r w:rsidRPr="002B1A95">
              <w:t>62</w:t>
            </w:r>
          </w:p>
        </w:tc>
        <w:tc>
          <w:tcPr>
            <w:tcW w:w="1931" w:type="pct"/>
            <w:shd w:val="clear" w:color="auto" w:fill="auto"/>
            <w:vAlign w:val="bottom"/>
          </w:tcPr>
          <w:p w:rsidR="007D17C5" w:rsidRPr="002B1A95" w:rsidRDefault="007D17C5" w:rsidP="009558BE">
            <w:pPr>
              <w:pStyle w:val="Tabletext"/>
              <w:spacing w:before="50"/>
            </w:pPr>
            <w:r w:rsidRPr="002B1A95">
              <w:t>15.891</w:t>
            </w:r>
          </w:p>
        </w:tc>
        <w:tc>
          <w:tcPr>
            <w:tcW w:w="1499" w:type="pct"/>
            <w:shd w:val="clear" w:color="auto" w:fill="auto"/>
          </w:tcPr>
          <w:p w:rsidR="007D17C5" w:rsidRPr="002B1A95" w:rsidRDefault="007D17C5" w:rsidP="009558BE">
            <w:pPr>
              <w:pStyle w:val="Tabletext"/>
              <w:spacing w:before="50"/>
            </w:pPr>
            <w:r w:rsidRPr="002B1A95">
              <w:t>12.287</w:t>
            </w:r>
          </w:p>
        </w:tc>
      </w:tr>
      <w:tr w:rsidR="007D17C5" w:rsidRPr="002B1A95" w:rsidTr="009558BE">
        <w:tc>
          <w:tcPr>
            <w:tcW w:w="431" w:type="pct"/>
            <w:shd w:val="clear" w:color="auto" w:fill="auto"/>
          </w:tcPr>
          <w:p w:rsidR="007D17C5" w:rsidRPr="002B1A95" w:rsidRDefault="007D17C5" w:rsidP="009558BE">
            <w:pPr>
              <w:pStyle w:val="Tabletext"/>
            </w:pPr>
            <w:r w:rsidRPr="002B1A95">
              <w:t>46</w:t>
            </w:r>
          </w:p>
        </w:tc>
        <w:tc>
          <w:tcPr>
            <w:tcW w:w="1138" w:type="pct"/>
            <w:shd w:val="clear" w:color="auto" w:fill="auto"/>
          </w:tcPr>
          <w:p w:rsidR="007D17C5" w:rsidRPr="002B1A95" w:rsidRDefault="007D17C5" w:rsidP="009558BE">
            <w:pPr>
              <w:pStyle w:val="Tabletext"/>
              <w:spacing w:before="50"/>
            </w:pPr>
            <w:r w:rsidRPr="002B1A95">
              <w:t>63</w:t>
            </w:r>
          </w:p>
        </w:tc>
        <w:tc>
          <w:tcPr>
            <w:tcW w:w="1931" w:type="pct"/>
            <w:shd w:val="clear" w:color="auto" w:fill="auto"/>
            <w:vAlign w:val="bottom"/>
          </w:tcPr>
          <w:p w:rsidR="007D17C5" w:rsidRPr="002B1A95" w:rsidRDefault="007D17C5" w:rsidP="009558BE">
            <w:pPr>
              <w:pStyle w:val="Tabletext"/>
              <w:spacing w:before="50"/>
            </w:pPr>
            <w:r w:rsidRPr="002B1A95">
              <w:t>15.558</w:t>
            </w:r>
          </w:p>
        </w:tc>
        <w:tc>
          <w:tcPr>
            <w:tcW w:w="1499" w:type="pct"/>
            <w:shd w:val="clear" w:color="auto" w:fill="auto"/>
          </w:tcPr>
          <w:p w:rsidR="007D17C5" w:rsidRPr="002B1A95" w:rsidRDefault="007D17C5" w:rsidP="009558BE">
            <w:pPr>
              <w:pStyle w:val="Tabletext"/>
              <w:spacing w:before="50"/>
            </w:pPr>
            <w:r w:rsidRPr="002B1A95">
              <w:t>12.099</w:t>
            </w:r>
          </w:p>
        </w:tc>
      </w:tr>
      <w:tr w:rsidR="007D17C5" w:rsidRPr="002B1A95" w:rsidTr="009558BE">
        <w:tc>
          <w:tcPr>
            <w:tcW w:w="431" w:type="pct"/>
            <w:shd w:val="clear" w:color="auto" w:fill="auto"/>
          </w:tcPr>
          <w:p w:rsidR="007D17C5" w:rsidRPr="002B1A95" w:rsidRDefault="007D17C5" w:rsidP="009558BE">
            <w:pPr>
              <w:pStyle w:val="Tabletext"/>
            </w:pPr>
            <w:r w:rsidRPr="002B1A95">
              <w:t>47</w:t>
            </w:r>
          </w:p>
        </w:tc>
        <w:tc>
          <w:tcPr>
            <w:tcW w:w="1138" w:type="pct"/>
            <w:shd w:val="clear" w:color="auto" w:fill="auto"/>
          </w:tcPr>
          <w:p w:rsidR="007D17C5" w:rsidRPr="002B1A95" w:rsidRDefault="007D17C5" w:rsidP="009558BE">
            <w:pPr>
              <w:pStyle w:val="Tabletext"/>
              <w:spacing w:before="50"/>
            </w:pPr>
            <w:r w:rsidRPr="002B1A95">
              <w:t>64</w:t>
            </w:r>
          </w:p>
        </w:tc>
        <w:tc>
          <w:tcPr>
            <w:tcW w:w="1931" w:type="pct"/>
            <w:shd w:val="clear" w:color="auto" w:fill="auto"/>
            <w:vAlign w:val="bottom"/>
          </w:tcPr>
          <w:p w:rsidR="007D17C5" w:rsidRPr="002B1A95" w:rsidRDefault="007D17C5" w:rsidP="009558BE">
            <w:pPr>
              <w:pStyle w:val="Tabletext"/>
              <w:spacing w:before="50"/>
            </w:pPr>
            <w:r w:rsidRPr="002B1A95">
              <w:t>15.213</w:t>
            </w:r>
          </w:p>
        </w:tc>
        <w:tc>
          <w:tcPr>
            <w:tcW w:w="1499" w:type="pct"/>
            <w:shd w:val="clear" w:color="auto" w:fill="auto"/>
          </w:tcPr>
          <w:p w:rsidR="007D17C5" w:rsidRPr="002B1A95" w:rsidRDefault="007D17C5" w:rsidP="009558BE">
            <w:pPr>
              <w:pStyle w:val="Tabletext"/>
              <w:spacing w:before="50"/>
            </w:pPr>
            <w:r w:rsidRPr="002B1A95">
              <w:t>11.900</w:t>
            </w:r>
          </w:p>
        </w:tc>
      </w:tr>
      <w:tr w:rsidR="007D17C5" w:rsidRPr="002B1A95" w:rsidTr="009558BE">
        <w:tc>
          <w:tcPr>
            <w:tcW w:w="431" w:type="pct"/>
            <w:shd w:val="clear" w:color="auto" w:fill="auto"/>
          </w:tcPr>
          <w:p w:rsidR="007D17C5" w:rsidRPr="002B1A95" w:rsidRDefault="007D17C5" w:rsidP="009558BE">
            <w:pPr>
              <w:pStyle w:val="Tabletext"/>
            </w:pPr>
            <w:r w:rsidRPr="002B1A95">
              <w:t>48</w:t>
            </w:r>
          </w:p>
        </w:tc>
        <w:tc>
          <w:tcPr>
            <w:tcW w:w="1138" w:type="pct"/>
            <w:shd w:val="clear" w:color="auto" w:fill="auto"/>
          </w:tcPr>
          <w:p w:rsidR="007D17C5" w:rsidRPr="002B1A95" w:rsidRDefault="007D17C5" w:rsidP="009558BE">
            <w:pPr>
              <w:pStyle w:val="Tabletext"/>
              <w:spacing w:before="50"/>
            </w:pPr>
            <w:r w:rsidRPr="002B1A95">
              <w:t>65</w:t>
            </w:r>
          </w:p>
        </w:tc>
        <w:tc>
          <w:tcPr>
            <w:tcW w:w="1931" w:type="pct"/>
            <w:shd w:val="clear" w:color="auto" w:fill="auto"/>
            <w:vAlign w:val="bottom"/>
          </w:tcPr>
          <w:p w:rsidR="007D17C5" w:rsidRPr="002B1A95" w:rsidRDefault="007D17C5" w:rsidP="009558BE">
            <w:pPr>
              <w:pStyle w:val="Tabletext"/>
              <w:spacing w:before="50"/>
            </w:pPr>
            <w:r w:rsidRPr="002B1A95">
              <w:t>14.861</w:t>
            </w:r>
          </w:p>
        </w:tc>
        <w:tc>
          <w:tcPr>
            <w:tcW w:w="1499" w:type="pct"/>
            <w:shd w:val="clear" w:color="auto" w:fill="auto"/>
          </w:tcPr>
          <w:p w:rsidR="007D17C5" w:rsidRPr="002B1A95" w:rsidRDefault="007D17C5" w:rsidP="009558BE">
            <w:pPr>
              <w:pStyle w:val="Tabletext"/>
              <w:spacing w:before="50"/>
            </w:pPr>
            <w:r w:rsidRPr="002B1A95">
              <w:t>11.693</w:t>
            </w:r>
          </w:p>
        </w:tc>
      </w:tr>
      <w:tr w:rsidR="007D17C5" w:rsidRPr="002B1A95" w:rsidTr="009558BE">
        <w:tc>
          <w:tcPr>
            <w:tcW w:w="431" w:type="pct"/>
            <w:shd w:val="clear" w:color="auto" w:fill="auto"/>
          </w:tcPr>
          <w:p w:rsidR="007D17C5" w:rsidRPr="002B1A95" w:rsidRDefault="007D17C5" w:rsidP="009558BE">
            <w:pPr>
              <w:pStyle w:val="Tabletext"/>
            </w:pPr>
            <w:r w:rsidRPr="002B1A95">
              <w:t>49</w:t>
            </w:r>
          </w:p>
        </w:tc>
        <w:tc>
          <w:tcPr>
            <w:tcW w:w="1138" w:type="pct"/>
            <w:shd w:val="clear" w:color="auto" w:fill="auto"/>
          </w:tcPr>
          <w:p w:rsidR="007D17C5" w:rsidRPr="002B1A95" w:rsidRDefault="007D17C5" w:rsidP="009558BE">
            <w:pPr>
              <w:pStyle w:val="Tabletext"/>
              <w:spacing w:before="50"/>
            </w:pPr>
            <w:r w:rsidRPr="002B1A95">
              <w:t>66</w:t>
            </w:r>
          </w:p>
        </w:tc>
        <w:tc>
          <w:tcPr>
            <w:tcW w:w="1931" w:type="pct"/>
            <w:shd w:val="clear" w:color="auto" w:fill="auto"/>
            <w:vAlign w:val="bottom"/>
          </w:tcPr>
          <w:p w:rsidR="007D17C5" w:rsidRPr="002B1A95" w:rsidRDefault="007D17C5" w:rsidP="009558BE">
            <w:pPr>
              <w:pStyle w:val="Tabletext"/>
              <w:spacing w:before="50"/>
            </w:pPr>
            <w:r w:rsidRPr="002B1A95">
              <w:t>14.506</w:t>
            </w:r>
          </w:p>
        </w:tc>
        <w:tc>
          <w:tcPr>
            <w:tcW w:w="1499" w:type="pct"/>
            <w:shd w:val="clear" w:color="auto" w:fill="auto"/>
          </w:tcPr>
          <w:p w:rsidR="007D17C5" w:rsidRPr="002B1A95" w:rsidRDefault="007D17C5" w:rsidP="009558BE">
            <w:pPr>
              <w:pStyle w:val="Tabletext"/>
              <w:spacing w:before="50"/>
            </w:pPr>
            <w:r w:rsidRPr="002B1A95">
              <w:t>11.480</w:t>
            </w:r>
          </w:p>
        </w:tc>
      </w:tr>
      <w:tr w:rsidR="007D17C5" w:rsidRPr="002B1A95" w:rsidTr="009558BE">
        <w:tc>
          <w:tcPr>
            <w:tcW w:w="431" w:type="pct"/>
            <w:shd w:val="clear" w:color="auto" w:fill="auto"/>
          </w:tcPr>
          <w:p w:rsidR="007D17C5" w:rsidRPr="002B1A95" w:rsidRDefault="007D17C5" w:rsidP="009558BE">
            <w:pPr>
              <w:pStyle w:val="Tabletext"/>
            </w:pPr>
            <w:r w:rsidRPr="002B1A95">
              <w:t>50</w:t>
            </w:r>
          </w:p>
        </w:tc>
        <w:tc>
          <w:tcPr>
            <w:tcW w:w="1138" w:type="pct"/>
            <w:shd w:val="clear" w:color="auto" w:fill="auto"/>
          </w:tcPr>
          <w:p w:rsidR="007D17C5" w:rsidRPr="002B1A95" w:rsidRDefault="007D17C5" w:rsidP="009558BE">
            <w:pPr>
              <w:pStyle w:val="Tabletext"/>
              <w:spacing w:before="50"/>
            </w:pPr>
            <w:r w:rsidRPr="002B1A95">
              <w:t>67</w:t>
            </w:r>
          </w:p>
        </w:tc>
        <w:tc>
          <w:tcPr>
            <w:tcW w:w="1931" w:type="pct"/>
            <w:shd w:val="clear" w:color="auto" w:fill="auto"/>
            <w:vAlign w:val="bottom"/>
          </w:tcPr>
          <w:p w:rsidR="007D17C5" w:rsidRPr="002B1A95" w:rsidRDefault="007D17C5" w:rsidP="009558BE">
            <w:pPr>
              <w:pStyle w:val="Tabletext"/>
              <w:spacing w:before="50"/>
            </w:pPr>
            <w:r w:rsidRPr="002B1A95">
              <w:t>14.144</w:t>
            </w:r>
          </w:p>
        </w:tc>
        <w:tc>
          <w:tcPr>
            <w:tcW w:w="1499" w:type="pct"/>
            <w:shd w:val="clear" w:color="auto" w:fill="auto"/>
          </w:tcPr>
          <w:p w:rsidR="007D17C5" w:rsidRPr="002B1A95" w:rsidRDefault="007D17C5" w:rsidP="009558BE">
            <w:pPr>
              <w:pStyle w:val="Tabletext"/>
              <w:spacing w:before="50"/>
            </w:pPr>
            <w:r w:rsidRPr="002B1A95">
              <w:t>11.260</w:t>
            </w:r>
          </w:p>
        </w:tc>
      </w:tr>
      <w:tr w:rsidR="007D17C5" w:rsidRPr="002B1A95" w:rsidTr="009558BE">
        <w:tc>
          <w:tcPr>
            <w:tcW w:w="431" w:type="pct"/>
            <w:shd w:val="clear" w:color="auto" w:fill="auto"/>
          </w:tcPr>
          <w:p w:rsidR="007D17C5" w:rsidRPr="002B1A95" w:rsidRDefault="007D17C5" w:rsidP="009558BE">
            <w:pPr>
              <w:pStyle w:val="Tabletext"/>
            </w:pPr>
            <w:r w:rsidRPr="002B1A95">
              <w:t>51</w:t>
            </w:r>
          </w:p>
        </w:tc>
        <w:tc>
          <w:tcPr>
            <w:tcW w:w="1138" w:type="pct"/>
            <w:shd w:val="clear" w:color="auto" w:fill="auto"/>
          </w:tcPr>
          <w:p w:rsidR="007D17C5" w:rsidRPr="002B1A95" w:rsidRDefault="007D17C5" w:rsidP="009558BE">
            <w:pPr>
              <w:pStyle w:val="Tabletext"/>
              <w:spacing w:before="50"/>
            </w:pPr>
            <w:r w:rsidRPr="002B1A95">
              <w:t>68</w:t>
            </w:r>
          </w:p>
        </w:tc>
        <w:tc>
          <w:tcPr>
            <w:tcW w:w="1931" w:type="pct"/>
            <w:shd w:val="clear" w:color="auto" w:fill="auto"/>
            <w:vAlign w:val="bottom"/>
          </w:tcPr>
          <w:p w:rsidR="007D17C5" w:rsidRPr="002B1A95" w:rsidRDefault="007D17C5" w:rsidP="009558BE">
            <w:pPr>
              <w:pStyle w:val="Tabletext"/>
              <w:spacing w:before="50"/>
            </w:pPr>
            <w:r w:rsidRPr="002B1A95">
              <w:t>13.775</w:t>
            </w:r>
          </w:p>
        </w:tc>
        <w:tc>
          <w:tcPr>
            <w:tcW w:w="1499" w:type="pct"/>
            <w:shd w:val="clear" w:color="auto" w:fill="auto"/>
          </w:tcPr>
          <w:p w:rsidR="007D17C5" w:rsidRPr="002B1A95" w:rsidRDefault="007D17C5" w:rsidP="009558BE">
            <w:pPr>
              <w:pStyle w:val="Tabletext"/>
              <w:spacing w:before="50"/>
            </w:pPr>
            <w:r w:rsidRPr="002B1A95">
              <w:t>11.032</w:t>
            </w:r>
          </w:p>
        </w:tc>
      </w:tr>
      <w:tr w:rsidR="007D17C5" w:rsidRPr="002B1A95" w:rsidTr="009558BE">
        <w:tc>
          <w:tcPr>
            <w:tcW w:w="431" w:type="pct"/>
            <w:shd w:val="clear" w:color="auto" w:fill="auto"/>
          </w:tcPr>
          <w:p w:rsidR="007D17C5" w:rsidRPr="002B1A95" w:rsidRDefault="007D17C5" w:rsidP="009558BE">
            <w:pPr>
              <w:pStyle w:val="Tabletext"/>
            </w:pPr>
            <w:r w:rsidRPr="002B1A95">
              <w:t>52</w:t>
            </w:r>
          </w:p>
        </w:tc>
        <w:tc>
          <w:tcPr>
            <w:tcW w:w="1138" w:type="pct"/>
            <w:shd w:val="clear" w:color="auto" w:fill="auto"/>
          </w:tcPr>
          <w:p w:rsidR="007D17C5" w:rsidRPr="002B1A95" w:rsidRDefault="007D17C5" w:rsidP="009558BE">
            <w:pPr>
              <w:pStyle w:val="Tabletext"/>
              <w:spacing w:before="50"/>
            </w:pPr>
            <w:r w:rsidRPr="002B1A95">
              <w:t>69</w:t>
            </w:r>
          </w:p>
        </w:tc>
        <w:tc>
          <w:tcPr>
            <w:tcW w:w="1931" w:type="pct"/>
            <w:shd w:val="clear" w:color="auto" w:fill="auto"/>
            <w:vAlign w:val="bottom"/>
          </w:tcPr>
          <w:p w:rsidR="007D17C5" w:rsidRPr="002B1A95" w:rsidRDefault="007D17C5" w:rsidP="009558BE">
            <w:pPr>
              <w:pStyle w:val="Tabletext"/>
              <w:spacing w:before="50"/>
            </w:pPr>
            <w:r w:rsidRPr="002B1A95">
              <w:t>13.396</w:t>
            </w:r>
          </w:p>
        </w:tc>
        <w:tc>
          <w:tcPr>
            <w:tcW w:w="1499" w:type="pct"/>
            <w:shd w:val="clear" w:color="auto" w:fill="auto"/>
          </w:tcPr>
          <w:p w:rsidR="007D17C5" w:rsidRPr="002B1A95" w:rsidRDefault="007D17C5" w:rsidP="009558BE">
            <w:pPr>
              <w:pStyle w:val="Tabletext"/>
              <w:spacing w:before="50"/>
            </w:pPr>
            <w:r w:rsidRPr="002B1A95">
              <w:t>10.794</w:t>
            </w:r>
          </w:p>
        </w:tc>
      </w:tr>
      <w:tr w:rsidR="007D17C5" w:rsidRPr="002B1A95" w:rsidTr="009558BE">
        <w:tc>
          <w:tcPr>
            <w:tcW w:w="431" w:type="pct"/>
            <w:shd w:val="clear" w:color="auto" w:fill="auto"/>
          </w:tcPr>
          <w:p w:rsidR="007D17C5" w:rsidRPr="002B1A95" w:rsidRDefault="007D17C5" w:rsidP="009558BE">
            <w:pPr>
              <w:pStyle w:val="Tabletext"/>
            </w:pPr>
            <w:r w:rsidRPr="002B1A95">
              <w:lastRenderedPageBreak/>
              <w:t>53</w:t>
            </w:r>
          </w:p>
        </w:tc>
        <w:tc>
          <w:tcPr>
            <w:tcW w:w="1138" w:type="pct"/>
            <w:shd w:val="clear" w:color="auto" w:fill="auto"/>
          </w:tcPr>
          <w:p w:rsidR="007D17C5" w:rsidRPr="002B1A95" w:rsidRDefault="007D17C5" w:rsidP="009558BE">
            <w:pPr>
              <w:pStyle w:val="Tabletext"/>
              <w:spacing w:before="50"/>
            </w:pPr>
            <w:r w:rsidRPr="002B1A95">
              <w:t>70</w:t>
            </w:r>
          </w:p>
        </w:tc>
        <w:tc>
          <w:tcPr>
            <w:tcW w:w="1931" w:type="pct"/>
            <w:shd w:val="clear" w:color="auto" w:fill="auto"/>
            <w:vAlign w:val="bottom"/>
          </w:tcPr>
          <w:p w:rsidR="007D17C5" w:rsidRPr="002B1A95" w:rsidRDefault="007D17C5" w:rsidP="009558BE">
            <w:pPr>
              <w:pStyle w:val="Tabletext"/>
              <w:spacing w:before="50"/>
            </w:pPr>
            <w:r w:rsidRPr="002B1A95">
              <w:t>13.011</w:t>
            </w:r>
          </w:p>
        </w:tc>
        <w:tc>
          <w:tcPr>
            <w:tcW w:w="1499" w:type="pct"/>
            <w:shd w:val="clear" w:color="auto" w:fill="auto"/>
          </w:tcPr>
          <w:p w:rsidR="007D17C5" w:rsidRPr="002B1A95" w:rsidRDefault="007D17C5" w:rsidP="009558BE">
            <w:pPr>
              <w:pStyle w:val="Tabletext"/>
              <w:spacing w:before="50"/>
            </w:pPr>
            <w:r w:rsidRPr="002B1A95">
              <w:t>10.548</w:t>
            </w:r>
          </w:p>
        </w:tc>
      </w:tr>
      <w:tr w:rsidR="007D17C5" w:rsidRPr="002B1A95" w:rsidTr="009558BE">
        <w:tc>
          <w:tcPr>
            <w:tcW w:w="431" w:type="pct"/>
            <w:shd w:val="clear" w:color="auto" w:fill="auto"/>
          </w:tcPr>
          <w:p w:rsidR="007D17C5" w:rsidRPr="002B1A95" w:rsidRDefault="007D17C5" w:rsidP="009558BE">
            <w:pPr>
              <w:pStyle w:val="Tabletext"/>
            </w:pPr>
            <w:r w:rsidRPr="002B1A95">
              <w:t>54</w:t>
            </w:r>
          </w:p>
        </w:tc>
        <w:tc>
          <w:tcPr>
            <w:tcW w:w="1138" w:type="pct"/>
            <w:shd w:val="clear" w:color="auto" w:fill="auto"/>
          </w:tcPr>
          <w:p w:rsidR="007D17C5" w:rsidRPr="002B1A95" w:rsidRDefault="007D17C5" w:rsidP="009558BE">
            <w:pPr>
              <w:pStyle w:val="Tabletext"/>
              <w:spacing w:before="50"/>
            </w:pPr>
            <w:r w:rsidRPr="002B1A95">
              <w:t>71</w:t>
            </w:r>
          </w:p>
        </w:tc>
        <w:tc>
          <w:tcPr>
            <w:tcW w:w="1931" w:type="pct"/>
            <w:shd w:val="clear" w:color="auto" w:fill="auto"/>
            <w:vAlign w:val="bottom"/>
          </w:tcPr>
          <w:p w:rsidR="007D17C5" w:rsidRPr="002B1A95" w:rsidRDefault="007D17C5" w:rsidP="009558BE">
            <w:pPr>
              <w:pStyle w:val="Tabletext"/>
              <w:spacing w:before="50"/>
            </w:pPr>
            <w:r w:rsidRPr="002B1A95">
              <w:t>12.627</w:t>
            </w:r>
          </w:p>
        </w:tc>
        <w:tc>
          <w:tcPr>
            <w:tcW w:w="1499" w:type="pct"/>
            <w:shd w:val="clear" w:color="auto" w:fill="auto"/>
          </w:tcPr>
          <w:p w:rsidR="007D17C5" w:rsidRPr="002B1A95" w:rsidRDefault="007D17C5" w:rsidP="009558BE">
            <w:pPr>
              <w:pStyle w:val="Tabletext"/>
              <w:spacing w:before="50"/>
            </w:pPr>
            <w:r w:rsidRPr="002B1A95">
              <w:t>10.297</w:t>
            </w:r>
          </w:p>
        </w:tc>
      </w:tr>
      <w:tr w:rsidR="007D17C5" w:rsidRPr="002B1A95" w:rsidTr="009558BE">
        <w:tc>
          <w:tcPr>
            <w:tcW w:w="431" w:type="pct"/>
            <w:shd w:val="clear" w:color="auto" w:fill="auto"/>
          </w:tcPr>
          <w:p w:rsidR="007D17C5" w:rsidRPr="002B1A95" w:rsidRDefault="007D17C5" w:rsidP="009558BE">
            <w:pPr>
              <w:pStyle w:val="Tabletext"/>
            </w:pPr>
            <w:r w:rsidRPr="002B1A95">
              <w:t>55</w:t>
            </w:r>
          </w:p>
        </w:tc>
        <w:tc>
          <w:tcPr>
            <w:tcW w:w="1138" w:type="pct"/>
            <w:shd w:val="clear" w:color="auto" w:fill="auto"/>
          </w:tcPr>
          <w:p w:rsidR="007D17C5" w:rsidRPr="002B1A95" w:rsidRDefault="007D17C5" w:rsidP="009558BE">
            <w:pPr>
              <w:pStyle w:val="Tabletext"/>
              <w:spacing w:before="50"/>
            </w:pPr>
            <w:r w:rsidRPr="002B1A95">
              <w:t>72</w:t>
            </w:r>
          </w:p>
        </w:tc>
        <w:tc>
          <w:tcPr>
            <w:tcW w:w="1931" w:type="pct"/>
            <w:shd w:val="clear" w:color="auto" w:fill="auto"/>
            <w:vAlign w:val="bottom"/>
          </w:tcPr>
          <w:p w:rsidR="007D17C5" w:rsidRPr="002B1A95" w:rsidRDefault="007D17C5" w:rsidP="009558BE">
            <w:pPr>
              <w:pStyle w:val="Tabletext"/>
              <w:spacing w:before="50"/>
            </w:pPr>
            <w:r w:rsidRPr="002B1A95">
              <w:t>12.230</w:t>
            </w:r>
          </w:p>
        </w:tc>
        <w:tc>
          <w:tcPr>
            <w:tcW w:w="1499" w:type="pct"/>
            <w:shd w:val="clear" w:color="auto" w:fill="auto"/>
          </w:tcPr>
          <w:p w:rsidR="007D17C5" w:rsidRPr="002B1A95" w:rsidRDefault="007D17C5" w:rsidP="009558BE">
            <w:pPr>
              <w:pStyle w:val="Tabletext"/>
              <w:spacing w:before="50"/>
            </w:pPr>
            <w:r w:rsidRPr="002B1A95">
              <w:t>10.035</w:t>
            </w:r>
          </w:p>
        </w:tc>
      </w:tr>
      <w:tr w:rsidR="007D17C5" w:rsidRPr="002B1A95" w:rsidTr="009558BE">
        <w:tc>
          <w:tcPr>
            <w:tcW w:w="431" w:type="pct"/>
            <w:shd w:val="clear" w:color="auto" w:fill="auto"/>
          </w:tcPr>
          <w:p w:rsidR="007D17C5" w:rsidRPr="002B1A95" w:rsidRDefault="007D17C5" w:rsidP="009558BE">
            <w:pPr>
              <w:pStyle w:val="Tabletext"/>
            </w:pPr>
            <w:r w:rsidRPr="002B1A95">
              <w:t>56</w:t>
            </w:r>
          </w:p>
        </w:tc>
        <w:tc>
          <w:tcPr>
            <w:tcW w:w="1138" w:type="pct"/>
            <w:shd w:val="clear" w:color="auto" w:fill="auto"/>
          </w:tcPr>
          <w:p w:rsidR="007D17C5" w:rsidRPr="002B1A95" w:rsidRDefault="007D17C5" w:rsidP="009558BE">
            <w:pPr>
              <w:pStyle w:val="Tabletext"/>
              <w:spacing w:before="50"/>
            </w:pPr>
            <w:r w:rsidRPr="002B1A95">
              <w:t>73</w:t>
            </w:r>
          </w:p>
        </w:tc>
        <w:tc>
          <w:tcPr>
            <w:tcW w:w="1931" w:type="pct"/>
            <w:shd w:val="clear" w:color="auto" w:fill="auto"/>
            <w:vAlign w:val="bottom"/>
          </w:tcPr>
          <w:p w:rsidR="007D17C5" w:rsidRPr="002B1A95" w:rsidRDefault="007D17C5" w:rsidP="009558BE">
            <w:pPr>
              <w:pStyle w:val="Tabletext"/>
              <w:spacing w:before="50"/>
            </w:pPr>
            <w:r w:rsidRPr="002B1A95">
              <w:t>11.815</w:t>
            </w:r>
          </w:p>
        </w:tc>
        <w:tc>
          <w:tcPr>
            <w:tcW w:w="1499" w:type="pct"/>
            <w:shd w:val="clear" w:color="auto" w:fill="auto"/>
          </w:tcPr>
          <w:p w:rsidR="007D17C5" w:rsidRPr="002B1A95" w:rsidRDefault="007D17C5" w:rsidP="009558BE">
            <w:pPr>
              <w:pStyle w:val="Tabletext"/>
              <w:spacing w:before="50"/>
            </w:pPr>
            <w:r w:rsidRPr="002B1A95">
              <w:t>9.756</w:t>
            </w:r>
          </w:p>
        </w:tc>
      </w:tr>
      <w:tr w:rsidR="007D17C5" w:rsidRPr="002B1A95" w:rsidTr="009558BE">
        <w:tc>
          <w:tcPr>
            <w:tcW w:w="431" w:type="pct"/>
            <w:shd w:val="clear" w:color="auto" w:fill="auto"/>
          </w:tcPr>
          <w:p w:rsidR="007D17C5" w:rsidRPr="002B1A95" w:rsidRDefault="007D17C5" w:rsidP="009558BE">
            <w:pPr>
              <w:pStyle w:val="Tabletext"/>
            </w:pPr>
            <w:r w:rsidRPr="002B1A95">
              <w:t>57</w:t>
            </w:r>
          </w:p>
        </w:tc>
        <w:tc>
          <w:tcPr>
            <w:tcW w:w="1138" w:type="pct"/>
            <w:shd w:val="clear" w:color="auto" w:fill="auto"/>
          </w:tcPr>
          <w:p w:rsidR="007D17C5" w:rsidRPr="002B1A95" w:rsidRDefault="007D17C5" w:rsidP="009558BE">
            <w:pPr>
              <w:pStyle w:val="Tabletext"/>
              <w:spacing w:before="50"/>
            </w:pPr>
            <w:r w:rsidRPr="002B1A95">
              <w:t>74</w:t>
            </w:r>
          </w:p>
        </w:tc>
        <w:tc>
          <w:tcPr>
            <w:tcW w:w="1931" w:type="pct"/>
            <w:shd w:val="clear" w:color="auto" w:fill="auto"/>
            <w:vAlign w:val="bottom"/>
          </w:tcPr>
          <w:p w:rsidR="007D17C5" w:rsidRPr="002B1A95" w:rsidRDefault="007D17C5" w:rsidP="009558BE">
            <w:pPr>
              <w:pStyle w:val="Tabletext"/>
              <w:spacing w:before="50"/>
            </w:pPr>
            <w:r w:rsidRPr="002B1A95">
              <w:t>11.398</w:t>
            </w:r>
          </w:p>
        </w:tc>
        <w:tc>
          <w:tcPr>
            <w:tcW w:w="1499" w:type="pct"/>
            <w:shd w:val="clear" w:color="auto" w:fill="auto"/>
          </w:tcPr>
          <w:p w:rsidR="007D17C5" w:rsidRPr="002B1A95" w:rsidRDefault="007D17C5" w:rsidP="009558BE">
            <w:pPr>
              <w:pStyle w:val="Tabletext"/>
              <w:spacing w:before="50"/>
            </w:pPr>
            <w:r w:rsidRPr="002B1A95">
              <w:t>9.471</w:t>
            </w:r>
          </w:p>
        </w:tc>
      </w:tr>
      <w:tr w:rsidR="007D17C5" w:rsidRPr="002B1A95" w:rsidTr="009558BE">
        <w:tc>
          <w:tcPr>
            <w:tcW w:w="431" w:type="pct"/>
            <w:shd w:val="clear" w:color="auto" w:fill="auto"/>
          </w:tcPr>
          <w:p w:rsidR="007D17C5" w:rsidRPr="002B1A95" w:rsidRDefault="007D17C5" w:rsidP="009558BE">
            <w:pPr>
              <w:pStyle w:val="Tabletext"/>
            </w:pPr>
            <w:r w:rsidRPr="002B1A95">
              <w:t>58</w:t>
            </w:r>
          </w:p>
        </w:tc>
        <w:tc>
          <w:tcPr>
            <w:tcW w:w="1138" w:type="pct"/>
            <w:shd w:val="clear" w:color="auto" w:fill="auto"/>
          </w:tcPr>
          <w:p w:rsidR="007D17C5" w:rsidRPr="002B1A95" w:rsidRDefault="007D17C5" w:rsidP="009558BE">
            <w:pPr>
              <w:pStyle w:val="Tabletext"/>
              <w:spacing w:before="50"/>
            </w:pPr>
            <w:r w:rsidRPr="002B1A95">
              <w:t>75</w:t>
            </w:r>
          </w:p>
        </w:tc>
        <w:tc>
          <w:tcPr>
            <w:tcW w:w="1931" w:type="pct"/>
            <w:shd w:val="clear" w:color="auto" w:fill="auto"/>
            <w:vAlign w:val="bottom"/>
          </w:tcPr>
          <w:p w:rsidR="007D17C5" w:rsidRPr="002B1A95" w:rsidRDefault="007D17C5" w:rsidP="009558BE">
            <w:pPr>
              <w:pStyle w:val="Tabletext"/>
              <w:spacing w:before="50"/>
            </w:pPr>
            <w:r w:rsidRPr="002B1A95">
              <w:t>10.983</w:t>
            </w:r>
          </w:p>
        </w:tc>
        <w:tc>
          <w:tcPr>
            <w:tcW w:w="1499" w:type="pct"/>
            <w:shd w:val="clear" w:color="auto" w:fill="auto"/>
          </w:tcPr>
          <w:p w:rsidR="007D17C5" w:rsidRPr="002B1A95" w:rsidRDefault="007D17C5" w:rsidP="009558BE">
            <w:pPr>
              <w:pStyle w:val="Tabletext"/>
              <w:spacing w:before="50"/>
            </w:pPr>
            <w:r w:rsidRPr="002B1A95">
              <w:t>9.183</w:t>
            </w:r>
          </w:p>
        </w:tc>
      </w:tr>
      <w:tr w:rsidR="007D17C5" w:rsidRPr="002B1A95" w:rsidTr="009558BE">
        <w:tc>
          <w:tcPr>
            <w:tcW w:w="431" w:type="pct"/>
            <w:shd w:val="clear" w:color="auto" w:fill="auto"/>
          </w:tcPr>
          <w:p w:rsidR="007D17C5" w:rsidRPr="002B1A95" w:rsidRDefault="007D17C5" w:rsidP="009558BE">
            <w:pPr>
              <w:pStyle w:val="Tabletext"/>
            </w:pPr>
            <w:r w:rsidRPr="002B1A95">
              <w:t>59</w:t>
            </w:r>
          </w:p>
        </w:tc>
        <w:tc>
          <w:tcPr>
            <w:tcW w:w="1138" w:type="pct"/>
            <w:shd w:val="clear" w:color="auto" w:fill="auto"/>
          </w:tcPr>
          <w:p w:rsidR="007D17C5" w:rsidRPr="002B1A95" w:rsidRDefault="007D17C5" w:rsidP="009558BE">
            <w:pPr>
              <w:pStyle w:val="Tabletext"/>
              <w:spacing w:before="50"/>
            </w:pPr>
            <w:r w:rsidRPr="002B1A95">
              <w:t>76</w:t>
            </w:r>
          </w:p>
        </w:tc>
        <w:tc>
          <w:tcPr>
            <w:tcW w:w="1931" w:type="pct"/>
            <w:shd w:val="clear" w:color="auto" w:fill="auto"/>
            <w:vAlign w:val="bottom"/>
          </w:tcPr>
          <w:p w:rsidR="007D17C5" w:rsidRPr="002B1A95" w:rsidRDefault="007D17C5" w:rsidP="009558BE">
            <w:pPr>
              <w:pStyle w:val="Tabletext"/>
              <w:spacing w:before="50"/>
            </w:pPr>
            <w:r w:rsidRPr="002B1A95">
              <w:t>10.566</w:t>
            </w:r>
          </w:p>
        </w:tc>
        <w:tc>
          <w:tcPr>
            <w:tcW w:w="1499" w:type="pct"/>
            <w:shd w:val="clear" w:color="auto" w:fill="auto"/>
          </w:tcPr>
          <w:p w:rsidR="007D17C5" w:rsidRPr="002B1A95" w:rsidRDefault="007D17C5" w:rsidP="009558BE">
            <w:pPr>
              <w:pStyle w:val="Tabletext"/>
              <w:spacing w:before="50"/>
            </w:pPr>
            <w:r w:rsidRPr="002B1A95">
              <w:t>8.889</w:t>
            </w:r>
          </w:p>
        </w:tc>
      </w:tr>
      <w:tr w:rsidR="007D17C5" w:rsidRPr="002B1A95" w:rsidTr="009558BE">
        <w:tc>
          <w:tcPr>
            <w:tcW w:w="431" w:type="pct"/>
            <w:shd w:val="clear" w:color="auto" w:fill="auto"/>
          </w:tcPr>
          <w:p w:rsidR="007D17C5" w:rsidRPr="002B1A95" w:rsidRDefault="007D17C5" w:rsidP="009558BE">
            <w:pPr>
              <w:pStyle w:val="Tabletext"/>
            </w:pPr>
            <w:r w:rsidRPr="002B1A95">
              <w:t>60</w:t>
            </w:r>
          </w:p>
        </w:tc>
        <w:tc>
          <w:tcPr>
            <w:tcW w:w="1138" w:type="pct"/>
            <w:shd w:val="clear" w:color="auto" w:fill="auto"/>
          </w:tcPr>
          <w:p w:rsidR="007D17C5" w:rsidRPr="002B1A95" w:rsidRDefault="007D17C5" w:rsidP="009558BE">
            <w:pPr>
              <w:pStyle w:val="Tabletext"/>
              <w:spacing w:before="50"/>
            </w:pPr>
            <w:r w:rsidRPr="002B1A95">
              <w:t>77</w:t>
            </w:r>
          </w:p>
        </w:tc>
        <w:tc>
          <w:tcPr>
            <w:tcW w:w="1931" w:type="pct"/>
            <w:shd w:val="clear" w:color="auto" w:fill="auto"/>
            <w:vAlign w:val="bottom"/>
          </w:tcPr>
          <w:p w:rsidR="007D17C5" w:rsidRPr="002B1A95" w:rsidRDefault="007D17C5" w:rsidP="009558BE">
            <w:pPr>
              <w:pStyle w:val="Tabletext"/>
              <w:spacing w:before="50"/>
            </w:pPr>
            <w:r w:rsidRPr="002B1A95">
              <w:t>10.144</w:t>
            </w:r>
          </w:p>
        </w:tc>
        <w:tc>
          <w:tcPr>
            <w:tcW w:w="1499" w:type="pct"/>
            <w:shd w:val="clear" w:color="auto" w:fill="auto"/>
          </w:tcPr>
          <w:p w:rsidR="007D17C5" w:rsidRPr="002B1A95" w:rsidRDefault="007D17C5" w:rsidP="009558BE">
            <w:pPr>
              <w:pStyle w:val="Tabletext"/>
              <w:spacing w:before="50"/>
            </w:pPr>
            <w:r w:rsidRPr="002B1A95">
              <w:t>8.587</w:t>
            </w:r>
          </w:p>
        </w:tc>
      </w:tr>
      <w:tr w:rsidR="007D17C5" w:rsidRPr="002B1A95" w:rsidTr="009558BE">
        <w:tc>
          <w:tcPr>
            <w:tcW w:w="431" w:type="pct"/>
            <w:shd w:val="clear" w:color="auto" w:fill="auto"/>
          </w:tcPr>
          <w:p w:rsidR="007D17C5" w:rsidRPr="002B1A95" w:rsidRDefault="007D17C5" w:rsidP="009558BE">
            <w:pPr>
              <w:pStyle w:val="Tabletext"/>
            </w:pPr>
            <w:r w:rsidRPr="002B1A95">
              <w:t>61</w:t>
            </w:r>
          </w:p>
        </w:tc>
        <w:tc>
          <w:tcPr>
            <w:tcW w:w="1138" w:type="pct"/>
            <w:shd w:val="clear" w:color="auto" w:fill="auto"/>
          </w:tcPr>
          <w:p w:rsidR="007D17C5" w:rsidRPr="002B1A95" w:rsidRDefault="007D17C5" w:rsidP="009558BE">
            <w:pPr>
              <w:pStyle w:val="Tabletext"/>
              <w:spacing w:before="50"/>
            </w:pPr>
            <w:r w:rsidRPr="002B1A95">
              <w:t>78</w:t>
            </w:r>
          </w:p>
        </w:tc>
        <w:tc>
          <w:tcPr>
            <w:tcW w:w="1931" w:type="pct"/>
            <w:shd w:val="clear" w:color="auto" w:fill="auto"/>
            <w:vAlign w:val="bottom"/>
          </w:tcPr>
          <w:p w:rsidR="007D17C5" w:rsidRPr="002B1A95" w:rsidRDefault="007D17C5" w:rsidP="009558BE">
            <w:pPr>
              <w:pStyle w:val="Tabletext"/>
              <w:spacing w:before="50"/>
            </w:pPr>
            <w:r w:rsidRPr="002B1A95">
              <w:t>9.723</w:t>
            </w:r>
          </w:p>
        </w:tc>
        <w:tc>
          <w:tcPr>
            <w:tcW w:w="1499" w:type="pct"/>
            <w:shd w:val="clear" w:color="auto" w:fill="auto"/>
          </w:tcPr>
          <w:p w:rsidR="007D17C5" w:rsidRPr="002B1A95" w:rsidRDefault="007D17C5" w:rsidP="009558BE">
            <w:pPr>
              <w:pStyle w:val="Tabletext"/>
              <w:spacing w:before="50"/>
            </w:pPr>
            <w:r w:rsidRPr="002B1A95">
              <w:t>8.282</w:t>
            </w:r>
          </w:p>
        </w:tc>
      </w:tr>
      <w:tr w:rsidR="007D17C5" w:rsidRPr="002B1A95" w:rsidTr="009558BE">
        <w:tc>
          <w:tcPr>
            <w:tcW w:w="431" w:type="pct"/>
            <w:shd w:val="clear" w:color="auto" w:fill="auto"/>
          </w:tcPr>
          <w:p w:rsidR="007D17C5" w:rsidRPr="002B1A95" w:rsidRDefault="007D17C5" w:rsidP="009558BE">
            <w:pPr>
              <w:pStyle w:val="Tabletext"/>
            </w:pPr>
            <w:r w:rsidRPr="002B1A95">
              <w:t>62</w:t>
            </w:r>
          </w:p>
        </w:tc>
        <w:tc>
          <w:tcPr>
            <w:tcW w:w="1138" w:type="pct"/>
            <w:shd w:val="clear" w:color="auto" w:fill="auto"/>
          </w:tcPr>
          <w:p w:rsidR="007D17C5" w:rsidRPr="002B1A95" w:rsidRDefault="007D17C5" w:rsidP="009558BE">
            <w:pPr>
              <w:pStyle w:val="Tabletext"/>
              <w:spacing w:before="50"/>
            </w:pPr>
            <w:r w:rsidRPr="002B1A95">
              <w:t>79</w:t>
            </w:r>
          </w:p>
        </w:tc>
        <w:tc>
          <w:tcPr>
            <w:tcW w:w="1931" w:type="pct"/>
            <w:shd w:val="clear" w:color="auto" w:fill="auto"/>
            <w:vAlign w:val="bottom"/>
          </w:tcPr>
          <w:p w:rsidR="007D17C5" w:rsidRPr="002B1A95" w:rsidRDefault="007D17C5" w:rsidP="009558BE">
            <w:pPr>
              <w:pStyle w:val="Tabletext"/>
              <w:spacing w:before="50"/>
            </w:pPr>
            <w:r w:rsidRPr="002B1A95">
              <w:t>9.314</w:t>
            </w:r>
          </w:p>
        </w:tc>
        <w:tc>
          <w:tcPr>
            <w:tcW w:w="1499" w:type="pct"/>
            <w:shd w:val="clear" w:color="auto" w:fill="auto"/>
          </w:tcPr>
          <w:p w:rsidR="007D17C5" w:rsidRPr="002B1A95" w:rsidRDefault="007D17C5" w:rsidP="009558BE">
            <w:pPr>
              <w:pStyle w:val="Tabletext"/>
              <w:spacing w:before="50"/>
            </w:pPr>
            <w:r w:rsidRPr="002B1A95">
              <w:t>7.980</w:t>
            </w:r>
          </w:p>
        </w:tc>
      </w:tr>
      <w:tr w:rsidR="007D17C5" w:rsidRPr="002B1A95" w:rsidTr="009558BE">
        <w:tc>
          <w:tcPr>
            <w:tcW w:w="431" w:type="pct"/>
            <w:shd w:val="clear" w:color="auto" w:fill="auto"/>
          </w:tcPr>
          <w:p w:rsidR="007D17C5" w:rsidRPr="002B1A95" w:rsidRDefault="007D17C5" w:rsidP="009558BE">
            <w:pPr>
              <w:pStyle w:val="Tabletext"/>
            </w:pPr>
            <w:r w:rsidRPr="002B1A95">
              <w:t>63</w:t>
            </w:r>
          </w:p>
        </w:tc>
        <w:tc>
          <w:tcPr>
            <w:tcW w:w="1138" w:type="pct"/>
            <w:shd w:val="clear" w:color="auto" w:fill="auto"/>
          </w:tcPr>
          <w:p w:rsidR="007D17C5" w:rsidRPr="002B1A95" w:rsidRDefault="007D17C5" w:rsidP="009558BE">
            <w:pPr>
              <w:pStyle w:val="Tabletext"/>
              <w:spacing w:before="50"/>
            </w:pPr>
            <w:r w:rsidRPr="002B1A95">
              <w:t>80</w:t>
            </w:r>
          </w:p>
        </w:tc>
        <w:tc>
          <w:tcPr>
            <w:tcW w:w="1931" w:type="pct"/>
            <w:shd w:val="clear" w:color="auto" w:fill="auto"/>
            <w:vAlign w:val="bottom"/>
          </w:tcPr>
          <w:p w:rsidR="007D17C5" w:rsidRPr="002B1A95" w:rsidRDefault="007D17C5" w:rsidP="009558BE">
            <w:pPr>
              <w:pStyle w:val="Tabletext"/>
              <w:spacing w:before="50"/>
            </w:pPr>
            <w:r w:rsidRPr="002B1A95">
              <w:t>8.898</w:t>
            </w:r>
          </w:p>
        </w:tc>
        <w:tc>
          <w:tcPr>
            <w:tcW w:w="1499" w:type="pct"/>
            <w:shd w:val="clear" w:color="auto" w:fill="auto"/>
          </w:tcPr>
          <w:p w:rsidR="007D17C5" w:rsidRPr="002B1A95" w:rsidRDefault="007D17C5" w:rsidP="009558BE">
            <w:pPr>
              <w:pStyle w:val="Tabletext"/>
              <w:spacing w:before="50"/>
            </w:pPr>
            <w:r w:rsidRPr="002B1A95">
              <w:t>7.669</w:t>
            </w:r>
          </w:p>
        </w:tc>
      </w:tr>
      <w:tr w:rsidR="007D17C5" w:rsidRPr="002B1A95" w:rsidTr="009558BE">
        <w:tc>
          <w:tcPr>
            <w:tcW w:w="431" w:type="pct"/>
            <w:shd w:val="clear" w:color="auto" w:fill="auto"/>
          </w:tcPr>
          <w:p w:rsidR="007D17C5" w:rsidRPr="002B1A95" w:rsidRDefault="007D17C5" w:rsidP="009558BE">
            <w:pPr>
              <w:pStyle w:val="Tabletext"/>
            </w:pPr>
            <w:r w:rsidRPr="002B1A95">
              <w:t>64</w:t>
            </w:r>
          </w:p>
        </w:tc>
        <w:tc>
          <w:tcPr>
            <w:tcW w:w="1138" w:type="pct"/>
            <w:shd w:val="clear" w:color="auto" w:fill="auto"/>
          </w:tcPr>
          <w:p w:rsidR="007D17C5" w:rsidRPr="002B1A95" w:rsidRDefault="007D17C5" w:rsidP="009558BE">
            <w:pPr>
              <w:pStyle w:val="Tabletext"/>
              <w:spacing w:before="50"/>
            </w:pPr>
            <w:r w:rsidRPr="002B1A95">
              <w:t>81</w:t>
            </w:r>
          </w:p>
        </w:tc>
        <w:tc>
          <w:tcPr>
            <w:tcW w:w="1931" w:type="pct"/>
            <w:shd w:val="clear" w:color="auto" w:fill="auto"/>
            <w:vAlign w:val="bottom"/>
          </w:tcPr>
          <w:p w:rsidR="007D17C5" w:rsidRPr="002B1A95" w:rsidRDefault="007D17C5" w:rsidP="009558BE">
            <w:pPr>
              <w:pStyle w:val="Tabletext"/>
              <w:spacing w:before="50"/>
            </w:pPr>
            <w:r w:rsidRPr="002B1A95">
              <w:t>8.486</w:t>
            </w:r>
          </w:p>
        </w:tc>
        <w:tc>
          <w:tcPr>
            <w:tcW w:w="1499" w:type="pct"/>
            <w:shd w:val="clear" w:color="auto" w:fill="auto"/>
          </w:tcPr>
          <w:p w:rsidR="007D17C5" w:rsidRPr="002B1A95" w:rsidRDefault="007D17C5" w:rsidP="009558BE">
            <w:pPr>
              <w:pStyle w:val="Tabletext"/>
              <w:spacing w:before="50"/>
            </w:pPr>
            <w:r w:rsidRPr="002B1A95">
              <w:t>7.357</w:t>
            </w:r>
          </w:p>
        </w:tc>
      </w:tr>
      <w:tr w:rsidR="007D17C5" w:rsidRPr="002B1A95" w:rsidTr="009558BE">
        <w:tc>
          <w:tcPr>
            <w:tcW w:w="431" w:type="pct"/>
            <w:shd w:val="clear" w:color="auto" w:fill="auto"/>
          </w:tcPr>
          <w:p w:rsidR="007D17C5" w:rsidRPr="002B1A95" w:rsidRDefault="007D17C5" w:rsidP="009558BE">
            <w:pPr>
              <w:pStyle w:val="Tabletext"/>
            </w:pPr>
            <w:r w:rsidRPr="002B1A95">
              <w:t>65</w:t>
            </w:r>
          </w:p>
        </w:tc>
        <w:tc>
          <w:tcPr>
            <w:tcW w:w="1138" w:type="pct"/>
            <w:shd w:val="clear" w:color="auto" w:fill="auto"/>
          </w:tcPr>
          <w:p w:rsidR="007D17C5" w:rsidRPr="002B1A95" w:rsidRDefault="007D17C5" w:rsidP="009558BE">
            <w:pPr>
              <w:pStyle w:val="Tabletext"/>
              <w:spacing w:before="50"/>
            </w:pPr>
            <w:r w:rsidRPr="002B1A95">
              <w:t>82</w:t>
            </w:r>
          </w:p>
        </w:tc>
        <w:tc>
          <w:tcPr>
            <w:tcW w:w="1931" w:type="pct"/>
            <w:shd w:val="clear" w:color="auto" w:fill="auto"/>
            <w:vAlign w:val="bottom"/>
          </w:tcPr>
          <w:p w:rsidR="007D17C5" w:rsidRPr="002B1A95" w:rsidRDefault="007D17C5" w:rsidP="009558BE">
            <w:pPr>
              <w:pStyle w:val="Tabletext"/>
              <w:spacing w:before="50"/>
            </w:pPr>
            <w:r w:rsidRPr="002B1A95">
              <w:t>8.087</w:t>
            </w:r>
          </w:p>
        </w:tc>
        <w:tc>
          <w:tcPr>
            <w:tcW w:w="1499" w:type="pct"/>
            <w:shd w:val="clear" w:color="auto" w:fill="auto"/>
          </w:tcPr>
          <w:p w:rsidR="007D17C5" w:rsidRPr="002B1A95" w:rsidRDefault="007D17C5" w:rsidP="009558BE">
            <w:pPr>
              <w:pStyle w:val="Tabletext"/>
              <w:spacing w:before="50"/>
            </w:pPr>
            <w:r w:rsidRPr="002B1A95">
              <w:t>7.051</w:t>
            </w:r>
          </w:p>
        </w:tc>
      </w:tr>
      <w:tr w:rsidR="007D17C5" w:rsidRPr="002B1A95" w:rsidTr="009558BE">
        <w:tc>
          <w:tcPr>
            <w:tcW w:w="431" w:type="pct"/>
            <w:shd w:val="clear" w:color="auto" w:fill="auto"/>
          </w:tcPr>
          <w:p w:rsidR="007D17C5" w:rsidRPr="002B1A95" w:rsidRDefault="007D17C5" w:rsidP="009558BE">
            <w:pPr>
              <w:pStyle w:val="Tabletext"/>
            </w:pPr>
            <w:r w:rsidRPr="002B1A95">
              <w:t>66</w:t>
            </w:r>
          </w:p>
        </w:tc>
        <w:tc>
          <w:tcPr>
            <w:tcW w:w="1138" w:type="pct"/>
            <w:shd w:val="clear" w:color="auto" w:fill="auto"/>
          </w:tcPr>
          <w:p w:rsidR="007D17C5" w:rsidRPr="002B1A95" w:rsidRDefault="007D17C5" w:rsidP="009558BE">
            <w:pPr>
              <w:pStyle w:val="Tabletext"/>
              <w:spacing w:before="50"/>
            </w:pPr>
            <w:r w:rsidRPr="002B1A95">
              <w:t>83</w:t>
            </w:r>
          </w:p>
        </w:tc>
        <w:tc>
          <w:tcPr>
            <w:tcW w:w="1931" w:type="pct"/>
            <w:shd w:val="clear" w:color="auto" w:fill="auto"/>
            <w:vAlign w:val="bottom"/>
          </w:tcPr>
          <w:p w:rsidR="007D17C5" w:rsidRPr="002B1A95" w:rsidRDefault="007D17C5" w:rsidP="009558BE">
            <w:pPr>
              <w:pStyle w:val="Tabletext"/>
              <w:spacing w:before="50"/>
            </w:pPr>
            <w:r w:rsidRPr="002B1A95">
              <w:t>7.697</w:t>
            </w:r>
          </w:p>
        </w:tc>
        <w:tc>
          <w:tcPr>
            <w:tcW w:w="1499" w:type="pct"/>
            <w:shd w:val="clear" w:color="auto" w:fill="auto"/>
          </w:tcPr>
          <w:p w:rsidR="007D17C5" w:rsidRPr="002B1A95" w:rsidRDefault="007D17C5" w:rsidP="009558BE">
            <w:pPr>
              <w:pStyle w:val="Tabletext"/>
              <w:spacing w:before="50"/>
            </w:pPr>
            <w:r w:rsidRPr="002B1A95">
              <w:t>6.748</w:t>
            </w:r>
          </w:p>
        </w:tc>
      </w:tr>
      <w:tr w:rsidR="007D17C5" w:rsidRPr="002B1A95" w:rsidTr="009558BE">
        <w:tc>
          <w:tcPr>
            <w:tcW w:w="431" w:type="pct"/>
            <w:shd w:val="clear" w:color="auto" w:fill="auto"/>
          </w:tcPr>
          <w:p w:rsidR="007D17C5" w:rsidRPr="002B1A95" w:rsidRDefault="007D17C5" w:rsidP="009558BE">
            <w:pPr>
              <w:pStyle w:val="Tabletext"/>
            </w:pPr>
            <w:r w:rsidRPr="002B1A95">
              <w:t>67</w:t>
            </w:r>
          </w:p>
        </w:tc>
        <w:tc>
          <w:tcPr>
            <w:tcW w:w="1138" w:type="pct"/>
            <w:shd w:val="clear" w:color="auto" w:fill="auto"/>
          </w:tcPr>
          <w:p w:rsidR="007D17C5" w:rsidRPr="002B1A95" w:rsidRDefault="007D17C5" w:rsidP="009558BE">
            <w:pPr>
              <w:pStyle w:val="Tabletext"/>
              <w:spacing w:before="50"/>
            </w:pPr>
            <w:r w:rsidRPr="002B1A95">
              <w:t>84</w:t>
            </w:r>
          </w:p>
        </w:tc>
        <w:tc>
          <w:tcPr>
            <w:tcW w:w="1931" w:type="pct"/>
            <w:shd w:val="clear" w:color="auto" w:fill="auto"/>
            <w:vAlign w:val="bottom"/>
          </w:tcPr>
          <w:p w:rsidR="007D17C5" w:rsidRPr="002B1A95" w:rsidRDefault="007D17C5" w:rsidP="009558BE">
            <w:pPr>
              <w:pStyle w:val="Tabletext"/>
              <w:spacing w:before="50"/>
            </w:pPr>
            <w:r w:rsidRPr="002B1A95">
              <w:t>7.323</w:t>
            </w:r>
          </w:p>
        </w:tc>
        <w:tc>
          <w:tcPr>
            <w:tcW w:w="1499" w:type="pct"/>
            <w:shd w:val="clear" w:color="auto" w:fill="auto"/>
          </w:tcPr>
          <w:p w:rsidR="007D17C5" w:rsidRPr="002B1A95" w:rsidRDefault="007D17C5" w:rsidP="009558BE">
            <w:pPr>
              <w:pStyle w:val="Tabletext"/>
              <w:spacing w:before="50"/>
            </w:pPr>
            <w:r w:rsidRPr="002B1A95">
              <w:t>6.455</w:t>
            </w:r>
          </w:p>
        </w:tc>
      </w:tr>
      <w:tr w:rsidR="007D17C5" w:rsidRPr="002B1A95" w:rsidTr="009558BE">
        <w:tc>
          <w:tcPr>
            <w:tcW w:w="431" w:type="pct"/>
            <w:shd w:val="clear" w:color="auto" w:fill="auto"/>
          </w:tcPr>
          <w:p w:rsidR="007D17C5" w:rsidRPr="002B1A95" w:rsidRDefault="007D17C5" w:rsidP="009558BE">
            <w:pPr>
              <w:pStyle w:val="Tabletext"/>
            </w:pPr>
            <w:r w:rsidRPr="002B1A95">
              <w:t>68</w:t>
            </w:r>
          </w:p>
        </w:tc>
        <w:tc>
          <w:tcPr>
            <w:tcW w:w="1138" w:type="pct"/>
            <w:shd w:val="clear" w:color="auto" w:fill="auto"/>
          </w:tcPr>
          <w:p w:rsidR="007D17C5" w:rsidRPr="002B1A95" w:rsidRDefault="007D17C5" w:rsidP="009558BE">
            <w:pPr>
              <w:pStyle w:val="Tabletext"/>
              <w:spacing w:before="50"/>
            </w:pPr>
            <w:r w:rsidRPr="002B1A95">
              <w:t>85</w:t>
            </w:r>
          </w:p>
        </w:tc>
        <w:tc>
          <w:tcPr>
            <w:tcW w:w="1931" w:type="pct"/>
            <w:shd w:val="clear" w:color="auto" w:fill="auto"/>
            <w:vAlign w:val="bottom"/>
          </w:tcPr>
          <w:p w:rsidR="007D17C5" w:rsidRPr="002B1A95" w:rsidRDefault="007D17C5" w:rsidP="009558BE">
            <w:pPr>
              <w:pStyle w:val="Tabletext"/>
              <w:spacing w:before="50"/>
            </w:pPr>
            <w:r w:rsidRPr="002B1A95">
              <w:t>6.966</w:t>
            </w:r>
          </w:p>
        </w:tc>
        <w:tc>
          <w:tcPr>
            <w:tcW w:w="1499" w:type="pct"/>
            <w:shd w:val="clear" w:color="auto" w:fill="auto"/>
          </w:tcPr>
          <w:p w:rsidR="007D17C5" w:rsidRPr="002B1A95" w:rsidRDefault="007D17C5" w:rsidP="009558BE">
            <w:pPr>
              <w:pStyle w:val="Tabletext"/>
              <w:spacing w:before="50"/>
            </w:pPr>
            <w:r w:rsidRPr="002B1A95">
              <w:t>6.172</w:t>
            </w:r>
          </w:p>
        </w:tc>
      </w:tr>
      <w:tr w:rsidR="007D17C5" w:rsidRPr="002B1A95" w:rsidTr="009558BE">
        <w:tc>
          <w:tcPr>
            <w:tcW w:w="431" w:type="pct"/>
            <w:shd w:val="clear" w:color="auto" w:fill="auto"/>
          </w:tcPr>
          <w:p w:rsidR="007D17C5" w:rsidRPr="002B1A95" w:rsidRDefault="007D17C5" w:rsidP="009558BE">
            <w:pPr>
              <w:pStyle w:val="Tabletext"/>
            </w:pPr>
            <w:r w:rsidRPr="002B1A95">
              <w:t>69</w:t>
            </w:r>
          </w:p>
        </w:tc>
        <w:tc>
          <w:tcPr>
            <w:tcW w:w="1138" w:type="pct"/>
            <w:shd w:val="clear" w:color="auto" w:fill="auto"/>
          </w:tcPr>
          <w:p w:rsidR="007D17C5" w:rsidRPr="002B1A95" w:rsidRDefault="007D17C5" w:rsidP="009558BE">
            <w:pPr>
              <w:pStyle w:val="Tabletext"/>
              <w:spacing w:before="50"/>
            </w:pPr>
            <w:r w:rsidRPr="002B1A95">
              <w:t>86</w:t>
            </w:r>
          </w:p>
        </w:tc>
        <w:tc>
          <w:tcPr>
            <w:tcW w:w="1931" w:type="pct"/>
            <w:shd w:val="clear" w:color="auto" w:fill="auto"/>
            <w:vAlign w:val="bottom"/>
          </w:tcPr>
          <w:p w:rsidR="007D17C5" w:rsidRPr="002B1A95" w:rsidRDefault="007D17C5" w:rsidP="009558BE">
            <w:pPr>
              <w:pStyle w:val="Tabletext"/>
              <w:spacing w:before="50"/>
            </w:pPr>
            <w:r w:rsidRPr="002B1A95">
              <w:t>6.627</w:t>
            </w:r>
          </w:p>
        </w:tc>
        <w:tc>
          <w:tcPr>
            <w:tcW w:w="1499" w:type="pct"/>
            <w:shd w:val="clear" w:color="auto" w:fill="auto"/>
          </w:tcPr>
          <w:p w:rsidR="007D17C5" w:rsidRPr="002B1A95" w:rsidRDefault="007D17C5" w:rsidP="009558BE">
            <w:pPr>
              <w:pStyle w:val="Tabletext"/>
              <w:spacing w:before="50"/>
            </w:pPr>
            <w:r w:rsidRPr="002B1A95">
              <w:t>5.901</w:t>
            </w:r>
          </w:p>
        </w:tc>
      </w:tr>
      <w:tr w:rsidR="007D17C5" w:rsidRPr="002B1A95" w:rsidTr="009558BE">
        <w:tc>
          <w:tcPr>
            <w:tcW w:w="431" w:type="pct"/>
            <w:shd w:val="clear" w:color="auto" w:fill="auto"/>
          </w:tcPr>
          <w:p w:rsidR="007D17C5" w:rsidRPr="002B1A95" w:rsidRDefault="007D17C5" w:rsidP="009558BE">
            <w:pPr>
              <w:pStyle w:val="Tabletext"/>
            </w:pPr>
            <w:r w:rsidRPr="002B1A95">
              <w:t>70</w:t>
            </w:r>
          </w:p>
        </w:tc>
        <w:tc>
          <w:tcPr>
            <w:tcW w:w="1138" w:type="pct"/>
            <w:shd w:val="clear" w:color="auto" w:fill="auto"/>
          </w:tcPr>
          <w:p w:rsidR="007D17C5" w:rsidRPr="002B1A95" w:rsidRDefault="007D17C5" w:rsidP="009558BE">
            <w:pPr>
              <w:pStyle w:val="Tabletext"/>
              <w:spacing w:before="50"/>
            </w:pPr>
            <w:r w:rsidRPr="002B1A95">
              <w:t>87</w:t>
            </w:r>
          </w:p>
        </w:tc>
        <w:tc>
          <w:tcPr>
            <w:tcW w:w="1931" w:type="pct"/>
            <w:shd w:val="clear" w:color="auto" w:fill="auto"/>
            <w:vAlign w:val="bottom"/>
          </w:tcPr>
          <w:p w:rsidR="007D17C5" w:rsidRPr="002B1A95" w:rsidRDefault="007D17C5" w:rsidP="009558BE">
            <w:pPr>
              <w:pStyle w:val="Tabletext"/>
              <w:spacing w:before="50"/>
            </w:pPr>
            <w:r w:rsidRPr="002B1A95">
              <w:t>6.311</w:t>
            </w:r>
          </w:p>
        </w:tc>
        <w:tc>
          <w:tcPr>
            <w:tcW w:w="1499" w:type="pct"/>
            <w:shd w:val="clear" w:color="auto" w:fill="auto"/>
          </w:tcPr>
          <w:p w:rsidR="007D17C5" w:rsidRPr="002B1A95" w:rsidRDefault="007D17C5" w:rsidP="009558BE">
            <w:pPr>
              <w:pStyle w:val="Tabletext"/>
              <w:spacing w:before="50"/>
            </w:pPr>
            <w:r w:rsidRPr="002B1A95">
              <w:t>5.647</w:t>
            </w:r>
          </w:p>
        </w:tc>
      </w:tr>
      <w:tr w:rsidR="007D17C5" w:rsidRPr="002B1A95" w:rsidTr="009558BE">
        <w:tc>
          <w:tcPr>
            <w:tcW w:w="431" w:type="pct"/>
            <w:shd w:val="clear" w:color="auto" w:fill="auto"/>
          </w:tcPr>
          <w:p w:rsidR="007D17C5" w:rsidRPr="002B1A95" w:rsidRDefault="007D17C5" w:rsidP="009558BE">
            <w:pPr>
              <w:pStyle w:val="Tabletext"/>
            </w:pPr>
            <w:r w:rsidRPr="002B1A95">
              <w:t>71</w:t>
            </w:r>
          </w:p>
        </w:tc>
        <w:tc>
          <w:tcPr>
            <w:tcW w:w="1138" w:type="pct"/>
            <w:shd w:val="clear" w:color="auto" w:fill="auto"/>
          </w:tcPr>
          <w:p w:rsidR="007D17C5" w:rsidRPr="002B1A95" w:rsidRDefault="007D17C5" w:rsidP="009558BE">
            <w:pPr>
              <w:pStyle w:val="Tabletext"/>
              <w:spacing w:before="50"/>
            </w:pPr>
            <w:r w:rsidRPr="002B1A95">
              <w:t>88</w:t>
            </w:r>
          </w:p>
        </w:tc>
        <w:tc>
          <w:tcPr>
            <w:tcW w:w="1931" w:type="pct"/>
            <w:shd w:val="clear" w:color="auto" w:fill="auto"/>
            <w:vAlign w:val="bottom"/>
          </w:tcPr>
          <w:p w:rsidR="007D17C5" w:rsidRPr="002B1A95" w:rsidRDefault="007D17C5" w:rsidP="009558BE">
            <w:pPr>
              <w:pStyle w:val="Tabletext"/>
              <w:spacing w:before="50"/>
            </w:pPr>
            <w:r w:rsidRPr="002B1A95">
              <w:t>6.010</w:t>
            </w:r>
          </w:p>
        </w:tc>
        <w:tc>
          <w:tcPr>
            <w:tcW w:w="1499" w:type="pct"/>
            <w:shd w:val="clear" w:color="auto" w:fill="auto"/>
          </w:tcPr>
          <w:p w:rsidR="007D17C5" w:rsidRPr="002B1A95" w:rsidRDefault="007D17C5" w:rsidP="009558BE">
            <w:pPr>
              <w:pStyle w:val="Tabletext"/>
              <w:spacing w:before="50"/>
            </w:pPr>
            <w:r w:rsidRPr="002B1A95">
              <w:t>5.402</w:t>
            </w:r>
          </w:p>
        </w:tc>
      </w:tr>
      <w:tr w:rsidR="007D17C5" w:rsidRPr="002B1A95" w:rsidTr="009558BE">
        <w:tc>
          <w:tcPr>
            <w:tcW w:w="431" w:type="pct"/>
            <w:shd w:val="clear" w:color="auto" w:fill="auto"/>
          </w:tcPr>
          <w:p w:rsidR="007D17C5" w:rsidRPr="002B1A95" w:rsidRDefault="007D17C5" w:rsidP="009558BE">
            <w:pPr>
              <w:pStyle w:val="Tabletext"/>
            </w:pPr>
            <w:r w:rsidRPr="002B1A95">
              <w:t>72</w:t>
            </w:r>
          </w:p>
        </w:tc>
        <w:tc>
          <w:tcPr>
            <w:tcW w:w="1138" w:type="pct"/>
            <w:shd w:val="clear" w:color="auto" w:fill="auto"/>
          </w:tcPr>
          <w:p w:rsidR="007D17C5" w:rsidRPr="002B1A95" w:rsidRDefault="007D17C5" w:rsidP="009558BE">
            <w:pPr>
              <w:pStyle w:val="Tabletext"/>
              <w:spacing w:before="50"/>
            </w:pPr>
            <w:r w:rsidRPr="002B1A95">
              <w:t>89</w:t>
            </w:r>
          </w:p>
        </w:tc>
        <w:tc>
          <w:tcPr>
            <w:tcW w:w="1931" w:type="pct"/>
            <w:shd w:val="clear" w:color="auto" w:fill="auto"/>
            <w:vAlign w:val="bottom"/>
          </w:tcPr>
          <w:p w:rsidR="007D17C5" w:rsidRPr="002B1A95" w:rsidRDefault="007D17C5" w:rsidP="009558BE">
            <w:pPr>
              <w:pStyle w:val="Tabletext"/>
              <w:spacing w:before="50"/>
            </w:pPr>
            <w:r w:rsidRPr="002B1A95">
              <w:t>5.728</w:t>
            </w:r>
          </w:p>
        </w:tc>
        <w:tc>
          <w:tcPr>
            <w:tcW w:w="1499" w:type="pct"/>
            <w:shd w:val="clear" w:color="auto" w:fill="auto"/>
          </w:tcPr>
          <w:p w:rsidR="007D17C5" w:rsidRPr="002B1A95" w:rsidRDefault="007D17C5" w:rsidP="009558BE">
            <w:pPr>
              <w:pStyle w:val="Tabletext"/>
              <w:spacing w:before="50"/>
            </w:pPr>
            <w:r w:rsidRPr="002B1A95">
              <w:t>5.171</w:t>
            </w:r>
          </w:p>
        </w:tc>
      </w:tr>
      <w:tr w:rsidR="007D17C5" w:rsidRPr="002B1A95" w:rsidTr="009558BE">
        <w:tc>
          <w:tcPr>
            <w:tcW w:w="431" w:type="pct"/>
            <w:shd w:val="clear" w:color="auto" w:fill="auto"/>
          </w:tcPr>
          <w:p w:rsidR="007D17C5" w:rsidRPr="002B1A95" w:rsidRDefault="007D17C5" w:rsidP="009558BE">
            <w:pPr>
              <w:pStyle w:val="Tabletext"/>
            </w:pPr>
            <w:r w:rsidRPr="002B1A95">
              <w:t>73</w:t>
            </w:r>
          </w:p>
        </w:tc>
        <w:tc>
          <w:tcPr>
            <w:tcW w:w="1138" w:type="pct"/>
            <w:shd w:val="clear" w:color="auto" w:fill="auto"/>
          </w:tcPr>
          <w:p w:rsidR="007D17C5" w:rsidRPr="002B1A95" w:rsidRDefault="007D17C5" w:rsidP="009558BE">
            <w:pPr>
              <w:pStyle w:val="Tabletext"/>
              <w:spacing w:before="50"/>
            </w:pPr>
            <w:r w:rsidRPr="002B1A95">
              <w:t>90</w:t>
            </w:r>
          </w:p>
        </w:tc>
        <w:tc>
          <w:tcPr>
            <w:tcW w:w="1931" w:type="pct"/>
            <w:shd w:val="clear" w:color="auto" w:fill="auto"/>
            <w:vAlign w:val="bottom"/>
          </w:tcPr>
          <w:p w:rsidR="007D17C5" w:rsidRPr="002B1A95" w:rsidRDefault="007D17C5" w:rsidP="009558BE">
            <w:pPr>
              <w:pStyle w:val="Tabletext"/>
              <w:spacing w:before="50"/>
            </w:pPr>
            <w:r w:rsidRPr="002B1A95">
              <w:t>5.465</w:t>
            </w:r>
          </w:p>
        </w:tc>
        <w:tc>
          <w:tcPr>
            <w:tcW w:w="1499" w:type="pct"/>
            <w:shd w:val="clear" w:color="auto" w:fill="auto"/>
          </w:tcPr>
          <w:p w:rsidR="007D17C5" w:rsidRPr="002B1A95" w:rsidRDefault="007D17C5" w:rsidP="009558BE">
            <w:pPr>
              <w:pStyle w:val="Tabletext"/>
              <w:spacing w:before="50"/>
            </w:pPr>
            <w:r w:rsidRPr="002B1A95">
              <w:t>4.954</w:t>
            </w:r>
          </w:p>
        </w:tc>
      </w:tr>
      <w:tr w:rsidR="007D17C5" w:rsidRPr="002B1A95" w:rsidTr="009558BE">
        <w:tc>
          <w:tcPr>
            <w:tcW w:w="431" w:type="pct"/>
            <w:shd w:val="clear" w:color="auto" w:fill="auto"/>
          </w:tcPr>
          <w:p w:rsidR="007D17C5" w:rsidRPr="002B1A95" w:rsidRDefault="007D17C5" w:rsidP="009558BE">
            <w:pPr>
              <w:pStyle w:val="Tabletext"/>
            </w:pPr>
            <w:r w:rsidRPr="002B1A95">
              <w:t>74</w:t>
            </w:r>
          </w:p>
        </w:tc>
        <w:tc>
          <w:tcPr>
            <w:tcW w:w="1138" w:type="pct"/>
            <w:shd w:val="clear" w:color="auto" w:fill="auto"/>
          </w:tcPr>
          <w:p w:rsidR="007D17C5" w:rsidRPr="002B1A95" w:rsidRDefault="007D17C5" w:rsidP="009558BE">
            <w:pPr>
              <w:pStyle w:val="Tabletext"/>
              <w:spacing w:before="50"/>
            </w:pPr>
            <w:r w:rsidRPr="002B1A95">
              <w:t>91</w:t>
            </w:r>
          </w:p>
        </w:tc>
        <w:tc>
          <w:tcPr>
            <w:tcW w:w="1931" w:type="pct"/>
            <w:shd w:val="clear" w:color="auto" w:fill="auto"/>
            <w:vAlign w:val="bottom"/>
          </w:tcPr>
          <w:p w:rsidR="007D17C5" w:rsidRPr="002B1A95" w:rsidRDefault="007D17C5" w:rsidP="009558BE">
            <w:pPr>
              <w:pStyle w:val="Tabletext"/>
              <w:spacing w:before="50"/>
            </w:pPr>
            <w:r w:rsidRPr="002B1A95">
              <w:t>5.218</w:t>
            </w:r>
          </w:p>
        </w:tc>
        <w:tc>
          <w:tcPr>
            <w:tcW w:w="1499" w:type="pct"/>
            <w:shd w:val="clear" w:color="auto" w:fill="auto"/>
          </w:tcPr>
          <w:p w:rsidR="007D17C5" w:rsidRPr="002B1A95" w:rsidRDefault="007D17C5" w:rsidP="009558BE">
            <w:pPr>
              <w:pStyle w:val="Tabletext"/>
              <w:spacing w:before="50"/>
            </w:pPr>
            <w:r w:rsidRPr="002B1A95">
              <w:t>4.750</w:t>
            </w:r>
          </w:p>
        </w:tc>
      </w:tr>
      <w:tr w:rsidR="007D17C5" w:rsidRPr="002B1A95" w:rsidTr="009558BE">
        <w:tc>
          <w:tcPr>
            <w:tcW w:w="431" w:type="pct"/>
            <w:shd w:val="clear" w:color="auto" w:fill="auto"/>
          </w:tcPr>
          <w:p w:rsidR="007D17C5" w:rsidRPr="002B1A95" w:rsidRDefault="007D17C5" w:rsidP="009558BE">
            <w:pPr>
              <w:pStyle w:val="Tabletext"/>
            </w:pPr>
            <w:r w:rsidRPr="002B1A95">
              <w:t>75</w:t>
            </w:r>
          </w:p>
        </w:tc>
        <w:tc>
          <w:tcPr>
            <w:tcW w:w="1138" w:type="pct"/>
            <w:shd w:val="clear" w:color="auto" w:fill="auto"/>
          </w:tcPr>
          <w:p w:rsidR="007D17C5" w:rsidRPr="002B1A95" w:rsidRDefault="007D17C5" w:rsidP="009558BE">
            <w:pPr>
              <w:pStyle w:val="Tabletext"/>
              <w:spacing w:before="50"/>
            </w:pPr>
            <w:r w:rsidRPr="002B1A95">
              <w:t>92</w:t>
            </w:r>
          </w:p>
        </w:tc>
        <w:tc>
          <w:tcPr>
            <w:tcW w:w="1931" w:type="pct"/>
            <w:shd w:val="clear" w:color="auto" w:fill="auto"/>
            <w:vAlign w:val="bottom"/>
          </w:tcPr>
          <w:p w:rsidR="007D17C5" w:rsidRPr="002B1A95" w:rsidRDefault="007D17C5" w:rsidP="009558BE">
            <w:pPr>
              <w:pStyle w:val="Tabletext"/>
              <w:spacing w:before="50"/>
            </w:pPr>
            <w:r w:rsidRPr="002B1A95">
              <w:t>4.991</w:t>
            </w:r>
          </w:p>
        </w:tc>
        <w:tc>
          <w:tcPr>
            <w:tcW w:w="1499" w:type="pct"/>
            <w:shd w:val="clear" w:color="auto" w:fill="auto"/>
          </w:tcPr>
          <w:p w:rsidR="007D17C5" w:rsidRPr="002B1A95" w:rsidRDefault="007D17C5" w:rsidP="009558BE">
            <w:pPr>
              <w:pStyle w:val="Tabletext"/>
              <w:spacing w:before="50"/>
            </w:pPr>
            <w:r w:rsidRPr="002B1A95">
              <w:t>4.561</w:t>
            </w:r>
          </w:p>
        </w:tc>
      </w:tr>
      <w:tr w:rsidR="007D17C5" w:rsidRPr="002B1A95" w:rsidTr="009558BE">
        <w:tc>
          <w:tcPr>
            <w:tcW w:w="431" w:type="pct"/>
            <w:shd w:val="clear" w:color="auto" w:fill="auto"/>
          </w:tcPr>
          <w:p w:rsidR="007D17C5" w:rsidRPr="002B1A95" w:rsidRDefault="007D17C5" w:rsidP="009558BE">
            <w:pPr>
              <w:pStyle w:val="Tabletext"/>
            </w:pPr>
            <w:r w:rsidRPr="002B1A95">
              <w:t>76</w:t>
            </w:r>
          </w:p>
        </w:tc>
        <w:tc>
          <w:tcPr>
            <w:tcW w:w="1138" w:type="pct"/>
            <w:shd w:val="clear" w:color="auto" w:fill="auto"/>
          </w:tcPr>
          <w:p w:rsidR="007D17C5" w:rsidRPr="002B1A95" w:rsidRDefault="007D17C5" w:rsidP="009558BE">
            <w:pPr>
              <w:pStyle w:val="Tabletext"/>
              <w:spacing w:before="50"/>
            </w:pPr>
            <w:r w:rsidRPr="002B1A95">
              <w:t>93</w:t>
            </w:r>
          </w:p>
        </w:tc>
        <w:tc>
          <w:tcPr>
            <w:tcW w:w="1931" w:type="pct"/>
            <w:shd w:val="clear" w:color="auto" w:fill="auto"/>
            <w:vAlign w:val="bottom"/>
          </w:tcPr>
          <w:p w:rsidR="007D17C5" w:rsidRPr="002B1A95" w:rsidRDefault="007D17C5" w:rsidP="009558BE">
            <w:pPr>
              <w:pStyle w:val="Tabletext"/>
              <w:spacing w:before="50"/>
            </w:pPr>
            <w:r w:rsidRPr="002B1A95">
              <w:t>4.773</w:t>
            </w:r>
          </w:p>
        </w:tc>
        <w:tc>
          <w:tcPr>
            <w:tcW w:w="1499" w:type="pct"/>
            <w:shd w:val="clear" w:color="auto" w:fill="auto"/>
          </w:tcPr>
          <w:p w:rsidR="007D17C5" w:rsidRPr="002B1A95" w:rsidRDefault="007D17C5" w:rsidP="009558BE">
            <w:pPr>
              <w:pStyle w:val="Tabletext"/>
              <w:spacing w:before="50"/>
            </w:pPr>
            <w:r w:rsidRPr="002B1A95">
              <w:t>4.379</w:t>
            </w:r>
          </w:p>
        </w:tc>
      </w:tr>
      <w:tr w:rsidR="007D17C5" w:rsidRPr="002B1A95" w:rsidTr="009558BE">
        <w:tc>
          <w:tcPr>
            <w:tcW w:w="431" w:type="pct"/>
            <w:tcBorders>
              <w:bottom w:val="single" w:sz="2" w:space="0" w:color="auto"/>
            </w:tcBorders>
            <w:shd w:val="clear" w:color="auto" w:fill="auto"/>
          </w:tcPr>
          <w:p w:rsidR="007D17C5" w:rsidRPr="002B1A95" w:rsidRDefault="007D17C5" w:rsidP="009558BE">
            <w:pPr>
              <w:pStyle w:val="Tabletext"/>
            </w:pPr>
            <w:r w:rsidRPr="002B1A95">
              <w:t>77</w:t>
            </w:r>
          </w:p>
        </w:tc>
        <w:tc>
          <w:tcPr>
            <w:tcW w:w="1138" w:type="pct"/>
            <w:tcBorders>
              <w:bottom w:val="single" w:sz="2" w:space="0" w:color="auto"/>
            </w:tcBorders>
            <w:shd w:val="clear" w:color="auto" w:fill="auto"/>
          </w:tcPr>
          <w:p w:rsidR="007D17C5" w:rsidRPr="002B1A95" w:rsidRDefault="007D17C5" w:rsidP="009558BE">
            <w:pPr>
              <w:pStyle w:val="Tabletext"/>
              <w:spacing w:before="50"/>
            </w:pPr>
            <w:r w:rsidRPr="002B1A95">
              <w:t>94</w:t>
            </w:r>
          </w:p>
        </w:tc>
        <w:tc>
          <w:tcPr>
            <w:tcW w:w="1931" w:type="pct"/>
            <w:tcBorders>
              <w:bottom w:val="single" w:sz="2" w:space="0" w:color="auto"/>
            </w:tcBorders>
            <w:shd w:val="clear" w:color="auto" w:fill="auto"/>
            <w:vAlign w:val="bottom"/>
          </w:tcPr>
          <w:p w:rsidR="007D17C5" w:rsidRPr="002B1A95" w:rsidRDefault="007D17C5" w:rsidP="009558BE">
            <w:pPr>
              <w:pStyle w:val="Tabletext"/>
              <w:spacing w:before="50"/>
            </w:pPr>
            <w:r w:rsidRPr="002B1A95">
              <w:t>4.566</w:t>
            </w:r>
          </w:p>
        </w:tc>
        <w:tc>
          <w:tcPr>
            <w:tcW w:w="1499" w:type="pct"/>
            <w:tcBorders>
              <w:bottom w:val="single" w:sz="2" w:space="0" w:color="auto"/>
            </w:tcBorders>
            <w:shd w:val="clear" w:color="auto" w:fill="auto"/>
          </w:tcPr>
          <w:p w:rsidR="007D17C5" w:rsidRPr="002B1A95" w:rsidRDefault="007D17C5" w:rsidP="009558BE">
            <w:pPr>
              <w:pStyle w:val="Tabletext"/>
              <w:spacing w:before="50"/>
            </w:pPr>
            <w:r w:rsidRPr="002B1A95">
              <w:t>4.205</w:t>
            </w:r>
          </w:p>
        </w:tc>
      </w:tr>
      <w:tr w:rsidR="007D17C5" w:rsidRPr="002B1A95" w:rsidTr="009558BE">
        <w:tc>
          <w:tcPr>
            <w:tcW w:w="431" w:type="pct"/>
            <w:tcBorders>
              <w:top w:val="single" w:sz="2" w:space="0" w:color="auto"/>
              <w:bottom w:val="single" w:sz="12" w:space="0" w:color="auto"/>
            </w:tcBorders>
            <w:shd w:val="clear" w:color="auto" w:fill="auto"/>
          </w:tcPr>
          <w:p w:rsidR="007D17C5" w:rsidRPr="002B1A95" w:rsidRDefault="007D17C5" w:rsidP="009558BE">
            <w:pPr>
              <w:pStyle w:val="Tabletext"/>
            </w:pPr>
            <w:r w:rsidRPr="002B1A95">
              <w:t>78</w:t>
            </w:r>
          </w:p>
        </w:tc>
        <w:tc>
          <w:tcPr>
            <w:tcW w:w="1138" w:type="pct"/>
            <w:tcBorders>
              <w:top w:val="single" w:sz="2" w:space="0" w:color="auto"/>
              <w:bottom w:val="single" w:sz="12" w:space="0" w:color="auto"/>
            </w:tcBorders>
            <w:shd w:val="clear" w:color="auto" w:fill="auto"/>
          </w:tcPr>
          <w:p w:rsidR="007D17C5" w:rsidRPr="002B1A95" w:rsidRDefault="007D17C5" w:rsidP="009558BE">
            <w:pPr>
              <w:pStyle w:val="Tabletext"/>
              <w:spacing w:before="50"/>
            </w:pPr>
            <w:r w:rsidRPr="002B1A95">
              <w:t>95</w:t>
            </w:r>
          </w:p>
        </w:tc>
        <w:tc>
          <w:tcPr>
            <w:tcW w:w="1931" w:type="pct"/>
            <w:tcBorders>
              <w:top w:val="single" w:sz="2" w:space="0" w:color="auto"/>
              <w:bottom w:val="single" w:sz="12" w:space="0" w:color="auto"/>
            </w:tcBorders>
            <w:shd w:val="clear" w:color="auto" w:fill="auto"/>
            <w:vAlign w:val="bottom"/>
          </w:tcPr>
          <w:p w:rsidR="007D17C5" w:rsidRPr="002B1A95" w:rsidRDefault="007D17C5" w:rsidP="009558BE">
            <w:pPr>
              <w:pStyle w:val="Tabletext"/>
              <w:spacing w:before="50"/>
            </w:pPr>
            <w:r w:rsidRPr="002B1A95">
              <w:t>4.360</w:t>
            </w:r>
          </w:p>
        </w:tc>
        <w:tc>
          <w:tcPr>
            <w:tcW w:w="1499" w:type="pct"/>
            <w:tcBorders>
              <w:top w:val="single" w:sz="2" w:space="0" w:color="auto"/>
              <w:bottom w:val="single" w:sz="12" w:space="0" w:color="auto"/>
            </w:tcBorders>
            <w:shd w:val="clear" w:color="auto" w:fill="auto"/>
          </w:tcPr>
          <w:p w:rsidR="007D17C5" w:rsidRPr="002B1A95" w:rsidRDefault="007D17C5" w:rsidP="009558BE">
            <w:pPr>
              <w:pStyle w:val="Tabletext"/>
              <w:spacing w:before="50"/>
            </w:pPr>
            <w:r w:rsidRPr="002B1A95">
              <w:t>4.031</w:t>
            </w:r>
          </w:p>
        </w:tc>
      </w:tr>
    </w:tbl>
    <w:p w:rsidR="007D17C5" w:rsidRPr="002B1A95" w:rsidRDefault="007D17C5" w:rsidP="007D17C5">
      <w:pPr>
        <w:pStyle w:val="subsection"/>
      </w:pPr>
      <w:r w:rsidRPr="002B1A95">
        <w:tab/>
        <w:t>(4)</w:t>
      </w:r>
      <w:r w:rsidRPr="002B1A95">
        <w:tab/>
        <w:t>The following is table 2.</w:t>
      </w:r>
    </w:p>
    <w:p w:rsidR="007D17C5" w:rsidRPr="002B1A95" w:rsidRDefault="007D17C5" w:rsidP="007D17C5">
      <w:pPr>
        <w:pStyle w:val="Tabletext"/>
      </w:pPr>
    </w:p>
    <w:tbl>
      <w:tblPr>
        <w:tblW w:w="8506" w:type="dxa"/>
        <w:tblInd w:w="-34"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861"/>
        <w:gridCol w:w="1833"/>
        <w:gridCol w:w="3233"/>
        <w:gridCol w:w="2579"/>
      </w:tblGrid>
      <w:tr w:rsidR="007D17C5" w:rsidRPr="002B1A95" w:rsidTr="009558BE">
        <w:trPr>
          <w:tblHeader/>
        </w:trPr>
        <w:tc>
          <w:tcPr>
            <w:tcW w:w="8506" w:type="dxa"/>
            <w:gridSpan w:val="4"/>
            <w:tcBorders>
              <w:top w:val="single" w:sz="12" w:space="0" w:color="auto"/>
              <w:bottom w:val="single" w:sz="6" w:space="0" w:color="auto"/>
            </w:tcBorders>
            <w:shd w:val="clear" w:color="auto" w:fill="auto"/>
          </w:tcPr>
          <w:p w:rsidR="007D17C5" w:rsidRPr="002B1A95" w:rsidRDefault="007D17C5" w:rsidP="009558BE">
            <w:pPr>
              <w:pStyle w:val="TableHeading"/>
            </w:pPr>
            <w:r w:rsidRPr="002B1A95">
              <w:t>Table 2</w:t>
            </w:r>
          </w:p>
        </w:tc>
      </w:tr>
      <w:tr w:rsidR="007D17C5" w:rsidRPr="002B1A95" w:rsidTr="009558BE">
        <w:trPr>
          <w:tblHeader/>
        </w:trPr>
        <w:tc>
          <w:tcPr>
            <w:tcW w:w="861" w:type="dxa"/>
            <w:tcBorders>
              <w:top w:val="single" w:sz="6" w:space="0" w:color="auto"/>
              <w:bottom w:val="single" w:sz="12" w:space="0" w:color="auto"/>
            </w:tcBorders>
            <w:shd w:val="clear" w:color="auto" w:fill="auto"/>
          </w:tcPr>
          <w:p w:rsidR="007D17C5" w:rsidRPr="002B1A95" w:rsidRDefault="007D17C5" w:rsidP="009558BE">
            <w:pPr>
              <w:pStyle w:val="TableHeading"/>
            </w:pPr>
            <w:r w:rsidRPr="002B1A95">
              <w:t>Item</w:t>
            </w:r>
          </w:p>
        </w:tc>
        <w:tc>
          <w:tcPr>
            <w:tcW w:w="1833" w:type="dxa"/>
            <w:tcBorders>
              <w:top w:val="single" w:sz="6" w:space="0" w:color="auto"/>
              <w:bottom w:val="single" w:sz="12" w:space="0" w:color="auto"/>
            </w:tcBorders>
            <w:shd w:val="clear" w:color="auto" w:fill="auto"/>
          </w:tcPr>
          <w:p w:rsidR="007D17C5" w:rsidRPr="002B1A95" w:rsidRDefault="007D17C5" w:rsidP="009558BE">
            <w:pPr>
              <w:pStyle w:val="TableHeading"/>
              <w:rPr>
                <w:sz w:val="19"/>
                <w:szCs w:val="19"/>
              </w:rPr>
            </w:pPr>
            <w:r w:rsidRPr="002B1A95">
              <w:rPr>
                <w:sz w:val="19"/>
                <w:szCs w:val="19"/>
              </w:rPr>
              <w:t>Number of years</w:t>
            </w:r>
          </w:p>
        </w:tc>
        <w:tc>
          <w:tcPr>
            <w:tcW w:w="3233" w:type="dxa"/>
            <w:tcBorders>
              <w:top w:val="single" w:sz="6" w:space="0" w:color="auto"/>
              <w:bottom w:val="single" w:sz="12" w:space="0" w:color="auto"/>
            </w:tcBorders>
            <w:shd w:val="clear" w:color="auto" w:fill="auto"/>
          </w:tcPr>
          <w:p w:rsidR="007D17C5" w:rsidRPr="002B1A95" w:rsidRDefault="007D17C5" w:rsidP="009558BE">
            <w:pPr>
              <w:pStyle w:val="TableHeading"/>
              <w:rPr>
                <w:sz w:val="19"/>
                <w:szCs w:val="19"/>
              </w:rPr>
            </w:pPr>
            <w:r w:rsidRPr="002B1A95">
              <w:rPr>
                <w:sz w:val="19"/>
                <w:szCs w:val="19"/>
              </w:rPr>
              <w:t>Factor for indexed fixed</w:t>
            </w:r>
            <w:r w:rsidR="00782250">
              <w:rPr>
                <w:sz w:val="19"/>
                <w:szCs w:val="19"/>
              </w:rPr>
              <w:noBreakHyphen/>
            </w:r>
            <w:r w:rsidRPr="002B1A95">
              <w:rPr>
                <w:sz w:val="19"/>
                <w:szCs w:val="19"/>
              </w:rPr>
              <w:t>term income stream</w:t>
            </w:r>
          </w:p>
        </w:tc>
        <w:tc>
          <w:tcPr>
            <w:tcW w:w="2579" w:type="dxa"/>
            <w:tcBorders>
              <w:top w:val="single" w:sz="6" w:space="0" w:color="auto"/>
              <w:bottom w:val="single" w:sz="12" w:space="0" w:color="auto"/>
            </w:tcBorders>
            <w:shd w:val="clear" w:color="auto" w:fill="auto"/>
          </w:tcPr>
          <w:p w:rsidR="007D17C5" w:rsidRPr="002B1A95" w:rsidRDefault="007D17C5" w:rsidP="009558BE">
            <w:pPr>
              <w:pStyle w:val="TableHeading"/>
              <w:rPr>
                <w:sz w:val="19"/>
                <w:szCs w:val="19"/>
              </w:rPr>
            </w:pPr>
            <w:r w:rsidRPr="002B1A95">
              <w:rPr>
                <w:sz w:val="19"/>
                <w:szCs w:val="19"/>
              </w:rPr>
              <w:t>Factor for non</w:t>
            </w:r>
            <w:r w:rsidR="00782250">
              <w:rPr>
                <w:sz w:val="19"/>
                <w:szCs w:val="19"/>
              </w:rPr>
              <w:noBreakHyphen/>
            </w:r>
            <w:r w:rsidRPr="002B1A95">
              <w:rPr>
                <w:sz w:val="19"/>
                <w:szCs w:val="19"/>
              </w:rPr>
              <w:t>indexed fixed</w:t>
            </w:r>
            <w:r w:rsidR="00782250">
              <w:rPr>
                <w:sz w:val="19"/>
                <w:szCs w:val="19"/>
              </w:rPr>
              <w:noBreakHyphen/>
            </w:r>
            <w:r w:rsidRPr="002B1A95">
              <w:rPr>
                <w:sz w:val="19"/>
                <w:szCs w:val="19"/>
              </w:rPr>
              <w:t>term income stream</w:t>
            </w:r>
          </w:p>
        </w:tc>
      </w:tr>
      <w:tr w:rsidR="007D17C5" w:rsidRPr="002B1A95" w:rsidTr="009558BE">
        <w:tc>
          <w:tcPr>
            <w:tcW w:w="861" w:type="dxa"/>
            <w:tcBorders>
              <w:top w:val="single" w:sz="12" w:space="0" w:color="auto"/>
            </w:tcBorders>
            <w:shd w:val="clear" w:color="auto" w:fill="auto"/>
          </w:tcPr>
          <w:p w:rsidR="007D17C5" w:rsidRPr="002B1A95" w:rsidRDefault="007D17C5" w:rsidP="009558BE">
            <w:pPr>
              <w:pStyle w:val="Tabletext"/>
            </w:pPr>
            <w:r w:rsidRPr="002B1A95">
              <w:t>1</w:t>
            </w:r>
          </w:p>
        </w:tc>
        <w:tc>
          <w:tcPr>
            <w:tcW w:w="1833" w:type="dxa"/>
            <w:tcBorders>
              <w:top w:val="single" w:sz="12" w:space="0" w:color="auto"/>
            </w:tcBorders>
            <w:shd w:val="clear" w:color="auto" w:fill="auto"/>
          </w:tcPr>
          <w:p w:rsidR="007D17C5" w:rsidRPr="002B1A95" w:rsidRDefault="007D17C5" w:rsidP="009558BE">
            <w:pPr>
              <w:pStyle w:val="Tabletext"/>
            </w:pPr>
            <w:r w:rsidRPr="002B1A95">
              <w:t>0</w:t>
            </w:r>
          </w:p>
        </w:tc>
        <w:tc>
          <w:tcPr>
            <w:tcW w:w="3233" w:type="dxa"/>
            <w:tcBorders>
              <w:top w:val="single" w:sz="12" w:space="0" w:color="auto"/>
            </w:tcBorders>
            <w:shd w:val="clear" w:color="auto" w:fill="auto"/>
          </w:tcPr>
          <w:p w:rsidR="007D17C5" w:rsidRPr="002B1A95" w:rsidRDefault="007D17C5" w:rsidP="009558BE">
            <w:pPr>
              <w:pStyle w:val="Tabletext"/>
            </w:pPr>
            <w:r w:rsidRPr="002B1A95">
              <w:t>0.000</w:t>
            </w:r>
          </w:p>
        </w:tc>
        <w:tc>
          <w:tcPr>
            <w:tcW w:w="2579" w:type="dxa"/>
            <w:tcBorders>
              <w:top w:val="single" w:sz="12" w:space="0" w:color="auto"/>
            </w:tcBorders>
            <w:shd w:val="clear" w:color="auto" w:fill="auto"/>
          </w:tcPr>
          <w:p w:rsidR="007D17C5" w:rsidRPr="002B1A95" w:rsidRDefault="007D17C5" w:rsidP="009558BE">
            <w:pPr>
              <w:pStyle w:val="Tabletext"/>
            </w:pPr>
            <w:r w:rsidRPr="002B1A95">
              <w:t>0.000</w:t>
            </w:r>
          </w:p>
        </w:tc>
      </w:tr>
      <w:tr w:rsidR="007D17C5" w:rsidRPr="002B1A95" w:rsidTr="009558BE">
        <w:tc>
          <w:tcPr>
            <w:tcW w:w="861" w:type="dxa"/>
            <w:shd w:val="clear" w:color="auto" w:fill="auto"/>
          </w:tcPr>
          <w:p w:rsidR="007D17C5" w:rsidRPr="002B1A95" w:rsidRDefault="007D17C5" w:rsidP="009558BE">
            <w:pPr>
              <w:pStyle w:val="Tabletext"/>
            </w:pPr>
            <w:r w:rsidRPr="002B1A95">
              <w:t>2</w:t>
            </w:r>
          </w:p>
        </w:tc>
        <w:tc>
          <w:tcPr>
            <w:tcW w:w="1833" w:type="dxa"/>
            <w:shd w:val="clear" w:color="auto" w:fill="auto"/>
          </w:tcPr>
          <w:p w:rsidR="007D17C5" w:rsidRPr="002B1A95" w:rsidRDefault="007D17C5" w:rsidP="009558BE">
            <w:pPr>
              <w:pStyle w:val="Tabletext"/>
            </w:pPr>
            <w:r w:rsidRPr="002B1A95">
              <w:t>1</w:t>
            </w:r>
          </w:p>
        </w:tc>
        <w:tc>
          <w:tcPr>
            <w:tcW w:w="3233" w:type="dxa"/>
            <w:shd w:val="clear" w:color="auto" w:fill="auto"/>
          </w:tcPr>
          <w:p w:rsidR="007D17C5" w:rsidRPr="002B1A95" w:rsidRDefault="007D17C5" w:rsidP="009558BE">
            <w:pPr>
              <w:pStyle w:val="Tabletext"/>
            </w:pPr>
            <w:r w:rsidRPr="002B1A95">
              <w:t>0.981</w:t>
            </w:r>
          </w:p>
        </w:tc>
        <w:tc>
          <w:tcPr>
            <w:tcW w:w="2579" w:type="dxa"/>
            <w:shd w:val="clear" w:color="auto" w:fill="auto"/>
          </w:tcPr>
          <w:p w:rsidR="007D17C5" w:rsidRPr="002B1A95" w:rsidRDefault="007D17C5" w:rsidP="009558BE">
            <w:pPr>
              <w:pStyle w:val="Tabletext"/>
            </w:pPr>
            <w:r w:rsidRPr="002B1A95">
              <w:t>0.969</w:t>
            </w:r>
          </w:p>
        </w:tc>
      </w:tr>
      <w:tr w:rsidR="007D17C5" w:rsidRPr="002B1A95" w:rsidTr="009558BE">
        <w:tc>
          <w:tcPr>
            <w:tcW w:w="861" w:type="dxa"/>
            <w:shd w:val="clear" w:color="auto" w:fill="auto"/>
          </w:tcPr>
          <w:p w:rsidR="007D17C5" w:rsidRPr="002B1A95" w:rsidRDefault="007D17C5" w:rsidP="009558BE">
            <w:pPr>
              <w:pStyle w:val="Tabletext"/>
            </w:pPr>
            <w:r w:rsidRPr="002B1A95">
              <w:t>3</w:t>
            </w:r>
          </w:p>
        </w:tc>
        <w:tc>
          <w:tcPr>
            <w:tcW w:w="1833" w:type="dxa"/>
            <w:shd w:val="clear" w:color="auto" w:fill="auto"/>
          </w:tcPr>
          <w:p w:rsidR="007D17C5" w:rsidRPr="002B1A95" w:rsidRDefault="007D17C5" w:rsidP="009558BE">
            <w:pPr>
              <w:pStyle w:val="Tabletext"/>
            </w:pPr>
            <w:r w:rsidRPr="002B1A95">
              <w:t>2</w:t>
            </w:r>
          </w:p>
        </w:tc>
        <w:tc>
          <w:tcPr>
            <w:tcW w:w="3233" w:type="dxa"/>
            <w:shd w:val="clear" w:color="auto" w:fill="auto"/>
          </w:tcPr>
          <w:p w:rsidR="007D17C5" w:rsidRPr="002B1A95" w:rsidRDefault="007D17C5" w:rsidP="009558BE">
            <w:pPr>
              <w:pStyle w:val="Tabletext"/>
            </w:pPr>
            <w:r w:rsidRPr="002B1A95">
              <w:t>1.925</w:t>
            </w:r>
          </w:p>
        </w:tc>
        <w:tc>
          <w:tcPr>
            <w:tcW w:w="2579" w:type="dxa"/>
            <w:shd w:val="clear" w:color="auto" w:fill="auto"/>
          </w:tcPr>
          <w:p w:rsidR="007D17C5" w:rsidRPr="002B1A95" w:rsidRDefault="007D17C5" w:rsidP="009558BE">
            <w:pPr>
              <w:pStyle w:val="Tabletext"/>
            </w:pPr>
            <w:r w:rsidRPr="002B1A95">
              <w:t>1.879</w:t>
            </w:r>
          </w:p>
        </w:tc>
      </w:tr>
      <w:tr w:rsidR="007D17C5" w:rsidRPr="002B1A95" w:rsidTr="009558BE">
        <w:tc>
          <w:tcPr>
            <w:tcW w:w="861" w:type="dxa"/>
            <w:shd w:val="clear" w:color="auto" w:fill="auto"/>
          </w:tcPr>
          <w:p w:rsidR="007D17C5" w:rsidRPr="002B1A95" w:rsidRDefault="007D17C5" w:rsidP="009558BE">
            <w:pPr>
              <w:pStyle w:val="Tabletext"/>
            </w:pPr>
            <w:r w:rsidRPr="002B1A95">
              <w:t>4</w:t>
            </w:r>
          </w:p>
        </w:tc>
        <w:tc>
          <w:tcPr>
            <w:tcW w:w="1833" w:type="dxa"/>
            <w:shd w:val="clear" w:color="auto" w:fill="auto"/>
          </w:tcPr>
          <w:p w:rsidR="007D17C5" w:rsidRPr="002B1A95" w:rsidRDefault="007D17C5" w:rsidP="009558BE">
            <w:pPr>
              <w:pStyle w:val="Tabletext"/>
            </w:pPr>
            <w:r w:rsidRPr="002B1A95">
              <w:t>3</w:t>
            </w:r>
          </w:p>
        </w:tc>
        <w:tc>
          <w:tcPr>
            <w:tcW w:w="3233" w:type="dxa"/>
            <w:shd w:val="clear" w:color="auto" w:fill="auto"/>
          </w:tcPr>
          <w:p w:rsidR="007D17C5" w:rsidRPr="002B1A95" w:rsidRDefault="007D17C5" w:rsidP="009558BE">
            <w:pPr>
              <w:pStyle w:val="Tabletext"/>
            </w:pPr>
            <w:r w:rsidRPr="002B1A95">
              <w:t>2.834</w:t>
            </w:r>
          </w:p>
        </w:tc>
        <w:tc>
          <w:tcPr>
            <w:tcW w:w="2579" w:type="dxa"/>
            <w:shd w:val="clear" w:color="auto" w:fill="auto"/>
          </w:tcPr>
          <w:p w:rsidR="007D17C5" w:rsidRPr="002B1A95" w:rsidRDefault="007D17C5" w:rsidP="009558BE">
            <w:pPr>
              <w:pStyle w:val="Tabletext"/>
            </w:pPr>
            <w:r w:rsidRPr="002B1A95">
              <w:t>2.734</w:t>
            </w:r>
          </w:p>
        </w:tc>
      </w:tr>
      <w:tr w:rsidR="007D17C5" w:rsidRPr="002B1A95" w:rsidTr="009558BE">
        <w:tc>
          <w:tcPr>
            <w:tcW w:w="861" w:type="dxa"/>
            <w:shd w:val="clear" w:color="auto" w:fill="auto"/>
          </w:tcPr>
          <w:p w:rsidR="007D17C5" w:rsidRPr="002B1A95" w:rsidRDefault="007D17C5" w:rsidP="009558BE">
            <w:pPr>
              <w:pStyle w:val="Tabletext"/>
            </w:pPr>
            <w:r w:rsidRPr="002B1A95">
              <w:t>5</w:t>
            </w:r>
          </w:p>
        </w:tc>
        <w:tc>
          <w:tcPr>
            <w:tcW w:w="1833" w:type="dxa"/>
            <w:shd w:val="clear" w:color="auto" w:fill="auto"/>
          </w:tcPr>
          <w:p w:rsidR="007D17C5" w:rsidRPr="002B1A95" w:rsidRDefault="007D17C5" w:rsidP="009558BE">
            <w:pPr>
              <w:pStyle w:val="Tabletext"/>
            </w:pPr>
            <w:r w:rsidRPr="002B1A95">
              <w:t>4</w:t>
            </w:r>
          </w:p>
        </w:tc>
        <w:tc>
          <w:tcPr>
            <w:tcW w:w="3233" w:type="dxa"/>
            <w:shd w:val="clear" w:color="auto" w:fill="auto"/>
          </w:tcPr>
          <w:p w:rsidR="007D17C5" w:rsidRPr="002B1A95" w:rsidRDefault="007D17C5" w:rsidP="009558BE">
            <w:pPr>
              <w:pStyle w:val="Tabletext"/>
            </w:pPr>
            <w:r w:rsidRPr="002B1A95">
              <w:t>3.709</w:t>
            </w:r>
          </w:p>
        </w:tc>
        <w:tc>
          <w:tcPr>
            <w:tcW w:w="2579" w:type="dxa"/>
            <w:shd w:val="clear" w:color="auto" w:fill="auto"/>
          </w:tcPr>
          <w:p w:rsidR="007D17C5" w:rsidRPr="002B1A95" w:rsidRDefault="007D17C5" w:rsidP="009558BE">
            <w:pPr>
              <w:pStyle w:val="Tabletext"/>
            </w:pPr>
            <w:r w:rsidRPr="002B1A95">
              <w:t>3.536</w:t>
            </w:r>
          </w:p>
        </w:tc>
      </w:tr>
      <w:tr w:rsidR="007D17C5" w:rsidRPr="002B1A95" w:rsidTr="009558BE">
        <w:tc>
          <w:tcPr>
            <w:tcW w:w="861" w:type="dxa"/>
            <w:shd w:val="clear" w:color="auto" w:fill="auto"/>
          </w:tcPr>
          <w:p w:rsidR="007D17C5" w:rsidRPr="002B1A95" w:rsidRDefault="007D17C5" w:rsidP="009558BE">
            <w:pPr>
              <w:pStyle w:val="Tabletext"/>
            </w:pPr>
            <w:r w:rsidRPr="002B1A95">
              <w:t>6</w:t>
            </w:r>
          </w:p>
        </w:tc>
        <w:tc>
          <w:tcPr>
            <w:tcW w:w="1833" w:type="dxa"/>
            <w:shd w:val="clear" w:color="auto" w:fill="auto"/>
          </w:tcPr>
          <w:p w:rsidR="007D17C5" w:rsidRPr="002B1A95" w:rsidRDefault="007D17C5" w:rsidP="009558BE">
            <w:pPr>
              <w:pStyle w:val="Tabletext"/>
            </w:pPr>
            <w:r w:rsidRPr="002B1A95">
              <w:t>5</w:t>
            </w:r>
          </w:p>
        </w:tc>
        <w:tc>
          <w:tcPr>
            <w:tcW w:w="3233" w:type="dxa"/>
            <w:shd w:val="clear" w:color="auto" w:fill="auto"/>
          </w:tcPr>
          <w:p w:rsidR="007D17C5" w:rsidRPr="002B1A95" w:rsidRDefault="007D17C5" w:rsidP="009558BE">
            <w:pPr>
              <w:pStyle w:val="Tabletext"/>
            </w:pPr>
            <w:r w:rsidRPr="002B1A95">
              <w:t>4.550</w:t>
            </w:r>
          </w:p>
        </w:tc>
        <w:tc>
          <w:tcPr>
            <w:tcW w:w="2579" w:type="dxa"/>
            <w:shd w:val="clear" w:color="auto" w:fill="auto"/>
          </w:tcPr>
          <w:p w:rsidR="007D17C5" w:rsidRPr="002B1A95" w:rsidRDefault="007D17C5" w:rsidP="009558BE">
            <w:pPr>
              <w:pStyle w:val="Tabletext"/>
            </w:pPr>
            <w:r w:rsidRPr="002B1A95">
              <w:t>4.289</w:t>
            </w:r>
          </w:p>
        </w:tc>
      </w:tr>
      <w:tr w:rsidR="007D17C5" w:rsidRPr="002B1A95" w:rsidTr="009558BE">
        <w:tc>
          <w:tcPr>
            <w:tcW w:w="861" w:type="dxa"/>
            <w:shd w:val="clear" w:color="auto" w:fill="auto"/>
          </w:tcPr>
          <w:p w:rsidR="007D17C5" w:rsidRPr="002B1A95" w:rsidRDefault="007D17C5" w:rsidP="009558BE">
            <w:pPr>
              <w:pStyle w:val="Tabletext"/>
            </w:pPr>
            <w:r w:rsidRPr="002B1A95">
              <w:lastRenderedPageBreak/>
              <w:t>7</w:t>
            </w:r>
          </w:p>
        </w:tc>
        <w:tc>
          <w:tcPr>
            <w:tcW w:w="1833" w:type="dxa"/>
            <w:shd w:val="clear" w:color="auto" w:fill="auto"/>
          </w:tcPr>
          <w:p w:rsidR="007D17C5" w:rsidRPr="002B1A95" w:rsidRDefault="007D17C5" w:rsidP="009558BE">
            <w:pPr>
              <w:pStyle w:val="Tabletext"/>
            </w:pPr>
            <w:r w:rsidRPr="002B1A95">
              <w:t>6</w:t>
            </w:r>
          </w:p>
        </w:tc>
        <w:tc>
          <w:tcPr>
            <w:tcW w:w="3233" w:type="dxa"/>
            <w:shd w:val="clear" w:color="auto" w:fill="auto"/>
          </w:tcPr>
          <w:p w:rsidR="007D17C5" w:rsidRPr="002B1A95" w:rsidRDefault="007D17C5" w:rsidP="009558BE">
            <w:pPr>
              <w:pStyle w:val="Tabletext"/>
            </w:pPr>
            <w:r w:rsidRPr="002B1A95">
              <w:t>5.360</w:t>
            </w:r>
          </w:p>
        </w:tc>
        <w:tc>
          <w:tcPr>
            <w:tcW w:w="2579" w:type="dxa"/>
            <w:shd w:val="clear" w:color="auto" w:fill="auto"/>
          </w:tcPr>
          <w:p w:rsidR="007D17C5" w:rsidRPr="002B1A95" w:rsidRDefault="007D17C5" w:rsidP="009558BE">
            <w:pPr>
              <w:pStyle w:val="Tabletext"/>
            </w:pPr>
            <w:r w:rsidRPr="002B1A95">
              <w:t>4.996</w:t>
            </w:r>
          </w:p>
        </w:tc>
      </w:tr>
      <w:tr w:rsidR="007D17C5" w:rsidRPr="002B1A95" w:rsidTr="009558BE">
        <w:tc>
          <w:tcPr>
            <w:tcW w:w="861" w:type="dxa"/>
            <w:shd w:val="clear" w:color="auto" w:fill="auto"/>
          </w:tcPr>
          <w:p w:rsidR="007D17C5" w:rsidRPr="002B1A95" w:rsidRDefault="007D17C5" w:rsidP="009558BE">
            <w:pPr>
              <w:pStyle w:val="Tabletext"/>
            </w:pPr>
            <w:r w:rsidRPr="002B1A95">
              <w:t>8</w:t>
            </w:r>
          </w:p>
        </w:tc>
        <w:tc>
          <w:tcPr>
            <w:tcW w:w="1833" w:type="dxa"/>
            <w:shd w:val="clear" w:color="auto" w:fill="auto"/>
          </w:tcPr>
          <w:p w:rsidR="007D17C5" w:rsidRPr="002B1A95" w:rsidRDefault="007D17C5" w:rsidP="009558BE">
            <w:pPr>
              <w:pStyle w:val="Tabletext"/>
            </w:pPr>
            <w:r w:rsidRPr="002B1A95">
              <w:t>7</w:t>
            </w:r>
          </w:p>
        </w:tc>
        <w:tc>
          <w:tcPr>
            <w:tcW w:w="3233" w:type="dxa"/>
            <w:shd w:val="clear" w:color="auto" w:fill="auto"/>
          </w:tcPr>
          <w:p w:rsidR="007D17C5" w:rsidRPr="002B1A95" w:rsidRDefault="007D17C5" w:rsidP="009558BE">
            <w:pPr>
              <w:pStyle w:val="Tabletext"/>
            </w:pPr>
            <w:r w:rsidRPr="002B1A95">
              <w:t>6.140</w:t>
            </w:r>
          </w:p>
        </w:tc>
        <w:tc>
          <w:tcPr>
            <w:tcW w:w="2579" w:type="dxa"/>
            <w:shd w:val="clear" w:color="auto" w:fill="auto"/>
          </w:tcPr>
          <w:p w:rsidR="007D17C5" w:rsidRPr="002B1A95" w:rsidRDefault="007D17C5" w:rsidP="009558BE">
            <w:pPr>
              <w:pStyle w:val="Tabletext"/>
            </w:pPr>
            <w:r w:rsidRPr="002B1A95">
              <w:t>5.661</w:t>
            </w:r>
          </w:p>
        </w:tc>
      </w:tr>
      <w:tr w:rsidR="007D17C5" w:rsidRPr="002B1A95" w:rsidTr="009558BE">
        <w:tc>
          <w:tcPr>
            <w:tcW w:w="861" w:type="dxa"/>
            <w:shd w:val="clear" w:color="auto" w:fill="auto"/>
          </w:tcPr>
          <w:p w:rsidR="007D17C5" w:rsidRPr="002B1A95" w:rsidRDefault="007D17C5" w:rsidP="009558BE">
            <w:pPr>
              <w:pStyle w:val="Tabletext"/>
            </w:pPr>
            <w:r w:rsidRPr="002B1A95">
              <w:t>9</w:t>
            </w:r>
          </w:p>
        </w:tc>
        <w:tc>
          <w:tcPr>
            <w:tcW w:w="1833" w:type="dxa"/>
            <w:shd w:val="clear" w:color="auto" w:fill="auto"/>
          </w:tcPr>
          <w:p w:rsidR="007D17C5" w:rsidRPr="002B1A95" w:rsidRDefault="007D17C5" w:rsidP="009558BE">
            <w:pPr>
              <w:pStyle w:val="Tabletext"/>
            </w:pPr>
            <w:r w:rsidRPr="002B1A95">
              <w:t>8</w:t>
            </w:r>
          </w:p>
        </w:tc>
        <w:tc>
          <w:tcPr>
            <w:tcW w:w="3233" w:type="dxa"/>
            <w:shd w:val="clear" w:color="auto" w:fill="auto"/>
          </w:tcPr>
          <w:p w:rsidR="007D17C5" w:rsidRPr="002B1A95" w:rsidRDefault="007D17C5" w:rsidP="009558BE">
            <w:pPr>
              <w:pStyle w:val="Tabletext"/>
            </w:pPr>
            <w:r w:rsidRPr="002B1A95">
              <w:t>6.891</w:t>
            </w:r>
          </w:p>
        </w:tc>
        <w:tc>
          <w:tcPr>
            <w:tcW w:w="2579" w:type="dxa"/>
            <w:shd w:val="clear" w:color="auto" w:fill="auto"/>
          </w:tcPr>
          <w:p w:rsidR="007D17C5" w:rsidRPr="002B1A95" w:rsidRDefault="007D17C5" w:rsidP="009558BE">
            <w:pPr>
              <w:pStyle w:val="Tabletext"/>
            </w:pPr>
            <w:r w:rsidRPr="002B1A95">
              <w:t>6.284</w:t>
            </w:r>
          </w:p>
        </w:tc>
      </w:tr>
      <w:tr w:rsidR="007D17C5" w:rsidRPr="002B1A95" w:rsidTr="009558BE">
        <w:tc>
          <w:tcPr>
            <w:tcW w:w="861" w:type="dxa"/>
            <w:shd w:val="clear" w:color="auto" w:fill="auto"/>
          </w:tcPr>
          <w:p w:rsidR="007D17C5" w:rsidRPr="002B1A95" w:rsidRDefault="007D17C5" w:rsidP="009558BE">
            <w:pPr>
              <w:pStyle w:val="Tabletext"/>
            </w:pPr>
            <w:r w:rsidRPr="002B1A95">
              <w:t>10</w:t>
            </w:r>
          </w:p>
        </w:tc>
        <w:tc>
          <w:tcPr>
            <w:tcW w:w="1833" w:type="dxa"/>
            <w:shd w:val="clear" w:color="auto" w:fill="auto"/>
          </w:tcPr>
          <w:p w:rsidR="007D17C5" w:rsidRPr="002B1A95" w:rsidRDefault="007D17C5" w:rsidP="009558BE">
            <w:pPr>
              <w:pStyle w:val="Tabletext"/>
            </w:pPr>
            <w:r w:rsidRPr="002B1A95">
              <w:t>9</w:t>
            </w:r>
          </w:p>
        </w:tc>
        <w:tc>
          <w:tcPr>
            <w:tcW w:w="3233" w:type="dxa"/>
            <w:shd w:val="clear" w:color="auto" w:fill="auto"/>
          </w:tcPr>
          <w:p w:rsidR="007D17C5" w:rsidRPr="002B1A95" w:rsidRDefault="007D17C5" w:rsidP="009558BE">
            <w:pPr>
              <w:pStyle w:val="Tabletext"/>
            </w:pPr>
            <w:r w:rsidRPr="002B1A95">
              <w:t>7.613</w:t>
            </w:r>
          </w:p>
        </w:tc>
        <w:tc>
          <w:tcPr>
            <w:tcW w:w="2579" w:type="dxa"/>
            <w:shd w:val="clear" w:color="auto" w:fill="auto"/>
          </w:tcPr>
          <w:p w:rsidR="007D17C5" w:rsidRPr="002B1A95" w:rsidRDefault="007D17C5" w:rsidP="009558BE">
            <w:pPr>
              <w:pStyle w:val="Tabletext"/>
            </w:pPr>
            <w:r w:rsidRPr="002B1A95">
              <w:t>6.870</w:t>
            </w:r>
          </w:p>
        </w:tc>
      </w:tr>
      <w:tr w:rsidR="007D17C5" w:rsidRPr="002B1A95" w:rsidTr="009558BE">
        <w:tc>
          <w:tcPr>
            <w:tcW w:w="861" w:type="dxa"/>
            <w:shd w:val="clear" w:color="auto" w:fill="auto"/>
          </w:tcPr>
          <w:p w:rsidR="007D17C5" w:rsidRPr="002B1A95" w:rsidRDefault="007D17C5" w:rsidP="009558BE">
            <w:pPr>
              <w:pStyle w:val="Tabletext"/>
            </w:pPr>
            <w:r w:rsidRPr="002B1A95">
              <w:t>11</w:t>
            </w:r>
          </w:p>
        </w:tc>
        <w:tc>
          <w:tcPr>
            <w:tcW w:w="1833" w:type="dxa"/>
            <w:shd w:val="clear" w:color="auto" w:fill="auto"/>
          </w:tcPr>
          <w:p w:rsidR="007D17C5" w:rsidRPr="002B1A95" w:rsidRDefault="007D17C5" w:rsidP="009558BE">
            <w:pPr>
              <w:pStyle w:val="Tabletext"/>
            </w:pPr>
            <w:r w:rsidRPr="002B1A95">
              <w:t>10</w:t>
            </w:r>
          </w:p>
        </w:tc>
        <w:tc>
          <w:tcPr>
            <w:tcW w:w="3233" w:type="dxa"/>
            <w:shd w:val="clear" w:color="auto" w:fill="auto"/>
          </w:tcPr>
          <w:p w:rsidR="007D17C5" w:rsidRPr="002B1A95" w:rsidRDefault="007D17C5" w:rsidP="009558BE">
            <w:pPr>
              <w:pStyle w:val="Tabletext"/>
            </w:pPr>
            <w:r w:rsidRPr="002B1A95">
              <w:t>8.308</w:t>
            </w:r>
          </w:p>
        </w:tc>
        <w:tc>
          <w:tcPr>
            <w:tcW w:w="2579" w:type="dxa"/>
            <w:shd w:val="clear" w:color="auto" w:fill="auto"/>
          </w:tcPr>
          <w:p w:rsidR="007D17C5" w:rsidRPr="002B1A95" w:rsidRDefault="007D17C5" w:rsidP="009558BE">
            <w:pPr>
              <w:pStyle w:val="Tabletext"/>
            </w:pPr>
            <w:r w:rsidRPr="002B1A95">
              <w:t>7.420</w:t>
            </w:r>
          </w:p>
        </w:tc>
      </w:tr>
      <w:tr w:rsidR="007D17C5" w:rsidRPr="002B1A95" w:rsidTr="009558BE">
        <w:tc>
          <w:tcPr>
            <w:tcW w:w="861" w:type="dxa"/>
            <w:shd w:val="clear" w:color="auto" w:fill="auto"/>
          </w:tcPr>
          <w:p w:rsidR="007D17C5" w:rsidRPr="002B1A95" w:rsidRDefault="007D17C5" w:rsidP="009558BE">
            <w:pPr>
              <w:pStyle w:val="Tabletext"/>
            </w:pPr>
            <w:r w:rsidRPr="002B1A95">
              <w:t>12</w:t>
            </w:r>
          </w:p>
        </w:tc>
        <w:tc>
          <w:tcPr>
            <w:tcW w:w="1833" w:type="dxa"/>
            <w:shd w:val="clear" w:color="auto" w:fill="auto"/>
          </w:tcPr>
          <w:p w:rsidR="007D17C5" w:rsidRPr="002B1A95" w:rsidRDefault="007D17C5" w:rsidP="009558BE">
            <w:pPr>
              <w:pStyle w:val="Tabletext"/>
            </w:pPr>
            <w:r w:rsidRPr="002B1A95">
              <w:t>11</w:t>
            </w:r>
          </w:p>
        </w:tc>
        <w:tc>
          <w:tcPr>
            <w:tcW w:w="3233" w:type="dxa"/>
            <w:shd w:val="clear" w:color="auto" w:fill="auto"/>
          </w:tcPr>
          <w:p w:rsidR="007D17C5" w:rsidRPr="002B1A95" w:rsidRDefault="007D17C5" w:rsidP="009558BE">
            <w:pPr>
              <w:pStyle w:val="Tabletext"/>
            </w:pPr>
            <w:r w:rsidRPr="002B1A95">
              <w:t>8.977</w:t>
            </w:r>
          </w:p>
        </w:tc>
        <w:tc>
          <w:tcPr>
            <w:tcW w:w="2579" w:type="dxa"/>
            <w:shd w:val="clear" w:color="auto" w:fill="auto"/>
          </w:tcPr>
          <w:p w:rsidR="007D17C5" w:rsidRPr="002B1A95" w:rsidRDefault="007D17C5" w:rsidP="009558BE">
            <w:pPr>
              <w:pStyle w:val="Tabletext"/>
            </w:pPr>
            <w:r w:rsidRPr="002B1A95">
              <w:t>7.936</w:t>
            </w:r>
          </w:p>
        </w:tc>
      </w:tr>
      <w:tr w:rsidR="007D17C5" w:rsidRPr="002B1A95" w:rsidTr="009558BE">
        <w:tc>
          <w:tcPr>
            <w:tcW w:w="861" w:type="dxa"/>
            <w:shd w:val="clear" w:color="auto" w:fill="auto"/>
          </w:tcPr>
          <w:p w:rsidR="007D17C5" w:rsidRPr="002B1A95" w:rsidRDefault="007D17C5" w:rsidP="009558BE">
            <w:pPr>
              <w:pStyle w:val="Tabletext"/>
            </w:pPr>
            <w:r w:rsidRPr="002B1A95">
              <w:t>13</w:t>
            </w:r>
          </w:p>
        </w:tc>
        <w:tc>
          <w:tcPr>
            <w:tcW w:w="1833" w:type="dxa"/>
            <w:shd w:val="clear" w:color="auto" w:fill="auto"/>
          </w:tcPr>
          <w:p w:rsidR="007D17C5" w:rsidRPr="002B1A95" w:rsidRDefault="007D17C5" w:rsidP="009558BE">
            <w:pPr>
              <w:pStyle w:val="Tabletext"/>
            </w:pPr>
            <w:r w:rsidRPr="002B1A95">
              <w:t>12</w:t>
            </w:r>
          </w:p>
        </w:tc>
        <w:tc>
          <w:tcPr>
            <w:tcW w:w="3233" w:type="dxa"/>
            <w:shd w:val="clear" w:color="auto" w:fill="auto"/>
          </w:tcPr>
          <w:p w:rsidR="007D17C5" w:rsidRPr="002B1A95" w:rsidRDefault="007D17C5" w:rsidP="009558BE">
            <w:pPr>
              <w:pStyle w:val="Tabletext"/>
            </w:pPr>
            <w:r w:rsidRPr="002B1A95">
              <w:t>9.621</w:t>
            </w:r>
          </w:p>
        </w:tc>
        <w:tc>
          <w:tcPr>
            <w:tcW w:w="2579" w:type="dxa"/>
            <w:shd w:val="clear" w:color="auto" w:fill="auto"/>
          </w:tcPr>
          <w:p w:rsidR="007D17C5" w:rsidRPr="002B1A95" w:rsidRDefault="007D17C5" w:rsidP="009558BE">
            <w:pPr>
              <w:pStyle w:val="Tabletext"/>
            </w:pPr>
            <w:r w:rsidRPr="002B1A95">
              <w:t>8.421</w:t>
            </w:r>
          </w:p>
        </w:tc>
      </w:tr>
      <w:tr w:rsidR="007D17C5" w:rsidRPr="002B1A95" w:rsidTr="009558BE">
        <w:tc>
          <w:tcPr>
            <w:tcW w:w="861" w:type="dxa"/>
            <w:shd w:val="clear" w:color="auto" w:fill="auto"/>
          </w:tcPr>
          <w:p w:rsidR="007D17C5" w:rsidRPr="002B1A95" w:rsidRDefault="007D17C5" w:rsidP="009558BE">
            <w:pPr>
              <w:pStyle w:val="Tabletext"/>
            </w:pPr>
            <w:r w:rsidRPr="002B1A95">
              <w:t>14</w:t>
            </w:r>
          </w:p>
        </w:tc>
        <w:tc>
          <w:tcPr>
            <w:tcW w:w="1833" w:type="dxa"/>
            <w:shd w:val="clear" w:color="auto" w:fill="auto"/>
          </w:tcPr>
          <w:p w:rsidR="007D17C5" w:rsidRPr="002B1A95" w:rsidRDefault="007D17C5" w:rsidP="009558BE">
            <w:pPr>
              <w:pStyle w:val="Tabletext"/>
            </w:pPr>
            <w:r w:rsidRPr="002B1A95">
              <w:t>13</w:t>
            </w:r>
          </w:p>
        </w:tc>
        <w:tc>
          <w:tcPr>
            <w:tcW w:w="3233" w:type="dxa"/>
            <w:shd w:val="clear" w:color="auto" w:fill="auto"/>
          </w:tcPr>
          <w:p w:rsidR="007D17C5" w:rsidRPr="002B1A95" w:rsidRDefault="007D17C5" w:rsidP="009558BE">
            <w:pPr>
              <w:pStyle w:val="Tabletext"/>
            </w:pPr>
            <w:r w:rsidRPr="002B1A95">
              <w:t>10.241</w:t>
            </w:r>
          </w:p>
        </w:tc>
        <w:tc>
          <w:tcPr>
            <w:tcW w:w="2579" w:type="dxa"/>
            <w:shd w:val="clear" w:color="auto" w:fill="auto"/>
          </w:tcPr>
          <w:p w:rsidR="007D17C5" w:rsidRPr="002B1A95" w:rsidRDefault="007D17C5" w:rsidP="009558BE">
            <w:pPr>
              <w:pStyle w:val="Tabletext"/>
            </w:pPr>
            <w:r w:rsidRPr="002B1A95">
              <w:t>8.876</w:t>
            </w:r>
          </w:p>
        </w:tc>
      </w:tr>
      <w:tr w:rsidR="007D17C5" w:rsidRPr="002B1A95" w:rsidTr="009558BE">
        <w:tc>
          <w:tcPr>
            <w:tcW w:w="861" w:type="dxa"/>
            <w:shd w:val="clear" w:color="auto" w:fill="auto"/>
          </w:tcPr>
          <w:p w:rsidR="007D17C5" w:rsidRPr="002B1A95" w:rsidRDefault="007D17C5" w:rsidP="009558BE">
            <w:pPr>
              <w:pStyle w:val="Tabletext"/>
            </w:pPr>
            <w:r w:rsidRPr="002B1A95">
              <w:t>15</w:t>
            </w:r>
          </w:p>
        </w:tc>
        <w:tc>
          <w:tcPr>
            <w:tcW w:w="1833" w:type="dxa"/>
            <w:shd w:val="clear" w:color="auto" w:fill="auto"/>
          </w:tcPr>
          <w:p w:rsidR="007D17C5" w:rsidRPr="002B1A95" w:rsidRDefault="007D17C5" w:rsidP="009558BE">
            <w:pPr>
              <w:pStyle w:val="Tabletext"/>
            </w:pPr>
            <w:r w:rsidRPr="002B1A95">
              <w:t>14</w:t>
            </w:r>
          </w:p>
        </w:tc>
        <w:tc>
          <w:tcPr>
            <w:tcW w:w="3233" w:type="dxa"/>
            <w:shd w:val="clear" w:color="auto" w:fill="auto"/>
          </w:tcPr>
          <w:p w:rsidR="007D17C5" w:rsidRPr="002B1A95" w:rsidRDefault="007D17C5" w:rsidP="009558BE">
            <w:pPr>
              <w:pStyle w:val="Tabletext"/>
            </w:pPr>
            <w:r w:rsidRPr="002B1A95">
              <w:t>10.837</w:t>
            </w:r>
          </w:p>
        </w:tc>
        <w:tc>
          <w:tcPr>
            <w:tcW w:w="2579" w:type="dxa"/>
            <w:shd w:val="clear" w:color="auto" w:fill="auto"/>
          </w:tcPr>
          <w:p w:rsidR="007D17C5" w:rsidRPr="002B1A95" w:rsidRDefault="007D17C5" w:rsidP="009558BE">
            <w:pPr>
              <w:pStyle w:val="Tabletext"/>
            </w:pPr>
            <w:r w:rsidRPr="002B1A95">
              <w:t>9.303</w:t>
            </w:r>
          </w:p>
        </w:tc>
      </w:tr>
      <w:tr w:rsidR="007D17C5" w:rsidRPr="002B1A95" w:rsidTr="009558BE">
        <w:tc>
          <w:tcPr>
            <w:tcW w:w="861" w:type="dxa"/>
            <w:shd w:val="clear" w:color="auto" w:fill="auto"/>
          </w:tcPr>
          <w:p w:rsidR="007D17C5" w:rsidRPr="002B1A95" w:rsidRDefault="007D17C5" w:rsidP="009558BE">
            <w:pPr>
              <w:pStyle w:val="Tabletext"/>
            </w:pPr>
            <w:r w:rsidRPr="002B1A95">
              <w:t>16</w:t>
            </w:r>
          </w:p>
        </w:tc>
        <w:tc>
          <w:tcPr>
            <w:tcW w:w="1833" w:type="dxa"/>
            <w:shd w:val="clear" w:color="auto" w:fill="auto"/>
          </w:tcPr>
          <w:p w:rsidR="007D17C5" w:rsidRPr="002B1A95" w:rsidRDefault="007D17C5" w:rsidP="009558BE">
            <w:pPr>
              <w:pStyle w:val="Tabletext"/>
            </w:pPr>
            <w:r w:rsidRPr="002B1A95">
              <w:t>15</w:t>
            </w:r>
          </w:p>
        </w:tc>
        <w:tc>
          <w:tcPr>
            <w:tcW w:w="3233" w:type="dxa"/>
            <w:shd w:val="clear" w:color="auto" w:fill="auto"/>
          </w:tcPr>
          <w:p w:rsidR="007D17C5" w:rsidRPr="002B1A95" w:rsidRDefault="007D17C5" w:rsidP="009558BE">
            <w:pPr>
              <w:pStyle w:val="Tabletext"/>
            </w:pPr>
            <w:r w:rsidRPr="002B1A95">
              <w:t>11.411</w:t>
            </w:r>
          </w:p>
        </w:tc>
        <w:tc>
          <w:tcPr>
            <w:tcW w:w="2579" w:type="dxa"/>
            <w:shd w:val="clear" w:color="auto" w:fill="auto"/>
          </w:tcPr>
          <w:p w:rsidR="007D17C5" w:rsidRPr="002B1A95" w:rsidRDefault="007D17C5" w:rsidP="009558BE">
            <w:pPr>
              <w:pStyle w:val="Tabletext"/>
            </w:pPr>
            <w:r w:rsidRPr="002B1A95">
              <w:t>9.705</w:t>
            </w:r>
          </w:p>
        </w:tc>
      </w:tr>
      <w:tr w:rsidR="007D17C5" w:rsidRPr="002B1A95" w:rsidTr="009558BE">
        <w:tc>
          <w:tcPr>
            <w:tcW w:w="861" w:type="dxa"/>
            <w:shd w:val="clear" w:color="auto" w:fill="auto"/>
          </w:tcPr>
          <w:p w:rsidR="007D17C5" w:rsidRPr="002B1A95" w:rsidRDefault="007D17C5" w:rsidP="009558BE">
            <w:pPr>
              <w:pStyle w:val="Tabletext"/>
            </w:pPr>
            <w:r w:rsidRPr="002B1A95">
              <w:t>17</w:t>
            </w:r>
          </w:p>
        </w:tc>
        <w:tc>
          <w:tcPr>
            <w:tcW w:w="1833" w:type="dxa"/>
            <w:shd w:val="clear" w:color="auto" w:fill="auto"/>
          </w:tcPr>
          <w:p w:rsidR="007D17C5" w:rsidRPr="002B1A95" w:rsidRDefault="007D17C5" w:rsidP="009558BE">
            <w:pPr>
              <w:pStyle w:val="Tabletext"/>
              <w:keepNext/>
            </w:pPr>
            <w:r w:rsidRPr="002B1A95">
              <w:t>16</w:t>
            </w:r>
          </w:p>
        </w:tc>
        <w:tc>
          <w:tcPr>
            <w:tcW w:w="3233" w:type="dxa"/>
            <w:shd w:val="clear" w:color="auto" w:fill="auto"/>
          </w:tcPr>
          <w:p w:rsidR="007D17C5" w:rsidRPr="002B1A95" w:rsidRDefault="007D17C5" w:rsidP="009558BE">
            <w:pPr>
              <w:pStyle w:val="Tabletext"/>
              <w:keepNext/>
            </w:pPr>
            <w:r w:rsidRPr="002B1A95">
              <w:t>11.963</w:t>
            </w:r>
          </w:p>
        </w:tc>
        <w:tc>
          <w:tcPr>
            <w:tcW w:w="2579" w:type="dxa"/>
            <w:shd w:val="clear" w:color="auto" w:fill="auto"/>
          </w:tcPr>
          <w:p w:rsidR="007D17C5" w:rsidRPr="002B1A95" w:rsidRDefault="007D17C5" w:rsidP="009558BE">
            <w:pPr>
              <w:pStyle w:val="Tabletext"/>
              <w:keepNext/>
            </w:pPr>
            <w:r w:rsidRPr="002B1A95">
              <w:t>10.081</w:t>
            </w:r>
          </w:p>
        </w:tc>
      </w:tr>
      <w:tr w:rsidR="007D17C5" w:rsidRPr="002B1A95" w:rsidTr="009558BE">
        <w:tc>
          <w:tcPr>
            <w:tcW w:w="861" w:type="dxa"/>
            <w:shd w:val="clear" w:color="auto" w:fill="auto"/>
          </w:tcPr>
          <w:p w:rsidR="007D17C5" w:rsidRPr="002B1A95" w:rsidRDefault="007D17C5" w:rsidP="009558BE">
            <w:pPr>
              <w:pStyle w:val="Tabletext"/>
            </w:pPr>
            <w:r w:rsidRPr="002B1A95">
              <w:t>18</w:t>
            </w:r>
          </w:p>
        </w:tc>
        <w:tc>
          <w:tcPr>
            <w:tcW w:w="1833" w:type="dxa"/>
            <w:shd w:val="clear" w:color="auto" w:fill="auto"/>
          </w:tcPr>
          <w:p w:rsidR="007D17C5" w:rsidRPr="002B1A95" w:rsidRDefault="007D17C5" w:rsidP="009558BE">
            <w:pPr>
              <w:pStyle w:val="Tabletext"/>
            </w:pPr>
            <w:r w:rsidRPr="002B1A95">
              <w:t>17</w:t>
            </w:r>
          </w:p>
        </w:tc>
        <w:tc>
          <w:tcPr>
            <w:tcW w:w="3233" w:type="dxa"/>
            <w:shd w:val="clear" w:color="auto" w:fill="auto"/>
          </w:tcPr>
          <w:p w:rsidR="007D17C5" w:rsidRPr="002B1A95" w:rsidRDefault="007D17C5" w:rsidP="009558BE">
            <w:pPr>
              <w:pStyle w:val="Tabletext"/>
            </w:pPr>
            <w:r w:rsidRPr="002B1A95">
              <w:t>12.495</w:t>
            </w:r>
          </w:p>
        </w:tc>
        <w:tc>
          <w:tcPr>
            <w:tcW w:w="2579" w:type="dxa"/>
            <w:shd w:val="clear" w:color="auto" w:fill="auto"/>
          </w:tcPr>
          <w:p w:rsidR="007D17C5" w:rsidRPr="002B1A95" w:rsidRDefault="007D17C5" w:rsidP="009558BE">
            <w:pPr>
              <w:pStyle w:val="Tabletext"/>
            </w:pPr>
            <w:r w:rsidRPr="002B1A95">
              <w:t>10.435</w:t>
            </w:r>
          </w:p>
        </w:tc>
      </w:tr>
      <w:tr w:rsidR="007D17C5" w:rsidRPr="002B1A95" w:rsidTr="009558BE">
        <w:tc>
          <w:tcPr>
            <w:tcW w:w="861" w:type="dxa"/>
            <w:shd w:val="clear" w:color="auto" w:fill="auto"/>
          </w:tcPr>
          <w:p w:rsidR="007D17C5" w:rsidRPr="002B1A95" w:rsidRDefault="007D17C5" w:rsidP="009558BE">
            <w:pPr>
              <w:pStyle w:val="Tabletext"/>
            </w:pPr>
            <w:r w:rsidRPr="002B1A95">
              <w:t>19</w:t>
            </w:r>
          </w:p>
        </w:tc>
        <w:tc>
          <w:tcPr>
            <w:tcW w:w="1833" w:type="dxa"/>
            <w:shd w:val="clear" w:color="auto" w:fill="auto"/>
          </w:tcPr>
          <w:p w:rsidR="007D17C5" w:rsidRPr="002B1A95" w:rsidRDefault="007D17C5" w:rsidP="009558BE">
            <w:pPr>
              <w:pStyle w:val="Tabletext"/>
            </w:pPr>
            <w:r w:rsidRPr="002B1A95">
              <w:t>18</w:t>
            </w:r>
          </w:p>
        </w:tc>
        <w:tc>
          <w:tcPr>
            <w:tcW w:w="3233" w:type="dxa"/>
            <w:shd w:val="clear" w:color="auto" w:fill="auto"/>
          </w:tcPr>
          <w:p w:rsidR="007D17C5" w:rsidRPr="002B1A95" w:rsidRDefault="007D17C5" w:rsidP="009558BE">
            <w:pPr>
              <w:pStyle w:val="Tabletext"/>
            </w:pPr>
            <w:r w:rsidRPr="002B1A95">
              <w:t>13.007</w:t>
            </w:r>
          </w:p>
        </w:tc>
        <w:tc>
          <w:tcPr>
            <w:tcW w:w="2579" w:type="dxa"/>
            <w:shd w:val="clear" w:color="auto" w:fill="auto"/>
          </w:tcPr>
          <w:p w:rsidR="007D17C5" w:rsidRPr="002B1A95" w:rsidRDefault="007D17C5" w:rsidP="009558BE">
            <w:pPr>
              <w:pStyle w:val="Tabletext"/>
            </w:pPr>
            <w:r w:rsidRPr="002B1A95">
              <w:t>10.768</w:t>
            </w:r>
          </w:p>
        </w:tc>
      </w:tr>
      <w:tr w:rsidR="007D17C5" w:rsidRPr="002B1A95" w:rsidTr="009558BE">
        <w:tc>
          <w:tcPr>
            <w:tcW w:w="861" w:type="dxa"/>
            <w:shd w:val="clear" w:color="auto" w:fill="auto"/>
          </w:tcPr>
          <w:p w:rsidR="007D17C5" w:rsidRPr="002B1A95" w:rsidRDefault="007D17C5" w:rsidP="009558BE">
            <w:pPr>
              <w:pStyle w:val="Tabletext"/>
            </w:pPr>
            <w:r w:rsidRPr="002B1A95">
              <w:t>20</w:t>
            </w:r>
          </w:p>
        </w:tc>
        <w:tc>
          <w:tcPr>
            <w:tcW w:w="1833" w:type="dxa"/>
            <w:shd w:val="clear" w:color="auto" w:fill="auto"/>
          </w:tcPr>
          <w:p w:rsidR="007D17C5" w:rsidRPr="002B1A95" w:rsidRDefault="007D17C5" w:rsidP="009558BE">
            <w:pPr>
              <w:pStyle w:val="Tabletext"/>
            </w:pPr>
            <w:r w:rsidRPr="002B1A95">
              <w:t>19</w:t>
            </w:r>
          </w:p>
        </w:tc>
        <w:tc>
          <w:tcPr>
            <w:tcW w:w="3233" w:type="dxa"/>
            <w:shd w:val="clear" w:color="auto" w:fill="auto"/>
          </w:tcPr>
          <w:p w:rsidR="007D17C5" w:rsidRPr="002B1A95" w:rsidRDefault="007D17C5" w:rsidP="009558BE">
            <w:pPr>
              <w:pStyle w:val="Tabletext"/>
            </w:pPr>
            <w:r w:rsidRPr="002B1A95">
              <w:t>13.499</w:t>
            </w:r>
          </w:p>
        </w:tc>
        <w:tc>
          <w:tcPr>
            <w:tcW w:w="2579" w:type="dxa"/>
            <w:shd w:val="clear" w:color="auto" w:fill="auto"/>
          </w:tcPr>
          <w:p w:rsidR="007D17C5" w:rsidRPr="002B1A95" w:rsidRDefault="007D17C5" w:rsidP="009558BE">
            <w:pPr>
              <w:pStyle w:val="Tabletext"/>
            </w:pPr>
            <w:r w:rsidRPr="002B1A95">
              <w:t>11.079</w:t>
            </w:r>
          </w:p>
        </w:tc>
      </w:tr>
      <w:tr w:rsidR="007D17C5" w:rsidRPr="002B1A95" w:rsidTr="009558BE">
        <w:tc>
          <w:tcPr>
            <w:tcW w:w="861" w:type="dxa"/>
            <w:shd w:val="clear" w:color="auto" w:fill="auto"/>
          </w:tcPr>
          <w:p w:rsidR="007D17C5" w:rsidRPr="002B1A95" w:rsidRDefault="007D17C5" w:rsidP="009558BE">
            <w:pPr>
              <w:pStyle w:val="Tabletext"/>
            </w:pPr>
            <w:r w:rsidRPr="002B1A95">
              <w:t>21</w:t>
            </w:r>
          </w:p>
        </w:tc>
        <w:tc>
          <w:tcPr>
            <w:tcW w:w="1833" w:type="dxa"/>
            <w:shd w:val="clear" w:color="auto" w:fill="auto"/>
          </w:tcPr>
          <w:p w:rsidR="007D17C5" w:rsidRPr="002B1A95" w:rsidRDefault="007D17C5" w:rsidP="009558BE">
            <w:pPr>
              <w:pStyle w:val="Tabletext"/>
            </w:pPr>
            <w:r w:rsidRPr="002B1A95">
              <w:t>20</w:t>
            </w:r>
          </w:p>
        </w:tc>
        <w:tc>
          <w:tcPr>
            <w:tcW w:w="3233" w:type="dxa"/>
            <w:shd w:val="clear" w:color="auto" w:fill="auto"/>
          </w:tcPr>
          <w:p w:rsidR="007D17C5" w:rsidRPr="002B1A95" w:rsidRDefault="007D17C5" w:rsidP="009558BE">
            <w:pPr>
              <w:pStyle w:val="Tabletext"/>
            </w:pPr>
            <w:r w:rsidRPr="002B1A95">
              <w:t>13.973</w:t>
            </w:r>
          </w:p>
        </w:tc>
        <w:tc>
          <w:tcPr>
            <w:tcW w:w="2579" w:type="dxa"/>
            <w:shd w:val="clear" w:color="auto" w:fill="auto"/>
          </w:tcPr>
          <w:p w:rsidR="007D17C5" w:rsidRPr="002B1A95" w:rsidRDefault="007D17C5" w:rsidP="009558BE">
            <w:pPr>
              <w:pStyle w:val="Tabletext"/>
            </w:pPr>
            <w:r w:rsidRPr="002B1A95">
              <w:t>11.372</w:t>
            </w:r>
          </w:p>
        </w:tc>
      </w:tr>
      <w:tr w:rsidR="007D17C5" w:rsidRPr="002B1A95" w:rsidTr="009558BE">
        <w:tc>
          <w:tcPr>
            <w:tcW w:w="861" w:type="dxa"/>
            <w:shd w:val="clear" w:color="auto" w:fill="auto"/>
          </w:tcPr>
          <w:p w:rsidR="007D17C5" w:rsidRPr="002B1A95" w:rsidRDefault="007D17C5" w:rsidP="009558BE">
            <w:pPr>
              <w:pStyle w:val="Tabletext"/>
            </w:pPr>
            <w:r w:rsidRPr="002B1A95">
              <w:t>22</w:t>
            </w:r>
          </w:p>
        </w:tc>
        <w:tc>
          <w:tcPr>
            <w:tcW w:w="1833" w:type="dxa"/>
            <w:shd w:val="clear" w:color="auto" w:fill="auto"/>
          </w:tcPr>
          <w:p w:rsidR="007D17C5" w:rsidRPr="002B1A95" w:rsidRDefault="007D17C5" w:rsidP="009558BE">
            <w:pPr>
              <w:pStyle w:val="Tabletext"/>
            </w:pPr>
            <w:r w:rsidRPr="002B1A95">
              <w:t>21</w:t>
            </w:r>
          </w:p>
        </w:tc>
        <w:tc>
          <w:tcPr>
            <w:tcW w:w="3233" w:type="dxa"/>
            <w:shd w:val="clear" w:color="auto" w:fill="auto"/>
          </w:tcPr>
          <w:p w:rsidR="007D17C5" w:rsidRPr="002B1A95" w:rsidRDefault="007D17C5" w:rsidP="009558BE">
            <w:pPr>
              <w:pStyle w:val="Tabletext"/>
            </w:pPr>
            <w:r w:rsidRPr="002B1A95">
              <w:t>14.430</w:t>
            </w:r>
          </w:p>
        </w:tc>
        <w:tc>
          <w:tcPr>
            <w:tcW w:w="2579" w:type="dxa"/>
            <w:shd w:val="clear" w:color="auto" w:fill="auto"/>
          </w:tcPr>
          <w:p w:rsidR="007D17C5" w:rsidRPr="002B1A95" w:rsidRDefault="007D17C5" w:rsidP="009558BE">
            <w:pPr>
              <w:pStyle w:val="Tabletext"/>
            </w:pPr>
            <w:r w:rsidRPr="002B1A95">
              <w:t>11.647</w:t>
            </w:r>
          </w:p>
        </w:tc>
      </w:tr>
      <w:tr w:rsidR="007D17C5" w:rsidRPr="002B1A95" w:rsidTr="009558BE">
        <w:tc>
          <w:tcPr>
            <w:tcW w:w="861" w:type="dxa"/>
            <w:shd w:val="clear" w:color="auto" w:fill="auto"/>
          </w:tcPr>
          <w:p w:rsidR="007D17C5" w:rsidRPr="002B1A95" w:rsidRDefault="007D17C5" w:rsidP="009558BE">
            <w:pPr>
              <w:pStyle w:val="Tabletext"/>
            </w:pPr>
            <w:r w:rsidRPr="002B1A95">
              <w:t>23</w:t>
            </w:r>
          </w:p>
        </w:tc>
        <w:tc>
          <w:tcPr>
            <w:tcW w:w="1833" w:type="dxa"/>
            <w:shd w:val="clear" w:color="auto" w:fill="auto"/>
          </w:tcPr>
          <w:p w:rsidR="007D17C5" w:rsidRPr="002B1A95" w:rsidRDefault="007D17C5" w:rsidP="009558BE">
            <w:pPr>
              <w:pStyle w:val="Tabletext"/>
            </w:pPr>
            <w:r w:rsidRPr="002B1A95">
              <w:t>22</w:t>
            </w:r>
          </w:p>
        </w:tc>
        <w:tc>
          <w:tcPr>
            <w:tcW w:w="3233" w:type="dxa"/>
            <w:shd w:val="clear" w:color="auto" w:fill="auto"/>
          </w:tcPr>
          <w:p w:rsidR="007D17C5" w:rsidRPr="002B1A95" w:rsidRDefault="007D17C5" w:rsidP="009558BE">
            <w:pPr>
              <w:pStyle w:val="Tabletext"/>
            </w:pPr>
            <w:r w:rsidRPr="002B1A95">
              <w:t>14.869</w:t>
            </w:r>
          </w:p>
        </w:tc>
        <w:tc>
          <w:tcPr>
            <w:tcW w:w="2579" w:type="dxa"/>
            <w:shd w:val="clear" w:color="auto" w:fill="auto"/>
          </w:tcPr>
          <w:p w:rsidR="007D17C5" w:rsidRPr="002B1A95" w:rsidRDefault="007D17C5" w:rsidP="009558BE">
            <w:pPr>
              <w:pStyle w:val="Tabletext"/>
            </w:pPr>
            <w:r w:rsidRPr="002B1A95">
              <w:t>11.906</w:t>
            </w:r>
          </w:p>
        </w:tc>
      </w:tr>
      <w:tr w:rsidR="007D17C5" w:rsidRPr="002B1A95" w:rsidTr="009558BE">
        <w:tc>
          <w:tcPr>
            <w:tcW w:w="861" w:type="dxa"/>
            <w:shd w:val="clear" w:color="auto" w:fill="auto"/>
          </w:tcPr>
          <w:p w:rsidR="007D17C5" w:rsidRPr="002B1A95" w:rsidRDefault="007D17C5" w:rsidP="009558BE">
            <w:pPr>
              <w:pStyle w:val="Tabletext"/>
            </w:pPr>
            <w:r w:rsidRPr="002B1A95">
              <w:t>24</w:t>
            </w:r>
          </w:p>
        </w:tc>
        <w:tc>
          <w:tcPr>
            <w:tcW w:w="1833" w:type="dxa"/>
            <w:shd w:val="clear" w:color="auto" w:fill="auto"/>
          </w:tcPr>
          <w:p w:rsidR="007D17C5" w:rsidRPr="002B1A95" w:rsidRDefault="007D17C5" w:rsidP="009558BE">
            <w:pPr>
              <w:pStyle w:val="Tabletext"/>
            </w:pPr>
            <w:r w:rsidRPr="002B1A95">
              <w:t>23</w:t>
            </w:r>
          </w:p>
        </w:tc>
        <w:tc>
          <w:tcPr>
            <w:tcW w:w="3233" w:type="dxa"/>
            <w:shd w:val="clear" w:color="auto" w:fill="auto"/>
          </w:tcPr>
          <w:p w:rsidR="007D17C5" w:rsidRPr="002B1A95" w:rsidRDefault="007D17C5" w:rsidP="009558BE">
            <w:pPr>
              <w:pStyle w:val="Tabletext"/>
            </w:pPr>
            <w:r w:rsidRPr="002B1A95">
              <w:t>15.291</w:t>
            </w:r>
          </w:p>
        </w:tc>
        <w:tc>
          <w:tcPr>
            <w:tcW w:w="2579" w:type="dxa"/>
            <w:shd w:val="clear" w:color="auto" w:fill="auto"/>
          </w:tcPr>
          <w:p w:rsidR="007D17C5" w:rsidRPr="002B1A95" w:rsidRDefault="007D17C5" w:rsidP="009558BE">
            <w:pPr>
              <w:pStyle w:val="Tabletext"/>
            </w:pPr>
            <w:r w:rsidRPr="002B1A95">
              <w:t>12.148</w:t>
            </w:r>
          </w:p>
        </w:tc>
      </w:tr>
      <w:tr w:rsidR="007D17C5" w:rsidRPr="002B1A95" w:rsidTr="009558BE">
        <w:tc>
          <w:tcPr>
            <w:tcW w:w="861" w:type="dxa"/>
            <w:shd w:val="clear" w:color="auto" w:fill="auto"/>
          </w:tcPr>
          <w:p w:rsidR="007D17C5" w:rsidRPr="002B1A95" w:rsidRDefault="007D17C5" w:rsidP="009558BE">
            <w:pPr>
              <w:pStyle w:val="Tabletext"/>
            </w:pPr>
            <w:r w:rsidRPr="002B1A95">
              <w:t>25</w:t>
            </w:r>
          </w:p>
        </w:tc>
        <w:tc>
          <w:tcPr>
            <w:tcW w:w="1833" w:type="dxa"/>
            <w:shd w:val="clear" w:color="auto" w:fill="auto"/>
          </w:tcPr>
          <w:p w:rsidR="007D17C5" w:rsidRPr="002B1A95" w:rsidRDefault="007D17C5" w:rsidP="009558BE">
            <w:pPr>
              <w:pStyle w:val="Tabletext"/>
            </w:pPr>
            <w:r w:rsidRPr="002B1A95">
              <w:t>24</w:t>
            </w:r>
          </w:p>
        </w:tc>
        <w:tc>
          <w:tcPr>
            <w:tcW w:w="3233" w:type="dxa"/>
            <w:shd w:val="clear" w:color="auto" w:fill="auto"/>
          </w:tcPr>
          <w:p w:rsidR="007D17C5" w:rsidRPr="002B1A95" w:rsidRDefault="007D17C5" w:rsidP="009558BE">
            <w:pPr>
              <w:pStyle w:val="Tabletext"/>
            </w:pPr>
            <w:r w:rsidRPr="002B1A95">
              <w:t>15.698</w:t>
            </w:r>
          </w:p>
        </w:tc>
        <w:tc>
          <w:tcPr>
            <w:tcW w:w="2579" w:type="dxa"/>
            <w:shd w:val="clear" w:color="auto" w:fill="auto"/>
          </w:tcPr>
          <w:p w:rsidR="007D17C5" w:rsidRPr="002B1A95" w:rsidRDefault="007D17C5" w:rsidP="009558BE">
            <w:pPr>
              <w:pStyle w:val="Tabletext"/>
            </w:pPr>
            <w:r w:rsidRPr="002B1A95">
              <w:t>12.376</w:t>
            </w:r>
          </w:p>
        </w:tc>
      </w:tr>
      <w:tr w:rsidR="007D17C5" w:rsidRPr="002B1A95" w:rsidTr="009558BE">
        <w:tc>
          <w:tcPr>
            <w:tcW w:w="861" w:type="dxa"/>
            <w:shd w:val="clear" w:color="auto" w:fill="auto"/>
          </w:tcPr>
          <w:p w:rsidR="007D17C5" w:rsidRPr="002B1A95" w:rsidRDefault="007D17C5" w:rsidP="009558BE">
            <w:pPr>
              <w:pStyle w:val="Tabletext"/>
            </w:pPr>
            <w:r w:rsidRPr="002B1A95">
              <w:t>26</w:t>
            </w:r>
          </w:p>
        </w:tc>
        <w:tc>
          <w:tcPr>
            <w:tcW w:w="1833" w:type="dxa"/>
            <w:shd w:val="clear" w:color="auto" w:fill="auto"/>
          </w:tcPr>
          <w:p w:rsidR="007D17C5" w:rsidRPr="002B1A95" w:rsidRDefault="007D17C5" w:rsidP="009558BE">
            <w:pPr>
              <w:pStyle w:val="Tabletext"/>
            </w:pPr>
            <w:r w:rsidRPr="002B1A95">
              <w:t>25</w:t>
            </w:r>
          </w:p>
        </w:tc>
        <w:tc>
          <w:tcPr>
            <w:tcW w:w="3233" w:type="dxa"/>
            <w:shd w:val="clear" w:color="auto" w:fill="auto"/>
          </w:tcPr>
          <w:p w:rsidR="007D17C5" w:rsidRPr="002B1A95" w:rsidRDefault="007D17C5" w:rsidP="009558BE">
            <w:pPr>
              <w:pStyle w:val="Tabletext"/>
            </w:pPr>
            <w:r w:rsidRPr="002B1A95">
              <w:t>16.090</w:t>
            </w:r>
          </w:p>
        </w:tc>
        <w:tc>
          <w:tcPr>
            <w:tcW w:w="2579" w:type="dxa"/>
            <w:shd w:val="clear" w:color="auto" w:fill="auto"/>
          </w:tcPr>
          <w:p w:rsidR="007D17C5" w:rsidRPr="002B1A95" w:rsidRDefault="007D17C5" w:rsidP="009558BE">
            <w:pPr>
              <w:pStyle w:val="Tabletext"/>
            </w:pPr>
            <w:r w:rsidRPr="002B1A95">
              <w:t>12.590</w:t>
            </w:r>
          </w:p>
        </w:tc>
      </w:tr>
      <w:tr w:rsidR="007D17C5" w:rsidRPr="002B1A95" w:rsidTr="009558BE">
        <w:tc>
          <w:tcPr>
            <w:tcW w:w="861" w:type="dxa"/>
            <w:shd w:val="clear" w:color="auto" w:fill="auto"/>
          </w:tcPr>
          <w:p w:rsidR="007D17C5" w:rsidRPr="002B1A95" w:rsidRDefault="007D17C5" w:rsidP="009558BE">
            <w:pPr>
              <w:pStyle w:val="Tabletext"/>
            </w:pPr>
            <w:r w:rsidRPr="002B1A95">
              <w:t>27</w:t>
            </w:r>
          </w:p>
        </w:tc>
        <w:tc>
          <w:tcPr>
            <w:tcW w:w="1833" w:type="dxa"/>
            <w:shd w:val="clear" w:color="auto" w:fill="auto"/>
          </w:tcPr>
          <w:p w:rsidR="007D17C5" w:rsidRPr="002B1A95" w:rsidRDefault="007D17C5" w:rsidP="009558BE">
            <w:pPr>
              <w:pStyle w:val="Tabletext"/>
            </w:pPr>
            <w:r w:rsidRPr="002B1A95">
              <w:t>26</w:t>
            </w:r>
          </w:p>
        </w:tc>
        <w:tc>
          <w:tcPr>
            <w:tcW w:w="3233" w:type="dxa"/>
            <w:shd w:val="clear" w:color="auto" w:fill="auto"/>
          </w:tcPr>
          <w:p w:rsidR="007D17C5" w:rsidRPr="002B1A95" w:rsidRDefault="007D17C5" w:rsidP="009558BE">
            <w:pPr>
              <w:pStyle w:val="Tabletext"/>
            </w:pPr>
            <w:r w:rsidRPr="002B1A95">
              <w:t>16.466</w:t>
            </w:r>
          </w:p>
        </w:tc>
        <w:tc>
          <w:tcPr>
            <w:tcW w:w="2579" w:type="dxa"/>
            <w:shd w:val="clear" w:color="auto" w:fill="auto"/>
          </w:tcPr>
          <w:p w:rsidR="007D17C5" w:rsidRPr="002B1A95" w:rsidRDefault="007D17C5" w:rsidP="009558BE">
            <w:pPr>
              <w:pStyle w:val="Tabletext"/>
            </w:pPr>
            <w:r w:rsidRPr="002B1A95">
              <w:t>12.790</w:t>
            </w:r>
          </w:p>
        </w:tc>
      </w:tr>
      <w:tr w:rsidR="007D17C5" w:rsidRPr="002B1A95" w:rsidTr="009558BE">
        <w:tc>
          <w:tcPr>
            <w:tcW w:w="861" w:type="dxa"/>
            <w:shd w:val="clear" w:color="auto" w:fill="auto"/>
          </w:tcPr>
          <w:p w:rsidR="007D17C5" w:rsidRPr="002B1A95" w:rsidRDefault="007D17C5" w:rsidP="009558BE">
            <w:pPr>
              <w:pStyle w:val="Tabletext"/>
            </w:pPr>
            <w:r w:rsidRPr="002B1A95">
              <w:t>28</w:t>
            </w:r>
          </w:p>
        </w:tc>
        <w:tc>
          <w:tcPr>
            <w:tcW w:w="1833" w:type="dxa"/>
            <w:shd w:val="clear" w:color="auto" w:fill="auto"/>
          </w:tcPr>
          <w:p w:rsidR="007D17C5" w:rsidRPr="002B1A95" w:rsidRDefault="007D17C5" w:rsidP="009558BE">
            <w:pPr>
              <w:pStyle w:val="Tabletext"/>
            </w:pPr>
            <w:r w:rsidRPr="002B1A95">
              <w:t>27</w:t>
            </w:r>
          </w:p>
        </w:tc>
        <w:tc>
          <w:tcPr>
            <w:tcW w:w="3233" w:type="dxa"/>
            <w:shd w:val="clear" w:color="auto" w:fill="auto"/>
          </w:tcPr>
          <w:p w:rsidR="007D17C5" w:rsidRPr="002B1A95" w:rsidRDefault="007D17C5" w:rsidP="009558BE">
            <w:pPr>
              <w:pStyle w:val="Tabletext"/>
            </w:pPr>
            <w:r w:rsidRPr="002B1A95">
              <w:t>16.829</w:t>
            </w:r>
          </w:p>
        </w:tc>
        <w:tc>
          <w:tcPr>
            <w:tcW w:w="2579" w:type="dxa"/>
            <w:shd w:val="clear" w:color="auto" w:fill="auto"/>
          </w:tcPr>
          <w:p w:rsidR="007D17C5" w:rsidRPr="002B1A95" w:rsidRDefault="007D17C5" w:rsidP="009558BE">
            <w:pPr>
              <w:pStyle w:val="Tabletext"/>
            </w:pPr>
            <w:r w:rsidRPr="002B1A95">
              <w:t>12.979</w:t>
            </w:r>
          </w:p>
        </w:tc>
      </w:tr>
      <w:tr w:rsidR="007D17C5" w:rsidRPr="002B1A95" w:rsidTr="009558BE">
        <w:tc>
          <w:tcPr>
            <w:tcW w:w="861" w:type="dxa"/>
            <w:shd w:val="clear" w:color="auto" w:fill="auto"/>
          </w:tcPr>
          <w:p w:rsidR="007D17C5" w:rsidRPr="002B1A95" w:rsidRDefault="007D17C5" w:rsidP="009558BE">
            <w:pPr>
              <w:pStyle w:val="Tabletext"/>
            </w:pPr>
            <w:r w:rsidRPr="002B1A95">
              <w:t>29</w:t>
            </w:r>
          </w:p>
        </w:tc>
        <w:tc>
          <w:tcPr>
            <w:tcW w:w="1833" w:type="dxa"/>
            <w:shd w:val="clear" w:color="auto" w:fill="auto"/>
          </w:tcPr>
          <w:p w:rsidR="007D17C5" w:rsidRPr="002B1A95" w:rsidRDefault="007D17C5" w:rsidP="009558BE">
            <w:pPr>
              <w:pStyle w:val="Tabletext"/>
            </w:pPr>
            <w:r w:rsidRPr="002B1A95">
              <w:t>28</w:t>
            </w:r>
          </w:p>
        </w:tc>
        <w:tc>
          <w:tcPr>
            <w:tcW w:w="3233" w:type="dxa"/>
            <w:shd w:val="clear" w:color="auto" w:fill="auto"/>
          </w:tcPr>
          <w:p w:rsidR="007D17C5" w:rsidRPr="002B1A95" w:rsidRDefault="007D17C5" w:rsidP="009558BE">
            <w:pPr>
              <w:pStyle w:val="Tabletext"/>
            </w:pPr>
            <w:r w:rsidRPr="002B1A95">
              <w:t>17.178</w:t>
            </w:r>
          </w:p>
        </w:tc>
        <w:tc>
          <w:tcPr>
            <w:tcW w:w="2579" w:type="dxa"/>
            <w:shd w:val="clear" w:color="auto" w:fill="auto"/>
          </w:tcPr>
          <w:p w:rsidR="007D17C5" w:rsidRPr="002B1A95" w:rsidRDefault="007D17C5" w:rsidP="009558BE">
            <w:pPr>
              <w:pStyle w:val="Tabletext"/>
            </w:pPr>
            <w:r w:rsidRPr="002B1A95">
              <w:t>13.156</w:t>
            </w:r>
          </w:p>
        </w:tc>
      </w:tr>
      <w:tr w:rsidR="007D17C5" w:rsidRPr="002B1A95" w:rsidTr="009558BE">
        <w:tc>
          <w:tcPr>
            <w:tcW w:w="861" w:type="dxa"/>
            <w:tcBorders>
              <w:bottom w:val="single" w:sz="2" w:space="0" w:color="auto"/>
            </w:tcBorders>
            <w:shd w:val="clear" w:color="auto" w:fill="auto"/>
          </w:tcPr>
          <w:p w:rsidR="007D17C5" w:rsidRPr="002B1A95" w:rsidRDefault="007D17C5" w:rsidP="009558BE">
            <w:pPr>
              <w:pStyle w:val="Tabletext"/>
            </w:pPr>
            <w:r w:rsidRPr="002B1A95">
              <w:t>30</w:t>
            </w:r>
          </w:p>
        </w:tc>
        <w:tc>
          <w:tcPr>
            <w:tcW w:w="1833" w:type="dxa"/>
            <w:tcBorders>
              <w:bottom w:val="single" w:sz="2" w:space="0" w:color="auto"/>
            </w:tcBorders>
            <w:shd w:val="clear" w:color="auto" w:fill="auto"/>
          </w:tcPr>
          <w:p w:rsidR="007D17C5" w:rsidRPr="002B1A95" w:rsidRDefault="007D17C5" w:rsidP="009558BE">
            <w:pPr>
              <w:pStyle w:val="Tabletext"/>
            </w:pPr>
            <w:r w:rsidRPr="002B1A95">
              <w:t>29</w:t>
            </w:r>
          </w:p>
        </w:tc>
        <w:tc>
          <w:tcPr>
            <w:tcW w:w="3233" w:type="dxa"/>
            <w:tcBorders>
              <w:bottom w:val="single" w:sz="2" w:space="0" w:color="auto"/>
            </w:tcBorders>
            <w:shd w:val="clear" w:color="auto" w:fill="auto"/>
          </w:tcPr>
          <w:p w:rsidR="007D17C5" w:rsidRPr="002B1A95" w:rsidRDefault="007D17C5" w:rsidP="009558BE">
            <w:pPr>
              <w:pStyle w:val="Tabletext"/>
            </w:pPr>
            <w:r w:rsidRPr="002B1A95">
              <w:t>17.514</w:t>
            </w:r>
          </w:p>
        </w:tc>
        <w:tc>
          <w:tcPr>
            <w:tcW w:w="2579" w:type="dxa"/>
            <w:tcBorders>
              <w:bottom w:val="single" w:sz="2" w:space="0" w:color="auto"/>
            </w:tcBorders>
            <w:shd w:val="clear" w:color="auto" w:fill="auto"/>
          </w:tcPr>
          <w:p w:rsidR="007D17C5" w:rsidRPr="002B1A95" w:rsidRDefault="007D17C5" w:rsidP="009558BE">
            <w:pPr>
              <w:pStyle w:val="Tabletext"/>
            </w:pPr>
            <w:r w:rsidRPr="002B1A95">
              <w:t>13.322</w:t>
            </w:r>
          </w:p>
        </w:tc>
      </w:tr>
      <w:tr w:rsidR="007D17C5" w:rsidRPr="002B1A95" w:rsidTr="009558BE">
        <w:tc>
          <w:tcPr>
            <w:tcW w:w="861" w:type="dxa"/>
            <w:tcBorders>
              <w:top w:val="single" w:sz="2" w:space="0" w:color="auto"/>
              <w:bottom w:val="single" w:sz="12" w:space="0" w:color="auto"/>
            </w:tcBorders>
            <w:shd w:val="clear" w:color="auto" w:fill="auto"/>
          </w:tcPr>
          <w:p w:rsidR="007D17C5" w:rsidRPr="002B1A95" w:rsidRDefault="007D17C5" w:rsidP="009558BE">
            <w:pPr>
              <w:pStyle w:val="Tabletext"/>
            </w:pPr>
            <w:r w:rsidRPr="002B1A95">
              <w:t>31</w:t>
            </w:r>
          </w:p>
        </w:tc>
        <w:tc>
          <w:tcPr>
            <w:tcW w:w="1833" w:type="dxa"/>
            <w:tcBorders>
              <w:top w:val="single" w:sz="2" w:space="0" w:color="auto"/>
              <w:bottom w:val="single" w:sz="12" w:space="0" w:color="auto"/>
            </w:tcBorders>
            <w:shd w:val="clear" w:color="auto" w:fill="auto"/>
          </w:tcPr>
          <w:p w:rsidR="007D17C5" w:rsidRPr="002B1A95" w:rsidRDefault="007D17C5" w:rsidP="009558BE">
            <w:pPr>
              <w:pStyle w:val="Tabletext"/>
            </w:pPr>
            <w:r w:rsidRPr="002B1A95">
              <w:t>30</w:t>
            </w:r>
          </w:p>
        </w:tc>
        <w:tc>
          <w:tcPr>
            <w:tcW w:w="3233" w:type="dxa"/>
            <w:tcBorders>
              <w:top w:val="single" w:sz="2" w:space="0" w:color="auto"/>
              <w:bottom w:val="single" w:sz="12" w:space="0" w:color="auto"/>
            </w:tcBorders>
            <w:shd w:val="clear" w:color="auto" w:fill="auto"/>
          </w:tcPr>
          <w:p w:rsidR="007D17C5" w:rsidRPr="002B1A95" w:rsidRDefault="007D17C5" w:rsidP="009558BE">
            <w:pPr>
              <w:pStyle w:val="Tabletext"/>
            </w:pPr>
            <w:r w:rsidRPr="002B1A95">
              <w:t>17.837</w:t>
            </w:r>
          </w:p>
        </w:tc>
        <w:tc>
          <w:tcPr>
            <w:tcW w:w="2579" w:type="dxa"/>
            <w:tcBorders>
              <w:top w:val="single" w:sz="2" w:space="0" w:color="auto"/>
              <w:bottom w:val="single" w:sz="12" w:space="0" w:color="auto"/>
            </w:tcBorders>
            <w:shd w:val="clear" w:color="auto" w:fill="auto"/>
          </w:tcPr>
          <w:p w:rsidR="007D17C5" w:rsidRPr="002B1A95" w:rsidRDefault="007D17C5" w:rsidP="009558BE">
            <w:pPr>
              <w:pStyle w:val="Tabletext"/>
            </w:pPr>
            <w:r w:rsidRPr="002B1A95">
              <w:t>13.478</w:t>
            </w:r>
          </w:p>
        </w:tc>
      </w:tr>
    </w:tbl>
    <w:p w:rsidR="007D17C5" w:rsidRPr="002B1A95" w:rsidRDefault="007D17C5" w:rsidP="007D17C5">
      <w:pPr>
        <w:pStyle w:val="ActHead5"/>
      </w:pPr>
      <w:bookmarkStart w:id="261" w:name="_Toc49765434"/>
      <w:r w:rsidRPr="00411C46">
        <w:rPr>
          <w:rStyle w:val="CharSectno"/>
        </w:rPr>
        <w:t>2</w:t>
      </w:r>
      <w:r w:rsidRPr="002B1A95">
        <w:t xml:space="preserve">  Lump sum valuation factors</w:t>
      </w:r>
      <w:bookmarkEnd w:id="261"/>
    </w:p>
    <w:p w:rsidR="007D17C5" w:rsidRPr="002B1A95" w:rsidRDefault="007D17C5" w:rsidP="007D17C5">
      <w:pPr>
        <w:pStyle w:val="subsection"/>
      </w:pPr>
      <w:r w:rsidRPr="002B1A95">
        <w:rPr>
          <w:color w:val="000000"/>
        </w:rPr>
        <w:tab/>
        <w:t>(1)</w:t>
      </w:r>
      <w:r w:rsidRPr="002B1A95">
        <w:rPr>
          <w:color w:val="000000"/>
        </w:rPr>
        <w:tab/>
        <w:t>For the purposes of subparagraph 307</w:t>
      </w:r>
      <w:r w:rsidR="00782250">
        <w:rPr>
          <w:color w:val="000000"/>
        </w:rPr>
        <w:noBreakHyphen/>
      </w:r>
      <w:r w:rsidRPr="002B1A95">
        <w:rPr>
          <w:color w:val="000000"/>
        </w:rPr>
        <w:t xml:space="preserve">205.02(3)(b)(ii), the applicable factor for the superannuation lump sum is the discount valuation factor mentioned in </w:t>
      </w:r>
      <w:r w:rsidR="002B1A95" w:rsidRPr="002B1A95">
        <w:rPr>
          <w:color w:val="000000"/>
        </w:rPr>
        <w:t>subclause (</w:t>
      </w:r>
      <w:r w:rsidRPr="002B1A95">
        <w:rPr>
          <w:color w:val="000000"/>
        </w:rPr>
        <w:t>3) that applies for the minimum deferral period.</w:t>
      </w:r>
    </w:p>
    <w:p w:rsidR="007D17C5" w:rsidRPr="002B1A95" w:rsidRDefault="007D17C5" w:rsidP="007D17C5">
      <w:pPr>
        <w:pStyle w:val="subsection"/>
        <w:rPr>
          <w:color w:val="000000"/>
        </w:rPr>
      </w:pPr>
      <w:r w:rsidRPr="002B1A95">
        <w:rPr>
          <w:color w:val="000000"/>
        </w:rPr>
        <w:tab/>
        <w:t>(2)</w:t>
      </w:r>
      <w:r w:rsidRPr="002B1A95">
        <w:rPr>
          <w:color w:val="000000"/>
        </w:rPr>
        <w:tab/>
        <w:t xml:space="preserve">For the purposes of this clause, the </w:t>
      </w:r>
      <w:r w:rsidRPr="002B1A95">
        <w:rPr>
          <w:b/>
          <w:i/>
          <w:color w:val="000000"/>
        </w:rPr>
        <w:t>minimum deferral period</w:t>
      </w:r>
      <w:r w:rsidRPr="002B1A95">
        <w:rPr>
          <w:color w:val="000000"/>
        </w:rPr>
        <w:t xml:space="preserve"> in relation to a lump sum that is to be paid at a time after the date on which the</w:t>
      </w:r>
      <w:r w:rsidRPr="002B1A95">
        <w:t xml:space="preserve"> interest in respect of which the lump sum is payable</w:t>
      </w:r>
      <w:r w:rsidRPr="002B1A95">
        <w:rPr>
          <w:color w:val="000000"/>
        </w:rPr>
        <w:t xml:space="preserve"> is to be valued is the number of complete years between the day before the date on which the interest is to be valued and the earliest date at which the lump sum can be paid.</w:t>
      </w:r>
    </w:p>
    <w:p w:rsidR="007D17C5" w:rsidRPr="002B1A95" w:rsidRDefault="007D17C5" w:rsidP="007D17C5">
      <w:pPr>
        <w:pStyle w:val="subsection"/>
      </w:pPr>
      <w:r w:rsidRPr="002B1A95">
        <w:tab/>
        <w:t>(3)</w:t>
      </w:r>
      <w:r w:rsidRPr="002B1A95">
        <w:tab/>
        <w:t>The following table sets out the discount valuation factors, in accordance with the following principles:</w:t>
      </w:r>
    </w:p>
    <w:p w:rsidR="007D17C5" w:rsidRPr="002B1A95" w:rsidRDefault="007D17C5" w:rsidP="007D17C5">
      <w:pPr>
        <w:pStyle w:val="paragraph"/>
      </w:pPr>
      <w:r w:rsidRPr="002B1A95">
        <w:rPr>
          <w:color w:val="000000"/>
        </w:rPr>
        <w:tab/>
        <w:t>(a)</w:t>
      </w:r>
      <w:r w:rsidRPr="002B1A95">
        <w:rPr>
          <w:color w:val="000000"/>
        </w:rPr>
        <w:tab/>
        <w:t>the factors in column 2 of the table apply if the lump sum is not indexed;</w:t>
      </w:r>
    </w:p>
    <w:p w:rsidR="007D17C5" w:rsidRPr="002B1A95" w:rsidRDefault="007D17C5" w:rsidP="007D17C5">
      <w:pPr>
        <w:pStyle w:val="paragraph"/>
      </w:pPr>
      <w:r w:rsidRPr="002B1A95">
        <w:lastRenderedPageBreak/>
        <w:tab/>
        <w:t>(b)</w:t>
      </w:r>
      <w:r w:rsidRPr="002B1A95">
        <w:tab/>
        <w:t>the factors in column 3 of the table apply if the lump sum is indexed in accordance with the Consumer Price Index;</w:t>
      </w:r>
    </w:p>
    <w:p w:rsidR="007D17C5" w:rsidRPr="002B1A95" w:rsidRDefault="007D17C5" w:rsidP="007D17C5">
      <w:pPr>
        <w:pStyle w:val="paragraph"/>
      </w:pPr>
      <w:r w:rsidRPr="002B1A95">
        <w:tab/>
        <w:t>(c)</w:t>
      </w:r>
      <w:r w:rsidRPr="002B1A95">
        <w:tab/>
        <w:t>the factors in column 4 of the table apply if the lump sum is indexed in accordance with a general wage index (for example, average weekly earnings, or average weekly ordinary time earnings, published by the Australian Bureau of Statistics);</w:t>
      </w:r>
    </w:p>
    <w:p w:rsidR="007D17C5" w:rsidRPr="002B1A95" w:rsidRDefault="007D17C5" w:rsidP="007D17C5">
      <w:pPr>
        <w:pStyle w:val="paragraph"/>
        <w:rPr>
          <w:color w:val="000000"/>
        </w:rPr>
      </w:pPr>
      <w:r w:rsidRPr="002B1A95">
        <w:rPr>
          <w:color w:val="000000"/>
        </w:rPr>
        <w:tab/>
        <w:t>(d)</w:t>
      </w:r>
      <w:r w:rsidRPr="002B1A95">
        <w:rPr>
          <w:color w:val="000000"/>
        </w:rPr>
        <w:tab/>
        <w:t>if the lump sum is indexed in accordance with a fund crediting rate, the factor is 1.</w:t>
      </w:r>
    </w:p>
    <w:p w:rsidR="007D17C5" w:rsidRPr="002B1A95" w:rsidRDefault="007D17C5" w:rsidP="007D17C5">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1833"/>
        <w:gridCol w:w="1701"/>
        <w:gridCol w:w="1984"/>
        <w:gridCol w:w="2081"/>
      </w:tblGrid>
      <w:tr w:rsidR="007D17C5" w:rsidRPr="002B1A95" w:rsidTr="009558BE">
        <w:trPr>
          <w:tblHeader/>
        </w:trPr>
        <w:tc>
          <w:tcPr>
            <w:tcW w:w="8313" w:type="dxa"/>
            <w:gridSpan w:val="5"/>
            <w:tcBorders>
              <w:top w:val="single" w:sz="12" w:space="0" w:color="auto"/>
              <w:bottom w:val="single" w:sz="6" w:space="0" w:color="auto"/>
            </w:tcBorders>
            <w:shd w:val="clear" w:color="auto" w:fill="auto"/>
          </w:tcPr>
          <w:p w:rsidR="007D17C5" w:rsidRPr="002B1A95" w:rsidRDefault="007D17C5" w:rsidP="009558BE">
            <w:pPr>
              <w:pStyle w:val="TableHeading"/>
            </w:pPr>
            <w:r w:rsidRPr="002B1A95">
              <w:t>Discount valuation factors</w:t>
            </w:r>
          </w:p>
        </w:tc>
      </w:tr>
      <w:tr w:rsidR="007D17C5" w:rsidRPr="002B1A95" w:rsidTr="009558BE">
        <w:trPr>
          <w:tblHeader/>
        </w:trPr>
        <w:tc>
          <w:tcPr>
            <w:tcW w:w="714" w:type="dxa"/>
            <w:tcBorders>
              <w:top w:val="single" w:sz="6" w:space="0" w:color="auto"/>
              <w:bottom w:val="single" w:sz="12" w:space="0" w:color="auto"/>
            </w:tcBorders>
            <w:shd w:val="clear" w:color="auto" w:fill="auto"/>
          </w:tcPr>
          <w:p w:rsidR="007D17C5" w:rsidRPr="002B1A95" w:rsidRDefault="007D17C5" w:rsidP="009558BE">
            <w:pPr>
              <w:pStyle w:val="TableHeading"/>
            </w:pPr>
            <w:r w:rsidRPr="002B1A95">
              <w:t>Item</w:t>
            </w:r>
          </w:p>
        </w:tc>
        <w:tc>
          <w:tcPr>
            <w:tcW w:w="1833" w:type="dxa"/>
            <w:tcBorders>
              <w:top w:val="single" w:sz="6" w:space="0" w:color="auto"/>
              <w:bottom w:val="single" w:sz="12" w:space="0" w:color="auto"/>
            </w:tcBorders>
            <w:shd w:val="clear" w:color="auto" w:fill="auto"/>
          </w:tcPr>
          <w:p w:rsidR="007D17C5" w:rsidRPr="002B1A95" w:rsidRDefault="007D17C5" w:rsidP="009558BE">
            <w:pPr>
              <w:pStyle w:val="TableHeading"/>
            </w:pPr>
            <w:r w:rsidRPr="002B1A95">
              <w:t>Column 1</w:t>
            </w:r>
          </w:p>
          <w:p w:rsidR="007D17C5" w:rsidRPr="002B1A95" w:rsidRDefault="007D17C5" w:rsidP="009558BE">
            <w:pPr>
              <w:pStyle w:val="TableHeading"/>
            </w:pPr>
            <w:r w:rsidRPr="002B1A95">
              <w:t>Minimum deferral period</w:t>
            </w:r>
          </w:p>
        </w:tc>
        <w:tc>
          <w:tcPr>
            <w:tcW w:w="1701" w:type="dxa"/>
            <w:tcBorders>
              <w:top w:val="single" w:sz="6" w:space="0" w:color="auto"/>
              <w:bottom w:val="single" w:sz="12" w:space="0" w:color="auto"/>
            </w:tcBorders>
            <w:shd w:val="clear" w:color="auto" w:fill="auto"/>
          </w:tcPr>
          <w:p w:rsidR="007D17C5" w:rsidRPr="002B1A95" w:rsidRDefault="007D17C5" w:rsidP="009558BE">
            <w:pPr>
              <w:pStyle w:val="TableHeading"/>
            </w:pPr>
            <w:r w:rsidRPr="002B1A95">
              <w:t>Column 2</w:t>
            </w:r>
          </w:p>
          <w:p w:rsidR="007D17C5" w:rsidRPr="002B1A95" w:rsidRDefault="007D17C5" w:rsidP="009558BE">
            <w:pPr>
              <w:pStyle w:val="TableHeading"/>
            </w:pPr>
            <w:r w:rsidRPr="002B1A95">
              <w:t>Lump sum not indexed</w:t>
            </w:r>
          </w:p>
        </w:tc>
        <w:tc>
          <w:tcPr>
            <w:tcW w:w="1984" w:type="dxa"/>
            <w:tcBorders>
              <w:top w:val="single" w:sz="6" w:space="0" w:color="auto"/>
              <w:bottom w:val="single" w:sz="12" w:space="0" w:color="auto"/>
            </w:tcBorders>
            <w:shd w:val="clear" w:color="auto" w:fill="auto"/>
          </w:tcPr>
          <w:p w:rsidR="007D17C5" w:rsidRPr="002B1A95" w:rsidRDefault="007D17C5" w:rsidP="009558BE">
            <w:pPr>
              <w:pStyle w:val="TableHeading"/>
            </w:pPr>
            <w:r w:rsidRPr="002B1A95">
              <w:t>Column 3</w:t>
            </w:r>
          </w:p>
          <w:p w:rsidR="007D17C5" w:rsidRPr="002B1A95" w:rsidRDefault="007D17C5" w:rsidP="009558BE">
            <w:pPr>
              <w:pStyle w:val="TableHeading"/>
            </w:pPr>
            <w:r w:rsidRPr="002B1A95">
              <w:t>CPI indexed lump sum</w:t>
            </w:r>
          </w:p>
        </w:tc>
        <w:tc>
          <w:tcPr>
            <w:tcW w:w="2081" w:type="dxa"/>
            <w:tcBorders>
              <w:top w:val="single" w:sz="6" w:space="0" w:color="auto"/>
              <w:bottom w:val="single" w:sz="12" w:space="0" w:color="auto"/>
            </w:tcBorders>
            <w:shd w:val="clear" w:color="auto" w:fill="auto"/>
          </w:tcPr>
          <w:p w:rsidR="007D17C5" w:rsidRPr="002B1A95" w:rsidRDefault="007D17C5" w:rsidP="009558BE">
            <w:pPr>
              <w:pStyle w:val="TableHeading"/>
            </w:pPr>
            <w:r w:rsidRPr="002B1A95">
              <w:t>Column 4</w:t>
            </w:r>
          </w:p>
          <w:p w:rsidR="007D17C5" w:rsidRPr="002B1A95" w:rsidRDefault="007D17C5" w:rsidP="009558BE">
            <w:pPr>
              <w:pStyle w:val="TableHeading"/>
            </w:pPr>
            <w:r w:rsidRPr="002B1A95">
              <w:t>Wage indexed lump sum</w:t>
            </w:r>
          </w:p>
        </w:tc>
      </w:tr>
      <w:tr w:rsidR="007D17C5" w:rsidRPr="002B1A95" w:rsidTr="009558BE">
        <w:tc>
          <w:tcPr>
            <w:tcW w:w="714" w:type="dxa"/>
            <w:tcBorders>
              <w:top w:val="single" w:sz="12" w:space="0" w:color="auto"/>
            </w:tcBorders>
            <w:shd w:val="clear" w:color="auto" w:fill="auto"/>
          </w:tcPr>
          <w:p w:rsidR="007D17C5" w:rsidRPr="002B1A95" w:rsidRDefault="007D17C5" w:rsidP="009558BE">
            <w:pPr>
              <w:pStyle w:val="Tabletext"/>
            </w:pPr>
            <w:r w:rsidRPr="002B1A95">
              <w:t>1</w:t>
            </w:r>
          </w:p>
        </w:tc>
        <w:tc>
          <w:tcPr>
            <w:tcW w:w="1833" w:type="dxa"/>
            <w:tcBorders>
              <w:top w:val="single" w:sz="12" w:space="0" w:color="auto"/>
            </w:tcBorders>
            <w:shd w:val="clear" w:color="auto" w:fill="auto"/>
          </w:tcPr>
          <w:p w:rsidR="007D17C5" w:rsidRPr="002B1A95" w:rsidRDefault="007D17C5" w:rsidP="009558BE">
            <w:pPr>
              <w:pStyle w:val="Tabletext"/>
              <w:rPr>
                <w:snapToGrid w:val="0"/>
              </w:rPr>
            </w:pPr>
            <w:r w:rsidRPr="002B1A95">
              <w:rPr>
                <w:snapToGrid w:val="0"/>
                <w:color w:val="000000"/>
              </w:rPr>
              <w:t>0</w:t>
            </w:r>
          </w:p>
        </w:tc>
        <w:tc>
          <w:tcPr>
            <w:tcW w:w="1701" w:type="dxa"/>
            <w:tcBorders>
              <w:top w:val="single" w:sz="12" w:space="0" w:color="auto"/>
            </w:tcBorders>
            <w:shd w:val="clear" w:color="auto" w:fill="auto"/>
          </w:tcPr>
          <w:p w:rsidR="007D17C5" w:rsidRPr="002B1A95" w:rsidRDefault="007D17C5" w:rsidP="009558BE">
            <w:pPr>
              <w:pStyle w:val="Tabletext"/>
              <w:rPr>
                <w:snapToGrid w:val="0"/>
              </w:rPr>
            </w:pPr>
            <w:r w:rsidRPr="002B1A95">
              <w:rPr>
                <w:snapToGrid w:val="0"/>
                <w:color w:val="000000"/>
              </w:rPr>
              <w:t>1.000</w:t>
            </w:r>
          </w:p>
        </w:tc>
        <w:tc>
          <w:tcPr>
            <w:tcW w:w="1984" w:type="dxa"/>
            <w:tcBorders>
              <w:top w:val="single" w:sz="12" w:space="0" w:color="auto"/>
            </w:tcBorders>
            <w:shd w:val="clear" w:color="auto" w:fill="auto"/>
          </w:tcPr>
          <w:p w:rsidR="007D17C5" w:rsidRPr="002B1A95" w:rsidRDefault="007D17C5" w:rsidP="009558BE">
            <w:pPr>
              <w:pStyle w:val="Tabletext"/>
              <w:rPr>
                <w:snapToGrid w:val="0"/>
              </w:rPr>
            </w:pPr>
            <w:r w:rsidRPr="002B1A95">
              <w:rPr>
                <w:snapToGrid w:val="0"/>
                <w:color w:val="000000"/>
              </w:rPr>
              <w:t>1.000</w:t>
            </w:r>
          </w:p>
        </w:tc>
        <w:tc>
          <w:tcPr>
            <w:tcW w:w="2081" w:type="dxa"/>
            <w:tcBorders>
              <w:top w:val="single" w:sz="12" w:space="0" w:color="auto"/>
            </w:tcBorders>
            <w:shd w:val="clear" w:color="auto" w:fill="auto"/>
          </w:tcPr>
          <w:p w:rsidR="007D17C5" w:rsidRPr="002B1A95" w:rsidRDefault="007D17C5" w:rsidP="009558BE">
            <w:pPr>
              <w:pStyle w:val="Tabletext"/>
              <w:rPr>
                <w:snapToGrid w:val="0"/>
              </w:rPr>
            </w:pPr>
            <w:r w:rsidRPr="002B1A95">
              <w:rPr>
                <w:snapToGrid w:val="0"/>
                <w:color w:val="000000"/>
              </w:rPr>
              <w:t>1.000</w:t>
            </w:r>
          </w:p>
        </w:tc>
      </w:tr>
      <w:tr w:rsidR="007D17C5" w:rsidRPr="002B1A95" w:rsidTr="009558BE">
        <w:tc>
          <w:tcPr>
            <w:tcW w:w="714" w:type="dxa"/>
            <w:shd w:val="clear" w:color="auto" w:fill="auto"/>
          </w:tcPr>
          <w:p w:rsidR="007D17C5" w:rsidRPr="002B1A95" w:rsidRDefault="007D17C5" w:rsidP="009558BE">
            <w:pPr>
              <w:pStyle w:val="Tabletext"/>
            </w:pPr>
            <w:r w:rsidRPr="002B1A95">
              <w:t>2</w:t>
            </w:r>
          </w:p>
        </w:tc>
        <w:tc>
          <w:tcPr>
            <w:tcW w:w="1833" w:type="dxa"/>
            <w:shd w:val="clear" w:color="auto" w:fill="auto"/>
          </w:tcPr>
          <w:p w:rsidR="007D17C5" w:rsidRPr="002B1A95" w:rsidRDefault="007D17C5" w:rsidP="009558BE">
            <w:pPr>
              <w:pStyle w:val="Tabletext"/>
              <w:rPr>
                <w:snapToGrid w:val="0"/>
              </w:rPr>
            </w:pPr>
            <w:r w:rsidRPr="002B1A95">
              <w:rPr>
                <w:snapToGrid w:val="0"/>
                <w:color w:val="000000"/>
              </w:rPr>
              <w:t>1</w:t>
            </w:r>
          </w:p>
        </w:tc>
        <w:tc>
          <w:tcPr>
            <w:tcW w:w="1701" w:type="dxa"/>
            <w:shd w:val="clear" w:color="auto" w:fill="auto"/>
            <w:vAlign w:val="bottom"/>
          </w:tcPr>
          <w:p w:rsidR="007D17C5" w:rsidRPr="002B1A95" w:rsidRDefault="007D17C5" w:rsidP="009558BE">
            <w:pPr>
              <w:pStyle w:val="Tabletext"/>
              <w:rPr>
                <w:snapToGrid w:val="0"/>
              </w:rPr>
            </w:pPr>
            <w:r w:rsidRPr="002B1A95">
              <w:rPr>
                <w:snapToGrid w:val="0"/>
                <w:color w:val="000000"/>
              </w:rPr>
              <w:t>0.939</w:t>
            </w:r>
          </w:p>
        </w:tc>
        <w:tc>
          <w:tcPr>
            <w:tcW w:w="1984" w:type="dxa"/>
            <w:shd w:val="clear" w:color="auto" w:fill="auto"/>
            <w:vAlign w:val="bottom"/>
          </w:tcPr>
          <w:p w:rsidR="007D17C5" w:rsidRPr="002B1A95" w:rsidRDefault="007D17C5" w:rsidP="009558BE">
            <w:pPr>
              <w:pStyle w:val="Tabletext"/>
              <w:rPr>
                <w:snapToGrid w:val="0"/>
              </w:rPr>
            </w:pPr>
            <w:r w:rsidRPr="002B1A95">
              <w:rPr>
                <w:snapToGrid w:val="0"/>
                <w:color w:val="000000"/>
              </w:rPr>
              <w:t>0.963</w:t>
            </w:r>
          </w:p>
        </w:tc>
        <w:tc>
          <w:tcPr>
            <w:tcW w:w="2081" w:type="dxa"/>
            <w:shd w:val="clear" w:color="auto" w:fill="auto"/>
            <w:vAlign w:val="bottom"/>
          </w:tcPr>
          <w:p w:rsidR="007D17C5" w:rsidRPr="002B1A95" w:rsidRDefault="007D17C5" w:rsidP="009558BE">
            <w:pPr>
              <w:pStyle w:val="Tabletext"/>
              <w:rPr>
                <w:snapToGrid w:val="0"/>
              </w:rPr>
            </w:pPr>
            <w:r w:rsidRPr="002B1A95">
              <w:rPr>
                <w:snapToGrid w:val="0"/>
                <w:color w:val="000000"/>
              </w:rPr>
              <w:t>0.977</w:t>
            </w:r>
          </w:p>
        </w:tc>
      </w:tr>
      <w:tr w:rsidR="007D17C5" w:rsidRPr="002B1A95" w:rsidTr="009558BE">
        <w:tc>
          <w:tcPr>
            <w:tcW w:w="714" w:type="dxa"/>
            <w:shd w:val="clear" w:color="auto" w:fill="auto"/>
          </w:tcPr>
          <w:p w:rsidR="007D17C5" w:rsidRPr="002B1A95" w:rsidRDefault="007D17C5" w:rsidP="009558BE">
            <w:pPr>
              <w:pStyle w:val="Tabletext"/>
            </w:pPr>
            <w:r w:rsidRPr="002B1A95">
              <w:t>3</w:t>
            </w:r>
          </w:p>
        </w:tc>
        <w:tc>
          <w:tcPr>
            <w:tcW w:w="1833" w:type="dxa"/>
            <w:shd w:val="clear" w:color="auto" w:fill="auto"/>
          </w:tcPr>
          <w:p w:rsidR="007D17C5" w:rsidRPr="002B1A95" w:rsidRDefault="007D17C5" w:rsidP="009558BE">
            <w:pPr>
              <w:pStyle w:val="Tabletext"/>
              <w:rPr>
                <w:snapToGrid w:val="0"/>
              </w:rPr>
            </w:pPr>
            <w:r w:rsidRPr="002B1A95">
              <w:rPr>
                <w:snapToGrid w:val="0"/>
                <w:color w:val="000000"/>
              </w:rPr>
              <w:t>2</w:t>
            </w:r>
          </w:p>
        </w:tc>
        <w:tc>
          <w:tcPr>
            <w:tcW w:w="1701" w:type="dxa"/>
            <w:shd w:val="clear" w:color="auto" w:fill="auto"/>
            <w:vAlign w:val="bottom"/>
          </w:tcPr>
          <w:p w:rsidR="007D17C5" w:rsidRPr="002B1A95" w:rsidRDefault="007D17C5" w:rsidP="009558BE">
            <w:pPr>
              <w:pStyle w:val="Tabletext"/>
              <w:rPr>
                <w:snapToGrid w:val="0"/>
              </w:rPr>
            </w:pPr>
            <w:r w:rsidRPr="002B1A95">
              <w:rPr>
                <w:snapToGrid w:val="0"/>
                <w:color w:val="000000"/>
              </w:rPr>
              <w:t>0.882</w:t>
            </w:r>
          </w:p>
        </w:tc>
        <w:tc>
          <w:tcPr>
            <w:tcW w:w="1984" w:type="dxa"/>
            <w:shd w:val="clear" w:color="auto" w:fill="auto"/>
            <w:vAlign w:val="bottom"/>
          </w:tcPr>
          <w:p w:rsidR="007D17C5" w:rsidRPr="002B1A95" w:rsidRDefault="007D17C5" w:rsidP="009558BE">
            <w:pPr>
              <w:pStyle w:val="Tabletext"/>
              <w:rPr>
                <w:snapToGrid w:val="0"/>
              </w:rPr>
            </w:pPr>
            <w:r w:rsidRPr="002B1A95">
              <w:rPr>
                <w:snapToGrid w:val="0"/>
                <w:color w:val="000000"/>
              </w:rPr>
              <w:t>0.927</w:t>
            </w:r>
          </w:p>
        </w:tc>
        <w:tc>
          <w:tcPr>
            <w:tcW w:w="2081" w:type="dxa"/>
            <w:shd w:val="clear" w:color="auto" w:fill="auto"/>
            <w:vAlign w:val="bottom"/>
          </w:tcPr>
          <w:p w:rsidR="007D17C5" w:rsidRPr="002B1A95" w:rsidRDefault="007D17C5" w:rsidP="009558BE">
            <w:pPr>
              <w:pStyle w:val="Tabletext"/>
              <w:rPr>
                <w:snapToGrid w:val="0"/>
              </w:rPr>
            </w:pPr>
            <w:r w:rsidRPr="002B1A95">
              <w:rPr>
                <w:snapToGrid w:val="0"/>
                <w:color w:val="000000"/>
              </w:rPr>
              <w:t>0.954</w:t>
            </w:r>
          </w:p>
        </w:tc>
      </w:tr>
      <w:tr w:rsidR="007D17C5" w:rsidRPr="002B1A95" w:rsidTr="009558BE">
        <w:tc>
          <w:tcPr>
            <w:tcW w:w="714" w:type="dxa"/>
            <w:shd w:val="clear" w:color="auto" w:fill="auto"/>
          </w:tcPr>
          <w:p w:rsidR="007D17C5" w:rsidRPr="002B1A95" w:rsidRDefault="007D17C5" w:rsidP="009558BE">
            <w:pPr>
              <w:pStyle w:val="Tabletext"/>
            </w:pPr>
            <w:r w:rsidRPr="002B1A95">
              <w:t>4</w:t>
            </w:r>
          </w:p>
        </w:tc>
        <w:tc>
          <w:tcPr>
            <w:tcW w:w="1833" w:type="dxa"/>
            <w:shd w:val="clear" w:color="auto" w:fill="auto"/>
          </w:tcPr>
          <w:p w:rsidR="007D17C5" w:rsidRPr="002B1A95" w:rsidRDefault="007D17C5" w:rsidP="009558BE">
            <w:pPr>
              <w:pStyle w:val="Tabletext"/>
              <w:rPr>
                <w:snapToGrid w:val="0"/>
              </w:rPr>
            </w:pPr>
            <w:r w:rsidRPr="002B1A95">
              <w:rPr>
                <w:snapToGrid w:val="0"/>
                <w:color w:val="000000"/>
              </w:rPr>
              <w:t>3</w:t>
            </w:r>
          </w:p>
        </w:tc>
        <w:tc>
          <w:tcPr>
            <w:tcW w:w="1701" w:type="dxa"/>
            <w:shd w:val="clear" w:color="auto" w:fill="auto"/>
            <w:vAlign w:val="bottom"/>
          </w:tcPr>
          <w:p w:rsidR="007D17C5" w:rsidRPr="002B1A95" w:rsidRDefault="007D17C5" w:rsidP="009558BE">
            <w:pPr>
              <w:pStyle w:val="Tabletext"/>
              <w:rPr>
                <w:snapToGrid w:val="0"/>
              </w:rPr>
            </w:pPr>
            <w:r w:rsidRPr="002B1A95">
              <w:rPr>
                <w:snapToGrid w:val="0"/>
                <w:color w:val="000000"/>
              </w:rPr>
              <w:t>0.829</w:t>
            </w:r>
          </w:p>
        </w:tc>
        <w:tc>
          <w:tcPr>
            <w:tcW w:w="1984" w:type="dxa"/>
            <w:shd w:val="clear" w:color="auto" w:fill="auto"/>
            <w:vAlign w:val="bottom"/>
          </w:tcPr>
          <w:p w:rsidR="007D17C5" w:rsidRPr="002B1A95" w:rsidRDefault="007D17C5" w:rsidP="009558BE">
            <w:pPr>
              <w:pStyle w:val="Tabletext"/>
              <w:rPr>
                <w:snapToGrid w:val="0"/>
              </w:rPr>
            </w:pPr>
            <w:r w:rsidRPr="002B1A95">
              <w:rPr>
                <w:snapToGrid w:val="0"/>
                <w:color w:val="000000"/>
              </w:rPr>
              <w:t>0.892</w:t>
            </w:r>
          </w:p>
        </w:tc>
        <w:tc>
          <w:tcPr>
            <w:tcW w:w="2081" w:type="dxa"/>
            <w:shd w:val="clear" w:color="auto" w:fill="auto"/>
            <w:vAlign w:val="bottom"/>
          </w:tcPr>
          <w:p w:rsidR="007D17C5" w:rsidRPr="002B1A95" w:rsidRDefault="007D17C5" w:rsidP="009558BE">
            <w:pPr>
              <w:pStyle w:val="Tabletext"/>
              <w:rPr>
                <w:snapToGrid w:val="0"/>
              </w:rPr>
            </w:pPr>
            <w:r w:rsidRPr="002B1A95">
              <w:rPr>
                <w:snapToGrid w:val="0"/>
                <w:color w:val="000000"/>
              </w:rPr>
              <w:t>0.932</w:t>
            </w:r>
          </w:p>
        </w:tc>
      </w:tr>
      <w:tr w:rsidR="007D17C5" w:rsidRPr="002B1A95" w:rsidTr="009558BE">
        <w:tc>
          <w:tcPr>
            <w:tcW w:w="714" w:type="dxa"/>
            <w:shd w:val="clear" w:color="auto" w:fill="auto"/>
          </w:tcPr>
          <w:p w:rsidR="007D17C5" w:rsidRPr="002B1A95" w:rsidRDefault="007D17C5" w:rsidP="009558BE">
            <w:pPr>
              <w:pStyle w:val="Tabletext"/>
            </w:pPr>
            <w:r w:rsidRPr="002B1A95">
              <w:t>5</w:t>
            </w:r>
          </w:p>
        </w:tc>
        <w:tc>
          <w:tcPr>
            <w:tcW w:w="1833" w:type="dxa"/>
            <w:shd w:val="clear" w:color="auto" w:fill="auto"/>
          </w:tcPr>
          <w:p w:rsidR="007D17C5" w:rsidRPr="002B1A95" w:rsidRDefault="007D17C5" w:rsidP="009558BE">
            <w:pPr>
              <w:pStyle w:val="Tabletext"/>
              <w:rPr>
                <w:snapToGrid w:val="0"/>
              </w:rPr>
            </w:pPr>
            <w:r w:rsidRPr="002B1A95">
              <w:rPr>
                <w:snapToGrid w:val="0"/>
                <w:color w:val="000000"/>
              </w:rPr>
              <w:t>4</w:t>
            </w:r>
          </w:p>
        </w:tc>
        <w:tc>
          <w:tcPr>
            <w:tcW w:w="1701" w:type="dxa"/>
            <w:shd w:val="clear" w:color="auto" w:fill="auto"/>
            <w:vAlign w:val="bottom"/>
          </w:tcPr>
          <w:p w:rsidR="007D17C5" w:rsidRPr="002B1A95" w:rsidRDefault="007D17C5" w:rsidP="009558BE">
            <w:pPr>
              <w:pStyle w:val="Tabletext"/>
              <w:rPr>
                <w:snapToGrid w:val="0"/>
              </w:rPr>
            </w:pPr>
            <w:r w:rsidRPr="002B1A95">
              <w:rPr>
                <w:snapToGrid w:val="0"/>
                <w:color w:val="000000"/>
              </w:rPr>
              <w:t>0.779</w:t>
            </w:r>
          </w:p>
        </w:tc>
        <w:tc>
          <w:tcPr>
            <w:tcW w:w="1984" w:type="dxa"/>
            <w:shd w:val="clear" w:color="auto" w:fill="auto"/>
            <w:vAlign w:val="bottom"/>
          </w:tcPr>
          <w:p w:rsidR="007D17C5" w:rsidRPr="002B1A95" w:rsidRDefault="007D17C5" w:rsidP="009558BE">
            <w:pPr>
              <w:pStyle w:val="Tabletext"/>
              <w:rPr>
                <w:snapToGrid w:val="0"/>
              </w:rPr>
            </w:pPr>
            <w:r w:rsidRPr="002B1A95">
              <w:rPr>
                <w:snapToGrid w:val="0"/>
                <w:color w:val="000000"/>
              </w:rPr>
              <w:t>0.859</w:t>
            </w:r>
          </w:p>
        </w:tc>
        <w:tc>
          <w:tcPr>
            <w:tcW w:w="2081" w:type="dxa"/>
            <w:shd w:val="clear" w:color="auto" w:fill="auto"/>
            <w:vAlign w:val="bottom"/>
          </w:tcPr>
          <w:p w:rsidR="007D17C5" w:rsidRPr="002B1A95" w:rsidRDefault="007D17C5" w:rsidP="009558BE">
            <w:pPr>
              <w:pStyle w:val="Tabletext"/>
              <w:rPr>
                <w:snapToGrid w:val="0"/>
              </w:rPr>
            </w:pPr>
            <w:r w:rsidRPr="002B1A95">
              <w:rPr>
                <w:snapToGrid w:val="0"/>
                <w:color w:val="000000"/>
              </w:rPr>
              <w:t>0.910</w:t>
            </w:r>
          </w:p>
        </w:tc>
      </w:tr>
      <w:tr w:rsidR="007D17C5" w:rsidRPr="002B1A95" w:rsidTr="009558BE">
        <w:tc>
          <w:tcPr>
            <w:tcW w:w="714" w:type="dxa"/>
            <w:shd w:val="clear" w:color="auto" w:fill="auto"/>
          </w:tcPr>
          <w:p w:rsidR="007D17C5" w:rsidRPr="002B1A95" w:rsidRDefault="007D17C5" w:rsidP="009558BE">
            <w:pPr>
              <w:pStyle w:val="Tabletext"/>
            </w:pPr>
            <w:r w:rsidRPr="002B1A95">
              <w:t>6</w:t>
            </w:r>
          </w:p>
        </w:tc>
        <w:tc>
          <w:tcPr>
            <w:tcW w:w="1833" w:type="dxa"/>
            <w:shd w:val="clear" w:color="auto" w:fill="auto"/>
          </w:tcPr>
          <w:p w:rsidR="007D17C5" w:rsidRPr="002B1A95" w:rsidRDefault="007D17C5" w:rsidP="009558BE">
            <w:pPr>
              <w:pStyle w:val="Tabletext"/>
              <w:rPr>
                <w:snapToGrid w:val="0"/>
              </w:rPr>
            </w:pPr>
            <w:r w:rsidRPr="002B1A95">
              <w:rPr>
                <w:snapToGrid w:val="0"/>
                <w:color w:val="000000"/>
              </w:rPr>
              <w:t>5</w:t>
            </w:r>
          </w:p>
        </w:tc>
        <w:tc>
          <w:tcPr>
            <w:tcW w:w="1701" w:type="dxa"/>
            <w:shd w:val="clear" w:color="auto" w:fill="auto"/>
            <w:vAlign w:val="bottom"/>
          </w:tcPr>
          <w:p w:rsidR="007D17C5" w:rsidRPr="002B1A95" w:rsidRDefault="007D17C5" w:rsidP="009558BE">
            <w:pPr>
              <w:pStyle w:val="Tabletext"/>
              <w:rPr>
                <w:snapToGrid w:val="0"/>
              </w:rPr>
            </w:pPr>
            <w:r w:rsidRPr="002B1A95">
              <w:rPr>
                <w:snapToGrid w:val="0"/>
                <w:color w:val="000000"/>
              </w:rPr>
              <w:t>0.732</w:t>
            </w:r>
          </w:p>
        </w:tc>
        <w:tc>
          <w:tcPr>
            <w:tcW w:w="1984" w:type="dxa"/>
            <w:shd w:val="clear" w:color="auto" w:fill="auto"/>
            <w:vAlign w:val="bottom"/>
          </w:tcPr>
          <w:p w:rsidR="007D17C5" w:rsidRPr="002B1A95" w:rsidRDefault="007D17C5" w:rsidP="009558BE">
            <w:pPr>
              <w:pStyle w:val="Tabletext"/>
              <w:rPr>
                <w:snapToGrid w:val="0"/>
              </w:rPr>
            </w:pPr>
            <w:r w:rsidRPr="002B1A95">
              <w:rPr>
                <w:snapToGrid w:val="0"/>
                <w:color w:val="000000"/>
              </w:rPr>
              <w:t>0.827</w:t>
            </w:r>
          </w:p>
        </w:tc>
        <w:tc>
          <w:tcPr>
            <w:tcW w:w="2081" w:type="dxa"/>
            <w:shd w:val="clear" w:color="auto" w:fill="auto"/>
            <w:vAlign w:val="bottom"/>
          </w:tcPr>
          <w:p w:rsidR="007D17C5" w:rsidRPr="002B1A95" w:rsidRDefault="007D17C5" w:rsidP="009558BE">
            <w:pPr>
              <w:pStyle w:val="Tabletext"/>
              <w:rPr>
                <w:snapToGrid w:val="0"/>
              </w:rPr>
            </w:pPr>
            <w:r w:rsidRPr="002B1A95">
              <w:rPr>
                <w:snapToGrid w:val="0"/>
                <w:color w:val="000000"/>
              </w:rPr>
              <w:t>0.889</w:t>
            </w:r>
          </w:p>
        </w:tc>
      </w:tr>
      <w:tr w:rsidR="007D17C5" w:rsidRPr="002B1A95" w:rsidTr="009558BE">
        <w:tc>
          <w:tcPr>
            <w:tcW w:w="714" w:type="dxa"/>
            <w:shd w:val="clear" w:color="auto" w:fill="auto"/>
          </w:tcPr>
          <w:p w:rsidR="007D17C5" w:rsidRPr="002B1A95" w:rsidRDefault="007D17C5" w:rsidP="009558BE">
            <w:pPr>
              <w:pStyle w:val="Tabletext"/>
            </w:pPr>
            <w:r w:rsidRPr="002B1A95">
              <w:t>7</w:t>
            </w:r>
          </w:p>
        </w:tc>
        <w:tc>
          <w:tcPr>
            <w:tcW w:w="1833" w:type="dxa"/>
            <w:shd w:val="clear" w:color="auto" w:fill="auto"/>
          </w:tcPr>
          <w:p w:rsidR="007D17C5" w:rsidRPr="002B1A95" w:rsidRDefault="007D17C5" w:rsidP="009558BE">
            <w:pPr>
              <w:pStyle w:val="Tabletext"/>
              <w:rPr>
                <w:snapToGrid w:val="0"/>
              </w:rPr>
            </w:pPr>
            <w:r w:rsidRPr="002B1A95">
              <w:rPr>
                <w:snapToGrid w:val="0"/>
                <w:color w:val="000000"/>
              </w:rPr>
              <w:t>6</w:t>
            </w:r>
          </w:p>
        </w:tc>
        <w:tc>
          <w:tcPr>
            <w:tcW w:w="1701" w:type="dxa"/>
            <w:shd w:val="clear" w:color="auto" w:fill="auto"/>
            <w:vAlign w:val="bottom"/>
          </w:tcPr>
          <w:p w:rsidR="007D17C5" w:rsidRPr="002B1A95" w:rsidRDefault="007D17C5" w:rsidP="009558BE">
            <w:pPr>
              <w:pStyle w:val="Tabletext"/>
              <w:rPr>
                <w:snapToGrid w:val="0"/>
              </w:rPr>
            </w:pPr>
            <w:r w:rsidRPr="002B1A95">
              <w:rPr>
                <w:snapToGrid w:val="0"/>
                <w:color w:val="000000"/>
              </w:rPr>
              <w:t>0.689</w:t>
            </w:r>
          </w:p>
        </w:tc>
        <w:tc>
          <w:tcPr>
            <w:tcW w:w="1984" w:type="dxa"/>
            <w:shd w:val="clear" w:color="auto" w:fill="auto"/>
            <w:vAlign w:val="bottom"/>
          </w:tcPr>
          <w:p w:rsidR="007D17C5" w:rsidRPr="002B1A95" w:rsidRDefault="007D17C5" w:rsidP="009558BE">
            <w:pPr>
              <w:pStyle w:val="Tabletext"/>
              <w:rPr>
                <w:snapToGrid w:val="0"/>
              </w:rPr>
            </w:pPr>
            <w:r w:rsidRPr="002B1A95">
              <w:rPr>
                <w:snapToGrid w:val="0"/>
                <w:color w:val="000000"/>
              </w:rPr>
              <w:t>0.797</w:t>
            </w:r>
          </w:p>
        </w:tc>
        <w:tc>
          <w:tcPr>
            <w:tcW w:w="2081" w:type="dxa"/>
            <w:shd w:val="clear" w:color="auto" w:fill="auto"/>
            <w:vAlign w:val="bottom"/>
          </w:tcPr>
          <w:p w:rsidR="007D17C5" w:rsidRPr="002B1A95" w:rsidRDefault="007D17C5" w:rsidP="009558BE">
            <w:pPr>
              <w:pStyle w:val="Tabletext"/>
              <w:rPr>
                <w:snapToGrid w:val="0"/>
              </w:rPr>
            </w:pPr>
            <w:r w:rsidRPr="002B1A95">
              <w:rPr>
                <w:snapToGrid w:val="0"/>
                <w:color w:val="000000"/>
              </w:rPr>
              <w:t>0.869</w:t>
            </w:r>
          </w:p>
        </w:tc>
      </w:tr>
      <w:tr w:rsidR="007D17C5" w:rsidRPr="002B1A95" w:rsidTr="009558BE">
        <w:tc>
          <w:tcPr>
            <w:tcW w:w="714" w:type="dxa"/>
            <w:shd w:val="clear" w:color="auto" w:fill="auto"/>
          </w:tcPr>
          <w:p w:rsidR="007D17C5" w:rsidRPr="002B1A95" w:rsidRDefault="007D17C5" w:rsidP="009558BE">
            <w:pPr>
              <w:pStyle w:val="Tabletext"/>
            </w:pPr>
            <w:r w:rsidRPr="002B1A95">
              <w:t>8</w:t>
            </w:r>
          </w:p>
        </w:tc>
        <w:tc>
          <w:tcPr>
            <w:tcW w:w="1833" w:type="dxa"/>
            <w:shd w:val="clear" w:color="auto" w:fill="auto"/>
          </w:tcPr>
          <w:p w:rsidR="007D17C5" w:rsidRPr="002B1A95" w:rsidRDefault="007D17C5" w:rsidP="009558BE">
            <w:pPr>
              <w:pStyle w:val="Tabletext"/>
              <w:rPr>
                <w:snapToGrid w:val="0"/>
              </w:rPr>
            </w:pPr>
            <w:r w:rsidRPr="002B1A95">
              <w:rPr>
                <w:snapToGrid w:val="0"/>
                <w:color w:val="000000"/>
              </w:rPr>
              <w:t>7</w:t>
            </w:r>
          </w:p>
        </w:tc>
        <w:tc>
          <w:tcPr>
            <w:tcW w:w="1701" w:type="dxa"/>
            <w:shd w:val="clear" w:color="auto" w:fill="auto"/>
            <w:vAlign w:val="bottom"/>
          </w:tcPr>
          <w:p w:rsidR="007D17C5" w:rsidRPr="002B1A95" w:rsidRDefault="007D17C5" w:rsidP="009558BE">
            <w:pPr>
              <w:pStyle w:val="Tabletext"/>
              <w:rPr>
                <w:snapToGrid w:val="0"/>
              </w:rPr>
            </w:pPr>
            <w:r w:rsidRPr="002B1A95">
              <w:rPr>
                <w:snapToGrid w:val="0"/>
                <w:color w:val="000000"/>
              </w:rPr>
              <w:t>0.648</w:t>
            </w:r>
          </w:p>
        </w:tc>
        <w:tc>
          <w:tcPr>
            <w:tcW w:w="1984" w:type="dxa"/>
            <w:shd w:val="clear" w:color="auto" w:fill="auto"/>
            <w:vAlign w:val="bottom"/>
          </w:tcPr>
          <w:p w:rsidR="007D17C5" w:rsidRPr="002B1A95" w:rsidRDefault="007D17C5" w:rsidP="009558BE">
            <w:pPr>
              <w:pStyle w:val="Tabletext"/>
              <w:rPr>
                <w:snapToGrid w:val="0"/>
              </w:rPr>
            </w:pPr>
            <w:r w:rsidRPr="002B1A95">
              <w:rPr>
                <w:snapToGrid w:val="0"/>
                <w:color w:val="000000"/>
              </w:rPr>
              <w:t>0.768</w:t>
            </w:r>
          </w:p>
        </w:tc>
        <w:tc>
          <w:tcPr>
            <w:tcW w:w="2081" w:type="dxa"/>
            <w:shd w:val="clear" w:color="auto" w:fill="auto"/>
            <w:vAlign w:val="bottom"/>
          </w:tcPr>
          <w:p w:rsidR="007D17C5" w:rsidRPr="002B1A95" w:rsidRDefault="007D17C5" w:rsidP="009558BE">
            <w:pPr>
              <w:pStyle w:val="Tabletext"/>
              <w:rPr>
                <w:snapToGrid w:val="0"/>
              </w:rPr>
            </w:pPr>
            <w:r w:rsidRPr="002B1A95">
              <w:rPr>
                <w:snapToGrid w:val="0"/>
                <w:color w:val="000000"/>
              </w:rPr>
              <w:t>0.849</w:t>
            </w:r>
          </w:p>
        </w:tc>
      </w:tr>
      <w:tr w:rsidR="007D17C5" w:rsidRPr="002B1A95" w:rsidTr="009558BE">
        <w:tc>
          <w:tcPr>
            <w:tcW w:w="714" w:type="dxa"/>
            <w:shd w:val="clear" w:color="auto" w:fill="auto"/>
          </w:tcPr>
          <w:p w:rsidR="007D17C5" w:rsidRPr="002B1A95" w:rsidRDefault="007D17C5" w:rsidP="009558BE">
            <w:pPr>
              <w:pStyle w:val="Tabletext"/>
            </w:pPr>
            <w:r w:rsidRPr="002B1A95">
              <w:t>9</w:t>
            </w:r>
          </w:p>
        </w:tc>
        <w:tc>
          <w:tcPr>
            <w:tcW w:w="1833" w:type="dxa"/>
            <w:shd w:val="clear" w:color="auto" w:fill="auto"/>
          </w:tcPr>
          <w:p w:rsidR="007D17C5" w:rsidRPr="002B1A95" w:rsidRDefault="007D17C5" w:rsidP="009558BE">
            <w:pPr>
              <w:pStyle w:val="Tabletext"/>
              <w:rPr>
                <w:snapToGrid w:val="0"/>
              </w:rPr>
            </w:pPr>
            <w:r w:rsidRPr="002B1A95">
              <w:rPr>
                <w:snapToGrid w:val="0"/>
                <w:color w:val="000000"/>
              </w:rPr>
              <w:t>8</w:t>
            </w:r>
          </w:p>
        </w:tc>
        <w:tc>
          <w:tcPr>
            <w:tcW w:w="1701" w:type="dxa"/>
            <w:shd w:val="clear" w:color="auto" w:fill="auto"/>
            <w:vAlign w:val="bottom"/>
          </w:tcPr>
          <w:p w:rsidR="007D17C5" w:rsidRPr="002B1A95" w:rsidRDefault="007D17C5" w:rsidP="009558BE">
            <w:pPr>
              <w:pStyle w:val="Tabletext"/>
              <w:rPr>
                <w:snapToGrid w:val="0"/>
              </w:rPr>
            </w:pPr>
            <w:r w:rsidRPr="002B1A95">
              <w:rPr>
                <w:snapToGrid w:val="0"/>
                <w:color w:val="000000"/>
              </w:rPr>
              <w:t>0.610</w:t>
            </w:r>
          </w:p>
        </w:tc>
        <w:tc>
          <w:tcPr>
            <w:tcW w:w="1984" w:type="dxa"/>
            <w:shd w:val="clear" w:color="auto" w:fill="auto"/>
            <w:vAlign w:val="bottom"/>
          </w:tcPr>
          <w:p w:rsidR="007D17C5" w:rsidRPr="002B1A95" w:rsidRDefault="007D17C5" w:rsidP="009558BE">
            <w:pPr>
              <w:pStyle w:val="Tabletext"/>
              <w:rPr>
                <w:snapToGrid w:val="0"/>
              </w:rPr>
            </w:pPr>
            <w:r w:rsidRPr="002B1A95">
              <w:rPr>
                <w:snapToGrid w:val="0"/>
                <w:color w:val="000000"/>
              </w:rPr>
              <w:t>0.740</w:t>
            </w:r>
          </w:p>
        </w:tc>
        <w:tc>
          <w:tcPr>
            <w:tcW w:w="2081" w:type="dxa"/>
            <w:shd w:val="clear" w:color="auto" w:fill="auto"/>
            <w:vAlign w:val="bottom"/>
          </w:tcPr>
          <w:p w:rsidR="007D17C5" w:rsidRPr="002B1A95" w:rsidRDefault="007D17C5" w:rsidP="009558BE">
            <w:pPr>
              <w:pStyle w:val="Tabletext"/>
              <w:rPr>
                <w:snapToGrid w:val="0"/>
              </w:rPr>
            </w:pPr>
            <w:r w:rsidRPr="002B1A95">
              <w:rPr>
                <w:snapToGrid w:val="0"/>
                <w:color w:val="000000"/>
              </w:rPr>
              <w:t>0.830</w:t>
            </w:r>
          </w:p>
        </w:tc>
      </w:tr>
      <w:tr w:rsidR="007D17C5" w:rsidRPr="002B1A95" w:rsidTr="009558BE">
        <w:tc>
          <w:tcPr>
            <w:tcW w:w="714" w:type="dxa"/>
            <w:shd w:val="clear" w:color="auto" w:fill="auto"/>
          </w:tcPr>
          <w:p w:rsidR="007D17C5" w:rsidRPr="002B1A95" w:rsidRDefault="007D17C5" w:rsidP="009558BE">
            <w:pPr>
              <w:pStyle w:val="Tabletext"/>
            </w:pPr>
            <w:r w:rsidRPr="002B1A95">
              <w:t>10</w:t>
            </w:r>
          </w:p>
        </w:tc>
        <w:tc>
          <w:tcPr>
            <w:tcW w:w="1833" w:type="dxa"/>
            <w:shd w:val="clear" w:color="auto" w:fill="auto"/>
          </w:tcPr>
          <w:p w:rsidR="007D17C5" w:rsidRPr="002B1A95" w:rsidRDefault="007D17C5" w:rsidP="009558BE">
            <w:pPr>
              <w:pStyle w:val="Tabletext"/>
              <w:rPr>
                <w:snapToGrid w:val="0"/>
              </w:rPr>
            </w:pPr>
            <w:r w:rsidRPr="002B1A95">
              <w:rPr>
                <w:snapToGrid w:val="0"/>
                <w:color w:val="000000"/>
              </w:rPr>
              <w:t>9</w:t>
            </w:r>
          </w:p>
        </w:tc>
        <w:tc>
          <w:tcPr>
            <w:tcW w:w="1701" w:type="dxa"/>
            <w:shd w:val="clear" w:color="auto" w:fill="auto"/>
            <w:vAlign w:val="bottom"/>
          </w:tcPr>
          <w:p w:rsidR="007D17C5" w:rsidRPr="002B1A95" w:rsidRDefault="007D17C5" w:rsidP="009558BE">
            <w:pPr>
              <w:pStyle w:val="Tabletext"/>
              <w:rPr>
                <w:snapToGrid w:val="0"/>
              </w:rPr>
            </w:pPr>
            <w:r w:rsidRPr="002B1A95">
              <w:rPr>
                <w:snapToGrid w:val="0"/>
                <w:color w:val="000000"/>
              </w:rPr>
              <w:t>0.575</w:t>
            </w:r>
          </w:p>
        </w:tc>
        <w:tc>
          <w:tcPr>
            <w:tcW w:w="1984" w:type="dxa"/>
            <w:shd w:val="clear" w:color="auto" w:fill="auto"/>
            <w:vAlign w:val="bottom"/>
          </w:tcPr>
          <w:p w:rsidR="007D17C5" w:rsidRPr="002B1A95" w:rsidRDefault="007D17C5" w:rsidP="009558BE">
            <w:pPr>
              <w:pStyle w:val="Tabletext"/>
              <w:rPr>
                <w:snapToGrid w:val="0"/>
              </w:rPr>
            </w:pPr>
            <w:r w:rsidRPr="002B1A95">
              <w:rPr>
                <w:snapToGrid w:val="0"/>
                <w:color w:val="000000"/>
              </w:rPr>
              <w:t>0.714</w:t>
            </w:r>
          </w:p>
        </w:tc>
        <w:tc>
          <w:tcPr>
            <w:tcW w:w="2081" w:type="dxa"/>
            <w:shd w:val="clear" w:color="auto" w:fill="auto"/>
            <w:vAlign w:val="bottom"/>
          </w:tcPr>
          <w:p w:rsidR="007D17C5" w:rsidRPr="002B1A95" w:rsidRDefault="007D17C5" w:rsidP="009558BE">
            <w:pPr>
              <w:pStyle w:val="Tabletext"/>
              <w:rPr>
                <w:snapToGrid w:val="0"/>
              </w:rPr>
            </w:pPr>
            <w:r w:rsidRPr="002B1A95">
              <w:rPr>
                <w:snapToGrid w:val="0"/>
                <w:color w:val="000000"/>
              </w:rPr>
              <w:t>0.811</w:t>
            </w:r>
          </w:p>
        </w:tc>
      </w:tr>
      <w:tr w:rsidR="007D17C5" w:rsidRPr="002B1A95" w:rsidTr="009558BE">
        <w:tc>
          <w:tcPr>
            <w:tcW w:w="714" w:type="dxa"/>
            <w:shd w:val="clear" w:color="auto" w:fill="auto"/>
          </w:tcPr>
          <w:p w:rsidR="007D17C5" w:rsidRPr="002B1A95" w:rsidRDefault="007D17C5" w:rsidP="009558BE">
            <w:pPr>
              <w:pStyle w:val="Tabletext"/>
            </w:pPr>
            <w:r w:rsidRPr="002B1A95">
              <w:t>11</w:t>
            </w:r>
          </w:p>
        </w:tc>
        <w:tc>
          <w:tcPr>
            <w:tcW w:w="1833" w:type="dxa"/>
            <w:shd w:val="clear" w:color="auto" w:fill="auto"/>
          </w:tcPr>
          <w:p w:rsidR="007D17C5" w:rsidRPr="002B1A95" w:rsidRDefault="007D17C5" w:rsidP="009558BE">
            <w:pPr>
              <w:pStyle w:val="Tabletext"/>
              <w:rPr>
                <w:snapToGrid w:val="0"/>
              </w:rPr>
            </w:pPr>
            <w:r w:rsidRPr="002B1A95">
              <w:rPr>
                <w:snapToGrid w:val="0"/>
                <w:color w:val="000000"/>
              </w:rPr>
              <w:t>10</w:t>
            </w:r>
          </w:p>
        </w:tc>
        <w:tc>
          <w:tcPr>
            <w:tcW w:w="1701" w:type="dxa"/>
            <w:shd w:val="clear" w:color="auto" w:fill="auto"/>
            <w:vAlign w:val="bottom"/>
          </w:tcPr>
          <w:p w:rsidR="007D17C5" w:rsidRPr="002B1A95" w:rsidRDefault="007D17C5" w:rsidP="009558BE">
            <w:pPr>
              <w:pStyle w:val="Tabletext"/>
              <w:rPr>
                <w:snapToGrid w:val="0"/>
              </w:rPr>
            </w:pPr>
            <w:r w:rsidRPr="002B1A95">
              <w:rPr>
                <w:snapToGrid w:val="0"/>
                <w:color w:val="000000"/>
              </w:rPr>
              <w:t>0.542</w:t>
            </w:r>
          </w:p>
        </w:tc>
        <w:tc>
          <w:tcPr>
            <w:tcW w:w="1984" w:type="dxa"/>
            <w:shd w:val="clear" w:color="auto" w:fill="auto"/>
            <w:vAlign w:val="bottom"/>
          </w:tcPr>
          <w:p w:rsidR="007D17C5" w:rsidRPr="002B1A95" w:rsidRDefault="007D17C5" w:rsidP="009558BE">
            <w:pPr>
              <w:pStyle w:val="Tabletext"/>
              <w:rPr>
                <w:snapToGrid w:val="0"/>
              </w:rPr>
            </w:pPr>
            <w:r w:rsidRPr="002B1A95">
              <w:rPr>
                <w:snapToGrid w:val="0"/>
                <w:color w:val="000000"/>
              </w:rPr>
              <w:t>0.688</w:t>
            </w:r>
          </w:p>
        </w:tc>
        <w:tc>
          <w:tcPr>
            <w:tcW w:w="2081" w:type="dxa"/>
            <w:shd w:val="clear" w:color="auto" w:fill="auto"/>
            <w:vAlign w:val="bottom"/>
          </w:tcPr>
          <w:p w:rsidR="007D17C5" w:rsidRPr="002B1A95" w:rsidRDefault="007D17C5" w:rsidP="009558BE">
            <w:pPr>
              <w:pStyle w:val="Tabletext"/>
              <w:rPr>
                <w:snapToGrid w:val="0"/>
              </w:rPr>
            </w:pPr>
            <w:r w:rsidRPr="002B1A95">
              <w:rPr>
                <w:snapToGrid w:val="0"/>
                <w:color w:val="000000"/>
              </w:rPr>
              <w:t>0.793</w:t>
            </w:r>
          </w:p>
        </w:tc>
      </w:tr>
      <w:tr w:rsidR="007D17C5" w:rsidRPr="002B1A95" w:rsidTr="009558BE">
        <w:tc>
          <w:tcPr>
            <w:tcW w:w="714" w:type="dxa"/>
            <w:shd w:val="clear" w:color="auto" w:fill="auto"/>
          </w:tcPr>
          <w:p w:rsidR="007D17C5" w:rsidRPr="002B1A95" w:rsidRDefault="007D17C5" w:rsidP="009558BE">
            <w:pPr>
              <w:pStyle w:val="Tabletext"/>
            </w:pPr>
            <w:r w:rsidRPr="002B1A95">
              <w:t>12</w:t>
            </w:r>
          </w:p>
        </w:tc>
        <w:tc>
          <w:tcPr>
            <w:tcW w:w="1833" w:type="dxa"/>
            <w:shd w:val="clear" w:color="auto" w:fill="auto"/>
          </w:tcPr>
          <w:p w:rsidR="007D17C5" w:rsidRPr="002B1A95" w:rsidRDefault="007D17C5" w:rsidP="009558BE">
            <w:pPr>
              <w:pStyle w:val="Tabletext"/>
              <w:rPr>
                <w:snapToGrid w:val="0"/>
              </w:rPr>
            </w:pPr>
            <w:r w:rsidRPr="002B1A95">
              <w:rPr>
                <w:snapToGrid w:val="0"/>
                <w:color w:val="000000"/>
              </w:rPr>
              <w:t>11</w:t>
            </w:r>
          </w:p>
        </w:tc>
        <w:tc>
          <w:tcPr>
            <w:tcW w:w="1701" w:type="dxa"/>
            <w:shd w:val="clear" w:color="auto" w:fill="auto"/>
            <w:vAlign w:val="bottom"/>
          </w:tcPr>
          <w:p w:rsidR="007D17C5" w:rsidRPr="002B1A95" w:rsidRDefault="007D17C5" w:rsidP="009558BE">
            <w:pPr>
              <w:pStyle w:val="Tabletext"/>
              <w:rPr>
                <w:snapToGrid w:val="0"/>
              </w:rPr>
            </w:pPr>
            <w:r w:rsidRPr="002B1A95">
              <w:rPr>
                <w:snapToGrid w:val="0"/>
                <w:color w:val="000000"/>
              </w:rPr>
              <w:t>0.511</w:t>
            </w:r>
          </w:p>
        </w:tc>
        <w:tc>
          <w:tcPr>
            <w:tcW w:w="1984" w:type="dxa"/>
            <w:shd w:val="clear" w:color="auto" w:fill="auto"/>
            <w:vAlign w:val="bottom"/>
          </w:tcPr>
          <w:p w:rsidR="007D17C5" w:rsidRPr="002B1A95" w:rsidRDefault="007D17C5" w:rsidP="009558BE">
            <w:pPr>
              <w:pStyle w:val="Tabletext"/>
              <w:rPr>
                <w:snapToGrid w:val="0"/>
              </w:rPr>
            </w:pPr>
            <w:r w:rsidRPr="002B1A95">
              <w:rPr>
                <w:snapToGrid w:val="0"/>
                <w:color w:val="000000"/>
              </w:rPr>
              <w:t>0.664</w:t>
            </w:r>
          </w:p>
        </w:tc>
        <w:tc>
          <w:tcPr>
            <w:tcW w:w="2081" w:type="dxa"/>
            <w:shd w:val="clear" w:color="auto" w:fill="auto"/>
            <w:vAlign w:val="bottom"/>
          </w:tcPr>
          <w:p w:rsidR="007D17C5" w:rsidRPr="002B1A95" w:rsidRDefault="007D17C5" w:rsidP="009558BE">
            <w:pPr>
              <w:pStyle w:val="Tabletext"/>
              <w:rPr>
                <w:snapToGrid w:val="0"/>
              </w:rPr>
            </w:pPr>
            <w:r w:rsidRPr="002B1A95">
              <w:rPr>
                <w:snapToGrid w:val="0"/>
                <w:color w:val="000000"/>
              </w:rPr>
              <w:t>0.776</w:t>
            </w:r>
          </w:p>
        </w:tc>
      </w:tr>
      <w:tr w:rsidR="007D17C5" w:rsidRPr="002B1A95" w:rsidTr="009558BE">
        <w:tc>
          <w:tcPr>
            <w:tcW w:w="714" w:type="dxa"/>
            <w:shd w:val="clear" w:color="auto" w:fill="auto"/>
          </w:tcPr>
          <w:p w:rsidR="007D17C5" w:rsidRPr="002B1A95" w:rsidRDefault="007D17C5" w:rsidP="009558BE">
            <w:pPr>
              <w:pStyle w:val="Tabletext"/>
            </w:pPr>
            <w:r w:rsidRPr="002B1A95">
              <w:t>13</w:t>
            </w:r>
          </w:p>
        </w:tc>
        <w:tc>
          <w:tcPr>
            <w:tcW w:w="1833" w:type="dxa"/>
            <w:shd w:val="clear" w:color="auto" w:fill="auto"/>
          </w:tcPr>
          <w:p w:rsidR="007D17C5" w:rsidRPr="002B1A95" w:rsidRDefault="007D17C5" w:rsidP="009558BE">
            <w:pPr>
              <w:pStyle w:val="Tabletext"/>
              <w:rPr>
                <w:snapToGrid w:val="0"/>
              </w:rPr>
            </w:pPr>
            <w:r w:rsidRPr="002B1A95">
              <w:rPr>
                <w:snapToGrid w:val="0"/>
                <w:color w:val="000000"/>
              </w:rPr>
              <w:t>12</w:t>
            </w:r>
          </w:p>
        </w:tc>
        <w:tc>
          <w:tcPr>
            <w:tcW w:w="1701" w:type="dxa"/>
            <w:shd w:val="clear" w:color="auto" w:fill="auto"/>
            <w:vAlign w:val="bottom"/>
          </w:tcPr>
          <w:p w:rsidR="007D17C5" w:rsidRPr="002B1A95" w:rsidRDefault="007D17C5" w:rsidP="009558BE">
            <w:pPr>
              <w:pStyle w:val="Tabletext"/>
              <w:rPr>
                <w:snapToGrid w:val="0"/>
              </w:rPr>
            </w:pPr>
            <w:r w:rsidRPr="002B1A95">
              <w:rPr>
                <w:snapToGrid w:val="0"/>
                <w:color w:val="000000"/>
              </w:rPr>
              <w:t>0.483</w:t>
            </w:r>
          </w:p>
        </w:tc>
        <w:tc>
          <w:tcPr>
            <w:tcW w:w="1984" w:type="dxa"/>
            <w:shd w:val="clear" w:color="auto" w:fill="auto"/>
            <w:vAlign w:val="bottom"/>
          </w:tcPr>
          <w:p w:rsidR="007D17C5" w:rsidRPr="002B1A95" w:rsidRDefault="007D17C5" w:rsidP="009558BE">
            <w:pPr>
              <w:pStyle w:val="Tabletext"/>
              <w:rPr>
                <w:snapToGrid w:val="0"/>
              </w:rPr>
            </w:pPr>
            <w:r w:rsidRPr="002B1A95">
              <w:rPr>
                <w:snapToGrid w:val="0"/>
                <w:color w:val="000000"/>
              </w:rPr>
              <w:t>0.641</w:t>
            </w:r>
          </w:p>
        </w:tc>
        <w:tc>
          <w:tcPr>
            <w:tcW w:w="2081" w:type="dxa"/>
            <w:shd w:val="clear" w:color="auto" w:fill="auto"/>
            <w:vAlign w:val="bottom"/>
          </w:tcPr>
          <w:p w:rsidR="007D17C5" w:rsidRPr="002B1A95" w:rsidRDefault="007D17C5" w:rsidP="009558BE">
            <w:pPr>
              <w:pStyle w:val="Tabletext"/>
              <w:rPr>
                <w:snapToGrid w:val="0"/>
              </w:rPr>
            </w:pPr>
            <w:r w:rsidRPr="002B1A95">
              <w:rPr>
                <w:snapToGrid w:val="0"/>
                <w:color w:val="000000"/>
              </w:rPr>
              <w:t>0.759</w:t>
            </w:r>
          </w:p>
        </w:tc>
      </w:tr>
      <w:tr w:rsidR="007D17C5" w:rsidRPr="002B1A95" w:rsidTr="009558BE">
        <w:tc>
          <w:tcPr>
            <w:tcW w:w="714" w:type="dxa"/>
            <w:shd w:val="clear" w:color="auto" w:fill="auto"/>
          </w:tcPr>
          <w:p w:rsidR="007D17C5" w:rsidRPr="002B1A95" w:rsidRDefault="007D17C5" w:rsidP="009558BE">
            <w:pPr>
              <w:pStyle w:val="Tabletext"/>
            </w:pPr>
            <w:r w:rsidRPr="002B1A95">
              <w:t>14</w:t>
            </w:r>
          </w:p>
        </w:tc>
        <w:tc>
          <w:tcPr>
            <w:tcW w:w="1833" w:type="dxa"/>
            <w:shd w:val="clear" w:color="auto" w:fill="auto"/>
          </w:tcPr>
          <w:p w:rsidR="007D17C5" w:rsidRPr="002B1A95" w:rsidRDefault="007D17C5" w:rsidP="009558BE">
            <w:pPr>
              <w:pStyle w:val="Tabletext"/>
              <w:rPr>
                <w:snapToGrid w:val="0"/>
              </w:rPr>
            </w:pPr>
            <w:r w:rsidRPr="002B1A95">
              <w:rPr>
                <w:snapToGrid w:val="0"/>
                <w:color w:val="000000"/>
              </w:rPr>
              <w:t>13</w:t>
            </w:r>
          </w:p>
        </w:tc>
        <w:tc>
          <w:tcPr>
            <w:tcW w:w="1701" w:type="dxa"/>
            <w:shd w:val="clear" w:color="auto" w:fill="auto"/>
            <w:vAlign w:val="bottom"/>
          </w:tcPr>
          <w:p w:rsidR="007D17C5" w:rsidRPr="002B1A95" w:rsidRDefault="007D17C5" w:rsidP="009558BE">
            <w:pPr>
              <w:pStyle w:val="Tabletext"/>
              <w:rPr>
                <w:snapToGrid w:val="0"/>
              </w:rPr>
            </w:pPr>
            <w:r w:rsidRPr="002B1A95">
              <w:rPr>
                <w:snapToGrid w:val="0"/>
                <w:color w:val="000000"/>
              </w:rPr>
              <w:t>0.456</w:t>
            </w:r>
          </w:p>
        </w:tc>
        <w:tc>
          <w:tcPr>
            <w:tcW w:w="1984" w:type="dxa"/>
            <w:shd w:val="clear" w:color="auto" w:fill="auto"/>
            <w:vAlign w:val="bottom"/>
          </w:tcPr>
          <w:p w:rsidR="007D17C5" w:rsidRPr="002B1A95" w:rsidRDefault="007D17C5" w:rsidP="009558BE">
            <w:pPr>
              <w:pStyle w:val="Tabletext"/>
              <w:rPr>
                <w:snapToGrid w:val="0"/>
              </w:rPr>
            </w:pPr>
            <w:r w:rsidRPr="002B1A95">
              <w:rPr>
                <w:snapToGrid w:val="0"/>
                <w:color w:val="000000"/>
              </w:rPr>
              <w:t>0.619</w:t>
            </w:r>
          </w:p>
        </w:tc>
        <w:tc>
          <w:tcPr>
            <w:tcW w:w="2081" w:type="dxa"/>
            <w:shd w:val="clear" w:color="auto" w:fill="auto"/>
            <w:vAlign w:val="bottom"/>
          </w:tcPr>
          <w:p w:rsidR="007D17C5" w:rsidRPr="002B1A95" w:rsidRDefault="007D17C5" w:rsidP="009558BE">
            <w:pPr>
              <w:pStyle w:val="Tabletext"/>
              <w:rPr>
                <w:snapToGrid w:val="0"/>
              </w:rPr>
            </w:pPr>
            <w:r w:rsidRPr="002B1A95">
              <w:rPr>
                <w:snapToGrid w:val="0"/>
                <w:color w:val="000000"/>
              </w:rPr>
              <w:t>0.742</w:t>
            </w:r>
          </w:p>
        </w:tc>
      </w:tr>
      <w:tr w:rsidR="007D17C5" w:rsidRPr="002B1A95" w:rsidTr="009558BE">
        <w:tc>
          <w:tcPr>
            <w:tcW w:w="714" w:type="dxa"/>
            <w:shd w:val="clear" w:color="auto" w:fill="auto"/>
          </w:tcPr>
          <w:p w:rsidR="007D17C5" w:rsidRPr="002B1A95" w:rsidRDefault="007D17C5" w:rsidP="009558BE">
            <w:pPr>
              <w:pStyle w:val="Tabletext"/>
            </w:pPr>
            <w:r w:rsidRPr="002B1A95">
              <w:t>15</w:t>
            </w:r>
          </w:p>
        </w:tc>
        <w:tc>
          <w:tcPr>
            <w:tcW w:w="1833" w:type="dxa"/>
            <w:shd w:val="clear" w:color="auto" w:fill="auto"/>
          </w:tcPr>
          <w:p w:rsidR="007D17C5" w:rsidRPr="002B1A95" w:rsidRDefault="007D17C5" w:rsidP="009558BE">
            <w:pPr>
              <w:pStyle w:val="Tabletext"/>
              <w:rPr>
                <w:snapToGrid w:val="0"/>
              </w:rPr>
            </w:pPr>
            <w:r w:rsidRPr="002B1A95">
              <w:rPr>
                <w:snapToGrid w:val="0"/>
                <w:color w:val="000000"/>
              </w:rPr>
              <w:t>14</w:t>
            </w:r>
          </w:p>
        </w:tc>
        <w:tc>
          <w:tcPr>
            <w:tcW w:w="1701" w:type="dxa"/>
            <w:shd w:val="clear" w:color="auto" w:fill="auto"/>
            <w:vAlign w:val="bottom"/>
          </w:tcPr>
          <w:p w:rsidR="007D17C5" w:rsidRPr="002B1A95" w:rsidRDefault="007D17C5" w:rsidP="009558BE">
            <w:pPr>
              <w:pStyle w:val="Tabletext"/>
              <w:rPr>
                <w:snapToGrid w:val="0"/>
              </w:rPr>
            </w:pPr>
            <w:r w:rsidRPr="002B1A95">
              <w:rPr>
                <w:snapToGrid w:val="0"/>
                <w:color w:val="000000"/>
              </w:rPr>
              <w:t>0.431</w:t>
            </w:r>
          </w:p>
        </w:tc>
        <w:tc>
          <w:tcPr>
            <w:tcW w:w="1984" w:type="dxa"/>
            <w:shd w:val="clear" w:color="auto" w:fill="auto"/>
            <w:vAlign w:val="bottom"/>
          </w:tcPr>
          <w:p w:rsidR="007D17C5" w:rsidRPr="002B1A95" w:rsidRDefault="007D17C5" w:rsidP="009558BE">
            <w:pPr>
              <w:pStyle w:val="Tabletext"/>
              <w:rPr>
                <w:snapToGrid w:val="0"/>
              </w:rPr>
            </w:pPr>
            <w:r w:rsidRPr="002B1A95">
              <w:rPr>
                <w:snapToGrid w:val="0"/>
                <w:color w:val="000000"/>
              </w:rPr>
              <w:t>0.598</w:t>
            </w:r>
          </w:p>
        </w:tc>
        <w:tc>
          <w:tcPr>
            <w:tcW w:w="2081" w:type="dxa"/>
            <w:shd w:val="clear" w:color="auto" w:fill="auto"/>
            <w:vAlign w:val="bottom"/>
          </w:tcPr>
          <w:p w:rsidR="007D17C5" w:rsidRPr="002B1A95" w:rsidRDefault="007D17C5" w:rsidP="009558BE">
            <w:pPr>
              <w:pStyle w:val="Tabletext"/>
              <w:rPr>
                <w:snapToGrid w:val="0"/>
              </w:rPr>
            </w:pPr>
            <w:r w:rsidRPr="002B1A95">
              <w:rPr>
                <w:snapToGrid w:val="0"/>
                <w:color w:val="000000"/>
              </w:rPr>
              <w:t>0.727</w:t>
            </w:r>
          </w:p>
        </w:tc>
      </w:tr>
      <w:tr w:rsidR="007D17C5" w:rsidRPr="002B1A95" w:rsidTr="009558BE">
        <w:tc>
          <w:tcPr>
            <w:tcW w:w="714" w:type="dxa"/>
            <w:shd w:val="clear" w:color="auto" w:fill="auto"/>
          </w:tcPr>
          <w:p w:rsidR="007D17C5" w:rsidRPr="002B1A95" w:rsidRDefault="007D17C5" w:rsidP="009558BE">
            <w:pPr>
              <w:pStyle w:val="Tabletext"/>
            </w:pPr>
            <w:r w:rsidRPr="002B1A95">
              <w:t>16</w:t>
            </w:r>
          </w:p>
        </w:tc>
        <w:tc>
          <w:tcPr>
            <w:tcW w:w="1833" w:type="dxa"/>
            <w:shd w:val="clear" w:color="auto" w:fill="auto"/>
          </w:tcPr>
          <w:p w:rsidR="007D17C5" w:rsidRPr="002B1A95" w:rsidRDefault="007D17C5" w:rsidP="009558BE">
            <w:pPr>
              <w:pStyle w:val="Tabletext"/>
              <w:rPr>
                <w:snapToGrid w:val="0"/>
              </w:rPr>
            </w:pPr>
            <w:r w:rsidRPr="002B1A95">
              <w:rPr>
                <w:snapToGrid w:val="0"/>
                <w:color w:val="000000"/>
              </w:rPr>
              <w:t>15</w:t>
            </w:r>
          </w:p>
        </w:tc>
        <w:tc>
          <w:tcPr>
            <w:tcW w:w="1701" w:type="dxa"/>
            <w:shd w:val="clear" w:color="auto" w:fill="auto"/>
            <w:vAlign w:val="bottom"/>
          </w:tcPr>
          <w:p w:rsidR="007D17C5" w:rsidRPr="002B1A95" w:rsidRDefault="007D17C5" w:rsidP="009558BE">
            <w:pPr>
              <w:pStyle w:val="Tabletext"/>
              <w:rPr>
                <w:snapToGrid w:val="0"/>
              </w:rPr>
            </w:pPr>
            <w:r w:rsidRPr="002B1A95">
              <w:rPr>
                <w:snapToGrid w:val="0"/>
                <w:color w:val="000000"/>
              </w:rPr>
              <w:t>0.409</w:t>
            </w:r>
          </w:p>
        </w:tc>
        <w:tc>
          <w:tcPr>
            <w:tcW w:w="1984" w:type="dxa"/>
            <w:shd w:val="clear" w:color="auto" w:fill="auto"/>
            <w:vAlign w:val="bottom"/>
          </w:tcPr>
          <w:p w:rsidR="007D17C5" w:rsidRPr="002B1A95" w:rsidRDefault="007D17C5" w:rsidP="009558BE">
            <w:pPr>
              <w:pStyle w:val="Tabletext"/>
              <w:rPr>
                <w:snapToGrid w:val="0"/>
              </w:rPr>
            </w:pPr>
            <w:r w:rsidRPr="002B1A95">
              <w:rPr>
                <w:snapToGrid w:val="0"/>
                <w:color w:val="000000"/>
              </w:rPr>
              <w:t>0.579</w:t>
            </w:r>
          </w:p>
        </w:tc>
        <w:tc>
          <w:tcPr>
            <w:tcW w:w="2081" w:type="dxa"/>
            <w:shd w:val="clear" w:color="auto" w:fill="auto"/>
            <w:vAlign w:val="bottom"/>
          </w:tcPr>
          <w:p w:rsidR="007D17C5" w:rsidRPr="002B1A95" w:rsidRDefault="007D17C5" w:rsidP="009558BE">
            <w:pPr>
              <w:pStyle w:val="Tabletext"/>
              <w:rPr>
                <w:snapToGrid w:val="0"/>
              </w:rPr>
            </w:pPr>
            <w:r w:rsidRPr="002B1A95">
              <w:rPr>
                <w:snapToGrid w:val="0"/>
                <w:color w:val="000000"/>
              </w:rPr>
              <w:t>0.711</w:t>
            </w:r>
          </w:p>
        </w:tc>
      </w:tr>
      <w:tr w:rsidR="007D17C5" w:rsidRPr="002B1A95" w:rsidTr="009558BE">
        <w:tc>
          <w:tcPr>
            <w:tcW w:w="714" w:type="dxa"/>
            <w:shd w:val="clear" w:color="auto" w:fill="auto"/>
          </w:tcPr>
          <w:p w:rsidR="007D17C5" w:rsidRPr="002B1A95" w:rsidRDefault="007D17C5" w:rsidP="009558BE">
            <w:pPr>
              <w:pStyle w:val="Tabletext"/>
            </w:pPr>
            <w:r w:rsidRPr="002B1A95">
              <w:t>17</w:t>
            </w:r>
          </w:p>
        </w:tc>
        <w:tc>
          <w:tcPr>
            <w:tcW w:w="1833" w:type="dxa"/>
            <w:shd w:val="clear" w:color="auto" w:fill="auto"/>
          </w:tcPr>
          <w:p w:rsidR="007D17C5" w:rsidRPr="002B1A95" w:rsidRDefault="007D17C5" w:rsidP="009558BE">
            <w:pPr>
              <w:pStyle w:val="Tabletext"/>
              <w:rPr>
                <w:snapToGrid w:val="0"/>
              </w:rPr>
            </w:pPr>
            <w:r w:rsidRPr="002B1A95">
              <w:rPr>
                <w:snapToGrid w:val="0"/>
                <w:color w:val="000000"/>
              </w:rPr>
              <w:t>16</w:t>
            </w:r>
          </w:p>
        </w:tc>
        <w:tc>
          <w:tcPr>
            <w:tcW w:w="1701" w:type="dxa"/>
            <w:shd w:val="clear" w:color="auto" w:fill="auto"/>
            <w:vAlign w:val="bottom"/>
          </w:tcPr>
          <w:p w:rsidR="007D17C5" w:rsidRPr="002B1A95" w:rsidRDefault="007D17C5" w:rsidP="009558BE">
            <w:pPr>
              <w:pStyle w:val="Tabletext"/>
              <w:rPr>
                <w:snapToGrid w:val="0"/>
              </w:rPr>
            </w:pPr>
            <w:r w:rsidRPr="002B1A95">
              <w:rPr>
                <w:snapToGrid w:val="0"/>
                <w:color w:val="000000"/>
              </w:rPr>
              <w:t>0.387</w:t>
            </w:r>
          </w:p>
        </w:tc>
        <w:tc>
          <w:tcPr>
            <w:tcW w:w="1984" w:type="dxa"/>
            <w:shd w:val="clear" w:color="auto" w:fill="auto"/>
            <w:vAlign w:val="bottom"/>
          </w:tcPr>
          <w:p w:rsidR="007D17C5" w:rsidRPr="002B1A95" w:rsidRDefault="007D17C5" w:rsidP="009558BE">
            <w:pPr>
              <w:pStyle w:val="Tabletext"/>
              <w:rPr>
                <w:snapToGrid w:val="0"/>
              </w:rPr>
            </w:pPr>
            <w:r w:rsidRPr="002B1A95">
              <w:rPr>
                <w:snapToGrid w:val="0"/>
                <w:color w:val="000000"/>
              </w:rPr>
              <w:t>0.560</w:t>
            </w:r>
          </w:p>
        </w:tc>
        <w:tc>
          <w:tcPr>
            <w:tcW w:w="2081" w:type="dxa"/>
            <w:shd w:val="clear" w:color="auto" w:fill="auto"/>
            <w:vAlign w:val="bottom"/>
          </w:tcPr>
          <w:p w:rsidR="007D17C5" w:rsidRPr="002B1A95" w:rsidRDefault="007D17C5" w:rsidP="009558BE">
            <w:pPr>
              <w:pStyle w:val="Tabletext"/>
              <w:rPr>
                <w:snapToGrid w:val="0"/>
              </w:rPr>
            </w:pPr>
            <w:r w:rsidRPr="002B1A95">
              <w:rPr>
                <w:snapToGrid w:val="0"/>
                <w:color w:val="000000"/>
              </w:rPr>
              <w:t>0.697</w:t>
            </w:r>
          </w:p>
        </w:tc>
      </w:tr>
      <w:tr w:rsidR="007D17C5" w:rsidRPr="002B1A95" w:rsidTr="009558BE">
        <w:tc>
          <w:tcPr>
            <w:tcW w:w="714" w:type="dxa"/>
            <w:shd w:val="clear" w:color="auto" w:fill="auto"/>
          </w:tcPr>
          <w:p w:rsidR="007D17C5" w:rsidRPr="002B1A95" w:rsidRDefault="007D17C5" w:rsidP="009558BE">
            <w:pPr>
              <w:pStyle w:val="Tabletext"/>
            </w:pPr>
            <w:r w:rsidRPr="002B1A95">
              <w:t>18</w:t>
            </w:r>
          </w:p>
        </w:tc>
        <w:tc>
          <w:tcPr>
            <w:tcW w:w="1833" w:type="dxa"/>
            <w:shd w:val="clear" w:color="auto" w:fill="auto"/>
          </w:tcPr>
          <w:p w:rsidR="007D17C5" w:rsidRPr="002B1A95" w:rsidRDefault="007D17C5" w:rsidP="009558BE">
            <w:pPr>
              <w:pStyle w:val="Tabletext"/>
              <w:rPr>
                <w:snapToGrid w:val="0"/>
              </w:rPr>
            </w:pPr>
            <w:r w:rsidRPr="002B1A95">
              <w:rPr>
                <w:snapToGrid w:val="0"/>
                <w:color w:val="000000"/>
              </w:rPr>
              <w:t>17</w:t>
            </w:r>
          </w:p>
        </w:tc>
        <w:tc>
          <w:tcPr>
            <w:tcW w:w="1701" w:type="dxa"/>
            <w:shd w:val="clear" w:color="auto" w:fill="auto"/>
            <w:vAlign w:val="bottom"/>
          </w:tcPr>
          <w:p w:rsidR="007D17C5" w:rsidRPr="002B1A95" w:rsidRDefault="007D17C5" w:rsidP="009558BE">
            <w:pPr>
              <w:pStyle w:val="Tabletext"/>
              <w:rPr>
                <w:snapToGrid w:val="0"/>
              </w:rPr>
            </w:pPr>
            <w:r w:rsidRPr="002B1A95">
              <w:rPr>
                <w:snapToGrid w:val="0"/>
                <w:color w:val="000000"/>
              </w:rPr>
              <w:t>0.368</w:t>
            </w:r>
          </w:p>
        </w:tc>
        <w:tc>
          <w:tcPr>
            <w:tcW w:w="1984" w:type="dxa"/>
            <w:shd w:val="clear" w:color="auto" w:fill="auto"/>
            <w:vAlign w:val="bottom"/>
          </w:tcPr>
          <w:p w:rsidR="007D17C5" w:rsidRPr="002B1A95" w:rsidRDefault="007D17C5" w:rsidP="009558BE">
            <w:pPr>
              <w:pStyle w:val="Tabletext"/>
              <w:rPr>
                <w:snapToGrid w:val="0"/>
              </w:rPr>
            </w:pPr>
            <w:r w:rsidRPr="002B1A95">
              <w:rPr>
                <w:snapToGrid w:val="0"/>
                <w:color w:val="000000"/>
              </w:rPr>
              <w:t>0.542</w:t>
            </w:r>
          </w:p>
        </w:tc>
        <w:tc>
          <w:tcPr>
            <w:tcW w:w="2081" w:type="dxa"/>
            <w:shd w:val="clear" w:color="auto" w:fill="auto"/>
            <w:vAlign w:val="bottom"/>
          </w:tcPr>
          <w:p w:rsidR="007D17C5" w:rsidRPr="002B1A95" w:rsidRDefault="007D17C5" w:rsidP="009558BE">
            <w:pPr>
              <w:pStyle w:val="Tabletext"/>
              <w:rPr>
                <w:snapToGrid w:val="0"/>
              </w:rPr>
            </w:pPr>
            <w:r w:rsidRPr="002B1A95">
              <w:rPr>
                <w:snapToGrid w:val="0"/>
                <w:color w:val="000000"/>
              </w:rPr>
              <w:t>0.683</w:t>
            </w:r>
          </w:p>
        </w:tc>
      </w:tr>
      <w:tr w:rsidR="007D17C5" w:rsidRPr="002B1A95" w:rsidTr="009558BE">
        <w:tc>
          <w:tcPr>
            <w:tcW w:w="714" w:type="dxa"/>
            <w:shd w:val="clear" w:color="auto" w:fill="auto"/>
          </w:tcPr>
          <w:p w:rsidR="007D17C5" w:rsidRPr="002B1A95" w:rsidRDefault="007D17C5" w:rsidP="009558BE">
            <w:pPr>
              <w:pStyle w:val="Tabletext"/>
            </w:pPr>
            <w:r w:rsidRPr="002B1A95">
              <w:t>19</w:t>
            </w:r>
          </w:p>
        </w:tc>
        <w:tc>
          <w:tcPr>
            <w:tcW w:w="1833" w:type="dxa"/>
            <w:shd w:val="clear" w:color="auto" w:fill="auto"/>
          </w:tcPr>
          <w:p w:rsidR="007D17C5" w:rsidRPr="002B1A95" w:rsidRDefault="007D17C5" w:rsidP="009558BE">
            <w:pPr>
              <w:pStyle w:val="Tabletext"/>
              <w:rPr>
                <w:snapToGrid w:val="0"/>
              </w:rPr>
            </w:pPr>
            <w:r w:rsidRPr="002B1A95">
              <w:rPr>
                <w:snapToGrid w:val="0"/>
                <w:color w:val="000000"/>
              </w:rPr>
              <w:t>18</w:t>
            </w:r>
          </w:p>
        </w:tc>
        <w:tc>
          <w:tcPr>
            <w:tcW w:w="1701" w:type="dxa"/>
            <w:shd w:val="clear" w:color="auto" w:fill="auto"/>
            <w:vAlign w:val="bottom"/>
          </w:tcPr>
          <w:p w:rsidR="007D17C5" w:rsidRPr="002B1A95" w:rsidRDefault="007D17C5" w:rsidP="009558BE">
            <w:pPr>
              <w:pStyle w:val="Tabletext"/>
              <w:rPr>
                <w:snapToGrid w:val="0"/>
              </w:rPr>
            </w:pPr>
            <w:r w:rsidRPr="002B1A95">
              <w:rPr>
                <w:snapToGrid w:val="0"/>
                <w:color w:val="000000"/>
              </w:rPr>
              <w:t>0.350</w:t>
            </w:r>
          </w:p>
        </w:tc>
        <w:tc>
          <w:tcPr>
            <w:tcW w:w="1984" w:type="dxa"/>
            <w:shd w:val="clear" w:color="auto" w:fill="auto"/>
            <w:vAlign w:val="bottom"/>
          </w:tcPr>
          <w:p w:rsidR="007D17C5" w:rsidRPr="002B1A95" w:rsidRDefault="007D17C5" w:rsidP="009558BE">
            <w:pPr>
              <w:pStyle w:val="Tabletext"/>
              <w:rPr>
                <w:snapToGrid w:val="0"/>
              </w:rPr>
            </w:pPr>
            <w:r w:rsidRPr="002B1A95">
              <w:rPr>
                <w:snapToGrid w:val="0"/>
                <w:color w:val="000000"/>
              </w:rPr>
              <w:t>0.525</w:t>
            </w:r>
          </w:p>
        </w:tc>
        <w:tc>
          <w:tcPr>
            <w:tcW w:w="2081" w:type="dxa"/>
            <w:shd w:val="clear" w:color="auto" w:fill="auto"/>
            <w:vAlign w:val="bottom"/>
          </w:tcPr>
          <w:p w:rsidR="007D17C5" w:rsidRPr="002B1A95" w:rsidRDefault="007D17C5" w:rsidP="009558BE">
            <w:pPr>
              <w:pStyle w:val="Tabletext"/>
              <w:rPr>
                <w:snapToGrid w:val="0"/>
              </w:rPr>
            </w:pPr>
            <w:r w:rsidRPr="002B1A95">
              <w:rPr>
                <w:snapToGrid w:val="0"/>
                <w:color w:val="000000"/>
              </w:rPr>
              <w:t>0.669</w:t>
            </w:r>
          </w:p>
        </w:tc>
      </w:tr>
      <w:tr w:rsidR="007D17C5" w:rsidRPr="002B1A95" w:rsidTr="009558BE">
        <w:tc>
          <w:tcPr>
            <w:tcW w:w="714" w:type="dxa"/>
            <w:shd w:val="clear" w:color="auto" w:fill="auto"/>
          </w:tcPr>
          <w:p w:rsidR="007D17C5" w:rsidRPr="002B1A95" w:rsidRDefault="007D17C5" w:rsidP="009558BE">
            <w:pPr>
              <w:pStyle w:val="Tabletext"/>
            </w:pPr>
            <w:r w:rsidRPr="002B1A95">
              <w:t>20</w:t>
            </w:r>
          </w:p>
        </w:tc>
        <w:tc>
          <w:tcPr>
            <w:tcW w:w="1833" w:type="dxa"/>
            <w:shd w:val="clear" w:color="auto" w:fill="auto"/>
          </w:tcPr>
          <w:p w:rsidR="007D17C5" w:rsidRPr="002B1A95" w:rsidRDefault="007D17C5" w:rsidP="009558BE">
            <w:pPr>
              <w:pStyle w:val="Tabletext"/>
              <w:rPr>
                <w:snapToGrid w:val="0"/>
              </w:rPr>
            </w:pPr>
            <w:r w:rsidRPr="002B1A95">
              <w:rPr>
                <w:snapToGrid w:val="0"/>
                <w:color w:val="000000"/>
              </w:rPr>
              <w:t>19</w:t>
            </w:r>
          </w:p>
        </w:tc>
        <w:tc>
          <w:tcPr>
            <w:tcW w:w="1701" w:type="dxa"/>
            <w:shd w:val="clear" w:color="auto" w:fill="auto"/>
            <w:vAlign w:val="bottom"/>
          </w:tcPr>
          <w:p w:rsidR="007D17C5" w:rsidRPr="002B1A95" w:rsidRDefault="007D17C5" w:rsidP="009558BE">
            <w:pPr>
              <w:pStyle w:val="Tabletext"/>
              <w:rPr>
                <w:snapToGrid w:val="0"/>
              </w:rPr>
            </w:pPr>
            <w:r w:rsidRPr="002B1A95">
              <w:rPr>
                <w:snapToGrid w:val="0"/>
                <w:color w:val="000000"/>
              </w:rPr>
              <w:t>0.333</w:t>
            </w:r>
          </w:p>
        </w:tc>
        <w:tc>
          <w:tcPr>
            <w:tcW w:w="1984" w:type="dxa"/>
            <w:shd w:val="clear" w:color="auto" w:fill="auto"/>
            <w:vAlign w:val="bottom"/>
          </w:tcPr>
          <w:p w:rsidR="007D17C5" w:rsidRPr="002B1A95" w:rsidRDefault="007D17C5" w:rsidP="009558BE">
            <w:pPr>
              <w:pStyle w:val="Tabletext"/>
              <w:rPr>
                <w:snapToGrid w:val="0"/>
              </w:rPr>
            </w:pPr>
            <w:r w:rsidRPr="002B1A95">
              <w:rPr>
                <w:snapToGrid w:val="0"/>
                <w:color w:val="000000"/>
              </w:rPr>
              <w:t>0.509</w:t>
            </w:r>
          </w:p>
        </w:tc>
        <w:tc>
          <w:tcPr>
            <w:tcW w:w="2081" w:type="dxa"/>
            <w:shd w:val="clear" w:color="auto" w:fill="auto"/>
            <w:vAlign w:val="bottom"/>
          </w:tcPr>
          <w:p w:rsidR="007D17C5" w:rsidRPr="002B1A95" w:rsidRDefault="007D17C5" w:rsidP="009558BE">
            <w:pPr>
              <w:pStyle w:val="Tabletext"/>
              <w:rPr>
                <w:snapToGrid w:val="0"/>
              </w:rPr>
            </w:pPr>
            <w:r w:rsidRPr="002B1A95">
              <w:rPr>
                <w:snapToGrid w:val="0"/>
                <w:color w:val="000000"/>
              </w:rPr>
              <w:t>0.656</w:t>
            </w:r>
          </w:p>
        </w:tc>
      </w:tr>
      <w:tr w:rsidR="007D17C5" w:rsidRPr="002B1A95" w:rsidTr="009558BE">
        <w:tc>
          <w:tcPr>
            <w:tcW w:w="714" w:type="dxa"/>
            <w:shd w:val="clear" w:color="auto" w:fill="auto"/>
          </w:tcPr>
          <w:p w:rsidR="007D17C5" w:rsidRPr="002B1A95" w:rsidRDefault="007D17C5" w:rsidP="009558BE">
            <w:pPr>
              <w:pStyle w:val="Tabletext"/>
            </w:pPr>
            <w:r w:rsidRPr="002B1A95">
              <w:t>21</w:t>
            </w:r>
          </w:p>
        </w:tc>
        <w:tc>
          <w:tcPr>
            <w:tcW w:w="1833" w:type="dxa"/>
            <w:shd w:val="clear" w:color="auto" w:fill="auto"/>
          </w:tcPr>
          <w:p w:rsidR="007D17C5" w:rsidRPr="002B1A95" w:rsidRDefault="007D17C5" w:rsidP="009558BE">
            <w:pPr>
              <w:pStyle w:val="Tabletext"/>
              <w:rPr>
                <w:snapToGrid w:val="0"/>
              </w:rPr>
            </w:pPr>
            <w:r w:rsidRPr="002B1A95">
              <w:rPr>
                <w:snapToGrid w:val="0"/>
                <w:color w:val="000000"/>
              </w:rPr>
              <w:t>20</w:t>
            </w:r>
          </w:p>
        </w:tc>
        <w:tc>
          <w:tcPr>
            <w:tcW w:w="1701" w:type="dxa"/>
            <w:shd w:val="clear" w:color="auto" w:fill="auto"/>
            <w:vAlign w:val="bottom"/>
          </w:tcPr>
          <w:p w:rsidR="007D17C5" w:rsidRPr="002B1A95" w:rsidRDefault="007D17C5" w:rsidP="009558BE">
            <w:pPr>
              <w:pStyle w:val="Tabletext"/>
              <w:rPr>
                <w:snapToGrid w:val="0"/>
              </w:rPr>
            </w:pPr>
            <w:r w:rsidRPr="002B1A95">
              <w:rPr>
                <w:snapToGrid w:val="0"/>
                <w:color w:val="000000"/>
              </w:rPr>
              <w:t>0.318</w:t>
            </w:r>
          </w:p>
        </w:tc>
        <w:tc>
          <w:tcPr>
            <w:tcW w:w="1984" w:type="dxa"/>
            <w:shd w:val="clear" w:color="auto" w:fill="auto"/>
            <w:vAlign w:val="bottom"/>
          </w:tcPr>
          <w:p w:rsidR="007D17C5" w:rsidRPr="002B1A95" w:rsidRDefault="007D17C5" w:rsidP="009558BE">
            <w:pPr>
              <w:pStyle w:val="Tabletext"/>
              <w:rPr>
                <w:snapToGrid w:val="0"/>
              </w:rPr>
            </w:pPr>
            <w:r w:rsidRPr="002B1A95">
              <w:rPr>
                <w:snapToGrid w:val="0"/>
                <w:color w:val="000000"/>
              </w:rPr>
              <w:t>0.494</w:t>
            </w:r>
          </w:p>
        </w:tc>
        <w:tc>
          <w:tcPr>
            <w:tcW w:w="2081" w:type="dxa"/>
            <w:shd w:val="clear" w:color="auto" w:fill="auto"/>
            <w:vAlign w:val="bottom"/>
          </w:tcPr>
          <w:p w:rsidR="007D17C5" w:rsidRPr="002B1A95" w:rsidRDefault="007D17C5" w:rsidP="009558BE">
            <w:pPr>
              <w:pStyle w:val="Tabletext"/>
              <w:rPr>
                <w:snapToGrid w:val="0"/>
              </w:rPr>
            </w:pPr>
            <w:r w:rsidRPr="002B1A95">
              <w:rPr>
                <w:snapToGrid w:val="0"/>
                <w:color w:val="000000"/>
              </w:rPr>
              <w:t>0.644</w:t>
            </w:r>
          </w:p>
        </w:tc>
      </w:tr>
      <w:tr w:rsidR="007D17C5" w:rsidRPr="002B1A95" w:rsidTr="009558BE">
        <w:tc>
          <w:tcPr>
            <w:tcW w:w="714" w:type="dxa"/>
            <w:shd w:val="clear" w:color="auto" w:fill="auto"/>
          </w:tcPr>
          <w:p w:rsidR="007D17C5" w:rsidRPr="002B1A95" w:rsidRDefault="007D17C5" w:rsidP="009558BE">
            <w:pPr>
              <w:pStyle w:val="Tabletext"/>
            </w:pPr>
            <w:r w:rsidRPr="002B1A95">
              <w:t>22</w:t>
            </w:r>
          </w:p>
        </w:tc>
        <w:tc>
          <w:tcPr>
            <w:tcW w:w="1833" w:type="dxa"/>
            <w:shd w:val="clear" w:color="auto" w:fill="auto"/>
            <w:vAlign w:val="bottom"/>
          </w:tcPr>
          <w:p w:rsidR="007D17C5" w:rsidRPr="002B1A95" w:rsidRDefault="007D17C5" w:rsidP="009558BE">
            <w:pPr>
              <w:pStyle w:val="Tabletext"/>
              <w:rPr>
                <w:snapToGrid w:val="0"/>
              </w:rPr>
            </w:pPr>
            <w:r w:rsidRPr="002B1A95">
              <w:rPr>
                <w:snapToGrid w:val="0"/>
                <w:color w:val="000000"/>
              </w:rPr>
              <w:t>21</w:t>
            </w:r>
          </w:p>
        </w:tc>
        <w:tc>
          <w:tcPr>
            <w:tcW w:w="1701" w:type="dxa"/>
            <w:shd w:val="clear" w:color="auto" w:fill="auto"/>
            <w:vAlign w:val="bottom"/>
          </w:tcPr>
          <w:p w:rsidR="007D17C5" w:rsidRPr="002B1A95" w:rsidRDefault="007D17C5" w:rsidP="009558BE">
            <w:pPr>
              <w:pStyle w:val="Tabletext"/>
              <w:rPr>
                <w:snapToGrid w:val="0"/>
              </w:rPr>
            </w:pPr>
            <w:r w:rsidRPr="002B1A95">
              <w:rPr>
                <w:snapToGrid w:val="0"/>
                <w:color w:val="000000"/>
              </w:rPr>
              <w:t>0.304</w:t>
            </w:r>
          </w:p>
        </w:tc>
        <w:tc>
          <w:tcPr>
            <w:tcW w:w="1984" w:type="dxa"/>
            <w:shd w:val="clear" w:color="auto" w:fill="auto"/>
            <w:vAlign w:val="bottom"/>
          </w:tcPr>
          <w:p w:rsidR="007D17C5" w:rsidRPr="002B1A95" w:rsidRDefault="007D17C5" w:rsidP="009558BE">
            <w:pPr>
              <w:pStyle w:val="Tabletext"/>
              <w:rPr>
                <w:snapToGrid w:val="0"/>
              </w:rPr>
            </w:pPr>
            <w:r w:rsidRPr="002B1A95">
              <w:rPr>
                <w:snapToGrid w:val="0"/>
                <w:color w:val="000000"/>
              </w:rPr>
              <w:t>0.480</w:t>
            </w:r>
          </w:p>
        </w:tc>
        <w:tc>
          <w:tcPr>
            <w:tcW w:w="2081" w:type="dxa"/>
            <w:shd w:val="clear" w:color="auto" w:fill="auto"/>
            <w:vAlign w:val="bottom"/>
          </w:tcPr>
          <w:p w:rsidR="007D17C5" w:rsidRPr="002B1A95" w:rsidRDefault="007D17C5" w:rsidP="009558BE">
            <w:pPr>
              <w:pStyle w:val="Tabletext"/>
              <w:rPr>
                <w:snapToGrid w:val="0"/>
              </w:rPr>
            </w:pPr>
            <w:r w:rsidRPr="002B1A95">
              <w:rPr>
                <w:snapToGrid w:val="0"/>
                <w:color w:val="000000"/>
              </w:rPr>
              <w:t>0.632</w:t>
            </w:r>
          </w:p>
        </w:tc>
      </w:tr>
      <w:tr w:rsidR="007D17C5" w:rsidRPr="002B1A95" w:rsidTr="009558BE">
        <w:tc>
          <w:tcPr>
            <w:tcW w:w="714" w:type="dxa"/>
            <w:shd w:val="clear" w:color="auto" w:fill="auto"/>
          </w:tcPr>
          <w:p w:rsidR="007D17C5" w:rsidRPr="002B1A95" w:rsidRDefault="007D17C5" w:rsidP="009558BE">
            <w:pPr>
              <w:pStyle w:val="Tabletext"/>
            </w:pPr>
            <w:r w:rsidRPr="002B1A95">
              <w:t>23</w:t>
            </w:r>
          </w:p>
        </w:tc>
        <w:tc>
          <w:tcPr>
            <w:tcW w:w="1833" w:type="dxa"/>
            <w:shd w:val="clear" w:color="auto" w:fill="auto"/>
            <w:vAlign w:val="bottom"/>
          </w:tcPr>
          <w:p w:rsidR="007D17C5" w:rsidRPr="002B1A95" w:rsidRDefault="007D17C5" w:rsidP="009558BE">
            <w:pPr>
              <w:pStyle w:val="Tabletext"/>
              <w:rPr>
                <w:snapToGrid w:val="0"/>
              </w:rPr>
            </w:pPr>
            <w:r w:rsidRPr="002B1A95">
              <w:rPr>
                <w:snapToGrid w:val="0"/>
                <w:color w:val="000000"/>
              </w:rPr>
              <w:t>22</w:t>
            </w:r>
          </w:p>
        </w:tc>
        <w:tc>
          <w:tcPr>
            <w:tcW w:w="1701" w:type="dxa"/>
            <w:shd w:val="clear" w:color="auto" w:fill="auto"/>
            <w:vAlign w:val="bottom"/>
          </w:tcPr>
          <w:p w:rsidR="007D17C5" w:rsidRPr="002B1A95" w:rsidRDefault="007D17C5" w:rsidP="009558BE">
            <w:pPr>
              <w:pStyle w:val="Tabletext"/>
              <w:rPr>
                <w:snapToGrid w:val="0"/>
              </w:rPr>
            </w:pPr>
            <w:r w:rsidRPr="002B1A95">
              <w:rPr>
                <w:snapToGrid w:val="0"/>
                <w:color w:val="000000"/>
              </w:rPr>
              <w:t>0.291</w:t>
            </w:r>
          </w:p>
        </w:tc>
        <w:tc>
          <w:tcPr>
            <w:tcW w:w="1984" w:type="dxa"/>
            <w:shd w:val="clear" w:color="auto" w:fill="auto"/>
            <w:vAlign w:val="bottom"/>
          </w:tcPr>
          <w:p w:rsidR="007D17C5" w:rsidRPr="002B1A95" w:rsidRDefault="007D17C5" w:rsidP="009558BE">
            <w:pPr>
              <w:pStyle w:val="Tabletext"/>
              <w:rPr>
                <w:snapToGrid w:val="0"/>
              </w:rPr>
            </w:pPr>
            <w:r w:rsidRPr="002B1A95">
              <w:rPr>
                <w:snapToGrid w:val="0"/>
                <w:color w:val="000000"/>
              </w:rPr>
              <w:t>0.467</w:t>
            </w:r>
          </w:p>
        </w:tc>
        <w:tc>
          <w:tcPr>
            <w:tcW w:w="2081" w:type="dxa"/>
            <w:shd w:val="clear" w:color="auto" w:fill="auto"/>
            <w:vAlign w:val="bottom"/>
          </w:tcPr>
          <w:p w:rsidR="007D17C5" w:rsidRPr="002B1A95" w:rsidRDefault="007D17C5" w:rsidP="009558BE">
            <w:pPr>
              <w:pStyle w:val="Tabletext"/>
              <w:rPr>
                <w:snapToGrid w:val="0"/>
              </w:rPr>
            </w:pPr>
            <w:r w:rsidRPr="002B1A95">
              <w:rPr>
                <w:snapToGrid w:val="0"/>
                <w:color w:val="000000"/>
              </w:rPr>
              <w:t>0.621</w:t>
            </w:r>
          </w:p>
        </w:tc>
      </w:tr>
      <w:tr w:rsidR="007D17C5" w:rsidRPr="002B1A95" w:rsidTr="009558BE">
        <w:tc>
          <w:tcPr>
            <w:tcW w:w="714" w:type="dxa"/>
            <w:shd w:val="clear" w:color="auto" w:fill="auto"/>
          </w:tcPr>
          <w:p w:rsidR="007D17C5" w:rsidRPr="002B1A95" w:rsidRDefault="007D17C5" w:rsidP="009558BE">
            <w:pPr>
              <w:pStyle w:val="Tabletext"/>
            </w:pPr>
            <w:r w:rsidRPr="002B1A95">
              <w:t>24</w:t>
            </w:r>
          </w:p>
        </w:tc>
        <w:tc>
          <w:tcPr>
            <w:tcW w:w="1833" w:type="dxa"/>
            <w:shd w:val="clear" w:color="auto" w:fill="auto"/>
            <w:vAlign w:val="bottom"/>
          </w:tcPr>
          <w:p w:rsidR="007D17C5" w:rsidRPr="002B1A95" w:rsidRDefault="007D17C5" w:rsidP="009558BE">
            <w:pPr>
              <w:pStyle w:val="Tabletext"/>
              <w:rPr>
                <w:snapToGrid w:val="0"/>
              </w:rPr>
            </w:pPr>
            <w:r w:rsidRPr="002B1A95">
              <w:rPr>
                <w:snapToGrid w:val="0"/>
                <w:color w:val="000000"/>
              </w:rPr>
              <w:t>23</w:t>
            </w:r>
          </w:p>
        </w:tc>
        <w:tc>
          <w:tcPr>
            <w:tcW w:w="1701" w:type="dxa"/>
            <w:shd w:val="clear" w:color="auto" w:fill="auto"/>
            <w:vAlign w:val="bottom"/>
          </w:tcPr>
          <w:p w:rsidR="007D17C5" w:rsidRPr="002B1A95" w:rsidRDefault="007D17C5" w:rsidP="009558BE">
            <w:pPr>
              <w:pStyle w:val="Tabletext"/>
              <w:rPr>
                <w:snapToGrid w:val="0"/>
              </w:rPr>
            </w:pPr>
            <w:r w:rsidRPr="002B1A95">
              <w:rPr>
                <w:snapToGrid w:val="0"/>
                <w:color w:val="000000"/>
              </w:rPr>
              <w:t>0.279</w:t>
            </w:r>
          </w:p>
        </w:tc>
        <w:tc>
          <w:tcPr>
            <w:tcW w:w="1984" w:type="dxa"/>
            <w:shd w:val="clear" w:color="auto" w:fill="auto"/>
            <w:vAlign w:val="bottom"/>
          </w:tcPr>
          <w:p w:rsidR="007D17C5" w:rsidRPr="002B1A95" w:rsidRDefault="007D17C5" w:rsidP="009558BE">
            <w:pPr>
              <w:pStyle w:val="Tabletext"/>
              <w:rPr>
                <w:snapToGrid w:val="0"/>
              </w:rPr>
            </w:pPr>
            <w:r w:rsidRPr="002B1A95">
              <w:rPr>
                <w:snapToGrid w:val="0"/>
                <w:color w:val="000000"/>
              </w:rPr>
              <w:t>0.454</w:t>
            </w:r>
          </w:p>
        </w:tc>
        <w:tc>
          <w:tcPr>
            <w:tcW w:w="2081" w:type="dxa"/>
            <w:shd w:val="clear" w:color="auto" w:fill="auto"/>
            <w:vAlign w:val="bottom"/>
          </w:tcPr>
          <w:p w:rsidR="007D17C5" w:rsidRPr="002B1A95" w:rsidRDefault="007D17C5" w:rsidP="009558BE">
            <w:pPr>
              <w:pStyle w:val="Tabletext"/>
              <w:rPr>
                <w:snapToGrid w:val="0"/>
              </w:rPr>
            </w:pPr>
            <w:r w:rsidRPr="002B1A95">
              <w:rPr>
                <w:snapToGrid w:val="0"/>
                <w:color w:val="000000"/>
              </w:rPr>
              <w:t>0.610</w:t>
            </w:r>
          </w:p>
        </w:tc>
      </w:tr>
      <w:tr w:rsidR="007D17C5" w:rsidRPr="002B1A95" w:rsidTr="009558BE">
        <w:tc>
          <w:tcPr>
            <w:tcW w:w="714" w:type="dxa"/>
            <w:shd w:val="clear" w:color="auto" w:fill="auto"/>
          </w:tcPr>
          <w:p w:rsidR="007D17C5" w:rsidRPr="002B1A95" w:rsidRDefault="007D17C5" w:rsidP="009558BE">
            <w:pPr>
              <w:pStyle w:val="Tabletext"/>
            </w:pPr>
            <w:r w:rsidRPr="002B1A95">
              <w:t>25</w:t>
            </w:r>
          </w:p>
        </w:tc>
        <w:tc>
          <w:tcPr>
            <w:tcW w:w="1833" w:type="dxa"/>
            <w:shd w:val="clear" w:color="auto" w:fill="auto"/>
            <w:vAlign w:val="bottom"/>
          </w:tcPr>
          <w:p w:rsidR="007D17C5" w:rsidRPr="002B1A95" w:rsidRDefault="007D17C5" w:rsidP="009558BE">
            <w:pPr>
              <w:pStyle w:val="Tabletext"/>
              <w:rPr>
                <w:snapToGrid w:val="0"/>
              </w:rPr>
            </w:pPr>
            <w:r w:rsidRPr="002B1A95">
              <w:rPr>
                <w:snapToGrid w:val="0"/>
                <w:color w:val="000000"/>
              </w:rPr>
              <w:t>24</w:t>
            </w:r>
          </w:p>
        </w:tc>
        <w:tc>
          <w:tcPr>
            <w:tcW w:w="1701" w:type="dxa"/>
            <w:shd w:val="clear" w:color="auto" w:fill="auto"/>
            <w:vAlign w:val="bottom"/>
          </w:tcPr>
          <w:p w:rsidR="007D17C5" w:rsidRPr="002B1A95" w:rsidRDefault="007D17C5" w:rsidP="009558BE">
            <w:pPr>
              <w:pStyle w:val="Tabletext"/>
              <w:rPr>
                <w:snapToGrid w:val="0"/>
              </w:rPr>
            </w:pPr>
            <w:r w:rsidRPr="002B1A95">
              <w:rPr>
                <w:snapToGrid w:val="0"/>
                <w:color w:val="000000"/>
              </w:rPr>
              <w:t>0.269</w:t>
            </w:r>
          </w:p>
        </w:tc>
        <w:tc>
          <w:tcPr>
            <w:tcW w:w="1984" w:type="dxa"/>
            <w:shd w:val="clear" w:color="auto" w:fill="auto"/>
            <w:vAlign w:val="bottom"/>
          </w:tcPr>
          <w:p w:rsidR="007D17C5" w:rsidRPr="002B1A95" w:rsidRDefault="007D17C5" w:rsidP="009558BE">
            <w:pPr>
              <w:pStyle w:val="Tabletext"/>
              <w:rPr>
                <w:snapToGrid w:val="0"/>
              </w:rPr>
            </w:pPr>
            <w:r w:rsidRPr="002B1A95">
              <w:rPr>
                <w:snapToGrid w:val="0"/>
                <w:color w:val="000000"/>
              </w:rPr>
              <w:t>0.443</w:t>
            </w:r>
          </w:p>
        </w:tc>
        <w:tc>
          <w:tcPr>
            <w:tcW w:w="2081" w:type="dxa"/>
            <w:shd w:val="clear" w:color="auto" w:fill="auto"/>
            <w:vAlign w:val="bottom"/>
          </w:tcPr>
          <w:p w:rsidR="007D17C5" w:rsidRPr="002B1A95" w:rsidRDefault="007D17C5" w:rsidP="009558BE">
            <w:pPr>
              <w:pStyle w:val="Tabletext"/>
              <w:rPr>
                <w:snapToGrid w:val="0"/>
              </w:rPr>
            </w:pPr>
            <w:r w:rsidRPr="002B1A95">
              <w:rPr>
                <w:snapToGrid w:val="0"/>
                <w:color w:val="000000"/>
              </w:rPr>
              <w:t>0.600</w:t>
            </w:r>
          </w:p>
        </w:tc>
      </w:tr>
      <w:tr w:rsidR="007D17C5" w:rsidRPr="002B1A95" w:rsidTr="009558BE">
        <w:tc>
          <w:tcPr>
            <w:tcW w:w="714" w:type="dxa"/>
            <w:shd w:val="clear" w:color="auto" w:fill="auto"/>
          </w:tcPr>
          <w:p w:rsidR="007D17C5" w:rsidRPr="002B1A95" w:rsidRDefault="007D17C5" w:rsidP="009558BE">
            <w:pPr>
              <w:pStyle w:val="Tabletext"/>
            </w:pPr>
            <w:r w:rsidRPr="002B1A95">
              <w:t>26</w:t>
            </w:r>
          </w:p>
        </w:tc>
        <w:tc>
          <w:tcPr>
            <w:tcW w:w="1833" w:type="dxa"/>
            <w:shd w:val="clear" w:color="auto" w:fill="auto"/>
            <w:vAlign w:val="bottom"/>
          </w:tcPr>
          <w:p w:rsidR="007D17C5" w:rsidRPr="002B1A95" w:rsidRDefault="007D17C5" w:rsidP="009558BE">
            <w:pPr>
              <w:pStyle w:val="Tabletext"/>
              <w:rPr>
                <w:snapToGrid w:val="0"/>
              </w:rPr>
            </w:pPr>
            <w:r w:rsidRPr="002B1A95">
              <w:rPr>
                <w:snapToGrid w:val="0"/>
                <w:color w:val="000000"/>
              </w:rPr>
              <w:t>25</w:t>
            </w:r>
          </w:p>
        </w:tc>
        <w:tc>
          <w:tcPr>
            <w:tcW w:w="1701" w:type="dxa"/>
            <w:shd w:val="clear" w:color="auto" w:fill="auto"/>
            <w:vAlign w:val="bottom"/>
          </w:tcPr>
          <w:p w:rsidR="007D17C5" w:rsidRPr="002B1A95" w:rsidRDefault="007D17C5" w:rsidP="009558BE">
            <w:pPr>
              <w:pStyle w:val="Tabletext"/>
              <w:rPr>
                <w:snapToGrid w:val="0"/>
              </w:rPr>
            </w:pPr>
            <w:r w:rsidRPr="002B1A95">
              <w:rPr>
                <w:snapToGrid w:val="0"/>
                <w:color w:val="000000"/>
              </w:rPr>
              <w:t>0.259</w:t>
            </w:r>
          </w:p>
        </w:tc>
        <w:tc>
          <w:tcPr>
            <w:tcW w:w="1984" w:type="dxa"/>
            <w:shd w:val="clear" w:color="auto" w:fill="auto"/>
            <w:vAlign w:val="bottom"/>
          </w:tcPr>
          <w:p w:rsidR="007D17C5" w:rsidRPr="002B1A95" w:rsidRDefault="007D17C5" w:rsidP="009558BE">
            <w:pPr>
              <w:pStyle w:val="Tabletext"/>
              <w:rPr>
                <w:snapToGrid w:val="0"/>
              </w:rPr>
            </w:pPr>
            <w:r w:rsidRPr="002B1A95">
              <w:rPr>
                <w:snapToGrid w:val="0"/>
                <w:color w:val="000000"/>
              </w:rPr>
              <w:t>0.432</w:t>
            </w:r>
          </w:p>
        </w:tc>
        <w:tc>
          <w:tcPr>
            <w:tcW w:w="2081" w:type="dxa"/>
            <w:shd w:val="clear" w:color="auto" w:fill="auto"/>
            <w:vAlign w:val="bottom"/>
          </w:tcPr>
          <w:p w:rsidR="007D17C5" w:rsidRPr="002B1A95" w:rsidRDefault="007D17C5" w:rsidP="009558BE">
            <w:pPr>
              <w:pStyle w:val="Tabletext"/>
              <w:rPr>
                <w:snapToGrid w:val="0"/>
              </w:rPr>
            </w:pPr>
            <w:r w:rsidRPr="002B1A95">
              <w:rPr>
                <w:snapToGrid w:val="0"/>
                <w:color w:val="000000"/>
              </w:rPr>
              <w:t>0.590</w:t>
            </w:r>
          </w:p>
        </w:tc>
      </w:tr>
      <w:tr w:rsidR="007D17C5" w:rsidRPr="002B1A95" w:rsidTr="009558BE">
        <w:tc>
          <w:tcPr>
            <w:tcW w:w="714" w:type="dxa"/>
            <w:shd w:val="clear" w:color="auto" w:fill="auto"/>
          </w:tcPr>
          <w:p w:rsidR="007D17C5" w:rsidRPr="002B1A95" w:rsidRDefault="007D17C5" w:rsidP="009558BE">
            <w:pPr>
              <w:pStyle w:val="Tabletext"/>
            </w:pPr>
            <w:r w:rsidRPr="002B1A95">
              <w:t>27</w:t>
            </w:r>
          </w:p>
        </w:tc>
        <w:tc>
          <w:tcPr>
            <w:tcW w:w="1833" w:type="dxa"/>
            <w:shd w:val="clear" w:color="auto" w:fill="auto"/>
            <w:vAlign w:val="bottom"/>
          </w:tcPr>
          <w:p w:rsidR="007D17C5" w:rsidRPr="002B1A95" w:rsidRDefault="007D17C5" w:rsidP="009558BE">
            <w:pPr>
              <w:pStyle w:val="Tabletext"/>
              <w:rPr>
                <w:snapToGrid w:val="0"/>
              </w:rPr>
            </w:pPr>
            <w:r w:rsidRPr="002B1A95">
              <w:rPr>
                <w:snapToGrid w:val="0"/>
                <w:color w:val="000000"/>
              </w:rPr>
              <w:t>26</w:t>
            </w:r>
          </w:p>
        </w:tc>
        <w:tc>
          <w:tcPr>
            <w:tcW w:w="1701" w:type="dxa"/>
            <w:shd w:val="clear" w:color="auto" w:fill="auto"/>
            <w:vAlign w:val="bottom"/>
          </w:tcPr>
          <w:p w:rsidR="007D17C5" w:rsidRPr="002B1A95" w:rsidRDefault="007D17C5" w:rsidP="009558BE">
            <w:pPr>
              <w:pStyle w:val="Tabletext"/>
              <w:rPr>
                <w:snapToGrid w:val="0"/>
              </w:rPr>
            </w:pPr>
            <w:r w:rsidRPr="002B1A95">
              <w:rPr>
                <w:snapToGrid w:val="0"/>
                <w:color w:val="000000"/>
              </w:rPr>
              <w:t>0.250</w:t>
            </w:r>
          </w:p>
        </w:tc>
        <w:tc>
          <w:tcPr>
            <w:tcW w:w="1984" w:type="dxa"/>
            <w:shd w:val="clear" w:color="auto" w:fill="auto"/>
            <w:vAlign w:val="bottom"/>
          </w:tcPr>
          <w:p w:rsidR="007D17C5" w:rsidRPr="002B1A95" w:rsidRDefault="007D17C5" w:rsidP="009558BE">
            <w:pPr>
              <w:pStyle w:val="Tabletext"/>
              <w:rPr>
                <w:snapToGrid w:val="0"/>
              </w:rPr>
            </w:pPr>
            <w:r w:rsidRPr="002B1A95">
              <w:rPr>
                <w:snapToGrid w:val="0"/>
                <w:color w:val="000000"/>
              </w:rPr>
              <w:t>0.422</w:t>
            </w:r>
          </w:p>
        </w:tc>
        <w:tc>
          <w:tcPr>
            <w:tcW w:w="2081" w:type="dxa"/>
            <w:shd w:val="clear" w:color="auto" w:fill="auto"/>
            <w:vAlign w:val="bottom"/>
          </w:tcPr>
          <w:p w:rsidR="007D17C5" w:rsidRPr="002B1A95" w:rsidRDefault="007D17C5" w:rsidP="009558BE">
            <w:pPr>
              <w:pStyle w:val="Tabletext"/>
              <w:rPr>
                <w:snapToGrid w:val="0"/>
              </w:rPr>
            </w:pPr>
            <w:r w:rsidRPr="002B1A95">
              <w:rPr>
                <w:snapToGrid w:val="0"/>
                <w:color w:val="000000"/>
              </w:rPr>
              <w:t>0.582</w:t>
            </w:r>
          </w:p>
        </w:tc>
      </w:tr>
      <w:tr w:rsidR="007D17C5" w:rsidRPr="002B1A95" w:rsidTr="009558BE">
        <w:tc>
          <w:tcPr>
            <w:tcW w:w="714" w:type="dxa"/>
            <w:shd w:val="clear" w:color="auto" w:fill="auto"/>
          </w:tcPr>
          <w:p w:rsidR="007D17C5" w:rsidRPr="002B1A95" w:rsidRDefault="007D17C5" w:rsidP="009558BE">
            <w:pPr>
              <w:pStyle w:val="Tabletext"/>
            </w:pPr>
            <w:r w:rsidRPr="002B1A95">
              <w:t>28</w:t>
            </w:r>
          </w:p>
        </w:tc>
        <w:tc>
          <w:tcPr>
            <w:tcW w:w="1833" w:type="dxa"/>
            <w:shd w:val="clear" w:color="auto" w:fill="auto"/>
            <w:vAlign w:val="bottom"/>
          </w:tcPr>
          <w:p w:rsidR="007D17C5" w:rsidRPr="002B1A95" w:rsidRDefault="007D17C5" w:rsidP="009558BE">
            <w:pPr>
              <w:pStyle w:val="Tabletext"/>
              <w:rPr>
                <w:snapToGrid w:val="0"/>
              </w:rPr>
            </w:pPr>
            <w:r w:rsidRPr="002B1A95">
              <w:rPr>
                <w:snapToGrid w:val="0"/>
                <w:color w:val="000000"/>
              </w:rPr>
              <w:t>27</w:t>
            </w:r>
          </w:p>
        </w:tc>
        <w:tc>
          <w:tcPr>
            <w:tcW w:w="1701" w:type="dxa"/>
            <w:shd w:val="clear" w:color="auto" w:fill="auto"/>
            <w:vAlign w:val="bottom"/>
          </w:tcPr>
          <w:p w:rsidR="007D17C5" w:rsidRPr="002B1A95" w:rsidRDefault="007D17C5" w:rsidP="009558BE">
            <w:pPr>
              <w:pStyle w:val="Tabletext"/>
              <w:rPr>
                <w:snapToGrid w:val="0"/>
              </w:rPr>
            </w:pPr>
            <w:r w:rsidRPr="002B1A95">
              <w:rPr>
                <w:snapToGrid w:val="0"/>
                <w:color w:val="000000"/>
              </w:rPr>
              <w:t>0.243</w:t>
            </w:r>
          </w:p>
        </w:tc>
        <w:tc>
          <w:tcPr>
            <w:tcW w:w="1984" w:type="dxa"/>
            <w:shd w:val="clear" w:color="auto" w:fill="auto"/>
            <w:vAlign w:val="bottom"/>
          </w:tcPr>
          <w:p w:rsidR="007D17C5" w:rsidRPr="002B1A95" w:rsidRDefault="007D17C5" w:rsidP="009558BE">
            <w:pPr>
              <w:pStyle w:val="Tabletext"/>
              <w:rPr>
                <w:snapToGrid w:val="0"/>
              </w:rPr>
            </w:pPr>
            <w:r w:rsidRPr="002B1A95">
              <w:rPr>
                <w:snapToGrid w:val="0"/>
                <w:color w:val="000000"/>
              </w:rPr>
              <w:t>0.413</w:t>
            </w:r>
          </w:p>
        </w:tc>
        <w:tc>
          <w:tcPr>
            <w:tcW w:w="2081" w:type="dxa"/>
            <w:shd w:val="clear" w:color="auto" w:fill="auto"/>
            <w:vAlign w:val="bottom"/>
          </w:tcPr>
          <w:p w:rsidR="007D17C5" w:rsidRPr="002B1A95" w:rsidRDefault="007D17C5" w:rsidP="009558BE">
            <w:pPr>
              <w:pStyle w:val="Tabletext"/>
              <w:rPr>
                <w:snapToGrid w:val="0"/>
              </w:rPr>
            </w:pPr>
            <w:r w:rsidRPr="002B1A95">
              <w:rPr>
                <w:snapToGrid w:val="0"/>
                <w:color w:val="000000"/>
              </w:rPr>
              <w:t>0.573</w:t>
            </w:r>
          </w:p>
        </w:tc>
      </w:tr>
      <w:tr w:rsidR="007D17C5" w:rsidRPr="002B1A95" w:rsidTr="009558BE">
        <w:tc>
          <w:tcPr>
            <w:tcW w:w="714" w:type="dxa"/>
            <w:shd w:val="clear" w:color="auto" w:fill="auto"/>
          </w:tcPr>
          <w:p w:rsidR="007D17C5" w:rsidRPr="002B1A95" w:rsidRDefault="007D17C5" w:rsidP="009558BE">
            <w:pPr>
              <w:pStyle w:val="Tabletext"/>
            </w:pPr>
            <w:r w:rsidRPr="002B1A95">
              <w:t>29</w:t>
            </w:r>
          </w:p>
        </w:tc>
        <w:tc>
          <w:tcPr>
            <w:tcW w:w="1833" w:type="dxa"/>
            <w:shd w:val="clear" w:color="auto" w:fill="auto"/>
            <w:vAlign w:val="bottom"/>
          </w:tcPr>
          <w:p w:rsidR="007D17C5" w:rsidRPr="002B1A95" w:rsidRDefault="007D17C5" w:rsidP="009558BE">
            <w:pPr>
              <w:pStyle w:val="Tabletext"/>
              <w:rPr>
                <w:snapToGrid w:val="0"/>
              </w:rPr>
            </w:pPr>
            <w:r w:rsidRPr="002B1A95">
              <w:rPr>
                <w:snapToGrid w:val="0"/>
                <w:color w:val="000000"/>
              </w:rPr>
              <w:t>28</w:t>
            </w:r>
          </w:p>
        </w:tc>
        <w:tc>
          <w:tcPr>
            <w:tcW w:w="1701" w:type="dxa"/>
            <w:shd w:val="clear" w:color="auto" w:fill="auto"/>
            <w:vAlign w:val="bottom"/>
          </w:tcPr>
          <w:p w:rsidR="007D17C5" w:rsidRPr="002B1A95" w:rsidRDefault="007D17C5" w:rsidP="009558BE">
            <w:pPr>
              <w:pStyle w:val="Tabletext"/>
              <w:rPr>
                <w:snapToGrid w:val="0"/>
              </w:rPr>
            </w:pPr>
            <w:r w:rsidRPr="002B1A95">
              <w:rPr>
                <w:snapToGrid w:val="0"/>
                <w:color w:val="000000"/>
              </w:rPr>
              <w:t>0.236</w:t>
            </w:r>
          </w:p>
        </w:tc>
        <w:tc>
          <w:tcPr>
            <w:tcW w:w="1984" w:type="dxa"/>
            <w:shd w:val="clear" w:color="auto" w:fill="auto"/>
            <w:vAlign w:val="bottom"/>
          </w:tcPr>
          <w:p w:rsidR="007D17C5" w:rsidRPr="002B1A95" w:rsidRDefault="007D17C5" w:rsidP="009558BE">
            <w:pPr>
              <w:pStyle w:val="Tabletext"/>
              <w:rPr>
                <w:snapToGrid w:val="0"/>
              </w:rPr>
            </w:pPr>
            <w:r w:rsidRPr="002B1A95">
              <w:rPr>
                <w:snapToGrid w:val="0"/>
                <w:color w:val="000000"/>
              </w:rPr>
              <w:t>0.404</w:t>
            </w:r>
          </w:p>
        </w:tc>
        <w:tc>
          <w:tcPr>
            <w:tcW w:w="2081" w:type="dxa"/>
            <w:shd w:val="clear" w:color="auto" w:fill="auto"/>
            <w:vAlign w:val="bottom"/>
          </w:tcPr>
          <w:p w:rsidR="007D17C5" w:rsidRPr="002B1A95" w:rsidRDefault="007D17C5" w:rsidP="009558BE">
            <w:pPr>
              <w:pStyle w:val="Tabletext"/>
              <w:rPr>
                <w:snapToGrid w:val="0"/>
              </w:rPr>
            </w:pPr>
            <w:r w:rsidRPr="002B1A95">
              <w:rPr>
                <w:snapToGrid w:val="0"/>
                <w:color w:val="000000"/>
              </w:rPr>
              <w:t>0.565</w:t>
            </w:r>
          </w:p>
        </w:tc>
      </w:tr>
      <w:tr w:rsidR="007D17C5" w:rsidRPr="002B1A95" w:rsidTr="009558BE">
        <w:tc>
          <w:tcPr>
            <w:tcW w:w="714" w:type="dxa"/>
            <w:tcBorders>
              <w:bottom w:val="single" w:sz="2" w:space="0" w:color="auto"/>
            </w:tcBorders>
            <w:shd w:val="clear" w:color="auto" w:fill="auto"/>
          </w:tcPr>
          <w:p w:rsidR="007D17C5" w:rsidRPr="002B1A95" w:rsidRDefault="007D17C5" w:rsidP="009558BE">
            <w:pPr>
              <w:pStyle w:val="Tabletext"/>
            </w:pPr>
            <w:r w:rsidRPr="002B1A95">
              <w:lastRenderedPageBreak/>
              <w:t>30</w:t>
            </w:r>
          </w:p>
        </w:tc>
        <w:tc>
          <w:tcPr>
            <w:tcW w:w="1833" w:type="dxa"/>
            <w:tcBorders>
              <w:bottom w:val="single" w:sz="2" w:space="0" w:color="auto"/>
            </w:tcBorders>
            <w:shd w:val="clear" w:color="auto" w:fill="auto"/>
            <w:vAlign w:val="bottom"/>
          </w:tcPr>
          <w:p w:rsidR="007D17C5" w:rsidRPr="002B1A95" w:rsidRDefault="007D17C5" w:rsidP="009558BE">
            <w:pPr>
              <w:pStyle w:val="Tabletext"/>
              <w:rPr>
                <w:snapToGrid w:val="0"/>
              </w:rPr>
            </w:pPr>
            <w:r w:rsidRPr="002B1A95">
              <w:rPr>
                <w:snapToGrid w:val="0"/>
                <w:color w:val="000000"/>
              </w:rPr>
              <w:t>29</w:t>
            </w:r>
          </w:p>
        </w:tc>
        <w:tc>
          <w:tcPr>
            <w:tcW w:w="1701" w:type="dxa"/>
            <w:tcBorders>
              <w:bottom w:val="single" w:sz="2" w:space="0" w:color="auto"/>
            </w:tcBorders>
            <w:shd w:val="clear" w:color="auto" w:fill="auto"/>
            <w:vAlign w:val="bottom"/>
          </w:tcPr>
          <w:p w:rsidR="007D17C5" w:rsidRPr="002B1A95" w:rsidRDefault="007D17C5" w:rsidP="009558BE">
            <w:pPr>
              <w:pStyle w:val="Tabletext"/>
              <w:rPr>
                <w:snapToGrid w:val="0"/>
              </w:rPr>
            </w:pPr>
            <w:r w:rsidRPr="002B1A95">
              <w:rPr>
                <w:snapToGrid w:val="0"/>
                <w:color w:val="000000"/>
              </w:rPr>
              <w:t>0.229</w:t>
            </w:r>
          </w:p>
        </w:tc>
        <w:tc>
          <w:tcPr>
            <w:tcW w:w="1984" w:type="dxa"/>
            <w:tcBorders>
              <w:bottom w:val="single" w:sz="2" w:space="0" w:color="auto"/>
            </w:tcBorders>
            <w:shd w:val="clear" w:color="auto" w:fill="auto"/>
            <w:vAlign w:val="bottom"/>
          </w:tcPr>
          <w:p w:rsidR="007D17C5" w:rsidRPr="002B1A95" w:rsidRDefault="007D17C5" w:rsidP="009558BE">
            <w:pPr>
              <w:pStyle w:val="Tabletext"/>
              <w:rPr>
                <w:snapToGrid w:val="0"/>
              </w:rPr>
            </w:pPr>
            <w:r w:rsidRPr="002B1A95">
              <w:rPr>
                <w:snapToGrid w:val="0"/>
                <w:color w:val="000000"/>
              </w:rPr>
              <w:t>0.397</w:t>
            </w:r>
          </w:p>
        </w:tc>
        <w:tc>
          <w:tcPr>
            <w:tcW w:w="2081" w:type="dxa"/>
            <w:tcBorders>
              <w:bottom w:val="single" w:sz="2" w:space="0" w:color="auto"/>
            </w:tcBorders>
            <w:shd w:val="clear" w:color="auto" w:fill="auto"/>
            <w:vAlign w:val="bottom"/>
          </w:tcPr>
          <w:p w:rsidR="007D17C5" w:rsidRPr="002B1A95" w:rsidRDefault="007D17C5" w:rsidP="009558BE">
            <w:pPr>
              <w:pStyle w:val="Tabletext"/>
              <w:rPr>
                <w:snapToGrid w:val="0"/>
              </w:rPr>
            </w:pPr>
            <w:r w:rsidRPr="002B1A95">
              <w:rPr>
                <w:snapToGrid w:val="0"/>
                <w:color w:val="000000"/>
              </w:rPr>
              <w:t>0.558</w:t>
            </w:r>
          </w:p>
        </w:tc>
      </w:tr>
      <w:tr w:rsidR="007D17C5" w:rsidRPr="002B1A95" w:rsidTr="009558BE">
        <w:tc>
          <w:tcPr>
            <w:tcW w:w="714" w:type="dxa"/>
            <w:tcBorders>
              <w:top w:val="single" w:sz="2" w:space="0" w:color="auto"/>
              <w:bottom w:val="single" w:sz="12" w:space="0" w:color="auto"/>
            </w:tcBorders>
            <w:shd w:val="clear" w:color="auto" w:fill="auto"/>
          </w:tcPr>
          <w:p w:rsidR="007D17C5" w:rsidRPr="002B1A95" w:rsidRDefault="007D17C5" w:rsidP="009558BE">
            <w:pPr>
              <w:pStyle w:val="Tabletext"/>
            </w:pPr>
            <w:r w:rsidRPr="002B1A95">
              <w:t>31</w:t>
            </w:r>
          </w:p>
        </w:tc>
        <w:tc>
          <w:tcPr>
            <w:tcW w:w="1833" w:type="dxa"/>
            <w:tcBorders>
              <w:top w:val="single" w:sz="2" w:space="0" w:color="auto"/>
              <w:bottom w:val="single" w:sz="12" w:space="0" w:color="auto"/>
            </w:tcBorders>
            <w:shd w:val="clear" w:color="auto" w:fill="auto"/>
            <w:vAlign w:val="bottom"/>
          </w:tcPr>
          <w:p w:rsidR="007D17C5" w:rsidRPr="002B1A95" w:rsidRDefault="007D17C5" w:rsidP="009558BE">
            <w:pPr>
              <w:pStyle w:val="Tabletext"/>
              <w:rPr>
                <w:snapToGrid w:val="0"/>
              </w:rPr>
            </w:pPr>
            <w:r w:rsidRPr="002B1A95">
              <w:rPr>
                <w:snapToGrid w:val="0"/>
                <w:color w:val="000000"/>
              </w:rPr>
              <w:t>30</w:t>
            </w:r>
          </w:p>
        </w:tc>
        <w:tc>
          <w:tcPr>
            <w:tcW w:w="1701" w:type="dxa"/>
            <w:tcBorders>
              <w:top w:val="single" w:sz="2" w:space="0" w:color="auto"/>
              <w:bottom w:val="single" w:sz="12" w:space="0" w:color="auto"/>
            </w:tcBorders>
            <w:shd w:val="clear" w:color="auto" w:fill="auto"/>
            <w:vAlign w:val="bottom"/>
          </w:tcPr>
          <w:p w:rsidR="007D17C5" w:rsidRPr="002B1A95" w:rsidRDefault="007D17C5" w:rsidP="009558BE">
            <w:pPr>
              <w:pStyle w:val="Tabletext"/>
              <w:rPr>
                <w:snapToGrid w:val="0"/>
              </w:rPr>
            </w:pPr>
            <w:r w:rsidRPr="002B1A95">
              <w:rPr>
                <w:snapToGrid w:val="0"/>
                <w:color w:val="000000"/>
              </w:rPr>
              <w:t>0.224</w:t>
            </w:r>
          </w:p>
        </w:tc>
        <w:tc>
          <w:tcPr>
            <w:tcW w:w="1984" w:type="dxa"/>
            <w:tcBorders>
              <w:top w:val="single" w:sz="2" w:space="0" w:color="auto"/>
              <w:bottom w:val="single" w:sz="12" w:space="0" w:color="auto"/>
            </w:tcBorders>
            <w:shd w:val="clear" w:color="auto" w:fill="auto"/>
            <w:vAlign w:val="bottom"/>
          </w:tcPr>
          <w:p w:rsidR="007D17C5" w:rsidRPr="002B1A95" w:rsidRDefault="007D17C5" w:rsidP="009558BE">
            <w:pPr>
              <w:pStyle w:val="Tabletext"/>
              <w:rPr>
                <w:snapToGrid w:val="0"/>
              </w:rPr>
            </w:pPr>
            <w:r w:rsidRPr="002B1A95">
              <w:rPr>
                <w:snapToGrid w:val="0"/>
                <w:color w:val="000000"/>
              </w:rPr>
              <w:t>0.390</w:t>
            </w:r>
          </w:p>
        </w:tc>
        <w:tc>
          <w:tcPr>
            <w:tcW w:w="2081" w:type="dxa"/>
            <w:tcBorders>
              <w:top w:val="single" w:sz="2" w:space="0" w:color="auto"/>
              <w:bottom w:val="single" w:sz="12" w:space="0" w:color="auto"/>
            </w:tcBorders>
            <w:shd w:val="clear" w:color="auto" w:fill="auto"/>
            <w:vAlign w:val="bottom"/>
          </w:tcPr>
          <w:p w:rsidR="007D17C5" w:rsidRPr="002B1A95" w:rsidRDefault="007D17C5" w:rsidP="009558BE">
            <w:pPr>
              <w:pStyle w:val="Tabletext"/>
              <w:rPr>
                <w:snapToGrid w:val="0"/>
              </w:rPr>
            </w:pPr>
            <w:r w:rsidRPr="002B1A95">
              <w:rPr>
                <w:snapToGrid w:val="0"/>
                <w:color w:val="000000"/>
              </w:rPr>
              <w:t>0.552</w:t>
            </w:r>
          </w:p>
        </w:tc>
      </w:tr>
    </w:tbl>
    <w:p w:rsidR="007D17C5" w:rsidRPr="002B1A95" w:rsidRDefault="007D17C5" w:rsidP="007D17C5">
      <w:pPr>
        <w:pStyle w:val="ActHead1"/>
        <w:pageBreakBefore/>
      </w:pPr>
      <w:bookmarkStart w:id="262" w:name="_Toc49765435"/>
      <w:r w:rsidRPr="00411C46">
        <w:rPr>
          <w:rStyle w:val="CharChapNo"/>
        </w:rPr>
        <w:lastRenderedPageBreak/>
        <w:t>Schedule</w:t>
      </w:r>
      <w:r w:rsidR="002B1A95" w:rsidRPr="00411C46">
        <w:rPr>
          <w:rStyle w:val="CharChapNo"/>
        </w:rPr>
        <w:t> </w:t>
      </w:r>
      <w:r w:rsidRPr="00411C46">
        <w:rPr>
          <w:rStyle w:val="CharChapNo"/>
        </w:rPr>
        <w:t>1C</w:t>
      </w:r>
      <w:r w:rsidRPr="002B1A95">
        <w:t>—</w:t>
      </w:r>
      <w:r w:rsidRPr="00411C46">
        <w:rPr>
          <w:rStyle w:val="CharChapText"/>
        </w:rPr>
        <w:t>Farm management deposits—statements to be read by depositors</w:t>
      </w:r>
      <w:bookmarkEnd w:id="262"/>
    </w:p>
    <w:p w:rsidR="007D17C5" w:rsidRPr="002B1A95" w:rsidRDefault="007D17C5" w:rsidP="007D17C5">
      <w:pPr>
        <w:pStyle w:val="notemargin"/>
      </w:pPr>
      <w:r w:rsidRPr="002B1A95">
        <w:t>Note:</w:t>
      </w:r>
      <w:r w:rsidRPr="002B1A95">
        <w:tab/>
        <w:t>See section 393</w:t>
      </w:r>
      <w:r w:rsidR="00782250">
        <w:noBreakHyphen/>
      </w:r>
      <w:r w:rsidRPr="002B1A95">
        <w:t>20.02</w:t>
      </w:r>
    </w:p>
    <w:p w:rsidR="007D17C5" w:rsidRPr="002B1A95" w:rsidRDefault="007D17C5" w:rsidP="007D17C5">
      <w:pPr>
        <w:pStyle w:val="ActHead2"/>
      </w:pPr>
      <w:bookmarkStart w:id="263" w:name="_Toc49765436"/>
      <w:r w:rsidRPr="00411C46">
        <w:rPr>
          <w:rStyle w:val="CharPartNo"/>
        </w:rPr>
        <w:t>Part</w:t>
      </w:r>
      <w:r w:rsidR="002B1A95" w:rsidRPr="00411C46">
        <w:rPr>
          <w:rStyle w:val="CharPartNo"/>
        </w:rPr>
        <w:t> </w:t>
      </w:r>
      <w:r w:rsidRPr="00411C46">
        <w:rPr>
          <w:rStyle w:val="CharPartNo"/>
        </w:rPr>
        <w:t>1</w:t>
      </w:r>
      <w:r w:rsidRPr="002B1A95">
        <w:t>—</w:t>
      </w:r>
      <w:r w:rsidRPr="00411C46">
        <w:rPr>
          <w:rStyle w:val="CharPartText"/>
        </w:rPr>
        <w:t>Statements</w:t>
      </w:r>
      <w:bookmarkEnd w:id="263"/>
    </w:p>
    <w:p w:rsidR="007D17C5" w:rsidRPr="00411C46" w:rsidRDefault="007D17C5" w:rsidP="007D17C5">
      <w:pPr>
        <w:pStyle w:val="Header"/>
      </w:pPr>
      <w:r w:rsidRPr="00411C46">
        <w:rPr>
          <w:rStyle w:val="CharDivNo"/>
        </w:rPr>
        <w:t xml:space="preserve"> </w:t>
      </w:r>
      <w:r w:rsidRPr="00411C46">
        <w:rPr>
          <w:rStyle w:val="CharDivText"/>
        </w:rPr>
        <w:t xml:space="preserve"> </w:t>
      </w:r>
    </w:p>
    <w:p w:rsidR="007D17C5" w:rsidRPr="002B1A95" w:rsidRDefault="007D17C5" w:rsidP="007D17C5">
      <w:pPr>
        <w:pStyle w:val="ActHead5"/>
      </w:pPr>
      <w:bookmarkStart w:id="264" w:name="_Toc49765437"/>
      <w:r w:rsidRPr="00411C46">
        <w:rPr>
          <w:rStyle w:val="CharSectno"/>
        </w:rPr>
        <w:t>1</w:t>
      </w:r>
      <w:r w:rsidRPr="002B1A95">
        <w:t xml:space="preserve">  Statements for the purposes of paragraph 393</w:t>
      </w:r>
      <w:r w:rsidR="00782250">
        <w:noBreakHyphen/>
      </w:r>
      <w:r w:rsidRPr="002B1A95">
        <w:t>20.02(a)</w:t>
      </w:r>
      <w:bookmarkEnd w:id="264"/>
    </w:p>
    <w:p w:rsidR="007D17C5" w:rsidRPr="002B1A95" w:rsidRDefault="007D17C5" w:rsidP="007D17C5">
      <w:pPr>
        <w:pStyle w:val="subsection"/>
      </w:pPr>
      <w:r w:rsidRPr="002B1A95">
        <w:tab/>
        <w:t>(1)</w:t>
      </w:r>
      <w:r w:rsidRPr="002B1A95">
        <w:tab/>
        <w:t>This clause sets out statements for the purposes of paragraph 393</w:t>
      </w:r>
      <w:r w:rsidR="00782250">
        <w:noBreakHyphen/>
      </w:r>
      <w:r w:rsidRPr="002B1A95">
        <w:t>20.02(a).</w:t>
      </w:r>
    </w:p>
    <w:p w:rsidR="007D17C5" w:rsidRPr="002B1A95" w:rsidRDefault="007D17C5" w:rsidP="007D17C5">
      <w:pPr>
        <w:pStyle w:val="SubsectionHead"/>
      </w:pPr>
      <w:r w:rsidRPr="002B1A95">
        <w:t>Authorised deposit</w:t>
      </w:r>
      <w:r w:rsidR="00782250">
        <w:noBreakHyphen/>
      </w:r>
      <w:r w:rsidRPr="002B1A95">
        <w:t>taking institution</w:t>
      </w:r>
    </w:p>
    <w:p w:rsidR="007D17C5" w:rsidRPr="002B1A95" w:rsidRDefault="007D17C5" w:rsidP="007D17C5">
      <w:pPr>
        <w:pStyle w:val="subsection"/>
      </w:pPr>
      <w:r w:rsidRPr="002B1A95">
        <w:tab/>
        <w:t>(2)</w:t>
      </w:r>
      <w:r w:rsidRPr="002B1A95">
        <w:tab/>
        <w:t>The first statement is as follows:</w:t>
      </w:r>
    </w:p>
    <w:p w:rsidR="007D17C5" w:rsidRPr="002B1A95" w:rsidRDefault="007D17C5" w:rsidP="007D17C5">
      <w:pPr>
        <w:pStyle w:val="subsection"/>
      </w:pPr>
      <w:r w:rsidRPr="002B1A95">
        <w:tab/>
      </w:r>
      <w:r w:rsidRPr="002B1A95">
        <w:tab/>
        <w:t>The FMD provider issuing this application form is an authorised deposit</w:t>
      </w:r>
      <w:r w:rsidR="00782250">
        <w:noBreakHyphen/>
      </w:r>
      <w:r w:rsidRPr="002B1A95">
        <w:t xml:space="preserve">taking institution for the purposes of the </w:t>
      </w:r>
      <w:r w:rsidRPr="002B1A95">
        <w:rPr>
          <w:i/>
        </w:rPr>
        <w:t>Banking Act 1959</w:t>
      </w:r>
      <w:r w:rsidRPr="002B1A95">
        <w:t>.</w:t>
      </w:r>
    </w:p>
    <w:p w:rsidR="007D17C5" w:rsidRPr="002B1A95" w:rsidRDefault="007D17C5" w:rsidP="007D17C5">
      <w:pPr>
        <w:pStyle w:val="subsection"/>
      </w:pPr>
      <w:r w:rsidRPr="002B1A95">
        <w:tab/>
        <w:t>(3)</w:t>
      </w:r>
      <w:r w:rsidRPr="002B1A95">
        <w:tab/>
        <w:t>A form used to apply to an FMD provider to make a farm management deposit may only contain the first statement if the FMD provider is an ADI.</w:t>
      </w:r>
    </w:p>
    <w:p w:rsidR="007D17C5" w:rsidRPr="002B1A95" w:rsidRDefault="007D17C5" w:rsidP="007D17C5">
      <w:pPr>
        <w:pStyle w:val="SubsectionHead"/>
      </w:pPr>
      <w:r w:rsidRPr="002B1A95">
        <w:t>Financial Claims Scheme</w:t>
      </w:r>
    </w:p>
    <w:p w:rsidR="007D17C5" w:rsidRPr="002B1A95" w:rsidRDefault="007D17C5" w:rsidP="007D17C5">
      <w:pPr>
        <w:pStyle w:val="subsection"/>
      </w:pPr>
      <w:r w:rsidRPr="002B1A95">
        <w:tab/>
        <w:t>(4)</w:t>
      </w:r>
      <w:r w:rsidRPr="002B1A95">
        <w:tab/>
        <w:t>The second statement is as follows:</w:t>
      </w:r>
    </w:p>
    <w:p w:rsidR="007D17C5" w:rsidRPr="002B1A95" w:rsidRDefault="007D17C5" w:rsidP="007D17C5">
      <w:pPr>
        <w:pStyle w:val="subsection"/>
      </w:pPr>
      <w:r w:rsidRPr="002B1A95">
        <w:tab/>
      </w:r>
      <w:r w:rsidRPr="002B1A95">
        <w:tab/>
        <w:t>The account holder may be entitled to payment under the Financial Claims Scheme. Payments under the Financial Claims Scheme are subject to a limit for each depositor in respect of total deposits held by that depositor at a locally incorporated authorised deposit</w:t>
      </w:r>
      <w:r w:rsidR="00782250">
        <w:noBreakHyphen/>
      </w:r>
      <w:r w:rsidRPr="002B1A95">
        <w:t>taking institution. For further information contact the Australian Prudential Regulation Authority or visit https://www.fcs.gov.au.</w:t>
      </w:r>
    </w:p>
    <w:p w:rsidR="007D17C5" w:rsidRPr="002B1A95" w:rsidRDefault="007D17C5" w:rsidP="007D17C5">
      <w:pPr>
        <w:pStyle w:val="ActHead2"/>
        <w:pageBreakBefore/>
      </w:pPr>
      <w:bookmarkStart w:id="265" w:name="_Toc49765438"/>
      <w:r w:rsidRPr="00411C46">
        <w:rPr>
          <w:rStyle w:val="CharPartNo"/>
        </w:rPr>
        <w:lastRenderedPageBreak/>
        <w:t>Part</w:t>
      </w:r>
      <w:r w:rsidR="002B1A95" w:rsidRPr="00411C46">
        <w:rPr>
          <w:rStyle w:val="CharPartNo"/>
        </w:rPr>
        <w:t> </w:t>
      </w:r>
      <w:r w:rsidRPr="00411C46">
        <w:rPr>
          <w:rStyle w:val="CharPartNo"/>
        </w:rPr>
        <w:t>2</w:t>
      </w:r>
      <w:r w:rsidRPr="002B1A95">
        <w:t>—</w:t>
      </w:r>
      <w:r w:rsidRPr="00411C46">
        <w:rPr>
          <w:rStyle w:val="CharPartText"/>
        </w:rPr>
        <w:t>Required statements</w:t>
      </w:r>
      <w:bookmarkEnd w:id="265"/>
    </w:p>
    <w:p w:rsidR="007D17C5" w:rsidRPr="00411C46" w:rsidRDefault="007D17C5" w:rsidP="007D17C5">
      <w:pPr>
        <w:pStyle w:val="Header"/>
      </w:pPr>
      <w:r w:rsidRPr="00411C46">
        <w:rPr>
          <w:rStyle w:val="CharDivNo"/>
        </w:rPr>
        <w:t xml:space="preserve"> </w:t>
      </w:r>
      <w:r w:rsidRPr="00411C46">
        <w:rPr>
          <w:rStyle w:val="CharDivText"/>
        </w:rPr>
        <w:t xml:space="preserve"> </w:t>
      </w:r>
    </w:p>
    <w:p w:rsidR="007D17C5" w:rsidRPr="002B1A95" w:rsidRDefault="007D17C5" w:rsidP="007D17C5">
      <w:pPr>
        <w:pStyle w:val="ActHead5"/>
      </w:pPr>
      <w:bookmarkStart w:id="266" w:name="_Toc49765439"/>
      <w:r w:rsidRPr="00411C46">
        <w:rPr>
          <w:rStyle w:val="CharSectno"/>
        </w:rPr>
        <w:t>2</w:t>
      </w:r>
      <w:r w:rsidRPr="002B1A95">
        <w:t xml:space="preserve">  Statements for the purposes of paragraph 393</w:t>
      </w:r>
      <w:r w:rsidR="00782250">
        <w:noBreakHyphen/>
      </w:r>
      <w:r w:rsidRPr="002B1A95">
        <w:t>20.02(b)</w:t>
      </w:r>
      <w:bookmarkEnd w:id="266"/>
    </w:p>
    <w:p w:rsidR="007D17C5" w:rsidRPr="002B1A95" w:rsidRDefault="007D17C5" w:rsidP="007D17C5">
      <w:pPr>
        <w:pStyle w:val="subsection"/>
      </w:pPr>
      <w:r w:rsidRPr="002B1A95">
        <w:tab/>
        <w:t>(1)</w:t>
      </w:r>
      <w:r w:rsidRPr="002B1A95">
        <w:tab/>
        <w:t>This clause sets out statements for the purposes of paragraph 393</w:t>
      </w:r>
      <w:r w:rsidR="00782250">
        <w:noBreakHyphen/>
      </w:r>
      <w:r w:rsidRPr="002B1A95">
        <w:t>20.02(b).</w:t>
      </w:r>
    </w:p>
    <w:p w:rsidR="007D17C5" w:rsidRPr="002B1A95" w:rsidRDefault="007D17C5" w:rsidP="007D17C5">
      <w:pPr>
        <w:pStyle w:val="subsection"/>
      </w:pPr>
      <w:r w:rsidRPr="002B1A95">
        <w:tab/>
        <w:t>(2)</w:t>
      </w:r>
      <w:r w:rsidRPr="002B1A95">
        <w:tab/>
        <w:t>The statements are as follows:</w:t>
      </w:r>
    </w:p>
    <w:p w:rsidR="007D17C5" w:rsidRPr="002B1A95" w:rsidRDefault="007D17C5" w:rsidP="007D17C5">
      <w:pPr>
        <w:pStyle w:val="SubsectionHead"/>
      </w:pPr>
      <w:r w:rsidRPr="002B1A95">
        <w:t>Purpose of farm management deposits scheme</w:t>
      </w:r>
    </w:p>
    <w:p w:rsidR="007D17C5" w:rsidRPr="002B1A95" w:rsidRDefault="007D17C5" w:rsidP="007D17C5">
      <w:pPr>
        <w:pStyle w:val="subsection"/>
      </w:pPr>
      <w:r w:rsidRPr="002B1A95">
        <w:tab/>
      </w:r>
      <w:r w:rsidRPr="002B1A95">
        <w:tab/>
        <w:t>The farm management deposits scheme is designed to allow individuals carrying on a primary production business in Australia to shift before</w:t>
      </w:r>
      <w:r w:rsidR="00782250">
        <w:noBreakHyphen/>
      </w:r>
      <w:r w:rsidRPr="002B1A95">
        <w:t>tax income from years when they need it least to years when it is most needed. The scheme helps those individuals to manage their exposure to adverse economic events and seasonal fluctuations.</w:t>
      </w:r>
    </w:p>
    <w:p w:rsidR="007D17C5" w:rsidRPr="002B1A95" w:rsidRDefault="007D17C5" w:rsidP="007D17C5">
      <w:pPr>
        <w:pStyle w:val="subsection"/>
      </w:pPr>
      <w:r w:rsidRPr="002B1A95">
        <w:tab/>
      </w:r>
      <w:r w:rsidRPr="002B1A95">
        <w:tab/>
        <w:t>Eligibility criteria apply to individuals carrying on a primary production business in Australia under the scheme.</w:t>
      </w:r>
    </w:p>
    <w:p w:rsidR="007D17C5" w:rsidRPr="002B1A95" w:rsidRDefault="007D17C5" w:rsidP="007D17C5">
      <w:pPr>
        <w:pStyle w:val="notetext"/>
      </w:pPr>
      <w:r w:rsidRPr="002B1A95">
        <w:t>Note:</w:t>
      </w:r>
      <w:r w:rsidRPr="002B1A95">
        <w:tab/>
      </w:r>
      <w:r w:rsidRPr="002B1A95">
        <w:rPr>
          <w:b/>
          <w:i/>
        </w:rPr>
        <w:t>Primary production business</w:t>
      </w:r>
      <w:r w:rsidRPr="002B1A95">
        <w:t xml:space="preserve"> and carrying on a primary production business are explained in subsection</w:t>
      </w:r>
      <w:r w:rsidR="002B1A95" w:rsidRPr="002B1A95">
        <w:t> </w:t>
      </w:r>
      <w:r w:rsidRPr="002B1A95">
        <w:t>995</w:t>
      </w:r>
      <w:r w:rsidR="00782250">
        <w:noBreakHyphen/>
      </w:r>
      <w:r w:rsidRPr="002B1A95">
        <w:t xml:space="preserve">1(1) of the </w:t>
      </w:r>
      <w:r w:rsidRPr="002B1A95">
        <w:rPr>
          <w:i/>
        </w:rPr>
        <w:t>Income Tax Assessment Act 1997</w:t>
      </w:r>
      <w:r w:rsidRPr="002B1A95">
        <w:t>.</w:t>
      </w:r>
    </w:p>
    <w:p w:rsidR="007D17C5" w:rsidRPr="002B1A95" w:rsidRDefault="007D17C5" w:rsidP="007D17C5">
      <w:pPr>
        <w:pStyle w:val="SubsectionHead"/>
      </w:pPr>
      <w:r w:rsidRPr="002B1A95">
        <w:t>Tax consequences of farm management deposits</w:t>
      </w:r>
    </w:p>
    <w:p w:rsidR="007D17C5" w:rsidRPr="002B1A95" w:rsidRDefault="007D17C5" w:rsidP="007D17C5">
      <w:pPr>
        <w:pStyle w:val="subsection"/>
      </w:pPr>
      <w:r w:rsidRPr="002B1A95">
        <w:tab/>
      </w:r>
      <w:r w:rsidRPr="002B1A95">
        <w:tab/>
        <w:t>The scheme allows individuals carrying on a primary production business in Australia to deduct the amount of any farm management deposit they own from their assessable income for the income year in which the deposit is made. However, the amount of the deductions cannot exceed the owner’s taxable primary production income for the income year.</w:t>
      </w:r>
    </w:p>
    <w:p w:rsidR="007D17C5" w:rsidRPr="002B1A95" w:rsidRDefault="007D17C5" w:rsidP="007D17C5">
      <w:pPr>
        <w:pStyle w:val="subsection"/>
      </w:pPr>
      <w:r w:rsidRPr="002B1A95">
        <w:tab/>
      </w:r>
      <w:r w:rsidRPr="002B1A95">
        <w:tab/>
        <w:t>Under the Pay As You Go system, owners may reduce their instalment income for an instalment period by the amount of farm management deposits made during that period. The reduction is limited to the amount that the owners can reasonably expect to deduct for the deposit for the income year in which the deposit is made. However, the instalment income for the period cannot be reduced below nil.</w:t>
      </w:r>
    </w:p>
    <w:p w:rsidR="007D17C5" w:rsidRPr="002B1A95" w:rsidRDefault="007D17C5" w:rsidP="007D17C5">
      <w:pPr>
        <w:pStyle w:val="subsection"/>
      </w:pPr>
      <w:r w:rsidRPr="002B1A95">
        <w:tab/>
      </w:r>
      <w:r w:rsidRPr="002B1A95">
        <w:tab/>
        <w:t>When a farm management deposit is repaid to an owner in an instalment period, the instalment income of the period will include the amount of the repayment. But the owner’s instalment income will only include so much of the repayment as will be included in the owner’s assessable income for the income year in which the repayment is made.</w:t>
      </w:r>
    </w:p>
    <w:p w:rsidR="007D17C5" w:rsidRPr="002B1A95" w:rsidRDefault="007D17C5" w:rsidP="007D17C5">
      <w:pPr>
        <w:pStyle w:val="subsection"/>
      </w:pPr>
      <w:r w:rsidRPr="002B1A95">
        <w:tab/>
      </w:r>
      <w:r w:rsidRPr="002B1A95">
        <w:tab/>
        <w:t>If neither the owner’s tax file number nor Australian Business Number has been quoted to the FMD provider that holds the deposit, the amount repaid will also be subject to withholding at a rate equal to the sum of the top marginal tax rate and the Medicare levy.</w:t>
      </w:r>
    </w:p>
    <w:p w:rsidR="007D17C5" w:rsidRPr="002B1A95" w:rsidRDefault="007D17C5" w:rsidP="007D17C5">
      <w:pPr>
        <w:pStyle w:val="SubsectionHead"/>
      </w:pPr>
      <w:r w:rsidRPr="002B1A95">
        <w:lastRenderedPageBreak/>
        <w:t>Important requirements for farm management deposits</w:t>
      </w:r>
    </w:p>
    <w:p w:rsidR="007D17C5" w:rsidRPr="002B1A95" w:rsidRDefault="007D17C5" w:rsidP="007D17C5">
      <w:pPr>
        <w:pStyle w:val="subsection"/>
      </w:pPr>
      <w:r w:rsidRPr="002B1A95">
        <w:tab/>
      </w:r>
      <w:r w:rsidRPr="002B1A95">
        <w:tab/>
        <w:t xml:space="preserve">Some of the requirements for farm management deposits are summarised below. There are also other requirements set out in the </w:t>
      </w:r>
      <w:r w:rsidRPr="002B1A95">
        <w:rPr>
          <w:i/>
        </w:rPr>
        <w:t>Income Tax Assessment Act 1997</w:t>
      </w:r>
      <w:r w:rsidRPr="002B1A95">
        <w:t>. A breach of some of the requirements will result in the deposit not being treated as a farm management deposit, and the tax benefits will be lost.</w:t>
      </w:r>
    </w:p>
    <w:p w:rsidR="007D17C5" w:rsidRPr="002B1A95" w:rsidRDefault="007D17C5" w:rsidP="007D17C5">
      <w:pPr>
        <w:pStyle w:val="paragraph"/>
      </w:pPr>
      <w:r w:rsidRPr="002B1A95">
        <w:tab/>
        <w:t>•</w:t>
      </w:r>
      <w:r w:rsidRPr="002B1A95">
        <w:tab/>
        <w:t>The owner must be an individual who is carrying on a primary production business in Australia when the deposit is made.</w:t>
      </w:r>
    </w:p>
    <w:p w:rsidR="007D17C5" w:rsidRPr="002B1A95" w:rsidRDefault="007D17C5" w:rsidP="007D17C5">
      <w:pPr>
        <w:pStyle w:val="paragraph"/>
      </w:pPr>
      <w:r w:rsidRPr="002B1A95">
        <w:tab/>
        <w:t>•</w:t>
      </w:r>
      <w:r w:rsidRPr="002B1A95">
        <w:tab/>
        <w:t>The deposit must be made by only one individual and on behalf of only one individual.</w:t>
      </w:r>
    </w:p>
    <w:p w:rsidR="007D17C5" w:rsidRPr="002B1A95" w:rsidRDefault="007D17C5" w:rsidP="007D17C5">
      <w:pPr>
        <w:pStyle w:val="paragraph"/>
      </w:pPr>
      <w:r w:rsidRPr="002B1A95">
        <w:tab/>
        <w:t>•</w:t>
      </w:r>
      <w:r w:rsidRPr="002B1A95">
        <w:tab/>
        <w:t>Rights of the depositor must not be transferable to another entity.</w:t>
      </w:r>
    </w:p>
    <w:p w:rsidR="007D17C5" w:rsidRPr="002B1A95" w:rsidRDefault="007D17C5" w:rsidP="007D17C5">
      <w:pPr>
        <w:pStyle w:val="paragraph"/>
      </w:pPr>
      <w:r w:rsidRPr="002B1A95">
        <w:tab/>
        <w:t>•</w:t>
      </w:r>
      <w:r w:rsidRPr="002B1A95">
        <w:tab/>
        <w:t>The deposit must not be used as security for any amount that the depositor or any other entity owes to the FMD provider or any other entity.</w:t>
      </w:r>
    </w:p>
    <w:p w:rsidR="007D17C5" w:rsidRPr="002B1A95" w:rsidRDefault="007D17C5" w:rsidP="007D17C5">
      <w:pPr>
        <w:pStyle w:val="paragraph"/>
      </w:pPr>
      <w:r w:rsidRPr="002B1A95">
        <w:tab/>
        <w:t>•</w:t>
      </w:r>
      <w:r w:rsidRPr="002B1A95">
        <w:tab/>
        <w:t>Interest or other earnings on the deposit must not be invested as a farm management deposit with the FMD provider without having first been paid to the depositor.</w:t>
      </w:r>
    </w:p>
    <w:p w:rsidR="007D17C5" w:rsidRPr="002B1A95" w:rsidRDefault="007D17C5" w:rsidP="007D17C5">
      <w:pPr>
        <w:pStyle w:val="paragraph"/>
      </w:pPr>
      <w:r w:rsidRPr="002B1A95">
        <w:tab/>
        <w:t>•</w:t>
      </w:r>
      <w:r w:rsidRPr="002B1A95">
        <w:tab/>
        <w:t>If the depositor requests in writing, the FMD provider must electronically transfer the deposit, or part of the deposit, to another FMD provider that agrees to accept it as a farm management deposit.</w:t>
      </w:r>
    </w:p>
    <w:p w:rsidR="007D17C5" w:rsidRPr="002B1A95" w:rsidRDefault="007D17C5" w:rsidP="007D17C5">
      <w:pPr>
        <w:pStyle w:val="paragraph"/>
      </w:pPr>
      <w:r w:rsidRPr="002B1A95">
        <w:tab/>
        <w:t>•</w:t>
      </w:r>
      <w:r w:rsidRPr="002B1A95">
        <w:tab/>
        <w:t>The FMD provider must not deduct any fees from the principal of a farm management deposit. However, it may charge fees on the deposit.</w:t>
      </w:r>
    </w:p>
    <w:p w:rsidR="007D17C5" w:rsidRPr="002B1A95" w:rsidRDefault="007D17C5" w:rsidP="007D17C5">
      <w:pPr>
        <w:pStyle w:val="SubsectionHead"/>
      </w:pPr>
      <w:r w:rsidRPr="002B1A95">
        <w:t>Repayment of farm management deposits</w:t>
      </w:r>
    </w:p>
    <w:p w:rsidR="007D17C5" w:rsidRPr="002B1A95" w:rsidRDefault="007D17C5" w:rsidP="007D17C5">
      <w:pPr>
        <w:pStyle w:val="subsection"/>
      </w:pPr>
      <w:r w:rsidRPr="002B1A95">
        <w:tab/>
      </w:r>
      <w:r w:rsidRPr="002B1A95">
        <w:tab/>
        <w:t>The tax benefits are not retained for deposit amounts repaid within the first 12 months after the deposit was made, unless the repayment is made:</w:t>
      </w:r>
    </w:p>
    <w:p w:rsidR="007D17C5" w:rsidRPr="002B1A95" w:rsidRDefault="007D17C5" w:rsidP="007D17C5">
      <w:pPr>
        <w:pStyle w:val="paragraph"/>
      </w:pPr>
      <w:r w:rsidRPr="002B1A95">
        <w:tab/>
        <w:t>(a)</w:t>
      </w:r>
      <w:r w:rsidRPr="002B1A95">
        <w:tab/>
        <w:t>because the owner:</w:t>
      </w:r>
    </w:p>
    <w:p w:rsidR="007D17C5" w:rsidRPr="002B1A95" w:rsidRDefault="007D17C5" w:rsidP="007D17C5">
      <w:pPr>
        <w:pStyle w:val="paragraphsub"/>
      </w:pPr>
      <w:r w:rsidRPr="002B1A95">
        <w:tab/>
        <w:t>(i)</w:t>
      </w:r>
      <w:r w:rsidRPr="002B1A95">
        <w:tab/>
        <w:t>dies; or</w:t>
      </w:r>
    </w:p>
    <w:p w:rsidR="007D17C5" w:rsidRPr="002B1A95" w:rsidRDefault="007D17C5" w:rsidP="007D17C5">
      <w:pPr>
        <w:pStyle w:val="paragraphsub"/>
      </w:pPr>
      <w:r w:rsidRPr="002B1A95">
        <w:tab/>
        <w:t>(ii)</w:t>
      </w:r>
      <w:r w:rsidRPr="002B1A95">
        <w:tab/>
        <w:t>becomes bankrupt; or</w:t>
      </w:r>
    </w:p>
    <w:p w:rsidR="007D17C5" w:rsidRPr="002B1A95" w:rsidRDefault="007D17C5" w:rsidP="007D17C5">
      <w:pPr>
        <w:pStyle w:val="paragraphsub"/>
      </w:pPr>
      <w:r w:rsidRPr="002B1A95">
        <w:tab/>
        <w:t>(iii)</w:t>
      </w:r>
      <w:r w:rsidRPr="002B1A95">
        <w:tab/>
        <w:t>ceases to carry on a primary production business in Australia and does not start carrying on such a business again within 120 days; or</w:t>
      </w:r>
    </w:p>
    <w:p w:rsidR="007D17C5" w:rsidRPr="002B1A95" w:rsidRDefault="007D17C5" w:rsidP="007D17C5">
      <w:pPr>
        <w:pStyle w:val="paragraphsub"/>
      </w:pPr>
      <w:r w:rsidRPr="002B1A95">
        <w:tab/>
        <w:t>(iv)</w:t>
      </w:r>
      <w:r w:rsidRPr="002B1A95">
        <w:tab/>
        <w:t>has requested the deposit, or part of the deposit, to be transferred to another FMD provider and the repayment relates to the transfer; or</w:t>
      </w:r>
    </w:p>
    <w:p w:rsidR="007D17C5" w:rsidRPr="002B1A95" w:rsidRDefault="007D17C5" w:rsidP="007D17C5">
      <w:pPr>
        <w:pStyle w:val="paragraph"/>
      </w:pPr>
      <w:r w:rsidRPr="002B1A95">
        <w:tab/>
        <w:t>(b)</w:t>
      </w:r>
      <w:r w:rsidRPr="002B1A95">
        <w:tab/>
        <w:t>because the circumstances specified in subsection</w:t>
      </w:r>
      <w:r w:rsidR="002B1A95" w:rsidRPr="002B1A95">
        <w:t> </w:t>
      </w:r>
      <w:r w:rsidRPr="002B1A95">
        <w:t>393</w:t>
      </w:r>
      <w:r w:rsidR="00782250">
        <w:noBreakHyphen/>
      </w:r>
      <w:r w:rsidRPr="002B1A95">
        <w:t xml:space="preserve">40(3) of the </w:t>
      </w:r>
      <w:r w:rsidRPr="002B1A95">
        <w:rPr>
          <w:i/>
        </w:rPr>
        <w:t>Income Tax Assessment Act 1997</w:t>
      </w:r>
      <w:r w:rsidRPr="002B1A95">
        <w:t xml:space="preserve"> or in regulations made for the purposes of that subsection, relating to repayment in the event of severe drought, exist; or</w:t>
      </w:r>
    </w:p>
    <w:p w:rsidR="007D17C5" w:rsidRPr="002B1A95" w:rsidRDefault="007D17C5" w:rsidP="007D17C5">
      <w:pPr>
        <w:pStyle w:val="paragraph"/>
      </w:pPr>
      <w:r w:rsidRPr="002B1A95">
        <w:tab/>
        <w:t>(c)</w:t>
      </w:r>
      <w:r w:rsidRPr="002B1A95">
        <w:tab/>
        <w:t>because the circumstances specified in subsection</w:t>
      </w:r>
      <w:r w:rsidR="002B1A95" w:rsidRPr="002B1A95">
        <w:t> </w:t>
      </w:r>
      <w:r w:rsidRPr="002B1A95">
        <w:t>393</w:t>
      </w:r>
      <w:r w:rsidR="00782250">
        <w:noBreakHyphen/>
      </w:r>
      <w:r w:rsidRPr="002B1A95">
        <w:t xml:space="preserve">40(3A) of the </w:t>
      </w:r>
      <w:r w:rsidRPr="002B1A95">
        <w:rPr>
          <w:i/>
        </w:rPr>
        <w:t>Income Tax Assessment Act 1997</w:t>
      </w:r>
      <w:r w:rsidRPr="002B1A95">
        <w:t xml:space="preserve"> or in regulations made for the purposes of that subsection, relating to repayment in the event of a natural disaster, exist.</w:t>
      </w:r>
    </w:p>
    <w:p w:rsidR="007D17C5" w:rsidRPr="002B1A95" w:rsidRDefault="007D17C5" w:rsidP="00175832">
      <w:pPr>
        <w:pStyle w:val="ActHead2"/>
        <w:pageBreakBefore/>
      </w:pPr>
      <w:bookmarkStart w:id="267" w:name="_Toc49765440"/>
      <w:r w:rsidRPr="00411C46">
        <w:rPr>
          <w:rStyle w:val="CharPartNo"/>
        </w:rPr>
        <w:lastRenderedPageBreak/>
        <w:t>Part</w:t>
      </w:r>
      <w:r w:rsidR="002B1A95" w:rsidRPr="00411C46">
        <w:rPr>
          <w:rStyle w:val="CharPartNo"/>
        </w:rPr>
        <w:t> </w:t>
      </w:r>
      <w:r w:rsidRPr="00411C46">
        <w:rPr>
          <w:rStyle w:val="CharPartNo"/>
        </w:rPr>
        <w:t>3</w:t>
      </w:r>
      <w:r w:rsidRPr="002B1A95">
        <w:t>—</w:t>
      </w:r>
      <w:r w:rsidRPr="00411C46">
        <w:rPr>
          <w:rStyle w:val="CharPartText"/>
        </w:rPr>
        <w:t>Additional information</w:t>
      </w:r>
      <w:bookmarkEnd w:id="267"/>
    </w:p>
    <w:p w:rsidR="007D17C5" w:rsidRPr="00411C46" w:rsidRDefault="007D17C5" w:rsidP="007D17C5">
      <w:pPr>
        <w:pStyle w:val="Header"/>
      </w:pPr>
      <w:r w:rsidRPr="00411C46">
        <w:rPr>
          <w:rStyle w:val="CharDivNo"/>
        </w:rPr>
        <w:t xml:space="preserve"> </w:t>
      </w:r>
      <w:r w:rsidRPr="00411C46">
        <w:rPr>
          <w:rStyle w:val="CharDivText"/>
        </w:rPr>
        <w:t xml:space="preserve"> </w:t>
      </w:r>
    </w:p>
    <w:p w:rsidR="007D17C5" w:rsidRPr="002B1A95" w:rsidRDefault="007D17C5" w:rsidP="007D17C5">
      <w:pPr>
        <w:pStyle w:val="ActHead5"/>
      </w:pPr>
      <w:bookmarkStart w:id="268" w:name="_Toc49765441"/>
      <w:r w:rsidRPr="00411C46">
        <w:rPr>
          <w:rStyle w:val="CharSectno"/>
        </w:rPr>
        <w:t>3</w:t>
      </w:r>
      <w:r w:rsidRPr="002B1A95">
        <w:t xml:space="preserve">  Additional information for the purposes of paragraph 393</w:t>
      </w:r>
      <w:r w:rsidR="00782250">
        <w:noBreakHyphen/>
      </w:r>
      <w:r w:rsidRPr="002B1A95">
        <w:t>20.02(c)</w:t>
      </w:r>
      <w:bookmarkEnd w:id="268"/>
    </w:p>
    <w:p w:rsidR="007D17C5" w:rsidRPr="002B1A95" w:rsidRDefault="007D17C5" w:rsidP="007D17C5">
      <w:pPr>
        <w:pStyle w:val="subsection"/>
      </w:pPr>
      <w:r w:rsidRPr="002B1A95">
        <w:tab/>
        <w:t>(1)</w:t>
      </w:r>
      <w:r w:rsidRPr="002B1A95">
        <w:tab/>
        <w:t>For the purposes of paragraph 393</w:t>
      </w:r>
      <w:r w:rsidR="00782250">
        <w:noBreakHyphen/>
      </w:r>
      <w:r w:rsidRPr="002B1A95">
        <w:t xml:space="preserve">20.02(c), a form used to apply to an FMD provider to make a farm management deposit must include statements setting out the additional information referred to in </w:t>
      </w:r>
      <w:r w:rsidR="002B1A95" w:rsidRPr="002B1A95">
        <w:t>subclauses (</w:t>
      </w:r>
      <w:r w:rsidRPr="002B1A95">
        <w:t>2) to (8).</w:t>
      </w:r>
    </w:p>
    <w:p w:rsidR="007D17C5" w:rsidRPr="002B1A95" w:rsidRDefault="007D17C5" w:rsidP="007D17C5">
      <w:pPr>
        <w:pStyle w:val="subsection"/>
      </w:pPr>
      <w:r w:rsidRPr="002B1A95">
        <w:tab/>
        <w:t>(2)</w:t>
      </w:r>
      <w:r w:rsidRPr="002B1A95">
        <w:tab/>
        <w:t>The amount that is the minimum deposit threshold (the amount stated in item</w:t>
      </w:r>
      <w:r w:rsidR="002B1A95" w:rsidRPr="002B1A95">
        <w:t> </w:t>
      </w:r>
      <w:r w:rsidRPr="002B1A95">
        <w:t>4 of the table in section</w:t>
      </w:r>
      <w:r w:rsidR="002B1A95" w:rsidRPr="002B1A95">
        <w:t> </w:t>
      </w:r>
      <w:r w:rsidRPr="002B1A95">
        <w:t>393</w:t>
      </w:r>
      <w:r w:rsidR="00782250">
        <w:noBreakHyphen/>
      </w:r>
      <w:r w:rsidRPr="002B1A95">
        <w:t>35 of the Act).</w:t>
      </w:r>
    </w:p>
    <w:p w:rsidR="007D17C5" w:rsidRPr="002B1A95" w:rsidRDefault="007D17C5" w:rsidP="007D17C5">
      <w:pPr>
        <w:pStyle w:val="subsection"/>
      </w:pPr>
      <w:r w:rsidRPr="002B1A95">
        <w:tab/>
        <w:t>(3)</w:t>
      </w:r>
      <w:r w:rsidRPr="002B1A95">
        <w:tab/>
        <w:t>The amount that is the maximum deposit limit (the amount stated in item</w:t>
      </w:r>
      <w:r w:rsidR="002B1A95" w:rsidRPr="002B1A95">
        <w:t> </w:t>
      </w:r>
      <w:r w:rsidRPr="002B1A95">
        <w:t>10 of the table in section</w:t>
      </w:r>
      <w:r w:rsidR="002B1A95" w:rsidRPr="002B1A95">
        <w:t> </w:t>
      </w:r>
      <w:r w:rsidRPr="002B1A95">
        <w:t>393</w:t>
      </w:r>
      <w:r w:rsidR="00782250">
        <w:noBreakHyphen/>
      </w:r>
      <w:r w:rsidRPr="002B1A95">
        <w:t>35 of the Act).</w:t>
      </w:r>
    </w:p>
    <w:p w:rsidR="007D17C5" w:rsidRPr="002B1A95" w:rsidRDefault="007D17C5" w:rsidP="007D17C5">
      <w:pPr>
        <w:pStyle w:val="subsection"/>
      </w:pPr>
      <w:r w:rsidRPr="002B1A95">
        <w:tab/>
        <w:t>(4)</w:t>
      </w:r>
      <w:r w:rsidRPr="002B1A95">
        <w:tab/>
        <w:t>An individual can own more than one farm management deposit, and can own farm management deposits with different FMD providers, but the sum of the balances of all of the farm management deposits of an owner claimed as a deduction must not be more than the maximum deposit limit.</w:t>
      </w:r>
    </w:p>
    <w:p w:rsidR="007D17C5" w:rsidRPr="002B1A95" w:rsidRDefault="007D17C5" w:rsidP="007D17C5">
      <w:pPr>
        <w:pStyle w:val="subsection"/>
      </w:pPr>
      <w:r w:rsidRPr="002B1A95">
        <w:tab/>
        <w:t>(5)</w:t>
      </w:r>
      <w:r w:rsidRPr="002B1A95">
        <w:tab/>
        <w:t>The amount of any repayment of the deposit must be at least the amount stated in item</w:t>
      </w:r>
      <w:r w:rsidR="002B1A95" w:rsidRPr="002B1A95">
        <w:t> </w:t>
      </w:r>
      <w:r w:rsidRPr="002B1A95">
        <w:t>12 of the table in section</w:t>
      </w:r>
      <w:r w:rsidR="002B1A95" w:rsidRPr="002B1A95">
        <w:t> </w:t>
      </w:r>
      <w:r w:rsidRPr="002B1A95">
        <w:t>393</w:t>
      </w:r>
      <w:r w:rsidR="00782250">
        <w:noBreakHyphen/>
      </w:r>
      <w:r w:rsidRPr="002B1A95">
        <w:t>35 of the Act, except where the entire amount of the deposit is repaid.</w:t>
      </w:r>
    </w:p>
    <w:p w:rsidR="007D17C5" w:rsidRPr="002B1A95" w:rsidRDefault="007D17C5" w:rsidP="007D17C5">
      <w:pPr>
        <w:pStyle w:val="subsection"/>
      </w:pPr>
      <w:r w:rsidRPr="002B1A95">
        <w:tab/>
        <w:t>(6)</w:t>
      </w:r>
      <w:r w:rsidRPr="002B1A95">
        <w:tab/>
        <w:t>The deposit will not be deductible if taxable non</w:t>
      </w:r>
      <w:r w:rsidR="00782250">
        <w:noBreakHyphen/>
      </w:r>
      <w:r w:rsidRPr="002B1A95">
        <w:t>primary production income for the year of income exceeds the amount stated in paragraph</w:t>
      </w:r>
      <w:r w:rsidR="002B1A95" w:rsidRPr="002B1A95">
        <w:t> </w:t>
      </w:r>
      <w:r w:rsidRPr="002B1A95">
        <w:t>393</w:t>
      </w:r>
      <w:r w:rsidR="00782250">
        <w:noBreakHyphen/>
      </w:r>
      <w:r w:rsidRPr="002B1A95">
        <w:t>5(1)(d) of the Act.</w:t>
      </w:r>
    </w:p>
    <w:p w:rsidR="007D17C5" w:rsidRPr="002B1A95" w:rsidRDefault="007D17C5" w:rsidP="007D17C5">
      <w:pPr>
        <w:pStyle w:val="subsection"/>
      </w:pPr>
      <w:r w:rsidRPr="002B1A95">
        <w:tab/>
        <w:t>(7)</w:t>
      </w:r>
      <w:r w:rsidRPr="002B1A95">
        <w:tab/>
        <w:t>If neither the owner’s tax file number nor Australian Business Number has been quoted to the FMD provider, any repayment will be subject to the withholding rate, which is the sum of:</w:t>
      </w:r>
    </w:p>
    <w:p w:rsidR="007D17C5" w:rsidRPr="002B1A95" w:rsidRDefault="007D17C5" w:rsidP="007D17C5">
      <w:pPr>
        <w:pStyle w:val="paragraph"/>
      </w:pPr>
      <w:r w:rsidRPr="002B1A95">
        <w:tab/>
        <w:t>(a)</w:t>
      </w:r>
      <w:r w:rsidRPr="002B1A95">
        <w:tab/>
        <w:t>the top marginal tax rate for the income year in the year of deposit; and</w:t>
      </w:r>
    </w:p>
    <w:p w:rsidR="007D17C5" w:rsidRPr="002B1A95" w:rsidRDefault="007D17C5" w:rsidP="007D17C5">
      <w:pPr>
        <w:pStyle w:val="paragraph"/>
      </w:pPr>
      <w:r w:rsidRPr="002B1A95">
        <w:tab/>
        <w:t>(b)</w:t>
      </w:r>
      <w:r w:rsidRPr="002B1A95">
        <w:tab/>
        <w:t>the Medicare levy.</w:t>
      </w:r>
    </w:p>
    <w:p w:rsidR="007D17C5" w:rsidRPr="002B1A95" w:rsidRDefault="007D17C5" w:rsidP="007D17C5">
      <w:pPr>
        <w:pStyle w:val="notetext"/>
      </w:pPr>
      <w:r w:rsidRPr="002B1A95">
        <w:t>Note 1:</w:t>
      </w:r>
      <w:r w:rsidRPr="002B1A95">
        <w:tab/>
        <w:t>The top marginal tax rate is the maximum rate specified in the table in Part</w:t>
      </w:r>
      <w:r w:rsidR="002B1A95" w:rsidRPr="002B1A95">
        <w:t> </w:t>
      </w:r>
      <w:r w:rsidRPr="002B1A95">
        <w:t>I of Schedule</w:t>
      </w:r>
      <w:r w:rsidR="002B1A95" w:rsidRPr="002B1A95">
        <w:t> </w:t>
      </w:r>
      <w:r w:rsidRPr="002B1A95">
        <w:t xml:space="preserve">7 to the </w:t>
      </w:r>
      <w:r w:rsidRPr="002B1A95">
        <w:rPr>
          <w:i/>
        </w:rPr>
        <w:t>Income Tax Rates Act 1986</w:t>
      </w:r>
      <w:r w:rsidRPr="002B1A95">
        <w:t xml:space="preserve"> that relates to the income year.</w:t>
      </w:r>
    </w:p>
    <w:p w:rsidR="007D17C5" w:rsidRPr="002B1A95" w:rsidRDefault="007D17C5" w:rsidP="007D17C5">
      <w:pPr>
        <w:pStyle w:val="notetext"/>
      </w:pPr>
      <w:r w:rsidRPr="002B1A95">
        <w:t>Note 2:</w:t>
      </w:r>
      <w:r w:rsidRPr="002B1A95">
        <w:tab/>
        <w:t>The Medicare levy is specified in subsection</w:t>
      </w:r>
      <w:r w:rsidR="002B1A95" w:rsidRPr="002B1A95">
        <w:t> </w:t>
      </w:r>
      <w:r w:rsidRPr="002B1A95">
        <w:t xml:space="preserve">6(1) of the </w:t>
      </w:r>
      <w:r w:rsidRPr="002B1A95">
        <w:rPr>
          <w:i/>
        </w:rPr>
        <w:t>Medicare Levy Act 1986</w:t>
      </w:r>
      <w:r w:rsidRPr="002B1A95">
        <w:t>.</w:t>
      </w:r>
    </w:p>
    <w:p w:rsidR="007D17C5" w:rsidRPr="002B1A95" w:rsidRDefault="007D17C5" w:rsidP="007D17C5">
      <w:pPr>
        <w:pStyle w:val="subsection"/>
      </w:pPr>
      <w:r w:rsidRPr="002B1A95">
        <w:tab/>
        <w:t>(8)</w:t>
      </w:r>
      <w:r w:rsidRPr="002B1A95">
        <w:tab/>
        <w:t>If the deposit is used to offset a liability to pay interest on debts to the FMD provider that do not wholly relate to a primary production business that the owner (or a partnership of which the owner is a partner) carries on, the owner is liable to an administrative penalty of up to 200% of that offset.</w:t>
      </w:r>
    </w:p>
    <w:p w:rsidR="007D17C5" w:rsidRPr="002B1A95" w:rsidRDefault="007D17C5" w:rsidP="007D17C5">
      <w:pPr>
        <w:pStyle w:val="ActHead1"/>
        <w:pageBreakBefore/>
      </w:pPr>
      <w:bookmarkStart w:id="269" w:name="_Toc49765442"/>
      <w:r w:rsidRPr="00411C46">
        <w:rPr>
          <w:rStyle w:val="CharChapNo"/>
        </w:rPr>
        <w:lastRenderedPageBreak/>
        <w:t>Schedule</w:t>
      </w:r>
      <w:r w:rsidR="002B1A95" w:rsidRPr="00411C46">
        <w:rPr>
          <w:rStyle w:val="CharChapNo"/>
        </w:rPr>
        <w:t> </w:t>
      </w:r>
      <w:r w:rsidRPr="00411C46">
        <w:rPr>
          <w:rStyle w:val="CharChapNo"/>
        </w:rPr>
        <w:t>2</w:t>
      </w:r>
      <w:r w:rsidRPr="002B1A95">
        <w:t>—</w:t>
      </w:r>
      <w:r w:rsidRPr="00411C46">
        <w:rPr>
          <w:rStyle w:val="CharChapText"/>
        </w:rPr>
        <w:t>Translation of currency amounts—rules and other requirements</w:t>
      </w:r>
      <w:bookmarkEnd w:id="269"/>
    </w:p>
    <w:p w:rsidR="007D17C5" w:rsidRPr="002B1A95" w:rsidRDefault="007D17C5" w:rsidP="007D17C5">
      <w:pPr>
        <w:pStyle w:val="notemargin"/>
        <w:rPr>
          <w:color w:val="000000"/>
        </w:rPr>
      </w:pPr>
      <w:r w:rsidRPr="002B1A95">
        <w:t>Note:</w:t>
      </w:r>
      <w:r w:rsidRPr="002B1A95">
        <w:rPr>
          <w:color w:val="000000"/>
        </w:rPr>
        <w:tab/>
        <w:t>See item</w:t>
      </w:r>
      <w:r w:rsidR="002B1A95" w:rsidRPr="002B1A95">
        <w:rPr>
          <w:color w:val="000000"/>
        </w:rPr>
        <w:t> </w:t>
      </w:r>
      <w:r w:rsidRPr="002B1A95">
        <w:rPr>
          <w:color w:val="000000"/>
        </w:rPr>
        <w:t>12 of the table in subsection</w:t>
      </w:r>
      <w:r w:rsidR="002B1A95" w:rsidRPr="002B1A95">
        <w:rPr>
          <w:color w:val="000000"/>
        </w:rPr>
        <w:t> </w:t>
      </w:r>
      <w:r w:rsidRPr="002B1A95">
        <w:rPr>
          <w:color w:val="000000"/>
        </w:rPr>
        <w:t>960</w:t>
      </w:r>
      <w:r w:rsidR="00782250">
        <w:rPr>
          <w:color w:val="000000"/>
        </w:rPr>
        <w:noBreakHyphen/>
      </w:r>
      <w:r w:rsidRPr="002B1A95">
        <w:rPr>
          <w:color w:val="000000"/>
        </w:rPr>
        <w:t>50(6) of the Act, as modified, and section 960</w:t>
      </w:r>
      <w:r w:rsidR="00782250">
        <w:rPr>
          <w:color w:val="000000"/>
        </w:rPr>
        <w:noBreakHyphen/>
      </w:r>
      <w:r w:rsidRPr="002B1A95">
        <w:rPr>
          <w:color w:val="000000"/>
        </w:rPr>
        <w:t>50.01 of this instrument.</w:t>
      </w:r>
    </w:p>
    <w:p w:rsidR="007D17C5" w:rsidRPr="002B1A95" w:rsidRDefault="007D17C5" w:rsidP="007D17C5">
      <w:pPr>
        <w:pStyle w:val="ActHead2"/>
      </w:pPr>
      <w:bookmarkStart w:id="270" w:name="_Toc49765443"/>
      <w:r w:rsidRPr="00411C46">
        <w:rPr>
          <w:rStyle w:val="CharPartNo"/>
        </w:rPr>
        <w:t>Part</w:t>
      </w:r>
      <w:r w:rsidR="002B1A95" w:rsidRPr="00411C46">
        <w:rPr>
          <w:rStyle w:val="CharPartNo"/>
        </w:rPr>
        <w:t> </w:t>
      </w:r>
      <w:r w:rsidRPr="00411C46">
        <w:rPr>
          <w:rStyle w:val="CharPartNo"/>
        </w:rPr>
        <w:t>1</w:t>
      </w:r>
      <w:r w:rsidRPr="002B1A95">
        <w:t>—</w:t>
      </w:r>
      <w:r w:rsidRPr="00411C46">
        <w:rPr>
          <w:rStyle w:val="CharPartText"/>
        </w:rPr>
        <w:t>Rules and requirements for item</w:t>
      </w:r>
      <w:r w:rsidR="002B1A95" w:rsidRPr="00411C46">
        <w:rPr>
          <w:rStyle w:val="CharPartText"/>
        </w:rPr>
        <w:t> </w:t>
      </w:r>
      <w:r w:rsidRPr="00411C46">
        <w:rPr>
          <w:rStyle w:val="CharPartText"/>
        </w:rPr>
        <w:t>12 of the table in subsection</w:t>
      </w:r>
      <w:r w:rsidR="002B1A95" w:rsidRPr="00411C46">
        <w:rPr>
          <w:rStyle w:val="CharPartText"/>
        </w:rPr>
        <w:t> </w:t>
      </w:r>
      <w:r w:rsidRPr="00411C46">
        <w:rPr>
          <w:rStyle w:val="CharPartText"/>
        </w:rPr>
        <w:t>960</w:t>
      </w:r>
      <w:r w:rsidR="00782250" w:rsidRPr="00411C46">
        <w:rPr>
          <w:rStyle w:val="CharPartText"/>
        </w:rPr>
        <w:noBreakHyphen/>
      </w:r>
      <w:r w:rsidRPr="00411C46">
        <w:rPr>
          <w:rStyle w:val="CharPartText"/>
        </w:rPr>
        <w:t>50(6) of the Act</w:t>
      </w:r>
      <w:bookmarkEnd w:id="270"/>
    </w:p>
    <w:p w:rsidR="007D17C5" w:rsidRPr="00411C46" w:rsidRDefault="007D17C5" w:rsidP="007D17C5">
      <w:pPr>
        <w:pStyle w:val="Header"/>
      </w:pPr>
      <w:r w:rsidRPr="00411C46">
        <w:rPr>
          <w:rStyle w:val="CharDivNo"/>
        </w:rPr>
        <w:t xml:space="preserve"> </w:t>
      </w:r>
      <w:r w:rsidRPr="00411C46">
        <w:rPr>
          <w:rStyle w:val="CharDivText"/>
        </w:rPr>
        <w:t xml:space="preserve"> </w:t>
      </w:r>
    </w:p>
    <w:p w:rsidR="007D17C5" w:rsidRPr="002B1A95" w:rsidRDefault="007D17C5" w:rsidP="007D17C5">
      <w:pPr>
        <w:pStyle w:val="ActHead5"/>
      </w:pPr>
      <w:bookmarkStart w:id="271" w:name="_Toc49765444"/>
      <w:r w:rsidRPr="00411C46">
        <w:rPr>
          <w:rStyle w:val="CharSectno"/>
        </w:rPr>
        <w:t>1</w:t>
      </w:r>
      <w:r w:rsidRPr="002B1A95">
        <w:t xml:space="preserve">  Exchange rate—consistency with accounting standards used by entity</w:t>
      </w:r>
      <w:bookmarkEnd w:id="271"/>
    </w:p>
    <w:p w:rsidR="007D17C5" w:rsidRPr="002B1A95" w:rsidRDefault="007D17C5" w:rsidP="007D17C5">
      <w:pPr>
        <w:pStyle w:val="subsection"/>
      </w:pPr>
      <w:r w:rsidRPr="002B1A95">
        <w:tab/>
      </w:r>
      <w:r w:rsidRPr="002B1A95">
        <w:tab/>
        <w:t>For the purposes of item</w:t>
      </w:r>
      <w:r w:rsidR="002B1A95" w:rsidRPr="002B1A95">
        <w:t> </w:t>
      </w:r>
      <w:r w:rsidRPr="002B1A95">
        <w:t>12 of the table in subsection</w:t>
      </w:r>
      <w:r w:rsidR="002B1A95" w:rsidRPr="002B1A95">
        <w:t> </w:t>
      </w:r>
      <w:r w:rsidRPr="002B1A95">
        <w:t>960</w:t>
      </w:r>
      <w:r w:rsidR="00782250">
        <w:noBreakHyphen/>
      </w:r>
      <w:r w:rsidRPr="002B1A95">
        <w:t xml:space="preserve">50(6) of the Act, as modified by </w:t>
      </w:r>
      <w:r w:rsidRPr="002B1A95">
        <w:rPr>
          <w:color w:val="000000"/>
        </w:rPr>
        <w:t>subsection 960</w:t>
      </w:r>
      <w:r w:rsidR="00782250">
        <w:rPr>
          <w:color w:val="000000"/>
        </w:rPr>
        <w:noBreakHyphen/>
      </w:r>
      <w:r w:rsidRPr="002B1A95">
        <w:rPr>
          <w:color w:val="000000"/>
        </w:rPr>
        <w:t>50.01(2) of this instrument</w:t>
      </w:r>
      <w:r w:rsidRPr="002B1A95">
        <w:t>, if:</w:t>
      </w:r>
    </w:p>
    <w:p w:rsidR="007D17C5" w:rsidRPr="002B1A95" w:rsidRDefault="007D17C5" w:rsidP="007D17C5">
      <w:pPr>
        <w:pStyle w:val="paragraph"/>
      </w:pPr>
      <w:r w:rsidRPr="002B1A95">
        <w:tab/>
        <w:t>(a)</w:t>
      </w:r>
      <w:r w:rsidRPr="002B1A95">
        <w:tab/>
        <w:t xml:space="preserve">a financial report (within the meaning of the </w:t>
      </w:r>
      <w:r w:rsidRPr="002B1A95">
        <w:rPr>
          <w:i/>
        </w:rPr>
        <w:t>Corporations Act 2001</w:t>
      </w:r>
      <w:r w:rsidRPr="002B1A95">
        <w:t>) prepared by an entity:</w:t>
      </w:r>
    </w:p>
    <w:p w:rsidR="007D17C5" w:rsidRPr="002B1A95" w:rsidRDefault="007D17C5" w:rsidP="007D17C5">
      <w:pPr>
        <w:pStyle w:val="paragraphsub"/>
      </w:pPr>
      <w:r w:rsidRPr="002B1A95">
        <w:rPr>
          <w:color w:val="000000"/>
        </w:rPr>
        <w:tab/>
        <w:t>(i)</w:t>
      </w:r>
      <w:r w:rsidRPr="002B1A95">
        <w:rPr>
          <w:color w:val="000000"/>
        </w:rPr>
        <w:tab/>
        <w:t xml:space="preserve">complies with the accounting standards under the </w:t>
      </w:r>
      <w:r w:rsidRPr="002B1A95">
        <w:rPr>
          <w:i/>
          <w:color w:val="000000"/>
        </w:rPr>
        <w:t>Corporations Act 2001</w:t>
      </w:r>
      <w:r w:rsidRPr="002B1A95">
        <w:rPr>
          <w:color w:val="000000"/>
        </w:rPr>
        <w:t>; and</w:t>
      </w:r>
    </w:p>
    <w:p w:rsidR="007D17C5" w:rsidRPr="002B1A95" w:rsidRDefault="007D17C5" w:rsidP="007D17C5">
      <w:pPr>
        <w:pStyle w:val="paragraphsub"/>
      </w:pPr>
      <w:r w:rsidRPr="002B1A95">
        <w:tab/>
        <w:t>(ii)</w:t>
      </w:r>
      <w:r w:rsidRPr="002B1A95">
        <w:tab/>
        <w:t>translates amounts into Australian currency using particular exchange rates; and</w:t>
      </w:r>
    </w:p>
    <w:p w:rsidR="007D17C5" w:rsidRPr="002B1A95" w:rsidRDefault="007D17C5" w:rsidP="007D17C5">
      <w:pPr>
        <w:pStyle w:val="paragraphsub"/>
      </w:pPr>
      <w:r w:rsidRPr="002B1A95">
        <w:tab/>
        <w:t>(iii)</w:t>
      </w:r>
      <w:r w:rsidRPr="002B1A95">
        <w:tab/>
        <w:t xml:space="preserve">has been audited in accordance with the </w:t>
      </w:r>
      <w:r w:rsidRPr="002B1A95">
        <w:rPr>
          <w:i/>
        </w:rPr>
        <w:t>Corporations Act 2001</w:t>
      </w:r>
      <w:r w:rsidRPr="002B1A95">
        <w:t>; and</w:t>
      </w:r>
    </w:p>
    <w:p w:rsidR="007D17C5" w:rsidRPr="002B1A95" w:rsidRDefault="007D17C5" w:rsidP="007D17C5">
      <w:pPr>
        <w:pStyle w:val="paragraph"/>
      </w:pPr>
      <w:r w:rsidRPr="002B1A95">
        <w:rPr>
          <w:color w:val="000000"/>
        </w:rPr>
        <w:tab/>
        <w:t>(b)</w:t>
      </w:r>
      <w:r w:rsidRPr="002B1A95">
        <w:rPr>
          <w:color w:val="000000"/>
        </w:rPr>
        <w:tab/>
        <w:t>the entity, or another entity, wishes to translate an amount into Australian currency in accordance with that item, using the exchange rate used in that financial report to translate a corresponding amount;</w:t>
      </w:r>
    </w:p>
    <w:p w:rsidR="007D17C5" w:rsidRPr="002B1A95" w:rsidRDefault="007D17C5" w:rsidP="007D17C5">
      <w:pPr>
        <w:pStyle w:val="subsection2"/>
      </w:pPr>
      <w:r w:rsidRPr="002B1A95">
        <w:rPr>
          <w:color w:val="000000"/>
        </w:rPr>
        <w:t xml:space="preserve">the entity mentioned in </w:t>
      </w:r>
      <w:r w:rsidR="002B1A95" w:rsidRPr="002B1A95">
        <w:rPr>
          <w:color w:val="000000"/>
        </w:rPr>
        <w:t>paragraph (</w:t>
      </w:r>
      <w:r w:rsidRPr="002B1A95">
        <w:rPr>
          <w:color w:val="000000"/>
        </w:rPr>
        <w:t>b) must translate all amounts into Australian currency using the exchange rates that were used in that financial report to translate corresponding amounts.</w:t>
      </w:r>
    </w:p>
    <w:p w:rsidR="007D17C5" w:rsidRPr="002B1A95" w:rsidRDefault="007D17C5" w:rsidP="007D17C5">
      <w:pPr>
        <w:pStyle w:val="ActHead5"/>
      </w:pPr>
      <w:bookmarkStart w:id="272" w:name="_Toc49765445"/>
      <w:r w:rsidRPr="00411C46">
        <w:rPr>
          <w:rStyle w:val="CharSectno"/>
        </w:rPr>
        <w:t>2</w:t>
      </w:r>
      <w:r w:rsidRPr="002B1A95">
        <w:t xml:space="preserve">  Choice of daily exchange rate</w:t>
      </w:r>
      <w:bookmarkEnd w:id="272"/>
    </w:p>
    <w:p w:rsidR="007D17C5" w:rsidRPr="002B1A95" w:rsidRDefault="007D17C5" w:rsidP="007D17C5">
      <w:pPr>
        <w:pStyle w:val="subsection"/>
      </w:pPr>
      <w:r w:rsidRPr="002B1A95">
        <w:rPr>
          <w:color w:val="000000"/>
        </w:rPr>
        <w:tab/>
        <w:t>(1)</w:t>
      </w:r>
      <w:r w:rsidRPr="002B1A95">
        <w:rPr>
          <w:color w:val="000000"/>
        </w:rPr>
        <w:tab/>
        <w:t xml:space="preserve">For </w:t>
      </w:r>
      <w:r w:rsidRPr="002B1A95">
        <w:t xml:space="preserve">the purposes of </w:t>
      </w:r>
      <w:r w:rsidRPr="002B1A95">
        <w:rPr>
          <w:color w:val="000000"/>
        </w:rPr>
        <w:t>item</w:t>
      </w:r>
      <w:r w:rsidR="002B1A95" w:rsidRPr="002B1A95">
        <w:rPr>
          <w:color w:val="000000"/>
        </w:rPr>
        <w:t> </w:t>
      </w:r>
      <w:r w:rsidRPr="002B1A95">
        <w:rPr>
          <w:color w:val="000000"/>
        </w:rPr>
        <w:t>12 of the table in subsection</w:t>
      </w:r>
      <w:r w:rsidR="002B1A95" w:rsidRPr="002B1A95">
        <w:rPr>
          <w:color w:val="000000"/>
        </w:rPr>
        <w:t> </w:t>
      </w:r>
      <w:r w:rsidRPr="002B1A95">
        <w:rPr>
          <w:color w:val="000000"/>
        </w:rPr>
        <w:t>960</w:t>
      </w:r>
      <w:r w:rsidR="00782250">
        <w:rPr>
          <w:color w:val="000000"/>
        </w:rPr>
        <w:noBreakHyphen/>
      </w:r>
      <w:r w:rsidRPr="002B1A95">
        <w:rPr>
          <w:color w:val="000000"/>
        </w:rPr>
        <w:t xml:space="preserve">50(6) of the Act, as modified </w:t>
      </w:r>
      <w:r w:rsidRPr="002B1A95">
        <w:t xml:space="preserve">by </w:t>
      </w:r>
      <w:r w:rsidRPr="002B1A95">
        <w:rPr>
          <w:color w:val="000000"/>
        </w:rPr>
        <w:t>subsection 960</w:t>
      </w:r>
      <w:r w:rsidR="00782250">
        <w:rPr>
          <w:color w:val="000000"/>
        </w:rPr>
        <w:noBreakHyphen/>
      </w:r>
      <w:r w:rsidRPr="002B1A95">
        <w:rPr>
          <w:color w:val="000000"/>
        </w:rPr>
        <w:t xml:space="preserve">50.01(2) of this instrument, an entity may translate all amounts of a particular currency, relating to a particular day, into Australian currency using an exchange rate that is applicable at a time, on that day, chosen by the entity (a </w:t>
      </w:r>
      <w:r w:rsidRPr="002B1A95">
        <w:rPr>
          <w:b/>
          <w:i/>
          <w:color w:val="000000"/>
        </w:rPr>
        <w:t>daily exchange rate</w:t>
      </w:r>
      <w:r w:rsidRPr="002B1A95">
        <w:rPr>
          <w:color w:val="000000"/>
        </w:rPr>
        <w:t>).</w:t>
      </w:r>
    </w:p>
    <w:p w:rsidR="007D17C5" w:rsidRPr="002B1A95" w:rsidRDefault="007D17C5" w:rsidP="007D17C5">
      <w:pPr>
        <w:pStyle w:val="subsection"/>
      </w:pPr>
      <w:r w:rsidRPr="002B1A95">
        <w:rPr>
          <w:color w:val="000000"/>
        </w:rPr>
        <w:tab/>
        <w:t>(2)</w:t>
      </w:r>
      <w:r w:rsidRPr="002B1A95">
        <w:rPr>
          <w:color w:val="000000"/>
        </w:rPr>
        <w:tab/>
        <w:t>If the entity chooses a daily exchange rate relating to a particular day, the entity must choose a daily exchange rate relating to each subsequent day in the income year using the same time of the day as the time to which the first daily exchange rate related.</w:t>
      </w:r>
    </w:p>
    <w:p w:rsidR="007D17C5" w:rsidRPr="002B1A95" w:rsidRDefault="007D17C5" w:rsidP="007D17C5">
      <w:pPr>
        <w:pStyle w:val="subsection"/>
      </w:pPr>
      <w:r w:rsidRPr="002B1A95">
        <w:tab/>
        <w:t>(3)</w:t>
      </w:r>
      <w:r w:rsidRPr="002B1A95">
        <w:tab/>
        <w:t>However:</w:t>
      </w:r>
    </w:p>
    <w:p w:rsidR="007D17C5" w:rsidRPr="002B1A95" w:rsidRDefault="007D17C5" w:rsidP="007D17C5">
      <w:pPr>
        <w:pStyle w:val="paragraph"/>
      </w:pPr>
      <w:r w:rsidRPr="002B1A95">
        <w:rPr>
          <w:color w:val="000000"/>
        </w:rPr>
        <w:tab/>
        <w:t>(a)</w:t>
      </w:r>
      <w:r w:rsidRPr="002B1A95">
        <w:rPr>
          <w:color w:val="000000"/>
        </w:rPr>
        <w:tab/>
        <w:t>the entity is not permitted to translate amounts using a daily exchange rate if the use of the rate would not be appropriate having regard to the entity’s business or activities; and</w:t>
      </w:r>
    </w:p>
    <w:p w:rsidR="007D17C5" w:rsidRPr="002B1A95" w:rsidRDefault="007D17C5" w:rsidP="007D17C5">
      <w:pPr>
        <w:pStyle w:val="paragraph"/>
      </w:pPr>
      <w:r w:rsidRPr="002B1A95">
        <w:tab/>
        <w:t>(b)</w:t>
      </w:r>
      <w:r w:rsidRPr="002B1A95">
        <w:tab/>
        <w:t>the entity must obtain the rate from a source that is not an associate of the entity, and not the entity itself, unless the Commissioner notifies the entity that it may obtain the rate from one or more specified sources; and</w:t>
      </w:r>
    </w:p>
    <w:p w:rsidR="007D17C5" w:rsidRPr="002B1A95" w:rsidRDefault="007D17C5" w:rsidP="007D17C5">
      <w:pPr>
        <w:pStyle w:val="paragraph"/>
      </w:pPr>
      <w:r w:rsidRPr="002B1A95">
        <w:lastRenderedPageBreak/>
        <w:tab/>
        <w:t>(c)</w:t>
      </w:r>
      <w:r w:rsidRPr="002B1A95">
        <w:tab/>
        <w:t>the entity must translate amounts relating to the relevant day using that rate.</w:t>
      </w:r>
    </w:p>
    <w:p w:rsidR="007D17C5" w:rsidRPr="002B1A95" w:rsidRDefault="007D17C5" w:rsidP="007D17C5">
      <w:pPr>
        <w:pStyle w:val="notetext"/>
      </w:pPr>
      <w:r w:rsidRPr="002B1A95">
        <w:t>Example</w:t>
      </w:r>
      <w:r w:rsidRPr="002B1A95">
        <w:rPr>
          <w:i/>
        </w:rPr>
        <w:t>:</w:t>
      </w:r>
      <w:r w:rsidRPr="002B1A95">
        <w:rPr>
          <w:i/>
        </w:rPr>
        <w:tab/>
      </w:r>
      <w:r w:rsidRPr="002B1A95">
        <w:rPr>
          <w:color w:val="000000"/>
        </w:rPr>
        <w:t>If an entity is a trader that takes currency positions as part of its business, the use of a single exchange rate for its activities on a day would not be appropriate having regard to its business.</w:t>
      </w:r>
    </w:p>
    <w:p w:rsidR="007D17C5" w:rsidRPr="002B1A95" w:rsidRDefault="007D17C5" w:rsidP="007D17C5">
      <w:pPr>
        <w:pStyle w:val="notetext"/>
      </w:pPr>
      <w:r w:rsidRPr="002B1A95">
        <w:rPr>
          <w:color w:val="000000"/>
        </w:rPr>
        <w:t>Note:</w:t>
      </w:r>
      <w:r w:rsidRPr="002B1A95">
        <w:rPr>
          <w:color w:val="000000"/>
        </w:rPr>
        <w:tab/>
        <w:t xml:space="preserve">For </w:t>
      </w:r>
      <w:r w:rsidRPr="002B1A95">
        <w:rPr>
          <w:b/>
          <w:i/>
          <w:color w:val="000000"/>
        </w:rPr>
        <w:t>associate</w:t>
      </w:r>
      <w:r w:rsidRPr="002B1A95">
        <w:rPr>
          <w:color w:val="000000"/>
        </w:rPr>
        <w:t>, see subsection</w:t>
      </w:r>
      <w:r w:rsidR="002B1A95" w:rsidRPr="002B1A95">
        <w:rPr>
          <w:color w:val="000000"/>
        </w:rPr>
        <w:t> </w:t>
      </w:r>
      <w:r w:rsidRPr="002B1A95">
        <w:rPr>
          <w:color w:val="000000"/>
        </w:rPr>
        <w:t>995</w:t>
      </w:r>
      <w:r w:rsidR="00782250">
        <w:rPr>
          <w:color w:val="000000"/>
        </w:rPr>
        <w:noBreakHyphen/>
      </w:r>
      <w:r w:rsidRPr="002B1A95">
        <w:rPr>
          <w:color w:val="000000"/>
        </w:rPr>
        <w:t>1(1) of the Act.</w:t>
      </w:r>
    </w:p>
    <w:p w:rsidR="007D17C5" w:rsidRPr="002B1A95" w:rsidRDefault="007D17C5" w:rsidP="007D17C5">
      <w:pPr>
        <w:pStyle w:val="ActHead5"/>
      </w:pPr>
      <w:bookmarkStart w:id="273" w:name="_Toc49765446"/>
      <w:r w:rsidRPr="00411C46">
        <w:rPr>
          <w:rStyle w:val="CharSectno"/>
        </w:rPr>
        <w:t>3</w:t>
      </w:r>
      <w:r w:rsidRPr="002B1A95">
        <w:t xml:space="preserve">  Choice of average exchange rate</w:t>
      </w:r>
      <w:bookmarkEnd w:id="273"/>
    </w:p>
    <w:p w:rsidR="007D17C5" w:rsidRPr="002B1A95" w:rsidRDefault="007D17C5" w:rsidP="007D17C5">
      <w:pPr>
        <w:pStyle w:val="subsection"/>
      </w:pPr>
      <w:r w:rsidRPr="002B1A95">
        <w:rPr>
          <w:color w:val="000000"/>
        </w:rPr>
        <w:tab/>
        <w:t>(1)</w:t>
      </w:r>
      <w:r w:rsidRPr="002B1A95">
        <w:rPr>
          <w:color w:val="000000"/>
        </w:rPr>
        <w:tab/>
        <w:t xml:space="preserve">For </w:t>
      </w:r>
      <w:r w:rsidRPr="002B1A95">
        <w:t xml:space="preserve">the purposes of </w:t>
      </w:r>
      <w:r w:rsidRPr="002B1A95">
        <w:rPr>
          <w:color w:val="000000"/>
        </w:rPr>
        <w:t>item</w:t>
      </w:r>
      <w:r w:rsidR="002B1A95" w:rsidRPr="002B1A95">
        <w:rPr>
          <w:color w:val="000000"/>
        </w:rPr>
        <w:t> </w:t>
      </w:r>
      <w:r w:rsidRPr="002B1A95">
        <w:rPr>
          <w:color w:val="000000"/>
        </w:rPr>
        <w:t>12 of the table in subsection</w:t>
      </w:r>
      <w:r w:rsidR="002B1A95" w:rsidRPr="002B1A95">
        <w:rPr>
          <w:color w:val="000000"/>
        </w:rPr>
        <w:t> </w:t>
      </w:r>
      <w:r w:rsidRPr="002B1A95">
        <w:rPr>
          <w:color w:val="000000"/>
        </w:rPr>
        <w:t>960</w:t>
      </w:r>
      <w:r w:rsidR="00782250">
        <w:rPr>
          <w:color w:val="000000"/>
        </w:rPr>
        <w:noBreakHyphen/>
      </w:r>
      <w:r w:rsidRPr="002B1A95">
        <w:rPr>
          <w:color w:val="000000"/>
        </w:rPr>
        <w:t xml:space="preserve">50(6) of the Act, as modified </w:t>
      </w:r>
      <w:r w:rsidRPr="002B1A95">
        <w:t xml:space="preserve">by </w:t>
      </w:r>
      <w:r w:rsidRPr="002B1A95">
        <w:rPr>
          <w:color w:val="000000"/>
        </w:rPr>
        <w:t>subsection 960</w:t>
      </w:r>
      <w:r w:rsidR="00782250">
        <w:rPr>
          <w:color w:val="000000"/>
        </w:rPr>
        <w:noBreakHyphen/>
      </w:r>
      <w:r w:rsidRPr="002B1A95">
        <w:rPr>
          <w:color w:val="000000"/>
        </w:rPr>
        <w:t xml:space="preserve">50.01(2) of this instrument, an entity may, in a period, translate an amount into Australian currency using an exchange rate that is an average of all of the exchange rates that are applicable during a period, not exceeding 12 months, that is chosen by the entity (an </w:t>
      </w:r>
      <w:r w:rsidRPr="002B1A95">
        <w:rPr>
          <w:b/>
          <w:i/>
          <w:color w:val="000000"/>
        </w:rPr>
        <w:t>average exchange rate</w:t>
      </w:r>
      <w:r w:rsidRPr="002B1A95">
        <w:rPr>
          <w:color w:val="000000"/>
        </w:rPr>
        <w:t>).</w:t>
      </w:r>
    </w:p>
    <w:p w:rsidR="007D17C5" w:rsidRPr="002B1A95" w:rsidRDefault="007D17C5" w:rsidP="007D17C5">
      <w:pPr>
        <w:pStyle w:val="subsection"/>
      </w:pPr>
      <w:r w:rsidRPr="002B1A95">
        <w:tab/>
        <w:t>(2)</w:t>
      </w:r>
      <w:r w:rsidRPr="002B1A95">
        <w:tab/>
        <w:t>However:</w:t>
      </w:r>
    </w:p>
    <w:p w:rsidR="007D17C5" w:rsidRPr="002B1A95" w:rsidRDefault="007D17C5" w:rsidP="007D17C5">
      <w:pPr>
        <w:pStyle w:val="paragraph"/>
      </w:pPr>
      <w:r w:rsidRPr="002B1A95">
        <w:rPr>
          <w:color w:val="000000"/>
        </w:rPr>
        <w:tab/>
        <w:t>(a)</w:t>
      </w:r>
      <w:r w:rsidRPr="002B1A95">
        <w:rPr>
          <w:color w:val="000000"/>
        </w:rPr>
        <w:tab/>
        <w:t>the entity is not permitted to translate an amount using an average exchange rate unless it appears to the entity on reasonable grounds that the rate would be a reasonable approximation of the exchange rate or rates that the entity would have used if the entity had used the exchange rate required by another appropriate item of the table in subsection</w:t>
      </w:r>
      <w:r w:rsidR="002B1A95" w:rsidRPr="002B1A95">
        <w:rPr>
          <w:color w:val="000000"/>
        </w:rPr>
        <w:t> </w:t>
      </w:r>
      <w:r w:rsidRPr="002B1A95">
        <w:rPr>
          <w:color w:val="000000"/>
        </w:rPr>
        <w:t>960</w:t>
      </w:r>
      <w:r w:rsidR="00782250">
        <w:rPr>
          <w:color w:val="000000"/>
        </w:rPr>
        <w:noBreakHyphen/>
      </w:r>
      <w:r w:rsidRPr="002B1A95">
        <w:rPr>
          <w:color w:val="000000"/>
        </w:rPr>
        <w:t>50(6) of the Act; and</w:t>
      </w:r>
    </w:p>
    <w:p w:rsidR="007D17C5" w:rsidRPr="002B1A95" w:rsidRDefault="007D17C5" w:rsidP="007D17C5">
      <w:pPr>
        <w:pStyle w:val="paragraph"/>
      </w:pPr>
      <w:r w:rsidRPr="002B1A95">
        <w:tab/>
        <w:t>(b)</w:t>
      </w:r>
      <w:r w:rsidRPr="002B1A95">
        <w:tab/>
        <w:t>the entity must obtain:</w:t>
      </w:r>
    </w:p>
    <w:p w:rsidR="007D17C5" w:rsidRPr="002B1A95" w:rsidRDefault="007D17C5" w:rsidP="007D17C5">
      <w:pPr>
        <w:pStyle w:val="paragraphsub"/>
      </w:pPr>
      <w:r w:rsidRPr="002B1A95">
        <w:rPr>
          <w:color w:val="000000"/>
        </w:rPr>
        <w:tab/>
        <w:t>(i)</w:t>
      </w:r>
      <w:r w:rsidRPr="002B1A95">
        <w:rPr>
          <w:color w:val="000000"/>
        </w:rPr>
        <w:tab/>
        <w:t>all of the exchange rates that it will use to work out the average exchange rate; or</w:t>
      </w:r>
    </w:p>
    <w:p w:rsidR="007D17C5" w:rsidRPr="002B1A95" w:rsidRDefault="007D17C5" w:rsidP="007D17C5">
      <w:pPr>
        <w:pStyle w:val="paragraphsub"/>
      </w:pPr>
      <w:r w:rsidRPr="002B1A95">
        <w:tab/>
        <w:t>(ii)</w:t>
      </w:r>
      <w:r w:rsidRPr="002B1A95">
        <w:tab/>
        <w:t>an average exchange rate that has been worked out for a particular period;</w:t>
      </w:r>
    </w:p>
    <w:p w:rsidR="007D17C5" w:rsidRPr="002B1A95" w:rsidRDefault="007D17C5" w:rsidP="007D17C5">
      <w:pPr>
        <w:pStyle w:val="paragraph"/>
      </w:pPr>
      <w:r w:rsidRPr="002B1A95">
        <w:rPr>
          <w:color w:val="000000"/>
        </w:rPr>
        <w:tab/>
      </w:r>
      <w:r w:rsidRPr="002B1A95">
        <w:rPr>
          <w:color w:val="000000"/>
        </w:rPr>
        <w:tab/>
        <w:t xml:space="preserve">from </w:t>
      </w:r>
      <w:r w:rsidRPr="002B1A95">
        <w:t>one</w:t>
      </w:r>
      <w:r w:rsidRPr="002B1A95">
        <w:rPr>
          <w:color w:val="000000"/>
        </w:rPr>
        <w:t xml:space="preserve"> or more sources that are not associates of the entity, and not the entity itself, unless the Commissioner notifies the entity that it may obtain the rate or rates from </w:t>
      </w:r>
      <w:r w:rsidRPr="002B1A95">
        <w:t>one</w:t>
      </w:r>
      <w:r w:rsidRPr="002B1A95">
        <w:rPr>
          <w:color w:val="000000"/>
        </w:rPr>
        <w:t xml:space="preserve"> or more specified sources; and</w:t>
      </w:r>
    </w:p>
    <w:p w:rsidR="007D17C5" w:rsidRPr="002B1A95" w:rsidRDefault="007D17C5" w:rsidP="007D17C5">
      <w:pPr>
        <w:pStyle w:val="paragraph"/>
      </w:pPr>
      <w:r w:rsidRPr="002B1A95">
        <w:tab/>
        <w:t>(c)</w:t>
      </w:r>
      <w:r w:rsidRPr="002B1A95">
        <w:tab/>
        <w:t>the entity must translate amounts relating to the relevant period using the rate.</w:t>
      </w:r>
    </w:p>
    <w:p w:rsidR="007D17C5" w:rsidRPr="002B1A95" w:rsidRDefault="007D17C5" w:rsidP="007D17C5">
      <w:pPr>
        <w:pStyle w:val="notetext"/>
      </w:pPr>
      <w:r w:rsidRPr="002B1A95">
        <w:rPr>
          <w:color w:val="000000"/>
        </w:rPr>
        <w:t>Note 1:</w:t>
      </w:r>
      <w:r w:rsidRPr="002B1A95">
        <w:rPr>
          <w:color w:val="000000"/>
        </w:rPr>
        <w:tab/>
        <w:t>Item</w:t>
      </w:r>
      <w:r w:rsidR="002B1A95" w:rsidRPr="002B1A95">
        <w:rPr>
          <w:color w:val="000000"/>
        </w:rPr>
        <w:t> </w:t>
      </w:r>
      <w:r w:rsidRPr="002B1A95">
        <w:rPr>
          <w:color w:val="000000"/>
        </w:rPr>
        <w:t>12 of the table in subsection</w:t>
      </w:r>
      <w:r w:rsidR="002B1A95" w:rsidRPr="002B1A95">
        <w:rPr>
          <w:color w:val="000000"/>
        </w:rPr>
        <w:t> </w:t>
      </w:r>
      <w:r w:rsidRPr="002B1A95">
        <w:rPr>
          <w:color w:val="000000"/>
        </w:rPr>
        <w:t>960</w:t>
      </w:r>
      <w:r w:rsidR="00782250">
        <w:rPr>
          <w:color w:val="000000"/>
        </w:rPr>
        <w:noBreakHyphen/>
      </w:r>
      <w:r w:rsidRPr="002B1A95">
        <w:rPr>
          <w:color w:val="000000"/>
        </w:rPr>
        <w:t>50(6) of the Act is available as an alternative to the special translation rules in items</w:t>
      </w:r>
      <w:r w:rsidR="002B1A95" w:rsidRPr="002B1A95">
        <w:rPr>
          <w:color w:val="000000"/>
        </w:rPr>
        <w:t> </w:t>
      </w:r>
      <w:r w:rsidRPr="002B1A95">
        <w:rPr>
          <w:color w:val="000000"/>
        </w:rPr>
        <w:t>1 to 11A (inclusive) in that table. Therefore, this subclause requires the entity to consider whether using the translation rules in item</w:t>
      </w:r>
      <w:r w:rsidR="002B1A95" w:rsidRPr="002B1A95">
        <w:rPr>
          <w:color w:val="000000"/>
        </w:rPr>
        <w:t> </w:t>
      </w:r>
      <w:r w:rsidRPr="002B1A95">
        <w:rPr>
          <w:color w:val="000000"/>
        </w:rPr>
        <w:t>12 would lead to a reasonable approximation with the translation rules in another appropriate item of the table.</w:t>
      </w:r>
    </w:p>
    <w:p w:rsidR="007D17C5" w:rsidRPr="002B1A95" w:rsidRDefault="007D17C5" w:rsidP="007D17C5">
      <w:pPr>
        <w:pStyle w:val="notetext"/>
      </w:pPr>
      <w:r w:rsidRPr="002B1A95">
        <w:t>Note 2:</w:t>
      </w:r>
      <w:r w:rsidRPr="002B1A95">
        <w:tab/>
      </w:r>
      <w:r w:rsidRPr="002B1A95">
        <w:rPr>
          <w:color w:val="000000"/>
        </w:rPr>
        <w:t xml:space="preserve">For </w:t>
      </w:r>
      <w:r w:rsidRPr="002B1A95">
        <w:rPr>
          <w:b/>
          <w:i/>
          <w:color w:val="000000"/>
        </w:rPr>
        <w:t>associate</w:t>
      </w:r>
      <w:r w:rsidRPr="002B1A95">
        <w:rPr>
          <w:color w:val="000000"/>
        </w:rPr>
        <w:t>, see subsection</w:t>
      </w:r>
      <w:r w:rsidR="002B1A95" w:rsidRPr="002B1A95">
        <w:rPr>
          <w:color w:val="000000"/>
        </w:rPr>
        <w:t> </w:t>
      </w:r>
      <w:r w:rsidRPr="002B1A95">
        <w:rPr>
          <w:color w:val="000000"/>
        </w:rPr>
        <w:t>995</w:t>
      </w:r>
      <w:r w:rsidR="00782250">
        <w:rPr>
          <w:color w:val="000000"/>
        </w:rPr>
        <w:noBreakHyphen/>
      </w:r>
      <w:r w:rsidRPr="002B1A95">
        <w:rPr>
          <w:color w:val="000000"/>
        </w:rPr>
        <w:t>1(1) of the Act.</w:t>
      </w:r>
    </w:p>
    <w:p w:rsidR="007D17C5" w:rsidRPr="002B1A95" w:rsidRDefault="007D17C5" w:rsidP="007D17C5">
      <w:pPr>
        <w:pStyle w:val="ActHead2"/>
        <w:pageBreakBefore/>
      </w:pPr>
      <w:bookmarkStart w:id="274" w:name="_Toc49765447"/>
      <w:r w:rsidRPr="00411C46">
        <w:rPr>
          <w:rStyle w:val="CharPartNo"/>
        </w:rPr>
        <w:lastRenderedPageBreak/>
        <w:t>Part</w:t>
      </w:r>
      <w:r w:rsidR="002B1A95" w:rsidRPr="00411C46">
        <w:rPr>
          <w:rStyle w:val="CharPartNo"/>
        </w:rPr>
        <w:t> </w:t>
      </w:r>
      <w:r w:rsidRPr="00411C46">
        <w:rPr>
          <w:rStyle w:val="CharPartNo"/>
        </w:rPr>
        <w:t>2</w:t>
      </w:r>
      <w:r w:rsidRPr="002B1A95">
        <w:t>—</w:t>
      </w:r>
      <w:r w:rsidRPr="00411C46">
        <w:rPr>
          <w:rStyle w:val="CharPartText"/>
        </w:rPr>
        <w:t>Translation of foreign currency amounts into Australian currency—rules and requirements for item</w:t>
      </w:r>
      <w:r w:rsidR="002B1A95" w:rsidRPr="00411C46">
        <w:rPr>
          <w:rStyle w:val="CharPartText"/>
        </w:rPr>
        <w:t> </w:t>
      </w:r>
      <w:r w:rsidRPr="00411C46">
        <w:rPr>
          <w:rStyle w:val="CharPartText"/>
        </w:rPr>
        <w:t>11A of the table in subsection</w:t>
      </w:r>
      <w:r w:rsidR="002B1A95" w:rsidRPr="00411C46">
        <w:rPr>
          <w:rStyle w:val="CharPartText"/>
        </w:rPr>
        <w:t> </w:t>
      </w:r>
      <w:r w:rsidRPr="00411C46">
        <w:rPr>
          <w:rStyle w:val="CharPartText"/>
        </w:rPr>
        <w:t>960</w:t>
      </w:r>
      <w:r w:rsidR="00782250" w:rsidRPr="00411C46">
        <w:rPr>
          <w:rStyle w:val="CharPartText"/>
        </w:rPr>
        <w:noBreakHyphen/>
      </w:r>
      <w:r w:rsidRPr="00411C46">
        <w:rPr>
          <w:rStyle w:val="CharPartText"/>
        </w:rPr>
        <w:t>50(6) of the Act</w:t>
      </w:r>
      <w:bookmarkEnd w:id="274"/>
    </w:p>
    <w:p w:rsidR="007D17C5" w:rsidRPr="00411C46" w:rsidRDefault="007D17C5" w:rsidP="007D17C5">
      <w:pPr>
        <w:pStyle w:val="Header"/>
      </w:pPr>
      <w:r w:rsidRPr="00411C46">
        <w:rPr>
          <w:rStyle w:val="CharDivNo"/>
        </w:rPr>
        <w:t xml:space="preserve"> </w:t>
      </w:r>
      <w:r w:rsidRPr="00411C46">
        <w:rPr>
          <w:rStyle w:val="CharDivText"/>
        </w:rPr>
        <w:t xml:space="preserve"> </w:t>
      </w:r>
    </w:p>
    <w:p w:rsidR="007D17C5" w:rsidRPr="002B1A95" w:rsidRDefault="007D17C5" w:rsidP="007D17C5">
      <w:pPr>
        <w:pStyle w:val="ActHead5"/>
      </w:pPr>
      <w:bookmarkStart w:id="275" w:name="_Toc49765448"/>
      <w:r w:rsidRPr="00411C46">
        <w:rPr>
          <w:rStyle w:val="CharSectno"/>
        </w:rPr>
        <w:t>4</w:t>
      </w:r>
      <w:r w:rsidRPr="002B1A95">
        <w:t xml:space="preserve">  Exchange rate—consistency with an entity’s financial records</w:t>
      </w:r>
      <w:bookmarkEnd w:id="275"/>
    </w:p>
    <w:p w:rsidR="007D17C5" w:rsidRPr="002B1A95" w:rsidRDefault="007D17C5" w:rsidP="007D17C5">
      <w:pPr>
        <w:pStyle w:val="subsection"/>
      </w:pPr>
      <w:r w:rsidRPr="002B1A95">
        <w:tab/>
      </w:r>
      <w:r w:rsidRPr="002B1A95">
        <w:tab/>
        <w:t>For the purposes of item</w:t>
      </w:r>
      <w:r w:rsidR="002B1A95" w:rsidRPr="002B1A95">
        <w:t> </w:t>
      </w:r>
      <w:r w:rsidRPr="002B1A95">
        <w:t>11A of the table in subsection</w:t>
      </w:r>
      <w:r w:rsidR="002B1A95" w:rsidRPr="002B1A95">
        <w:t> </w:t>
      </w:r>
      <w:r w:rsidRPr="002B1A95">
        <w:t>960</w:t>
      </w:r>
      <w:r w:rsidR="00782250">
        <w:noBreakHyphen/>
      </w:r>
      <w:r w:rsidRPr="002B1A95">
        <w:t xml:space="preserve">50(6) of the Act, as modified by </w:t>
      </w:r>
      <w:r w:rsidRPr="002B1A95">
        <w:rPr>
          <w:color w:val="000000"/>
        </w:rPr>
        <w:t>subsection 960</w:t>
      </w:r>
      <w:r w:rsidR="00782250">
        <w:rPr>
          <w:color w:val="000000"/>
        </w:rPr>
        <w:noBreakHyphen/>
      </w:r>
      <w:r w:rsidRPr="002B1A95">
        <w:rPr>
          <w:color w:val="000000"/>
        </w:rPr>
        <w:t>50.01(2) of this instrument</w:t>
      </w:r>
      <w:r w:rsidRPr="002B1A95">
        <w:t>, if:</w:t>
      </w:r>
    </w:p>
    <w:p w:rsidR="007D17C5" w:rsidRPr="002B1A95" w:rsidRDefault="007D17C5" w:rsidP="007D17C5">
      <w:pPr>
        <w:pStyle w:val="paragraph"/>
      </w:pPr>
      <w:r w:rsidRPr="002B1A95">
        <w:rPr>
          <w:color w:val="000000"/>
        </w:rPr>
        <w:tab/>
        <w:t>(a)</w:t>
      </w:r>
      <w:r w:rsidRPr="002B1A95">
        <w:rPr>
          <w:color w:val="000000"/>
        </w:rPr>
        <w:tab/>
        <w:t xml:space="preserve">an entity keeps financial records (within the meaning of the </w:t>
      </w:r>
      <w:r w:rsidRPr="002B1A95">
        <w:rPr>
          <w:i/>
          <w:color w:val="000000"/>
        </w:rPr>
        <w:t>Corporations Act 2001</w:t>
      </w:r>
      <w:r w:rsidRPr="002B1A95">
        <w:rPr>
          <w:color w:val="000000"/>
        </w:rPr>
        <w:t>) of the exchange rates that the entity uses to translate amounts into Australian currency; and</w:t>
      </w:r>
    </w:p>
    <w:p w:rsidR="007D17C5" w:rsidRPr="002B1A95" w:rsidRDefault="007D17C5" w:rsidP="007D17C5">
      <w:pPr>
        <w:pStyle w:val="paragraph"/>
      </w:pPr>
      <w:r w:rsidRPr="002B1A95">
        <w:tab/>
        <w:t>(b)</w:t>
      </w:r>
      <w:r w:rsidRPr="002B1A95">
        <w:tab/>
        <w:t>the entity, or another entity, translates an amount to which the records correspond into Australian currency in accordance with item</w:t>
      </w:r>
      <w:r w:rsidR="002B1A95" w:rsidRPr="002B1A95">
        <w:t> </w:t>
      </w:r>
      <w:r w:rsidRPr="002B1A95">
        <w:t>11A;</w:t>
      </w:r>
    </w:p>
    <w:p w:rsidR="007D17C5" w:rsidRPr="002B1A95" w:rsidRDefault="007D17C5" w:rsidP="007D17C5">
      <w:pPr>
        <w:pStyle w:val="subsection2"/>
      </w:pPr>
      <w:r w:rsidRPr="002B1A95">
        <w:rPr>
          <w:color w:val="000000"/>
        </w:rPr>
        <w:t xml:space="preserve">the exchange rate that the entity mentioned in </w:t>
      </w:r>
      <w:r w:rsidR="002B1A95" w:rsidRPr="002B1A95">
        <w:rPr>
          <w:color w:val="000000"/>
        </w:rPr>
        <w:t>paragraph (</w:t>
      </w:r>
      <w:r w:rsidRPr="002B1A95">
        <w:rPr>
          <w:color w:val="000000"/>
        </w:rPr>
        <w:t>b) uses must be the same as the exchange rate specified in those records for translating the amount into Australian currency.</w:t>
      </w:r>
    </w:p>
    <w:p w:rsidR="007D17C5" w:rsidRPr="002B1A95" w:rsidRDefault="007D17C5" w:rsidP="007D17C5">
      <w:pPr>
        <w:pStyle w:val="ActHead1"/>
        <w:pageBreakBefore/>
      </w:pPr>
      <w:bookmarkStart w:id="276" w:name="_Toc49765449"/>
      <w:r w:rsidRPr="00411C46">
        <w:rPr>
          <w:rStyle w:val="CharChapNo"/>
        </w:rPr>
        <w:lastRenderedPageBreak/>
        <w:t>Schedule</w:t>
      </w:r>
      <w:r w:rsidR="002B1A95" w:rsidRPr="00411C46">
        <w:rPr>
          <w:rStyle w:val="CharChapNo"/>
        </w:rPr>
        <w:t> </w:t>
      </w:r>
      <w:r w:rsidRPr="00411C46">
        <w:rPr>
          <w:rStyle w:val="CharChapNo"/>
        </w:rPr>
        <w:t>3</w:t>
      </w:r>
      <w:r w:rsidRPr="002B1A95">
        <w:t>—</w:t>
      </w:r>
      <w:r w:rsidRPr="00411C46">
        <w:rPr>
          <w:rStyle w:val="CharChapText"/>
        </w:rPr>
        <w:t>Approved stock exchanges</w:t>
      </w:r>
      <w:bookmarkEnd w:id="276"/>
    </w:p>
    <w:p w:rsidR="007D17C5" w:rsidRPr="002B1A95" w:rsidRDefault="007D17C5" w:rsidP="007D17C5">
      <w:pPr>
        <w:pStyle w:val="notemargin"/>
      </w:pPr>
      <w:r w:rsidRPr="002B1A95">
        <w:t>Note:</w:t>
      </w:r>
      <w:r w:rsidRPr="002B1A95">
        <w:tab/>
        <w:t>See section 995</w:t>
      </w:r>
      <w:r w:rsidR="00782250">
        <w:noBreakHyphen/>
      </w:r>
      <w:r w:rsidRPr="002B1A95">
        <w:t>1.02.</w:t>
      </w:r>
    </w:p>
    <w:p w:rsidR="007D17C5" w:rsidRPr="00411C46" w:rsidRDefault="007D17C5" w:rsidP="007D17C5">
      <w:pPr>
        <w:pStyle w:val="Header"/>
      </w:pPr>
      <w:bookmarkStart w:id="277" w:name="f_Check_Lines_below"/>
      <w:bookmarkEnd w:id="277"/>
      <w:r w:rsidRPr="00411C46">
        <w:rPr>
          <w:rStyle w:val="CharPartNo"/>
        </w:rPr>
        <w:t xml:space="preserve"> </w:t>
      </w:r>
      <w:r w:rsidRPr="00411C46">
        <w:rPr>
          <w:rStyle w:val="CharPartText"/>
        </w:rPr>
        <w:t xml:space="preserve"> </w:t>
      </w:r>
    </w:p>
    <w:p w:rsidR="007D17C5" w:rsidRPr="002B1A95" w:rsidRDefault="007D17C5" w:rsidP="007D17C5">
      <w:pPr>
        <w:pStyle w:val="Header"/>
      </w:pPr>
      <w:r w:rsidRPr="00411C46">
        <w:rPr>
          <w:rStyle w:val="CharDivNo"/>
        </w:rPr>
        <w:t xml:space="preserve"> </w:t>
      </w:r>
      <w:r w:rsidRPr="00411C46">
        <w:rPr>
          <w:rStyle w:val="CharDivText"/>
        </w:rPr>
        <w:t xml:space="preserve"> </w:t>
      </w:r>
      <w:r w:rsidRPr="00411C46">
        <w:t xml:space="preserve"> </w:t>
      </w:r>
      <w:r w:rsidRPr="002B1A95">
        <w:t xml:space="preserve"> </w:t>
      </w:r>
    </w:p>
    <w:p w:rsidR="007D17C5" w:rsidRPr="002B1A95" w:rsidRDefault="007D17C5" w:rsidP="007D17C5">
      <w:pPr>
        <w:pStyle w:val="ActHead5"/>
      </w:pPr>
      <w:bookmarkStart w:id="278" w:name="_Toc49765450"/>
      <w:r w:rsidRPr="00411C46">
        <w:rPr>
          <w:rStyle w:val="CharSectno"/>
        </w:rPr>
        <w:t>1</w:t>
      </w:r>
      <w:r w:rsidRPr="002B1A95">
        <w:t xml:space="preserve">  Approved stock exchanges</w:t>
      </w:r>
      <w:bookmarkEnd w:id="278"/>
    </w:p>
    <w:p w:rsidR="007D17C5" w:rsidRPr="002B1A95" w:rsidRDefault="007D17C5" w:rsidP="007D17C5">
      <w:pPr>
        <w:pStyle w:val="subsection"/>
      </w:pPr>
      <w:r w:rsidRPr="002B1A95">
        <w:tab/>
      </w:r>
      <w:r w:rsidRPr="002B1A95">
        <w:tab/>
        <w:t>The following table specifies approved stock exchanges for the purposes of section 995</w:t>
      </w:r>
      <w:r w:rsidR="00782250">
        <w:noBreakHyphen/>
      </w:r>
      <w:r w:rsidRPr="002B1A95">
        <w:t>1.02.</w:t>
      </w:r>
    </w:p>
    <w:p w:rsidR="007D17C5" w:rsidRPr="002B1A95" w:rsidRDefault="007D17C5" w:rsidP="007D17C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817"/>
        <w:gridCol w:w="7712"/>
      </w:tblGrid>
      <w:tr w:rsidR="007D17C5" w:rsidRPr="002B1A95" w:rsidTr="009558BE">
        <w:trPr>
          <w:tblHeader/>
        </w:trPr>
        <w:tc>
          <w:tcPr>
            <w:tcW w:w="5000" w:type="pct"/>
            <w:gridSpan w:val="2"/>
            <w:tcBorders>
              <w:top w:val="single" w:sz="12" w:space="0" w:color="auto"/>
              <w:bottom w:val="single" w:sz="6" w:space="0" w:color="auto"/>
            </w:tcBorders>
            <w:shd w:val="clear" w:color="auto" w:fill="auto"/>
          </w:tcPr>
          <w:p w:rsidR="007D17C5" w:rsidRPr="002B1A95" w:rsidRDefault="007D17C5" w:rsidP="009558BE">
            <w:pPr>
              <w:pStyle w:val="TableHeading"/>
            </w:pPr>
            <w:r w:rsidRPr="002B1A95">
              <w:t>Approved stock exchanges</w:t>
            </w:r>
          </w:p>
        </w:tc>
      </w:tr>
      <w:tr w:rsidR="007D17C5" w:rsidRPr="002B1A95" w:rsidTr="009558BE">
        <w:tc>
          <w:tcPr>
            <w:tcW w:w="479" w:type="pct"/>
            <w:tcBorders>
              <w:top w:val="single" w:sz="6" w:space="0" w:color="auto"/>
              <w:bottom w:val="single" w:sz="12" w:space="0" w:color="auto"/>
            </w:tcBorders>
            <w:shd w:val="clear" w:color="auto" w:fill="auto"/>
          </w:tcPr>
          <w:p w:rsidR="007D17C5" w:rsidRPr="002B1A95" w:rsidRDefault="007D17C5" w:rsidP="009558BE">
            <w:pPr>
              <w:pStyle w:val="TableHeading"/>
            </w:pPr>
            <w:r w:rsidRPr="002B1A95">
              <w:t>Item</w:t>
            </w:r>
          </w:p>
        </w:tc>
        <w:tc>
          <w:tcPr>
            <w:tcW w:w="4521" w:type="pct"/>
            <w:tcBorders>
              <w:top w:val="single" w:sz="6" w:space="0" w:color="auto"/>
              <w:bottom w:val="single" w:sz="12" w:space="0" w:color="auto"/>
            </w:tcBorders>
            <w:shd w:val="clear" w:color="auto" w:fill="auto"/>
          </w:tcPr>
          <w:p w:rsidR="007D17C5" w:rsidRPr="002B1A95" w:rsidRDefault="007D17C5" w:rsidP="009558BE">
            <w:pPr>
              <w:pStyle w:val="TableHeading"/>
            </w:pPr>
            <w:r w:rsidRPr="002B1A95">
              <w:t>Approved stock exchange</w:t>
            </w:r>
          </w:p>
        </w:tc>
      </w:tr>
      <w:tr w:rsidR="007D17C5" w:rsidRPr="002B1A95" w:rsidTr="009558BE">
        <w:tc>
          <w:tcPr>
            <w:tcW w:w="479" w:type="pct"/>
            <w:tcBorders>
              <w:top w:val="single" w:sz="12" w:space="0" w:color="auto"/>
            </w:tcBorders>
            <w:shd w:val="clear" w:color="auto" w:fill="auto"/>
          </w:tcPr>
          <w:p w:rsidR="007D17C5" w:rsidRPr="002B1A95" w:rsidRDefault="007D17C5" w:rsidP="009558BE">
            <w:pPr>
              <w:pStyle w:val="TableHeading"/>
            </w:pPr>
          </w:p>
        </w:tc>
        <w:tc>
          <w:tcPr>
            <w:tcW w:w="4521" w:type="pct"/>
            <w:tcBorders>
              <w:top w:val="single" w:sz="12" w:space="0" w:color="auto"/>
            </w:tcBorders>
            <w:shd w:val="clear" w:color="auto" w:fill="auto"/>
          </w:tcPr>
          <w:p w:rsidR="007D17C5" w:rsidRPr="002B1A95" w:rsidRDefault="007D17C5" w:rsidP="009558BE">
            <w:pPr>
              <w:pStyle w:val="TableHeading"/>
            </w:pPr>
            <w:r w:rsidRPr="002B1A95">
              <w:t>Argentina</w:t>
            </w:r>
          </w:p>
        </w:tc>
      </w:tr>
      <w:tr w:rsidR="007D17C5" w:rsidRPr="002B1A95" w:rsidTr="009558BE">
        <w:tc>
          <w:tcPr>
            <w:tcW w:w="479" w:type="pct"/>
            <w:shd w:val="clear" w:color="auto" w:fill="auto"/>
          </w:tcPr>
          <w:p w:rsidR="007D17C5" w:rsidRPr="002B1A95" w:rsidRDefault="007D17C5" w:rsidP="009558BE">
            <w:pPr>
              <w:pStyle w:val="Tabletext"/>
            </w:pPr>
            <w:r w:rsidRPr="002B1A95">
              <w:t>1</w:t>
            </w:r>
          </w:p>
        </w:tc>
        <w:tc>
          <w:tcPr>
            <w:tcW w:w="4521" w:type="pct"/>
            <w:shd w:val="clear" w:color="auto" w:fill="auto"/>
          </w:tcPr>
          <w:p w:rsidR="007D17C5" w:rsidRPr="002B1A95" w:rsidRDefault="007D17C5" w:rsidP="009558BE">
            <w:pPr>
              <w:pStyle w:val="Tabletext"/>
            </w:pPr>
            <w:r w:rsidRPr="002B1A95">
              <w:t>Buenos Aires Stock Exchange</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Australia</w:t>
            </w:r>
          </w:p>
        </w:tc>
      </w:tr>
      <w:tr w:rsidR="007D17C5" w:rsidRPr="002B1A95" w:rsidTr="009558BE">
        <w:tc>
          <w:tcPr>
            <w:tcW w:w="479" w:type="pct"/>
            <w:shd w:val="clear" w:color="auto" w:fill="auto"/>
          </w:tcPr>
          <w:p w:rsidR="007D17C5" w:rsidRPr="002B1A95" w:rsidRDefault="007D17C5" w:rsidP="009558BE">
            <w:pPr>
              <w:pStyle w:val="Tabletext"/>
            </w:pPr>
            <w:r w:rsidRPr="002B1A95">
              <w:t>2</w:t>
            </w:r>
          </w:p>
        </w:tc>
        <w:tc>
          <w:tcPr>
            <w:tcW w:w="4521" w:type="pct"/>
            <w:shd w:val="clear" w:color="auto" w:fill="auto"/>
          </w:tcPr>
          <w:p w:rsidR="007D17C5" w:rsidRPr="002B1A95" w:rsidRDefault="007D17C5" w:rsidP="009558BE">
            <w:pPr>
              <w:pStyle w:val="Tabletext"/>
            </w:pPr>
            <w:r w:rsidRPr="002B1A95">
              <w:t>ASX, also known as Australian Securities Exchange</w:t>
            </w:r>
          </w:p>
        </w:tc>
      </w:tr>
      <w:tr w:rsidR="007D17C5" w:rsidRPr="002B1A95" w:rsidTr="009558BE">
        <w:tc>
          <w:tcPr>
            <w:tcW w:w="479" w:type="pct"/>
            <w:shd w:val="clear" w:color="auto" w:fill="auto"/>
          </w:tcPr>
          <w:p w:rsidR="007D17C5" w:rsidRPr="002B1A95" w:rsidRDefault="007D17C5" w:rsidP="009558BE">
            <w:pPr>
              <w:pStyle w:val="Tabletext"/>
            </w:pPr>
            <w:r w:rsidRPr="002B1A95">
              <w:t>3</w:t>
            </w:r>
          </w:p>
        </w:tc>
        <w:tc>
          <w:tcPr>
            <w:tcW w:w="4521" w:type="pct"/>
            <w:shd w:val="clear" w:color="auto" w:fill="auto"/>
          </w:tcPr>
          <w:p w:rsidR="007D17C5" w:rsidRPr="002B1A95" w:rsidRDefault="007D17C5" w:rsidP="009558BE">
            <w:pPr>
              <w:pStyle w:val="Tabletext"/>
            </w:pPr>
            <w:r w:rsidRPr="002B1A95">
              <w:t>Chi</w:t>
            </w:r>
            <w:r w:rsidR="00782250">
              <w:noBreakHyphen/>
            </w:r>
            <w:r w:rsidRPr="002B1A95">
              <w:t>X Australia</w:t>
            </w:r>
          </w:p>
        </w:tc>
      </w:tr>
      <w:tr w:rsidR="007D17C5" w:rsidRPr="002B1A95" w:rsidTr="009558BE">
        <w:tc>
          <w:tcPr>
            <w:tcW w:w="479" w:type="pct"/>
            <w:shd w:val="clear" w:color="auto" w:fill="auto"/>
          </w:tcPr>
          <w:p w:rsidR="007D17C5" w:rsidRPr="002B1A95" w:rsidRDefault="007D17C5" w:rsidP="009558BE">
            <w:pPr>
              <w:pStyle w:val="Tabletext"/>
            </w:pPr>
            <w:r w:rsidRPr="002B1A95">
              <w:t>4</w:t>
            </w:r>
          </w:p>
        </w:tc>
        <w:tc>
          <w:tcPr>
            <w:tcW w:w="4521" w:type="pct"/>
            <w:shd w:val="clear" w:color="auto" w:fill="auto"/>
          </w:tcPr>
          <w:p w:rsidR="007D17C5" w:rsidRPr="002B1A95" w:rsidRDefault="007D17C5" w:rsidP="009558BE">
            <w:pPr>
              <w:pStyle w:val="Tabletext"/>
            </w:pPr>
            <w:r w:rsidRPr="002B1A95">
              <w:t>National Stock Exchange of Australia</w:t>
            </w:r>
          </w:p>
        </w:tc>
      </w:tr>
      <w:tr w:rsidR="007D17C5" w:rsidRPr="002B1A95" w:rsidTr="009558BE">
        <w:tc>
          <w:tcPr>
            <w:tcW w:w="479" w:type="pct"/>
            <w:shd w:val="clear" w:color="auto" w:fill="auto"/>
          </w:tcPr>
          <w:p w:rsidR="007D17C5" w:rsidRPr="002B1A95" w:rsidRDefault="007D17C5" w:rsidP="009558BE">
            <w:pPr>
              <w:pStyle w:val="Tabletext"/>
            </w:pPr>
            <w:r w:rsidRPr="002B1A95">
              <w:t>5</w:t>
            </w:r>
          </w:p>
        </w:tc>
        <w:tc>
          <w:tcPr>
            <w:tcW w:w="4521" w:type="pct"/>
            <w:shd w:val="clear" w:color="auto" w:fill="auto"/>
          </w:tcPr>
          <w:p w:rsidR="007D17C5" w:rsidRPr="002B1A95" w:rsidRDefault="007D17C5" w:rsidP="009558BE">
            <w:pPr>
              <w:pStyle w:val="Tabletext"/>
            </w:pPr>
            <w:r w:rsidRPr="002B1A95">
              <w:t>SSX, also known as Sydney Stock Exchange</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Austria</w:t>
            </w:r>
          </w:p>
        </w:tc>
      </w:tr>
      <w:tr w:rsidR="007D17C5" w:rsidRPr="002B1A95" w:rsidTr="009558BE">
        <w:tc>
          <w:tcPr>
            <w:tcW w:w="479" w:type="pct"/>
            <w:shd w:val="clear" w:color="auto" w:fill="auto"/>
          </w:tcPr>
          <w:p w:rsidR="007D17C5" w:rsidRPr="002B1A95" w:rsidRDefault="007D17C5" w:rsidP="009558BE">
            <w:pPr>
              <w:pStyle w:val="Tabletext"/>
            </w:pPr>
            <w:r w:rsidRPr="002B1A95">
              <w:t>6</w:t>
            </w:r>
          </w:p>
        </w:tc>
        <w:tc>
          <w:tcPr>
            <w:tcW w:w="4521" w:type="pct"/>
            <w:shd w:val="clear" w:color="auto" w:fill="auto"/>
          </w:tcPr>
          <w:p w:rsidR="007D17C5" w:rsidRPr="002B1A95" w:rsidRDefault="007D17C5" w:rsidP="009558BE">
            <w:pPr>
              <w:pStyle w:val="Tabletext"/>
            </w:pPr>
            <w:r w:rsidRPr="002B1A95">
              <w:t>Vienna Stock Exchange</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Belgium</w:t>
            </w:r>
          </w:p>
        </w:tc>
      </w:tr>
      <w:tr w:rsidR="007D17C5" w:rsidRPr="002B1A95" w:rsidTr="009558BE">
        <w:tc>
          <w:tcPr>
            <w:tcW w:w="479" w:type="pct"/>
            <w:shd w:val="clear" w:color="auto" w:fill="auto"/>
          </w:tcPr>
          <w:p w:rsidR="007D17C5" w:rsidRPr="002B1A95" w:rsidRDefault="007D17C5" w:rsidP="009558BE">
            <w:pPr>
              <w:pStyle w:val="Tabletext"/>
            </w:pPr>
            <w:r w:rsidRPr="002B1A95">
              <w:t>7</w:t>
            </w:r>
          </w:p>
        </w:tc>
        <w:tc>
          <w:tcPr>
            <w:tcW w:w="4521" w:type="pct"/>
            <w:shd w:val="clear" w:color="auto" w:fill="auto"/>
          </w:tcPr>
          <w:p w:rsidR="007D17C5" w:rsidRPr="002B1A95" w:rsidRDefault="007D17C5" w:rsidP="009558BE">
            <w:pPr>
              <w:pStyle w:val="Tabletext"/>
            </w:pPr>
            <w:r w:rsidRPr="002B1A95">
              <w:t>Euronext Brussels</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Bermuda</w:t>
            </w:r>
          </w:p>
        </w:tc>
      </w:tr>
      <w:tr w:rsidR="007D17C5" w:rsidRPr="002B1A95" w:rsidTr="009558BE">
        <w:tc>
          <w:tcPr>
            <w:tcW w:w="479" w:type="pct"/>
            <w:shd w:val="clear" w:color="auto" w:fill="auto"/>
          </w:tcPr>
          <w:p w:rsidR="007D17C5" w:rsidRPr="002B1A95" w:rsidRDefault="007D17C5" w:rsidP="009558BE">
            <w:pPr>
              <w:pStyle w:val="Tabletext"/>
            </w:pPr>
            <w:r w:rsidRPr="002B1A95">
              <w:t>8</w:t>
            </w:r>
          </w:p>
        </w:tc>
        <w:tc>
          <w:tcPr>
            <w:tcW w:w="4521" w:type="pct"/>
            <w:shd w:val="clear" w:color="auto" w:fill="auto"/>
          </w:tcPr>
          <w:p w:rsidR="007D17C5" w:rsidRPr="002B1A95" w:rsidRDefault="007D17C5" w:rsidP="009558BE">
            <w:pPr>
              <w:pStyle w:val="Tabletext"/>
            </w:pPr>
            <w:r w:rsidRPr="002B1A95">
              <w:t>Bermuda Stock Exchange</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Brazil</w:t>
            </w:r>
          </w:p>
        </w:tc>
      </w:tr>
      <w:tr w:rsidR="007D17C5" w:rsidRPr="002B1A95" w:rsidTr="009558BE">
        <w:tc>
          <w:tcPr>
            <w:tcW w:w="479" w:type="pct"/>
            <w:shd w:val="clear" w:color="auto" w:fill="auto"/>
          </w:tcPr>
          <w:p w:rsidR="007D17C5" w:rsidRPr="002B1A95" w:rsidRDefault="007D17C5" w:rsidP="009558BE">
            <w:pPr>
              <w:pStyle w:val="Tabletext"/>
            </w:pPr>
            <w:r w:rsidRPr="002B1A95">
              <w:t>9</w:t>
            </w:r>
          </w:p>
        </w:tc>
        <w:tc>
          <w:tcPr>
            <w:tcW w:w="4521" w:type="pct"/>
            <w:shd w:val="clear" w:color="auto" w:fill="auto"/>
          </w:tcPr>
          <w:p w:rsidR="007D17C5" w:rsidRPr="002B1A95" w:rsidRDefault="007D17C5" w:rsidP="009558BE">
            <w:pPr>
              <w:pStyle w:val="Tabletext"/>
            </w:pPr>
            <w:r w:rsidRPr="002B1A95">
              <w:t>B3, also known as B3 S.A.—Brasil, Bolsa, Balcão</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Canada</w:t>
            </w:r>
          </w:p>
        </w:tc>
      </w:tr>
      <w:tr w:rsidR="007D17C5" w:rsidRPr="002B1A95" w:rsidTr="009558BE">
        <w:tc>
          <w:tcPr>
            <w:tcW w:w="479" w:type="pct"/>
            <w:shd w:val="clear" w:color="auto" w:fill="auto"/>
          </w:tcPr>
          <w:p w:rsidR="007D17C5" w:rsidRPr="002B1A95" w:rsidRDefault="007D17C5" w:rsidP="009558BE">
            <w:pPr>
              <w:pStyle w:val="Tabletext"/>
            </w:pPr>
            <w:r w:rsidRPr="002B1A95">
              <w:t>10</w:t>
            </w:r>
          </w:p>
        </w:tc>
        <w:tc>
          <w:tcPr>
            <w:tcW w:w="4521" w:type="pct"/>
            <w:shd w:val="clear" w:color="auto" w:fill="auto"/>
          </w:tcPr>
          <w:p w:rsidR="007D17C5" w:rsidRPr="002B1A95" w:rsidRDefault="007D17C5" w:rsidP="009558BE">
            <w:pPr>
              <w:pStyle w:val="Tabletext"/>
            </w:pPr>
            <w:r w:rsidRPr="002B1A95">
              <w:t>Montréal Exchange</w:t>
            </w:r>
          </w:p>
        </w:tc>
      </w:tr>
      <w:tr w:rsidR="007D17C5" w:rsidRPr="002B1A95" w:rsidTr="009558BE">
        <w:tc>
          <w:tcPr>
            <w:tcW w:w="479" w:type="pct"/>
            <w:shd w:val="clear" w:color="auto" w:fill="auto"/>
          </w:tcPr>
          <w:p w:rsidR="007D17C5" w:rsidRPr="002B1A95" w:rsidRDefault="007D17C5" w:rsidP="009558BE">
            <w:pPr>
              <w:pStyle w:val="Tabletext"/>
            </w:pPr>
            <w:r w:rsidRPr="002B1A95">
              <w:t>11</w:t>
            </w:r>
          </w:p>
        </w:tc>
        <w:tc>
          <w:tcPr>
            <w:tcW w:w="4521" w:type="pct"/>
            <w:shd w:val="clear" w:color="auto" w:fill="auto"/>
          </w:tcPr>
          <w:p w:rsidR="007D17C5" w:rsidRPr="002B1A95" w:rsidRDefault="007D17C5" w:rsidP="009558BE">
            <w:pPr>
              <w:pStyle w:val="Tabletext"/>
            </w:pPr>
            <w:r w:rsidRPr="002B1A95">
              <w:t>Toronto Stock Exchange</w:t>
            </w:r>
          </w:p>
        </w:tc>
      </w:tr>
      <w:tr w:rsidR="007D17C5" w:rsidRPr="002B1A95" w:rsidTr="009558BE">
        <w:tc>
          <w:tcPr>
            <w:tcW w:w="479" w:type="pct"/>
            <w:shd w:val="clear" w:color="auto" w:fill="auto"/>
          </w:tcPr>
          <w:p w:rsidR="007D17C5" w:rsidRPr="002B1A95" w:rsidRDefault="007D17C5" w:rsidP="009558BE">
            <w:pPr>
              <w:pStyle w:val="Tabletext"/>
            </w:pPr>
            <w:r w:rsidRPr="002B1A95">
              <w:t>12</w:t>
            </w:r>
          </w:p>
        </w:tc>
        <w:tc>
          <w:tcPr>
            <w:tcW w:w="4521" w:type="pct"/>
            <w:shd w:val="clear" w:color="auto" w:fill="auto"/>
          </w:tcPr>
          <w:p w:rsidR="007D17C5" w:rsidRPr="002B1A95" w:rsidRDefault="007D17C5" w:rsidP="009558BE">
            <w:pPr>
              <w:pStyle w:val="Tabletext"/>
            </w:pPr>
            <w:r w:rsidRPr="002B1A95">
              <w:t>TSX Venture Exchange</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Chile</w:t>
            </w:r>
          </w:p>
        </w:tc>
      </w:tr>
      <w:tr w:rsidR="007D17C5" w:rsidRPr="002B1A95" w:rsidTr="009558BE">
        <w:tc>
          <w:tcPr>
            <w:tcW w:w="479" w:type="pct"/>
            <w:shd w:val="clear" w:color="auto" w:fill="auto"/>
          </w:tcPr>
          <w:p w:rsidR="007D17C5" w:rsidRPr="002B1A95" w:rsidRDefault="007D17C5" w:rsidP="009558BE">
            <w:pPr>
              <w:pStyle w:val="Tabletext"/>
            </w:pPr>
            <w:r w:rsidRPr="002B1A95">
              <w:t>13</w:t>
            </w:r>
          </w:p>
        </w:tc>
        <w:tc>
          <w:tcPr>
            <w:tcW w:w="4521" w:type="pct"/>
            <w:shd w:val="clear" w:color="auto" w:fill="auto"/>
          </w:tcPr>
          <w:p w:rsidR="007D17C5" w:rsidRPr="002B1A95" w:rsidRDefault="007D17C5" w:rsidP="009558BE">
            <w:pPr>
              <w:pStyle w:val="Tabletext"/>
            </w:pPr>
            <w:r w:rsidRPr="002B1A95">
              <w:t>Santiago Exchange</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China</w:t>
            </w:r>
          </w:p>
        </w:tc>
      </w:tr>
      <w:tr w:rsidR="007D17C5" w:rsidRPr="002B1A95" w:rsidTr="009558BE">
        <w:tc>
          <w:tcPr>
            <w:tcW w:w="479" w:type="pct"/>
            <w:shd w:val="clear" w:color="auto" w:fill="auto"/>
          </w:tcPr>
          <w:p w:rsidR="007D17C5" w:rsidRPr="002B1A95" w:rsidRDefault="007D17C5" w:rsidP="009558BE">
            <w:pPr>
              <w:pStyle w:val="Tabletext"/>
            </w:pPr>
            <w:r w:rsidRPr="002B1A95">
              <w:t>14</w:t>
            </w:r>
          </w:p>
        </w:tc>
        <w:tc>
          <w:tcPr>
            <w:tcW w:w="4521" w:type="pct"/>
            <w:shd w:val="clear" w:color="auto" w:fill="auto"/>
          </w:tcPr>
          <w:p w:rsidR="007D17C5" w:rsidRPr="002B1A95" w:rsidRDefault="007D17C5" w:rsidP="009558BE">
            <w:pPr>
              <w:pStyle w:val="Tabletext"/>
            </w:pPr>
            <w:r w:rsidRPr="002B1A95">
              <w:t>Shanghai Stock Exchange</w:t>
            </w:r>
          </w:p>
        </w:tc>
      </w:tr>
      <w:tr w:rsidR="007D17C5" w:rsidRPr="002B1A95" w:rsidTr="009558BE">
        <w:tc>
          <w:tcPr>
            <w:tcW w:w="479" w:type="pct"/>
            <w:shd w:val="clear" w:color="auto" w:fill="auto"/>
          </w:tcPr>
          <w:p w:rsidR="007D17C5" w:rsidRPr="002B1A95" w:rsidRDefault="007D17C5" w:rsidP="009558BE">
            <w:pPr>
              <w:pStyle w:val="Tabletext"/>
            </w:pPr>
            <w:r w:rsidRPr="002B1A95">
              <w:t>15</w:t>
            </w:r>
          </w:p>
        </w:tc>
        <w:tc>
          <w:tcPr>
            <w:tcW w:w="4521" w:type="pct"/>
            <w:shd w:val="clear" w:color="auto" w:fill="auto"/>
          </w:tcPr>
          <w:p w:rsidR="007D17C5" w:rsidRPr="002B1A95" w:rsidRDefault="007D17C5" w:rsidP="009558BE">
            <w:pPr>
              <w:pStyle w:val="Tabletext"/>
            </w:pPr>
            <w:r w:rsidRPr="002B1A95">
              <w:t>Shenzhen Stock Exchange</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Colombia</w:t>
            </w:r>
          </w:p>
        </w:tc>
      </w:tr>
      <w:tr w:rsidR="007D17C5" w:rsidRPr="002B1A95" w:rsidTr="009558BE">
        <w:tc>
          <w:tcPr>
            <w:tcW w:w="479" w:type="pct"/>
            <w:shd w:val="clear" w:color="auto" w:fill="auto"/>
          </w:tcPr>
          <w:p w:rsidR="007D17C5" w:rsidRPr="002B1A95" w:rsidRDefault="007D17C5" w:rsidP="009558BE">
            <w:pPr>
              <w:pStyle w:val="Tabletext"/>
            </w:pPr>
            <w:r w:rsidRPr="002B1A95">
              <w:t>16</w:t>
            </w:r>
          </w:p>
        </w:tc>
        <w:tc>
          <w:tcPr>
            <w:tcW w:w="4521" w:type="pct"/>
            <w:shd w:val="clear" w:color="auto" w:fill="auto"/>
          </w:tcPr>
          <w:p w:rsidR="007D17C5" w:rsidRPr="002B1A95" w:rsidRDefault="007D17C5" w:rsidP="009558BE">
            <w:pPr>
              <w:pStyle w:val="Tabletext"/>
            </w:pPr>
            <w:r w:rsidRPr="002B1A95">
              <w:t>Colombia Securities Exchange</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Denmark</w:t>
            </w:r>
          </w:p>
        </w:tc>
      </w:tr>
      <w:tr w:rsidR="007D17C5" w:rsidRPr="002B1A95" w:rsidTr="009558BE">
        <w:tc>
          <w:tcPr>
            <w:tcW w:w="479" w:type="pct"/>
            <w:shd w:val="clear" w:color="auto" w:fill="auto"/>
          </w:tcPr>
          <w:p w:rsidR="007D17C5" w:rsidRPr="002B1A95" w:rsidRDefault="007D17C5" w:rsidP="009558BE">
            <w:pPr>
              <w:pStyle w:val="Tabletext"/>
            </w:pPr>
            <w:r w:rsidRPr="002B1A95">
              <w:t>17</w:t>
            </w:r>
          </w:p>
        </w:tc>
        <w:tc>
          <w:tcPr>
            <w:tcW w:w="4521" w:type="pct"/>
            <w:shd w:val="clear" w:color="auto" w:fill="auto"/>
          </w:tcPr>
          <w:p w:rsidR="007D17C5" w:rsidRPr="002B1A95" w:rsidRDefault="007D17C5" w:rsidP="009558BE">
            <w:pPr>
              <w:pStyle w:val="Tabletext"/>
            </w:pPr>
            <w:r w:rsidRPr="002B1A95">
              <w:t>Nasdaq Copenhagen</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Finland</w:t>
            </w:r>
          </w:p>
        </w:tc>
      </w:tr>
      <w:tr w:rsidR="007D17C5" w:rsidRPr="002B1A95" w:rsidTr="009558BE">
        <w:tc>
          <w:tcPr>
            <w:tcW w:w="479" w:type="pct"/>
            <w:shd w:val="clear" w:color="auto" w:fill="auto"/>
          </w:tcPr>
          <w:p w:rsidR="007D17C5" w:rsidRPr="002B1A95" w:rsidRDefault="007D17C5" w:rsidP="009558BE">
            <w:pPr>
              <w:pStyle w:val="Tabletext"/>
            </w:pPr>
            <w:r w:rsidRPr="002B1A95">
              <w:t>18</w:t>
            </w:r>
          </w:p>
        </w:tc>
        <w:tc>
          <w:tcPr>
            <w:tcW w:w="4521" w:type="pct"/>
            <w:shd w:val="clear" w:color="auto" w:fill="auto"/>
          </w:tcPr>
          <w:p w:rsidR="007D17C5" w:rsidRPr="002B1A95" w:rsidRDefault="007D17C5" w:rsidP="009558BE">
            <w:pPr>
              <w:pStyle w:val="Tabletext"/>
            </w:pPr>
            <w:r w:rsidRPr="002B1A95">
              <w:t>Nasdaq Helsinki</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France</w:t>
            </w:r>
          </w:p>
        </w:tc>
      </w:tr>
      <w:tr w:rsidR="007D17C5" w:rsidRPr="002B1A95" w:rsidTr="009558BE">
        <w:tc>
          <w:tcPr>
            <w:tcW w:w="479" w:type="pct"/>
            <w:shd w:val="clear" w:color="auto" w:fill="auto"/>
          </w:tcPr>
          <w:p w:rsidR="007D17C5" w:rsidRPr="002B1A95" w:rsidRDefault="007D17C5" w:rsidP="009558BE">
            <w:pPr>
              <w:pStyle w:val="Tabletext"/>
            </w:pPr>
            <w:r w:rsidRPr="002B1A95">
              <w:t>19</w:t>
            </w:r>
          </w:p>
        </w:tc>
        <w:tc>
          <w:tcPr>
            <w:tcW w:w="4521" w:type="pct"/>
            <w:shd w:val="clear" w:color="auto" w:fill="auto"/>
          </w:tcPr>
          <w:p w:rsidR="007D17C5" w:rsidRPr="002B1A95" w:rsidRDefault="007D17C5" w:rsidP="009558BE">
            <w:pPr>
              <w:pStyle w:val="Tabletext"/>
            </w:pPr>
            <w:r w:rsidRPr="002B1A95">
              <w:t>Euronext Paris</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Germany</w:t>
            </w:r>
          </w:p>
        </w:tc>
      </w:tr>
      <w:tr w:rsidR="007D17C5" w:rsidRPr="002B1A95" w:rsidTr="009558BE">
        <w:tc>
          <w:tcPr>
            <w:tcW w:w="479" w:type="pct"/>
            <w:shd w:val="clear" w:color="auto" w:fill="auto"/>
          </w:tcPr>
          <w:p w:rsidR="007D17C5" w:rsidRPr="002B1A95" w:rsidRDefault="007D17C5" w:rsidP="009558BE">
            <w:pPr>
              <w:pStyle w:val="Tabletext"/>
            </w:pPr>
            <w:r w:rsidRPr="002B1A95">
              <w:t>20</w:t>
            </w:r>
          </w:p>
        </w:tc>
        <w:tc>
          <w:tcPr>
            <w:tcW w:w="4521" w:type="pct"/>
            <w:shd w:val="clear" w:color="auto" w:fill="auto"/>
          </w:tcPr>
          <w:p w:rsidR="007D17C5" w:rsidRPr="002B1A95" w:rsidRDefault="007D17C5" w:rsidP="009558BE">
            <w:pPr>
              <w:pStyle w:val="Tabletext"/>
            </w:pPr>
            <w:r w:rsidRPr="002B1A95">
              <w:t>Berlin Stock Exchange</w:t>
            </w:r>
          </w:p>
        </w:tc>
      </w:tr>
      <w:tr w:rsidR="007D17C5" w:rsidRPr="002B1A95" w:rsidTr="009558BE">
        <w:tc>
          <w:tcPr>
            <w:tcW w:w="479" w:type="pct"/>
            <w:shd w:val="clear" w:color="auto" w:fill="auto"/>
          </w:tcPr>
          <w:p w:rsidR="007D17C5" w:rsidRPr="002B1A95" w:rsidRDefault="007D17C5" w:rsidP="009558BE">
            <w:pPr>
              <w:pStyle w:val="Tabletext"/>
            </w:pPr>
            <w:r w:rsidRPr="002B1A95">
              <w:t>21</w:t>
            </w:r>
          </w:p>
        </w:tc>
        <w:tc>
          <w:tcPr>
            <w:tcW w:w="4521" w:type="pct"/>
            <w:shd w:val="clear" w:color="auto" w:fill="auto"/>
          </w:tcPr>
          <w:p w:rsidR="007D17C5" w:rsidRPr="002B1A95" w:rsidRDefault="007D17C5" w:rsidP="009558BE">
            <w:pPr>
              <w:pStyle w:val="Tabletext"/>
            </w:pPr>
            <w:r w:rsidRPr="002B1A95">
              <w:t>Dusseldorf Stock Exchange</w:t>
            </w:r>
          </w:p>
        </w:tc>
      </w:tr>
      <w:tr w:rsidR="007D17C5" w:rsidRPr="002B1A95" w:rsidTr="009558BE">
        <w:tc>
          <w:tcPr>
            <w:tcW w:w="479" w:type="pct"/>
            <w:shd w:val="clear" w:color="auto" w:fill="auto"/>
          </w:tcPr>
          <w:p w:rsidR="007D17C5" w:rsidRPr="002B1A95" w:rsidRDefault="007D17C5" w:rsidP="009558BE">
            <w:pPr>
              <w:pStyle w:val="Tabletext"/>
            </w:pPr>
            <w:r w:rsidRPr="002B1A95">
              <w:t>22</w:t>
            </w:r>
          </w:p>
        </w:tc>
        <w:tc>
          <w:tcPr>
            <w:tcW w:w="4521" w:type="pct"/>
            <w:shd w:val="clear" w:color="auto" w:fill="auto"/>
          </w:tcPr>
          <w:p w:rsidR="007D17C5" w:rsidRPr="002B1A95" w:rsidRDefault="007D17C5" w:rsidP="009558BE">
            <w:pPr>
              <w:pStyle w:val="Tabletext"/>
            </w:pPr>
            <w:r w:rsidRPr="002B1A95">
              <w:t>Frankfurt Stock Exchange</w:t>
            </w:r>
          </w:p>
        </w:tc>
      </w:tr>
      <w:tr w:rsidR="007D17C5" w:rsidRPr="002B1A95" w:rsidTr="009558BE">
        <w:tc>
          <w:tcPr>
            <w:tcW w:w="479" w:type="pct"/>
            <w:shd w:val="clear" w:color="auto" w:fill="auto"/>
          </w:tcPr>
          <w:p w:rsidR="007D17C5" w:rsidRPr="002B1A95" w:rsidRDefault="007D17C5" w:rsidP="009558BE">
            <w:pPr>
              <w:pStyle w:val="Tabletext"/>
            </w:pPr>
            <w:r w:rsidRPr="002B1A95">
              <w:t>23</w:t>
            </w:r>
          </w:p>
        </w:tc>
        <w:tc>
          <w:tcPr>
            <w:tcW w:w="4521" w:type="pct"/>
            <w:shd w:val="clear" w:color="auto" w:fill="auto"/>
          </w:tcPr>
          <w:p w:rsidR="007D17C5" w:rsidRPr="002B1A95" w:rsidRDefault="007D17C5" w:rsidP="009558BE">
            <w:pPr>
              <w:pStyle w:val="Tabletext"/>
            </w:pPr>
            <w:r w:rsidRPr="002B1A95">
              <w:t>Hamburg Exchange</w:t>
            </w:r>
          </w:p>
        </w:tc>
      </w:tr>
      <w:tr w:rsidR="007D17C5" w:rsidRPr="002B1A95" w:rsidTr="009558BE">
        <w:tc>
          <w:tcPr>
            <w:tcW w:w="479" w:type="pct"/>
            <w:shd w:val="clear" w:color="auto" w:fill="auto"/>
          </w:tcPr>
          <w:p w:rsidR="007D17C5" w:rsidRPr="002B1A95" w:rsidRDefault="007D17C5" w:rsidP="009558BE">
            <w:pPr>
              <w:pStyle w:val="Tabletext"/>
            </w:pPr>
            <w:r w:rsidRPr="002B1A95">
              <w:t>24</w:t>
            </w:r>
          </w:p>
        </w:tc>
        <w:tc>
          <w:tcPr>
            <w:tcW w:w="4521" w:type="pct"/>
            <w:shd w:val="clear" w:color="auto" w:fill="auto"/>
          </w:tcPr>
          <w:p w:rsidR="007D17C5" w:rsidRPr="002B1A95" w:rsidRDefault="007D17C5" w:rsidP="009558BE">
            <w:pPr>
              <w:pStyle w:val="Tabletext"/>
            </w:pPr>
            <w:r w:rsidRPr="002B1A95">
              <w:t>Hannover Stock Exchange</w:t>
            </w:r>
          </w:p>
        </w:tc>
      </w:tr>
      <w:tr w:rsidR="007D17C5" w:rsidRPr="002B1A95" w:rsidTr="009558BE">
        <w:tc>
          <w:tcPr>
            <w:tcW w:w="479" w:type="pct"/>
            <w:shd w:val="clear" w:color="auto" w:fill="auto"/>
          </w:tcPr>
          <w:p w:rsidR="007D17C5" w:rsidRPr="002B1A95" w:rsidRDefault="007D17C5" w:rsidP="009558BE">
            <w:pPr>
              <w:pStyle w:val="Tabletext"/>
            </w:pPr>
            <w:r w:rsidRPr="002B1A95">
              <w:t>25</w:t>
            </w:r>
          </w:p>
        </w:tc>
        <w:tc>
          <w:tcPr>
            <w:tcW w:w="4521" w:type="pct"/>
            <w:shd w:val="clear" w:color="auto" w:fill="auto"/>
          </w:tcPr>
          <w:p w:rsidR="007D17C5" w:rsidRPr="002B1A95" w:rsidRDefault="007D17C5" w:rsidP="009558BE">
            <w:pPr>
              <w:pStyle w:val="Tabletext"/>
            </w:pPr>
            <w:r w:rsidRPr="002B1A95">
              <w:t>Munich Stock Exchange</w:t>
            </w:r>
          </w:p>
        </w:tc>
      </w:tr>
      <w:tr w:rsidR="007D17C5" w:rsidRPr="002B1A95" w:rsidTr="009558BE">
        <w:tc>
          <w:tcPr>
            <w:tcW w:w="479" w:type="pct"/>
            <w:shd w:val="clear" w:color="auto" w:fill="auto"/>
          </w:tcPr>
          <w:p w:rsidR="007D17C5" w:rsidRPr="002B1A95" w:rsidRDefault="007D17C5" w:rsidP="009558BE">
            <w:pPr>
              <w:pStyle w:val="Tabletext"/>
            </w:pPr>
            <w:r w:rsidRPr="002B1A95">
              <w:t>26</w:t>
            </w:r>
          </w:p>
        </w:tc>
        <w:tc>
          <w:tcPr>
            <w:tcW w:w="4521" w:type="pct"/>
            <w:shd w:val="clear" w:color="auto" w:fill="auto"/>
          </w:tcPr>
          <w:p w:rsidR="007D17C5" w:rsidRPr="002B1A95" w:rsidRDefault="007D17C5" w:rsidP="009558BE">
            <w:pPr>
              <w:pStyle w:val="Tabletext"/>
            </w:pPr>
            <w:r w:rsidRPr="002B1A95">
              <w:t>Stuttgart Stock Exchange</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Greece</w:t>
            </w:r>
          </w:p>
        </w:tc>
      </w:tr>
      <w:tr w:rsidR="007D17C5" w:rsidRPr="002B1A95" w:rsidTr="009558BE">
        <w:tc>
          <w:tcPr>
            <w:tcW w:w="479" w:type="pct"/>
            <w:shd w:val="clear" w:color="auto" w:fill="auto"/>
          </w:tcPr>
          <w:p w:rsidR="007D17C5" w:rsidRPr="002B1A95" w:rsidRDefault="007D17C5" w:rsidP="009558BE">
            <w:pPr>
              <w:pStyle w:val="Tabletext"/>
            </w:pPr>
            <w:r w:rsidRPr="002B1A95">
              <w:t>27</w:t>
            </w:r>
          </w:p>
        </w:tc>
        <w:tc>
          <w:tcPr>
            <w:tcW w:w="4521" w:type="pct"/>
            <w:shd w:val="clear" w:color="auto" w:fill="auto"/>
          </w:tcPr>
          <w:p w:rsidR="007D17C5" w:rsidRPr="002B1A95" w:rsidRDefault="007D17C5" w:rsidP="009558BE">
            <w:pPr>
              <w:pStyle w:val="Tabletext"/>
            </w:pPr>
            <w:r w:rsidRPr="002B1A95">
              <w:t>Athens Exchange</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Hong Kong</w:t>
            </w:r>
          </w:p>
        </w:tc>
      </w:tr>
      <w:tr w:rsidR="007D17C5" w:rsidRPr="002B1A95" w:rsidTr="009558BE">
        <w:tc>
          <w:tcPr>
            <w:tcW w:w="479" w:type="pct"/>
            <w:shd w:val="clear" w:color="auto" w:fill="auto"/>
          </w:tcPr>
          <w:p w:rsidR="007D17C5" w:rsidRPr="002B1A95" w:rsidRDefault="007D17C5" w:rsidP="009558BE">
            <w:pPr>
              <w:pStyle w:val="Tabletext"/>
            </w:pPr>
            <w:r w:rsidRPr="002B1A95">
              <w:t>28</w:t>
            </w:r>
          </w:p>
        </w:tc>
        <w:tc>
          <w:tcPr>
            <w:tcW w:w="4521" w:type="pct"/>
            <w:shd w:val="clear" w:color="auto" w:fill="auto"/>
          </w:tcPr>
          <w:p w:rsidR="007D17C5" w:rsidRPr="002B1A95" w:rsidRDefault="007D17C5" w:rsidP="009558BE">
            <w:pPr>
              <w:pStyle w:val="Tabletext"/>
            </w:pPr>
            <w:r w:rsidRPr="002B1A95">
              <w:t>Hong Kong Stock Exchange</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Hungary</w:t>
            </w:r>
          </w:p>
        </w:tc>
      </w:tr>
      <w:tr w:rsidR="007D17C5" w:rsidRPr="002B1A95" w:rsidTr="009558BE">
        <w:tc>
          <w:tcPr>
            <w:tcW w:w="479" w:type="pct"/>
            <w:shd w:val="clear" w:color="auto" w:fill="auto"/>
          </w:tcPr>
          <w:p w:rsidR="007D17C5" w:rsidRPr="002B1A95" w:rsidRDefault="007D17C5" w:rsidP="009558BE">
            <w:pPr>
              <w:pStyle w:val="Tabletext"/>
            </w:pPr>
            <w:r w:rsidRPr="002B1A95">
              <w:t>29</w:t>
            </w:r>
          </w:p>
        </w:tc>
        <w:tc>
          <w:tcPr>
            <w:tcW w:w="4521" w:type="pct"/>
            <w:shd w:val="clear" w:color="auto" w:fill="auto"/>
          </w:tcPr>
          <w:p w:rsidR="007D17C5" w:rsidRPr="002B1A95" w:rsidRDefault="007D17C5" w:rsidP="009558BE">
            <w:pPr>
              <w:pStyle w:val="Tabletext"/>
            </w:pPr>
            <w:r w:rsidRPr="002B1A95">
              <w:t>Budapest Stock Exchange</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India</w:t>
            </w:r>
          </w:p>
        </w:tc>
      </w:tr>
      <w:tr w:rsidR="007D17C5" w:rsidRPr="002B1A95" w:rsidTr="009558BE">
        <w:tc>
          <w:tcPr>
            <w:tcW w:w="479" w:type="pct"/>
            <w:shd w:val="clear" w:color="auto" w:fill="auto"/>
          </w:tcPr>
          <w:p w:rsidR="007D17C5" w:rsidRPr="002B1A95" w:rsidRDefault="007D17C5" w:rsidP="009558BE">
            <w:pPr>
              <w:pStyle w:val="Tabletext"/>
            </w:pPr>
            <w:r w:rsidRPr="002B1A95">
              <w:t>30</w:t>
            </w:r>
          </w:p>
        </w:tc>
        <w:tc>
          <w:tcPr>
            <w:tcW w:w="4521" w:type="pct"/>
            <w:shd w:val="clear" w:color="auto" w:fill="auto"/>
          </w:tcPr>
          <w:p w:rsidR="007D17C5" w:rsidRPr="002B1A95" w:rsidRDefault="007D17C5" w:rsidP="009558BE">
            <w:pPr>
              <w:pStyle w:val="Tabletext"/>
            </w:pPr>
            <w:r w:rsidRPr="002B1A95">
              <w:t>Bombay Stock Exchange</w:t>
            </w:r>
          </w:p>
        </w:tc>
      </w:tr>
      <w:tr w:rsidR="007D17C5" w:rsidRPr="002B1A95" w:rsidTr="009558BE">
        <w:tc>
          <w:tcPr>
            <w:tcW w:w="479" w:type="pct"/>
            <w:shd w:val="clear" w:color="auto" w:fill="auto"/>
          </w:tcPr>
          <w:p w:rsidR="007D17C5" w:rsidRPr="002B1A95" w:rsidRDefault="007D17C5" w:rsidP="009558BE">
            <w:pPr>
              <w:pStyle w:val="Tabletext"/>
            </w:pPr>
            <w:r w:rsidRPr="002B1A95">
              <w:t>31</w:t>
            </w:r>
          </w:p>
        </w:tc>
        <w:tc>
          <w:tcPr>
            <w:tcW w:w="4521" w:type="pct"/>
            <w:shd w:val="clear" w:color="auto" w:fill="auto"/>
          </w:tcPr>
          <w:p w:rsidR="007D17C5" w:rsidRPr="002B1A95" w:rsidRDefault="007D17C5" w:rsidP="009558BE">
            <w:pPr>
              <w:pStyle w:val="Tabletext"/>
            </w:pPr>
            <w:r w:rsidRPr="002B1A95">
              <w:t>Calcutta Stock Exchange</w:t>
            </w:r>
          </w:p>
        </w:tc>
      </w:tr>
      <w:tr w:rsidR="007D17C5" w:rsidRPr="002B1A95" w:rsidTr="009558BE">
        <w:tc>
          <w:tcPr>
            <w:tcW w:w="479" w:type="pct"/>
            <w:shd w:val="clear" w:color="auto" w:fill="auto"/>
          </w:tcPr>
          <w:p w:rsidR="007D17C5" w:rsidRPr="002B1A95" w:rsidRDefault="007D17C5" w:rsidP="009558BE">
            <w:pPr>
              <w:pStyle w:val="Tabletext"/>
            </w:pPr>
            <w:r w:rsidRPr="002B1A95">
              <w:t>32</w:t>
            </w:r>
          </w:p>
        </w:tc>
        <w:tc>
          <w:tcPr>
            <w:tcW w:w="4521" w:type="pct"/>
            <w:shd w:val="clear" w:color="auto" w:fill="auto"/>
          </w:tcPr>
          <w:p w:rsidR="007D17C5" w:rsidRPr="002B1A95" w:rsidRDefault="007D17C5" w:rsidP="009558BE">
            <w:pPr>
              <w:pStyle w:val="Tabletext"/>
            </w:pPr>
            <w:r w:rsidRPr="002B1A95">
              <w:t>National Stock Exchange of India</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Indonesia</w:t>
            </w:r>
          </w:p>
        </w:tc>
      </w:tr>
      <w:tr w:rsidR="007D17C5" w:rsidRPr="002B1A95" w:rsidTr="009558BE">
        <w:tc>
          <w:tcPr>
            <w:tcW w:w="479" w:type="pct"/>
            <w:shd w:val="clear" w:color="auto" w:fill="auto"/>
          </w:tcPr>
          <w:p w:rsidR="007D17C5" w:rsidRPr="002B1A95" w:rsidRDefault="007D17C5" w:rsidP="009558BE">
            <w:pPr>
              <w:pStyle w:val="Tabletext"/>
            </w:pPr>
            <w:r w:rsidRPr="002B1A95">
              <w:t>33</w:t>
            </w:r>
          </w:p>
        </w:tc>
        <w:tc>
          <w:tcPr>
            <w:tcW w:w="4521" w:type="pct"/>
            <w:shd w:val="clear" w:color="auto" w:fill="auto"/>
          </w:tcPr>
          <w:p w:rsidR="007D17C5" w:rsidRPr="002B1A95" w:rsidRDefault="007D17C5" w:rsidP="009558BE">
            <w:pPr>
              <w:pStyle w:val="Tabletext"/>
            </w:pPr>
            <w:r w:rsidRPr="002B1A95">
              <w:t>Indonesia Stock Exchange</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Ireland</w:t>
            </w:r>
          </w:p>
        </w:tc>
      </w:tr>
      <w:tr w:rsidR="007D17C5" w:rsidRPr="002B1A95" w:rsidTr="009558BE">
        <w:tc>
          <w:tcPr>
            <w:tcW w:w="479" w:type="pct"/>
            <w:shd w:val="clear" w:color="auto" w:fill="auto"/>
          </w:tcPr>
          <w:p w:rsidR="007D17C5" w:rsidRPr="002B1A95" w:rsidRDefault="007D17C5" w:rsidP="009558BE">
            <w:pPr>
              <w:pStyle w:val="Tabletext"/>
            </w:pPr>
            <w:r w:rsidRPr="002B1A95">
              <w:t>34</w:t>
            </w:r>
          </w:p>
        </w:tc>
        <w:tc>
          <w:tcPr>
            <w:tcW w:w="4521" w:type="pct"/>
            <w:shd w:val="clear" w:color="auto" w:fill="auto"/>
          </w:tcPr>
          <w:p w:rsidR="007D17C5" w:rsidRPr="002B1A95" w:rsidRDefault="007D17C5" w:rsidP="009558BE">
            <w:pPr>
              <w:pStyle w:val="Tabletext"/>
            </w:pPr>
            <w:r w:rsidRPr="002B1A95">
              <w:t>Euronext Dublin</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Israel</w:t>
            </w:r>
          </w:p>
        </w:tc>
      </w:tr>
      <w:tr w:rsidR="007D17C5" w:rsidRPr="002B1A95" w:rsidTr="009558BE">
        <w:tc>
          <w:tcPr>
            <w:tcW w:w="479" w:type="pct"/>
            <w:shd w:val="clear" w:color="auto" w:fill="auto"/>
          </w:tcPr>
          <w:p w:rsidR="007D17C5" w:rsidRPr="002B1A95" w:rsidRDefault="007D17C5" w:rsidP="009558BE">
            <w:pPr>
              <w:pStyle w:val="Tabletext"/>
            </w:pPr>
            <w:r w:rsidRPr="002B1A95">
              <w:t>35</w:t>
            </w:r>
          </w:p>
        </w:tc>
        <w:tc>
          <w:tcPr>
            <w:tcW w:w="4521" w:type="pct"/>
            <w:shd w:val="clear" w:color="auto" w:fill="auto"/>
          </w:tcPr>
          <w:p w:rsidR="007D17C5" w:rsidRPr="002B1A95" w:rsidRDefault="007D17C5" w:rsidP="009558BE">
            <w:pPr>
              <w:pStyle w:val="Tabletext"/>
            </w:pPr>
            <w:r w:rsidRPr="002B1A95">
              <w:t>Tel Aviv Stock Exchange</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Italy</w:t>
            </w:r>
          </w:p>
        </w:tc>
      </w:tr>
      <w:tr w:rsidR="007D17C5" w:rsidRPr="002B1A95" w:rsidTr="009558BE">
        <w:tc>
          <w:tcPr>
            <w:tcW w:w="479" w:type="pct"/>
            <w:shd w:val="clear" w:color="auto" w:fill="auto"/>
          </w:tcPr>
          <w:p w:rsidR="007D17C5" w:rsidRPr="002B1A95" w:rsidRDefault="007D17C5" w:rsidP="009558BE">
            <w:pPr>
              <w:pStyle w:val="Tabletext"/>
            </w:pPr>
            <w:r w:rsidRPr="002B1A95">
              <w:t>36</w:t>
            </w:r>
          </w:p>
        </w:tc>
        <w:tc>
          <w:tcPr>
            <w:tcW w:w="4521" w:type="pct"/>
            <w:shd w:val="clear" w:color="auto" w:fill="auto"/>
          </w:tcPr>
          <w:p w:rsidR="007D17C5" w:rsidRPr="002B1A95" w:rsidRDefault="007D17C5" w:rsidP="009558BE">
            <w:pPr>
              <w:pStyle w:val="Tabletext"/>
            </w:pPr>
            <w:r w:rsidRPr="002B1A95">
              <w:t>Italian Stock Exchange</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Jamaica</w:t>
            </w:r>
          </w:p>
        </w:tc>
      </w:tr>
      <w:tr w:rsidR="007D17C5" w:rsidRPr="002B1A95" w:rsidTr="009558BE">
        <w:tc>
          <w:tcPr>
            <w:tcW w:w="479" w:type="pct"/>
            <w:shd w:val="clear" w:color="auto" w:fill="auto"/>
          </w:tcPr>
          <w:p w:rsidR="007D17C5" w:rsidRPr="002B1A95" w:rsidRDefault="007D17C5" w:rsidP="009558BE">
            <w:pPr>
              <w:pStyle w:val="Tabletext"/>
            </w:pPr>
            <w:r w:rsidRPr="002B1A95">
              <w:t>37</w:t>
            </w:r>
          </w:p>
        </w:tc>
        <w:tc>
          <w:tcPr>
            <w:tcW w:w="4521" w:type="pct"/>
            <w:shd w:val="clear" w:color="auto" w:fill="auto"/>
          </w:tcPr>
          <w:p w:rsidR="007D17C5" w:rsidRPr="002B1A95" w:rsidRDefault="007D17C5" w:rsidP="009558BE">
            <w:pPr>
              <w:pStyle w:val="Tabletext"/>
            </w:pPr>
            <w:r w:rsidRPr="002B1A95">
              <w:t>Jamaica Stock Exchange</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Japan</w:t>
            </w:r>
          </w:p>
        </w:tc>
      </w:tr>
      <w:tr w:rsidR="007D17C5" w:rsidRPr="002B1A95" w:rsidTr="009558BE">
        <w:tc>
          <w:tcPr>
            <w:tcW w:w="479" w:type="pct"/>
            <w:shd w:val="clear" w:color="auto" w:fill="auto"/>
          </w:tcPr>
          <w:p w:rsidR="007D17C5" w:rsidRPr="002B1A95" w:rsidRDefault="007D17C5" w:rsidP="009558BE">
            <w:pPr>
              <w:pStyle w:val="Tabletext"/>
            </w:pPr>
            <w:r w:rsidRPr="002B1A95">
              <w:t>38</w:t>
            </w:r>
          </w:p>
        </w:tc>
        <w:tc>
          <w:tcPr>
            <w:tcW w:w="4521" w:type="pct"/>
            <w:shd w:val="clear" w:color="auto" w:fill="auto"/>
          </w:tcPr>
          <w:p w:rsidR="007D17C5" w:rsidRPr="002B1A95" w:rsidRDefault="007D17C5" w:rsidP="009558BE">
            <w:pPr>
              <w:pStyle w:val="Tabletext"/>
            </w:pPr>
            <w:r w:rsidRPr="002B1A95">
              <w:t>Fukuoka Stock Exchange</w:t>
            </w:r>
          </w:p>
        </w:tc>
      </w:tr>
      <w:tr w:rsidR="007D17C5" w:rsidRPr="002B1A95" w:rsidTr="009558BE">
        <w:tc>
          <w:tcPr>
            <w:tcW w:w="479" w:type="pct"/>
            <w:shd w:val="clear" w:color="auto" w:fill="auto"/>
          </w:tcPr>
          <w:p w:rsidR="007D17C5" w:rsidRPr="002B1A95" w:rsidRDefault="007D17C5" w:rsidP="009558BE">
            <w:pPr>
              <w:pStyle w:val="Tabletext"/>
            </w:pPr>
            <w:r w:rsidRPr="002B1A95">
              <w:t>39</w:t>
            </w:r>
          </w:p>
        </w:tc>
        <w:tc>
          <w:tcPr>
            <w:tcW w:w="4521" w:type="pct"/>
            <w:shd w:val="clear" w:color="auto" w:fill="auto"/>
          </w:tcPr>
          <w:p w:rsidR="007D17C5" w:rsidRPr="002B1A95" w:rsidRDefault="007D17C5" w:rsidP="009558BE">
            <w:pPr>
              <w:pStyle w:val="Tabletext"/>
            </w:pPr>
            <w:r w:rsidRPr="002B1A95">
              <w:t>Nagoya Stock Exchange</w:t>
            </w:r>
          </w:p>
        </w:tc>
      </w:tr>
      <w:tr w:rsidR="007D17C5" w:rsidRPr="002B1A95" w:rsidTr="009558BE">
        <w:tc>
          <w:tcPr>
            <w:tcW w:w="479" w:type="pct"/>
            <w:shd w:val="clear" w:color="auto" w:fill="auto"/>
          </w:tcPr>
          <w:p w:rsidR="007D17C5" w:rsidRPr="002B1A95" w:rsidRDefault="007D17C5" w:rsidP="009558BE">
            <w:pPr>
              <w:pStyle w:val="Tabletext"/>
            </w:pPr>
            <w:r w:rsidRPr="002B1A95">
              <w:t>40</w:t>
            </w:r>
          </w:p>
        </w:tc>
        <w:tc>
          <w:tcPr>
            <w:tcW w:w="4521" w:type="pct"/>
            <w:shd w:val="clear" w:color="auto" w:fill="auto"/>
          </w:tcPr>
          <w:p w:rsidR="007D17C5" w:rsidRPr="002B1A95" w:rsidRDefault="007D17C5" w:rsidP="009558BE">
            <w:pPr>
              <w:pStyle w:val="Tabletext"/>
            </w:pPr>
            <w:r w:rsidRPr="002B1A95">
              <w:t>Osaka Securities Exchange</w:t>
            </w:r>
          </w:p>
        </w:tc>
      </w:tr>
      <w:tr w:rsidR="007D17C5" w:rsidRPr="002B1A95" w:rsidTr="009558BE">
        <w:tc>
          <w:tcPr>
            <w:tcW w:w="479" w:type="pct"/>
            <w:shd w:val="clear" w:color="auto" w:fill="auto"/>
          </w:tcPr>
          <w:p w:rsidR="007D17C5" w:rsidRPr="002B1A95" w:rsidRDefault="007D17C5" w:rsidP="009558BE">
            <w:pPr>
              <w:pStyle w:val="Tabletext"/>
            </w:pPr>
            <w:r w:rsidRPr="002B1A95">
              <w:t>41</w:t>
            </w:r>
          </w:p>
        </w:tc>
        <w:tc>
          <w:tcPr>
            <w:tcW w:w="4521" w:type="pct"/>
            <w:shd w:val="clear" w:color="auto" w:fill="auto"/>
          </w:tcPr>
          <w:p w:rsidR="007D17C5" w:rsidRPr="002B1A95" w:rsidRDefault="007D17C5" w:rsidP="009558BE">
            <w:pPr>
              <w:pStyle w:val="Tabletext"/>
            </w:pPr>
            <w:r w:rsidRPr="002B1A95">
              <w:t>Sapporo Securities Exchange</w:t>
            </w:r>
          </w:p>
        </w:tc>
      </w:tr>
      <w:tr w:rsidR="007D17C5" w:rsidRPr="002B1A95" w:rsidTr="009558BE">
        <w:tc>
          <w:tcPr>
            <w:tcW w:w="479" w:type="pct"/>
            <w:shd w:val="clear" w:color="auto" w:fill="auto"/>
          </w:tcPr>
          <w:p w:rsidR="007D17C5" w:rsidRPr="002B1A95" w:rsidRDefault="007D17C5" w:rsidP="009558BE">
            <w:pPr>
              <w:pStyle w:val="Tabletext"/>
            </w:pPr>
            <w:r w:rsidRPr="002B1A95">
              <w:t>42</w:t>
            </w:r>
          </w:p>
        </w:tc>
        <w:tc>
          <w:tcPr>
            <w:tcW w:w="4521" w:type="pct"/>
            <w:shd w:val="clear" w:color="auto" w:fill="auto"/>
          </w:tcPr>
          <w:p w:rsidR="007D17C5" w:rsidRPr="002B1A95" w:rsidRDefault="007D17C5" w:rsidP="009558BE">
            <w:pPr>
              <w:pStyle w:val="Tabletext"/>
            </w:pPr>
            <w:r w:rsidRPr="002B1A95">
              <w:t>Tokyo Stock Exchange</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Korea, Republic of</w:t>
            </w:r>
          </w:p>
        </w:tc>
      </w:tr>
      <w:tr w:rsidR="007D17C5" w:rsidRPr="002B1A95" w:rsidTr="009558BE">
        <w:tc>
          <w:tcPr>
            <w:tcW w:w="479" w:type="pct"/>
            <w:shd w:val="clear" w:color="auto" w:fill="auto"/>
          </w:tcPr>
          <w:p w:rsidR="007D17C5" w:rsidRPr="002B1A95" w:rsidRDefault="007D17C5" w:rsidP="009558BE">
            <w:pPr>
              <w:pStyle w:val="Tabletext"/>
            </w:pPr>
            <w:r w:rsidRPr="002B1A95">
              <w:t>43</w:t>
            </w:r>
          </w:p>
        </w:tc>
        <w:tc>
          <w:tcPr>
            <w:tcW w:w="4521" w:type="pct"/>
            <w:shd w:val="clear" w:color="auto" w:fill="auto"/>
          </w:tcPr>
          <w:p w:rsidR="007D17C5" w:rsidRPr="002B1A95" w:rsidRDefault="007D17C5" w:rsidP="009558BE">
            <w:pPr>
              <w:pStyle w:val="Tabletext"/>
            </w:pPr>
            <w:r w:rsidRPr="002B1A95">
              <w:t>Korea Exchange</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Luxembourg</w:t>
            </w:r>
          </w:p>
        </w:tc>
      </w:tr>
      <w:tr w:rsidR="007D17C5" w:rsidRPr="002B1A95" w:rsidTr="009558BE">
        <w:tc>
          <w:tcPr>
            <w:tcW w:w="479" w:type="pct"/>
            <w:shd w:val="clear" w:color="auto" w:fill="auto"/>
          </w:tcPr>
          <w:p w:rsidR="007D17C5" w:rsidRPr="002B1A95" w:rsidRDefault="007D17C5" w:rsidP="009558BE">
            <w:pPr>
              <w:pStyle w:val="Tabletext"/>
            </w:pPr>
            <w:r w:rsidRPr="002B1A95">
              <w:t>44</w:t>
            </w:r>
          </w:p>
        </w:tc>
        <w:tc>
          <w:tcPr>
            <w:tcW w:w="4521" w:type="pct"/>
            <w:shd w:val="clear" w:color="auto" w:fill="auto"/>
          </w:tcPr>
          <w:p w:rsidR="007D17C5" w:rsidRPr="002B1A95" w:rsidRDefault="007D17C5" w:rsidP="009558BE">
            <w:pPr>
              <w:pStyle w:val="Tabletext"/>
            </w:pPr>
            <w:r w:rsidRPr="002B1A95">
              <w:t>Luxembourg Stock Exchange</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Malaysia</w:t>
            </w:r>
          </w:p>
        </w:tc>
      </w:tr>
      <w:tr w:rsidR="007D17C5" w:rsidRPr="002B1A95" w:rsidTr="009558BE">
        <w:tc>
          <w:tcPr>
            <w:tcW w:w="479" w:type="pct"/>
            <w:shd w:val="clear" w:color="auto" w:fill="auto"/>
          </w:tcPr>
          <w:p w:rsidR="007D17C5" w:rsidRPr="002B1A95" w:rsidRDefault="007D17C5" w:rsidP="009558BE">
            <w:pPr>
              <w:pStyle w:val="Tabletext"/>
            </w:pPr>
            <w:r w:rsidRPr="002B1A95">
              <w:t>45</w:t>
            </w:r>
          </w:p>
        </w:tc>
        <w:tc>
          <w:tcPr>
            <w:tcW w:w="4521" w:type="pct"/>
            <w:shd w:val="clear" w:color="auto" w:fill="auto"/>
          </w:tcPr>
          <w:p w:rsidR="007D17C5" w:rsidRPr="002B1A95" w:rsidRDefault="007D17C5" w:rsidP="009558BE">
            <w:pPr>
              <w:pStyle w:val="Tabletext"/>
            </w:pPr>
            <w:r w:rsidRPr="002B1A95">
              <w:t>Bursa Malaysia</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Mexico</w:t>
            </w:r>
          </w:p>
        </w:tc>
      </w:tr>
      <w:tr w:rsidR="007D17C5" w:rsidRPr="002B1A95" w:rsidTr="009558BE">
        <w:tc>
          <w:tcPr>
            <w:tcW w:w="479" w:type="pct"/>
            <w:shd w:val="clear" w:color="auto" w:fill="auto"/>
          </w:tcPr>
          <w:p w:rsidR="007D17C5" w:rsidRPr="002B1A95" w:rsidRDefault="007D17C5" w:rsidP="009558BE">
            <w:pPr>
              <w:pStyle w:val="Tabletext"/>
            </w:pPr>
            <w:r w:rsidRPr="002B1A95">
              <w:t>46</w:t>
            </w:r>
          </w:p>
        </w:tc>
        <w:tc>
          <w:tcPr>
            <w:tcW w:w="4521" w:type="pct"/>
            <w:shd w:val="clear" w:color="auto" w:fill="auto"/>
          </w:tcPr>
          <w:p w:rsidR="007D17C5" w:rsidRPr="002B1A95" w:rsidRDefault="007D17C5" w:rsidP="009558BE">
            <w:pPr>
              <w:pStyle w:val="Tabletext"/>
            </w:pPr>
            <w:r w:rsidRPr="002B1A95">
              <w:t>Mexican Stock Exchange</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Netherlands</w:t>
            </w:r>
          </w:p>
        </w:tc>
      </w:tr>
      <w:tr w:rsidR="007D17C5" w:rsidRPr="002B1A95" w:rsidTr="009558BE">
        <w:tc>
          <w:tcPr>
            <w:tcW w:w="479" w:type="pct"/>
            <w:shd w:val="clear" w:color="auto" w:fill="auto"/>
          </w:tcPr>
          <w:p w:rsidR="007D17C5" w:rsidRPr="002B1A95" w:rsidRDefault="007D17C5" w:rsidP="009558BE">
            <w:pPr>
              <w:pStyle w:val="Tabletext"/>
            </w:pPr>
            <w:r w:rsidRPr="002B1A95">
              <w:t>47</w:t>
            </w:r>
          </w:p>
        </w:tc>
        <w:tc>
          <w:tcPr>
            <w:tcW w:w="4521" w:type="pct"/>
            <w:shd w:val="clear" w:color="auto" w:fill="auto"/>
          </w:tcPr>
          <w:p w:rsidR="007D17C5" w:rsidRPr="002B1A95" w:rsidRDefault="007D17C5" w:rsidP="009558BE">
            <w:pPr>
              <w:pStyle w:val="Tabletext"/>
            </w:pPr>
            <w:r w:rsidRPr="002B1A95">
              <w:t>Euronext Amsterdam</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New Zealand</w:t>
            </w:r>
          </w:p>
        </w:tc>
      </w:tr>
      <w:tr w:rsidR="007D17C5" w:rsidRPr="002B1A95" w:rsidTr="009558BE">
        <w:tc>
          <w:tcPr>
            <w:tcW w:w="479" w:type="pct"/>
            <w:shd w:val="clear" w:color="auto" w:fill="auto"/>
          </w:tcPr>
          <w:p w:rsidR="007D17C5" w:rsidRPr="002B1A95" w:rsidRDefault="007D17C5" w:rsidP="009558BE">
            <w:pPr>
              <w:pStyle w:val="Tabletext"/>
            </w:pPr>
            <w:r w:rsidRPr="002B1A95">
              <w:t>48</w:t>
            </w:r>
          </w:p>
        </w:tc>
        <w:tc>
          <w:tcPr>
            <w:tcW w:w="4521" w:type="pct"/>
            <w:shd w:val="clear" w:color="auto" w:fill="auto"/>
          </w:tcPr>
          <w:p w:rsidR="007D17C5" w:rsidRPr="002B1A95" w:rsidRDefault="007D17C5" w:rsidP="009558BE">
            <w:pPr>
              <w:pStyle w:val="Tabletext"/>
            </w:pPr>
            <w:r w:rsidRPr="002B1A95">
              <w:t>NZX, also known as New Zealand’s Exchange</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Nigeria</w:t>
            </w:r>
          </w:p>
        </w:tc>
      </w:tr>
      <w:tr w:rsidR="007D17C5" w:rsidRPr="002B1A95" w:rsidTr="009558BE">
        <w:tc>
          <w:tcPr>
            <w:tcW w:w="479" w:type="pct"/>
            <w:shd w:val="clear" w:color="auto" w:fill="auto"/>
          </w:tcPr>
          <w:p w:rsidR="007D17C5" w:rsidRPr="002B1A95" w:rsidRDefault="007D17C5" w:rsidP="009558BE">
            <w:pPr>
              <w:pStyle w:val="Tabletext"/>
            </w:pPr>
            <w:r w:rsidRPr="002B1A95">
              <w:t>49</w:t>
            </w:r>
          </w:p>
        </w:tc>
        <w:tc>
          <w:tcPr>
            <w:tcW w:w="4521" w:type="pct"/>
            <w:shd w:val="clear" w:color="auto" w:fill="auto"/>
          </w:tcPr>
          <w:p w:rsidR="007D17C5" w:rsidRPr="002B1A95" w:rsidRDefault="007D17C5" w:rsidP="009558BE">
            <w:pPr>
              <w:pStyle w:val="Tabletext"/>
            </w:pPr>
            <w:r w:rsidRPr="002B1A95">
              <w:t>The Nigerian Stock Exchange</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Norway</w:t>
            </w:r>
          </w:p>
        </w:tc>
      </w:tr>
      <w:tr w:rsidR="007D17C5" w:rsidRPr="002B1A95" w:rsidTr="009558BE">
        <w:tc>
          <w:tcPr>
            <w:tcW w:w="479" w:type="pct"/>
            <w:shd w:val="clear" w:color="auto" w:fill="auto"/>
          </w:tcPr>
          <w:p w:rsidR="007D17C5" w:rsidRPr="002B1A95" w:rsidRDefault="007D17C5" w:rsidP="009558BE">
            <w:pPr>
              <w:pStyle w:val="Tabletext"/>
            </w:pPr>
            <w:r w:rsidRPr="002B1A95">
              <w:t>50</w:t>
            </w:r>
          </w:p>
        </w:tc>
        <w:tc>
          <w:tcPr>
            <w:tcW w:w="4521" w:type="pct"/>
            <w:shd w:val="clear" w:color="auto" w:fill="auto"/>
          </w:tcPr>
          <w:p w:rsidR="007D17C5" w:rsidRPr="002B1A95" w:rsidRDefault="007D17C5" w:rsidP="009558BE">
            <w:pPr>
              <w:pStyle w:val="Tabletext"/>
            </w:pPr>
            <w:r w:rsidRPr="002B1A95">
              <w:t>Oslo Stock Exchange</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Pakistan</w:t>
            </w:r>
          </w:p>
        </w:tc>
      </w:tr>
      <w:tr w:rsidR="007D17C5" w:rsidRPr="002B1A95" w:rsidTr="009558BE">
        <w:tc>
          <w:tcPr>
            <w:tcW w:w="479" w:type="pct"/>
            <w:shd w:val="clear" w:color="auto" w:fill="auto"/>
          </w:tcPr>
          <w:p w:rsidR="007D17C5" w:rsidRPr="002B1A95" w:rsidRDefault="007D17C5" w:rsidP="009558BE">
            <w:pPr>
              <w:pStyle w:val="Tabletext"/>
            </w:pPr>
            <w:r w:rsidRPr="002B1A95">
              <w:t>51</w:t>
            </w:r>
          </w:p>
        </w:tc>
        <w:tc>
          <w:tcPr>
            <w:tcW w:w="4521" w:type="pct"/>
            <w:shd w:val="clear" w:color="auto" w:fill="auto"/>
          </w:tcPr>
          <w:p w:rsidR="007D17C5" w:rsidRPr="002B1A95" w:rsidRDefault="007D17C5" w:rsidP="009558BE">
            <w:pPr>
              <w:pStyle w:val="Tabletext"/>
            </w:pPr>
            <w:r w:rsidRPr="002B1A95">
              <w:t>Pakistan Stock Exchange Limited</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Peru</w:t>
            </w:r>
          </w:p>
        </w:tc>
      </w:tr>
      <w:tr w:rsidR="007D17C5" w:rsidRPr="002B1A95" w:rsidTr="009558BE">
        <w:tc>
          <w:tcPr>
            <w:tcW w:w="479" w:type="pct"/>
            <w:shd w:val="clear" w:color="auto" w:fill="auto"/>
          </w:tcPr>
          <w:p w:rsidR="007D17C5" w:rsidRPr="002B1A95" w:rsidRDefault="007D17C5" w:rsidP="009558BE">
            <w:pPr>
              <w:pStyle w:val="Tabletext"/>
            </w:pPr>
            <w:r w:rsidRPr="002B1A95">
              <w:t>52</w:t>
            </w:r>
          </w:p>
        </w:tc>
        <w:tc>
          <w:tcPr>
            <w:tcW w:w="4521" w:type="pct"/>
            <w:shd w:val="clear" w:color="auto" w:fill="auto"/>
          </w:tcPr>
          <w:p w:rsidR="007D17C5" w:rsidRPr="002B1A95" w:rsidRDefault="007D17C5" w:rsidP="009558BE">
            <w:pPr>
              <w:pStyle w:val="Tabletext"/>
            </w:pPr>
            <w:r w:rsidRPr="002B1A95">
              <w:t>Lima Stock Exchange</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Philippines</w:t>
            </w:r>
          </w:p>
        </w:tc>
      </w:tr>
      <w:tr w:rsidR="007D17C5" w:rsidRPr="002B1A95" w:rsidTr="009558BE">
        <w:tc>
          <w:tcPr>
            <w:tcW w:w="479" w:type="pct"/>
            <w:shd w:val="clear" w:color="auto" w:fill="auto"/>
          </w:tcPr>
          <w:p w:rsidR="007D17C5" w:rsidRPr="002B1A95" w:rsidRDefault="007D17C5" w:rsidP="009558BE">
            <w:pPr>
              <w:pStyle w:val="Tabletext"/>
            </w:pPr>
            <w:r w:rsidRPr="002B1A95">
              <w:t>53</w:t>
            </w:r>
          </w:p>
        </w:tc>
        <w:tc>
          <w:tcPr>
            <w:tcW w:w="4521" w:type="pct"/>
            <w:shd w:val="clear" w:color="auto" w:fill="auto"/>
          </w:tcPr>
          <w:p w:rsidR="007D17C5" w:rsidRPr="002B1A95" w:rsidRDefault="007D17C5" w:rsidP="009558BE">
            <w:pPr>
              <w:pStyle w:val="Tabletext"/>
            </w:pPr>
            <w:r w:rsidRPr="002B1A95">
              <w:t>The Philippine Stock Exchange Inc.</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Poland</w:t>
            </w:r>
          </w:p>
        </w:tc>
      </w:tr>
      <w:tr w:rsidR="007D17C5" w:rsidRPr="002B1A95" w:rsidTr="009558BE">
        <w:tc>
          <w:tcPr>
            <w:tcW w:w="479" w:type="pct"/>
            <w:shd w:val="clear" w:color="auto" w:fill="auto"/>
          </w:tcPr>
          <w:p w:rsidR="007D17C5" w:rsidRPr="002B1A95" w:rsidRDefault="007D17C5" w:rsidP="009558BE">
            <w:pPr>
              <w:pStyle w:val="Tabletext"/>
            </w:pPr>
            <w:r w:rsidRPr="002B1A95">
              <w:t>54</w:t>
            </w:r>
          </w:p>
        </w:tc>
        <w:tc>
          <w:tcPr>
            <w:tcW w:w="4521" w:type="pct"/>
            <w:shd w:val="clear" w:color="auto" w:fill="auto"/>
          </w:tcPr>
          <w:p w:rsidR="007D17C5" w:rsidRPr="002B1A95" w:rsidRDefault="007D17C5" w:rsidP="009558BE">
            <w:pPr>
              <w:pStyle w:val="Tabletext"/>
            </w:pPr>
            <w:r w:rsidRPr="002B1A95">
              <w:t>Warsaw Stock Exchange</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Portugal</w:t>
            </w:r>
          </w:p>
        </w:tc>
      </w:tr>
      <w:tr w:rsidR="007D17C5" w:rsidRPr="002B1A95" w:rsidTr="009558BE">
        <w:tc>
          <w:tcPr>
            <w:tcW w:w="479" w:type="pct"/>
            <w:shd w:val="clear" w:color="auto" w:fill="auto"/>
          </w:tcPr>
          <w:p w:rsidR="007D17C5" w:rsidRPr="002B1A95" w:rsidRDefault="007D17C5" w:rsidP="009558BE">
            <w:pPr>
              <w:pStyle w:val="Tabletext"/>
            </w:pPr>
            <w:r w:rsidRPr="002B1A95">
              <w:t>55</w:t>
            </w:r>
          </w:p>
        </w:tc>
        <w:tc>
          <w:tcPr>
            <w:tcW w:w="4521" w:type="pct"/>
            <w:shd w:val="clear" w:color="auto" w:fill="auto"/>
          </w:tcPr>
          <w:p w:rsidR="007D17C5" w:rsidRPr="002B1A95" w:rsidRDefault="007D17C5" w:rsidP="009558BE">
            <w:pPr>
              <w:pStyle w:val="Tabletext"/>
            </w:pPr>
            <w:r w:rsidRPr="002B1A95">
              <w:t>Euronext Lisbon</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Serbia</w:t>
            </w:r>
          </w:p>
        </w:tc>
      </w:tr>
      <w:tr w:rsidR="007D17C5" w:rsidRPr="002B1A95" w:rsidTr="009558BE">
        <w:tc>
          <w:tcPr>
            <w:tcW w:w="479" w:type="pct"/>
            <w:shd w:val="clear" w:color="auto" w:fill="auto"/>
          </w:tcPr>
          <w:p w:rsidR="007D17C5" w:rsidRPr="002B1A95" w:rsidRDefault="007D17C5" w:rsidP="009558BE">
            <w:pPr>
              <w:pStyle w:val="Tabletext"/>
            </w:pPr>
            <w:r w:rsidRPr="002B1A95">
              <w:t>56</w:t>
            </w:r>
          </w:p>
        </w:tc>
        <w:tc>
          <w:tcPr>
            <w:tcW w:w="4521" w:type="pct"/>
            <w:shd w:val="clear" w:color="auto" w:fill="auto"/>
          </w:tcPr>
          <w:p w:rsidR="007D17C5" w:rsidRPr="002B1A95" w:rsidRDefault="007D17C5" w:rsidP="009558BE">
            <w:pPr>
              <w:pStyle w:val="Tabletext"/>
            </w:pPr>
            <w:r w:rsidRPr="002B1A95">
              <w:t>Belgrade Stock Exchange</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Singapore</w:t>
            </w:r>
          </w:p>
        </w:tc>
      </w:tr>
      <w:tr w:rsidR="007D17C5" w:rsidRPr="002B1A95" w:rsidTr="009558BE">
        <w:tc>
          <w:tcPr>
            <w:tcW w:w="479" w:type="pct"/>
            <w:shd w:val="clear" w:color="auto" w:fill="auto"/>
          </w:tcPr>
          <w:p w:rsidR="007D17C5" w:rsidRPr="002B1A95" w:rsidRDefault="007D17C5" w:rsidP="009558BE">
            <w:pPr>
              <w:pStyle w:val="Tabletext"/>
            </w:pPr>
            <w:r w:rsidRPr="002B1A95">
              <w:t>57</w:t>
            </w:r>
          </w:p>
        </w:tc>
        <w:tc>
          <w:tcPr>
            <w:tcW w:w="4521" w:type="pct"/>
            <w:shd w:val="clear" w:color="auto" w:fill="auto"/>
          </w:tcPr>
          <w:p w:rsidR="007D17C5" w:rsidRPr="002B1A95" w:rsidRDefault="007D17C5" w:rsidP="009558BE">
            <w:pPr>
              <w:pStyle w:val="Tabletext"/>
            </w:pPr>
            <w:r w:rsidRPr="002B1A95">
              <w:t>Singapore Exchange</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Slovakia</w:t>
            </w:r>
          </w:p>
        </w:tc>
      </w:tr>
      <w:tr w:rsidR="007D17C5" w:rsidRPr="002B1A95" w:rsidTr="009558BE">
        <w:tc>
          <w:tcPr>
            <w:tcW w:w="479" w:type="pct"/>
            <w:shd w:val="clear" w:color="auto" w:fill="auto"/>
          </w:tcPr>
          <w:p w:rsidR="007D17C5" w:rsidRPr="002B1A95" w:rsidRDefault="007D17C5" w:rsidP="009558BE">
            <w:pPr>
              <w:pStyle w:val="Tabletext"/>
            </w:pPr>
            <w:r w:rsidRPr="002B1A95">
              <w:t>58</w:t>
            </w:r>
          </w:p>
        </w:tc>
        <w:tc>
          <w:tcPr>
            <w:tcW w:w="4521" w:type="pct"/>
            <w:shd w:val="clear" w:color="auto" w:fill="auto"/>
          </w:tcPr>
          <w:p w:rsidR="007D17C5" w:rsidRPr="002B1A95" w:rsidRDefault="007D17C5" w:rsidP="009558BE">
            <w:pPr>
              <w:pStyle w:val="Tabletext"/>
            </w:pPr>
            <w:r w:rsidRPr="002B1A95">
              <w:t>Bratislava Stock Exchange</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Slovenia</w:t>
            </w:r>
          </w:p>
        </w:tc>
      </w:tr>
      <w:tr w:rsidR="007D17C5" w:rsidRPr="002B1A95" w:rsidTr="009558BE">
        <w:tc>
          <w:tcPr>
            <w:tcW w:w="479" w:type="pct"/>
            <w:shd w:val="clear" w:color="auto" w:fill="auto"/>
          </w:tcPr>
          <w:p w:rsidR="007D17C5" w:rsidRPr="002B1A95" w:rsidRDefault="007D17C5" w:rsidP="009558BE">
            <w:pPr>
              <w:pStyle w:val="Tabletext"/>
            </w:pPr>
            <w:r w:rsidRPr="002B1A95">
              <w:t>59</w:t>
            </w:r>
          </w:p>
        </w:tc>
        <w:tc>
          <w:tcPr>
            <w:tcW w:w="4521" w:type="pct"/>
            <w:shd w:val="clear" w:color="auto" w:fill="auto"/>
          </w:tcPr>
          <w:p w:rsidR="007D17C5" w:rsidRPr="002B1A95" w:rsidRDefault="007D17C5" w:rsidP="009558BE">
            <w:pPr>
              <w:pStyle w:val="Tabletext"/>
            </w:pPr>
            <w:r w:rsidRPr="002B1A95">
              <w:t>Ljubljana Stock Exchange</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South Africa</w:t>
            </w:r>
          </w:p>
        </w:tc>
      </w:tr>
      <w:tr w:rsidR="007D17C5" w:rsidRPr="002B1A95" w:rsidTr="009558BE">
        <w:tc>
          <w:tcPr>
            <w:tcW w:w="479" w:type="pct"/>
            <w:shd w:val="clear" w:color="auto" w:fill="auto"/>
          </w:tcPr>
          <w:p w:rsidR="007D17C5" w:rsidRPr="002B1A95" w:rsidRDefault="007D17C5" w:rsidP="009558BE">
            <w:pPr>
              <w:pStyle w:val="Tabletext"/>
            </w:pPr>
            <w:r w:rsidRPr="002B1A95">
              <w:t>60</w:t>
            </w:r>
          </w:p>
        </w:tc>
        <w:tc>
          <w:tcPr>
            <w:tcW w:w="4521" w:type="pct"/>
            <w:shd w:val="clear" w:color="auto" w:fill="auto"/>
          </w:tcPr>
          <w:p w:rsidR="007D17C5" w:rsidRPr="002B1A95" w:rsidRDefault="007D17C5" w:rsidP="009558BE">
            <w:pPr>
              <w:pStyle w:val="Tabletext"/>
            </w:pPr>
            <w:r w:rsidRPr="002B1A95">
              <w:t>Johannesburg Stock Exchange</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Spain</w:t>
            </w:r>
          </w:p>
        </w:tc>
      </w:tr>
      <w:tr w:rsidR="007D17C5" w:rsidRPr="002B1A95" w:rsidTr="009558BE">
        <w:tc>
          <w:tcPr>
            <w:tcW w:w="479" w:type="pct"/>
            <w:shd w:val="clear" w:color="auto" w:fill="auto"/>
          </w:tcPr>
          <w:p w:rsidR="007D17C5" w:rsidRPr="002B1A95" w:rsidRDefault="007D17C5" w:rsidP="009558BE">
            <w:pPr>
              <w:pStyle w:val="Tabletext"/>
            </w:pPr>
            <w:r w:rsidRPr="002B1A95">
              <w:t>61</w:t>
            </w:r>
          </w:p>
        </w:tc>
        <w:tc>
          <w:tcPr>
            <w:tcW w:w="4521" w:type="pct"/>
            <w:shd w:val="clear" w:color="auto" w:fill="auto"/>
          </w:tcPr>
          <w:p w:rsidR="007D17C5" w:rsidRPr="002B1A95" w:rsidRDefault="007D17C5" w:rsidP="009558BE">
            <w:pPr>
              <w:pStyle w:val="Tabletext"/>
            </w:pPr>
            <w:r w:rsidRPr="002B1A95">
              <w:t>Barcelona Stock Exchange</w:t>
            </w:r>
          </w:p>
        </w:tc>
      </w:tr>
      <w:tr w:rsidR="007D17C5" w:rsidRPr="002B1A95" w:rsidTr="009558BE">
        <w:tc>
          <w:tcPr>
            <w:tcW w:w="479" w:type="pct"/>
            <w:shd w:val="clear" w:color="auto" w:fill="auto"/>
          </w:tcPr>
          <w:p w:rsidR="007D17C5" w:rsidRPr="002B1A95" w:rsidRDefault="007D17C5" w:rsidP="009558BE">
            <w:pPr>
              <w:pStyle w:val="Tabletext"/>
            </w:pPr>
            <w:r w:rsidRPr="002B1A95">
              <w:t>62</w:t>
            </w:r>
          </w:p>
        </w:tc>
        <w:tc>
          <w:tcPr>
            <w:tcW w:w="4521" w:type="pct"/>
            <w:shd w:val="clear" w:color="auto" w:fill="auto"/>
          </w:tcPr>
          <w:p w:rsidR="007D17C5" w:rsidRPr="002B1A95" w:rsidRDefault="007D17C5" w:rsidP="009558BE">
            <w:pPr>
              <w:pStyle w:val="Tabletext"/>
            </w:pPr>
            <w:r w:rsidRPr="002B1A95">
              <w:t>Bilbao Stock Exchange</w:t>
            </w:r>
          </w:p>
        </w:tc>
      </w:tr>
      <w:tr w:rsidR="007D17C5" w:rsidRPr="002B1A95" w:rsidTr="009558BE">
        <w:tc>
          <w:tcPr>
            <w:tcW w:w="479" w:type="pct"/>
            <w:shd w:val="clear" w:color="auto" w:fill="auto"/>
          </w:tcPr>
          <w:p w:rsidR="007D17C5" w:rsidRPr="002B1A95" w:rsidRDefault="007D17C5" w:rsidP="009558BE">
            <w:pPr>
              <w:pStyle w:val="Tabletext"/>
            </w:pPr>
            <w:r w:rsidRPr="002B1A95">
              <w:t>63</w:t>
            </w:r>
          </w:p>
        </w:tc>
        <w:tc>
          <w:tcPr>
            <w:tcW w:w="4521" w:type="pct"/>
            <w:shd w:val="clear" w:color="auto" w:fill="auto"/>
          </w:tcPr>
          <w:p w:rsidR="007D17C5" w:rsidRPr="002B1A95" w:rsidRDefault="007D17C5" w:rsidP="009558BE">
            <w:pPr>
              <w:pStyle w:val="Tabletext"/>
            </w:pPr>
            <w:r w:rsidRPr="002B1A95">
              <w:t>Madrid Stock Exchange</w:t>
            </w:r>
          </w:p>
        </w:tc>
      </w:tr>
      <w:tr w:rsidR="007D17C5" w:rsidRPr="002B1A95" w:rsidTr="009558BE">
        <w:tc>
          <w:tcPr>
            <w:tcW w:w="479" w:type="pct"/>
            <w:shd w:val="clear" w:color="auto" w:fill="auto"/>
          </w:tcPr>
          <w:p w:rsidR="007D17C5" w:rsidRPr="002B1A95" w:rsidRDefault="007D17C5" w:rsidP="009558BE">
            <w:pPr>
              <w:pStyle w:val="Tabletext"/>
            </w:pPr>
            <w:r w:rsidRPr="002B1A95">
              <w:t>64</w:t>
            </w:r>
          </w:p>
        </w:tc>
        <w:tc>
          <w:tcPr>
            <w:tcW w:w="4521" w:type="pct"/>
            <w:shd w:val="clear" w:color="auto" w:fill="auto"/>
          </w:tcPr>
          <w:p w:rsidR="007D17C5" w:rsidRPr="002B1A95" w:rsidRDefault="007D17C5" w:rsidP="009558BE">
            <w:pPr>
              <w:pStyle w:val="Tabletext"/>
            </w:pPr>
            <w:r w:rsidRPr="002B1A95">
              <w:t>Valencia Stock Exchange</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Sri Lanka</w:t>
            </w:r>
          </w:p>
        </w:tc>
      </w:tr>
      <w:tr w:rsidR="007D17C5" w:rsidRPr="002B1A95" w:rsidTr="009558BE">
        <w:tc>
          <w:tcPr>
            <w:tcW w:w="479" w:type="pct"/>
            <w:shd w:val="clear" w:color="auto" w:fill="auto"/>
          </w:tcPr>
          <w:p w:rsidR="007D17C5" w:rsidRPr="002B1A95" w:rsidRDefault="007D17C5" w:rsidP="009558BE">
            <w:pPr>
              <w:pStyle w:val="Tabletext"/>
            </w:pPr>
            <w:r w:rsidRPr="002B1A95">
              <w:t>65</w:t>
            </w:r>
          </w:p>
        </w:tc>
        <w:tc>
          <w:tcPr>
            <w:tcW w:w="4521" w:type="pct"/>
            <w:shd w:val="clear" w:color="auto" w:fill="auto"/>
          </w:tcPr>
          <w:p w:rsidR="007D17C5" w:rsidRPr="002B1A95" w:rsidRDefault="007D17C5" w:rsidP="009558BE">
            <w:pPr>
              <w:pStyle w:val="Tabletext"/>
            </w:pPr>
            <w:r w:rsidRPr="002B1A95">
              <w:t>Colombo Stock Exchange</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Sweden</w:t>
            </w:r>
          </w:p>
        </w:tc>
      </w:tr>
      <w:tr w:rsidR="007D17C5" w:rsidRPr="002B1A95" w:rsidTr="009558BE">
        <w:tc>
          <w:tcPr>
            <w:tcW w:w="479" w:type="pct"/>
            <w:shd w:val="clear" w:color="auto" w:fill="auto"/>
          </w:tcPr>
          <w:p w:rsidR="007D17C5" w:rsidRPr="002B1A95" w:rsidRDefault="007D17C5" w:rsidP="009558BE">
            <w:pPr>
              <w:pStyle w:val="Tabletext"/>
            </w:pPr>
            <w:r w:rsidRPr="002B1A95">
              <w:t>66</w:t>
            </w:r>
          </w:p>
        </w:tc>
        <w:tc>
          <w:tcPr>
            <w:tcW w:w="4521" w:type="pct"/>
            <w:shd w:val="clear" w:color="auto" w:fill="auto"/>
          </w:tcPr>
          <w:p w:rsidR="007D17C5" w:rsidRPr="002B1A95" w:rsidRDefault="007D17C5" w:rsidP="009558BE">
            <w:pPr>
              <w:pStyle w:val="Tabletext"/>
            </w:pPr>
            <w:r w:rsidRPr="002B1A95">
              <w:t>Nasdaq Stockholm</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Switzerland</w:t>
            </w:r>
          </w:p>
        </w:tc>
      </w:tr>
      <w:tr w:rsidR="007D17C5" w:rsidRPr="002B1A95" w:rsidTr="009558BE">
        <w:tc>
          <w:tcPr>
            <w:tcW w:w="479" w:type="pct"/>
            <w:shd w:val="clear" w:color="auto" w:fill="auto"/>
          </w:tcPr>
          <w:p w:rsidR="007D17C5" w:rsidRPr="002B1A95" w:rsidRDefault="007D17C5" w:rsidP="009558BE">
            <w:pPr>
              <w:pStyle w:val="Tabletext"/>
            </w:pPr>
            <w:r w:rsidRPr="002B1A95">
              <w:t>67</w:t>
            </w:r>
          </w:p>
        </w:tc>
        <w:tc>
          <w:tcPr>
            <w:tcW w:w="4521" w:type="pct"/>
            <w:shd w:val="clear" w:color="auto" w:fill="auto"/>
          </w:tcPr>
          <w:p w:rsidR="007D17C5" w:rsidRPr="002B1A95" w:rsidRDefault="007D17C5" w:rsidP="009558BE">
            <w:pPr>
              <w:pStyle w:val="Tabletext"/>
            </w:pPr>
            <w:r w:rsidRPr="002B1A95">
              <w:t>SIX Swiss Exchange</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Taiwan</w:t>
            </w:r>
          </w:p>
        </w:tc>
      </w:tr>
      <w:tr w:rsidR="007D17C5" w:rsidRPr="002B1A95" w:rsidTr="009558BE">
        <w:tc>
          <w:tcPr>
            <w:tcW w:w="479" w:type="pct"/>
            <w:shd w:val="clear" w:color="auto" w:fill="auto"/>
          </w:tcPr>
          <w:p w:rsidR="007D17C5" w:rsidRPr="002B1A95" w:rsidRDefault="007D17C5" w:rsidP="009558BE">
            <w:pPr>
              <w:pStyle w:val="Tabletext"/>
            </w:pPr>
            <w:r w:rsidRPr="002B1A95">
              <w:t>68</w:t>
            </w:r>
          </w:p>
        </w:tc>
        <w:tc>
          <w:tcPr>
            <w:tcW w:w="4521" w:type="pct"/>
            <w:shd w:val="clear" w:color="auto" w:fill="auto"/>
          </w:tcPr>
          <w:p w:rsidR="007D17C5" w:rsidRPr="002B1A95" w:rsidRDefault="007D17C5" w:rsidP="009558BE">
            <w:pPr>
              <w:pStyle w:val="Tabletext"/>
            </w:pPr>
            <w:r w:rsidRPr="002B1A95">
              <w:t>Taiwan Stock Exchange Corporation</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Thailand</w:t>
            </w:r>
          </w:p>
        </w:tc>
      </w:tr>
      <w:tr w:rsidR="007D17C5" w:rsidRPr="002B1A95" w:rsidTr="009558BE">
        <w:tc>
          <w:tcPr>
            <w:tcW w:w="479" w:type="pct"/>
            <w:shd w:val="clear" w:color="auto" w:fill="auto"/>
          </w:tcPr>
          <w:p w:rsidR="007D17C5" w:rsidRPr="002B1A95" w:rsidRDefault="007D17C5" w:rsidP="009558BE">
            <w:pPr>
              <w:pStyle w:val="Tabletext"/>
            </w:pPr>
            <w:r w:rsidRPr="002B1A95">
              <w:t>69</w:t>
            </w:r>
          </w:p>
        </w:tc>
        <w:tc>
          <w:tcPr>
            <w:tcW w:w="4521" w:type="pct"/>
            <w:shd w:val="clear" w:color="auto" w:fill="auto"/>
          </w:tcPr>
          <w:p w:rsidR="007D17C5" w:rsidRPr="002B1A95" w:rsidRDefault="007D17C5" w:rsidP="009558BE">
            <w:pPr>
              <w:pStyle w:val="Tabletext"/>
            </w:pPr>
            <w:r w:rsidRPr="002B1A95">
              <w:t>The Stock Exchange of Thailand</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Trinidad and Tobago</w:t>
            </w:r>
          </w:p>
        </w:tc>
      </w:tr>
      <w:tr w:rsidR="007D17C5" w:rsidRPr="002B1A95" w:rsidTr="009558BE">
        <w:tc>
          <w:tcPr>
            <w:tcW w:w="479" w:type="pct"/>
            <w:shd w:val="clear" w:color="auto" w:fill="auto"/>
          </w:tcPr>
          <w:p w:rsidR="007D17C5" w:rsidRPr="002B1A95" w:rsidRDefault="007D17C5" w:rsidP="009558BE">
            <w:pPr>
              <w:pStyle w:val="Tabletext"/>
            </w:pPr>
            <w:r w:rsidRPr="002B1A95">
              <w:t>70</w:t>
            </w:r>
          </w:p>
        </w:tc>
        <w:tc>
          <w:tcPr>
            <w:tcW w:w="4521" w:type="pct"/>
            <w:shd w:val="clear" w:color="auto" w:fill="auto"/>
          </w:tcPr>
          <w:p w:rsidR="007D17C5" w:rsidRPr="002B1A95" w:rsidRDefault="007D17C5" w:rsidP="009558BE">
            <w:pPr>
              <w:pStyle w:val="Tabletext"/>
            </w:pPr>
            <w:r w:rsidRPr="002B1A95">
              <w:t>Trinidad and Tobago Stock Exchange</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Turkey</w:t>
            </w:r>
          </w:p>
        </w:tc>
      </w:tr>
      <w:tr w:rsidR="007D17C5" w:rsidRPr="002B1A95" w:rsidTr="009558BE">
        <w:tc>
          <w:tcPr>
            <w:tcW w:w="479" w:type="pct"/>
            <w:shd w:val="clear" w:color="auto" w:fill="auto"/>
          </w:tcPr>
          <w:p w:rsidR="007D17C5" w:rsidRPr="002B1A95" w:rsidRDefault="007D17C5" w:rsidP="009558BE">
            <w:pPr>
              <w:pStyle w:val="Tabletext"/>
            </w:pPr>
            <w:r w:rsidRPr="002B1A95">
              <w:t>71</w:t>
            </w:r>
          </w:p>
        </w:tc>
        <w:tc>
          <w:tcPr>
            <w:tcW w:w="4521" w:type="pct"/>
            <w:shd w:val="clear" w:color="auto" w:fill="auto"/>
          </w:tcPr>
          <w:p w:rsidR="007D17C5" w:rsidRPr="002B1A95" w:rsidRDefault="007D17C5" w:rsidP="009558BE">
            <w:pPr>
              <w:pStyle w:val="Tabletext"/>
            </w:pPr>
            <w:r w:rsidRPr="002B1A95">
              <w:t>Istanbul Stock Exchange</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United Kingdom</w:t>
            </w:r>
          </w:p>
        </w:tc>
      </w:tr>
      <w:tr w:rsidR="007D17C5" w:rsidRPr="002B1A95" w:rsidTr="009558BE">
        <w:tc>
          <w:tcPr>
            <w:tcW w:w="479" w:type="pct"/>
            <w:shd w:val="clear" w:color="auto" w:fill="auto"/>
          </w:tcPr>
          <w:p w:rsidR="007D17C5" w:rsidRPr="002B1A95" w:rsidRDefault="007D17C5" w:rsidP="009558BE">
            <w:pPr>
              <w:pStyle w:val="Tabletext"/>
            </w:pPr>
            <w:r w:rsidRPr="002B1A95">
              <w:t>72</w:t>
            </w:r>
          </w:p>
        </w:tc>
        <w:tc>
          <w:tcPr>
            <w:tcW w:w="4521" w:type="pct"/>
            <w:shd w:val="clear" w:color="auto" w:fill="auto"/>
          </w:tcPr>
          <w:p w:rsidR="007D17C5" w:rsidRPr="002B1A95" w:rsidRDefault="007D17C5" w:rsidP="009558BE">
            <w:pPr>
              <w:pStyle w:val="Tabletext"/>
            </w:pPr>
            <w:r w:rsidRPr="002B1A95">
              <w:t>London Stock Exchange</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United States</w:t>
            </w:r>
          </w:p>
        </w:tc>
      </w:tr>
      <w:tr w:rsidR="007D17C5" w:rsidRPr="002B1A95" w:rsidTr="009558BE">
        <w:tc>
          <w:tcPr>
            <w:tcW w:w="479" w:type="pct"/>
            <w:shd w:val="clear" w:color="auto" w:fill="auto"/>
          </w:tcPr>
          <w:p w:rsidR="007D17C5" w:rsidRPr="002B1A95" w:rsidRDefault="007D17C5" w:rsidP="009558BE">
            <w:pPr>
              <w:pStyle w:val="Tabletext"/>
            </w:pPr>
            <w:r w:rsidRPr="002B1A95">
              <w:t>73</w:t>
            </w:r>
          </w:p>
        </w:tc>
        <w:tc>
          <w:tcPr>
            <w:tcW w:w="4521" w:type="pct"/>
            <w:shd w:val="clear" w:color="auto" w:fill="auto"/>
          </w:tcPr>
          <w:p w:rsidR="007D17C5" w:rsidRPr="002B1A95" w:rsidRDefault="007D17C5" w:rsidP="009558BE">
            <w:pPr>
              <w:pStyle w:val="Tabletext"/>
            </w:pPr>
            <w:r w:rsidRPr="002B1A95">
              <w:t>Chicago Stock Exchange</w:t>
            </w:r>
          </w:p>
        </w:tc>
      </w:tr>
      <w:tr w:rsidR="007D17C5" w:rsidRPr="002B1A95" w:rsidTr="009558BE">
        <w:tc>
          <w:tcPr>
            <w:tcW w:w="479" w:type="pct"/>
            <w:shd w:val="clear" w:color="auto" w:fill="auto"/>
          </w:tcPr>
          <w:p w:rsidR="007D17C5" w:rsidRPr="002B1A95" w:rsidRDefault="007D17C5" w:rsidP="009558BE">
            <w:pPr>
              <w:pStyle w:val="Tabletext"/>
            </w:pPr>
            <w:r w:rsidRPr="002B1A95">
              <w:t>74</w:t>
            </w:r>
          </w:p>
        </w:tc>
        <w:tc>
          <w:tcPr>
            <w:tcW w:w="4521" w:type="pct"/>
            <w:shd w:val="clear" w:color="auto" w:fill="auto"/>
          </w:tcPr>
          <w:p w:rsidR="007D17C5" w:rsidRPr="002B1A95" w:rsidRDefault="007D17C5" w:rsidP="009558BE">
            <w:pPr>
              <w:pStyle w:val="Tabletext"/>
            </w:pPr>
            <w:r w:rsidRPr="002B1A95">
              <w:t>NASDAQ OMX BX</w:t>
            </w:r>
          </w:p>
        </w:tc>
      </w:tr>
      <w:tr w:rsidR="007D17C5" w:rsidRPr="002B1A95" w:rsidTr="009558BE">
        <w:tc>
          <w:tcPr>
            <w:tcW w:w="479" w:type="pct"/>
            <w:shd w:val="clear" w:color="auto" w:fill="auto"/>
          </w:tcPr>
          <w:p w:rsidR="007D17C5" w:rsidRPr="002B1A95" w:rsidRDefault="007D17C5" w:rsidP="009558BE">
            <w:pPr>
              <w:pStyle w:val="Tabletext"/>
            </w:pPr>
            <w:r w:rsidRPr="002B1A95">
              <w:t>75</w:t>
            </w:r>
          </w:p>
        </w:tc>
        <w:tc>
          <w:tcPr>
            <w:tcW w:w="4521" w:type="pct"/>
            <w:shd w:val="clear" w:color="auto" w:fill="auto"/>
          </w:tcPr>
          <w:p w:rsidR="007D17C5" w:rsidRPr="002B1A95" w:rsidRDefault="007D17C5" w:rsidP="009558BE">
            <w:pPr>
              <w:pStyle w:val="Tabletext"/>
            </w:pPr>
            <w:r w:rsidRPr="002B1A95">
              <w:t>NASDAQ OMX PHLX</w:t>
            </w:r>
          </w:p>
        </w:tc>
      </w:tr>
      <w:tr w:rsidR="007D17C5" w:rsidRPr="002B1A95" w:rsidTr="009558BE">
        <w:tc>
          <w:tcPr>
            <w:tcW w:w="479" w:type="pct"/>
            <w:shd w:val="clear" w:color="auto" w:fill="auto"/>
          </w:tcPr>
          <w:p w:rsidR="007D17C5" w:rsidRPr="002B1A95" w:rsidRDefault="007D17C5" w:rsidP="009558BE">
            <w:pPr>
              <w:pStyle w:val="Tabletext"/>
            </w:pPr>
            <w:r w:rsidRPr="002B1A95">
              <w:t>76</w:t>
            </w:r>
          </w:p>
        </w:tc>
        <w:tc>
          <w:tcPr>
            <w:tcW w:w="4521" w:type="pct"/>
            <w:shd w:val="clear" w:color="auto" w:fill="auto"/>
          </w:tcPr>
          <w:p w:rsidR="007D17C5" w:rsidRPr="002B1A95" w:rsidRDefault="007D17C5" w:rsidP="009558BE">
            <w:pPr>
              <w:pStyle w:val="Tabletext"/>
            </w:pPr>
            <w:r w:rsidRPr="002B1A95">
              <w:t>NASDAQ Stock Market</w:t>
            </w:r>
          </w:p>
        </w:tc>
      </w:tr>
      <w:tr w:rsidR="007D17C5" w:rsidRPr="002B1A95" w:rsidTr="009558BE">
        <w:tc>
          <w:tcPr>
            <w:tcW w:w="479" w:type="pct"/>
            <w:shd w:val="clear" w:color="auto" w:fill="auto"/>
          </w:tcPr>
          <w:p w:rsidR="007D17C5" w:rsidRPr="002B1A95" w:rsidRDefault="007D17C5" w:rsidP="009558BE">
            <w:pPr>
              <w:pStyle w:val="Tabletext"/>
            </w:pPr>
            <w:r w:rsidRPr="002B1A95">
              <w:t>77</w:t>
            </w:r>
          </w:p>
        </w:tc>
        <w:tc>
          <w:tcPr>
            <w:tcW w:w="4521" w:type="pct"/>
            <w:shd w:val="clear" w:color="auto" w:fill="auto"/>
          </w:tcPr>
          <w:p w:rsidR="007D17C5" w:rsidRPr="002B1A95" w:rsidRDefault="007D17C5" w:rsidP="009558BE">
            <w:pPr>
              <w:pStyle w:val="Tabletext"/>
            </w:pPr>
            <w:r w:rsidRPr="002B1A95">
              <w:t>NYSE, also known as New York Stock Exchange</w:t>
            </w:r>
          </w:p>
        </w:tc>
      </w:tr>
      <w:tr w:rsidR="007D17C5" w:rsidRPr="002B1A95" w:rsidTr="009558BE">
        <w:tc>
          <w:tcPr>
            <w:tcW w:w="479" w:type="pct"/>
            <w:shd w:val="clear" w:color="auto" w:fill="auto"/>
          </w:tcPr>
          <w:p w:rsidR="007D17C5" w:rsidRPr="002B1A95" w:rsidRDefault="007D17C5" w:rsidP="009558BE">
            <w:pPr>
              <w:pStyle w:val="Tabletext"/>
            </w:pPr>
            <w:r w:rsidRPr="002B1A95">
              <w:t>78</w:t>
            </w:r>
          </w:p>
        </w:tc>
        <w:tc>
          <w:tcPr>
            <w:tcW w:w="4521" w:type="pct"/>
            <w:shd w:val="clear" w:color="auto" w:fill="auto"/>
          </w:tcPr>
          <w:p w:rsidR="007D17C5" w:rsidRPr="002B1A95" w:rsidRDefault="007D17C5" w:rsidP="009558BE">
            <w:pPr>
              <w:pStyle w:val="Tabletext"/>
            </w:pPr>
            <w:r w:rsidRPr="002B1A95">
              <w:t>NYSE American</w:t>
            </w:r>
          </w:p>
        </w:tc>
      </w:tr>
      <w:tr w:rsidR="007D17C5" w:rsidRPr="002B1A95" w:rsidTr="009558BE">
        <w:tc>
          <w:tcPr>
            <w:tcW w:w="479" w:type="pct"/>
            <w:shd w:val="clear" w:color="auto" w:fill="auto"/>
          </w:tcPr>
          <w:p w:rsidR="007D17C5" w:rsidRPr="002B1A95" w:rsidRDefault="007D17C5" w:rsidP="009558BE">
            <w:pPr>
              <w:pStyle w:val="Tabletext"/>
            </w:pPr>
            <w:r w:rsidRPr="002B1A95">
              <w:t>79</w:t>
            </w:r>
          </w:p>
        </w:tc>
        <w:tc>
          <w:tcPr>
            <w:tcW w:w="4521" w:type="pct"/>
            <w:shd w:val="clear" w:color="auto" w:fill="auto"/>
          </w:tcPr>
          <w:p w:rsidR="007D17C5" w:rsidRPr="002B1A95" w:rsidRDefault="007D17C5" w:rsidP="009558BE">
            <w:pPr>
              <w:pStyle w:val="Tabletext"/>
            </w:pPr>
            <w:r w:rsidRPr="002B1A95">
              <w:t>NYSE American Options</w:t>
            </w:r>
          </w:p>
        </w:tc>
      </w:tr>
      <w:tr w:rsidR="007D17C5" w:rsidRPr="002B1A95" w:rsidTr="009558BE">
        <w:tc>
          <w:tcPr>
            <w:tcW w:w="479" w:type="pct"/>
            <w:shd w:val="clear" w:color="auto" w:fill="auto"/>
          </w:tcPr>
          <w:p w:rsidR="007D17C5" w:rsidRPr="002B1A95" w:rsidRDefault="007D17C5" w:rsidP="009558BE">
            <w:pPr>
              <w:pStyle w:val="Tabletext"/>
            </w:pPr>
            <w:r w:rsidRPr="002B1A95">
              <w:t>80</w:t>
            </w:r>
          </w:p>
        </w:tc>
        <w:tc>
          <w:tcPr>
            <w:tcW w:w="4521" w:type="pct"/>
            <w:shd w:val="clear" w:color="auto" w:fill="auto"/>
          </w:tcPr>
          <w:p w:rsidR="007D17C5" w:rsidRPr="002B1A95" w:rsidRDefault="007D17C5" w:rsidP="009558BE">
            <w:pPr>
              <w:pStyle w:val="Tabletext"/>
            </w:pPr>
            <w:r w:rsidRPr="002B1A95">
              <w:t>NYSE Arca Equities</w:t>
            </w:r>
          </w:p>
        </w:tc>
      </w:tr>
      <w:tr w:rsidR="007D17C5" w:rsidRPr="002B1A95" w:rsidTr="009558BE">
        <w:tc>
          <w:tcPr>
            <w:tcW w:w="479" w:type="pct"/>
            <w:shd w:val="clear" w:color="auto" w:fill="auto"/>
          </w:tcPr>
          <w:p w:rsidR="007D17C5" w:rsidRPr="002B1A95" w:rsidRDefault="007D17C5" w:rsidP="009558BE">
            <w:pPr>
              <w:pStyle w:val="Tabletext"/>
            </w:pPr>
            <w:r w:rsidRPr="002B1A95">
              <w:t>81</w:t>
            </w:r>
          </w:p>
        </w:tc>
        <w:tc>
          <w:tcPr>
            <w:tcW w:w="4521" w:type="pct"/>
            <w:shd w:val="clear" w:color="auto" w:fill="auto"/>
          </w:tcPr>
          <w:p w:rsidR="007D17C5" w:rsidRPr="002B1A95" w:rsidRDefault="007D17C5" w:rsidP="009558BE">
            <w:pPr>
              <w:pStyle w:val="Tabletext"/>
            </w:pPr>
            <w:r w:rsidRPr="002B1A95">
              <w:t>NYSE Arca Options</w:t>
            </w:r>
          </w:p>
        </w:tc>
      </w:tr>
      <w:tr w:rsidR="007D17C5" w:rsidRPr="002B1A95" w:rsidTr="009558BE">
        <w:tc>
          <w:tcPr>
            <w:tcW w:w="479" w:type="pct"/>
            <w:shd w:val="clear" w:color="auto" w:fill="auto"/>
          </w:tcPr>
          <w:p w:rsidR="007D17C5" w:rsidRPr="002B1A95" w:rsidRDefault="007D17C5" w:rsidP="009558BE">
            <w:pPr>
              <w:pStyle w:val="Tabletext"/>
            </w:pPr>
            <w:r w:rsidRPr="002B1A95">
              <w:t>82</w:t>
            </w:r>
          </w:p>
        </w:tc>
        <w:tc>
          <w:tcPr>
            <w:tcW w:w="4521" w:type="pct"/>
            <w:shd w:val="clear" w:color="auto" w:fill="auto"/>
          </w:tcPr>
          <w:p w:rsidR="007D17C5" w:rsidRPr="002B1A95" w:rsidRDefault="007D17C5" w:rsidP="009558BE">
            <w:pPr>
              <w:pStyle w:val="Tabletext"/>
            </w:pPr>
            <w:r w:rsidRPr="002B1A95">
              <w:t>NYSE National</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Uruguay</w:t>
            </w:r>
          </w:p>
        </w:tc>
      </w:tr>
      <w:tr w:rsidR="007D17C5" w:rsidRPr="002B1A95" w:rsidTr="009558BE">
        <w:tc>
          <w:tcPr>
            <w:tcW w:w="479" w:type="pct"/>
            <w:shd w:val="clear" w:color="auto" w:fill="auto"/>
          </w:tcPr>
          <w:p w:rsidR="007D17C5" w:rsidRPr="002B1A95" w:rsidRDefault="007D17C5" w:rsidP="009558BE">
            <w:pPr>
              <w:pStyle w:val="Tabletext"/>
            </w:pPr>
            <w:r w:rsidRPr="002B1A95">
              <w:t>83</w:t>
            </w:r>
          </w:p>
        </w:tc>
        <w:tc>
          <w:tcPr>
            <w:tcW w:w="4521" w:type="pct"/>
            <w:shd w:val="clear" w:color="auto" w:fill="auto"/>
          </w:tcPr>
          <w:p w:rsidR="007D17C5" w:rsidRPr="002B1A95" w:rsidRDefault="007D17C5" w:rsidP="009558BE">
            <w:pPr>
              <w:pStyle w:val="Tabletext"/>
            </w:pPr>
            <w:r w:rsidRPr="002B1A95">
              <w:t>Montevideo Stock Exchange</w:t>
            </w:r>
          </w:p>
        </w:tc>
      </w:tr>
      <w:tr w:rsidR="007D17C5" w:rsidRPr="002B1A95" w:rsidTr="009558BE">
        <w:tc>
          <w:tcPr>
            <w:tcW w:w="479" w:type="pct"/>
            <w:shd w:val="clear" w:color="auto" w:fill="auto"/>
          </w:tcPr>
          <w:p w:rsidR="007D17C5" w:rsidRPr="002B1A95" w:rsidRDefault="007D17C5" w:rsidP="009558BE">
            <w:pPr>
              <w:pStyle w:val="TableHeading"/>
            </w:pPr>
          </w:p>
        </w:tc>
        <w:tc>
          <w:tcPr>
            <w:tcW w:w="4521" w:type="pct"/>
            <w:shd w:val="clear" w:color="auto" w:fill="auto"/>
          </w:tcPr>
          <w:p w:rsidR="007D17C5" w:rsidRPr="002B1A95" w:rsidRDefault="007D17C5" w:rsidP="009558BE">
            <w:pPr>
              <w:pStyle w:val="TableHeading"/>
            </w:pPr>
            <w:r w:rsidRPr="002B1A95">
              <w:t>Venezuela</w:t>
            </w:r>
          </w:p>
        </w:tc>
      </w:tr>
      <w:tr w:rsidR="007D17C5" w:rsidRPr="002B1A95" w:rsidTr="009558BE">
        <w:tc>
          <w:tcPr>
            <w:tcW w:w="479" w:type="pct"/>
            <w:shd w:val="clear" w:color="auto" w:fill="auto"/>
          </w:tcPr>
          <w:p w:rsidR="007D17C5" w:rsidRPr="002B1A95" w:rsidRDefault="007D17C5" w:rsidP="009558BE">
            <w:pPr>
              <w:pStyle w:val="Tabletext"/>
            </w:pPr>
            <w:r w:rsidRPr="002B1A95">
              <w:t>84</w:t>
            </w:r>
          </w:p>
        </w:tc>
        <w:tc>
          <w:tcPr>
            <w:tcW w:w="4521" w:type="pct"/>
            <w:shd w:val="clear" w:color="auto" w:fill="auto"/>
          </w:tcPr>
          <w:p w:rsidR="007D17C5" w:rsidRPr="002B1A95" w:rsidRDefault="007D17C5" w:rsidP="009558BE">
            <w:pPr>
              <w:pStyle w:val="Tabletext"/>
            </w:pPr>
            <w:r w:rsidRPr="002B1A95">
              <w:t>Caracas Stock Exchange</w:t>
            </w:r>
          </w:p>
        </w:tc>
      </w:tr>
      <w:tr w:rsidR="007D17C5" w:rsidRPr="002B1A95" w:rsidTr="009558BE">
        <w:tc>
          <w:tcPr>
            <w:tcW w:w="479" w:type="pct"/>
            <w:tcBorders>
              <w:bottom w:val="single" w:sz="2" w:space="0" w:color="auto"/>
            </w:tcBorders>
            <w:shd w:val="clear" w:color="auto" w:fill="auto"/>
          </w:tcPr>
          <w:p w:rsidR="007D17C5" w:rsidRPr="002B1A95" w:rsidRDefault="007D17C5" w:rsidP="009558BE">
            <w:pPr>
              <w:pStyle w:val="TableHeading"/>
            </w:pPr>
          </w:p>
        </w:tc>
        <w:tc>
          <w:tcPr>
            <w:tcW w:w="4521" w:type="pct"/>
            <w:tcBorders>
              <w:bottom w:val="single" w:sz="2" w:space="0" w:color="auto"/>
            </w:tcBorders>
            <w:shd w:val="clear" w:color="auto" w:fill="auto"/>
          </w:tcPr>
          <w:p w:rsidR="007D17C5" w:rsidRPr="002B1A95" w:rsidRDefault="007D17C5" w:rsidP="009558BE">
            <w:pPr>
              <w:pStyle w:val="TableHeading"/>
            </w:pPr>
            <w:r w:rsidRPr="002B1A95">
              <w:t>Zimbabwe</w:t>
            </w:r>
          </w:p>
        </w:tc>
      </w:tr>
      <w:tr w:rsidR="007D17C5" w:rsidRPr="002B1A95" w:rsidTr="009558BE">
        <w:tc>
          <w:tcPr>
            <w:tcW w:w="479" w:type="pct"/>
            <w:tcBorders>
              <w:top w:val="single" w:sz="2" w:space="0" w:color="auto"/>
              <w:bottom w:val="single" w:sz="8" w:space="0" w:color="auto"/>
            </w:tcBorders>
            <w:shd w:val="clear" w:color="auto" w:fill="auto"/>
          </w:tcPr>
          <w:p w:rsidR="007D17C5" w:rsidRPr="002B1A95" w:rsidRDefault="007D17C5" w:rsidP="009558BE">
            <w:pPr>
              <w:pStyle w:val="Tabletext"/>
            </w:pPr>
            <w:r w:rsidRPr="002B1A95">
              <w:t>85</w:t>
            </w:r>
          </w:p>
        </w:tc>
        <w:tc>
          <w:tcPr>
            <w:tcW w:w="4521" w:type="pct"/>
            <w:tcBorders>
              <w:top w:val="single" w:sz="2" w:space="0" w:color="auto"/>
              <w:bottom w:val="single" w:sz="8" w:space="0" w:color="auto"/>
            </w:tcBorders>
            <w:shd w:val="clear" w:color="auto" w:fill="auto"/>
          </w:tcPr>
          <w:p w:rsidR="007D17C5" w:rsidRPr="002B1A95" w:rsidRDefault="007D17C5" w:rsidP="009558BE">
            <w:pPr>
              <w:pStyle w:val="Tabletext"/>
            </w:pPr>
            <w:r w:rsidRPr="002B1A95">
              <w:t>Zimbabwe Stock Exchange Limited</w:t>
            </w:r>
          </w:p>
        </w:tc>
      </w:tr>
    </w:tbl>
    <w:p w:rsidR="009D7AC7" w:rsidRPr="00D675F1" w:rsidRDefault="009D7AC7" w:rsidP="009D7AC7">
      <w:pPr>
        <w:pStyle w:val="ActHead1"/>
      </w:pPr>
    </w:p>
    <w:p w:rsidR="009D7AC7" w:rsidRDefault="009D7AC7" w:rsidP="009D7AC7">
      <w:pPr>
        <w:sectPr w:rsidR="009D7AC7" w:rsidSect="009D7AC7">
          <w:headerReference w:type="even" r:id="rId46"/>
          <w:headerReference w:type="default" r:id="rId47"/>
          <w:footerReference w:type="even" r:id="rId48"/>
          <w:footerReference w:type="default" r:id="rId49"/>
          <w:headerReference w:type="first" r:id="rId50"/>
          <w:footerReference w:type="first" r:id="rId51"/>
          <w:type w:val="continuous"/>
          <w:pgSz w:w="11907" w:h="16839" w:code="9"/>
          <w:pgMar w:top="2233" w:right="1797" w:bottom="1440" w:left="1797" w:header="720" w:footer="709" w:gutter="0"/>
          <w:cols w:space="720"/>
          <w:docGrid w:linePitch="299"/>
        </w:sectPr>
      </w:pPr>
    </w:p>
    <w:p w:rsidR="00FB62F0" w:rsidRPr="002B1A95" w:rsidRDefault="00FB62F0" w:rsidP="00411C46"/>
    <w:sectPr w:rsidR="00FB62F0" w:rsidRPr="002B1A95" w:rsidSect="003104D0">
      <w:headerReference w:type="even" r:id="rId52"/>
      <w:headerReference w:type="default" r:id="rId53"/>
      <w:footerReference w:type="even" r:id="rId54"/>
      <w:footerReference w:type="default" r:id="rId55"/>
      <w:headerReference w:type="first" r:id="rId56"/>
      <w:footerReference w:type="first" r:id="rId57"/>
      <w:type w:val="continuous"/>
      <w:pgSz w:w="11907" w:h="16839" w:code="9"/>
      <w:pgMar w:top="2233"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4D0" w:rsidRDefault="003104D0" w:rsidP="00715914">
      <w:pPr>
        <w:spacing w:line="240" w:lineRule="auto"/>
      </w:pPr>
      <w:r>
        <w:separator/>
      </w:r>
    </w:p>
  </w:endnote>
  <w:endnote w:type="continuationSeparator" w:id="0">
    <w:p w:rsidR="003104D0" w:rsidRDefault="003104D0"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2B1A95" w:rsidTr="00726A51">
      <w:tc>
        <w:tcPr>
          <w:tcW w:w="8472" w:type="dxa"/>
        </w:tcPr>
        <w:p w:rsidR="002B1A95" w:rsidRDefault="002B1A95" w:rsidP="003104D0">
          <w:pPr>
            <w:spacing w:before="120"/>
            <w:jc w:val="right"/>
            <w:rPr>
              <w:sz w:val="18"/>
            </w:rPr>
          </w:pPr>
          <w:r>
            <w:rPr>
              <w:i/>
              <w:noProof/>
              <w:sz w:val="18"/>
              <w:lang w:eastAsia="en-AU"/>
            </w:rPr>
            <mc:AlternateContent>
              <mc:Choice Requires="wps">
                <w:drawing>
                  <wp:anchor distT="0" distB="0" distL="114300" distR="114300" simplePos="0" relativeHeight="251687936" behindDoc="1" locked="0" layoutInCell="1" allowOverlap="1" wp14:anchorId="68E1C3F0" wp14:editId="3826BC42">
                    <wp:simplePos x="0" y="0"/>
                    <wp:positionH relativeFrom="column">
                      <wp:align>center</wp:align>
                    </wp:positionH>
                    <wp:positionV relativeFrom="page">
                      <wp:posOffset>10079990</wp:posOffset>
                    </wp:positionV>
                    <wp:extent cx="4410075" cy="400050"/>
                    <wp:effectExtent l="0" t="0" r="952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2B1A95" w:rsidRPr="00284719" w:rsidRDefault="002B1A95"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F54F75">
                                  <w:rPr>
                                    <w:rFonts w:ascii="Arial" w:hAnsi="Arial" w:cs="Arial"/>
                                    <w:b/>
                                    <w:sz w:val="40"/>
                                  </w:rPr>
                                  <w:t>EXPOSURE DRAFT</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285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" stroked="f">
                    <v:stroke joinstyle="round"/>
                    <v:path arrowok="t"/>
                    <v:textbox>
                      <w:txbxContent>
                        <w:p w:rsidR="002B1A95" w:rsidRPr="00284719" w:rsidRDefault="002B1A95"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F54F75">
                            <w:rPr>
                              <w:rFonts w:ascii="Arial" w:hAnsi="Arial" w:cs="Arial"/>
                              <w:b/>
                              <w:sz w:val="40"/>
                            </w:rPr>
                            <w:t>EXPOSURE DRAFT</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ED79B6">
            <w:rPr>
              <w:i/>
              <w:sz w:val="18"/>
            </w:rPr>
            <w:t xml:space="preserve"> </w:t>
          </w:r>
        </w:p>
      </w:tc>
    </w:tr>
  </w:tbl>
  <w:p w:rsidR="003104D0" w:rsidRPr="007500C8" w:rsidRDefault="003104D0" w:rsidP="00335BC6">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AC7" w:rsidRPr="00D675F1" w:rsidRDefault="009D7AC7" w:rsidP="003104D0">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9D7AC7" w:rsidTr="004F4CFC">
      <w:tc>
        <w:tcPr>
          <w:tcW w:w="1383" w:type="dxa"/>
        </w:tcPr>
        <w:p w:rsidR="009D7AC7" w:rsidRDefault="009D7AC7" w:rsidP="004F4CF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end"/>
          </w:r>
        </w:p>
      </w:tc>
      <w:tc>
        <w:tcPr>
          <w:tcW w:w="5387" w:type="dxa"/>
        </w:tcPr>
        <w:p w:rsidR="009D7AC7" w:rsidRDefault="009D7AC7" w:rsidP="004F4CF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54F75">
            <w:rPr>
              <w:i/>
              <w:sz w:val="18"/>
            </w:rPr>
            <w:t>Income Tax Assessment Regulations 2020</w:t>
          </w:r>
          <w:r w:rsidRPr="007A1328">
            <w:rPr>
              <w:i/>
              <w:sz w:val="18"/>
            </w:rPr>
            <w:fldChar w:fldCharType="end"/>
          </w:r>
        </w:p>
      </w:tc>
      <w:tc>
        <w:tcPr>
          <w:tcW w:w="533" w:type="dxa"/>
        </w:tcPr>
        <w:p w:rsidR="009D7AC7" w:rsidRDefault="009D7AC7" w:rsidP="004F4CF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54F75">
            <w:rPr>
              <w:i/>
              <w:noProof/>
              <w:sz w:val="18"/>
            </w:rPr>
            <w:t>93</w:t>
          </w:r>
          <w:r w:rsidRPr="00ED79B6">
            <w:rPr>
              <w:i/>
              <w:sz w:val="18"/>
            </w:rPr>
            <w:fldChar w:fldCharType="end"/>
          </w:r>
        </w:p>
      </w:tc>
    </w:tr>
    <w:tr w:rsidR="009D7AC7" w:rsidTr="004F4CFC">
      <w:tc>
        <w:tcPr>
          <w:tcW w:w="7303" w:type="dxa"/>
          <w:gridSpan w:val="3"/>
        </w:tcPr>
        <w:p w:rsidR="009D7AC7" w:rsidRDefault="009D7AC7" w:rsidP="004F4CFC">
          <w:pPr>
            <w:rPr>
              <w:sz w:val="18"/>
            </w:rPr>
          </w:pPr>
          <w:r w:rsidRPr="00ED79B6">
            <w:rPr>
              <w:i/>
              <w:sz w:val="18"/>
            </w:rPr>
            <w:t xml:space="preserve"> </w:t>
          </w:r>
        </w:p>
      </w:tc>
    </w:tr>
  </w:tbl>
  <w:p w:rsidR="009D7AC7" w:rsidRPr="00D675F1" w:rsidRDefault="009D7AC7" w:rsidP="004F4CFC">
    <w:pPr>
      <w:rPr>
        <w:sz w:val="18"/>
      </w:rPr>
    </w:pPr>
  </w:p>
  <w:p w:rsidR="009D7AC7" w:rsidRPr="00D675F1" w:rsidRDefault="009D7AC7" w:rsidP="004F4CFC">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AC7" w:rsidRDefault="009D7AC7">
    <w:pPr>
      <w:pBdr>
        <w:top w:val="single" w:sz="6" w:space="1" w:color="auto"/>
      </w:pBdr>
      <w:rPr>
        <w:sz w:val="18"/>
      </w:rPr>
    </w:pPr>
  </w:p>
  <w:p w:rsidR="009D7AC7" w:rsidRDefault="009D7AC7">
    <w:pPr>
      <w:jc w:val="right"/>
      <w:rPr>
        <w:i/>
        <w:sz w:val="18"/>
      </w:rPr>
    </w:pPr>
    <w:r>
      <w:rPr>
        <w:i/>
        <w:sz w:val="18"/>
      </w:rPr>
      <w:fldChar w:fldCharType="begin"/>
    </w:r>
    <w:r>
      <w:rPr>
        <w:i/>
        <w:sz w:val="18"/>
      </w:rPr>
      <w:instrText xml:space="preserve"> STYLEREF ShortT </w:instrText>
    </w:r>
    <w:r>
      <w:rPr>
        <w:i/>
        <w:sz w:val="18"/>
      </w:rPr>
      <w:fldChar w:fldCharType="separate"/>
    </w:r>
    <w:r w:rsidR="00F54F75">
      <w:rPr>
        <w:i/>
        <w:noProof/>
        <w:sz w:val="18"/>
      </w:rPr>
      <w:t>Income Tax Assessment Regulations 2020</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F54F75">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F54F75">
      <w:rPr>
        <w:i/>
        <w:noProof/>
        <w:sz w:val="18"/>
      </w:rPr>
      <w:t>130</w:t>
    </w:r>
    <w:r>
      <w:rPr>
        <w:i/>
        <w:sz w:val="18"/>
      </w:rPr>
      <w:fldChar w:fldCharType="end"/>
    </w:r>
  </w:p>
  <w:p w:rsidR="009D7AC7" w:rsidRDefault="009D7AC7">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D0" w:rsidRPr="00E33C1C" w:rsidRDefault="003104D0" w:rsidP="003104D0">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70528" behindDoc="1" locked="0" layoutInCell="1" allowOverlap="1" wp14:anchorId="3ED963DB" wp14:editId="34D8ABB1">
              <wp:simplePos x="0" y="0"/>
              <wp:positionH relativeFrom="column">
                <wp:align>center</wp:align>
              </wp:positionH>
              <wp:positionV relativeFrom="page">
                <wp:posOffset>10079990</wp:posOffset>
              </wp:positionV>
              <wp:extent cx="4410075" cy="400050"/>
              <wp:effectExtent l="0" t="0" r="952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3104D0" w:rsidRPr="00284719" w:rsidRDefault="003104D0"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F54F75">
                            <w:rPr>
                              <w:rFonts w:ascii="Arial" w:hAnsi="Arial" w:cs="Arial"/>
                              <w:b/>
                              <w:sz w:val="40"/>
                            </w:rPr>
                            <w:t>EXPOSURE DRAFT</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38" type="#_x0000_t202" style="position:absolute;margin-left:0;margin-top:793.7pt;width:347.25pt;height:31.5pt;z-index:-25164595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" stroked="f">
              <v:stroke joinstyle="round"/>
              <v:path arrowok="t"/>
              <v:textbox>
                <w:txbxContent>
                  <w:p w:rsidR="003104D0" w:rsidRPr="00284719" w:rsidRDefault="003104D0"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F54F75">
                      <w:rPr>
                        <w:rFonts w:ascii="Arial" w:hAnsi="Arial" w:cs="Arial"/>
                        <w:b/>
                        <w:sz w:val="40"/>
                      </w:rPr>
                      <w:t>EXPOSURE DRAFT</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Style w:val="TableGrid"/>
      <w:tblW w:w="5000" w:type="pct"/>
      <w:tblLook w:val="04A0" w:firstRow="1" w:lastRow="0" w:firstColumn="1" w:lastColumn="0" w:noHBand="0" w:noVBand="1"/>
    </w:tblPr>
    <w:tblGrid>
      <w:gridCol w:w="713"/>
      <w:gridCol w:w="6422"/>
      <w:gridCol w:w="1394"/>
    </w:tblGrid>
    <w:tr w:rsidR="003104D0" w:rsidTr="006851AD">
      <w:tc>
        <w:tcPr>
          <w:tcW w:w="418" w:type="pct"/>
          <w:tcBorders>
            <w:top w:val="nil"/>
            <w:left w:val="nil"/>
            <w:bottom w:val="nil"/>
            <w:right w:val="nil"/>
          </w:tcBorders>
        </w:tcPr>
        <w:p w:rsidR="003104D0" w:rsidRDefault="003104D0" w:rsidP="00D7200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54F75">
            <w:rPr>
              <w:i/>
              <w:noProof/>
              <w:sz w:val="18"/>
            </w:rPr>
            <w:t>130</w:t>
          </w:r>
          <w:r w:rsidRPr="00ED79B6">
            <w:rPr>
              <w:i/>
              <w:sz w:val="18"/>
            </w:rPr>
            <w:fldChar w:fldCharType="end"/>
          </w:r>
        </w:p>
      </w:tc>
      <w:tc>
        <w:tcPr>
          <w:tcW w:w="3765" w:type="pct"/>
          <w:tcBorders>
            <w:top w:val="nil"/>
            <w:left w:val="nil"/>
            <w:bottom w:val="nil"/>
            <w:right w:val="nil"/>
          </w:tcBorders>
        </w:tcPr>
        <w:p w:rsidR="003104D0" w:rsidRDefault="003104D0" w:rsidP="00D720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54F75">
            <w:rPr>
              <w:i/>
              <w:sz w:val="18"/>
            </w:rPr>
            <w:t>Income Tax Assessment Regulations 2020</w:t>
          </w:r>
          <w:r w:rsidRPr="007A1328">
            <w:rPr>
              <w:i/>
              <w:sz w:val="18"/>
            </w:rPr>
            <w:fldChar w:fldCharType="end"/>
          </w:r>
        </w:p>
      </w:tc>
      <w:tc>
        <w:tcPr>
          <w:tcW w:w="817" w:type="pct"/>
          <w:tcBorders>
            <w:top w:val="nil"/>
            <w:left w:val="nil"/>
            <w:bottom w:val="nil"/>
            <w:right w:val="nil"/>
          </w:tcBorders>
        </w:tcPr>
        <w:p w:rsidR="003104D0" w:rsidRDefault="003104D0" w:rsidP="00D72009">
          <w:pPr>
            <w:spacing w:line="0" w:lineRule="atLeast"/>
            <w:jc w:val="right"/>
            <w:rPr>
              <w:sz w:val="18"/>
            </w:rPr>
          </w:pPr>
        </w:p>
      </w:tc>
    </w:tr>
    <w:tr w:rsidR="003104D0" w:rsidTr="006851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3104D0" w:rsidRDefault="003104D0" w:rsidP="00D72009">
          <w:pPr>
            <w:jc w:val="right"/>
            <w:rPr>
              <w:sz w:val="18"/>
            </w:rPr>
          </w:pPr>
          <w:r w:rsidRPr="00ED79B6">
            <w:rPr>
              <w:i/>
              <w:sz w:val="18"/>
            </w:rPr>
            <w:t xml:space="preserve"> </w:t>
          </w:r>
        </w:p>
      </w:tc>
    </w:tr>
  </w:tbl>
  <w:p w:rsidR="003104D0" w:rsidRPr="00ED79B6" w:rsidRDefault="003104D0" w:rsidP="007500C8">
    <w:pPr>
      <w:rPr>
        <w:i/>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A95" w:rsidRPr="00E33C1C" w:rsidRDefault="002B1A95" w:rsidP="003104D0">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9504" behindDoc="1" locked="0" layoutInCell="1" allowOverlap="1" wp14:anchorId="4F4CC73B" wp14:editId="4F840B08">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2B1A95" w:rsidRPr="00284719" w:rsidRDefault="002B1A95"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F54F75">
                            <w:rPr>
                              <w:rFonts w:ascii="Arial" w:hAnsi="Arial" w:cs="Arial"/>
                              <w:b/>
                              <w:sz w:val="40"/>
                            </w:rPr>
                            <w:t>EXPOSURE DRAFT</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39" type="#_x0000_t202" style="position:absolute;margin-left:0;margin-top:793.7pt;width:347.25pt;height:31.5p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" stroked="f">
              <v:stroke joinstyle="round"/>
              <v:path arrowok="t"/>
              <v:textbox>
                <w:txbxContent>
                  <w:p w:rsidR="002B1A95" w:rsidRPr="00284719" w:rsidRDefault="002B1A95"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F54F75">
                      <w:rPr>
                        <w:rFonts w:ascii="Arial" w:hAnsi="Arial" w:cs="Arial"/>
                        <w:b/>
                        <w:sz w:val="40"/>
                      </w:rPr>
                      <w:t>EXPOSURE DRAFT</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Style w:val="TableGrid"/>
      <w:tblW w:w="5000" w:type="pct"/>
      <w:tblLook w:val="04A0" w:firstRow="1" w:lastRow="0" w:firstColumn="1" w:lastColumn="0" w:noHBand="0" w:noVBand="1"/>
    </w:tblPr>
    <w:tblGrid>
      <w:gridCol w:w="1394"/>
      <w:gridCol w:w="6422"/>
      <w:gridCol w:w="713"/>
    </w:tblGrid>
    <w:tr w:rsidR="002B1A95" w:rsidTr="006851AD">
      <w:tc>
        <w:tcPr>
          <w:tcW w:w="817" w:type="pct"/>
          <w:tcBorders>
            <w:top w:val="nil"/>
            <w:left w:val="nil"/>
            <w:bottom w:val="nil"/>
            <w:right w:val="nil"/>
          </w:tcBorders>
        </w:tcPr>
        <w:p w:rsidR="002B1A95" w:rsidRDefault="002B1A95" w:rsidP="00D72009">
          <w:pPr>
            <w:spacing w:line="0" w:lineRule="atLeast"/>
            <w:rPr>
              <w:sz w:val="18"/>
            </w:rPr>
          </w:pPr>
        </w:p>
      </w:tc>
      <w:tc>
        <w:tcPr>
          <w:tcW w:w="3765" w:type="pct"/>
          <w:tcBorders>
            <w:top w:val="nil"/>
            <w:left w:val="nil"/>
            <w:bottom w:val="nil"/>
            <w:right w:val="nil"/>
          </w:tcBorders>
        </w:tcPr>
        <w:p w:rsidR="002B1A95" w:rsidRDefault="002B1A95" w:rsidP="00D720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54F75">
            <w:rPr>
              <w:i/>
              <w:sz w:val="18"/>
            </w:rPr>
            <w:t>Income Tax Assessment Regulations 2020</w:t>
          </w:r>
          <w:r w:rsidRPr="007A1328">
            <w:rPr>
              <w:i/>
              <w:sz w:val="18"/>
            </w:rPr>
            <w:fldChar w:fldCharType="end"/>
          </w:r>
        </w:p>
      </w:tc>
      <w:tc>
        <w:tcPr>
          <w:tcW w:w="418" w:type="pct"/>
          <w:tcBorders>
            <w:top w:val="nil"/>
            <w:left w:val="nil"/>
            <w:bottom w:val="nil"/>
            <w:right w:val="nil"/>
          </w:tcBorders>
        </w:tcPr>
        <w:p w:rsidR="002B1A95" w:rsidRDefault="002B1A95" w:rsidP="00D7200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54F75">
            <w:rPr>
              <w:i/>
              <w:noProof/>
              <w:sz w:val="18"/>
            </w:rPr>
            <w:t>130</w:t>
          </w:r>
          <w:r w:rsidRPr="00ED79B6">
            <w:rPr>
              <w:i/>
              <w:sz w:val="18"/>
            </w:rPr>
            <w:fldChar w:fldCharType="end"/>
          </w:r>
        </w:p>
      </w:tc>
    </w:tr>
    <w:tr w:rsidR="002B1A95" w:rsidTr="006851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2B1A95" w:rsidRDefault="002B1A95" w:rsidP="00D72009">
          <w:pPr>
            <w:rPr>
              <w:sz w:val="18"/>
            </w:rPr>
          </w:pPr>
          <w:r w:rsidRPr="00ED79B6">
            <w:rPr>
              <w:i/>
              <w:sz w:val="18"/>
            </w:rPr>
            <w:t xml:space="preserve"> </w:t>
          </w:r>
        </w:p>
      </w:tc>
    </w:tr>
  </w:tbl>
  <w:p w:rsidR="002B1A95" w:rsidRPr="00ED79B6" w:rsidRDefault="002B1A95" w:rsidP="00472DBE">
    <w:pPr>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D0" w:rsidRPr="00E33C1C" w:rsidRDefault="003104D0" w:rsidP="007500C8">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3104D0" w:rsidTr="006851AD">
      <w:tc>
        <w:tcPr>
          <w:tcW w:w="817" w:type="pct"/>
          <w:tcBorders>
            <w:top w:val="nil"/>
            <w:left w:val="nil"/>
            <w:bottom w:val="nil"/>
            <w:right w:val="nil"/>
          </w:tcBorders>
        </w:tcPr>
        <w:p w:rsidR="003104D0" w:rsidRDefault="003104D0" w:rsidP="00D72009">
          <w:pPr>
            <w:spacing w:line="0" w:lineRule="atLeast"/>
            <w:rPr>
              <w:sz w:val="18"/>
            </w:rPr>
          </w:pPr>
        </w:p>
      </w:tc>
      <w:tc>
        <w:tcPr>
          <w:tcW w:w="3765" w:type="pct"/>
          <w:tcBorders>
            <w:top w:val="nil"/>
            <w:left w:val="nil"/>
            <w:bottom w:val="nil"/>
            <w:right w:val="nil"/>
          </w:tcBorders>
        </w:tcPr>
        <w:p w:rsidR="003104D0" w:rsidRDefault="003104D0" w:rsidP="00D720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54F75">
            <w:rPr>
              <w:i/>
              <w:sz w:val="18"/>
            </w:rPr>
            <w:t>Income Tax Assessment Regulations 2020</w:t>
          </w:r>
          <w:r w:rsidRPr="007A1328">
            <w:rPr>
              <w:i/>
              <w:sz w:val="18"/>
            </w:rPr>
            <w:fldChar w:fldCharType="end"/>
          </w:r>
        </w:p>
      </w:tc>
      <w:tc>
        <w:tcPr>
          <w:tcW w:w="418" w:type="pct"/>
          <w:tcBorders>
            <w:top w:val="nil"/>
            <w:left w:val="nil"/>
            <w:bottom w:val="nil"/>
            <w:right w:val="nil"/>
          </w:tcBorders>
        </w:tcPr>
        <w:p w:rsidR="003104D0" w:rsidRDefault="003104D0" w:rsidP="00D7200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54F75">
            <w:rPr>
              <w:i/>
              <w:noProof/>
              <w:sz w:val="18"/>
            </w:rPr>
            <w:t>130</w:t>
          </w:r>
          <w:r w:rsidRPr="00ED79B6">
            <w:rPr>
              <w:i/>
              <w:sz w:val="18"/>
            </w:rPr>
            <w:fldChar w:fldCharType="end"/>
          </w:r>
        </w:p>
      </w:tc>
    </w:tr>
    <w:tr w:rsidR="003104D0" w:rsidTr="006851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3104D0" w:rsidRDefault="003104D0" w:rsidP="00D72009">
          <w:pPr>
            <w:rPr>
              <w:sz w:val="18"/>
            </w:rPr>
          </w:pPr>
          <w:r w:rsidRPr="00ED79B6">
            <w:rPr>
              <w:i/>
              <w:sz w:val="18"/>
            </w:rPr>
            <w:t xml:space="preserve"> </w:t>
          </w:r>
        </w:p>
      </w:tc>
    </w:tr>
  </w:tbl>
  <w:p w:rsidR="003104D0" w:rsidRPr="00ED79B6" w:rsidRDefault="003104D0" w:rsidP="007500C8">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A95" w:rsidRDefault="002B1A95" w:rsidP="003104D0">
    <w:pPr>
      <w:pStyle w:val="Footer"/>
      <w:spacing w:before="120"/>
    </w:pPr>
    <w:r>
      <w:rPr>
        <w:noProof/>
      </w:rPr>
      <mc:AlternateContent>
        <mc:Choice Requires="wps">
          <w:drawing>
            <wp:anchor distT="0" distB="0" distL="114300" distR="114300" simplePos="0" relativeHeight="251686912" behindDoc="1" locked="0" layoutInCell="1" allowOverlap="1" wp14:anchorId="176CB530" wp14:editId="406FABE8">
              <wp:simplePos x="0" y="0"/>
              <wp:positionH relativeFrom="column">
                <wp:align>center</wp:align>
              </wp:positionH>
              <wp:positionV relativeFrom="page">
                <wp:posOffset>10079990</wp:posOffset>
              </wp:positionV>
              <wp:extent cx="4410075" cy="400050"/>
              <wp:effectExtent l="0" t="0" r="952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2B1A95" w:rsidRPr="00284719" w:rsidRDefault="002B1A95"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F54F75">
                            <w:rPr>
                              <w:rFonts w:ascii="Arial" w:hAnsi="Arial" w:cs="Arial"/>
                              <w:b/>
                              <w:sz w:val="40"/>
                            </w:rPr>
                            <w:t>EXPOSURE DRAFT</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9" type="#_x0000_t202" style="position:absolute;margin-left:0;margin-top:793.7pt;width:347.25pt;height:31.5pt;z-index:-2516295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" stroked="f">
              <v:stroke joinstyle="round"/>
              <v:path arrowok="t"/>
              <v:textbox>
                <w:txbxContent>
                  <w:p w:rsidR="002B1A95" w:rsidRPr="00284719" w:rsidRDefault="002B1A95"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F54F75">
                      <w:rPr>
                        <w:rFonts w:ascii="Arial" w:hAnsi="Arial" w:cs="Arial"/>
                        <w:b/>
                        <w:sz w:val="40"/>
                      </w:rPr>
                      <w:t>EXPOSURE DRAFT</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2B1A95" w:rsidTr="00726A51">
      <w:tc>
        <w:tcPr>
          <w:tcW w:w="8472" w:type="dxa"/>
        </w:tcPr>
        <w:p w:rsidR="002B1A95" w:rsidRDefault="002B1A95" w:rsidP="00726A51">
          <w:pPr>
            <w:rPr>
              <w:sz w:val="18"/>
            </w:rPr>
          </w:pPr>
          <w:r w:rsidRPr="00ED79B6">
            <w:rPr>
              <w:i/>
              <w:sz w:val="18"/>
            </w:rPr>
            <w:t xml:space="preserve"> </w:t>
          </w:r>
        </w:p>
      </w:tc>
    </w:tr>
  </w:tbl>
  <w:p w:rsidR="002B1A95" w:rsidRPr="007500C8" w:rsidRDefault="002B1A95" w:rsidP="007500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D0" w:rsidRPr="00ED79B6" w:rsidRDefault="003104D0"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A95" w:rsidRPr="00E33C1C" w:rsidRDefault="002B1A95" w:rsidP="003104D0">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8480" behindDoc="1" locked="0" layoutInCell="1" allowOverlap="1" wp14:anchorId="41647F77" wp14:editId="477ADBF6">
              <wp:simplePos x="0" y="0"/>
              <wp:positionH relativeFrom="column">
                <wp:align>center</wp:align>
              </wp:positionH>
              <wp:positionV relativeFrom="page">
                <wp:posOffset>10079990</wp:posOffset>
              </wp:positionV>
              <wp:extent cx="4410075" cy="400050"/>
              <wp:effectExtent l="0" t="0" r="952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2B1A95" w:rsidRPr="00284719" w:rsidRDefault="002B1A95"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F54F75">
                            <w:rPr>
                              <w:rFonts w:ascii="Arial" w:hAnsi="Arial" w:cs="Arial"/>
                              <w:b/>
                              <w:sz w:val="40"/>
                            </w:rPr>
                            <w:t>EXPOSURE DRAFT</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32" type="#_x0000_t202" style="position:absolute;margin-left:0;margin-top:793.7pt;width:347.25pt;height:31.5p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" stroked="f">
              <v:stroke joinstyle="round"/>
              <v:path arrowok="t"/>
              <v:textbox>
                <w:txbxContent>
                  <w:p w:rsidR="002B1A95" w:rsidRPr="00284719" w:rsidRDefault="002B1A95"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F54F75">
                      <w:rPr>
                        <w:rFonts w:ascii="Arial" w:hAnsi="Arial" w:cs="Arial"/>
                        <w:b/>
                        <w:sz w:val="40"/>
                      </w:rPr>
                      <w:t>EXPOSURE DRAFT</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Style w:val="TableGrid"/>
      <w:tblW w:w="5000" w:type="pct"/>
      <w:tblLook w:val="04A0" w:firstRow="1" w:lastRow="0" w:firstColumn="1" w:lastColumn="0" w:noHBand="0" w:noVBand="1"/>
    </w:tblPr>
    <w:tblGrid>
      <w:gridCol w:w="713"/>
      <w:gridCol w:w="6422"/>
      <w:gridCol w:w="1394"/>
    </w:tblGrid>
    <w:tr w:rsidR="002B1A95" w:rsidTr="006851AD">
      <w:tc>
        <w:tcPr>
          <w:tcW w:w="418" w:type="pct"/>
          <w:tcBorders>
            <w:top w:val="nil"/>
            <w:left w:val="nil"/>
            <w:bottom w:val="nil"/>
            <w:right w:val="nil"/>
          </w:tcBorders>
        </w:tcPr>
        <w:p w:rsidR="002B1A95" w:rsidRDefault="002B1A95" w:rsidP="00D7200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54F75">
            <w:rPr>
              <w:i/>
              <w:noProof/>
              <w:sz w:val="18"/>
            </w:rPr>
            <w:t>viii</w:t>
          </w:r>
          <w:r w:rsidRPr="00ED79B6">
            <w:rPr>
              <w:i/>
              <w:sz w:val="18"/>
            </w:rPr>
            <w:fldChar w:fldCharType="end"/>
          </w:r>
        </w:p>
      </w:tc>
      <w:tc>
        <w:tcPr>
          <w:tcW w:w="3765" w:type="pct"/>
          <w:tcBorders>
            <w:top w:val="nil"/>
            <w:left w:val="nil"/>
            <w:bottom w:val="nil"/>
            <w:right w:val="nil"/>
          </w:tcBorders>
        </w:tcPr>
        <w:p w:rsidR="002B1A95" w:rsidRDefault="002B1A95" w:rsidP="00D720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54F75">
            <w:rPr>
              <w:i/>
              <w:sz w:val="18"/>
            </w:rPr>
            <w:t>Income Tax Assessment Regulations 2020</w:t>
          </w:r>
          <w:r w:rsidRPr="007A1328">
            <w:rPr>
              <w:i/>
              <w:sz w:val="18"/>
            </w:rPr>
            <w:fldChar w:fldCharType="end"/>
          </w:r>
        </w:p>
      </w:tc>
      <w:tc>
        <w:tcPr>
          <w:tcW w:w="817" w:type="pct"/>
          <w:tcBorders>
            <w:top w:val="nil"/>
            <w:left w:val="nil"/>
            <w:bottom w:val="nil"/>
            <w:right w:val="nil"/>
          </w:tcBorders>
        </w:tcPr>
        <w:p w:rsidR="002B1A95" w:rsidRDefault="002B1A95" w:rsidP="00D72009">
          <w:pPr>
            <w:spacing w:line="0" w:lineRule="atLeast"/>
            <w:jc w:val="right"/>
            <w:rPr>
              <w:sz w:val="18"/>
            </w:rPr>
          </w:pPr>
        </w:p>
      </w:tc>
    </w:tr>
    <w:tr w:rsidR="002B1A95" w:rsidTr="006851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2B1A95" w:rsidRDefault="002B1A95" w:rsidP="00D72009">
          <w:pPr>
            <w:jc w:val="right"/>
            <w:rPr>
              <w:sz w:val="18"/>
            </w:rPr>
          </w:pPr>
          <w:r w:rsidRPr="00ED79B6">
            <w:rPr>
              <w:i/>
              <w:sz w:val="18"/>
            </w:rPr>
            <w:t xml:space="preserve"> </w:t>
          </w:r>
        </w:p>
      </w:tc>
    </w:tr>
  </w:tbl>
  <w:p w:rsidR="002B1A95" w:rsidRPr="00ED79B6" w:rsidRDefault="002B1A95" w:rsidP="007500C8">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A95" w:rsidRPr="00E33C1C" w:rsidRDefault="002B1A95" w:rsidP="003104D0">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7456" behindDoc="1" locked="0" layoutInCell="1" allowOverlap="1" wp14:anchorId="6A152B33" wp14:editId="49272B87">
              <wp:simplePos x="0" y="0"/>
              <wp:positionH relativeFrom="column">
                <wp:align>center</wp:align>
              </wp:positionH>
              <wp:positionV relativeFrom="page">
                <wp:posOffset>10079990</wp:posOffset>
              </wp:positionV>
              <wp:extent cx="4410075" cy="400050"/>
              <wp:effectExtent l="0" t="0" r="952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2B1A95" w:rsidRPr="00284719" w:rsidRDefault="002B1A95"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F54F75">
                            <w:rPr>
                              <w:rFonts w:ascii="Arial" w:hAnsi="Arial" w:cs="Arial"/>
                              <w:b/>
                              <w:sz w:val="40"/>
                            </w:rPr>
                            <w:t>EXPOSURE DRAFT</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33" type="#_x0000_t202" style="position:absolute;margin-left:0;margin-top:793.7pt;width:347.25pt;height:31.5pt;z-index:-25164902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" stroked="f">
              <v:stroke joinstyle="round"/>
              <v:path arrowok="t"/>
              <v:textbox>
                <w:txbxContent>
                  <w:p w:rsidR="002B1A95" w:rsidRPr="00284719" w:rsidRDefault="002B1A95"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F54F75">
                      <w:rPr>
                        <w:rFonts w:ascii="Arial" w:hAnsi="Arial" w:cs="Arial"/>
                        <w:b/>
                        <w:sz w:val="40"/>
                      </w:rPr>
                      <w:t>EXPOSURE DRAFT</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Style w:val="TableGrid"/>
      <w:tblW w:w="5000" w:type="pct"/>
      <w:tblLook w:val="04A0" w:firstRow="1" w:lastRow="0" w:firstColumn="1" w:lastColumn="0" w:noHBand="0" w:noVBand="1"/>
    </w:tblPr>
    <w:tblGrid>
      <w:gridCol w:w="1392"/>
      <w:gridCol w:w="6422"/>
      <w:gridCol w:w="715"/>
    </w:tblGrid>
    <w:tr w:rsidR="002B1A95" w:rsidTr="006851AD">
      <w:tc>
        <w:tcPr>
          <w:tcW w:w="816" w:type="pct"/>
          <w:tcBorders>
            <w:top w:val="nil"/>
            <w:left w:val="nil"/>
            <w:bottom w:val="nil"/>
            <w:right w:val="nil"/>
          </w:tcBorders>
        </w:tcPr>
        <w:p w:rsidR="002B1A95" w:rsidRDefault="002B1A95" w:rsidP="00D72009">
          <w:pPr>
            <w:spacing w:line="0" w:lineRule="atLeast"/>
            <w:rPr>
              <w:sz w:val="18"/>
            </w:rPr>
          </w:pPr>
        </w:p>
      </w:tc>
      <w:tc>
        <w:tcPr>
          <w:tcW w:w="3765" w:type="pct"/>
          <w:tcBorders>
            <w:top w:val="nil"/>
            <w:left w:val="nil"/>
            <w:bottom w:val="nil"/>
            <w:right w:val="nil"/>
          </w:tcBorders>
        </w:tcPr>
        <w:p w:rsidR="002B1A95" w:rsidRDefault="002B1A95" w:rsidP="00D7200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54F75">
            <w:rPr>
              <w:i/>
              <w:sz w:val="18"/>
            </w:rPr>
            <w:t>Income Tax Assessment Regulations 2020</w:t>
          </w:r>
          <w:r w:rsidRPr="007A1328">
            <w:rPr>
              <w:i/>
              <w:sz w:val="18"/>
            </w:rPr>
            <w:fldChar w:fldCharType="end"/>
          </w:r>
        </w:p>
      </w:tc>
      <w:tc>
        <w:tcPr>
          <w:tcW w:w="419" w:type="pct"/>
          <w:tcBorders>
            <w:top w:val="nil"/>
            <w:left w:val="nil"/>
            <w:bottom w:val="nil"/>
            <w:right w:val="nil"/>
          </w:tcBorders>
        </w:tcPr>
        <w:p w:rsidR="002B1A95" w:rsidRDefault="002B1A95" w:rsidP="00D7200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54F75">
            <w:rPr>
              <w:i/>
              <w:noProof/>
              <w:sz w:val="18"/>
            </w:rPr>
            <w:t>vii</w:t>
          </w:r>
          <w:r w:rsidRPr="00ED79B6">
            <w:rPr>
              <w:i/>
              <w:sz w:val="18"/>
            </w:rPr>
            <w:fldChar w:fldCharType="end"/>
          </w:r>
        </w:p>
      </w:tc>
    </w:tr>
    <w:tr w:rsidR="002B1A95" w:rsidTr="006851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2B1A95" w:rsidRDefault="002B1A95" w:rsidP="00D72009">
          <w:pPr>
            <w:rPr>
              <w:sz w:val="18"/>
            </w:rPr>
          </w:pPr>
          <w:r w:rsidRPr="00ED79B6">
            <w:rPr>
              <w:i/>
              <w:sz w:val="18"/>
            </w:rPr>
            <w:t xml:space="preserve"> </w:t>
          </w:r>
        </w:p>
      </w:tc>
    </w:tr>
  </w:tbl>
  <w:p w:rsidR="002B1A95" w:rsidRPr="00ED79B6" w:rsidRDefault="002B1A95" w:rsidP="007500C8">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D0" w:rsidRPr="00E33C1C" w:rsidRDefault="003104D0" w:rsidP="003104D0">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89984" behindDoc="1" locked="0" layoutInCell="1" allowOverlap="1" wp14:anchorId="766A74E6" wp14:editId="6D13880C">
              <wp:simplePos x="0" y="0"/>
              <wp:positionH relativeFrom="column">
                <wp:align>center</wp:align>
              </wp:positionH>
              <wp:positionV relativeFrom="page">
                <wp:posOffset>10079990</wp:posOffset>
              </wp:positionV>
              <wp:extent cx="4410075" cy="400050"/>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3104D0" w:rsidRPr="00284719" w:rsidRDefault="003104D0" w:rsidP="003104D0">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F54F75">
                            <w:rPr>
                              <w:rFonts w:ascii="Arial" w:hAnsi="Arial" w:cs="Arial"/>
                              <w:b/>
                              <w:sz w:val="40"/>
                            </w:rPr>
                            <w:t>EXPOSURE DRAFT</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34" type="#_x0000_t202" style="position:absolute;margin-left:0;margin-top:793.7pt;width:347.25pt;height:31.5pt;z-index:-25162649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" stroked="f">
              <v:stroke joinstyle="round"/>
              <v:path arrowok="t"/>
              <v:textbox>
                <w:txbxContent>
                  <w:p w:rsidR="003104D0" w:rsidRPr="00284719" w:rsidRDefault="003104D0" w:rsidP="003104D0">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F54F75">
                      <w:rPr>
                        <w:rFonts w:ascii="Arial" w:hAnsi="Arial" w:cs="Arial"/>
                        <w:b/>
                        <w:sz w:val="40"/>
                      </w:rPr>
                      <w:t>EXPOSURE DRAFT</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Style w:val="TableGrid"/>
      <w:tblW w:w="5000" w:type="pct"/>
      <w:tblLook w:val="04A0" w:firstRow="1" w:lastRow="0" w:firstColumn="1" w:lastColumn="0" w:noHBand="0" w:noVBand="1"/>
    </w:tblPr>
    <w:tblGrid>
      <w:gridCol w:w="713"/>
      <w:gridCol w:w="6422"/>
      <w:gridCol w:w="1394"/>
    </w:tblGrid>
    <w:tr w:rsidR="003104D0" w:rsidTr="008F2B54">
      <w:tc>
        <w:tcPr>
          <w:tcW w:w="418" w:type="pct"/>
          <w:tcBorders>
            <w:top w:val="nil"/>
            <w:left w:val="nil"/>
            <w:bottom w:val="nil"/>
            <w:right w:val="nil"/>
          </w:tcBorders>
        </w:tcPr>
        <w:p w:rsidR="003104D0" w:rsidRDefault="003104D0" w:rsidP="008F2B5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54F75">
            <w:rPr>
              <w:i/>
              <w:noProof/>
              <w:sz w:val="18"/>
            </w:rPr>
            <w:t>86</w:t>
          </w:r>
          <w:r w:rsidRPr="00ED79B6">
            <w:rPr>
              <w:i/>
              <w:sz w:val="18"/>
            </w:rPr>
            <w:fldChar w:fldCharType="end"/>
          </w:r>
        </w:p>
      </w:tc>
      <w:tc>
        <w:tcPr>
          <w:tcW w:w="3765" w:type="pct"/>
          <w:tcBorders>
            <w:top w:val="nil"/>
            <w:left w:val="nil"/>
            <w:bottom w:val="nil"/>
            <w:right w:val="nil"/>
          </w:tcBorders>
        </w:tcPr>
        <w:p w:rsidR="003104D0" w:rsidRDefault="003104D0" w:rsidP="008F2B5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54F75">
            <w:rPr>
              <w:i/>
              <w:sz w:val="18"/>
            </w:rPr>
            <w:t>Income Tax Assessment Regulations 2020</w:t>
          </w:r>
          <w:r w:rsidRPr="007A1328">
            <w:rPr>
              <w:i/>
              <w:sz w:val="18"/>
            </w:rPr>
            <w:fldChar w:fldCharType="end"/>
          </w:r>
        </w:p>
      </w:tc>
      <w:tc>
        <w:tcPr>
          <w:tcW w:w="817" w:type="pct"/>
          <w:tcBorders>
            <w:top w:val="nil"/>
            <w:left w:val="nil"/>
            <w:bottom w:val="nil"/>
            <w:right w:val="nil"/>
          </w:tcBorders>
        </w:tcPr>
        <w:p w:rsidR="003104D0" w:rsidRDefault="003104D0" w:rsidP="008F2B54">
          <w:pPr>
            <w:spacing w:line="0" w:lineRule="atLeast"/>
            <w:jc w:val="right"/>
            <w:rPr>
              <w:sz w:val="18"/>
            </w:rPr>
          </w:pPr>
        </w:p>
      </w:tc>
    </w:tr>
    <w:tr w:rsidR="003104D0" w:rsidTr="008F2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3104D0" w:rsidRDefault="003104D0" w:rsidP="008F2B54">
          <w:pPr>
            <w:jc w:val="right"/>
            <w:rPr>
              <w:sz w:val="18"/>
            </w:rPr>
          </w:pPr>
          <w:r w:rsidRPr="00ED79B6">
            <w:rPr>
              <w:i/>
              <w:sz w:val="18"/>
            </w:rPr>
            <w:t xml:space="preserve"> </w:t>
          </w:r>
        </w:p>
      </w:tc>
    </w:tr>
  </w:tbl>
  <w:p w:rsidR="003104D0" w:rsidRPr="00ED79B6" w:rsidRDefault="003104D0" w:rsidP="003104D0">
    <w:pPr>
      <w:rPr>
        <w:i/>
        <w:sz w:val="18"/>
      </w:rPr>
    </w:pPr>
  </w:p>
  <w:p w:rsidR="003104D0" w:rsidRPr="003104D0" w:rsidRDefault="003104D0" w:rsidP="003104D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D0" w:rsidRPr="00E33C1C" w:rsidRDefault="003104D0" w:rsidP="003104D0">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92032" behindDoc="1" locked="0" layoutInCell="1" allowOverlap="1" wp14:anchorId="4713B72A" wp14:editId="5A669D8C">
              <wp:simplePos x="0" y="0"/>
              <wp:positionH relativeFrom="column">
                <wp:align>center</wp:align>
              </wp:positionH>
              <wp:positionV relativeFrom="page">
                <wp:posOffset>10079990</wp:posOffset>
              </wp:positionV>
              <wp:extent cx="4410075" cy="400050"/>
              <wp:effectExtent l="0" t="0" r="952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3104D0" w:rsidRPr="00284719" w:rsidRDefault="003104D0" w:rsidP="003104D0">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F54F75">
                            <w:rPr>
                              <w:rFonts w:ascii="Arial" w:hAnsi="Arial" w:cs="Arial"/>
                              <w:b/>
                              <w:sz w:val="40"/>
                            </w:rPr>
                            <w:t>EXPOSURE DRAFT</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35" type="#_x0000_t202" style="position:absolute;margin-left:0;margin-top:793.7pt;width:347.25pt;height:31.5pt;z-index:-2516244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" stroked="f">
              <v:stroke joinstyle="round"/>
              <v:path arrowok="t"/>
              <v:textbox>
                <w:txbxContent>
                  <w:p w:rsidR="003104D0" w:rsidRPr="00284719" w:rsidRDefault="003104D0" w:rsidP="003104D0">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F54F75">
                      <w:rPr>
                        <w:rFonts w:ascii="Arial" w:hAnsi="Arial" w:cs="Arial"/>
                        <w:b/>
                        <w:sz w:val="40"/>
                      </w:rPr>
                      <w:t>EXPOSURE DRAFT</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tbl>
    <w:tblPr>
      <w:tblStyle w:val="TableGrid"/>
      <w:tblW w:w="5000" w:type="pct"/>
      <w:tblLook w:val="04A0" w:firstRow="1" w:lastRow="0" w:firstColumn="1" w:lastColumn="0" w:noHBand="0" w:noVBand="1"/>
    </w:tblPr>
    <w:tblGrid>
      <w:gridCol w:w="1394"/>
      <w:gridCol w:w="6422"/>
      <w:gridCol w:w="713"/>
    </w:tblGrid>
    <w:tr w:rsidR="003104D0" w:rsidTr="008F2B54">
      <w:tc>
        <w:tcPr>
          <w:tcW w:w="817" w:type="pct"/>
          <w:tcBorders>
            <w:top w:val="nil"/>
            <w:left w:val="nil"/>
            <w:bottom w:val="nil"/>
            <w:right w:val="nil"/>
          </w:tcBorders>
        </w:tcPr>
        <w:p w:rsidR="003104D0" w:rsidRDefault="003104D0" w:rsidP="008F2B54">
          <w:pPr>
            <w:spacing w:line="0" w:lineRule="atLeast"/>
            <w:rPr>
              <w:sz w:val="18"/>
            </w:rPr>
          </w:pPr>
        </w:p>
      </w:tc>
      <w:tc>
        <w:tcPr>
          <w:tcW w:w="3765" w:type="pct"/>
          <w:tcBorders>
            <w:top w:val="nil"/>
            <w:left w:val="nil"/>
            <w:bottom w:val="nil"/>
            <w:right w:val="nil"/>
          </w:tcBorders>
        </w:tcPr>
        <w:p w:rsidR="003104D0" w:rsidRDefault="003104D0" w:rsidP="008F2B5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54F75">
            <w:rPr>
              <w:i/>
              <w:sz w:val="18"/>
            </w:rPr>
            <w:t>Income Tax Assessment Regulations 2020</w:t>
          </w:r>
          <w:r w:rsidRPr="007A1328">
            <w:rPr>
              <w:i/>
              <w:sz w:val="18"/>
            </w:rPr>
            <w:fldChar w:fldCharType="end"/>
          </w:r>
        </w:p>
      </w:tc>
      <w:tc>
        <w:tcPr>
          <w:tcW w:w="418" w:type="pct"/>
          <w:tcBorders>
            <w:top w:val="nil"/>
            <w:left w:val="nil"/>
            <w:bottom w:val="nil"/>
            <w:right w:val="nil"/>
          </w:tcBorders>
        </w:tcPr>
        <w:p w:rsidR="003104D0" w:rsidRDefault="003104D0" w:rsidP="008F2B5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54F75">
            <w:rPr>
              <w:i/>
              <w:noProof/>
              <w:sz w:val="18"/>
            </w:rPr>
            <w:t>87</w:t>
          </w:r>
          <w:r w:rsidRPr="00ED79B6">
            <w:rPr>
              <w:i/>
              <w:sz w:val="18"/>
            </w:rPr>
            <w:fldChar w:fldCharType="end"/>
          </w:r>
        </w:p>
      </w:tc>
    </w:tr>
    <w:tr w:rsidR="003104D0" w:rsidTr="008F2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3104D0" w:rsidRDefault="003104D0" w:rsidP="008F2B54">
          <w:pPr>
            <w:rPr>
              <w:sz w:val="18"/>
            </w:rPr>
          </w:pPr>
          <w:r w:rsidRPr="00ED79B6">
            <w:rPr>
              <w:i/>
              <w:sz w:val="18"/>
            </w:rPr>
            <w:t xml:space="preserve"> </w:t>
          </w:r>
        </w:p>
      </w:tc>
    </w:tr>
  </w:tbl>
  <w:p w:rsidR="003104D0" w:rsidRPr="00ED79B6" w:rsidRDefault="003104D0" w:rsidP="003104D0">
    <w:pPr>
      <w:rPr>
        <w:i/>
        <w:sz w:val="18"/>
      </w:rPr>
    </w:pPr>
  </w:p>
  <w:p w:rsidR="003104D0" w:rsidRPr="003104D0" w:rsidRDefault="003104D0" w:rsidP="003104D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D0" w:rsidRPr="00E33C1C" w:rsidRDefault="003104D0" w:rsidP="003104D0">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394"/>
      <w:gridCol w:w="6422"/>
      <w:gridCol w:w="713"/>
    </w:tblGrid>
    <w:tr w:rsidR="003104D0" w:rsidTr="008F2B54">
      <w:tc>
        <w:tcPr>
          <w:tcW w:w="817" w:type="pct"/>
          <w:tcBorders>
            <w:top w:val="nil"/>
            <w:left w:val="nil"/>
            <w:bottom w:val="nil"/>
            <w:right w:val="nil"/>
          </w:tcBorders>
        </w:tcPr>
        <w:p w:rsidR="003104D0" w:rsidRDefault="003104D0" w:rsidP="008F2B54">
          <w:pPr>
            <w:spacing w:line="0" w:lineRule="atLeast"/>
            <w:rPr>
              <w:sz w:val="18"/>
            </w:rPr>
          </w:pPr>
        </w:p>
      </w:tc>
      <w:tc>
        <w:tcPr>
          <w:tcW w:w="3765" w:type="pct"/>
          <w:tcBorders>
            <w:top w:val="nil"/>
            <w:left w:val="nil"/>
            <w:bottom w:val="nil"/>
            <w:right w:val="nil"/>
          </w:tcBorders>
        </w:tcPr>
        <w:p w:rsidR="003104D0" w:rsidRDefault="003104D0" w:rsidP="008F2B5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54F75">
            <w:rPr>
              <w:i/>
              <w:sz w:val="18"/>
            </w:rPr>
            <w:t>Income Tax Assessment Regulations 2020</w:t>
          </w:r>
          <w:r w:rsidRPr="007A1328">
            <w:rPr>
              <w:i/>
              <w:sz w:val="18"/>
            </w:rPr>
            <w:fldChar w:fldCharType="end"/>
          </w:r>
        </w:p>
      </w:tc>
      <w:tc>
        <w:tcPr>
          <w:tcW w:w="418" w:type="pct"/>
          <w:tcBorders>
            <w:top w:val="nil"/>
            <w:left w:val="nil"/>
            <w:bottom w:val="nil"/>
            <w:right w:val="nil"/>
          </w:tcBorders>
        </w:tcPr>
        <w:p w:rsidR="003104D0" w:rsidRDefault="003104D0" w:rsidP="008F2B5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54F75">
            <w:rPr>
              <w:i/>
              <w:noProof/>
              <w:sz w:val="18"/>
            </w:rPr>
            <w:t>130</w:t>
          </w:r>
          <w:r w:rsidRPr="00ED79B6">
            <w:rPr>
              <w:i/>
              <w:sz w:val="18"/>
            </w:rPr>
            <w:fldChar w:fldCharType="end"/>
          </w:r>
        </w:p>
      </w:tc>
    </w:tr>
    <w:tr w:rsidR="003104D0" w:rsidTr="008F2B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rsidR="003104D0" w:rsidRDefault="003104D0" w:rsidP="008F2B54">
          <w:pPr>
            <w:rPr>
              <w:sz w:val="18"/>
            </w:rPr>
          </w:pPr>
          <w:r w:rsidRPr="00ED79B6">
            <w:rPr>
              <w:i/>
              <w:sz w:val="18"/>
            </w:rPr>
            <w:t xml:space="preserve"> </w:t>
          </w:r>
        </w:p>
      </w:tc>
    </w:tr>
  </w:tbl>
  <w:p w:rsidR="003104D0" w:rsidRPr="00ED79B6" w:rsidRDefault="003104D0" w:rsidP="003104D0">
    <w:pPr>
      <w:rPr>
        <w:i/>
        <w:sz w:val="18"/>
      </w:rPr>
    </w:pPr>
  </w:p>
  <w:p w:rsidR="003104D0" w:rsidRPr="003104D0" w:rsidRDefault="003104D0" w:rsidP="003104D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AC7" w:rsidRPr="00D675F1" w:rsidRDefault="009D7AC7" w:rsidP="003104D0">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9D7AC7" w:rsidTr="004F4CFC">
      <w:tc>
        <w:tcPr>
          <w:tcW w:w="533" w:type="dxa"/>
        </w:tcPr>
        <w:p w:rsidR="009D7AC7" w:rsidRDefault="009D7AC7" w:rsidP="004F4CF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54F75">
            <w:rPr>
              <w:i/>
              <w:noProof/>
              <w:sz w:val="18"/>
            </w:rPr>
            <w:t>92</w:t>
          </w:r>
          <w:r w:rsidRPr="00ED79B6">
            <w:rPr>
              <w:i/>
              <w:sz w:val="18"/>
            </w:rPr>
            <w:fldChar w:fldCharType="end"/>
          </w:r>
        </w:p>
      </w:tc>
      <w:tc>
        <w:tcPr>
          <w:tcW w:w="5387" w:type="dxa"/>
        </w:tcPr>
        <w:p w:rsidR="009D7AC7" w:rsidRDefault="009D7AC7" w:rsidP="004F4CF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F54F75">
            <w:rPr>
              <w:i/>
              <w:sz w:val="18"/>
            </w:rPr>
            <w:t>Income Tax Assessment Regulations 2020</w:t>
          </w:r>
          <w:r w:rsidRPr="007A1328">
            <w:rPr>
              <w:i/>
              <w:sz w:val="18"/>
            </w:rPr>
            <w:fldChar w:fldCharType="end"/>
          </w:r>
        </w:p>
      </w:tc>
      <w:tc>
        <w:tcPr>
          <w:tcW w:w="1383" w:type="dxa"/>
        </w:tcPr>
        <w:p w:rsidR="009D7AC7" w:rsidRDefault="009D7AC7" w:rsidP="004F4CFC">
          <w:pPr>
            <w:spacing w:line="0" w:lineRule="atLeast"/>
            <w:jc w:val="right"/>
            <w:rPr>
              <w:sz w:val="18"/>
            </w:rPr>
          </w:pPr>
          <w:r w:rsidRPr="007A1328">
            <w:rPr>
              <w:i/>
              <w:sz w:val="18"/>
            </w:rPr>
            <w:fldChar w:fldCharType="begin"/>
          </w:r>
          <w:r>
            <w:rPr>
              <w:i/>
              <w:sz w:val="18"/>
            </w:rPr>
            <w:instrText xml:space="preserve"> DOCPROPERTY ActNo </w:instrText>
          </w:r>
          <w:r w:rsidRPr="007A1328">
            <w:rPr>
              <w:i/>
              <w:sz w:val="18"/>
            </w:rPr>
            <w:fldChar w:fldCharType="end"/>
          </w:r>
        </w:p>
      </w:tc>
    </w:tr>
    <w:tr w:rsidR="009D7AC7" w:rsidTr="004F4CFC">
      <w:tc>
        <w:tcPr>
          <w:tcW w:w="7303" w:type="dxa"/>
          <w:gridSpan w:val="3"/>
        </w:tcPr>
        <w:p w:rsidR="009D7AC7" w:rsidRDefault="009D7AC7" w:rsidP="004F4CFC">
          <w:pPr>
            <w:jc w:val="right"/>
            <w:rPr>
              <w:sz w:val="18"/>
            </w:rPr>
          </w:pPr>
          <w:r w:rsidRPr="00ED79B6">
            <w:rPr>
              <w:i/>
              <w:sz w:val="18"/>
            </w:rPr>
            <w:t xml:space="preserve"> </w:t>
          </w:r>
        </w:p>
      </w:tc>
    </w:tr>
  </w:tbl>
  <w:p w:rsidR="009D7AC7" w:rsidRPr="00D675F1" w:rsidRDefault="009D7AC7" w:rsidP="004F4CFC">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4D0" w:rsidRDefault="003104D0" w:rsidP="00715914">
      <w:pPr>
        <w:spacing w:line="240" w:lineRule="auto"/>
      </w:pPr>
      <w:r>
        <w:separator/>
      </w:r>
    </w:p>
  </w:footnote>
  <w:footnote w:type="continuationSeparator" w:id="0">
    <w:p w:rsidR="003104D0" w:rsidRDefault="003104D0"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D0" w:rsidRPr="005F1388" w:rsidRDefault="003104D0" w:rsidP="00715914">
    <w:pPr>
      <w:pStyle w:val="Header"/>
      <w:tabs>
        <w:tab w:val="clear" w:pos="4150"/>
        <w:tab w:val="clear" w:pos="8307"/>
      </w:tabs>
    </w:pPr>
    <w:r>
      <w:rPr>
        <w:noProof/>
      </w:rPr>
      <mc:AlternateContent>
        <mc:Choice Requires="wps">
          <w:drawing>
            <wp:anchor distT="0" distB="0" distL="114300" distR="114300" simplePos="0" relativeHeight="251685888" behindDoc="1" locked="0" layoutInCell="1" allowOverlap="1" wp14:anchorId="1A493055" wp14:editId="04CFD9EA">
              <wp:simplePos x="0" y="0"/>
              <wp:positionH relativeFrom="column">
                <wp:align>center</wp:align>
              </wp:positionH>
              <wp:positionV relativeFrom="page">
                <wp:posOffset>143510</wp:posOffset>
              </wp:positionV>
              <wp:extent cx="4410075" cy="40005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3104D0" w:rsidRPr="00284719" w:rsidRDefault="003104D0"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F54F75">
                            <w:rPr>
                              <w:rFonts w:ascii="Arial" w:hAnsi="Arial" w:cs="Arial"/>
                              <w:b/>
                              <w:sz w:val="40"/>
                            </w:rPr>
                            <w:t>EXPOSURE DRAFT</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0;margin-top:11.3pt;width:347.25pt;height:31.5pt;z-index:-2516305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" stroked="f">
              <v:stroke joinstyle="round"/>
              <v:path arrowok="t"/>
              <v:textbox>
                <w:txbxContent>
                  <w:p w:rsidR="003104D0" w:rsidRPr="00284719" w:rsidRDefault="003104D0"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F54F75">
                      <w:rPr>
                        <w:rFonts w:ascii="Arial" w:hAnsi="Arial" w:cs="Arial"/>
                        <w:b/>
                        <w:sz w:val="40"/>
                      </w:rPr>
                      <w:t>EXPOSURE DRAFT</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AC7" w:rsidRPr="00D675F1" w:rsidRDefault="009D7AC7">
    <w:pPr>
      <w:jc w:val="right"/>
      <w:rPr>
        <w:sz w:val="20"/>
      </w:rPr>
    </w:pPr>
    <w:r w:rsidRPr="00D675F1">
      <w:rPr>
        <w:sz w:val="20"/>
      </w:rPr>
      <w:fldChar w:fldCharType="begin"/>
    </w:r>
    <w:r w:rsidRPr="00D675F1">
      <w:rPr>
        <w:sz w:val="20"/>
      </w:rPr>
      <w:instrText xml:space="preserve"> STYLEREF CharChapText </w:instrText>
    </w:r>
    <w:r w:rsidRPr="00D675F1">
      <w:rPr>
        <w:sz w:val="3276"/>
      </w:rPr>
      <w:fldChar w:fldCharType="separate"/>
    </w:r>
    <w:r w:rsidR="00F54F75">
      <w:rPr>
        <w:noProof/>
        <w:sz w:val="20"/>
      </w:rPr>
      <w:t>Method of working out amount of notional taxed contributions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3276"/>
      </w:rPr>
      <w:fldChar w:fldCharType="separate"/>
    </w:r>
    <w:r w:rsidR="00F54F75">
      <w:rPr>
        <w:b/>
        <w:noProof/>
        <w:sz w:val="20"/>
      </w:rPr>
      <w:t>Schedule 1A</w:t>
    </w:r>
    <w:r w:rsidRPr="00D675F1">
      <w:rPr>
        <w:b/>
        <w:sz w:val="20"/>
      </w:rPr>
      <w:fldChar w:fldCharType="end"/>
    </w:r>
  </w:p>
  <w:p w:rsidR="009D7AC7" w:rsidRPr="00D675F1" w:rsidRDefault="009D7AC7">
    <w:pPr>
      <w:jc w:val="right"/>
      <w:rPr>
        <w:b/>
        <w:sz w:val="20"/>
      </w:rPr>
    </w:pPr>
    <w:r w:rsidRPr="00D675F1">
      <w:rPr>
        <w:sz w:val="20"/>
      </w:rPr>
      <w:fldChar w:fldCharType="begin"/>
    </w:r>
    <w:r w:rsidRPr="00D675F1">
      <w:rPr>
        <w:sz w:val="20"/>
      </w:rPr>
      <w:instrText xml:space="preserve"> STYLEREF CharPartText </w:instrText>
    </w:r>
    <w:r w:rsidR="00F54F75">
      <w:rPr>
        <w:sz w:val="20"/>
      </w:rPr>
      <w:fldChar w:fldCharType="separate"/>
    </w:r>
    <w:r w:rsidR="00F54F75">
      <w:rPr>
        <w:noProof/>
        <w:sz w:val="20"/>
      </w:rPr>
      <w:t>New entrant rate</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F54F75">
      <w:rPr>
        <w:b/>
        <w:sz w:val="20"/>
      </w:rPr>
      <w:fldChar w:fldCharType="separate"/>
    </w:r>
    <w:r w:rsidR="00F54F75">
      <w:rPr>
        <w:b/>
        <w:noProof/>
        <w:sz w:val="20"/>
      </w:rPr>
      <w:t>Part 2</w:t>
    </w:r>
    <w:r w:rsidRPr="00D675F1">
      <w:rPr>
        <w:b/>
        <w:sz w:val="20"/>
      </w:rPr>
      <w:fldChar w:fldCharType="end"/>
    </w:r>
  </w:p>
  <w:p w:rsidR="009D7AC7" w:rsidRPr="00D675F1" w:rsidRDefault="009D7AC7">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9D7AC7" w:rsidRPr="00D675F1" w:rsidRDefault="009D7AC7">
    <w:pPr>
      <w:jc w:val="right"/>
      <w:rPr>
        <w:b/>
      </w:rPr>
    </w:pPr>
  </w:p>
  <w:p w:rsidR="009D7AC7" w:rsidRPr="00D675F1" w:rsidRDefault="009D7AC7" w:rsidP="003104D0">
    <w:pPr>
      <w:pBdr>
        <w:bottom w:val="single" w:sz="6" w:space="1" w:color="auto"/>
      </w:pBdr>
      <w:spacing w:after="120"/>
      <w:jc w:val="right"/>
    </w:pPr>
    <w:r w:rsidRPr="00D675F1">
      <w:t xml:space="preserve">Clause </w:t>
    </w:r>
    <w:r w:rsidR="00F54F75">
      <w:fldChar w:fldCharType="begin"/>
    </w:r>
    <w:r w:rsidR="00F54F75">
      <w:instrText xml:space="preserve"> STYLEREF CharSectno </w:instrText>
    </w:r>
    <w:r w:rsidR="00F54F75">
      <w:fldChar w:fldCharType="separate"/>
    </w:r>
    <w:r w:rsidR="00F54F75">
      <w:rPr>
        <w:noProof/>
      </w:rPr>
      <w:t>2.4</w:t>
    </w:r>
    <w:r w:rsidR="00F54F75">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AC7" w:rsidRDefault="009D7AC7"/>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D0" w:rsidRDefault="003104D0" w:rsidP="00715914">
    <w:pPr>
      <w:rPr>
        <w:sz w:val="20"/>
      </w:rPr>
    </w:pPr>
    <w:r>
      <w:rPr>
        <w:b/>
        <w:noProof/>
        <w:sz w:val="20"/>
        <w:lang w:eastAsia="en-AU"/>
      </w:rPr>
      <mc:AlternateContent>
        <mc:Choice Requires="wps">
          <w:drawing>
            <wp:anchor distT="0" distB="0" distL="114300" distR="114300" simplePos="0" relativeHeight="251664384" behindDoc="1" locked="0" layoutInCell="1" allowOverlap="1" wp14:anchorId="2B30FD3C" wp14:editId="116FC236">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3104D0" w:rsidRPr="00284719" w:rsidRDefault="003104D0"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F54F75">
                            <w:rPr>
                              <w:rFonts w:ascii="Arial" w:hAnsi="Arial" w:cs="Arial"/>
                              <w:b/>
                              <w:sz w:val="40"/>
                            </w:rPr>
                            <w:t>EXPOSURE DRAFT</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36" type="#_x0000_t202" style="position:absolute;margin-left:0;margin-top:11.3pt;width:347.25pt;height:31.5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" stroked="f">
              <v:stroke joinstyle="round"/>
              <v:path arrowok="t"/>
              <v:textbox>
                <w:txbxContent>
                  <w:p w:rsidR="003104D0" w:rsidRPr="00284719" w:rsidRDefault="003104D0"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F54F75">
                      <w:rPr>
                        <w:rFonts w:ascii="Arial" w:hAnsi="Arial" w:cs="Arial"/>
                        <w:b/>
                        <w:sz w:val="40"/>
                      </w:rPr>
                      <w:t>EXPOSURE DRAFT</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separate"/>
    </w:r>
    <w:r w:rsidR="00F54F75">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F54F75">
      <w:rPr>
        <w:noProof/>
        <w:sz w:val="20"/>
      </w:rPr>
      <w:t>Approved stock exchanges</w:t>
    </w:r>
    <w:r>
      <w:rPr>
        <w:sz w:val="20"/>
      </w:rPr>
      <w:fldChar w:fldCharType="end"/>
    </w:r>
  </w:p>
  <w:p w:rsidR="003104D0" w:rsidRDefault="003104D0"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3104D0" w:rsidRPr="007A1328" w:rsidRDefault="003104D0"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3104D0" w:rsidRPr="007A1328" w:rsidRDefault="003104D0" w:rsidP="00715914">
    <w:pPr>
      <w:rPr>
        <w:b/>
        <w:sz w:val="24"/>
      </w:rPr>
    </w:pPr>
  </w:p>
  <w:p w:rsidR="003104D0" w:rsidRPr="007A1328" w:rsidRDefault="003104D0" w:rsidP="003104D0">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F54F75">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54F75">
      <w:rPr>
        <w:noProof/>
        <w:sz w:val="24"/>
      </w:rPr>
      <w:t>1</w:t>
    </w:r>
    <w:r w:rsidRPr="007A1328">
      <w:rPr>
        <w:sz w:val="24"/>
      </w:rPr>
      <w:fldChar w:fldCharType="end"/>
    </w:r>
  </w:p>
  <w:p w:rsidR="003104D0" w:rsidRDefault="003104D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D0" w:rsidRPr="007A1328" w:rsidRDefault="003104D0" w:rsidP="00715914">
    <w:pPr>
      <w:jc w:val="right"/>
      <w:rPr>
        <w:sz w:val="20"/>
      </w:rPr>
    </w:pPr>
    <w:r>
      <w:rPr>
        <w:noProof/>
        <w:sz w:val="20"/>
        <w:lang w:eastAsia="en-AU"/>
      </w:rPr>
      <mc:AlternateContent>
        <mc:Choice Requires="wps">
          <w:drawing>
            <wp:anchor distT="0" distB="0" distL="114300" distR="114300" simplePos="0" relativeHeight="251663360" behindDoc="1" locked="0" layoutInCell="1" allowOverlap="1" wp14:anchorId="2BEA754D" wp14:editId="5CA2C75D">
              <wp:simplePos x="0" y="0"/>
              <wp:positionH relativeFrom="column">
                <wp:align>center</wp:align>
              </wp:positionH>
              <wp:positionV relativeFrom="page">
                <wp:posOffset>143510</wp:posOffset>
              </wp:positionV>
              <wp:extent cx="4410075" cy="400050"/>
              <wp:effectExtent l="0" t="0" r="9525"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3104D0" w:rsidRPr="00284719" w:rsidRDefault="003104D0"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F54F75">
                            <w:rPr>
                              <w:rFonts w:ascii="Arial" w:hAnsi="Arial" w:cs="Arial"/>
                              <w:b/>
                              <w:sz w:val="40"/>
                            </w:rPr>
                            <w:t>EXPOSURE DRAFT</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37" type="#_x0000_t202" style="position:absolute;left:0;text-align:left;margin-left:0;margin-top:11.3pt;width:347.25pt;height:31.5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" stroked="f">
              <v:stroke joinstyle="round"/>
              <v:path arrowok="t"/>
              <v:textbox>
                <w:txbxContent>
                  <w:p w:rsidR="003104D0" w:rsidRPr="00284719" w:rsidRDefault="003104D0"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F54F75">
                      <w:rPr>
                        <w:rFonts w:ascii="Arial" w:hAnsi="Arial" w:cs="Arial"/>
                        <w:b/>
                        <w:sz w:val="40"/>
                      </w:rPr>
                      <w:t>EXPOSURE DRAFT</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7A1328">
      <w:rPr>
        <w:sz w:val="20"/>
      </w:rPr>
      <w:fldChar w:fldCharType="begin"/>
    </w:r>
    <w:r w:rsidRPr="007A1328">
      <w:rPr>
        <w:sz w:val="20"/>
      </w:rPr>
      <w:instrText xml:space="preserve"> STYLEREF CharChapText </w:instrText>
    </w:r>
    <w:r w:rsidRPr="007A1328">
      <w:rPr>
        <w:sz w:val="20"/>
      </w:rPr>
      <w:fldChar w:fldCharType="separate"/>
    </w:r>
    <w:r w:rsidR="00F54F75">
      <w:rPr>
        <w:noProof/>
        <w:sz w:val="20"/>
      </w:rPr>
      <w:t>Approved stock exchanges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F54F75">
      <w:rPr>
        <w:b/>
        <w:noProof/>
        <w:sz w:val="20"/>
      </w:rPr>
      <w:t>Schedule 3</w:t>
    </w:r>
    <w:r>
      <w:rPr>
        <w:b/>
        <w:sz w:val="20"/>
      </w:rPr>
      <w:fldChar w:fldCharType="end"/>
    </w:r>
  </w:p>
  <w:p w:rsidR="003104D0" w:rsidRPr="007A1328" w:rsidRDefault="003104D0"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3104D0" w:rsidRPr="007A1328" w:rsidRDefault="003104D0"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3104D0" w:rsidRPr="007A1328" w:rsidRDefault="003104D0" w:rsidP="00715914">
    <w:pPr>
      <w:jc w:val="right"/>
      <w:rPr>
        <w:b/>
        <w:sz w:val="24"/>
      </w:rPr>
    </w:pPr>
  </w:p>
  <w:p w:rsidR="003104D0" w:rsidRPr="007A1328" w:rsidRDefault="003104D0" w:rsidP="003104D0">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F54F75">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54F75">
      <w:rPr>
        <w:noProof/>
        <w:sz w:val="24"/>
      </w:rPr>
      <w:t>1</w:t>
    </w:r>
    <w:r w:rsidRPr="007A1328">
      <w:rPr>
        <w:sz w:val="24"/>
      </w:rPr>
      <w:fldChar w:fldCharType="end"/>
    </w:r>
  </w:p>
  <w:p w:rsidR="003104D0" w:rsidRDefault="003104D0"/>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D0" w:rsidRPr="007A1328" w:rsidRDefault="003104D0"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D0" w:rsidRPr="005F1388" w:rsidRDefault="003104D0" w:rsidP="00715914">
    <w:pPr>
      <w:pStyle w:val="Header"/>
      <w:tabs>
        <w:tab w:val="clear" w:pos="4150"/>
        <w:tab w:val="clear" w:pos="8307"/>
      </w:tabs>
    </w:pPr>
    <w:r>
      <w:rPr>
        <w:noProof/>
      </w:rPr>
      <mc:AlternateContent>
        <mc:Choice Requires="wps">
          <w:drawing>
            <wp:anchor distT="0" distB="0" distL="114300" distR="114300" simplePos="0" relativeHeight="251684864" behindDoc="1" locked="0" layoutInCell="1" allowOverlap="1" wp14:anchorId="34E79FDA" wp14:editId="34EC50BA">
              <wp:simplePos x="0" y="0"/>
              <wp:positionH relativeFrom="column">
                <wp:align>center</wp:align>
              </wp:positionH>
              <wp:positionV relativeFrom="page">
                <wp:posOffset>143510</wp:posOffset>
              </wp:positionV>
              <wp:extent cx="4410075" cy="400050"/>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3104D0" w:rsidRPr="00284719" w:rsidRDefault="003104D0"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F54F75">
                            <w:rPr>
                              <w:rFonts w:ascii="Arial" w:hAnsi="Arial" w:cs="Arial"/>
                              <w:b/>
                              <w:sz w:val="40"/>
                            </w:rPr>
                            <w:t>EXPOSURE DRAFT</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margin-left:0;margin-top:11.3pt;width:347.25pt;height:31.5pt;z-index:-2516316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" stroked="f">
              <v:stroke joinstyle="round"/>
              <v:path arrowok="t"/>
              <v:textbox>
                <w:txbxContent>
                  <w:p w:rsidR="003104D0" w:rsidRPr="00284719" w:rsidRDefault="003104D0"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F54F75">
                      <w:rPr>
                        <w:rFonts w:ascii="Arial" w:hAnsi="Arial" w:cs="Arial"/>
                        <w:b/>
                        <w:sz w:val="40"/>
                      </w:rPr>
                      <w:t>EXPOSURE DRAFT</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D0" w:rsidRPr="005F1388" w:rsidRDefault="003104D0"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D0" w:rsidRPr="00ED79B6" w:rsidRDefault="003104D0" w:rsidP="00F67BCA">
    <w:pPr>
      <w:pBdr>
        <w:bottom w:val="single" w:sz="6" w:space="1" w:color="auto"/>
      </w:pBdr>
      <w:spacing w:before="1000" w:line="240" w:lineRule="auto"/>
    </w:pPr>
    <w:r>
      <w:rPr>
        <w:noProof/>
        <w:lang w:eastAsia="en-AU"/>
      </w:rPr>
      <mc:AlternateContent>
        <mc:Choice Requires="wps">
          <w:drawing>
            <wp:anchor distT="0" distB="0" distL="114300" distR="114300" simplePos="0" relativeHeight="251662336" behindDoc="1" locked="0" layoutInCell="1" allowOverlap="1" wp14:anchorId="3904B51B" wp14:editId="04A4A873">
              <wp:simplePos x="0" y="0"/>
              <wp:positionH relativeFrom="column">
                <wp:align>center</wp:align>
              </wp:positionH>
              <wp:positionV relativeFrom="page">
                <wp:posOffset>143510</wp:posOffset>
              </wp:positionV>
              <wp:extent cx="4410075" cy="400050"/>
              <wp:effectExtent l="0" t="0" r="952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3104D0" w:rsidRPr="00284719" w:rsidRDefault="003104D0"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F54F75">
                            <w:rPr>
                              <w:rFonts w:ascii="Arial" w:hAnsi="Arial" w:cs="Arial"/>
                              <w:b/>
                              <w:sz w:val="40"/>
                            </w:rPr>
                            <w:t>EXPOSURE DRAFT</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30" type="#_x0000_t202" style="position:absolute;margin-left:0;margin-top:11.3pt;width:347.25pt;height:3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" stroked="f">
              <v:stroke joinstyle="round"/>
              <v:path arrowok="t"/>
              <v:textbox>
                <w:txbxContent>
                  <w:p w:rsidR="003104D0" w:rsidRPr="00284719" w:rsidRDefault="003104D0"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F54F75">
                      <w:rPr>
                        <w:rFonts w:ascii="Arial" w:hAnsi="Arial" w:cs="Arial"/>
                        <w:b/>
                        <w:sz w:val="40"/>
                      </w:rPr>
                      <w:t>EXPOSURE DRAFT</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D0" w:rsidRPr="00ED79B6" w:rsidRDefault="003104D0" w:rsidP="00F67BCA">
    <w:pPr>
      <w:pBdr>
        <w:bottom w:val="single" w:sz="6" w:space="1" w:color="auto"/>
      </w:pBdr>
      <w:spacing w:before="1000" w:line="240" w:lineRule="auto"/>
    </w:pPr>
    <w:r>
      <w:rPr>
        <w:noProof/>
        <w:lang w:eastAsia="en-AU"/>
      </w:rPr>
      <mc:AlternateContent>
        <mc:Choice Requires="wps">
          <w:drawing>
            <wp:anchor distT="0" distB="0" distL="114300" distR="114300" simplePos="0" relativeHeight="251661312" behindDoc="1" locked="0" layoutInCell="1" allowOverlap="1" wp14:anchorId="3BDEFCE0" wp14:editId="7497E095">
              <wp:simplePos x="0" y="0"/>
              <wp:positionH relativeFrom="column">
                <wp:align>center</wp:align>
              </wp:positionH>
              <wp:positionV relativeFrom="page">
                <wp:posOffset>143510</wp:posOffset>
              </wp:positionV>
              <wp:extent cx="4410075" cy="400050"/>
              <wp:effectExtent l="0" t="0" r="952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rsidR="003104D0" w:rsidRPr="00284719" w:rsidRDefault="003104D0"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F54F75">
                            <w:rPr>
                              <w:rFonts w:ascii="Arial" w:hAnsi="Arial" w:cs="Arial"/>
                              <w:b/>
                              <w:sz w:val="40"/>
                            </w:rPr>
                            <w:t>EXPOSURE DRAFT</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31" type="#_x0000_t202" style="position:absolute;margin-left:0;margin-top:11.3pt;width:347.25pt;height:31.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" stroked="f">
              <v:stroke joinstyle="round"/>
              <v:path arrowok="t"/>
              <v:textbox>
                <w:txbxContent>
                  <w:p w:rsidR="003104D0" w:rsidRPr="00284719" w:rsidRDefault="003104D0"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sidR="00F54F75">
                      <w:rPr>
                        <w:rFonts w:ascii="Arial" w:hAnsi="Arial" w:cs="Arial"/>
                        <w:b/>
                        <w:sz w:val="40"/>
                      </w:rPr>
                      <w:t>EXPOSURE DRAFT</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D0" w:rsidRPr="00ED79B6" w:rsidRDefault="003104D0"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D0" w:rsidRPr="00D675F1" w:rsidRDefault="003104D0">
    <w:pPr>
      <w:rPr>
        <w:sz w:val="20"/>
      </w:rPr>
    </w:pPr>
    <w:r w:rsidRPr="00D675F1">
      <w:rPr>
        <w:b/>
        <w:sz w:val="20"/>
      </w:rPr>
      <w:fldChar w:fldCharType="begin"/>
    </w:r>
    <w:r w:rsidRPr="00D675F1">
      <w:rPr>
        <w:b/>
        <w:sz w:val="20"/>
      </w:rPr>
      <w:instrText xml:space="preserve"> STYLEREF CharChapNo </w:instrText>
    </w:r>
    <w:r w:rsidR="00F54F75">
      <w:rPr>
        <w:b/>
        <w:sz w:val="20"/>
      </w:rPr>
      <w:fldChar w:fldCharType="separate"/>
    </w:r>
    <w:r w:rsidR="00F54F75">
      <w:rPr>
        <w:b/>
        <w:noProof/>
        <w:sz w:val="20"/>
      </w:rPr>
      <w:t>Chapter 6</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00F54F75">
      <w:rPr>
        <w:sz w:val="20"/>
      </w:rPr>
      <w:fldChar w:fldCharType="separate"/>
    </w:r>
    <w:r w:rsidR="00F54F75">
      <w:rPr>
        <w:noProof/>
        <w:sz w:val="20"/>
      </w:rPr>
      <w:t>The Dictionary</w:t>
    </w:r>
    <w:r w:rsidRPr="00D675F1">
      <w:rPr>
        <w:sz w:val="20"/>
      </w:rPr>
      <w:fldChar w:fldCharType="end"/>
    </w:r>
  </w:p>
  <w:p w:rsidR="003104D0" w:rsidRPr="00D675F1" w:rsidRDefault="003104D0">
    <w:pPr>
      <w:rPr>
        <w:b/>
        <w:sz w:val="20"/>
      </w:rPr>
    </w:pPr>
    <w:r w:rsidRPr="00D675F1">
      <w:rPr>
        <w:b/>
        <w:sz w:val="20"/>
      </w:rPr>
      <w:fldChar w:fldCharType="begin"/>
    </w:r>
    <w:r w:rsidRPr="00D675F1">
      <w:rPr>
        <w:b/>
        <w:sz w:val="20"/>
      </w:rPr>
      <w:instrText xml:space="preserve"> STYLEREF CharPartNo </w:instrText>
    </w:r>
    <w:r w:rsidR="00F54F75">
      <w:rPr>
        <w:b/>
        <w:sz w:val="20"/>
      </w:rPr>
      <w:fldChar w:fldCharType="separate"/>
    </w:r>
    <w:r w:rsidR="00F54F75">
      <w:rPr>
        <w:b/>
        <w:noProof/>
        <w:sz w:val="20"/>
      </w:rPr>
      <w:t>Part 6-5</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00F54F75">
      <w:rPr>
        <w:sz w:val="20"/>
      </w:rPr>
      <w:fldChar w:fldCharType="separate"/>
    </w:r>
    <w:r w:rsidR="00F54F75">
      <w:rPr>
        <w:noProof/>
        <w:sz w:val="20"/>
      </w:rPr>
      <w:t>Dictionary definitions</w:t>
    </w:r>
    <w:r w:rsidRPr="00D675F1">
      <w:rPr>
        <w:sz w:val="20"/>
      </w:rPr>
      <w:fldChar w:fldCharType="end"/>
    </w:r>
  </w:p>
  <w:p w:rsidR="003104D0" w:rsidRPr="00D675F1" w:rsidRDefault="003104D0">
    <w:pPr>
      <w:rPr>
        <w:sz w:val="20"/>
      </w:rPr>
    </w:pPr>
    <w:r w:rsidRPr="00D675F1">
      <w:rPr>
        <w:b/>
        <w:sz w:val="20"/>
      </w:rPr>
      <w:fldChar w:fldCharType="begin"/>
    </w:r>
    <w:r w:rsidRPr="00D675F1">
      <w:rPr>
        <w:b/>
        <w:sz w:val="20"/>
      </w:rPr>
      <w:instrText xml:space="preserve"> STYLEREF CharDivNo </w:instrText>
    </w:r>
    <w:r w:rsidR="00F54F75">
      <w:rPr>
        <w:b/>
        <w:sz w:val="20"/>
      </w:rPr>
      <w:fldChar w:fldCharType="separate"/>
    </w:r>
    <w:r w:rsidR="00F54F75">
      <w:rPr>
        <w:b/>
        <w:noProof/>
        <w:sz w:val="20"/>
      </w:rPr>
      <w:t>Division 995</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00F54F75">
      <w:rPr>
        <w:sz w:val="20"/>
      </w:rPr>
      <w:fldChar w:fldCharType="separate"/>
    </w:r>
    <w:r w:rsidR="00F54F75">
      <w:rPr>
        <w:noProof/>
        <w:sz w:val="20"/>
      </w:rPr>
      <w:t>Definitions</w:t>
    </w:r>
    <w:r w:rsidRPr="00D675F1">
      <w:rPr>
        <w:sz w:val="20"/>
      </w:rPr>
      <w:fldChar w:fldCharType="end"/>
    </w:r>
  </w:p>
  <w:p w:rsidR="003104D0" w:rsidRPr="00D675F1" w:rsidRDefault="003104D0">
    <w:pPr>
      <w:rPr>
        <w:b/>
      </w:rPr>
    </w:pPr>
  </w:p>
  <w:p w:rsidR="003104D0" w:rsidRPr="00D675F1" w:rsidRDefault="003104D0" w:rsidP="003104D0">
    <w:pPr>
      <w:pBdr>
        <w:bottom w:val="single" w:sz="6" w:space="1" w:color="auto"/>
      </w:pBdr>
      <w:spacing w:after="120"/>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F54F75">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F54F75">
      <w:rPr>
        <w:noProof/>
        <w:sz w:val="24"/>
      </w:rPr>
      <w:t>995-1.04</w:t>
    </w:r>
    <w:r w:rsidRPr="00D675F1">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4D0" w:rsidRPr="00D675F1" w:rsidRDefault="003104D0">
    <w:pPr>
      <w:jc w:val="right"/>
      <w:rPr>
        <w:sz w:val="20"/>
      </w:rPr>
    </w:pPr>
    <w:r w:rsidRPr="00D675F1">
      <w:rPr>
        <w:sz w:val="20"/>
      </w:rPr>
      <w:fldChar w:fldCharType="begin"/>
    </w:r>
    <w:r w:rsidRPr="00D675F1">
      <w:rPr>
        <w:sz w:val="20"/>
      </w:rPr>
      <w:instrText xml:space="preserve"> STYLEREF CharChapText </w:instrText>
    </w:r>
    <w:r w:rsidR="00F54F75">
      <w:rPr>
        <w:sz w:val="20"/>
      </w:rPr>
      <w:fldChar w:fldCharType="separate"/>
    </w:r>
    <w:r w:rsidR="00F54F75">
      <w:rPr>
        <w:noProof/>
        <w:sz w:val="20"/>
      </w:rPr>
      <w:t>The Dictionary</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00F54F75">
      <w:rPr>
        <w:b/>
        <w:sz w:val="20"/>
      </w:rPr>
      <w:fldChar w:fldCharType="separate"/>
    </w:r>
    <w:r w:rsidR="00F54F75">
      <w:rPr>
        <w:b/>
        <w:noProof/>
        <w:sz w:val="20"/>
      </w:rPr>
      <w:t>Chapter 6</w:t>
    </w:r>
    <w:r w:rsidRPr="00D675F1">
      <w:rPr>
        <w:b/>
        <w:sz w:val="20"/>
      </w:rPr>
      <w:fldChar w:fldCharType="end"/>
    </w:r>
  </w:p>
  <w:p w:rsidR="003104D0" w:rsidRPr="00D675F1" w:rsidRDefault="003104D0">
    <w:pPr>
      <w:jc w:val="right"/>
      <w:rPr>
        <w:b/>
        <w:sz w:val="20"/>
      </w:rPr>
    </w:pPr>
    <w:r w:rsidRPr="00D675F1">
      <w:rPr>
        <w:sz w:val="20"/>
      </w:rPr>
      <w:fldChar w:fldCharType="begin"/>
    </w:r>
    <w:r w:rsidRPr="00D675F1">
      <w:rPr>
        <w:sz w:val="20"/>
      </w:rPr>
      <w:instrText xml:space="preserve"> STYLEREF CharPartText </w:instrText>
    </w:r>
    <w:r w:rsidR="00F54F75">
      <w:rPr>
        <w:sz w:val="20"/>
      </w:rPr>
      <w:fldChar w:fldCharType="separate"/>
    </w:r>
    <w:r w:rsidR="00F54F75">
      <w:rPr>
        <w:noProof/>
        <w:sz w:val="20"/>
      </w:rPr>
      <w:t>Dictionary definitions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F54F75">
      <w:rPr>
        <w:b/>
        <w:sz w:val="20"/>
      </w:rPr>
      <w:fldChar w:fldCharType="separate"/>
    </w:r>
    <w:r w:rsidR="00F54F75">
      <w:rPr>
        <w:b/>
        <w:noProof/>
        <w:sz w:val="20"/>
      </w:rPr>
      <w:t>Part 6-5</w:t>
    </w:r>
    <w:r w:rsidRPr="00D675F1">
      <w:rPr>
        <w:b/>
        <w:sz w:val="20"/>
      </w:rPr>
      <w:fldChar w:fldCharType="end"/>
    </w:r>
  </w:p>
  <w:p w:rsidR="003104D0" w:rsidRPr="00D675F1" w:rsidRDefault="003104D0">
    <w:pPr>
      <w:jc w:val="right"/>
      <w:rPr>
        <w:sz w:val="20"/>
      </w:rPr>
    </w:pPr>
    <w:r w:rsidRPr="00D675F1">
      <w:rPr>
        <w:sz w:val="20"/>
      </w:rPr>
      <w:fldChar w:fldCharType="begin"/>
    </w:r>
    <w:r w:rsidRPr="00D675F1">
      <w:rPr>
        <w:sz w:val="20"/>
      </w:rPr>
      <w:instrText xml:space="preserve"> STYLEREF CharDivText </w:instrText>
    </w:r>
    <w:r w:rsidR="00F54F75">
      <w:rPr>
        <w:sz w:val="20"/>
      </w:rPr>
      <w:fldChar w:fldCharType="separate"/>
    </w:r>
    <w:r w:rsidR="00F54F75">
      <w:rPr>
        <w:noProof/>
        <w:sz w:val="20"/>
      </w:rPr>
      <w:t>Definitions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00F54F75">
      <w:rPr>
        <w:b/>
        <w:sz w:val="20"/>
      </w:rPr>
      <w:fldChar w:fldCharType="separate"/>
    </w:r>
    <w:r w:rsidR="00F54F75">
      <w:rPr>
        <w:b/>
        <w:noProof/>
        <w:sz w:val="20"/>
      </w:rPr>
      <w:t>Division 995</w:t>
    </w:r>
    <w:r w:rsidRPr="00D675F1">
      <w:rPr>
        <w:b/>
        <w:sz w:val="20"/>
      </w:rPr>
      <w:fldChar w:fldCharType="end"/>
    </w:r>
  </w:p>
  <w:p w:rsidR="003104D0" w:rsidRPr="00D675F1" w:rsidRDefault="003104D0">
    <w:pPr>
      <w:jc w:val="right"/>
      <w:rPr>
        <w:b/>
      </w:rPr>
    </w:pPr>
  </w:p>
  <w:p w:rsidR="003104D0" w:rsidRPr="00D675F1" w:rsidRDefault="003104D0" w:rsidP="003104D0">
    <w:pPr>
      <w:pBdr>
        <w:bottom w:val="single" w:sz="6" w:space="1" w:color="auto"/>
      </w:pBdr>
      <w:spacing w:after="120"/>
      <w:jc w:val="right"/>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F54F75">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F54F75">
      <w:rPr>
        <w:noProof/>
        <w:sz w:val="24"/>
      </w:rPr>
      <w:t>995-1.06</w:t>
    </w:r>
    <w:r w:rsidRPr="00D675F1">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AC7" w:rsidRPr="00D675F1" w:rsidRDefault="009D7AC7">
    <w:pPr>
      <w:rPr>
        <w:sz w:val="20"/>
      </w:rPr>
    </w:pPr>
    <w:r w:rsidRPr="00D675F1">
      <w:rPr>
        <w:b/>
        <w:sz w:val="20"/>
      </w:rPr>
      <w:fldChar w:fldCharType="begin"/>
    </w:r>
    <w:r w:rsidRPr="00D675F1">
      <w:rPr>
        <w:b/>
        <w:sz w:val="20"/>
      </w:rPr>
      <w:instrText xml:space="preserve"> STYLEREF CharChapNo </w:instrText>
    </w:r>
    <w:r w:rsidRPr="00D675F1">
      <w:rPr>
        <w:b/>
        <w:sz w:val="3276"/>
      </w:rPr>
      <w:fldChar w:fldCharType="separate"/>
    </w:r>
    <w:r w:rsidR="00F54F75">
      <w:rPr>
        <w:b/>
        <w:noProof/>
        <w:sz w:val="20"/>
      </w:rPr>
      <w:t>Schedule 1A</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3276"/>
      </w:rPr>
      <w:fldChar w:fldCharType="separate"/>
    </w:r>
    <w:r w:rsidR="00F54F75">
      <w:rPr>
        <w:noProof/>
        <w:sz w:val="20"/>
      </w:rPr>
      <w:t>Method of working out amount of notional taxed contributions</w:t>
    </w:r>
    <w:r w:rsidRPr="00D675F1">
      <w:rPr>
        <w:sz w:val="20"/>
      </w:rPr>
      <w:fldChar w:fldCharType="end"/>
    </w:r>
  </w:p>
  <w:p w:rsidR="009D7AC7" w:rsidRPr="00D675F1" w:rsidRDefault="009D7AC7">
    <w:pPr>
      <w:rPr>
        <w:b/>
        <w:sz w:val="20"/>
      </w:rPr>
    </w:pPr>
    <w:r w:rsidRPr="00D675F1">
      <w:rPr>
        <w:b/>
        <w:sz w:val="20"/>
      </w:rPr>
      <w:fldChar w:fldCharType="begin"/>
    </w:r>
    <w:r w:rsidRPr="00D675F1">
      <w:rPr>
        <w:b/>
        <w:sz w:val="20"/>
      </w:rPr>
      <w:instrText xml:space="preserve"> STYLEREF CharPartNo </w:instrText>
    </w:r>
    <w:r w:rsidR="00F54F75">
      <w:rPr>
        <w:b/>
        <w:sz w:val="20"/>
      </w:rPr>
      <w:fldChar w:fldCharType="separate"/>
    </w:r>
    <w:r w:rsidR="00F54F75">
      <w:rPr>
        <w:b/>
        <w:noProof/>
        <w:sz w:val="20"/>
      </w:rPr>
      <w:t>Part 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00F54F75">
      <w:rPr>
        <w:sz w:val="20"/>
      </w:rPr>
      <w:fldChar w:fldCharType="separate"/>
    </w:r>
    <w:r w:rsidR="00F54F75">
      <w:rPr>
        <w:noProof/>
        <w:sz w:val="20"/>
      </w:rPr>
      <w:t>New entrant rate</w:t>
    </w:r>
    <w:r w:rsidRPr="00D675F1">
      <w:rPr>
        <w:sz w:val="20"/>
      </w:rPr>
      <w:fldChar w:fldCharType="end"/>
    </w:r>
  </w:p>
  <w:p w:rsidR="009D7AC7" w:rsidRPr="00D675F1" w:rsidRDefault="009D7AC7">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9D7AC7" w:rsidRPr="00D675F1" w:rsidRDefault="009D7AC7">
    <w:pPr>
      <w:rPr>
        <w:b/>
      </w:rPr>
    </w:pPr>
  </w:p>
  <w:p w:rsidR="009D7AC7" w:rsidRPr="00D675F1" w:rsidRDefault="009D7AC7" w:rsidP="003104D0">
    <w:pPr>
      <w:pBdr>
        <w:bottom w:val="single" w:sz="6" w:space="1" w:color="auto"/>
      </w:pBdr>
      <w:spacing w:after="120"/>
    </w:pPr>
    <w:r w:rsidRPr="00D675F1">
      <w:t xml:space="preserve">Clause </w:t>
    </w:r>
    <w:r w:rsidR="00F54F75">
      <w:fldChar w:fldCharType="begin"/>
    </w:r>
    <w:r w:rsidR="00F54F75">
      <w:instrText xml:space="preserve"> STYLEREF CharSectno </w:instrText>
    </w:r>
    <w:r w:rsidR="00F54F75">
      <w:fldChar w:fldCharType="separate"/>
    </w:r>
    <w:r w:rsidR="00F54F75">
      <w:rPr>
        <w:noProof/>
      </w:rPr>
      <w:t>2.1</w:t>
    </w:r>
    <w:r w:rsidR="00F54F75">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02924ADD"/>
    <w:multiLevelType w:val="hybridMultilevel"/>
    <w:tmpl w:val="4BE03F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3C6679E"/>
    <w:multiLevelType w:val="hybridMultilevel"/>
    <w:tmpl w:val="D15EBA28"/>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20">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21">
    <w:nsid w:val="391B745E"/>
    <w:multiLevelType w:val="hybridMultilevel"/>
    <w:tmpl w:val="29142D0C"/>
    <w:lvl w:ilvl="0" w:tplc="0C090001">
      <w:start w:val="1"/>
      <w:numFmt w:val="bullet"/>
      <w:lvlText w:val=""/>
      <w:lvlJc w:val="left"/>
      <w:pPr>
        <w:tabs>
          <w:tab w:val="num" w:pos="1684"/>
        </w:tabs>
        <w:ind w:left="1684" w:hanging="360"/>
      </w:pPr>
      <w:rPr>
        <w:rFonts w:ascii="Symbol" w:hAnsi="Symbol" w:hint="default"/>
      </w:rPr>
    </w:lvl>
    <w:lvl w:ilvl="1" w:tplc="0C090003" w:tentative="1">
      <w:start w:val="1"/>
      <w:numFmt w:val="bullet"/>
      <w:lvlText w:val="o"/>
      <w:lvlJc w:val="left"/>
      <w:pPr>
        <w:tabs>
          <w:tab w:val="num" w:pos="2404"/>
        </w:tabs>
        <w:ind w:left="2404" w:hanging="360"/>
      </w:pPr>
      <w:rPr>
        <w:rFonts w:ascii="Courier New" w:hAnsi="Courier New" w:cs="Courier New" w:hint="default"/>
      </w:rPr>
    </w:lvl>
    <w:lvl w:ilvl="2" w:tplc="0C090005" w:tentative="1">
      <w:start w:val="1"/>
      <w:numFmt w:val="bullet"/>
      <w:lvlText w:val=""/>
      <w:lvlJc w:val="left"/>
      <w:pPr>
        <w:tabs>
          <w:tab w:val="num" w:pos="3124"/>
        </w:tabs>
        <w:ind w:left="3124" w:hanging="360"/>
      </w:pPr>
      <w:rPr>
        <w:rFonts w:ascii="Wingdings" w:hAnsi="Wingdings" w:hint="default"/>
      </w:rPr>
    </w:lvl>
    <w:lvl w:ilvl="3" w:tplc="0C090001" w:tentative="1">
      <w:start w:val="1"/>
      <w:numFmt w:val="bullet"/>
      <w:lvlText w:val=""/>
      <w:lvlJc w:val="left"/>
      <w:pPr>
        <w:tabs>
          <w:tab w:val="num" w:pos="3844"/>
        </w:tabs>
        <w:ind w:left="3844" w:hanging="360"/>
      </w:pPr>
      <w:rPr>
        <w:rFonts w:ascii="Symbol" w:hAnsi="Symbol" w:hint="default"/>
      </w:rPr>
    </w:lvl>
    <w:lvl w:ilvl="4" w:tplc="0C090003" w:tentative="1">
      <w:start w:val="1"/>
      <w:numFmt w:val="bullet"/>
      <w:lvlText w:val="o"/>
      <w:lvlJc w:val="left"/>
      <w:pPr>
        <w:tabs>
          <w:tab w:val="num" w:pos="4564"/>
        </w:tabs>
        <w:ind w:left="4564" w:hanging="360"/>
      </w:pPr>
      <w:rPr>
        <w:rFonts w:ascii="Courier New" w:hAnsi="Courier New" w:cs="Courier New" w:hint="default"/>
      </w:rPr>
    </w:lvl>
    <w:lvl w:ilvl="5" w:tplc="0C090005" w:tentative="1">
      <w:start w:val="1"/>
      <w:numFmt w:val="bullet"/>
      <w:lvlText w:val=""/>
      <w:lvlJc w:val="left"/>
      <w:pPr>
        <w:tabs>
          <w:tab w:val="num" w:pos="5284"/>
        </w:tabs>
        <w:ind w:left="5284" w:hanging="360"/>
      </w:pPr>
      <w:rPr>
        <w:rFonts w:ascii="Wingdings" w:hAnsi="Wingdings" w:hint="default"/>
      </w:rPr>
    </w:lvl>
    <w:lvl w:ilvl="6" w:tplc="0C090001" w:tentative="1">
      <w:start w:val="1"/>
      <w:numFmt w:val="bullet"/>
      <w:lvlText w:val=""/>
      <w:lvlJc w:val="left"/>
      <w:pPr>
        <w:tabs>
          <w:tab w:val="num" w:pos="6004"/>
        </w:tabs>
        <w:ind w:left="6004" w:hanging="360"/>
      </w:pPr>
      <w:rPr>
        <w:rFonts w:ascii="Symbol" w:hAnsi="Symbol" w:hint="default"/>
      </w:rPr>
    </w:lvl>
    <w:lvl w:ilvl="7" w:tplc="0C090003" w:tentative="1">
      <w:start w:val="1"/>
      <w:numFmt w:val="bullet"/>
      <w:lvlText w:val="o"/>
      <w:lvlJc w:val="left"/>
      <w:pPr>
        <w:tabs>
          <w:tab w:val="num" w:pos="6724"/>
        </w:tabs>
        <w:ind w:left="6724" w:hanging="360"/>
      </w:pPr>
      <w:rPr>
        <w:rFonts w:ascii="Courier New" w:hAnsi="Courier New" w:cs="Courier New" w:hint="default"/>
      </w:rPr>
    </w:lvl>
    <w:lvl w:ilvl="8" w:tplc="0C090005" w:tentative="1">
      <w:start w:val="1"/>
      <w:numFmt w:val="bullet"/>
      <w:lvlText w:val=""/>
      <w:lvlJc w:val="left"/>
      <w:pPr>
        <w:tabs>
          <w:tab w:val="num" w:pos="7444"/>
        </w:tabs>
        <w:ind w:left="7444" w:hanging="360"/>
      </w:pPr>
      <w:rPr>
        <w:rFonts w:ascii="Wingdings" w:hAnsi="Wingdings" w:hint="default"/>
      </w:rPr>
    </w:lvl>
  </w:abstractNum>
  <w:abstractNum w:abstractNumId="22">
    <w:nsid w:val="3A836E0D"/>
    <w:multiLevelType w:val="multilevel"/>
    <w:tmpl w:val="5D364E06"/>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625"/>
        </w:tabs>
        <w:ind w:left="2625" w:hanging="35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6">
    <w:nsid w:val="559214BF"/>
    <w:multiLevelType w:val="multilevel"/>
    <w:tmpl w:val="B5F4DA04"/>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9">
    <w:nsid w:val="5FBC7E8D"/>
    <w:multiLevelType w:val="singleLevel"/>
    <w:tmpl w:val="EE0E33D2"/>
    <w:lvl w:ilvl="0">
      <w:start w:val="1"/>
      <w:numFmt w:val="decimal"/>
      <w:lvlRestart w:val="0"/>
      <w:lvlText w:val="%1."/>
      <w:lvlJc w:val="left"/>
      <w:pPr>
        <w:tabs>
          <w:tab w:val="num" w:pos="1984"/>
        </w:tabs>
        <w:ind w:left="1140" w:firstLine="0"/>
      </w:pPr>
      <w:rPr>
        <w:b w:val="0"/>
        <w:i w:val="0"/>
        <w:color w:val="000000"/>
      </w:rPr>
    </w:lvl>
  </w:abstractNum>
  <w:abstractNum w:abstractNumId="3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3796DA5"/>
    <w:multiLevelType w:val="singleLevel"/>
    <w:tmpl w:val="4E5EFE2E"/>
    <w:lvl w:ilvl="0">
      <w:start w:val="2"/>
      <w:numFmt w:val="decimal"/>
      <w:lvlText w:val="%1."/>
      <w:lvlJc w:val="left"/>
      <w:pPr>
        <w:tabs>
          <w:tab w:val="num" w:pos="567"/>
        </w:tabs>
        <w:ind w:left="567" w:hanging="567"/>
      </w:pPr>
    </w:lvl>
  </w:abstractNum>
  <w:abstractNum w:abstractNumId="32">
    <w:nsid w:val="694B40F6"/>
    <w:multiLevelType w:val="multilevel"/>
    <w:tmpl w:val="A12821D8"/>
    <w:lvl w:ilvl="0">
      <w:start w:val="1"/>
      <w:numFmt w:val="decimal"/>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7AD7615"/>
    <w:multiLevelType w:val="multilevel"/>
    <w:tmpl w:val="16701C98"/>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4"/>
  </w:num>
  <w:num w:numId="13">
    <w:abstractNumId w:val="15"/>
  </w:num>
  <w:num w:numId="14">
    <w:abstractNumId w:val="18"/>
  </w:num>
  <w:num w:numId="15">
    <w:abstractNumId w:val="16"/>
  </w:num>
  <w:num w:numId="16">
    <w:abstractNumId w:val="13"/>
  </w:num>
  <w:num w:numId="17">
    <w:abstractNumId w:val="25"/>
  </w:num>
  <w:num w:numId="18">
    <w:abstractNumId w:val="24"/>
  </w:num>
  <w:num w:numId="19">
    <w:abstractNumId w:val="23"/>
  </w:num>
  <w:num w:numId="20">
    <w:abstractNumId w:val="21"/>
  </w:num>
  <w:num w:numId="21">
    <w:abstractNumId w:val="31"/>
  </w:num>
  <w:num w:numId="22">
    <w:abstractNumId w:val="26"/>
  </w:num>
  <w:num w:numId="23">
    <w:abstractNumId w:val="20"/>
  </w:num>
  <w:num w:numId="24">
    <w:abstractNumId w:val="28"/>
  </w:num>
  <w:num w:numId="25">
    <w:abstractNumId w:val="32"/>
  </w:num>
  <w:num w:numId="26">
    <w:abstractNumId w:val="29"/>
  </w:num>
  <w:num w:numId="27">
    <w:abstractNumId w:val="22"/>
  </w:num>
  <w:num w:numId="28">
    <w:abstractNumId w:val="30"/>
  </w:num>
  <w:num w:numId="29">
    <w:abstractNumId w:val="17"/>
  </w:num>
  <w:num w:numId="30">
    <w:abstractNumId w:val="19"/>
  </w:num>
  <w:num w:numId="31">
    <w:abstractNumId w:val="11"/>
  </w:num>
  <w:num w:numId="32">
    <w:abstractNumId w:val="27"/>
  </w:num>
  <w:num w:numId="33">
    <w:abstractNumId w:val="10"/>
    <w:lvlOverride w:ilvl="0">
      <w:lvl w:ilvl="0">
        <w:start w:val="1"/>
        <w:numFmt w:val="bullet"/>
        <w:lvlText w:val=""/>
        <w:legacy w:legacy="1" w:legacySpace="0" w:legacyIndent="567"/>
        <w:lvlJc w:val="left"/>
        <w:pPr>
          <w:ind w:left="567" w:hanging="567"/>
        </w:pPr>
        <w:rPr>
          <w:rFonts w:ascii="Symbol" w:hAnsi="Symbol" w:cs="Symbol" w:hint="default"/>
        </w:rPr>
      </w:lvl>
    </w:lvlOverride>
  </w:num>
  <w:num w:numId="34">
    <w:abstractNumId w:val="12"/>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68E"/>
    <w:rsid w:val="0000360B"/>
    <w:rsid w:val="00004470"/>
    <w:rsid w:val="0000570A"/>
    <w:rsid w:val="0001201E"/>
    <w:rsid w:val="0001310D"/>
    <w:rsid w:val="000136AF"/>
    <w:rsid w:val="000223F9"/>
    <w:rsid w:val="00023A95"/>
    <w:rsid w:val="00031257"/>
    <w:rsid w:val="000357ED"/>
    <w:rsid w:val="0004151E"/>
    <w:rsid w:val="000417E7"/>
    <w:rsid w:val="000437C1"/>
    <w:rsid w:val="000447D2"/>
    <w:rsid w:val="000501B0"/>
    <w:rsid w:val="000522C2"/>
    <w:rsid w:val="0005365D"/>
    <w:rsid w:val="000614BF"/>
    <w:rsid w:val="0006233F"/>
    <w:rsid w:val="00064D80"/>
    <w:rsid w:val="00066E78"/>
    <w:rsid w:val="00070DDB"/>
    <w:rsid w:val="000776EE"/>
    <w:rsid w:val="0008178B"/>
    <w:rsid w:val="000837B1"/>
    <w:rsid w:val="00090368"/>
    <w:rsid w:val="000A14A1"/>
    <w:rsid w:val="000A3BD0"/>
    <w:rsid w:val="000A7A93"/>
    <w:rsid w:val="000B58FA"/>
    <w:rsid w:val="000B67CD"/>
    <w:rsid w:val="000B7E30"/>
    <w:rsid w:val="000C7F76"/>
    <w:rsid w:val="000D05EF"/>
    <w:rsid w:val="000D0A73"/>
    <w:rsid w:val="000D4750"/>
    <w:rsid w:val="000D6341"/>
    <w:rsid w:val="000E2261"/>
    <w:rsid w:val="000E2B0B"/>
    <w:rsid w:val="000F21C1"/>
    <w:rsid w:val="000F5C96"/>
    <w:rsid w:val="0010745C"/>
    <w:rsid w:val="00110996"/>
    <w:rsid w:val="00125AFF"/>
    <w:rsid w:val="00125C99"/>
    <w:rsid w:val="00132CEB"/>
    <w:rsid w:val="00137BB1"/>
    <w:rsid w:val="00142B62"/>
    <w:rsid w:val="00143BB9"/>
    <w:rsid w:val="0014539C"/>
    <w:rsid w:val="00147FFB"/>
    <w:rsid w:val="00150FE8"/>
    <w:rsid w:val="00153893"/>
    <w:rsid w:val="0015625F"/>
    <w:rsid w:val="00157B8B"/>
    <w:rsid w:val="00166C2F"/>
    <w:rsid w:val="00170735"/>
    <w:rsid w:val="00175832"/>
    <w:rsid w:val="00175AAB"/>
    <w:rsid w:val="001809D7"/>
    <w:rsid w:val="001853BA"/>
    <w:rsid w:val="00187847"/>
    <w:rsid w:val="00190550"/>
    <w:rsid w:val="0019271A"/>
    <w:rsid w:val="001939E1"/>
    <w:rsid w:val="00194C3E"/>
    <w:rsid w:val="00195382"/>
    <w:rsid w:val="00197158"/>
    <w:rsid w:val="001A4F30"/>
    <w:rsid w:val="001A552C"/>
    <w:rsid w:val="001A7828"/>
    <w:rsid w:val="001A7FA0"/>
    <w:rsid w:val="001B2B9E"/>
    <w:rsid w:val="001C0CB7"/>
    <w:rsid w:val="001C3B32"/>
    <w:rsid w:val="001C5D8F"/>
    <w:rsid w:val="001C61C5"/>
    <w:rsid w:val="001C69C4"/>
    <w:rsid w:val="001D37EF"/>
    <w:rsid w:val="001E1C61"/>
    <w:rsid w:val="001E3590"/>
    <w:rsid w:val="001E6C48"/>
    <w:rsid w:val="001E7407"/>
    <w:rsid w:val="001F5D4F"/>
    <w:rsid w:val="001F5D5E"/>
    <w:rsid w:val="001F6219"/>
    <w:rsid w:val="001F6CD4"/>
    <w:rsid w:val="002061C2"/>
    <w:rsid w:val="00206C4D"/>
    <w:rsid w:val="0021053C"/>
    <w:rsid w:val="00211E23"/>
    <w:rsid w:val="00215AF1"/>
    <w:rsid w:val="00216A2E"/>
    <w:rsid w:val="00224A89"/>
    <w:rsid w:val="00225492"/>
    <w:rsid w:val="00226562"/>
    <w:rsid w:val="002321E8"/>
    <w:rsid w:val="002345A7"/>
    <w:rsid w:val="002364B4"/>
    <w:rsid w:val="00236EEC"/>
    <w:rsid w:val="0024010F"/>
    <w:rsid w:val="00240749"/>
    <w:rsid w:val="00243018"/>
    <w:rsid w:val="00247812"/>
    <w:rsid w:val="00252E29"/>
    <w:rsid w:val="002564A4"/>
    <w:rsid w:val="00261644"/>
    <w:rsid w:val="00261EAB"/>
    <w:rsid w:val="0026736C"/>
    <w:rsid w:val="002736BA"/>
    <w:rsid w:val="00275D91"/>
    <w:rsid w:val="00275DD8"/>
    <w:rsid w:val="00281308"/>
    <w:rsid w:val="00284719"/>
    <w:rsid w:val="00296407"/>
    <w:rsid w:val="00296441"/>
    <w:rsid w:val="00297ECB"/>
    <w:rsid w:val="002A3735"/>
    <w:rsid w:val="002A7BCF"/>
    <w:rsid w:val="002B1A95"/>
    <w:rsid w:val="002B2BE7"/>
    <w:rsid w:val="002B6829"/>
    <w:rsid w:val="002C6C45"/>
    <w:rsid w:val="002C7100"/>
    <w:rsid w:val="002D043A"/>
    <w:rsid w:val="002D11A2"/>
    <w:rsid w:val="002D1BE2"/>
    <w:rsid w:val="002D1CA3"/>
    <w:rsid w:val="002D1FCD"/>
    <w:rsid w:val="002D2FDA"/>
    <w:rsid w:val="002D34B1"/>
    <w:rsid w:val="002D6224"/>
    <w:rsid w:val="002E1CFE"/>
    <w:rsid w:val="002E3C6A"/>
    <w:rsid w:val="002E3F4B"/>
    <w:rsid w:val="002F07B9"/>
    <w:rsid w:val="00304459"/>
    <w:rsid w:val="00304F8B"/>
    <w:rsid w:val="003104D0"/>
    <w:rsid w:val="003130B8"/>
    <w:rsid w:val="0033002C"/>
    <w:rsid w:val="003354D2"/>
    <w:rsid w:val="00335BC6"/>
    <w:rsid w:val="003415D3"/>
    <w:rsid w:val="00344701"/>
    <w:rsid w:val="003478B4"/>
    <w:rsid w:val="00352B0F"/>
    <w:rsid w:val="00356690"/>
    <w:rsid w:val="00360459"/>
    <w:rsid w:val="00360B94"/>
    <w:rsid w:val="00361A58"/>
    <w:rsid w:val="00383065"/>
    <w:rsid w:val="00384E8D"/>
    <w:rsid w:val="00386AC1"/>
    <w:rsid w:val="003904BD"/>
    <w:rsid w:val="00397CBA"/>
    <w:rsid w:val="003A1C95"/>
    <w:rsid w:val="003A4492"/>
    <w:rsid w:val="003A528A"/>
    <w:rsid w:val="003B1DE3"/>
    <w:rsid w:val="003B77A7"/>
    <w:rsid w:val="003C3BF2"/>
    <w:rsid w:val="003C41DA"/>
    <w:rsid w:val="003C6231"/>
    <w:rsid w:val="003C671B"/>
    <w:rsid w:val="003D04CB"/>
    <w:rsid w:val="003D05B7"/>
    <w:rsid w:val="003D0BFE"/>
    <w:rsid w:val="003D2F06"/>
    <w:rsid w:val="003D5700"/>
    <w:rsid w:val="003D63BB"/>
    <w:rsid w:val="003E341B"/>
    <w:rsid w:val="003F0899"/>
    <w:rsid w:val="003F3542"/>
    <w:rsid w:val="003F503D"/>
    <w:rsid w:val="003F5595"/>
    <w:rsid w:val="00400B81"/>
    <w:rsid w:val="00404973"/>
    <w:rsid w:val="00404C53"/>
    <w:rsid w:val="004063D4"/>
    <w:rsid w:val="004116CD"/>
    <w:rsid w:val="00411C46"/>
    <w:rsid w:val="004144EC"/>
    <w:rsid w:val="00417E11"/>
    <w:rsid w:val="00417EB9"/>
    <w:rsid w:val="00423D51"/>
    <w:rsid w:val="00424CA9"/>
    <w:rsid w:val="00430A5B"/>
    <w:rsid w:val="00430C7E"/>
    <w:rsid w:val="00431E9B"/>
    <w:rsid w:val="004345AC"/>
    <w:rsid w:val="004379E3"/>
    <w:rsid w:val="00437FF5"/>
    <w:rsid w:val="0044015E"/>
    <w:rsid w:val="0044291A"/>
    <w:rsid w:val="00444ABD"/>
    <w:rsid w:val="00445490"/>
    <w:rsid w:val="00452E3F"/>
    <w:rsid w:val="00457EF4"/>
    <w:rsid w:val="00460784"/>
    <w:rsid w:val="00461C81"/>
    <w:rsid w:val="00467661"/>
    <w:rsid w:val="004705B7"/>
    <w:rsid w:val="00472DBE"/>
    <w:rsid w:val="00473057"/>
    <w:rsid w:val="00474449"/>
    <w:rsid w:val="00474A19"/>
    <w:rsid w:val="00496F97"/>
    <w:rsid w:val="004A6987"/>
    <w:rsid w:val="004B2ABA"/>
    <w:rsid w:val="004C118D"/>
    <w:rsid w:val="004C43A3"/>
    <w:rsid w:val="004C5048"/>
    <w:rsid w:val="004C6AE8"/>
    <w:rsid w:val="004D2AA6"/>
    <w:rsid w:val="004D3593"/>
    <w:rsid w:val="004D417C"/>
    <w:rsid w:val="004E063A"/>
    <w:rsid w:val="004E0DA5"/>
    <w:rsid w:val="004E7BEC"/>
    <w:rsid w:val="005047A3"/>
    <w:rsid w:val="0050586B"/>
    <w:rsid w:val="00505D3D"/>
    <w:rsid w:val="005060C4"/>
    <w:rsid w:val="00506AF6"/>
    <w:rsid w:val="00511117"/>
    <w:rsid w:val="00516B8D"/>
    <w:rsid w:val="00522354"/>
    <w:rsid w:val="005373CD"/>
    <w:rsid w:val="00537FBC"/>
    <w:rsid w:val="0054043C"/>
    <w:rsid w:val="00554954"/>
    <w:rsid w:val="005574D1"/>
    <w:rsid w:val="005706CF"/>
    <w:rsid w:val="005729EB"/>
    <w:rsid w:val="0058146A"/>
    <w:rsid w:val="00581520"/>
    <w:rsid w:val="00584811"/>
    <w:rsid w:val="00585784"/>
    <w:rsid w:val="00586A24"/>
    <w:rsid w:val="005871FC"/>
    <w:rsid w:val="00593AA6"/>
    <w:rsid w:val="00594161"/>
    <w:rsid w:val="00594749"/>
    <w:rsid w:val="0059695A"/>
    <w:rsid w:val="005A0CA7"/>
    <w:rsid w:val="005A6336"/>
    <w:rsid w:val="005B00B1"/>
    <w:rsid w:val="005B05FF"/>
    <w:rsid w:val="005B2DEE"/>
    <w:rsid w:val="005B4067"/>
    <w:rsid w:val="005B5FE9"/>
    <w:rsid w:val="005B63A2"/>
    <w:rsid w:val="005B7363"/>
    <w:rsid w:val="005C3F41"/>
    <w:rsid w:val="005D2D09"/>
    <w:rsid w:val="005D7ED1"/>
    <w:rsid w:val="005E2282"/>
    <w:rsid w:val="005F04E1"/>
    <w:rsid w:val="005F2A6B"/>
    <w:rsid w:val="005F7EBE"/>
    <w:rsid w:val="00600219"/>
    <w:rsid w:val="00603DC4"/>
    <w:rsid w:val="006064C3"/>
    <w:rsid w:val="00607262"/>
    <w:rsid w:val="00607771"/>
    <w:rsid w:val="00620076"/>
    <w:rsid w:val="00620688"/>
    <w:rsid w:val="006309B7"/>
    <w:rsid w:val="006320A8"/>
    <w:rsid w:val="00643580"/>
    <w:rsid w:val="0064377E"/>
    <w:rsid w:val="0065746F"/>
    <w:rsid w:val="00670623"/>
    <w:rsid w:val="00670EA1"/>
    <w:rsid w:val="00673D02"/>
    <w:rsid w:val="00677CC2"/>
    <w:rsid w:val="006851AD"/>
    <w:rsid w:val="006905DE"/>
    <w:rsid w:val="006910CF"/>
    <w:rsid w:val="0069207B"/>
    <w:rsid w:val="006944A8"/>
    <w:rsid w:val="00696A6D"/>
    <w:rsid w:val="006A018E"/>
    <w:rsid w:val="006A0426"/>
    <w:rsid w:val="006B11B1"/>
    <w:rsid w:val="006B5789"/>
    <w:rsid w:val="006C30C5"/>
    <w:rsid w:val="006C70FF"/>
    <w:rsid w:val="006C7F8C"/>
    <w:rsid w:val="006E2864"/>
    <w:rsid w:val="006E6246"/>
    <w:rsid w:val="006F13CC"/>
    <w:rsid w:val="006F318F"/>
    <w:rsid w:val="006F4226"/>
    <w:rsid w:val="0070017E"/>
    <w:rsid w:val="00700B2C"/>
    <w:rsid w:val="00702CC2"/>
    <w:rsid w:val="00704E08"/>
    <w:rsid w:val="007050A2"/>
    <w:rsid w:val="00713084"/>
    <w:rsid w:val="007134F3"/>
    <w:rsid w:val="00714F20"/>
    <w:rsid w:val="0071590F"/>
    <w:rsid w:val="00715914"/>
    <w:rsid w:val="00715A22"/>
    <w:rsid w:val="00717D4F"/>
    <w:rsid w:val="00722EDF"/>
    <w:rsid w:val="00726A51"/>
    <w:rsid w:val="00731980"/>
    <w:rsid w:val="00731E00"/>
    <w:rsid w:val="00734F62"/>
    <w:rsid w:val="007440B7"/>
    <w:rsid w:val="007441B9"/>
    <w:rsid w:val="007500C8"/>
    <w:rsid w:val="00754C11"/>
    <w:rsid w:val="00756272"/>
    <w:rsid w:val="00763143"/>
    <w:rsid w:val="0076681A"/>
    <w:rsid w:val="0076798B"/>
    <w:rsid w:val="007715C9"/>
    <w:rsid w:val="00771613"/>
    <w:rsid w:val="00774EDD"/>
    <w:rsid w:val="007757EC"/>
    <w:rsid w:val="00775D80"/>
    <w:rsid w:val="0077603A"/>
    <w:rsid w:val="00776A8E"/>
    <w:rsid w:val="00781714"/>
    <w:rsid w:val="00782250"/>
    <w:rsid w:val="00783E89"/>
    <w:rsid w:val="00793915"/>
    <w:rsid w:val="007A421C"/>
    <w:rsid w:val="007B2385"/>
    <w:rsid w:val="007B6DAE"/>
    <w:rsid w:val="007C10C2"/>
    <w:rsid w:val="007C1437"/>
    <w:rsid w:val="007C2253"/>
    <w:rsid w:val="007C4FDE"/>
    <w:rsid w:val="007D120B"/>
    <w:rsid w:val="007D17C5"/>
    <w:rsid w:val="007D4928"/>
    <w:rsid w:val="007D5A63"/>
    <w:rsid w:val="007D695F"/>
    <w:rsid w:val="007D7B81"/>
    <w:rsid w:val="007E163D"/>
    <w:rsid w:val="007E2FFE"/>
    <w:rsid w:val="007E4CB0"/>
    <w:rsid w:val="007E5BE5"/>
    <w:rsid w:val="007E667A"/>
    <w:rsid w:val="007F28C9"/>
    <w:rsid w:val="007F3F33"/>
    <w:rsid w:val="007F4920"/>
    <w:rsid w:val="007F537E"/>
    <w:rsid w:val="00803587"/>
    <w:rsid w:val="00805C3E"/>
    <w:rsid w:val="008117E9"/>
    <w:rsid w:val="008141FE"/>
    <w:rsid w:val="00824498"/>
    <w:rsid w:val="008246AC"/>
    <w:rsid w:val="00837062"/>
    <w:rsid w:val="00854B8E"/>
    <w:rsid w:val="00856A31"/>
    <w:rsid w:val="00864B24"/>
    <w:rsid w:val="00867B37"/>
    <w:rsid w:val="00871616"/>
    <w:rsid w:val="008754D0"/>
    <w:rsid w:val="00882286"/>
    <w:rsid w:val="008855C9"/>
    <w:rsid w:val="00886456"/>
    <w:rsid w:val="00891CB4"/>
    <w:rsid w:val="008A38A7"/>
    <w:rsid w:val="008A46E1"/>
    <w:rsid w:val="008A4F43"/>
    <w:rsid w:val="008A7705"/>
    <w:rsid w:val="008B2706"/>
    <w:rsid w:val="008B6573"/>
    <w:rsid w:val="008C30FB"/>
    <w:rsid w:val="008D0377"/>
    <w:rsid w:val="008D0EE0"/>
    <w:rsid w:val="008D32B3"/>
    <w:rsid w:val="008E39A0"/>
    <w:rsid w:val="008E6067"/>
    <w:rsid w:val="008F4C04"/>
    <w:rsid w:val="008F54E7"/>
    <w:rsid w:val="0090040F"/>
    <w:rsid w:val="00903422"/>
    <w:rsid w:val="009126D3"/>
    <w:rsid w:val="009133C0"/>
    <w:rsid w:val="00915DF9"/>
    <w:rsid w:val="009161C0"/>
    <w:rsid w:val="00921FE4"/>
    <w:rsid w:val="009254C3"/>
    <w:rsid w:val="00926F31"/>
    <w:rsid w:val="00930A29"/>
    <w:rsid w:val="00932377"/>
    <w:rsid w:val="00947D5A"/>
    <w:rsid w:val="00952142"/>
    <w:rsid w:val="009532A5"/>
    <w:rsid w:val="009558BE"/>
    <w:rsid w:val="00955B6E"/>
    <w:rsid w:val="00955D18"/>
    <w:rsid w:val="00956371"/>
    <w:rsid w:val="009568EC"/>
    <w:rsid w:val="009612C0"/>
    <w:rsid w:val="00971C21"/>
    <w:rsid w:val="00982242"/>
    <w:rsid w:val="00982DC9"/>
    <w:rsid w:val="009868E9"/>
    <w:rsid w:val="0098701B"/>
    <w:rsid w:val="00995B81"/>
    <w:rsid w:val="009A7C4C"/>
    <w:rsid w:val="009B15A3"/>
    <w:rsid w:val="009B1D19"/>
    <w:rsid w:val="009B34D3"/>
    <w:rsid w:val="009B4499"/>
    <w:rsid w:val="009B6939"/>
    <w:rsid w:val="009C13FF"/>
    <w:rsid w:val="009C2871"/>
    <w:rsid w:val="009D0F6E"/>
    <w:rsid w:val="009D27CF"/>
    <w:rsid w:val="009D7AC7"/>
    <w:rsid w:val="009E33A1"/>
    <w:rsid w:val="009E5CFC"/>
    <w:rsid w:val="009E7660"/>
    <w:rsid w:val="009F135A"/>
    <w:rsid w:val="009F325D"/>
    <w:rsid w:val="00A0338F"/>
    <w:rsid w:val="00A05F7D"/>
    <w:rsid w:val="00A079CB"/>
    <w:rsid w:val="00A12128"/>
    <w:rsid w:val="00A160F6"/>
    <w:rsid w:val="00A22C98"/>
    <w:rsid w:val="00A231E2"/>
    <w:rsid w:val="00A36C04"/>
    <w:rsid w:val="00A433F1"/>
    <w:rsid w:val="00A469D9"/>
    <w:rsid w:val="00A564E5"/>
    <w:rsid w:val="00A6099E"/>
    <w:rsid w:val="00A62F48"/>
    <w:rsid w:val="00A64912"/>
    <w:rsid w:val="00A67475"/>
    <w:rsid w:val="00A7059B"/>
    <w:rsid w:val="00A70A74"/>
    <w:rsid w:val="00A7368E"/>
    <w:rsid w:val="00A84EF2"/>
    <w:rsid w:val="00A860F6"/>
    <w:rsid w:val="00A9653C"/>
    <w:rsid w:val="00A97AB0"/>
    <w:rsid w:val="00AA33B6"/>
    <w:rsid w:val="00AA5F30"/>
    <w:rsid w:val="00AB3E19"/>
    <w:rsid w:val="00AB4FAB"/>
    <w:rsid w:val="00AD382A"/>
    <w:rsid w:val="00AD5641"/>
    <w:rsid w:val="00AD7889"/>
    <w:rsid w:val="00AF021B"/>
    <w:rsid w:val="00AF06CF"/>
    <w:rsid w:val="00B0529B"/>
    <w:rsid w:val="00B05CF4"/>
    <w:rsid w:val="00B07CDB"/>
    <w:rsid w:val="00B141FD"/>
    <w:rsid w:val="00B16A31"/>
    <w:rsid w:val="00B17DFD"/>
    <w:rsid w:val="00B22AB5"/>
    <w:rsid w:val="00B2662B"/>
    <w:rsid w:val="00B308FE"/>
    <w:rsid w:val="00B32D47"/>
    <w:rsid w:val="00B33709"/>
    <w:rsid w:val="00B33B3C"/>
    <w:rsid w:val="00B40922"/>
    <w:rsid w:val="00B423D0"/>
    <w:rsid w:val="00B470CE"/>
    <w:rsid w:val="00B50ADC"/>
    <w:rsid w:val="00B566B1"/>
    <w:rsid w:val="00B57437"/>
    <w:rsid w:val="00B63834"/>
    <w:rsid w:val="00B65F8A"/>
    <w:rsid w:val="00B71A5D"/>
    <w:rsid w:val="00B72734"/>
    <w:rsid w:val="00B728E6"/>
    <w:rsid w:val="00B80199"/>
    <w:rsid w:val="00B825AA"/>
    <w:rsid w:val="00B83204"/>
    <w:rsid w:val="00B86DEE"/>
    <w:rsid w:val="00B96C30"/>
    <w:rsid w:val="00BA0C87"/>
    <w:rsid w:val="00BA220B"/>
    <w:rsid w:val="00BA3A57"/>
    <w:rsid w:val="00BA691F"/>
    <w:rsid w:val="00BB0B80"/>
    <w:rsid w:val="00BB164C"/>
    <w:rsid w:val="00BB1747"/>
    <w:rsid w:val="00BB3EFB"/>
    <w:rsid w:val="00BB4E1A"/>
    <w:rsid w:val="00BC00A0"/>
    <w:rsid w:val="00BC015E"/>
    <w:rsid w:val="00BC568A"/>
    <w:rsid w:val="00BC76AC"/>
    <w:rsid w:val="00BD0ECB"/>
    <w:rsid w:val="00BD5ABC"/>
    <w:rsid w:val="00BD7951"/>
    <w:rsid w:val="00BE1107"/>
    <w:rsid w:val="00BE2155"/>
    <w:rsid w:val="00BE2213"/>
    <w:rsid w:val="00BE719A"/>
    <w:rsid w:val="00BE720A"/>
    <w:rsid w:val="00BF0D73"/>
    <w:rsid w:val="00BF2465"/>
    <w:rsid w:val="00BF49D1"/>
    <w:rsid w:val="00C02AFE"/>
    <w:rsid w:val="00C107EC"/>
    <w:rsid w:val="00C20EEC"/>
    <w:rsid w:val="00C25D49"/>
    <w:rsid w:val="00C25E7F"/>
    <w:rsid w:val="00C2746F"/>
    <w:rsid w:val="00C3217C"/>
    <w:rsid w:val="00C324A0"/>
    <w:rsid w:val="00C3300F"/>
    <w:rsid w:val="00C4199E"/>
    <w:rsid w:val="00C42BF8"/>
    <w:rsid w:val="00C434EE"/>
    <w:rsid w:val="00C50043"/>
    <w:rsid w:val="00C53284"/>
    <w:rsid w:val="00C547AB"/>
    <w:rsid w:val="00C621FB"/>
    <w:rsid w:val="00C62425"/>
    <w:rsid w:val="00C63E9A"/>
    <w:rsid w:val="00C7313F"/>
    <w:rsid w:val="00C73B1E"/>
    <w:rsid w:val="00C7573B"/>
    <w:rsid w:val="00C76D9A"/>
    <w:rsid w:val="00C76F6A"/>
    <w:rsid w:val="00C805DB"/>
    <w:rsid w:val="00C830F7"/>
    <w:rsid w:val="00C91099"/>
    <w:rsid w:val="00C9183A"/>
    <w:rsid w:val="00C918A7"/>
    <w:rsid w:val="00C91BB3"/>
    <w:rsid w:val="00C93C03"/>
    <w:rsid w:val="00C94EBF"/>
    <w:rsid w:val="00CA434B"/>
    <w:rsid w:val="00CB0242"/>
    <w:rsid w:val="00CB2C8E"/>
    <w:rsid w:val="00CB602E"/>
    <w:rsid w:val="00CD465E"/>
    <w:rsid w:val="00CD4ACA"/>
    <w:rsid w:val="00CD50CC"/>
    <w:rsid w:val="00CE051D"/>
    <w:rsid w:val="00CE0561"/>
    <w:rsid w:val="00CE09C2"/>
    <w:rsid w:val="00CE1335"/>
    <w:rsid w:val="00CE3DC5"/>
    <w:rsid w:val="00CE493D"/>
    <w:rsid w:val="00CF07CA"/>
    <w:rsid w:val="00CF07FA"/>
    <w:rsid w:val="00CF0BB2"/>
    <w:rsid w:val="00CF3EE8"/>
    <w:rsid w:val="00CF7AA0"/>
    <w:rsid w:val="00D04222"/>
    <w:rsid w:val="00D050E6"/>
    <w:rsid w:val="00D11752"/>
    <w:rsid w:val="00D13441"/>
    <w:rsid w:val="00D150E7"/>
    <w:rsid w:val="00D24DE9"/>
    <w:rsid w:val="00D3104A"/>
    <w:rsid w:val="00D31D1A"/>
    <w:rsid w:val="00D32F65"/>
    <w:rsid w:val="00D35469"/>
    <w:rsid w:val="00D52DC2"/>
    <w:rsid w:val="00D53720"/>
    <w:rsid w:val="00D53BCC"/>
    <w:rsid w:val="00D57D21"/>
    <w:rsid w:val="00D62371"/>
    <w:rsid w:val="00D62E54"/>
    <w:rsid w:val="00D70DFB"/>
    <w:rsid w:val="00D72009"/>
    <w:rsid w:val="00D766DF"/>
    <w:rsid w:val="00D87B49"/>
    <w:rsid w:val="00D96087"/>
    <w:rsid w:val="00DA186E"/>
    <w:rsid w:val="00DA4116"/>
    <w:rsid w:val="00DA6713"/>
    <w:rsid w:val="00DB16CE"/>
    <w:rsid w:val="00DB1896"/>
    <w:rsid w:val="00DB251C"/>
    <w:rsid w:val="00DB4630"/>
    <w:rsid w:val="00DC4F88"/>
    <w:rsid w:val="00DC6BB2"/>
    <w:rsid w:val="00DD3EFB"/>
    <w:rsid w:val="00DD78E5"/>
    <w:rsid w:val="00DE0A79"/>
    <w:rsid w:val="00DE47D1"/>
    <w:rsid w:val="00DF1AD6"/>
    <w:rsid w:val="00E05704"/>
    <w:rsid w:val="00E06974"/>
    <w:rsid w:val="00E11E44"/>
    <w:rsid w:val="00E23716"/>
    <w:rsid w:val="00E250FA"/>
    <w:rsid w:val="00E3270E"/>
    <w:rsid w:val="00E338EF"/>
    <w:rsid w:val="00E41230"/>
    <w:rsid w:val="00E543DA"/>
    <w:rsid w:val="00E544BB"/>
    <w:rsid w:val="00E55012"/>
    <w:rsid w:val="00E6301D"/>
    <w:rsid w:val="00E658B3"/>
    <w:rsid w:val="00E65C82"/>
    <w:rsid w:val="00E662CB"/>
    <w:rsid w:val="00E74DC7"/>
    <w:rsid w:val="00E76420"/>
    <w:rsid w:val="00E76806"/>
    <w:rsid w:val="00E8075A"/>
    <w:rsid w:val="00E858AA"/>
    <w:rsid w:val="00E86531"/>
    <w:rsid w:val="00E94D5E"/>
    <w:rsid w:val="00E95BBE"/>
    <w:rsid w:val="00EA687D"/>
    <w:rsid w:val="00EA7100"/>
    <w:rsid w:val="00EA7F9F"/>
    <w:rsid w:val="00EB1274"/>
    <w:rsid w:val="00EB6AD0"/>
    <w:rsid w:val="00EC0FEB"/>
    <w:rsid w:val="00EC12C4"/>
    <w:rsid w:val="00EC3274"/>
    <w:rsid w:val="00EC74E1"/>
    <w:rsid w:val="00ED2BB6"/>
    <w:rsid w:val="00ED34E1"/>
    <w:rsid w:val="00ED3B8D"/>
    <w:rsid w:val="00ED5E6B"/>
    <w:rsid w:val="00ED659C"/>
    <w:rsid w:val="00EE008D"/>
    <w:rsid w:val="00EE7878"/>
    <w:rsid w:val="00EF2E3A"/>
    <w:rsid w:val="00EF588A"/>
    <w:rsid w:val="00EF666B"/>
    <w:rsid w:val="00F072A7"/>
    <w:rsid w:val="00F078DC"/>
    <w:rsid w:val="00F11A37"/>
    <w:rsid w:val="00F20735"/>
    <w:rsid w:val="00F30A24"/>
    <w:rsid w:val="00F32BA8"/>
    <w:rsid w:val="00F33A77"/>
    <w:rsid w:val="00F349F1"/>
    <w:rsid w:val="00F35C28"/>
    <w:rsid w:val="00F4350D"/>
    <w:rsid w:val="00F51C12"/>
    <w:rsid w:val="00F54F75"/>
    <w:rsid w:val="00F567F7"/>
    <w:rsid w:val="00F62036"/>
    <w:rsid w:val="00F64825"/>
    <w:rsid w:val="00F65B52"/>
    <w:rsid w:val="00F66281"/>
    <w:rsid w:val="00F67BCA"/>
    <w:rsid w:val="00F73BD6"/>
    <w:rsid w:val="00F755A6"/>
    <w:rsid w:val="00F83989"/>
    <w:rsid w:val="00F85099"/>
    <w:rsid w:val="00F9379C"/>
    <w:rsid w:val="00F9632C"/>
    <w:rsid w:val="00FA1E52"/>
    <w:rsid w:val="00FA2FC2"/>
    <w:rsid w:val="00FA58A1"/>
    <w:rsid w:val="00FA7309"/>
    <w:rsid w:val="00FB1498"/>
    <w:rsid w:val="00FB24C3"/>
    <w:rsid w:val="00FB2595"/>
    <w:rsid w:val="00FB62F0"/>
    <w:rsid w:val="00FC43EE"/>
    <w:rsid w:val="00FE2C44"/>
    <w:rsid w:val="00FE4688"/>
    <w:rsid w:val="00FE4C87"/>
    <w:rsid w:val="00FE5E32"/>
    <w:rsid w:val="00FF0072"/>
    <w:rsid w:val="00FF7C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04D0"/>
    <w:pPr>
      <w:spacing w:line="260" w:lineRule="atLeast"/>
    </w:pPr>
    <w:rPr>
      <w:sz w:val="22"/>
    </w:rPr>
  </w:style>
  <w:style w:type="paragraph" w:styleId="Heading1">
    <w:name w:val="heading 1"/>
    <w:basedOn w:val="Normal"/>
    <w:next w:val="Normal"/>
    <w:link w:val="Heading1Char"/>
    <w:uiPriority w:val="9"/>
    <w:qFormat/>
    <w:rsid w:val="003104D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104D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104D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104D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104D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104D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104D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104D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104D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104D0"/>
  </w:style>
  <w:style w:type="paragraph" w:customStyle="1" w:styleId="OPCParaBase">
    <w:name w:val="OPCParaBase"/>
    <w:link w:val="OPCParaBaseChar"/>
    <w:qFormat/>
    <w:rsid w:val="003104D0"/>
    <w:pPr>
      <w:spacing w:line="260" w:lineRule="atLeast"/>
    </w:pPr>
    <w:rPr>
      <w:rFonts w:eastAsia="Times New Roman" w:cs="Times New Roman"/>
      <w:sz w:val="22"/>
      <w:lang w:eastAsia="en-AU"/>
    </w:rPr>
  </w:style>
  <w:style w:type="paragraph" w:customStyle="1" w:styleId="ShortT">
    <w:name w:val="ShortT"/>
    <w:basedOn w:val="OPCParaBase"/>
    <w:next w:val="Normal"/>
    <w:qFormat/>
    <w:rsid w:val="003104D0"/>
    <w:pPr>
      <w:spacing w:line="240" w:lineRule="auto"/>
    </w:pPr>
    <w:rPr>
      <w:b/>
      <w:sz w:val="40"/>
    </w:rPr>
  </w:style>
  <w:style w:type="paragraph" w:customStyle="1" w:styleId="ActHead1">
    <w:name w:val="ActHead 1"/>
    <w:aliases w:val="c"/>
    <w:basedOn w:val="OPCParaBase"/>
    <w:next w:val="Normal"/>
    <w:qFormat/>
    <w:rsid w:val="003104D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104D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104D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104D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104D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104D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104D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104D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104D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104D0"/>
  </w:style>
  <w:style w:type="paragraph" w:customStyle="1" w:styleId="Blocks">
    <w:name w:val="Blocks"/>
    <w:aliases w:val="bb"/>
    <w:basedOn w:val="OPCParaBase"/>
    <w:qFormat/>
    <w:rsid w:val="003104D0"/>
    <w:pPr>
      <w:spacing w:line="240" w:lineRule="auto"/>
    </w:pPr>
    <w:rPr>
      <w:sz w:val="24"/>
    </w:rPr>
  </w:style>
  <w:style w:type="paragraph" w:customStyle="1" w:styleId="BoxText">
    <w:name w:val="BoxText"/>
    <w:aliases w:val="bt"/>
    <w:basedOn w:val="OPCParaBase"/>
    <w:qFormat/>
    <w:rsid w:val="003104D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104D0"/>
    <w:rPr>
      <w:b/>
    </w:rPr>
  </w:style>
  <w:style w:type="paragraph" w:customStyle="1" w:styleId="BoxHeadItalic">
    <w:name w:val="BoxHeadItalic"/>
    <w:aliases w:val="bhi"/>
    <w:basedOn w:val="BoxText"/>
    <w:next w:val="BoxStep"/>
    <w:qFormat/>
    <w:rsid w:val="003104D0"/>
    <w:rPr>
      <w:i/>
    </w:rPr>
  </w:style>
  <w:style w:type="paragraph" w:customStyle="1" w:styleId="BoxList">
    <w:name w:val="BoxList"/>
    <w:aliases w:val="bl"/>
    <w:basedOn w:val="BoxText"/>
    <w:qFormat/>
    <w:rsid w:val="003104D0"/>
    <w:pPr>
      <w:ind w:left="1559" w:hanging="425"/>
    </w:pPr>
  </w:style>
  <w:style w:type="paragraph" w:customStyle="1" w:styleId="BoxNote">
    <w:name w:val="BoxNote"/>
    <w:aliases w:val="bn"/>
    <w:basedOn w:val="BoxText"/>
    <w:qFormat/>
    <w:rsid w:val="003104D0"/>
    <w:pPr>
      <w:tabs>
        <w:tab w:val="left" w:pos="1985"/>
      </w:tabs>
      <w:spacing w:before="122" w:line="198" w:lineRule="exact"/>
      <w:ind w:left="2948" w:hanging="1814"/>
    </w:pPr>
    <w:rPr>
      <w:sz w:val="18"/>
    </w:rPr>
  </w:style>
  <w:style w:type="paragraph" w:customStyle="1" w:styleId="BoxPara">
    <w:name w:val="BoxPara"/>
    <w:aliases w:val="bp"/>
    <w:basedOn w:val="BoxText"/>
    <w:qFormat/>
    <w:rsid w:val="003104D0"/>
    <w:pPr>
      <w:tabs>
        <w:tab w:val="right" w:pos="2268"/>
      </w:tabs>
      <w:ind w:left="2552" w:hanging="1418"/>
    </w:pPr>
  </w:style>
  <w:style w:type="paragraph" w:customStyle="1" w:styleId="BoxStep">
    <w:name w:val="BoxStep"/>
    <w:aliases w:val="bs"/>
    <w:basedOn w:val="BoxText"/>
    <w:qFormat/>
    <w:rsid w:val="003104D0"/>
    <w:pPr>
      <w:ind w:left="1985" w:hanging="851"/>
    </w:pPr>
  </w:style>
  <w:style w:type="character" w:customStyle="1" w:styleId="CharAmPartNo">
    <w:name w:val="CharAmPartNo"/>
    <w:basedOn w:val="OPCCharBase"/>
    <w:qFormat/>
    <w:rsid w:val="003104D0"/>
  </w:style>
  <w:style w:type="character" w:customStyle="1" w:styleId="CharAmPartText">
    <w:name w:val="CharAmPartText"/>
    <w:basedOn w:val="OPCCharBase"/>
    <w:qFormat/>
    <w:rsid w:val="003104D0"/>
  </w:style>
  <w:style w:type="character" w:customStyle="1" w:styleId="CharAmSchNo">
    <w:name w:val="CharAmSchNo"/>
    <w:basedOn w:val="OPCCharBase"/>
    <w:qFormat/>
    <w:rsid w:val="003104D0"/>
  </w:style>
  <w:style w:type="character" w:customStyle="1" w:styleId="CharAmSchText">
    <w:name w:val="CharAmSchText"/>
    <w:basedOn w:val="OPCCharBase"/>
    <w:qFormat/>
    <w:rsid w:val="003104D0"/>
  </w:style>
  <w:style w:type="character" w:customStyle="1" w:styleId="CharBoldItalic">
    <w:name w:val="CharBoldItalic"/>
    <w:basedOn w:val="OPCCharBase"/>
    <w:uiPriority w:val="1"/>
    <w:qFormat/>
    <w:rsid w:val="003104D0"/>
    <w:rPr>
      <w:b/>
      <w:i/>
    </w:rPr>
  </w:style>
  <w:style w:type="character" w:customStyle="1" w:styleId="CharChapNo">
    <w:name w:val="CharChapNo"/>
    <w:basedOn w:val="OPCCharBase"/>
    <w:uiPriority w:val="1"/>
    <w:qFormat/>
    <w:rsid w:val="003104D0"/>
  </w:style>
  <w:style w:type="character" w:customStyle="1" w:styleId="CharChapText">
    <w:name w:val="CharChapText"/>
    <w:basedOn w:val="OPCCharBase"/>
    <w:uiPriority w:val="1"/>
    <w:qFormat/>
    <w:rsid w:val="003104D0"/>
  </w:style>
  <w:style w:type="character" w:customStyle="1" w:styleId="CharDivNo">
    <w:name w:val="CharDivNo"/>
    <w:basedOn w:val="OPCCharBase"/>
    <w:uiPriority w:val="1"/>
    <w:qFormat/>
    <w:rsid w:val="003104D0"/>
  </w:style>
  <w:style w:type="character" w:customStyle="1" w:styleId="CharDivText">
    <w:name w:val="CharDivText"/>
    <w:basedOn w:val="OPCCharBase"/>
    <w:uiPriority w:val="1"/>
    <w:qFormat/>
    <w:rsid w:val="003104D0"/>
  </w:style>
  <w:style w:type="character" w:customStyle="1" w:styleId="CharItalic">
    <w:name w:val="CharItalic"/>
    <w:basedOn w:val="OPCCharBase"/>
    <w:uiPriority w:val="1"/>
    <w:qFormat/>
    <w:rsid w:val="003104D0"/>
    <w:rPr>
      <w:i/>
    </w:rPr>
  </w:style>
  <w:style w:type="character" w:customStyle="1" w:styleId="CharPartNo">
    <w:name w:val="CharPartNo"/>
    <w:basedOn w:val="OPCCharBase"/>
    <w:uiPriority w:val="1"/>
    <w:qFormat/>
    <w:rsid w:val="003104D0"/>
  </w:style>
  <w:style w:type="character" w:customStyle="1" w:styleId="CharPartText">
    <w:name w:val="CharPartText"/>
    <w:basedOn w:val="OPCCharBase"/>
    <w:uiPriority w:val="1"/>
    <w:qFormat/>
    <w:rsid w:val="003104D0"/>
  </w:style>
  <w:style w:type="character" w:customStyle="1" w:styleId="CharSectno">
    <w:name w:val="CharSectno"/>
    <w:basedOn w:val="OPCCharBase"/>
    <w:qFormat/>
    <w:rsid w:val="003104D0"/>
  </w:style>
  <w:style w:type="character" w:customStyle="1" w:styleId="CharSubdNo">
    <w:name w:val="CharSubdNo"/>
    <w:basedOn w:val="OPCCharBase"/>
    <w:uiPriority w:val="1"/>
    <w:qFormat/>
    <w:rsid w:val="003104D0"/>
  </w:style>
  <w:style w:type="character" w:customStyle="1" w:styleId="CharSubdText">
    <w:name w:val="CharSubdText"/>
    <w:basedOn w:val="OPCCharBase"/>
    <w:uiPriority w:val="1"/>
    <w:qFormat/>
    <w:rsid w:val="003104D0"/>
  </w:style>
  <w:style w:type="paragraph" w:customStyle="1" w:styleId="CTA--">
    <w:name w:val="CTA --"/>
    <w:basedOn w:val="OPCParaBase"/>
    <w:next w:val="Normal"/>
    <w:rsid w:val="003104D0"/>
    <w:pPr>
      <w:spacing w:before="60" w:line="240" w:lineRule="atLeast"/>
      <w:ind w:left="142" w:hanging="142"/>
    </w:pPr>
    <w:rPr>
      <w:sz w:val="20"/>
    </w:rPr>
  </w:style>
  <w:style w:type="paragraph" w:customStyle="1" w:styleId="CTA-">
    <w:name w:val="CTA -"/>
    <w:basedOn w:val="OPCParaBase"/>
    <w:rsid w:val="003104D0"/>
    <w:pPr>
      <w:spacing w:before="60" w:line="240" w:lineRule="atLeast"/>
      <w:ind w:left="85" w:hanging="85"/>
    </w:pPr>
    <w:rPr>
      <w:sz w:val="20"/>
    </w:rPr>
  </w:style>
  <w:style w:type="paragraph" w:customStyle="1" w:styleId="CTA---">
    <w:name w:val="CTA ---"/>
    <w:basedOn w:val="OPCParaBase"/>
    <w:next w:val="Normal"/>
    <w:rsid w:val="003104D0"/>
    <w:pPr>
      <w:spacing w:before="60" w:line="240" w:lineRule="atLeast"/>
      <w:ind w:left="198" w:hanging="198"/>
    </w:pPr>
    <w:rPr>
      <w:sz w:val="20"/>
    </w:rPr>
  </w:style>
  <w:style w:type="paragraph" w:customStyle="1" w:styleId="CTA----">
    <w:name w:val="CTA ----"/>
    <w:basedOn w:val="OPCParaBase"/>
    <w:next w:val="Normal"/>
    <w:rsid w:val="003104D0"/>
    <w:pPr>
      <w:spacing w:before="60" w:line="240" w:lineRule="atLeast"/>
      <w:ind w:left="255" w:hanging="255"/>
    </w:pPr>
    <w:rPr>
      <w:sz w:val="20"/>
    </w:rPr>
  </w:style>
  <w:style w:type="paragraph" w:customStyle="1" w:styleId="CTA1a">
    <w:name w:val="CTA 1(a)"/>
    <w:basedOn w:val="OPCParaBase"/>
    <w:rsid w:val="003104D0"/>
    <w:pPr>
      <w:tabs>
        <w:tab w:val="right" w:pos="414"/>
      </w:tabs>
      <w:spacing w:before="40" w:line="240" w:lineRule="atLeast"/>
      <w:ind w:left="675" w:hanging="675"/>
    </w:pPr>
    <w:rPr>
      <w:sz w:val="20"/>
    </w:rPr>
  </w:style>
  <w:style w:type="paragraph" w:customStyle="1" w:styleId="CTA1ai">
    <w:name w:val="CTA 1(a)(i)"/>
    <w:basedOn w:val="OPCParaBase"/>
    <w:rsid w:val="003104D0"/>
    <w:pPr>
      <w:tabs>
        <w:tab w:val="right" w:pos="1004"/>
      </w:tabs>
      <w:spacing w:before="40" w:line="240" w:lineRule="atLeast"/>
      <w:ind w:left="1253" w:hanging="1253"/>
    </w:pPr>
    <w:rPr>
      <w:sz w:val="20"/>
    </w:rPr>
  </w:style>
  <w:style w:type="paragraph" w:customStyle="1" w:styleId="CTA2a">
    <w:name w:val="CTA 2(a)"/>
    <w:basedOn w:val="OPCParaBase"/>
    <w:rsid w:val="003104D0"/>
    <w:pPr>
      <w:tabs>
        <w:tab w:val="right" w:pos="482"/>
      </w:tabs>
      <w:spacing w:before="40" w:line="240" w:lineRule="atLeast"/>
      <w:ind w:left="748" w:hanging="748"/>
    </w:pPr>
    <w:rPr>
      <w:sz w:val="20"/>
    </w:rPr>
  </w:style>
  <w:style w:type="paragraph" w:customStyle="1" w:styleId="CTA2ai">
    <w:name w:val="CTA 2(a)(i)"/>
    <w:basedOn w:val="OPCParaBase"/>
    <w:rsid w:val="003104D0"/>
    <w:pPr>
      <w:tabs>
        <w:tab w:val="right" w:pos="1089"/>
      </w:tabs>
      <w:spacing w:before="40" w:line="240" w:lineRule="atLeast"/>
      <w:ind w:left="1327" w:hanging="1327"/>
    </w:pPr>
    <w:rPr>
      <w:sz w:val="20"/>
    </w:rPr>
  </w:style>
  <w:style w:type="paragraph" w:customStyle="1" w:styleId="CTA3a">
    <w:name w:val="CTA 3(a)"/>
    <w:basedOn w:val="OPCParaBase"/>
    <w:rsid w:val="003104D0"/>
    <w:pPr>
      <w:tabs>
        <w:tab w:val="right" w:pos="556"/>
      </w:tabs>
      <w:spacing w:before="40" w:line="240" w:lineRule="atLeast"/>
      <w:ind w:left="805" w:hanging="805"/>
    </w:pPr>
    <w:rPr>
      <w:sz w:val="20"/>
    </w:rPr>
  </w:style>
  <w:style w:type="paragraph" w:customStyle="1" w:styleId="CTA3ai">
    <w:name w:val="CTA 3(a)(i)"/>
    <w:basedOn w:val="OPCParaBase"/>
    <w:rsid w:val="003104D0"/>
    <w:pPr>
      <w:tabs>
        <w:tab w:val="right" w:pos="1140"/>
      </w:tabs>
      <w:spacing w:before="40" w:line="240" w:lineRule="atLeast"/>
      <w:ind w:left="1361" w:hanging="1361"/>
    </w:pPr>
    <w:rPr>
      <w:sz w:val="20"/>
    </w:rPr>
  </w:style>
  <w:style w:type="paragraph" w:customStyle="1" w:styleId="CTA4a">
    <w:name w:val="CTA 4(a)"/>
    <w:basedOn w:val="OPCParaBase"/>
    <w:rsid w:val="003104D0"/>
    <w:pPr>
      <w:tabs>
        <w:tab w:val="right" w:pos="624"/>
      </w:tabs>
      <w:spacing w:before="40" w:line="240" w:lineRule="atLeast"/>
      <w:ind w:left="873" w:hanging="873"/>
    </w:pPr>
    <w:rPr>
      <w:sz w:val="20"/>
    </w:rPr>
  </w:style>
  <w:style w:type="paragraph" w:customStyle="1" w:styleId="CTA4ai">
    <w:name w:val="CTA 4(a)(i)"/>
    <w:basedOn w:val="OPCParaBase"/>
    <w:rsid w:val="003104D0"/>
    <w:pPr>
      <w:tabs>
        <w:tab w:val="right" w:pos="1213"/>
      </w:tabs>
      <w:spacing w:before="40" w:line="240" w:lineRule="atLeast"/>
      <w:ind w:left="1452" w:hanging="1452"/>
    </w:pPr>
    <w:rPr>
      <w:sz w:val="20"/>
    </w:rPr>
  </w:style>
  <w:style w:type="paragraph" w:customStyle="1" w:styleId="CTACAPS">
    <w:name w:val="CTA CAPS"/>
    <w:basedOn w:val="OPCParaBase"/>
    <w:rsid w:val="003104D0"/>
    <w:pPr>
      <w:spacing w:before="60" w:line="240" w:lineRule="atLeast"/>
    </w:pPr>
    <w:rPr>
      <w:sz w:val="20"/>
    </w:rPr>
  </w:style>
  <w:style w:type="paragraph" w:customStyle="1" w:styleId="CTAright">
    <w:name w:val="CTA right"/>
    <w:basedOn w:val="OPCParaBase"/>
    <w:rsid w:val="003104D0"/>
    <w:pPr>
      <w:spacing w:before="60" w:line="240" w:lineRule="auto"/>
      <w:jc w:val="right"/>
    </w:pPr>
    <w:rPr>
      <w:sz w:val="20"/>
    </w:rPr>
  </w:style>
  <w:style w:type="paragraph" w:customStyle="1" w:styleId="subsection">
    <w:name w:val="subsection"/>
    <w:aliases w:val="ss,Subsection"/>
    <w:basedOn w:val="OPCParaBase"/>
    <w:link w:val="subsectionChar"/>
    <w:rsid w:val="003104D0"/>
    <w:pPr>
      <w:tabs>
        <w:tab w:val="right" w:pos="1021"/>
      </w:tabs>
      <w:spacing w:before="180" w:line="240" w:lineRule="auto"/>
      <w:ind w:left="1134" w:hanging="1134"/>
    </w:pPr>
  </w:style>
  <w:style w:type="paragraph" w:customStyle="1" w:styleId="Definition">
    <w:name w:val="Definition"/>
    <w:aliases w:val="dd"/>
    <w:basedOn w:val="OPCParaBase"/>
    <w:rsid w:val="003104D0"/>
    <w:pPr>
      <w:spacing w:before="180" w:line="240" w:lineRule="auto"/>
      <w:ind w:left="1134"/>
    </w:pPr>
  </w:style>
  <w:style w:type="paragraph" w:customStyle="1" w:styleId="EndNotespara">
    <w:name w:val="EndNotes(para)"/>
    <w:aliases w:val="eta"/>
    <w:basedOn w:val="OPCParaBase"/>
    <w:next w:val="EndNotessubpara"/>
    <w:rsid w:val="003104D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104D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104D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104D0"/>
    <w:pPr>
      <w:tabs>
        <w:tab w:val="right" w:pos="1412"/>
      </w:tabs>
      <w:spacing w:before="60" w:line="240" w:lineRule="auto"/>
      <w:ind w:left="1525" w:hanging="1525"/>
    </w:pPr>
    <w:rPr>
      <w:sz w:val="20"/>
    </w:rPr>
  </w:style>
  <w:style w:type="paragraph" w:customStyle="1" w:styleId="Formula">
    <w:name w:val="Formula"/>
    <w:basedOn w:val="OPCParaBase"/>
    <w:rsid w:val="003104D0"/>
    <w:pPr>
      <w:spacing w:line="240" w:lineRule="auto"/>
      <w:ind w:left="1134"/>
    </w:pPr>
    <w:rPr>
      <w:sz w:val="20"/>
    </w:rPr>
  </w:style>
  <w:style w:type="paragraph" w:styleId="Header">
    <w:name w:val="header"/>
    <w:basedOn w:val="OPCParaBase"/>
    <w:link w:val="HeaderChar"/>
    <w:unhideWhenUsed/>
    <w:rsid w:val="003104D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104D0"/>
    <w:rPr>
      <w:rFonts w:eastAsia="Times New Roman" w:cs="Times New Roman"/>
      <w:sz w:val="16"/>
      <w:lang w:eastAsia="en-AU"/>
    </w:rPr>
  </w:style>
  <w:style w:type="paragraph" w:customStyle="1" w:styleId="House">
    <w:name w:val="House"/>
    <w:basedOn w:val="OPCParaBase"/>
    <w:rsid w:val="003104D0"/>
    <w:pPr>
      <w:spacing w:line="240" w:lineRule="auto"/>
    </w:pPr>
    <w:rPr>
      <w:sz w:val="28"/>
    </w:rPr>
  </w:style>
  <w:style w:type="paragraph" w:customStyle="1" w:styleId="Item">
    <w:name w:val="Item"/>
    <w:aliases w:val="i"/>
    <w:basedOn w:val="OPCParaBase"/>
    <w:next w:val="ItemHead"/>
    <w:rsid w:val="003104D0"/>
    <w:pPr>
      <w:keepLines/>
      <w:spacing w:before="80" w:line="240" w:lineRule="auto"/>
      <w:ind w:left="709"/>
    </w:pPr>
  </w:style>
  <w:style w:type="paragraph" w:customStyle="1" w:styleId="ItemHead">
    <w:name w:val="ItemHead"/>
    <w:aliases w:val="ih"/>
    <w:basedOn w:val="OPCParaBase"/>
    <w:next w:val="Item"/>
    <w:rsid w:val="003104D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104D0"/>
    <w:pPr>
      <w:spacing w:line="240" w:lineRule="auto"/>
    </w:pPr>
    <w:rPr>
      <w:b/>
      <w:sz w:val="32"/>
    </w:rPr>
  </w:style>
  <w:style w:type="paragraph" w:customStyle="1" w:styleId="notedraft">
    <w:name w:val="note(draft)"/>
    <w:aliases w:val="nd"/>
    <w:basedOn w:val="OPCParaBase"/>
    <w:rsid w:val="003104D0"/>
    <w:pPr>
      <w:spacing w:before="240" w:line="240" w:lineRule="auto"/>
      <w:ind w:left="284" w:hanging="284"/>
    </w:pPr>
    <w:rPr>
      <w:i/>
      <w:sz w:val="24"/>
    </w:rPr>
  </w:style>
  <w:style w:type="paragraph" w:customStyle="1" w:styleId="notemargin">
    <w:name w:val="note(margin)"/>
    <w:aliases w:val="nm"/>
    <w:basedOn w:val="OPCParaBase"/>
    <w:rsid w:val="003104D0"/>
    <w:pPr>
      <w:tabs>
        <w:tab w:val="left" w:pos="709"/>
      </w:tabs>
      <w:spacing w:before="122" w:line="198" w:lineRule="exact"/>
      <w:ind w:left="709" w:hanging="709"/>
    </w:pPr>
    <w:rPr>
      <w:sz w:val="18"/>
    </w:rPr>
  </w:style>
  <w:style w:type="paragraph" w:customStyle="1" w:styleId="noteToPara">
    <w:name w:val="noteToPara"/>
    <w:aliases w:val="ntp"/>
    <w:basedOn w:val="OPCParaBase"/>
    <w:rsid w:val="003104D0"/>
    <w:pPr>
      <w:spacing w:before="122" w:line="198" w:lineRule="exact"/>
      <w:ind w:left="2353" w:hanging="709"/>
    </w:pPr>
    <w:rPr>
      <w:sz w:val="18"/>
    </w:rPr>
  </w:style>
  <w:style w:type="paragraph" w:customStyle="1" w:styleId="noteParlAmend">
    <w:name w:val="note(ParlAmend)"/>
    <w:aliases w:val="npp"/>
    <w:basedOn w:val="OPCParaBase"/>
    <w:next w:val="ParlAmend"/>
    <w:rsid w:val="003104D0"/>
    <w:pPr>
      <w:spacing w:line="240" w:lineRule="auto"/>
      <w:jc w:val="right"/>
    </w:pPr>
    <w:rPr>
      <w:rFonts w:ascii="Arial" w:hAnsi="Arial"/>
      <w:b/>
      <w:i/>
    </w:rPr>
  </w:style>
  <w:style w:type="paragraph" w:customStyle="1" w:styleId="Page1">
    <w:name w:val="Page1"/>
    <w:basedOn w:val="OPCParaBase"/>
    <w:rsid w:val="003104D0"/>
    <w:pPr>
      <w:spacing w:before="5600" w:line="240" w:lineRule="auto"/>
    </w:pPr>
    <w:rPr>
      <w:b/>
      <w:sz w:val="32"/>
    </w:rPr>
  </w:style>
  <w:style w:type="paragraph" w:customStyle="1" w:styleId="PageBreak">
    <w:name w:val="PageBreak"/>
    <w:aliases w:val="pb"/>
    <w:basedOn w:val="OPCParaBase"/>
    <w:rsid w:val="003104D0"/>
    <w:pPr>
      <w:spacing w:line="240" w:lineRule="auto"/>
    </w:pPr>
    <w:rPr>
      <w:sz w:val="20"/>
    </w:rPr>
  </w:style>
  <w:style w:type="paragraph" w:customStyle="1" w:styleId="paragraphsub">
    <w:name w:val="paragraph(sub)"/>
    <w:aliases w:val="aa"/>
    <w:basedOn w:val="OPCParaBase"/>
    <w:rsid w:val="003104D0"/>
    <w:pPr>
      <w:tabs>
        <w:tab w:val="right" w:pos="1985"/>
      </w:tabs>
      <w:spacing w:before="40" w:line="240" w:lineRule="auto"/>
      <w:ind w:left="2098" w:hanging="2098"/>
    </w:pPr>
  </w:style>
  <w:style w:type="paragraph" w:customStyle="1" w:styleId="paragraphsub-sub">
    <w:name w:val="paragraph(sub-sub)"/>
    <w:aliases w:val="aaa"/>
    <w:basedOn w:val="OPCParaBase"/>
    <w:rsid w:val="003104D0"/>
    <w:pPr>
      <w:tabs>
        <w:tab w:val="right" w:pos="2722"/>
      </w:tabs>
      <w:spacing w:before="40" w:line="240" w:lineRule="auto"/>
      <w:ind w:left="2835" w:hanging="2835"/>
    </w:pPr>
  </w:style>
  <w:style w:type="paragraph" w:customStyle="1" w:styleId="paragraph">
    <w:name w:val="paragraph"/>
    <w:aliases w:val="a"/>
    <w:basedOn w:val="OPCParaBase"/>
    <w:link w:val="paragraphChar"/>
    <w:rsid w:val="003104D0"/>
    <w:pPr>
      <w:tabs>
        <w:tab w:val="right" w:pos="1531"/>
      </w:tabs>
      <w:spacing w:before="40" w:line="240" w:lineRule="auto"/>
      <w:ind w:left="1644" w:hanging="1644"/>
    </w:pPr>
  </w:style>
  <w:style w:type="paragraph" w:customStyle="1" w:styleId="ParlAmend">
    <w:name w:val="ParlAmend"/>
    <w:aliases w:val="pp"/>
    <w:basedOn w:val="OPCParaBase"/>
    <w:rsid w:val="003104D0"/>
    <w:pPr>
      <w:spacing w:before="240" w:line="240" w:lineRule="atLeast"/>
      <w:ind w:hanging="567"/>
    </w:pPr>
    <w:rPr>
      <w:sz w:val="24"/>
    </w:rPr>
  </w:style>
  <w:style w:type="paragraph" w:customStyle="1" w:styleId="Penalty">
    <w:name w:val="Penalty"/>
    <w:basedOn w:val="OPCParaBase"/>
    <w:rsid w:val="003104D0"/>
    <w:pPr>
      <w:tabs>
        <w:tab w:val="left" w:pos="2977"/>
      </w:tabs>
      <w:spacing w:before="180" w:line="240" w:lineRule="auto"/>
      <w:ind w:left="1985" w:hanging="851"/>
    </w:pPr>
  </w:style>
  <w:style w:type="paragraph" w:customStyle="1" w:styleId="Portfolio">
    <w:name w:val="Portfolio"/>
    <w:basedOn w:val="OPCParaBase"/>
    <w:rsid w:val="003104D0"/>
    <w:pPr>
      <w:spacing w:line="240" w:lineRule="auto"/>
    </w:pPr>
    <w:rPr>
      <w:i/>
      <w:sz w:val="20"/>
    </w:rPr>
  </w:style>
  <w:style w:type="paragraph" w:customStyle="1" w:styleId="Preamble">
    <w:name w:val="Preamble"/>
    <w:basedOn w:val="OPCParaBase"/>
    <w:next w:val="Normal"/>
    <w:rsid w:val="003104D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104D0"/>
    <w:pPr>
      <w:spacing w:line="240" w:lineRule="auto"/>
    </w:pPr>
    <w:rPr>
      <w:i/>
      <w:sz w:val="20"/>
    </w:rPr>
  </w:style>
  <w:style w:type="paragraph" w:customStyle="1" w:styleId="Session">
    <w:name w:val="Session"/>
    <w:basedOn w:val="OPCParaBase"/>
    <w:rsid w:val="003104D0"/>
    <w:pPr>
      <w:spacing w:line="240" w:lineRule="auto"/>
    </w:pPr>
    <w:rPr>
      <w:sz w:val="28"/>
    </w:rPr>
  </w:style>
  <w:style w:type="paragraph" w:customStyle="1" w:styleId="Sponsor">
    <w:name w:val="Sponsor"/>
    <w:basedOn w:val="OPCParaBase"/>
    <w:rsid w:val="003104D0"/>
    <w:pPr>
      <w:spacing w:line="240" w:lineRule="auto"/>
    </w:pPr>
    <w:rPr>
      <w:i/>
    </w:rPr>
  </w:style>
  <w:style w:type="paragraph" w:customStyle="1" w:styleId="Subitem">
    <w:name w:val="Subitem"/>
    <w:aliases w:val="iss"/>
    <w:basedOn w:val="OPCParaBase"/>
    <w:rsid w:val="003104D0"/>
    <w:pPr>
      <w:spacing w:before="180" w:line="240" w:lineRule="auto"/>
      <w:ind w:left="709" w:hanging="709"/>
    </w:pPr>
  </w:style>
  <w:style w:type="paragraph" w:customStyle="1" w:styleId="SubitemHead">
    <w:name w:val="SubitemHead"/>
    <w:aliases w:val="issh"/>
    <w:basedOn w:val="OPCParaBase"/>
    <w:rsid w:val="003104D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104D0"/>
    <w:pPr>
      <w:spacing w:before="40" w:line="240" w:lineRule="auto"/>
      <w:ind w:left="1134"/>
    </w:pPr>
  </w:style>
  <w:style w:type="paragraph" w:customStyle="1" w:styleId="SubsectionHead">
    <w:name w:val="SubsectionHead"/>
    <w:aliases w:val="ssh"/>
    <w:basedOn w:val="OPCParaBase"/>
    <w:next w:val="subsection"/>
    <w:rsid w:val="003104D0"/>
    <w:pPr>
      <w:keepNext/>
      <w:keepLines/>
      <w:spacing w:before="240" w:line="240" w:lineRule="auto"/>
      <w:ind w:left="1134"/>
    </w:pPr>
    <w:rPr>
      <w:i/>
    </w:rPr>
  </w:style>
  <w:style w:type="paragraph" w:customStyle="1" w:styleId="Tablea">
    <w:name w:val="Table(a)"/>
    <w:aliases w:val="ta"/>
    <w:basedOn w:val="OPCParaBase"/>
    <w:rsid w:val="003104D0"/>
    <w:pPr>
      <w:spacing w:before="60" w:line="240" w:lineRule="auto"/>
      <w:ind w:left="284" w:hanging="284"/>
    </w:pPr>
    <w:rPr>
      <w:sz w:val="20"/>
    </w:rPr>
  </w:style>
  <w:style w:type="paragraph" w:customStyle="1" w:styleId="TableAA">
    <w:name w:val="Table(AA)"/>
    <w:aliases w:val="taaa"/>
    <w:basedOn w:val="OPCParaBase"/>
    <w:rsid w:val="003104D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104D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3104D0"/>
    <w:pPr>
      <w:spacing w:before="60" w:line="240" w:lineRule="atLeast"/>
    </w:pPr>
    <w:rPr>
      <w:sz w:val="20"/>
    </w:rPr>
  </w:style>
  <w:style w:type="paragraph" w:customStyle="1" w:styleId="TLPBoxTextnote">
    <w:name w:val="TLPBoxText(note"/>
    <w:aliases w:val="right)"/>
    <w:basedOn w:val="OPCParaBase"/>
    <w:rsid w:val="003104D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104D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104D0"/>
    <w:pPr>
      <w:spacing w:before="122" w:line="198" w:lineRule="exact"/>
      <w:ind w:left="1985" w:hanging="851"/>
      <w:jc w:val="right"/>
    </w:pPr>
    <w:rPr>
      <w:sz w:val="18"/>
    </w:rPr>
  </w:style>
  <w:style w:type="paragraph" w:customStyle="1" w:styleId="TLPTableBullet">
    <w:name w:val="TLPTableBullet"/>
    <w:aliases w:val="ttb"/>
    <w:basedOn w:val="OPCParaBase"/>
    <w:rsid w:val="003104D0"/>
    <w:pPr>
      <w:spacing w:line="240" w:lineRule="exact"/>
      <w:ind w:left="284" w:hanging="284"/>
    </w:pPr>
    <w:rPr>
      <w:sz w:val="20"/>
    </w:rPr>
  </w:style>
  <w:style w:type="paragraph" w:styleId="TOC1">
    <w:name w:val="toc 1"/>
    <w:basedOn w:val="Normal"/>
    <w:next w:val="Normal"/>
    <w:uiPriority w:val="39"/>
    <w:unhideWhenUsed/>
    <w:rsid w:val="003104D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104D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104D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104D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104D0"/>
    <w:pPr>
      <w:keepLines/>
      <w:tabs>
        <w:tab w:val="right" w:leader="dot" w:pos="8278"/>
      </w:tabs>
      <w:spacing w:before="40" w:line="240" w:lineRule="auto"/>
      <w:ind w:left="2835" w:right="567" w:hanging="1417"/>
    </w:pPr>
    <w:rPr>
      <w:rFonts w:eastAsia="Times New Roman" w:cs="Times New Roman"/>
      <w:kern w:val="28"/>
      <w:sz w:val="18"/>
      <w:lang w:eastAsia="en-AU"/>
    </w:rPr>
  </w:style>
  <w:style w:type="paragraph" w:styleId="TOC6">
    <w:name w:val="toc 6"/>
    <w:basedOn w:val="Normal"/>
    <w:next w:val="Normal"/>
    <w:uiPriority w:val="39"/>
    <w:unhideWhenUsed/>
    <w:rsid w:val="003104D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104D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104D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104D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104D0"/>
    <w:pPr>
      <w:keepLines/>
      <w:spacing w:before="240" w:after="120" w:line="240" w:lineRule="auto"/>
      <w:ind w:left="794"/>
    </w:pPr>
    <w:rPr>
      <w:b/>
      <w:kern w:val="28"/>
      <w:sz w:val="20"/>
    </w:rPr>
  </w:style>
  <w:style w:type="paragraph" w:customStyle="1" w:styleId="TofSectsHeading">
    <w:name w:val="TofSects(Heading)"/>
    <w:basedOn w:val="OPCParaBase"/>
    <w:rsid w:val="003104D0"/>
    <w:pPr>
      <w:spacing w:before="240" w:after="120" w:line="240" w:lineRule="auto"/>
    </w:pPr>
    <w:rPr>
      <w:b/>
      <w:sz w:val="24"/>
    </w:rPr>
  </w:style>
  <w:style w:type="paragraph" w:customStyle="1" w:styleId="TofSectsSection">
    <w:name w:val="TofSects(Section)"/>
    <w:basedOn w:val="OPCParaBase"/>
    <w:rsid w:val="003104D0"/>
    <w:pPr>
      <w:keepLines/>
      <w:spacing w:before="40" w:line="240" w:lineRule="auto"/>
      <w:ind w:left="1588" w:hanging="794"/>
    </w:pPr>
    <w:rPr>
      <w:kern w:val="28"/>
      <w:sz w:val="18"/>
    </w:rPr>
  </w:style>
  <w:style w:type="paragraph" w:customStyle="1" w:styleId="TofSectsSubdiv">
    <w:name w:val="TofSects(Subdiv)"/>
    <w:basedOn w:val="OPCParaBase"/>
    <w:rsid w:val="003104D0"/>
    <w:pPr>
      <w:keepLines/>
      <w:spacing w:before="80" w:line="240" w:lineRule="auto"/>
      <w:ind w:left="1588" w:hanging="794"/>
    </w:pPr>
    <w:rPr>
      <w:kern w:val="28"/>
    </w:rPr>
  </w:style>
  <w:style w:type="paragraph" w:customStyle="1" w:styleId="WRStyle">
    <w:name w:val="WR Style"/>
    <w:aliases w:val="WR"/>
    <w:basedOn w:val="OPCParaBase"/>
    <w:rsid w:val="003104D0"/>
    <w:pPr>
      <w:spacing w:before="240" w:line="240" w:lineRule="auto"/>
      <w:ind w:left="284" w:hanging="284"/>
    </w:pPr>
    <w:rPr>
      <w:b/>
      <w:i/>
      <w:kern w:val="28"/>
      <w:sz w:val="24"/>
    </w:rPr>
  </w:style>
  <w:style w:type="paragraph" w:customStyle="1" w:styleId="notepara">
    <w:name w:val="note(para)"/>
    <w:aliases w:val="na"/>
    <w:basedOn w:val="OPCParaBase"/>
    <w:rsid w:val="003104D0"/>
    <w:pPr>
      <w:spacing w:before="40" w:line="198" w:lineRule="exact"/>
      <w:ind w:left="2354" w:hanging="369"/>
    </w:pPr>
    <w:rPr>
      <w:sz w:val="18"/>
    </w:rPr>
  </w:style>
  <w:style w:type="paragraph" w:styleId="Footer">
    <w:name w:val="footer"/>
    <w:link w:val="FooterChar"/>
    <w:rsid w:val="003104D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104D0"/>
    <w:rPr>
      <w:rFonts w:eastAsia="Times New Roman" w:cs="Times New Roman"/>
      <w:sz w:val="22"/>
      <w:szCs w:val="24"/>
      <w:lang w:eastAsia="en-AU"/>
    </w:rPr>
  </w:style>
  <w:style w:type="character" w:styleId="LineNumber">
    <w:name w:val="line number"/>
    <w:basedOn w:val="OPCCharBase"/>
    <w:uiPriority w:val="99"/>
    <w:unhideWhenUsed/>
    <w:rsid w:val="003104D0"/>
    <w:rPr>
      <w:sz w:val="16"/>
    </w:rPr>
  </w:style>
  <w:style w:type="table" w:customStyle="1" w:styleId="CFlag">
    <w:name w:val="CFlag"/>
    <w:basedOn w:val="TableNormal"/>
    <w:uiPriority w:val="99"/>
    <w:rsid w:val="003104D0"/>
    <w:rPr>
      <w:rFonts w:eastAsia="Times New Roman" w:cs="Times New Roman"/>
      <w:lang w:eastAsia="en-AU"/>
    </w:rPr>
    <w:tblPr/>
  </w:style>
  <w:style w:type="paragraph" w:styleId="BalloonText">
    <w:name w:val="Balloon Text"/>
    <w:basedOn w:val="Normal"/>
    <w:link w:val="BalloonTextChar"/>
    <w:uiPriority w:val="99"/>
    <w:unhideWhenUsed/>
    <w:rsid w:val="003104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104D0"/>
    <w:rPr>
      <w:rFonts w:ascii="Tahoma" w:hAnsi="Tahoma" w:cs="Tahoma"/>
      <w:sz w:val="16"/>
      <w:szCs w:val="16"/>
    </w:rPr>
  </w:style>
  <w:style w:type="table" w:styleId="TableGrid">
    <w:name w:val="Table Grid"/>
    <w:basedOn w:val="TableNormal"/>
    <w:uiPriority w:val="59"/>
    <w:rsid w:val="00310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104D0"/>
    <w:rPr>
      <w:b/>
      <w:sz w:val="28"/>
      <w:szCs w:val="32"/>
    </w:rPr>
  </w:style>
  <w:style w:type="paragraph" w:customStyle="1" w:styleId="LegislationMadeUnder">
    <w:name w:val="LegislationMadeUnder"/>
    <w:basedOn w:val="OPCParaBase"/>
    <w:next w:val="Normal"/>
    <w:rsid w:val="003104D0"/>
    <w:rPr>
      <w:i/>
      <w:sz w:val="32"/>
      <w:szCs w:val="32"/>
    </w:rPr>
  </w:style>
  <w:style w:type="paragraph" w:customStyle="1" w:styleId="SignCoverPageEnd">
    <w:name w:val="SignCoverPageEnd"/>
    <w:basedOn w:val="OPCParaBase"/>
    <w:next w:val="Normal"/>
    <w:rsid w:val="003104D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104D0"/>
    <w:pPr>
      <w:pBdr>
        <w:top w:val="single" w:sz="4" w:space="1" w:color="auto"/>
      </w:pBdr>
      <w:spacing w:before="360"/>
      <w:ind w:right="397"/>
      <w:jc w:val="both"/>
    </w:pPr>
  </w:style>
  <w:style w:type="paragraph" w:customStyle="1" w:styleId="NotesHeading1">
    <w:name w:val="NotesHeading 1"/>
    <w:basedOn w:val="OPCParaBase"/>
    <w:next w:val="Normal"/>
    <w:rsid w:val="003104D0"/>
    <w:rPr>
      <w:b/>
      <w:sz w:val="28"/>
      <w:szCs w:val="28"/>
    </w:rPr>
  </w:style>
  <w:style w:type="paragraph" w:customStyle="1" w:styleId="NotesHeading2">
    <w:name w:val="NotesHeading 2"/>
    <w:basedOn w:val="OPCParaBase"/>
    <w:next w:val="Normal"/>
    <w:rsid w:val="003104D0"/>
    <w:rPr>
      <w:b/>
      <w:sz w:val="28"/>
      <w:szCs w:val="28"/>
    </w:rPr>
  </w:style>
  <w:style w:type="paragraph" w:customStyle="1" w:styleId="CompiledActNo">
    <w:name w:val="CompiledActNo"/>
    <w:basedOn w:val="OPCParaBase"/>
    <w:next w:val="Normal"/>
    <w:rsid w:val="003104D0"/>
    <w:rPr>
      <w:b/>
      <w:sz w:val="24"/>
      <w:szCs w:val="24"/>
    </w:rPr>
  </w:style>
  <w:style w:type="paragraph" w:customStyle="1" w:styleId="ENotesText">
    <w:name w:val="ENotesText"/>
    <w:aliases w:val="Ent"/>
    <w:basedOn w:val="OPCParaBase"/>
    <w:next w:val="Normal"/>
    <w:rsid w:val="003104D0"/>
    <w:pPr>
      <w:spacing w:before="120"/>
    </w:pPr>
  </w:style>
  <w:style w:type="paragraph" w:customStyle="1" w:styleId="CompiledMadeUnder">
    <w:name w:val="CompiledMadeUnder"/>
    <w:basedOn w:val="OPCParaBase"/>
    <w:next w:val="Normal"/>
    <w:rsid w:val="003104D0"/>
    <w:rPr>
      <w:i/>
      <w:sz w:val="24"/>
      <w:szCs w:val="24"/>
    </w:rPr>
  </w:style>
  <w:style w:type="paragraph" w:customStyle="1" w:styleId="Paragraphsub-sub-sub">
    <w:name w:val="Paragraph(sub-sub-sub)"/>
    <w:aliases w:val="aaaa"/>
    <w:basedOn w:val="OPCParaBase"/>
    <w:rsid w:val="003104D0"/>
    <w:pPr>
      <w:tabs>
        <w:tab w:val="right" w:pos="3402"/>
      </w:tabs>
      <w:spacing w:before="40" w:line="240" w:lineRule="auto"/>
      <w:ind w:left="3402" w:hanging="3402"/>
    </w:pPr>
  </w:style>
  <w:style w:type="paragraph" w:customStyle="1" w:styleId="TableTextEndNotes">
    <w:name w:val="TableTextEndNotes"/>
    <w:aliases w:val="Tten"/>
    <w:basedOn w:val="Normal"/>
    <w:rsid w:val="003104D0"/>
    <w:pPr>
      <w:spacing w:before="60" w:line="240" w:lineRule="auto"/>
    </w:pPr>
    <w:rPr>
      <w:rFonts w:cs="Arial"/>
      <w:sz w:val="20"/>
      <w:szCs w:val="22"/>
    </w:rPr>
  </w:style>
  <w:style w:type="paragraph" w:customStyle="1" w:styleId="NoteToSubpara">
    <w:name w:val="NoteToSubpara"/>
    <w:aliases w:val="nts"/>
    <w:basedOn w:val="OPCParaBase"/>
    <w:rsid w:val="003104D0"/>
    <w:pPr>
      <w:spacing w:before="40" w:line="198" w:lineRule="exact"/>
      <w:ind w:left="2835" w:hanging="709"/>
    </w:pPr>
    <w:rPr>
      <w:sz w:val="18"/>
    </w:rPr>
  </w:style>
  <w:style w:type="paragraph" w:customStyle="1" w:styleId="ENoteTableHeading">
    <w:name w:val="ENoteTableHeading"/>
    <w:aliases w:val="enth"/>
    <w:basedOn w:val="OPCParaBase"/>
    <w:rsid w:val="003104D0"/>
    <w:pPr>
      <w:keepNext/>
      <w:spacing w:before="60" w:line="240" w:lineRule="atLeast"/>
    </w:pPr>
    <w:rPr>
      <w:rFonts w:ascii="Arial" w:hAnsi="Arial"/>
      <w:b/>
      <w:sz w:val="16"/>
    </w:rPr>
  </w:style>
  <w:style w:type="paragraph" w:customStyle="1" w:styleId="ENoteTTi">
    <w:name w:val="ENoteTTi"/>
    <w:aliases w:val="entti"/>
    <w:basedOn w:val="OPCParaBase"/>
    <w:rsid w:val="003104D0"/>
    <w:pPr>
      <w:keepNext/>
      <w:spacing w:before="60" w:line="240" w:lineRule="atLeast"/>
      <w:ind w:left="170"/>
    </w:pPr>
    <w:rPr>
      <w:sz w:val="16"/>
    </w:rPr>
  </w:style>
  <w:style w:type="paragraph" w:customStyle="1" w:styleId="ENotesHeading1">
    <w:name w:val="ENotesHeading 1"/>
    <w:aliases w:val="Enh1"/>
    <w:basedOn w:val="OPCParaBase"/>
    <w:next w:val="Normal"/>
    <w:rsid w:val="003104D0"/>
    <w:pPr>
      <w:spacing w:before="120"/>
      <w:outlineLvl w:val="1"/>
    </w:pPr>
    <w:rPr>
      <w:b/>
      <w:sz w:val="28"/>
      <w:szCs w:val="28"/>
    </w:rPr>
  </w:style>
  <w:style w:type="paragraph" w:customStyle="1" w:styleId="ENotesHeading2">
    <w:name w:val="ENotesHeading 2"/>
    <w:aliases w:val="Enh2"/>
    <w:basedOn w:val="OPCParaBase"/>
    <w:next w:val="Normal"/>
    <w:rsid w:val="003104D0"/>
    <w:pPr>
      <w:spacing w:before="120" w:after="120"/>
      <w:outlineLvl w:val="2"/>
    </w:pPr>
    <w:rPr>
      <w:b/>
      <w:sz w:val="24"/>
      <w:szCs w:val="28"/>
    </w:rPr>
  </w:style>
  <w:style w:type="paragraph" w:customStyle="1" w:styleId="ENoteTTIndentHeading">
    <w:name w:val="ENoteTTIndentHeading"/>
    <w:aliases w:val="enTTHi"/>
    <w:basedOn w:val="OPCParaBase"/>
    <w:rsid w:val="003104D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104D0"/>
    <w:pPr>
      <w:spacing w:before="60" w:line="240" w:lineRule="atLeast"/>
    </w:pPr>
    <w:rPr>
      <w:sz w:val="16"/>
    </w:rPr>
  </w:style>
  <w:style w:type="paragraph" w:customStyle="1" w:styleId="MadeunderText">
    <w:name w:val="MadeunderText"/>
    <w:basedOn w:val="OPCParaBase"/>
    <w:next w:val="Normal"/>
    <w:rsid w:val="003104D0"/>
    <w:pPr>
      <w:spacing w:before="240"/>
    </w:pPr>
    <w:rPr>
      <w:sz w:val="24"/>
      <w:szCs w:val="24"/>
    </w:rPr>
  </w:style>
  <w:style w:type="paragraph" w:customStyle="1" w:styleId="ENotesHeading3">
    <w:name w:val="ENotesHeading 3"/>
    <w:aliases w:val="Enh3"/>
    <w:basedOn w:val="OPCParaBase"/>
    <w:next w:val="Normal"/>
    <w:rsid w:val="003104D0"/>
    <w:pPr>
      <w:keepNext/>
      <w:spacing w:before="120" w:line="240" w:lineRule="auto"/>
      <w:outlineLvl w:val="4"/>
    </w:pPr>
    <w:rPr>
      <w:b/>
      <w:szCs w:val="24"/>
    </w:rPr>
  </w:style>
  <w:style w:type="character" w:customStyle="1" w:styleId="CharSubPartTextCASA">
    <w:name w:val="CharSubPartText(CASA)"/>
    <w:basedOn w:val="OPCCharBase"/>
    <w:uiPriority w:val="1"/>
    <w:rsid w:val="003104D0"/>
  </w:style>
  <w:style w:type="character" w:customStyle="1" w:styleId="CharSubPartNoCASA">
    <w:name w:val="CharSubPartNo(CASA)"/>
    <w:basedOn w:val="OPCCharBase"/>
    <w:uiPriority w:val="1"/>
    <w:rsid w:val="003104D0"/>
  </w:style>
  <w:style w:type="paragraph" w:customStyle="1" w:styleId="ENoteTTIndentHeadingSub">
    <w:name w:val="ENoteTTIndentHeadingSub"/>
    <w:aliases w:val="enTTHis"/>
    <w:basedOn w:val="OPCParaBase"/>
    <w:rsid w:val="003104D0"/>
    <w:pPr>
      <w:keepNext/>
      <w:spacing w:before="60" w:line="240" w:lineRule="atLeast"/>
      <w:ind w:left="340"/>
    </w:pPr>
    <w:rPr>
      <w:b/>
      <w:sz w:val="16"/>
    </w:rPr>
  </w:style>
  <w:style w:type="paragraph" w:customStyle="1" w:styleId="ENoteTTiSub">
    <w:name w:val="ENoteTTiSub"/>
    <w:aliases w:val="enttis"/>
    <w:basedOn w:val="OPCParaBase"/>
    <w:rsid w:val="003104D0"/>
    <w:pPr>
      <w:keepNext/>
      <w:spacing w:before="60" w:line="240" w:lineRule="atLeast"/>
      <w:ind w:left="340"/>
    </w:pPr>
    <w:rPr>
      <w:sz w:val="16"/>
    </w:rPr>
  </w:style>
  <w:style w:type="paragraph" w:customStyle="1" w:styleId="SubDivisionMigration">
    <w:name w:val="SubDivisionMigration"/>
    <w:aliases w:val="sdm"/>
    <w:basedOn w:val="OPCParaBase"/>
    <w:rsid w:val="003104D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104D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104D0"/>
    <w:pPr>
      <w:spacing w:before="122" w:line="240" w:lineRule="auto"/>
      <w:ind w:left="1985" w:hanging="851"/>
    </w:pPr>
    <w:rPr>
      <w:sz w:val="18"/>
    </w:rPr>
  </w:style>
  <w:style w:type="paragraph" w:customStyle="1" w:styleId="FreeForm">
    <w:name w:val="FreeForm"/>
    <w:rsid w:val="003104D0"/>
    <w:rPr>
      <w:rFonts w:ascii="Arial" w:hAnsi="Arial"/>
      <w:sz w:val="22"/>
    </w:rPr>
  </w:style>
  <w:style w:type="paragraph" w:customStyle="1" w:styleId="SOText">
    <w:name w:val="SO Text"/>
    <w:aliases w:val="sot"/>
    <w:link w:val="SOTextChar"/>
    <w:rsid w:val="003104D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104D0"/>
    <w:rPr>
      <w:sz w:val="22"/>
    </w:rPr>
  </w:style>
  <w:style w:type="paragraph" w:customStyle="1" w:styleId="SOTextNote">
    <w:name w:val="SO TextNote"/>
    <w:aliases w:val="sont"/>
    <w:basedOn w:val="SOText"/>
    <w:qFormat/>
    <w:rsid w:val="003104D0"/>
    <w:pPr>
      <w:spacing w:before="122" w:line="198" w:lineRule="exact"/>
      <w:ind w:left="1843" w:hanging="709"/>
    </w:pPr>
    <w:rPr>
      <w:sz w:val="18"/>
    </w:rPr>
  </w:style>
  <w:style w:type="paragraph" w:customStyle="1" w:styleId="SOPara">
    <w:name w:val="SO Para"/>
    <w:aliases w:val="soa"/>
    <w:basedOn w:val="SOText"/>
    <w:link w:val="SOParaChar"/>
    <w:qFormat/>
    <w:rsid w:val="003104D0"/>
    <w:pPr>
      <w:tabs>
        <w:tab w:val="right" w:pos="1786"/>
      </w:tabs>
      <w:spacing w:before="40"/>
      <w:ind w:left="2070" w:hanging="936"/>
    </w:pPr>
  </w:style>
  <w:style w:type="character" w:customStyle="1" w:styleId="SOParaChar">
    <w:name w:val="SO Para Char"/>
    <w:aliases w:val="soa Char"/>
    <w:basedOn w:val="DefaultParagraphFont"/>
    <w:link w:val="SOPara"/>
    <w:rsid w:val="003104D0"/>
    <w:rPr>
      <w:sz w:val="22"/>
    </w:rPr>
  </w:style>
  <w:style w:type="paragraph" w:customStyle="1" w:styleId="FileName">
    <w:name w:val="FileName"/>
    <w:basedOn w:val="Normal"/>
    <w:rsid w:val="003104D0"/>
  </w:style>
  <w:style w:type="paragraph" w:customStyle="1" w:styleId="TableHeading">
    <w:name w:val="TableHeading"/>
    <w:aliases w:val="th"/>
    <w:basedOn w:val="OPCParaBase"/>
    <w:next w:val="Tabletext"/>
    <w:link w:val="TableHeadingChar"/>
    <w:rsid w:val="003104D0"/>
    <w:pPr>
      <w:keepNext/>
      <w:spacing w:before="60" w:line="240" w:lineRule="atLeast"/>
    </w:pPr>
    <w:rPr>
      <w:b/>
      <w:sz w:val="20"/>
    </w:rPr>
  </w:style>
  <w:style w:type="paragraph" w:customStyle="1" w:styleId="SOHeadBold">
    <w:name w:val="SO HeadBold"/>
    <w:aliases w:val="sohb"/>
    <w:basedOn w:val="SOText"/>
    <w:next w:val="SOText"/>
    <w:link w:val="SOHeadBoldChar"/>
    <w:qFormat/>
    <w:rsid w:val="003104D0"/>
    <w:rPr>
      <w:b/>
    </w:rPr>
  </w:style>
  <w:style w:type="character" w:customStyle="1" w:styleId="SOHeadBoldChar">
    <w:name w:val="SO HeadBold Char"/>
    <w:aliases w:val="sohb Char"/>
    <w:basedOn w:val="DefaultParagraphFont"/>
    <w:link w:val="SOHeadBold"/>
    <w:rsid w:val="003104D0"/>
    <w:rPr>
      <w:b/>
      <w:sz w:val="22"/>
    </w:rPr>
  </w:style>
  <w:style w:type="paragraph" w:customStyle="1" w:styleId="SOHeadItalic">
    <w:name w:val="SO HeadItalic"/>
    <w:aliases w:val="sohi"/>
    <w:basedOn w:val="SOText"/>
    <w:next w:val="SOText"/>
    <w:link w:val="SOHeadItalicChar"/>
    <w:qFormat/>
    <w:rsid w:val="003104D0"/>
    <w:rPr>
      <w:i/>
    </w:rPr>
  </w:style>
  <w:style w:type="character" w:customStyle="1" w:styleId="SOHeadItalicChar">
    <w:name w:val="SO HeadItalic Char"/>
    <w:aliases w:val="sohi Char"/>
    <w:basedOn w:val="DefaultParagraphFont"/>
    <w:link w:val="SOHeadItalic"/>
    <w:rsid w:val="003104D0"/>
    <w:rPr>
      <w:i/>
      <w:sz w:val="22"/>
    </w:rPr>
  </w:style>
  <w:style w:type="paragraph" w:customStyle="1" w:styleId="SOBullet">
    <w:name w:val="SO Bullet"/>
    <w:aliases w:val="sotb"/>
    <w:basedOn w:val="SOText"/>
    <w:link w:val="SOBulletChar"/>
    <w:qFormat/>
    <w:rsid w:val="003104D0"/>
    <w:pPr>
      <w:ind w:left="1559" w:hanging="425"/>
    </w:pPr>
  </w:style>
  <w:style w:type="character" w:customStyle="1" w:styleId="SOBulletChar">
    <w:name w:val="SO Bullet Char"/>
    <w:aliases w:val="sotb Char"/>
    <w:basedOn w:val="DefaultParagraphFont"/>
    <w:link w:val="SOBullet"/>
    <w:rsid w:val="003104D0"/>
    <w:rPr>
      <w:sz w:val="22"/>
    </w:rPr>
  </w:style>
  <w:style w:type="paragraph" w:customStyle="1" w:styleId="SOBulletNote">
    <w:name w:val="SO BulletNote"/>
    <w:aliases w:val="sonb"/>
    <w:basedOn w:val="SOTextNote"/>
    <w:link w:val="SOBulletNoteChar"/>
    <w:qFormat/>
    <w:rsid w:val="003104D0"/>
    <w:pPr>
      <w:tabs>
        <w:tab w:val="left" w:pos="1560"/>
      </w:tabs>
      <w:ind w:left="2268" w:hanging="1134"/>
    </w:pPr>
  </w:style>
  <w:style w:type="character" w:customStyle="1" w:styleId="SOBulletNoteChar">
    <w:name w:val="SO BulletNote Char"/>
    <w:aliases w:val="sonb Char"/>
    <w:basedOn w:val="DefaultParagraphFont"/>
    <w:link w:val="SOBulletNote"/>
    <w:rsid w:val="003104D0"/>
    <w:rPr>
      <w:sz w:val="18"/>
    </w:rPr>
  </w:style>
  <w:style w:type="paragraph" w:customStyle="1" w:styleId="SOText2">
    <w:name w:val="SO Text2"/>
    <w:aliases w:val="sot2"/>
    <w:basedOn w:val="Normal"/>
    <w:next w:val="SOText"/>
    <w:link w:val="SOText2Char"/>
    <w:rsid w:val="003104D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104D0"/>
    <w:rPr>
      <w:sz w:val="22"/>
    </w:rPr>
  </w:style>
  <w:style w:type="paragraph" w:customStyle="1" w:styleId="SubPartCASA">
    <w:name w:val="SubPart(CASA)"/>
    <w:aliases w:val="csp"/>
    <w:basedOn w:val="OPCParaBase"/>
    <w:next w:val="ActHead3"/>
    <w:rsid w:val="003104D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104D0"/>
    <w:rPr>
      <w:rFonts w:eastAsia="Times New Roman" w:cs="Times New Roman"/>
      <w:sz w:val="22"/>
      <w:lang w:eastAsia="en-AU"/>
    </w:rPr>
  </w:style>
  <w:style w:type="character" w:customStyle="1" w:styleId="notetextChar">
    <w:name w:val="note(text) Char"/>
    <w:aliases w:val="n Char"/>
    <w:basedOn w:val="DefaultParagraphFont"/>
    <w:link w:val="notetext"/>
    <w:rsid w:val="003104D0"/>
    <w:rPr>
      <w:rFonts w:eastAsia="Times New Roman" w:cs="Times New Roman"/>
      <w:sz w:val="18"/>
      <w:lang w:eastAsia="en-AU"/>
    </w:rPr>
  </w:style>
  <w:style w:type="character" w:customStyle="1" w:styleId="Heading1Char">
    <w:name w:val="Heading 1 Char"/>
    <w:basedOn w:val="DefaultParagraphFont"/>
    <w:link w:val="Heading1"/>
    <w:uiPriority w:val="9"/>
    <w:rsid w:val="003104D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104D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104D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104D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104D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104D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104D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104D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104D0"/>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3104D0"/>
    <w:rPr>
      <w:rFonts w:ascii="Arial" w:hAnsi="Arial" w:cs="Arial" w:hint="default"/>
      <w:b/>
      <w:bCs/>
      <w:sz w:val="28"/>
      <w:szCs w:val="28"/>
    </w:rPr>
  </w:style>
  <w:style w:type="paragraph" w:styleId="Index1">
    <w:name w:val="index 1"/>
    <w:basedOn w:val="Normal"/>
    <w:next w:val="Normal"/>
    <w:autoRedefine/>
    <w:rsid w:val="003104D0"/>
    <w:pPr>
      <w:ind w:left="240" w:hanging="240"/>
    </w:pPr>
  </w:style>
  <w:style w:type="paragraph" w:styleId="Index2">
    <w:name w:val="index 2"/>
    <w:basedOn w:val="Normal"/>
    <w:next w:val="Normal"/>
    <w:autoRedefine/>
    <w:rsid w:val="003104D0"/>
    <w:pPr>
      <w:ind w:left="480" w:hanging="240"/>
    </w:pPr>
  </w:style>
  <w:style w:type="paragraph" w:styleId="Index3">
    <w:name w:val="index 3"/>
    <w:basedOn w:val="Normal"/>
    <w:next w:val="Normal"/>
    <w:autoRedefine/>
    <w:rsid w:val="003104D0"/>
    <w:pPr>
      <w:ind w:left="720" w:hanging="240"/>
    </w:pPr>
  </w:style>
  <w:style w:type="paragraph" w:styleId="Index4">
    <w:name w:val="index 4"/>
    <w:basedOn w:val="Normal"/>
    <w:next w:val="Normal"/>
    <w:autoRedefine/>
    <w:rsid w:val="003104D0"/>
    <w:pPr>
      <w:ind w:left="960" w:hanging="240"/>
    </w:pPr>
  </w:style>
  <w:style w:type="paragraph" w:styleId="Index5">
    <w:name w:val="index 5"/>
    <w:basedOn w:val="Normal"/>
    <w:next w:val="Normal"/>
    <w:autoRedefine/>
    <w:rsid w:val="003104D0"/>
    <w:pPr>
      <w:ind w:left="1200" w:hanging="240"/>
    </w:pPr>
  </w:style>
  <w:style w:type="paragraph" w:styleId="Index6">
    <w:name w:val="index 6"/>
    <w:basedOn w:val="Normal"/>
    <w:next w:val="Normal"/>
    <w:autoRedefine/>
    <w:rsid w:val="003104D0"/>
    <w:pPr>
      <w:ind w:left="1440" w:hanging="240"/>
    </w:pPr>
  </w:style>
  <w:style w:type="paragraph" w:styleId="Index7">
    <w:name w:val="index 7"/>
    <w:basedOn w:val="Normal"/>
    <w:next w:val="Normal"/>
    <w:autoRedefine/>
    <w:rsid w:val="003104D0"/>
    <w:pPr>
      <w:ind w:left="1680" w:hanging="240"/>
    </w:pPr>
  </w:style>
  <w:style w:type="paragraph" w:styleId="Index8">
    <w:name w:val="index 8"/>
    <w:basedOn w:val="Normal"/>
    <w:next w:val="Normal"/>
    <w:autoRedefine/>
    <w:rsid w:val="003104D0"/>
    <w:pPr>
      <w:ind w:left="1920" w:hanging="240"/>
    </w:pPr>
  </w:style>
  <w:style w:type="paragraph" w:styleId="Index9">
    <w:name w:val="index 9"/>
    <w:basedOn w:val="Normal"/>
    <w:next w:val="Normal"/>
    <w:autoRedefine/>
    <w:rsid w:val="003104D0"/>
    <w:pPr>
      <w:ind w:left="2160" w:hanging="240"/>
    </w:pPr>
  </w:style>
  <w:style w:type="paragraph" w:styleId="NormalIndent">
    <w:name w:val="Normal Indent"/>
    <w:basedOn w:val="Normal"/>
    <w:rsid w:val="003104D0"/>
    <w:pPr>
      <w:ind w:left="720"/>
    </w:pPr>
  </w:style>
  <w:style w:type="paragraph" w:styleId="FootnoteText">
    <w:name w:val="footnote text"/>
    <w:basedOn w:val="Normal"/>
    <w:link w:val="FootnoteTextChar"/>
    <w:rsid w:val="003104D0"/>
    <w:rPr>
      <w:sz w:val="20"/>
    </w:rPr>
  </w:style>
  <w:style w:type="character" w:customStyle="1" w:styleId="FootnoteTextChar">
    <w:name w:val="Footnote Text Char"/>
    <w:basedOn w:val="DefaultParagraphFont"/>
    <w:link w:val="FootnoteText"/>
    <w:rsid w:val="003104D0"/>
  </w:style>
  <w:style w:type="paragraph" w:styleId="CommentText">
    <w:name w:val="annotation text"/>
    <w:basedOn w:val="Normal"/>
    <w:link w:val="CommentTextChar"/>
    <w:rsid w:val="003104D0"/>
    <w:rPr>
      <w:sz w:val="20"/>
    </w:rPr>
  </w:style>
  <w:style w:type="character" w:customStyle="1" w:styleId="CommentTextChar">
    <w:name w:val="Comment Text Char"/>
    <w:basedOn w:val="DefaultParagraphFont"/>
    <w:link w:val="CommentText"/>
    <w:rsid w:val="003104D0"/>
  </w:style>
  <w:style w:type="paragraph" w:styleId="IndexHeading">
    <w:name w:val="index heading"/>
    <w:basedOn w:val="Normal"/>
    <w:next w:val="Index1"/>
    <w:rsid w:val="003104D0"/>
    <w:rPr>
      <w:rFonts w:ascii="Arial" w:hAnsi="Arial" w:cs="Arial"/>
      <w:b/>
      <w:bCs/>
    </w:rPr>
  </w:style>
  <w:style w:type="paragraph" w:styleId="Caption">
    <w:name w:val="caption"/>
    <w:basedOn w:val="Normal"/>
    <w:next w:val="Normal"/>
    <w:qFormat/>
    <w:rsid w:val="003104D0"/>
    <w:pPr>
      <w:spacing w:before="120" w:after="120"/>
    </w:pPr>
    <w:rPr>
      <w:b/>
      <w:bCs/>
      <w:sz w:val="20"/>
    </w:rPr>
  </w:style>
  <w:style w:type="paragraph" w:styleId="TableofFigures">
    <w:name w:val="table of figures"/>
    <w:basedOn w:val="Normal"/>
    <w:next w:val="Normal"/>
    <w:rsid w:val="003104D0"/>
    <w:pPr>
      <w:ind w:left="480" w:hanging="480"/>
    </w:pPr>
  </w:style>
  <w:style w:type="paragraph" w:styleId="EnvelopeAddress">
    <w:name w:val="envelope address"/>
    <w:basedOn w:val="Normal"/>
    <w:rsid w:val="003104D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104D0"/>
    <w:rPr>
      <w:rFonts w:ascii="Arial" w:hAnsi="Arial" w:cs="Arial"/>
      <w:sz w:val="20"/>
    </w:rPr>
  </w:style>
  <w:style w:type="character" w:styleId="FootnoteReference">
    <w:name w:val="footnote reference"/>
    <w:basedOn w:val="DefaultParagraphFont"/>
    <w:rsid w:val="003104D0"/>
    <w:rPr>
      <w:rFonts w:ascii="Times New Roman" w:hAnsi="Times New Roman"/>
      <w:sz w:val="20"/>
      <w:vertAlign w:val="superscript"/>
    </w:rPr>
  </w:style>
  <w:style w:type="character" w:styleId="CommentReference">
    <w:name w:val="annotation reference"/>
    <w:basedOn w:val="DefaultParagraphFont"/>
    <w:rsid w:val="003104D0"/>
    <w:rPr>
      <w:sz w:val="16"/>
      <w:szCs w:val="16"/>
    </w:rPr>
  </w:style>
  <w:style w:type="character" w:styleId="PageNumber">
    <w:name w:val="page number"/>
    <w:basedOn w:val="DefaultParagraphFont"/>
    <w:rsid w:val="003104D0"/>
  </w:style>
  <w:style w:type="character" w:styleId="EndnoteReference">
    <w:name w:val="endnote reference"/>
    <w:basedOn w:val="DefaultParagraphFont"/>
    <w:rsid w:val="003104D0"/>
    <w:rPr>
      <w:vertAlign w:val="superscript"/>
    </w:rPr>
  </w:style>
  <w:style w:type="paragraph" w:styleId="EndnoteText">
    <w:name w:val="endnote text"/>
    <w:basedOn w:val="Normal"/>
    <w:link w:val="EndnoteTextChar"/>
    <w:rsid w:val="003104D0"/>
    <w:rPr>
      <w:sz w:val="20"/>
    </w:rPr>
  </w:style>
  <w:style w:type="character" w:customStyle="1" w:styleId="EndnoteTextChar">
    <w:name w:val="Endnote Text Char"/>
    <w:basedOn w:val="DefaultParagraphFont"/>
    <w:link w:val="EndnoteText"/>
    <w:rsid w:val="003104D0"/>
  </w:style>
  <w:style w:type="paragraph" w:styleId="TableofAuthorities">
    <w:name w:val="table of authorities"/>
    <w:basedOn w:val="Normal"/>
    <w:next w:val="Normal"/>
    <w:rsid w:val="003104D0"/>
    <w:pPr>
      <w:ind w:left="240" w:hanging="240"/>
    </w:pPr>
  </w:style>
  <w:style w:type="paragraph" w:styleId="MacroText">
    <w:name w:val="macro"/>
    <w:link w:val="MacroTextChar"/>
    <w:rsid w:val="003104D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104D0"/>
    <w:rPr>
      <w:rFonts w:ascii="Courier New" w:eastAsia="Times New Roman" w:hAnsi="Courier New" w:cs="Courier New"/>
      <w:lang w:eastAsia="en-AU"/>
    </w:rPr>
  </w:style>
  <w:style w:type="paragraph" w:styleId="TOAHeading">
    <w:name w:val="toa heading"/>
    <w:basedOn w:val="Normal"/>
    <w:next w:val="Normal"/>
    <w:rsid w:val="003104D0"/>
    <w:pPr>
      <w:spacing w:before="120"/>
    </w:pPr>
    <w:rPr>
      <w:rFonts w:ascii="Arial" w:hAnsi="Arial" w:cs="Arial"/>
      <w:b/>
      <w:bCs/>
    </w:rPr>
  </w:style>
  <w:style w:type="paragraph" w:styleId="List">
    <w:name w:val="List"/>
    <w:basedOn w:val="Normal"/>
    <w:rsid w:val="003104D0"/>
    <w:pPr>
      <w:ind w:left="283" w:hanging="283"/>
    </w:pPr>
  </w:style>
  <w:style w:type="paragraph" w:styleId="ListBullet">
    <w:name w:val="List Bullet"/>
    <w:basedOn w:val="Normal"/>
    <w:autoRedefine/>
    <w:rsid w:val="003104D0"/>
    <w:pPr>
      <w:tabs>
        <w:tab w:val="num" w:pos="360"/>
      </w:tabs>
      <w:ind w:left="360" w:hanging="360"/>
    </w:pPr>
  </w:style>
  <w:style w:type="paragraph" w:styleId="ListNumber">
    <w:name w:val="List Number"/>
    <w:basedOn w:val="Normal"/>
    <w:rsid w:val="003104D0"/>
    <w:pPr>
      <w:tabs>
        <w:tab w:val="num" w:pos="360"/>
      </w:tabs>
      <w:ind w:left="360" w:hanging="360"/>
    </w:pPr>
  </w:style>
  <w:style w:type="paragraph" w:styleId="List2">
    <w:name w:val="List 2"/>
    <w:basedOn w:val="Normal"/>
    <w:rsid w:val="003104D0"/>
    <w:pPr>
      <w:ind w:left="566" w:hanging="283"/>
    </w:pPr>
  </w:style>
  <w:style w:type="paragraph" w:styleId="List3">
    <w:name w:val="List 3"/>
    <w:basedOn w:val="Normal"/>
    <w:rsid w:val="003104D0"/>
    <w:pPr>
      <w:ind w:left="849" w:hanging="283"/>
    </w:pPr>
  </w:style>
  <w:style w:type="paragraph" w:styleId="List4">
    <w:name w:val="List 4"/>
    <w:basedOn w:val="Normal"/>
    <w:rsid w:val="003104D0"/>
    <w:pPr>
      <w:ind w:left="1132" w:hanging="283"/>
    </w:pPr>
  </w:style>
  <w:style w:type="paragraph" w:styleId="List5">
    <w:name w:val="List 5"/>
    <w:basedOn w:val="Normal"/>
    <w:rsid w:val="003104D0"/>
    <w:pPr>
      <w:ind w:left="1415" w:hanging="283"/>
    </w:pPr>
  </w:style>
  <w:style w:type="paragraph" w:styleId="ListBullet2">
    <w:name w:val="List Bullet 2"/>
    <w:basedOn w:val="Normal"/>
    <w:autoRedefine/>
    <w:rsid w:val="003104D0"/>
    <w:pPr>
      <w:tabs>
        <w:tab w:val="num" w:pos="360"/>
      </w:tabs>
    </w:pPr>
  </w:style>
  <w:style w:type="paragraph" w:styleId="ListBullet3">
    <w:name w:val="List Bullet 3"/>
    <w:basedOn w:val="Normal"/>
    <w:autoRedefine/>
    <w:rsid w:val="003104D0"/>
    <w:pPr>
      <w:tabs>
        <w:tab w:val="num" w:pos="926"/>
      </w:tabs>
      <w:ind w:left="926" w:hanging="360"/>
    </w:pPr>
  </w:style>
  <w:style w:type="paragraph" w:styleId="ListBullet4">
    <w:name w:val="List Bullet 4"/>
    <w:basedOn w:val="Normal"/>
    <w:autoRedefine/>
    <w:rsid w:val="003104D0"/>
    <w:pPr>
      <w:tabs>
        <w:tab w:val="num" w:pos="1209"/>
      </w:tabs>
      <w:ind w:left="1209" w:hanging="360"/>
    </w:pPr>
  </w:style>
  <w:style w:type="paragraph" w:styleId="ListBullet5">
    <w:name w:val="List Bullet 5"/>
    <w:basedOn w:val="Normal"/>
    <w:autoRedefine/>
    <w:rsid w:val="003104D0"/>
    <w:pPr>
      <w:tabs>
        <w:tab w:val="num" w:pos="1492"/>
      </w:tabs>
      <w:ind w:left="1492" w:hanging="360"/>
    </w:pPr>
  </w:style>
  <w:style w:type="paragraph" w:styleId="ListNumber2">
    <w:name w:val="List Number 2"/>
    <w:basedOn w:val="Normal"/>
    <w:rsid w:val="003104D0"/>
    <w:pPr>
      <w:tabs>
        <w:tab w:val="num" w:pos="643"/>
      </w:tabs>
      <w:ind w:left="643" w:hanging="360"/>
    </w:pPr>
  </w:style>
  <w:style w:type="paragraph" w:styleId="ListNumber3">
    <w:name w:val="List Number 3"/>
    <w:basedOn w:val="Normal"/>
    <w:rsid w:val="003104D0"/>
    <w:pPr>
      <w:tabs>
        <w:tab w:val="num" w:pos="926"/>
      </w:tabs>
      <w:ind w:left="926" w:hanging="360"/>
    </w:pPr>
  </w:style>
  <w:style w:type="paragraph" w:styleId="ListNumber4">
    <w:name w:val="List Number 4"/>
    <w:basedOn w:val="Normal"/>
    <w:rsid w:val="003104D0"/>
    <w:pPr>
      <w:tabs>
        <w:tab w:val="num" w:pos="1209"/>
      </w:tabs>
      <w:ind w:left="1209" w:hanging="360"/>
    </w:pPr>
  </w:style>
  <w:style w:type="paragraph" w:styleId="ListNumber5">
    <w:name w:val="List Number 5"/>
    <w:basedOn w:val="Normal"/>
    <w:rsid w:val="003104D0"/>
    <w:pPr>
      <w:tabs>
        <w:tab w:val="num" w:pos="1492"/>
      </w:tabs>
      <w:ind w:left="1492" w:hanging="360"/>
    </w:pPr>
  </w:style>
  <w:style w:type="paragraph" w:styleId="Title">
    <w:name w:val="Title"/>
    <w:basedOn w:val="Normal"/>
    <w:link w:val="TitleChar"/>
    <w:qFormat/>
    <w:rsid w:val="003104D0"/>
    <w:pPr>
      <w:spacing w:before="240" w:after="60"/>
    </w:pPr>
    <w:rPr>
      <w:rFonts w:ascii="Arial" w:hAnsi="Arial" w:cs="Arial"/>
      <w:b/>
      <w:bCs/>
      <w:sz w:val="40"/>
      <w:szCs w:val="40"/>
    </w:rPr>
  </w:style>
  <w:style w:type="character" w:customStyle="1" w:styleId="TitleChar">
    <w:name w:val="Title Char"/>
    <w:basedOn w:val="DefaultParagraphFont"/>
    <w:link w:val="Title"/>
    <w:rsid w:val="003104D0"/>
    <w:rPr>
      <w:rFonts w:ascii="Arial" w:hAnsi="Arial" w:cs="Arial"/>
      <w:b/>
      <w:bCs/>
      <w:sz w:val="40"/>
      <w:szCs w:val="40"/>
    </w:rPr>
  </w:style>
  <w:style w:type="paragraph" w:styleId="Closing">
    <w:name w:val="Closing"/>
    <w:basedOn w:val="Normal"/>
    <w:link w:val="ClosingChar"/>
    <w:rsid w:val="003104D0"/>
    <w:pPr>
      <w:ind w:left="4252"/>
    </w:pPr>
  </w:style>
  <w:style w:type="character" w:customStyle="1" w:styleId="ClosingChar">
    <w:name w:val="Closing Char"/>
    <w:basedOn w:val="DefaultParagraphFont"/>
    <w:link w:val="Closing"/>
    <w:rsid w:val="003104D0"/>
    <w:rPr>
      <w:sz w:val="22"/>
    </w:rPr>
  </w:style>
  <w:style w:type="paragraph" w:styleId="Signature">
    <w:name w:val="Signature"/>
    <w:basedOn w:val="Normal"/>
    <w:link w:val="SignatureChar"/>
    <w:rsid w:val="003104D0"/>
    <w:pPr>
      <w:ind w:left="4252"/>
    </w:pPr>
  </w:style>
  <w:style w:type="character" w:customStyle="1" w:styleId="SignatureChar">
    <w:name w:val="Signature Char"/>
    <w:basedOn w:val="DefaultParagraphFont"/>
    <w:link w:val="Signature"/>
    <w:rsid w:val="003104D0"/>
    <w:rPr>
      <w:sz w:val="22"/>
    </w:rPr>
  </w:style>
  <w:style w:type="paragraph" w:styleId="BodyText">
    <w:name w:val="Body Text"/>
    <w:basedOn w:val="Normal"/>
    <w:link w:val="BodyTextChar"/>
    <w:rsid w:val="003104D0"/>
    <w:pPr>
      <w:spacing w:after="120"/>
    </w:pPr>
  </w:style>
  <w:style w:type="character" w:customStyle="1" w:styleId="BodyTextChar">
    <w:name w:val="Body Text Char"/>
    <w:basedOn w:val="DefaultParagraphFont"/>
    <w:link w:val="BodyText"/>
    <w:rsid w:val="003104D0"/>
    <w:rPr>
      <w:sz w:val="22"/>
    </w:rPr>
  </w:style>
  <w:style w:type="paragraph" w:styleId="BodyTextIndent">
    <w:name w:val="Body Text Indent"/>
    <w:basedOn w:val="Normal"/>
    <w:link w:val="BodyTextIndentChar"/>
    <w:rsid w:val="003104D0"/>
    <w:pPr>
      <w:spacing w:after="120"/>
      <w:ind w:left="283"/>
    </w:pPr>
  </w:style>
  <w:style w:type="character" w:customStyle="1" w:styleId="BodyTextIndentChar">
    <w:name w:val="Body Text Indent Char"/>
    <w:basedOn w:val="DefaultParagraphFont"/>
    <w:link w:val="BodyTextIndent"/>
    <w:rsid w:val="003104D0"/>
    <w:rPr>
      <w:sz w:val="22"/>
    </w:rPr>
  </w:style>
  <w:style w:type="paragraph" w:styleId="ListContinue">
    <w:name w:val="List Continue"/>
    <w:basedOn w:val="Normal"/>
    <w:rsid w:val="003104D0"/>
    <w:pPr>
      <w:spacing w:after="120"/>
      <w:ind w:left="283"/>
    </w:pPr>
  </w:style>
  <w:style w:type="paragraph" w:styleId="ListContinue2">
    <w:name w:val="List Continue 2"/>
    <w:basedOn w:val="Normal"/>
    <w:rsid w:val="003104D0"/>
    <w:pPr>
      <w:spacing w:after="120"/>
      <w:ind w:left="566"/>
    </w:pPr>
  </w:style>
  <w:style w:type="paragraph" w:styleId="ListContinue3">
    <w:name w:val="List Continue 3"/>
    <w:basedOn w:val="Normal"/>
    <w:rsid w:val="003104D0"/>
    <w:pPr>
      <w:spacing w:after="120"/>
      <w:ind w:left="849"/>
    </w:pPr>
  </w:style>
  <w:style w:type="paragraph" w:styleId="ListContinue4">
    <w:name w:val="List Continue 4"/>
    <w:basedOn w:val="Normal"/>
    <w:rsid w:val="003104D0"/>
    <w:pPr>
      <w:spacing w:after="120"/>
      <w:ind w:left="1132"/>
    </w:pPr>
  </w:style>
  <w:style w:type="paragraph" w:styleId="ListContinue5">
    <w:name w:val="List Continue 5"/>
    <w:basedOn w:val="Normal"/>
    <w:rsid w:val="003104D0"/>
    <w:pPr>
      <w:spacing w:after="120"/>
      <w:ind w:left="1415"/>
    </w:pPr>
  </w:style>
  <w:style w:type="paragraph" w:styleId="MessageHeader">
    <w:name w:val="Message Header"/>
    <w:basedOn w:val="Normal"/>
    <w:link w:val="MessageHeaderChar"/>
    <w:rsid w:val="003104D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104D0"/>
    <w:rPr>
      <w:rFonts w:ascii="Arial" w:hAnsi="Arial" w:cs="Arial"/>
      <w:sz w:val="22"/>
      <w:shd w:val="pct20" w:color="auto" w:fill="auto"/>
    </w:rPr>
  </w:style>
  <w:style w:type="paragraph" w:styleId="Subtitle">
    <w:name w:val="Subtitle"/>
    <w:basedOn w:val="Normal"/>
    <w:link w:val="SubtitleChar"/>
    <w:qFormat/>
    <w:rsid w:val="003104D0"/>
    <w:pPr>
      <w:spacing w:after="60"/>
      <w:jc w:val="center"/>
      <w:outlineLvl w:val="1"/>
    </w:pPr>
    <w:rPr>
      <w:rFonts w:ascii="Arial" w:hAnsi="Arial" w:cs="Arial"/>
    </w:rPr>
  </w:style>
  <w:style w:type="character" w:customStyle="1" w:styleId="SubtitleChar">
    <w:name w:val="Subtitle Char"/>
    <w:basedOn w:val="DefaultParagraphFont"/>
    <w:link w:val="Subtitle"/>
    <w:rsid w:val="003104D0"/>
    <w:rPr>
      <w:rFonts w:ascii="Arial" w:hAnsi="Arial" w:cs="Arial"/>
      <w:sz w:val="22"/>
    </w:rPr>
  </w:style>
  <w:style w:type="paragraph" w:styleId="Salutation">
    <w:name w:val="Salutation"/>
    <w:basedOn w:val="Normal"/>
    <w:next w:val="Normal"/>
    <w:link w:val="SalutationChar"/>
    <w:rsid w:val="003104D0"/>
  </w:style>
  <w:style w:type="character" w:customStyle="1" w:styleId="SalutationChar">
    <w:name w:val="Salutation Char"/>
    <w:basedOn w:val="DefaultParagraphFont"/>
    <w:link w:val="Salutation"/>
    <w:rsid w:val="003104D0"/>
    <w:rPr>
      <w:sz w:val="22"/>
    </w:rPr>
  </w:style>
  <w:style w:type="paragraph" w:styleId="Date">
    <w:name w:val="Date"/>
    <w:basedOn w:val="Normal"/>
    <w:next w:val="Normal"/>
    <w:link w:val="DateChar"/>
    <w:rsid w:val="003104D0"/>
  </w:style>
  <w:style w:type="character" w:customStyle="1" w:styleId="DateChar">
    <w:name w:val="Date Char"/>
    <w:basedOn w:val="DefaultParagraphFont"/>
    <w:link w:val="Date"/>
    <w:rsid w:val="003104D0"/>
    <w:rPr>
      <w:sz w:val="22"/>
    </w:rPr>
  </w:style>
  <w:style w:type="paragraph" w:styleId="BodyTextFirstIndent">
    <w:name w:val="Body Text First Indent"/>
    <w:basedOn w:val="BodyText"/>
    <w:link w:val="BodyTextFirstIndentChar"/>
    <w:rsid w:val="003104D0"/>
    <w:pPr>
      <w:ind w:firstLine="210"/>
    </w:pPr>
  </w:style>
  <w:style w:type="character" w:customStyle="1" w:styleId="BodyTextFirstIndentChar">
    <w:name w:val="Body Text First Indent Char"/>
    <w:basedOn w:val="BodyTextChar"/>
    <w:link w:val="BodyTextFirstIndent"/>
    <w:rsid w:val="003104D0"/>
    <w:rPr>
      <w:sz w:val="22"/>
    </w:rPr>
  </w:style>
  <w:style w:type="paragraph" w:styleId="BodyTextFirstIndent2">
    <w:name w:val="Body Text First Indent 2"/>
    <w:basedOn w:val="BodyTextIndent"/>
    <w:link w:val="BodyTextFirstIndent2Char"/>
    <w:rsid w:val="003104D0"/>
    <w:pPr>
      <w:ind w:firstLine="210"/>
    </w:pPr>
  </w:style>
  <w:style w:type="character" w:customStyle="1" w:styleId="BodyTextFirstIndent2Char">
    <w:name w:val="Body Text First Indent 2 Char"/>
    <w:basedOn w:val="BodyTextIndentChar"/>
    <w:link w:val="BodyTextFirstIndent2"/>
    <w:rsid w:val="003104D0"/>
    <w:rPr>
      <w:sz w:val="22"/>
    </w:rPr>
  </w:style>
  <w:style w:type="paragraph" w:styleId="BodyText2">
    <w:name w:val="Body Text 2"/>
    <w:basedOn w:val="Normal"/>
    <w:link w:val="BodyText2Char"/>
    <w:rsid w:val="003104D0"/>
    <w:pPr>
      <w:spacing w:after="120" w:line="480" w:lineRule="auto"/>
    </w:pPr>
  </w:style>
  <w:style w:type="character" w:customStyle="1" w:styleId="BodyText2Char">
    <w:name w:val="Body Text 2 Char"/>
    <w:basedOn w:val="DefaultParagraphFont"/>
    <w:link w:val="BodyText2"/>
    <w:rsid w:val="003104D0"/>
    <w:rPr>
      <w:sz w:val="22"/>
    </w:rPr>
  </w:style>
  <w:style w:type="paragraph" w:styleId="BodyText3">
    <w:name w:val="Body Text 3"/>
    <w:basedOn w:val="Normal"/>
    <w:link w:val="BodyText3Char"/>
    <w:rsid w:val="003104D0"/>
    <w:pPr>
      <w:spacing w:after="120"/>
    </w:pPr>
    <w:rPr>
      <w:sz w:val="16"/>
      <w:szCs w:val="16"/>
    </w:rPr>
  </w:style>
  <w:style w:type="character" w:customStyle="1" w:styleId="BodyText3Char">
    <w:name w:val="Body Text 3 Char"/>
    <w:basedOn w:val="DefaultParagraphFont"/>
    <w:link w:val="BodyText3"/>
    <w:rsid w:val="003104D0"/>
    <w:rPr>
      <w:sz w:val="16"/>
      <w:szCs w:val="16"/>
    </w:rPr>
  </w:style>
  <w:style w:type="paragraph" w:styleId="BodyTextIndent2">
    <w:name w:val="Body Text Indent 2"/>
    <w:basedOn w:val="Normal"/>
    <w:link w:val="BodyTextIndent2Char"/>
    <w:rsid w:val="003104D0"/>
    <w:pPr>
      <w:spacing w:after="120" w:line="480" w:lineRule="auto"/>
      <w:ind w:left="283"/>
    </w:pPr>
  </w:style>
  <w:style w:type="character" w:customStyle="1" w:styleId="BodyTextIndent2Char">
    <w:name w:val="Body Text Indent 2 Char"/>
    <w:basedOn w:val="DefaultParagraphFont"/>
    <w:link w:val="BodyTextIndent2"/>
    <w:rsid w:val="003104D0"/>
    <w:rPr>
      <w:sz w:val="22"/>
    </w:rPr>
  </w:style>
  <w:style w:type="paragraph" w:styleId="BodyTextIndent3">
    <w:name w:val="Body Text Indent 3"/>
    <w:basedOn w:val="Normal"/>
    <w:link w:val="BodyTextIndent3Char"/>
    <w:rsid w:val="003104D0"/>
    <w:pPr>
      <w:spacing w:after="120"/>
      <w:ind w:left="283"/>
    </w:pPr>
    <w:rPr>
      <w:sz w:val="16"/>
      <w:szCs w:val="16"/>
    </w:rPr>
  </w:style>
  <w:style w:type="character" w:customStyle="1" w:styleId="BodyTextIndent3Char">
    <w:name w:val="Body Text Indent 3 Char"/>
    <w:basedOn w:val="DefaultParagraphFont"/>
    <w:link w:val="BodyTextIndent3"/>
    <w:rsid w:val="003104D0"/>
    <w:rPr>
      <w:sz w:val="16"/>
      <w:szCs w:val="16"/>
    </w:rPr>
  </w:style>
  <w:style w:type="paragraph" w:styleId="BlockText">
    <w:name w:val="Block Text"/>
    <w:basedOn w:val="Normal"/>
    <w:rsid w:val="003104D0"/>
    <w:pPr>
      <w:spacing w:after="120"/>
      <w:ind w:left="1440" w:right="1440"/>
    </w:pPr>
  </w:style>
  <w:style w:type="character" w:styleId="Hyperlink">
    <w:name w:val="Hyperlink"/>
    <w:basedOn w:val="DefaultParagraphFont"/>
    <w:rsid w:val="003104D0"/>
    <w:rPr>
      <w:color w:val="0000FF"/>
      <w:u w:val="single"/>
    </w:rPr>
  </w:style>
  <w:style w:type="character" w:styleId="FollowedHyperlink">
    <w:name w:val="FollowedHyperlink"/>
    <w:basedOn w:val="DefaultParagraphFont"/>
    <w:rsid w:val="003104D0"/>
    <w:rPr>
      <w:color w:val="800080"/>
      <w:u w:val="single"/>
    </w:rPr>
  </w:style>
  <w:style w:type="character" w:styleId="Strong">
    <w:name w:val="Strong"/>
    <w:basedOn w:val="DefaultParagraphFont"/>
    <w:qFormat/>
    <w:rsid w:val="003104D0"/>
    <w:rPr>
      <w:b/>
      <w:bCs/>
    </w:rPr>
  </w:style>
  <w:style w:type="character" w:styleId="Emphasis">
    <w:name w:val="Emphasis"/>
    <w:basedOn w:val="DefaultParagraphFont"/>
    <w:qFormat/>
    <w:rsid w:val="003104D0"/>
    <w:rPr>
      <w:i/>
      <w:iCs/>
    </w:rPr>
  </w:style>
  <w:style w:type="paragraph" w:styleId="DocumentMap">
    <w:name w:val="Document Map"/>
    <w:basedOn w:val="Normal"/>
    <w:link w:val="DocumentMapChar"/>
    <w:rsid w:val="003104D0"/>
    <w:pPr>
      <w:shd w:val="clear" w:color="auto" w:fill="000080"/>
    </w:pPr>
    <w:rPr>
      <w:rFonts w:ascii="Tahoma" w:hAnsi="Tahoma" w:cs="Tahoma"/>
    </w:rPr>
  </w:style>
  <w:style w:type="character" w:customStyle="1" w:styleId="DocumentMapChar">
    <w:name w:val="Document Map Char"/>
    <w:basedOn w:val="DefaultParagraphFont"/>
    <w:link w:val="DocumentMap"/>
    <w:rsid w:val="003104D0"/>
    <w:rPr>
      <w:rFonts w:ascii="Tahoma" w:hAnsi="Tahoma" w:cs="Tahoma"/>
      <w:sz w:val="22"/>
      <w:shd w:val="clear" w:color="auto" w:fill="000080"/>
    </w:rPr>
  </w:style>
  <w:style w:type="paragraph" w:styleId="PlainText">
    <w:name w:val="Plain Text"/>
    <w:basedOn w:val="Normal"/>
    <w:link w:val="PlainTextChar"/>
    <w:rsid w:val="003104D0"/>
    <w:rPr>
      <w:rFonts w:ascii="Courier New" w:hAnsi="Courier New" w:cs="Courier New"/>
      <w:sz w:val="20"/>
    </w:rPr>
  </w:style>
  <w:style w:type="character" w:customStyle="1" w:styleId="PlainTextChar">
    <w:name w:val="Plain Text Char"/>
    <w:basedOn w:val="DefaultParagraphFont"/>
    <w:link w:val="PlainText"/>
    <w:rsid w:val="003104D0"/>
    <w:rPr>
      <w:rFonts w:ascii="Courier New" w:hAnsi="Courier New" w:cs="Courier New"/>
    </w:rPr>
  </w:style>
  <w:style w:type="paragraph" w:styleId="E-mailSignature">
    <w:name w:val="E-mail Signature"/>
    <w:basedOn w:val="Normal"/>
    <w:link w:val="E-mailSignatureChar"/>
    <w:rsid w:val="003104D0"/>
  </w:style>
  <w:style w:type="character" w:customStyle="1" w:styleId="E-mailSignatureChar">
    <w:name w:val="E-mail Signature Char"/>
    <w:basedOn w:val="DefaultParagraphFont"/>
    <w:link w:val="E-mailSignature"/>
    <w:rsid w:val="003104D0"/>
    <w:rPr>
      <w:sz w:val="22"/>
    </w:rPr>
  </w:style>
  <w:style w:type="paragraph" w:styleId="NormalWeb">
    <w:name w:val="Normal (Web)"/>
    <w:basedOn w:val="Normal"/>
    <w:rsid w:val="003104D0"/>
  </w:style>
  <w:style w:type="character" w:styleId="HTMLAcronym">
    <w:name w:val="HTML Acronym"/>
    <w:basedOn w:val="DefaultParagraphFont"/>
    <w:rsid w:val="003104D0"/>
  </w:style>
  <w:style w:type="paragraph" w:styleId="HTMLAddress">
    <w:name w:val="HTML Address"/>
    <w:basedOn w:val="Normal"/>
    <w:link w:val="HTMLAddressChar"/>
    <w:rsid w:val="003104D0"/>
    <w:rPr>
      <w:i/>
      <w:iCs/>
    </w:rPr>
  </w:style>
  <w:style w:type="character" w:customStyle="1" w:styleId="HTMLAddressChar">
    <w:name w:val="HTML Address Char"/>
    <w:basedOn w:val="DefaultParagraphFont"/>
    <w:link w:val="HTMLAddress"/>
    <w:rsid w:val="003104D0"/>
    <w:rPr>
      <w:i/>
      <w:iCs/>
      <w:sz w:val="22"/>
    </w:rPr>
  </w:style>
  <w:style w:type="character" w:styleId="HTMLCite">
    <w:name w:val="HTML Cite"/>
    <w:basedOn w:val="DefaultParagraphFont"/>
    <w:rsid w:val="003104D0"/>
    <w:rPr>
      <w:i/>
      <w:iCs/>
    </w:rPr>
  </w:style>
  <w:style w:type="character" w:styleId="HTMLCode">
    <w:name w:val="HTML Code"/>
    <w:basedOn w:val="DefaultParagraphFont"/>
    <w:rsid w:val="003104D0"/>
    <w:rPr>
      <w:rFonts w:ascii="Courier New" w:hAnsi="Courier New" w:cs="Courier New"/>
      <w:sz w:val="20"/>
      <w:szCs w:val="20"/>
    </w:rPr>
  </w:style>
  <w:style w:type="character" w:styleId="HTMLDefinition">
    <w:name w:val="HTML Definition"/>
    <w:basedOn w:val="DefaultParagraphFont"/>
    <w:rsid w:val="003104D0"/>
    <w:rPr>
      <w:i/>
      <w:iCs/>
    </w:rPr>
  </w:style>
  <w:style w:type="character" w:styleId="HTMLKeyboard">
    <w:name w:val="HTML Keyboard"/>
    <w:basedOn w:val="DefaultParagraphFont"/>
    <w:rsid w:val="003104D0"/>
    <w:rPr>
      <w:rFonts w:ascii="Courier New" w:hAnsi="Courier New" w:cs="Courier New"/>
      <w:sz w:val="20"/>
      <w:szCs w:val="20"/>
    </w:rPr>
  </w:style>
  <w:style w:type="paragraph" w:styleId="HTMLPreformatted">
    <w:name w:val="HTML Preformatted"/>
    <w:basedOn w:val="Normal"/>
    <w:link w:val="HTMLPreformattedChar"/>
    <w:rsid w:val="003104D0"/>
    <w:rPr>
      <w:rFonts w:ascii="Courier New" w:hAnsi="Courier New" w:cs="Courier New"/>
      <w:sz w:val="20"/>
    </w:rPr>
  </w:style>
  <w:style w:type="character" w:customStyle="1" w:styleId="HTMLPreformattedChar">
    <w:name w:val="HTML Preformatted Char"/>
    <w:basedOn w:val="DefaultParagraphFont"/>
    <w:link w:val="HTMLPreformatted"/>
    <w:rsid w:val="003104D0"/>
    <w:rPr>
      <w:rFonts w:ascii="Courier New" w:hAnsi="Courier New" w:cs="Courier New"/>
    </w:rPr>
  </w:style>
  <w:style w:type="character" w:styleId="HTMLSample">
    <w:name w:val="HTML Sample"/>
    <w:basedOn w:val="DefaultParagraphFont"/>
    <w:rsid w:val="003104D0"/>
    <w:rPr>
      <w:rFonts w:ascii="Courier New" w:hAnsi="Courier New" w:cs="Courier New"/>
    </w:rPr>
  </w:style>
  <w:style w:type="character" w:styleId="HTMLTypewriter">
    <w:name w:val="HTML Typewriter"/>
    <w:basedOn w:val="DefaultParagraphFont"/>
    <w:rsid w:val="003104D0"/>
    <w:rPr>
      <w:rFonts w:ascii="Courier New" w:hAnsi="Courier New" w:cs="Courier New"/>
      <w:sz w:val="20"/>
      <w:szCs w:val="20"/>
    </w:rPr>
  </w:style>
  <w:style w:type="character" w:styleId="HTMLVariable">
    <w:name w:val="HTML Variable"/>
    <w:basedOn w:val="DefaultParagraphFont"/>
    <w:rsid w:val="003104D0"/>
    <w:rPr>
      <w:i/>
      <w:iCs/>
    </w:rPr>
  </w:style>
  <w:style w:type="paragraph" w:styleId="CommentSubject">
    <w:name w:val="annotation subject"/>
    <w:basedOn w:val="CommentText"/>
    <w:next w:val="CommentText"/>
    <w:link w:val="CommentSubjectChar"/>
    <w:rsid w:val="003104D0"/>
    <w:rPr>
      <w:b/>
      <w:bCs/>
    </w:rPr>
  </w:style>
  <w:style w:type="character" w:customStyle="1" w:styleId="CommentSubjectChar">
    <w:name w:val="Comment Subject Char"/>
    <w:basedOn w:val="CommentTextChar"/>
    <w:link w:val="CommentSubject"/>
    <w:rsid w:val="003104D0"/>
    <w:rPr>
      <w:b/>
      <w:bCs/>
    </w:rPr>
  </w:style>
  <w:style w:type="numbering" w:styleId="1ai">
    <w:name w:val="Outline List 1"/>
    <w:basedOn w:val="NoList"/>
    <w:rsid w:val="003104D0"/>
    <w:pPr>
      <w:numPr>
        <w:numId w:val="14"/>
      </w:numPr>
    </w:pPr>
  </w:style>
  <w:style w:type="numbering" w:styleId="111111">
    <w:name w:val="Outline List 2"/>
    <w:basedOn w:val="NoList"/>
    <w:rsid w:val="003104D0"/>
    <w:pPr>
      <w:numPr>
        <w:numId w:val="15"/>
      </w:numPr>
    </w:pPr>
  </w:style>
  <w:style w:type="numbering" w:styleId="ArticleSection">
    <w:name w:val="Outline List 3"/>
    <w:basedOn w:val="NoList"/>
    <w:rsid w:val="003104D0"/>
    <w:pPr>
      <w:numPr>
        <w:numId w:val="17"/>
      </w:numPr>
    </w:pPr>
  </w:style>
  <w:style w:type="table" w:styleId="TableSimple1">
    <w:name w:val="Table Simple 1"/>
    <w:basedOn w:val="TableNormal"/>
    <w:rsid w:val="003104D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104D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104D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104D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104D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104D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104D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104D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104D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104D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104D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104D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104D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104D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104D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104D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104D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104D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104D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104D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104D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104D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104D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104D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104D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104D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104D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104D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104D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104D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104D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104D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104D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104D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104D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104D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104D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104D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104D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104D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104D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104D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104D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3104D0"/>
    <w:rPr>
      <w:rFonts w:eastAsia="Times New Roman" w:cs="Times New Roman"/>
      <w:b/>
      <w:kern w:val="28"/>
      <w:sz w:val="24"/>
      <w:lang w:eastAsia="en-AU"/>
    </w:rPr>
  </w:style>
  <w:style w:type="paragraph" w:customStyle="1" w:styleId="ETAsubitem">
    <w:name w:val="ETA(subitem)"/>
    <w:basedOn w:val="OPCParaBase"/>
    <w:rsid w:val="003104D0"/>
    <w:pPr>
      <w:tabs>
        <w:tab w:val="right" w:pos="340"/>
      </w:tabs>
      <w:spacing w:before="60" w:line="240" w:lineRule="auto"/>
      <w:ind w:left="454" w:hanging="454"/>
    </w:pPr>
    <w:rPr>
      <w:sz w:val="20"/>
    </w:rPr>
  </w:style>
  <w:style w:type="paragraph" w:customStyle="1" w:styleId="ETApara">
    <w:name w:val="ETA(para)"/>
    <w:basedOn w:val="OPCParaBase"/>
    <w:rsid w:val="003104D0"/>
    <w:pPr>
      <w:tabs>
        <w:tab w:val="right" w:pos="754"/>
      </w:tabs>
      <w:spacing w:before="60" w:line="240" w:lineRule="auto"/>
      <w:ind w:left="828" w:hanging="828"/>
    </w:pPr>
    <w:rPr>
      <w:sz w:val="20"/>
    </w:rPr>
  </w:style>
  <w:style w:type="paragraph" w:customStyle="1" w:styleId="ETAsubpara">
    <w:name w:val="ETA(subpara)"/>
    <w:basedOn w:val="OPCParaBase"/>
    <w:rsid w:val="003104D0"/>
    <w:pPr>
      <w:tabs>
        <w:tab w:val="right" w:pos="1083"/>
      </w:tabs>
      <w:spacing w:before="60" w:line="240" w:lineRule="auto"/>
      <w:ind w:left="1191" w:hanging="1191"/>
    </w:pPr>
    <w:rPr>
      <w:sz w:val="20"/>
    </w:rPr>
  </w:style>
  <w:style w:type="paragraph" w:customStyle="1" w:styleId="ETAsub-subpara">
    <w:name w:val="ETA(sub-subpara)"/>
    <w:basedOn w:val="OPCParaBase"/>
    <w:rsid w:val="003104D0"/>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3104D0"/>
  </w:style>
  <w:style w:type="numbering" w:customStyle="1" w:styleId="OPCBodyList">
    <w:name w:val="OPCBodyList"/>
    <w:uiPriority w:val="99"/>
    <w:rsid w:val="0001201E"/>
    <w:pPr>
      <w:numPr>
        <w:numId w:val="29"/>
      </w:numPr>
    </w:pPr>
  </w:style>
  <w:style w:type="character" w:customStyle="1" w:styleId="OPCParaBaseChar">
    <w:name w:val="OPCParaBase Char"/>
    <w:link w:val="OPCParaBase"/>
    <w:rsid w:val="0001201E"/>
    <w:rPr>
      <w:rFonts w:eastAsia="Times New Roman" w:cs="Times New Roman"/>
      <w:sz w:val="22"/>
      <w:lang w:eastAsia="en-AU"/>
    </w:rPr>
  </w:style>
  <w:style w:type="paragraph" w:styleId="Revision">
    <w:name w:val="Revision"/>
    <w:hidden/>
    <w:uiPriority w:val="99"/>
    <w:semiHidden/>
    <w:rsid w:val="0001201E"/>
    <w:rPr>
      <w:rFonts w:eastAsia="Calibri" w:cs="Times New Roman"/>
      <w:sz w:val="22"/>
    </w:rPr>
  </w:style>
  <w:style w:type="character" w:customStyle="1" w:styleId="TableHeadingChar">
    <w:name w:val="TableHeading Char"/>
    <w:aliases w:val="th Char"/>
    <w:link w:val="TableHeading"/>
    <w:rsid w:val="0001201E"/>
    <w:rPr>
      <w:rFonts w:eastAsia="Times New Roman" w:cs="Times New Roman"/>
      <w:b/>
      <w:lang w:eastAsia="en-AU"/>
    </w:rPr>
  </w:style>
  <w:style w:type="character" w:customStyle="1" w:styleId="paragraphChar">
    <w:name w:val="paragraph Char"/>
    <w:aliases w:val="a Char"/>
    <w:link w:val="paragraph"/>
    <w:rsid w:val="0001201E"/>
    <w:rPr>
      <w:rFonts w:eastAsia="Times New Roman" w:cs="Times New Roman"/>
      <w:sz w:val="22"/>
      <w:lang w:eastAsia="en-AU"/>
    </w:rPr>
  </w:style>
  <w:style w:type="paragraph" w:styleId="NoteHeading">
    <w:name w:val="Note Heading"/>
    <w:basedOn w:val="Normal"/>
    <w:next w:val="Normal"/>
    <w:link w:val="NoteHeadingChar"/>
    <w:uiPriority w:val="99"/>
    <w:semiHidden/>
    <w:unhideWhenUsed/>
    <w:rsid w:val="0001201E"/>
    <w:pPr>
      <w:spacing w:line="240" w:lineRule="auto"/>
    </w:pPr>
    <w:rPr>
      <w:rFonts w:eastAsia="Calibri" w:cs="Times New Roman"/>
    </w:rPr>
  </w:style>
  <w:style w:type="character" w:customStyle="1" w:styleId="NoteHeadingChar">
    <w:name w:val="Note Heading Char"/>
    <w:basedOn w:val="DefaultParagraphFont"/>
    <w:link w:val="NoteHeading"/>
    <w:uiPriority w:val="99"/>
    <w:semiHidden/>
    <w:rsid w:val="0001201E"/>
    <w:rPr>
      <w:rFonts w:eastAsia="Calibri" w:cs="Times New Roman"/>
      <w:sz w:val="22"/>
    </w:rPr>
  </w:style>
  <w:style w:type="paragraph" w:styleId="ListParagraph">
    <w:name w:val="List Paragraph"/>
    <w:basedOn w:val="Normal"/>
    <w:uiPriority w:val="34"/>
    <w:qFormat/>
    <w:rsid w:val="0006233F"/>
    <w:pPr>
      <w:spacing w:line="240" w:lineRule="auto"/>
      <w:ind w:left="720"/>
    </w:pPr>
    <w:rPr>
      <w:rFonts w:ascii="Calibri" w:eastAsia="Times New Roman" w:hAnsi="Calibri" w:cs="Times New Roman"/>
      <w:sz w:val="20"/>
      <w:lang w:eastAsia="en-AU"/>
    </w:rPr>
  </w:style>
  <w:style w:type="character" w:customStyle="1" w:styleId="TabletextChar">
    <w:name w:val="Tabletext Char"/>
    <w:aliases w:val="tt Char"/>
    <w:basedOn w:val="DefaultParagraphFont"/>
    <w:link w:val="Tabletext"/>
    <w:rsid w:val="005B63A2"/>
    <w:rPr>
      <w:rFonts w:eastAsia="Times New Roman" w:cs="Times New Roman"/>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104D0"/>
    <w:pPr>
      <w:spacing w:line="260" w:lineRule="atLeast"/>
    </w:pPr>
    <w:rPr>
      <w:sz w:val="22"/>
    </w:rPr>
  </w:style>
  <w:style w:type="paragraph" w:styleId="Heading1">
    <w:name w:val="heading 1"/>
    <w:basedOn w:val="Normal"/>
    <w:next w:val="Normal"/>
    <w:link w:val="Heading1Char"/>
    <w:uiPriority w:val="9"/>
    <w:qFormat/>
    <w:rsid w:val="003104D0"/>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104D0"/>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104D0"/>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104D0"/>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3104D0"/>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104D0"/>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3104D0"/>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3104D0"/>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3104D0"/>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104D0"/>
  </w:style>
  <w:style w:type="paragraph" w:customStyle="1" w:styleId="OPCParaBase">
    <w:name w:val="OPCParaBase"/>
    <w:link w:val="OPCParaBaseChar"/>
    <w:qFormat/>
    <w:rsid w:val="003104D0"/>
    <w:pPr>
      <w:spacing w:line="260" w:lineRule="atLeast"/>
    </w:pPr>
    <w:rPr>
      <w:rFonts w:eastAsia="Times New Roman" w:cs="Times New Roman"/>
      <w:sz w:val="22"/>
      <w:lang w:eastAsia="en-AU"/>
    </w:rPr>
  </w:style>
  <w:style w:type="paragraph" w:customStyle="1" w:styleId="ShortT">
    <w:name w:val="ShortT"/>
    <w:basedOn w:val="OPCParaBase"/>
    <w:next w:val="Normal"/>
    <w:qFormat/>
    <w:rsid w:val="003104D0"/>
    <w:pPr>
      <w:spacing w:line="240" w:lineRule="auto"/>
    </w:pPr>
    <w:rPr>
      <w:b/>
      <w:sz w:val="40"/>
    </w:rPr>
  </w:style>
  <w:style w:type="paragraph" w:customStyle="1" w:styleId="ActHead1">
    <w:name w:val="ActHead 1"/>
    <w:aliases w:val="c"/>
    <w:basedOn w:val="OPCParaBase"/>
    <w:next w:val="Normal"/>
    <w:qFormat/>
    <w:rsid w:val="003104D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104D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104D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104D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104D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104D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104D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104D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104D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104D0"/>
  </w:style>
  <w:style w:type="paragraph" w:customStyle="1" w:styleId="Blocks">
    <w:name w:val="Blocks"/>
    <w:aliases w:val="bb"/>
    <w:basedOn w:val="OPCParaBase"/>
    <w:qFormat/>
    <w:rsid w:val="003104D0"/>
    <w:pPr>
      <w:spacing w:line="240" w:lineRule="auto"/>
    </w:pPr>
    <w:rPr>
      <w:sz w:val="24"/>
    </w:rPr>
  </w:style>
  <w:style w:type="paragraph" w:customStyle="1" w:styleId="BoxText">
    <w:name w:val="BoxText"/>
    <w:aliases w:val="bt"/>
    <w:basedOn w:val="OPCParaBase"/>
    <w:qFormat/>
    <w:rsid w:val="003104D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104D0"/>
    <w:rPr>
      <w:b/>
    </w:rPr>
  </w:style>
  <w:style w:type="paragraph" w:customStyle="1" w:styleId="BoxHeadItalic">
    <w:name w:val="BoxHeadItalic"/>
    <w:aliases w:val="bhi"/>
    <w:basedOn w:val="BoxText"/>
    <w:next w:val="BoxStep"/>
    <w:qFormat/>
    <w:rsid w:val="003104D0"/>
    <w:rPr>
      <w:i/>
    </w:rPr>
  </w:style>
  <w:style w:type="paragraph" w:customStyle="1" w:styleId="BoxList">
    <w:name w:val="BoxList"/>
    <w:aliases w:val="bl"/>
    <w:basedOn w:val="BoxText"/>
    <w:qFormat/>
    <w:rsid w:val="003104D0"/>
    <w:pPr>
      <w:ind w:left="1559" w:hanging="425"/>
    </w:pPr>
  </w:style>
  <w:style w:type="paragraph" w:customStyle="1" w:styleId="BoxNote">
    <w:name w:val="BoxNote"/>
    <w:aliases w:val="bn"/>
    <w:basedOn w:val="BoxText"/>
    <w:qFormat/>
    <w:rsid w:val="003104D0"/>
    <w:pPr>
      <w:tabs>
        <w:tab w:val="left" w:pos="1985"/>
      </w:tabs>
      <w:spacing w:before="122" w:line="198" w:lineRule="exact"/>
      <w:ind w:left="2948" w:hanging="1814"/>
    </w:pPr>
    <w:rPr>
      <w:sz w:val="18"/>
    </w:rPr>
  </w:style>
  <w:style w:type="paragraph" w:customStyle="1" w:styleId="BoxPara">
    <w:name w:val="BoxPara"/>
    <w:aliases w:val="bp"/>
    <w:basedOn w:val="BoxText"/>
    <w:qFormat/>
    <w:rsid w:val="003104D0"/>
    <w:pPr>
      <w:tabs>
        <w:tab w:val="right" w:pos="2268"/>
      </w:tabs>
      <w:ind w:left="2552" w:hanging="1418"/>
    </w:pPr>
  </w:style>
  <w:style w:type="paragraph" w:customStyle="1" w:styleId="BoxStep">
    <w:name w:val="BoxStep"/>
    <w:aliases w:val="bs"/>
    <w:basedOn w:val="BoxText"/>
    <w:qFormat/>
    <w:rsid w:val="003104D0"/>
    <w:pPr>
      <w:ind w:left="1985" w:hanging="851"/>
    </w:pPr>
  </w:style>
  <w:style w:type="character" w:customStyle="1" w:styleId="CharAmPartNo">
    <w:name w:val="CharAmPartNo"/>
    <w:basedOn w:val="OPCCharBase"/>
    <w:qFormat/>
    <w:rsid w:val="003104D0"/>
  </w:style>
  <w:style w:type="character" w:customStyle="1" w:styleId="CharAmPartText">
    <w:name w:val="CharAmPartText"/>
    <w:basedOn w:val="OPCCharBase"/>
    <w:qFormat/>
    <w:rsid w:val="003104D0"/>
  </w:style>
  <w:style w:type="character" w:customStyle="1" w:styleId="CharAmSchNo">
    <w:name w:val="CharAmSchNo"/>
    <w:basedOn w:val="OPCCharBase"/>
    <w:qFormat/>
    <w:rsid w:val="003104D0"/>
  </w:style>
  <w:style w:type="character" w:customStyle="1" w:styleId="CharAmSchText">
    <w:name w:val="CharAmSchText"/>
    <w:basedOn w:val="OPCCharBase"/>
    <w:qFormat/>
    <w:rsid w:val="003104D0"/>
  </w:style>
  <w:style w:type="character" w:customStyle="1" w:styleId="CharBoldItalic">
    <w:name w:val="CharBoldItalic"/>
    <w:basedOn w:val="OPCCharBase"/>
    <w:uiPriority w:val="1"/>
    <w:qFormat/>
    <w:rsid w:val="003104D0"/>
    <w:rPr>
      <w:b/>
      <w:i/>
    </w:rPr>
  </w:style>
  <w:style w:type="character" w:customStyle="1" w:styleId="CharChapNo">
    <w:name w:val="CharChapNo"/>
    <w:basedOn w:val="OPCCharBase"/>
    <w:uiPriority w:val="1"/>
    <w:qFormat/>
    <w:rsid w:val="003104D0"/>
  </w:style>
  <w:style w:type="character" w:customStyle="1" w:styleId="CharChapText">
    <w:name w:val="CharChapText"/>
    <w:basedOn w:val="OPCCharBase"/>
    <w:uiPriority w:val="1"/>
    <w:qFormat/>
    <w:rsid w:val="003104D0"/>
  </w:style>
  <w:style w:type="character" w:customStyle="1" w:styleId="CharDivNo">
    <w:name w:val="CharDivNo"/>
    <w:basedOn w:val="OPCCharBase"/>
    <w:uiPriority w:val="1"/>
    <w:qFormat/>
    <w:rsid w:val="003104D0"/>
  </w:style>
  <w:style w:type="character" w:customStyle="1" w:styleId="CharDivText">
    <w:name w:val="CharDivText"/>
    <w:basedOn w:val="OPCCharBase"/>
    <w:uiPriority w:val="1"/>
    <w:qFormat/>
    <w:rsid w:val="003104D0"/>
  </w:style>
  <w:style w:type="character" w:customStyle="1" w:styleId="CharItalic">
    <w:name w:val="CharItalic"/>
    <w:basedOn w:val="OPCCharBase"/>
    <w:uiPriority w:val="1"/>
    <w:qFormat/>
    <w:rsid w:val="003104D0"/>
    <w:rPr>
      <w:i/>
    </w:rPr>
  </w:style>
  <w:style w:type="character" w:customStyle="1" w:styleId="CharPartNo">
    <w:name w:val="CharPartNo"/>
    <w:basedOn w:val="OPCCharBase"/>
    <w:uiPriority w:val="1"/>
    <w:qFormat/>
    <w:rsid w:val="003104D0"/>
  </w:style>
  <w:style w:type="character" w:customStyle="1" w:styleId="CharPartText">
    <w:name w:val="CharPartText"/>
    <w:basedOn w:val="OPCCharBase"/>
    <w:uiPriority w:val="1"/>
    <w:qFormat/>
    <w:rsid w:val="003104D0"/>
  </w:style>
  <w:style w:type="character" w:customStyle="1" w:styleId="CharSectno">
    <w:name w:val="CharSectno"/>
    <w:basedOn w:val="OPCCharBase"/>
    <w:qFormat/>
    <w:rsid w:val="003104D0"/>
  </w:style>
  <w:style w:type="character" w:customStyle="1" w:styleId="CharSubdNo">
    <w:name w:val="CharSubdNo"/>
    <w:basedOn w:val="OPCCharBase"/>
    <w:uiPriority w:val="1"/>
    <w:qFormat/>
    <w:rsid w:val="003104D0"/>
  </w:style>
  <w:style w:type="character" w:customStyle="1" w:styleId="CharSubdText">
    <w:name w:val="CharSubdText"/>
    <w:basedOn w:val="OPCCharBase"/>
    <w:uiPriority w:val="1"/>
    <w:qFormat/>
    <w:rsid w:val="003104D0"/>
  </w:style>
  <w:style w:type="paragraph" w:customStyle="1" w:styleId="CTA--">
    <w:name w:val="CTA --"/>
    <w:basedOn w:val="OPCParaBase"/>
    <w:next w:val="Normal"/>
    <w:rsid w:val="003104D0"/>
    <w:pPr>
      <w:spacing w:before="60" w:line="240" w:lineRule="atLeast"/>
      <w:ind w:left="142" w:hanging="142"/>
    </w:pPr>
    <w:rPr>
      <w:sz w:val="20"/>
    </w:rPr>
  </w:style>
  <w:style w:type="paragraph" w:customStyle="1" w:styleId="CTA-">
    <w:name w:val="CTA -"/>
    <w:basedOn w:val="OPCParaBase"/>
    <w:rsid w:val="003104D0"/>
    <w:pPr>
      <w:spacing w:before="60" w:line="240" w:lineRule="atLeast"/>
      <w:ind w:left="85" w:hanging="85"/>
    </w:pPr>
    <w:rPr>
      <w:sz w:val="20"/>
    </w:rPr>
  </w:style>
  <w:style w:type="paragraph" w:customStyle="1" w:styleId="CTA---">
    <w:name w:val="CTA ---"/>
    <w:basedOn w:val="OPCParaBase"/>
    <w:next w:val="Normal"/>
    <w:rsid w:val="003104D0"/>
    <w:pPr>
      <w:spacing w:before="60" w:line="240" w:lineRule="atLeast"/>
      <w:ind w:left="198" w:hanging="198"/>
    </w:pPr>
    <w:rPr>
      <w:sz w:val="20"/>
    </w:rPr>
  </w:style>
  <w:style w:type="paragraph" w:customStyle="1" w:styleId="CTA----">
    <w:name w:val="CTA ----"/>
    <w:basedOn w:val="OPCParaBase"/>
    <w:next w:val="Normal"/>
    <w:rsid w:val="003104D0"/>
    <w:pPr>
      <w:spacing w:before="60" w:line="240" w:lineRule="atLeast"/>
      <w:ind w:left="255" w:hanging="255"/>
    </w:pPr>
    <w:rPr>
      <w:sz w:val="20"/>
    </w:rPr>
  </w:style>
  <w:style w:type="paragraph" w:customStyle="1" w:styleId="CTA1a">
    <w:name w:val="CTA 1(a)"/>
    <w:basedOn w:val="OPCParaBase"/>
    <w:rsid w:val="003104D0"/>
    <w:pPr>
      <w:tabs>
        <w:tab w:val="right" w:pos="414"/>
      </w:tabs>
      <w:spacing w:before="40" w:line="240" w:lineRule="atLeast"/>
      <w:ind w:left="675" w:hanging="675"/>
    </w:pPr>
    <w:rPr>
      <w:sz w:val="20"/>
    </w:rPr>
  </w:style>
  <w:style w:type="paragraph" w:customStyle="1" w:styleId="CTA1ai">
    <w:name w:val="CTA 1(a)(i)"/>
    <w:basedOn w:val="OPCParaBase"/>
    <w:rsid w:val="003104D0"/>
    <w:pPr>
      <w:tabs>
        <w:tab w:val="right" w:pos="1004"/>
      </w:tabs>
      <w:spacing w:before="40" w:line="240" w:lineRule="atLeast"/>
      <w:ind w:left="1253" w:hanging="1253"/>
    </w:pPr>
    <w:rPr>
      <w:sz w:val="20"/>
    </w:rPr>
  </w:style>
  <w:style w:type="paragraph" w:customStyle="1" w:styleId="CTA2a">
    <w:name w:val="CTA 2(a)"/>
    <w:basedOn w:val="OPCParaBase"/>
    <w:rsid w:val="003104D0"/>
    <w:pPr>
      <w:tabs>
        <w:tab w:val="right" w:pos="482"/>
      </w:tabs>
      <w:spacing w:before="40" w:line="240" w:lineRule="atLeast"/>
      <w:ind w:left="748" w:hanging="748"/>
    </w:pPr>
    <w:rPr>
      <w:sz w:val="20"/>
    </w:rPr>
  </w:style>
  <w:style w:type="paragraph" w:customStyle="1" w:styleId="CTA2ai">
    <w:name w:val="CTA 2(a)(i)"/>
    <w:basedOn w:val="OPCParaBase"/>
    <w:rsid w:val="003104D0"/>
    <w:pPr>
      <w:tabs>
        <w:tab w:val="right" w:pos="1089"/>
      </w:tabs>
      <w:spacing w:before="40" w:line="240" w:lineRule="atLeast"/>
      <w:ind w:left="1327" w:hanging="1327"/>
    </w:pPr>
    <w:rPr>
      <w:sz w:val="20"/>
    </w:rPr>
  </w:style>
  <w:style w:type="paragraph" w:customStyle="1" w:styleId="CTA3a">
    <w:name w:val="CTA 3(a)"/>
    <w:basedOn w:val="OPCParaBase"/>
    <w:rsid w:val="003104D0"/>
    <w:pPr>
      <w:tabs>
        <w:tab w:val="right" w:pos="556"/>
      </w:tabs>
      <w:spacing w:before="40" w:line="240" w:lineRule="atLeast"/>
      <w:ind w:left="805" w:hanging="805"/>
    </w:pPr>
    <w:rPr>
      <w:sz w:val="20"/>
    </w:rPr>
  </w:style>
  <w:style w:type="paragraph" w:customStyle="1" w:styleId="CTA3ai">
    <w:name w:val="CTA 3(a)(i)"/>
    <w:basedOn w:val="OPCParaBase"/>
    <w:rsid w:val="003104D0"/>
    <w:pPr>
      <w:tabs>
        <w:tab w:val="right" w:pos="1140"/>
      </w:tabs>
      <w:spacing w:before="40" w:line="240" w:lineRule="atLeast"/>
      <w:ind w:left="1361" w:hanging="1361"/>
    </w:pPr>
    <w:rPr>
      <w:sz w:val="20"/>
    </w:rPr>
  </w:style>
  <w:style w:type="paragraph" w:customStyle="1" w:styleId="CTA4a">
    <w:name w:val="CTA 4(a)"/>
    <w:basedOn w:val="OPCParaBase"/>
    <w:rsid w:val="003104D0"/>
    <w:pPr>
      <w:tabs>
        <w:tab w:val="right" w:pos="624"/>
      </w:tabs>
      <w:spacing w:before="40" w:line="240" w:lineRule="atLeast"/>
      <w:ind w:left="873" w:hanging="873"/>
    </w:pPr>
    <w:rPr>
      <w:sz w:val="20"/>
    </w:rPr>
  </w:style>
  <w:style w:type="paragraph" w:customStyle="1" w:styleId="CTA4ai">
    <w:name w:val="CTA 4(a)(i)"/>
    <w:basedOn w:val="OPCParaBase"/>
    <w:rsid w:val="003104D0"/>
    <w:pPr>
      <w:tabs>
        <w:tab w:val="right" w:pos="1213"/>
      </w:tabs>
      <w:spacing w:before="40" w:line="240" w:lineRule="atLeast"/>
      <w:ind w:left="1452" w:hanging="1452"/>
    </w:pPr>
    <w:rPr>
      <w:sz w:val="20"/>
    </w:rPr>
  </w:style>
  <w:style w:type="paragraph" w:customStyle="1" w:styleId="CTACAPS">
    <w:name w:val="CTA CAPS"/>
    <w:basedOn w:val="OPCParaBase"/>
    <w:rsid w:val="003104D0"/>
    <w:pPr>
      <w:spacing w:before="60" w:line="240" w:lineRule="atLeast"/>
    </w:pPr>
    <w:rPr>
      <w:sz w:val="20"/>
    </w:rPr>
  </w:style>
  <w:style w:type="paragraph" w:customStyle="1" w:styleId="CTAright">
    <w:name w:val="CTA right"/>
    <w:basedOn w:val="OPCParaBase"/>
    <w:rsid w:val="003104D0"/>
    <w:pPr>
      <w:spacing w:before="60" w:line="240" w:lineRule="auto"/>
      <w:jc w:val="right"/>
    </w:pPr>
    <w:rPr>
      <w:sz w:val="20"/>
    </w:rPr>
  </w:style>
  <w:style w:type="paragraph" w:customStyle="1" w:styleId="subsection">
    <w:name w:val="subsection"/>
    <w:aliases w:val="ss,Subsection"/>
    <w:basedOn w:val="OPCParaBase"/>
    <w:link w:val="subsectionChar"/>
    <w:rsid w:val="003104D0"/>
    <w:pPr>
      <w:tabs>
        <w:tab w:val="right" w:pos="1021"/>
      </w:tabs>
      <w:spacing w:before="180" w:line="240" w:lineRule="auto"/>
      <w:ind w:left="1134" w:hanging="1134"/>
    </w:pPr>
  </w:style>
  <w:style w:type="paragraph" w:customStyle="1" w:styleId="Definition">
    <w:name w:val="Definition"/>
    <w:aliases w:val="dd"/>
    <w:basedOn w:val="OPCParaBase"/>
    <w:rsid w:val="003104D0"/>
    <w:pPr>
      <w:spacing w:before="180" w:line="240" w:lineRule="auto"/>
      <w:ind w:left="1134"/>
    </w:pPr>
  </w:style>
  <w:style w:type="paragraph" w:customStyle="1" w:styleId="EndNotespara">
    <w:name w:val="EndNotes(para)"/>
    <w:aliases w:val="eta"/>
    <w:basedOn w:val="OPCParaBase"/>
    <w:next w:val="EndNotessubpara"/>
    <w:rsid w:val="003104D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104D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104D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104D0"/>
    <w:pPr>
      <w:tabs>
        <w:tab w:val="right" w:pos="1412"/>
      </w:tabs>
      <w:spacing w:before="60" w:line="240" w:lineRule="auto"/>
      <w:ind w:left="1525" w:hanging="1525"/>
    </w:pPr>
    <w:rPr>
      <w:sz w:val="20"/>
    </w:rPr>
  </w:style>
  <w:style w:type="paragraph" w:customStyle="1" w:styleId="Formula">
    <w:name w:val="Formula"/>
    <w:basedOn w:val="OPCParaBase"/>
    <w:rsid w:val="003104D0"/>
    <w:pPr>
      <w:spacing w:line="240" w:lineRule="auto"/>
      <w:ind w:left="1134"/>
    </w:pPr>
    <w:rPr>
      <w:sz w:val="20"/>
    </w:rPr>
  </w:style>
  <w:style w:type="paragraph" w:styleId="Header">
    <w:name w:val="header"/>
    <w:basedOn w:val="OPCParaBase"/>
    <w:link w:val="HeaderChar"/>
    <w:unhideWhenUsed/>
    <w:rsid w:val="003104D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104D0"/>
    <w:rPr>
      <w:rFonts w:eastAsia="Times New Roman" w:cs="Times New Roman"/>
      <w:sz w:val="16"/>
      <w:lang w:eastAsia="en-AU"/>
    </w:rPr>
  </w:style>
  <w:style w:type="paragraph" w:customStyle="1" w:styleId="House">
    <w:name w:val="House"/>
    <w:basedOn w:val="OPCParaBase"/>
    <w:rsid w:val="003104D0"/>
    <w:pPr>
      <w:spacing w:line="240" w:lineRule="auto"/>
    </w:pPr>
    <w:rPr>
      <w:sz w:val="28"/>
    </w:rPr>
  </w:style>
  <w:style w:type="paragraph" w:customStyle="1" w:styleId="Item">
    <w:name w:val="Item"/>
    <w:aliases w:val="i"/>
    <w:basedOn w:val="OPCParaBase"/>
    <w:next w:val="ItemHead"/>
    <w:rsid w:val="003104D0"/>
    <w:pPr>
      <w:keepLines/>
      <w:spacing w:before="80" w:line="240" w:lineRule="auto"/>
      <w:ind w:left="709"/>
    </w:pPr>
  </w:style>
  <w:style w:type="paragraph" w:customStyle="1" w:styleId="ItemHead">
    <w:name w:val="ItemHead"/>
    <w:aliases w:val="ih"/>
    <w:basedOn w:val="OPCParaBase"/>
    <w:next w:val="Item"/>
    <w:rsid w:val="003104D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104D0"/>
    <w:pPr>
      <w:spacing w:line="240" w:lineRule="auto"/>
    </w:pPr>
    <w:rPr>
      <w:b/>
      <w:sz w:val="32"/>
    </w:rPr>
  </w:style>
  <w:style w:type="paragraph" w:customStyle="1" w:styleId="notedraft">
    <w:name w:val="note(draft)"/>
    <w:aliases w:val="nd"/>
    <w:basedOn w:val="OPCParaBase"/>
    <w:rsid w:val="003104D0"/>
    <w:pPr>
      <w:spacing w:before="240" w:line="240" w:lineRule="auto"/>
      <w:ind w:left="284" w:hanging="284"/>
    </w:pPr>
    <w:rPr>
      <w:i/>
      <w:sz w:val="24"/>
    </w:rPr>
  </w:style>
  <w:style w:type="paragraph" w:customStyle="1" w:styleId="notemargin">
    <w:name w:val="note(margin)"/>
    <w:aliases w:val="nm"/>
    <w:basedOn w:val="OPCParaBase"/>
    <w:rsid w:val="003104D0"/>
    <w:pPr>
      <w:tabs>
        <w:tab w:val="left" w:pos="709"/>
      </w:tabs>
      <w:spacing w:before="122" w:line="198" w:lineRule="exact"/>
      <w:ind w:left="709" w:hanging="709"/>
    </w:pPr>
    <w:rPr>
      <w:sz w:val="18"/>
    </w:rPr>
  </w:style>
  <w:style w:type="paragraph" w:customStyle="1" w:styleId="noteToPara">
    <w:name w:val="noteToPara"/>
    <w:aliases w:val="ntp"/>
    <w:basedOn w:val="OPCParaBase"/>
    <w:rsid w:val="003104D0"/>
    <w:pPr>
      <w:spacing w:before="122" w:line="198" w:lineRule="exact"/>
      <w:ind w:left="2353" w:hanging="709"/>
    </w:pPr>
    <w:rPr>
      <w:sz w:val="18"/>
    </w:rPr>
  </w:style>
  <w:style w:type="paragraph" w:customStyle="1" w:styleId="noteParlAmend">
    <w:name w:val="note(ParlAmend)"/>
    <w:aliases w:val="npp"/>
    <w:basedOn w:val="OPCParaBase"/>
    <w:next w:val="ParlAmend"/>
    <w:rsid w:val="003104D0"/>
    <w:pPr>
      <w:spacing w:line="240" w:lineRule="auto"/>
      <w:jc w:val="right"/>
    </w:pPr>
    <w:rPr>
      <w:rFonts w:ascii="Arial" w:hAnsi="Arial"/>
      <w:b/>
      <w:i/>
    </w:rPr>
  </w:style>
  <w:style w:type="paragraph" w:customStyle="1" w:styleId="Page1">
    <w:name w:val="Page1"/>
    <w:basedOn w:val="OPCParaBase"/>
    <w:rsid w:val="003104D0"/>
    <w:pPr>
      <w:spacing w:before="5600" w:line="240" w:lineRule="auto"/>
    </w:pPr>
    <w:rPr>
      <w:b/>
      <w:sz w:val="32"/>
    </w:rPr>
  </w:style>
  <w:style w:type="paragraph" w:customStyle="1" w:styleId="PageBreak">
    <w:name w:val="PageBreak"/>
    <w:aliases w:val="pb"/>
    <w:basedOn w:val="OPCParaBase"/>
    <w:rsid w:val="003104D0"/>
    <w:pPr>
      <w:spacing w:line="240" w:lineRule="auto"/>
    </w:pPr>
    <w:rPr>
      <w:sz w:val="20"/>
    </w:rPr>
  </w:style>
  <w:style w:type="paragraph" w:customStyle="1" w:styleId="paragraphsub">
    <w:name w:val="paragraph(sub)"/>
    <w:aliases w:val="aa"/>
    <w:basedOn w:val="OPCParaBase"/>
    <w:rsid w:val="003104D0"/>
    <w:pPr>
      <w:tabs>
        <w:tab w:val="right" w:pos="1985"/>
      </w:tabs>
      <w:spacing w:before="40" w:line="240" w:lineRule="auto"/>
      <w:ind w:left="2098" w:hanging="2098"/>
    </w:pPr>
  </w:style>
  <w:style w:type="paragraph" w:customStyle="1" w:styleId="paragraphsub-sub">
    <w:name w:val="paragraph(sub-sub)"/>
    <w:aliases w:val="aaa"/>
    <w:basedOn w:val="OPCParaBase"/>
    <w:rsid w:val="003104D0"/>
    <w:pPr>
      <w:tabs>
        <w:tab w:val="right" w:pos="2722"/>
      </w:tabs>
      <w:spacing w:before="40" w:line="240" w:lineRule="auto"/>
      <w:ind w:left="2835" w:hanging="2835"/>
    </w:pPr>
  </w:style>
  <w:style w:type="paragraph" w:customStyle="1" w:styleId="paragraph">
    <w:name w:val="paragraph"/>
    <w:aliases w:val="a"/>
    <w:basedOn w:val="OPCParaBase"/>
    <w:link w:val="paragraphChar"/>
    <w:rsid w:val="003104D0"/>
    <w:pPr>
      <w:tabs>
        <w:tab w:val="right" w:pos="1531"/>
      </w:tabs>
      <w:spacing w:before="40" w:line="240" w:lineRule="auto"/>
      <w:ind w:left="1644" w:hanging="1644"/>
    </w:pPr>
  </w:style>
  <w:style w:type="paragraph" w:customStyle="1" w:styleId="ParlAmend">
    <w:name w:val="ParlAmend"/>
    <w:aliases w:val="pp"/>
    <w:basedOn w:val="OPCParaBase"/>
    <w:rsid w:val="003104D0"/>
    <w:pPr>
      <w:spacing w:before="240" w:line="240" w:lineRule="atLeast"/>
      <w:ind w:hanging="567"/>
    </w:pPr>
    <w:rPr>
      <w:sz w:val="24"/>
    </w:rPr>
  </w:style>
  <w:style w:type="paragraph" w:customStyle="1" w:styleId="Penalty">
    <w:name w:val="Penalty"/>
    <w:basedOn w:val="OPCParaBase"/>
    <w:rsid w:val="003104D0"/>
    <w:pPr>
      <w:tabs>
        <w:tab w:val="left" w:pos="2977"/>
      </w:tabs>
      <w:spacing w:before="180" w:line="240" w:lineRule="auto"/>
      <w:ind w:left="1985" w:hanging="851"/>
    </w:pPr>
  </w:style>
  <w:style w:type="paragraph" w:customStyle="1" w:styleId="Portfolio">
    <w:name w:val="Portfolio"/>
    <w:basedOn w:val="OPCParaBase"/>
    <w:rsid w:val="003104D0"/>
    <w:pPr>
      <w:spacing w:line="240" w:lineRule="auto"/>
    </w:pPr>
    <w:rPr>
      <w:i/>
      <w:sz w:val="20"/>
    </w:rPr>
  </w:style>
  <w:style w:type="paragraph" w:customStyle="1" w:styleId="Preamble">
    <w:name w:val="Preamble"/>
    <w:basedOn w:val="OPCParaBase"/>
    <w:next w:val="Normal"/>
    <w:rsid w:val="003104D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104D0"/>
    <w:pPr>
      <w:spacing w:line="240" w:lineRule="auto"/>
    </w:pPr>
    <w:rPr>
      <w:i/>
      <w:sz w:val="20"/>
    </w:rPr>
  </w:style>
  <w:style w:type="paragraph" w:customStyle="1" w:styleId="Session">
    <w:name w:val="Session"/>
    <w:basedOn w:val="OPCParaBase"/>
    <w:rsid w:val="003104D0"/>
    <w:pPr>
      <w:spacing w:line="240" w:lineRule="auto"/>
    </w:pPr>
    <w:rPr>
      <w:sz w:val="28"/>
    </w:rPr>
  </w:style>
  <w:style w:type="paragraph" w:customStyle="1" w:styleId="Sponsor">
    <w:name w:val="Sponsor"/>
    <w:basedOn w:val="OPCParaBase"/>
    <w:rsid w:val="003104D0"/>
    <w:pPr>
      <w:spacing w:line="240" w:lineRule="auto"/>
    </w:pPr>
    <w:rPr>
      <w:i/>
    </w:rPr>
  </w:style>
  <w:style w:type="paragraph" w:customStyle="1" w:styleId="Subitem">
    <w:name w:val="Subitem"/>
    <w:aliases w:val="iss"/>
    <w:basedOn w:val="OPCParaBase"/>
    <w:rsid w:val="003104D0"/>
    <w:pPr>
      <w:spacing w:before="180" w:line="240" w:lineRule="auto"/>
      <w:ind w:left="709" w:hanging="709"/>
    </w:pPr>
  </w:style>
  <w:style w:type="paragraph" w:customStyle="1" w:styleId="SubitemHead">
    <w:name w:val="SubitemHead"/>
    <w:aliases w:val="issh"/>
    <w:basedOn w:val="OPCParaBase"/>
    <w:rsid w:val="003104D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104D0"/>
    <w:pPr>
      <w:spacing w:before="40" w:line="240" w:lineRule="auto"/>
      <w:ind w:left="1134"/>
    </w:pPr>
  </w:style>
  <w:style w:type="paragraph" w:customStyle="1" w:styleId="SubsectionHead">
    <w:name w:val="SubsectionHead"/>
    <w:aliases w:val="ssh"/>
    <w:basedOn w:val="OPCParaBase"/>
    <w:next w:val="subsection"/>
    <w:rsid w:val="003104D0"/>
    <w:pPr>
      <w:keepNext/>
      <w:keepLines/>
      <w:spacing w:before="240" w:line="240" w:lineRule="auto"/>
      <w:ind w:left="1134"/>
    </w:pPr>
    <w:rPr>
      <w:i/>
    </w:rPr>
  </w:style>
  <w:style w:type="paragraph" w:customStyle="1" w:styleId="Tablea">
    <w:name w:val="Table(a)"/>
    <w:aliases w:val="ta"/>
    <w:basedOn w:val="OPCParaBase"/>
    <w:rsid w:val="003104D0"/>
    <w:pPr>
      <w:spacing w:before="60" w:line="240" w:lineRule="auto"/>
      <w:ind w:left="284" w:hanging="284"/>
    </w:pPr>
    <w:rPr>
      <w:sz w:val="20"/>
    </w:rPr>
  </w:style>
  <w:style w:type="paragraph" w:customStyle="1" w:styleId="TableAA">
    <w:name w:val="Table(AA)"/>
    <w:aliases w:val="taaa"/>
    <w:basedOn w:val="OPCParaBase"/>
    <w:rsid w:val="003104D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104D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3104D0"/>
    <w:pPr>
      <w:spacing w:before="60" w:line="240" w:lineRule="atLeast"/>
    </w:pPr>
    <w:rPr>
      <w:sz w:val="20"/>
    </w:rPr>
  </w:style>
  <w:style w:type="paragraph" w:customStyle="1" w:styleId="TLPBoxTextnote">
    <w:name w:val="TLPBoxText(note"/>
    <w:aliases w:val="right)"/>
    <w:basedOn w:val="OPCParaBase"/>
    <w:rsid w:val="003104D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104D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104D0"/>
    <w:pPr>
      <w:spacing w:before="122" w:line="198" w:lineRule="exact"/>
      <w:ind w:left="1985" w:hanging="851"/>
      <w:jc w:val="right"/>
    </w:pPr>
    <w:rPr>
      <w:sz w:val="18"/>
    </w:rPr>
  </w:style>
  <w:style w:type="paragraph" w:customStyle="1" w:styleId="TLPTableBullet">
    <w:name w:val="TLPTableBullet"/>
    <w:aliases w:val="ttb"/>
    <w:basedOn w:val="OPCParaBase"/>
    <w:rsid w:val="003104D0"/>
    <w:pPr>
      <w:spacing w:line="240" w:lineRule="exact"/>
      <w:ind w:left="284" w:hanging="284"/>
    </w:pPr>
    <w:rPr>
      <w:sz w:val="20"/>
    </w:rPr>
  </w:style>
  <w:style w:type="paragraph" w:styleId="TOC1">
    <w:name w:val="toc 1"/>
    <w:basedOn w:val="Normal"/>
    <w:next w:val="Normal"/>
    <w:uiPriority w:val="39"/>
    <w:unhideWhenUsed/>
    <w:rsid w:val="003104D0"/>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3104D0"/>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3104D0"/>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3104D0"/>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3104D0"/>
    <w:pPr>
      <w:keepLines/>
      <w:tabs>
        <w:tab w:val="right" w:leader="dot" w:pos="8278"/>
      </w:tabs>
      <w:spacing w:before="40" w:line="240" w:lineRule="auto"/>
      <w:ind w:left="2835" w:right="567" w:hanging="1417"/>
    </w:pPr>
    <w:rPr>
      <w:rFonts w:eastAsia="Times New Roman" w:cs="Times New Roman"/>
      <w:kern w:val="28"/>
      <w:sz w:val="18"/>
      <w:lang w:eastAsia="en-AU"/>
    </w:rPr>
  </w:style>
  <w:style w:type="paragraph" w:styleId="TOC6">
    <w:name w:val="toc 6"/>
    <w:basedOn w:val="Normal"/>
    <w:next w:val="Normal"/>
    <w:uiPriority w:val="39"/>
    <w:unhideWhenUsed/>
    <w:rsid w:val="003104D0"/>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3104D0"/>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3104D0"/>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3104D0"/>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3104D0"/>
    <w:pPr>
      <w:keepLines/>
      <w:spacing w:before="240" w:after="120" w:line="240" w:lineRule="auto"/>
      <w:ind w:left="794"/>
    </w:pPr>
    <w:rPr>
      <w:b/>
      <w:kern w:val="28"/>
      <w:sz w:val="20"/>
    </w:rPr>
  </w:style>
  <w:style w:type="paragraph" w:customStyle="1" w:styleId="TofSectsHeading">
    <w:name w:val="TofSects(Heading)"/>
    <w:basedOn w:val="OPCParaBase"/>
    <w:rsid w:val="003104D0"/>
    <w:pPr>
      <w:spacing w:before="240" w:after="120" w:line="240" w:lineRule="auto"/>
    </w:pPr>
    <w:rPr>
      <w:b/>
      <w:sz w:val="24"/>
    </w:rPr>
  </w:style>
  <w:style w:type="paragraph" w:customStyle="1" w:styleId="TofSectsSection">
    <w:name w:val="TofSects(Section)"/>
    <w:basedOn w:val="OPCParaBase"/>
    <w:rsid w:val="003104D0"/>
    <w:pPr>
      <w:keepLines/>
      <w:spacing w:before="40" w:line="240" w:lineRule="auto"/>
      <w:ind w:left="1588" w:hanging="794"/>
    </w:pPr>
    <w:rPr>
      <w:kern w:val="28"/>
      <w:sz w:val="18"/>
    </w:rPr>
  </w:style>
  <w:style w:type="paragraph" w:customStyle="1" w:styleId="TofSectsSubdiv">
    <w:name w:val="TofSects(Subdiv)"/>
    <w:basedOn w:val="OPCParaBase"/>
    <w:rsid w:val="003104D0"/>
    <w:pPr>
      <w:keepLines/>
      <w:spacing w:before="80" w:line="240" w:lineRule="auto"/>
      <w:ind w:left="1588" w:hanging="794"/>
    </w:pPr>
    <w:rPr>
      <w:kern w:val="28"/>
    </w:rPr>
  </w:style>
  <w:style w:type="paragraph" w:customStyle="1" w:styleId="WRStyle">
    <w:name w:val="WR Style"/>
    <w:aliases w:val="WR"/>
    <w:basedOn w:val="OPCParaBase"/>
    <w:rsid w:val="003104D0"/>
    <w:pPr>
      <w:spacing w:before="240" w:line="240" w:lineRule="auto"/>
      <w:ind w:left="284" w:hanging="284"/>
    </w:pPr>
    <w:rPr>
      <w:b/>
      <w:i/>
      <w:kern w:val="28"/>
      <w:sz w:val="24"/>
    </w:rPr>
  </w:style>
  <w:style w:type="paragraph" w:customStyle="1" w:styleId="notepara">
    <w:name w:val="note(para)"/>
    <w:aliases w:val="na"/>
    <w:basedOn w:val="OPCParaBase"/>
    <w:rsid w:val="003104D0"/>
    <w:pPr>
      <w:spacing w:before="40" w:line="198" w:lineRule="exact"/>
      <w:ind w:left="2354" w:hanging="369"/>
    </w:pPr>
    <w:rPr>
      <w:sz w:val="18"/>
    </w:rPr>
  </w:style>
  <w:style w:type="paragraph" w:styleId="Footer">
    <w:name w:val="footer"/>
    <w:link w:val="FooterChar"/>
    <w:rsid w:val="003104D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104D0"/>
    <w:rPr>
      <w:rFonts w:eastAsia="Times New Roman" w:cs="Times New Roman"/>
      <w:sz w:val="22"/>
      <w:szCs w:val="24"/>
      <w:lang w:eastAsia="en-AU"/>
    </w:rPr>
  </w:style>
  <w:style w:type="character" w:styleId="LineNumber">
    <w:name w:val="line number"/>
    <w:basedOn w:val="OPCCharBase"/>
    <w:uiPriority w:val="99"/>
    <w:unhideWhenUsed/>
    <w:rsid w:val="003104D0"/>
    <w:rPr>
      <w:sz w:val="16"/>
    </w:rPr>
  </w:style>
  <w:style w:type="table" w:customStyle="1" w:styleId="CFlag">
    <w:name w:val="CFlag"/>
    <w:basedOn w:val="TableNormal"/>
    <w:uiPriority w:val="99"/>
    <w:rsid w:val="003104D0"/>
    <w:rPr>
      <w:rFonts w:eastAsia="Times New Roman" w:cs="Times New Roman"/>
      <w:lang w:eastAsia="en-AU"/>
    </w:rPr>
    <w:tblPr/>
  </w:style>
  <w:style w:type="paragraph" w:styleId="BalloonText">
    <w:name w:val="Balloon Text"/>
    <w:basedOn w:val="Normal"/>
    <w:link w:val="BalloonTextChar"/>
    <w:uiPriority w:val="99"/>
    <w:unhideWhenUsed/>
    <w:rsid w:val="003104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104D0"/>
    <w:rPr>
      <w:rFonts w:ascii="Tahoma" w:hAnsi="Tahoma" w:cs="Tahoma"/>
      <w:sz w:val="16"/>
      <w:szCs w:val="16"/>
    </w:rPr>
  </w:style>
  <w:style w:type="table" w:styleId="TableGrid">
    <w:name w:val="Table Grid"/>
    <w:basedOn w:val="TableNormal"/>
    <w:uiPriority w:val="59"/>
    <w:rsid w:val="00310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104D0"/>
    <w:rPr>
      <w:b/>
      <w:sz w:val="28"/>
      <w:szCs w:val="32"/>
    </w:rPr>
  </w:style>
  <w:style w:type="paragraph" w:customStyle="1" w:styleId="LegislationMadeUnder">
    <w:name w:val="LegislationMadeUnder"/>
    <w:basedOn w:val="OPCParaBase"/>
    <w:next w:val="Normal"/>
    <w:rsid w:val="003104D0"/>
    <w:rPr>
      <w:i/>
      <w:sz w:val="32"/>
      <w:szCs w:val="32"/>
    </w:rPr>
  </w:style>
  <w:style w:type="paragraph" w:customStyle="1" w:styleId="SignCoverPageEnd">
    <w:name w:val="SignCoverPageEnd"/>
    <w:basedOn w:val="OPCParaBase"/>
    <w:next w:val="Normal"/>
    <w:rsid w:val="003104D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104D0"/>
    <w:pPr>
      <w:pBdr>
        <w:top w:val="single" w:sz="4" w:space="1" w:color="auto"/>
      </w:pBdr>
      <w:spacing w:before="360"/>
      <w:ind w:right="397"/>
      <w:jc w:val="both"/>
    </w:pPr>
  </w:style>
  <w:style w:type="paragraph" w:customStyle="1" w:styleId="NotesHeading1">
    <w:name w:val="NotesHeading 1"/>
    <w:basedOn w:val="OPCParaBase"/>
    <w:next w:val="Normal"/>
    <w:rsid w:val="003104D0"/>
    <w:rPr>
      <w:b/>
      <w:sz w:val="28"/>
      <w:szCs w:val="28"/>
    </w:rPr>
  </w:style>
  <w:style w:type="paragraph" w:customStyle="1" w:styleId="NotesHeading2">
    <w:name w:val="NotesHeading 2"/>
    <w:basedOn w:val="OPCParaBase"/>
    <w:next w:val="Normal"/>
    <w:rsid w:val="003104D0"/>
    <w:rPr>
      <w:b/>
      <w:sz w:val="28"/>
      <w:szCs w:val="28"/>
    </w:rPr>
  </w:style>
  <w:style w:type="paragraph" w:customStyle="1" w:styleId="CompiledActNo">
    <w:name w:val="CompiledActNo"/>
    <w:basedOn w:val="OPCParaBase"/>
    <w:next w:val="Normal"/>
    <w:rsid w:val="003104D0"/>
    <w:rPr>
      <w:b/>
      <w:sz w:val="24"/>
      <w:szCs w:val="24"/>
    </w:rPr>
  </w:style>
  <w:style w:type="paragraph" w:customStyle="1" w:styleId="ENotesText">
    <w:name w:val="ENotesText"/>
    <w:aliases w:val="Ent"/>
    <w:basedOn w:val="OPCParaBase"/>
    <w:next w:val="Normal"/>
    <w:rsid w:val="003104D0"/>
    <w:pPr>
      <w:spacing w:before="120"/>
    </w:pPr>
  </w:style>
  <w:style w:type="paragraph" w:customStyle="1" w:styleId="CompiledMadeUnder">
    <w:name w:val="CompiledMadeUnder"/>
    <w:basedOn w:val="OPCParaBase"/>
    <w:next w:val="Normal"/>
    <w:rsid w:val="003104D0"/>
    <w:rPr>
      <w:i/>
      <w:sz w:val="24"/>
      <w:szCs w:val="24"/>
    </w:rPr>
  </w:style>
  <w:style w:type="paragraph" w:customStyle="1" w:styleId="Paragraphsub-sub-sub">
    <w:name w:val="Paragraph(sub-sub-sub)"/>
    <w:aliases w:val="aaaa"/>
    <w:basedOn w:val="OPCParaBase"/>
    <w:rsid w:val="003104D0"/>
    <w:pPr>
      <w:tabs>
        <w:tab w:val="right" w:pos="3402"/>
      </w:tabs>
      <w:spacing w:before="40" w:line="240" w:lineRule="auto"/>
      <w:ind w:left="3402" w:hanging="3402"/>
    </w:pPr>
  </w:style>
  <w:style w:type="paragraph" w:customStyle="1" w:styleId="TableTextEndNotes">
    <w:name w:val="TableTextEndNotes"/>
    <w:aliases w:val="Tten"/>
    <w:basedOn w:val="Normal"/>
    <w:rsid w:val="003104D0"/>
    <w:pPr>
      <w:spacing w:before="60" w:line="240" w:lineRule="auto"/>
    </w:pPr>
    <w:rPr>
      <w:rFonts w:cs="Arial"/>
      <w:sz w:val="20"/>
      <w:szCs w:val="22"/>
    </w:rPr>
  </w:style>
  <w:style w:type="paragraph" w:customStyle="1" w:styleId="NoteToSubpara">
    <w:name w:val="NoteToSubpara"/>
    <w:aliases w:val="nts"/>
    <w:basedOn w:val="OPCParaBase"/>
    <w:rsid w:val="003104D0"/>
    <w:pPr>
      <w:spacing w:before="40" w:line="198" w:lineRule="exact"/>
      <w:ind w:left="2835" w:hanging="709"/>
    </w:pPr>
    <w:rPr>
      <w:sz w:val="18"/>
    </w:rPr>
  </w:style>
  <w:style w:type="paragraph" w:customStyle="1" w:styleId="ENoteTableHeading">
    <w:name w:val="ENoteTableHeading"/>
    <w:aliases w:val="enth"/>
    <w:basedOn w:val="OPCParaBase"/>
    <w:rsid w:val="003104D0"/>
    <w:pPr>
      <w:keepNext/>
      <w:spacing w:before="60" w:line="240" w:lineRule="atLeast"/>
    </w:pPr>
    <w:rPr>
      <w:rFonts w:ascii="Arial" w:hAnsi="Arial"/>
      <w:b/>
      <w:sz w:val="16"/>
    </w:rPr>
  </w:style>
  <w:style w:type="paragraph" w:customStyle="1" w:styleId="ENoteTTi">
    <w:name w:val="ENoteTTi"/>
    <w:aliases w:val="entti"/>
    <w:basedOn w:val="OPCParaBase"/>
    <w:rsid w:val="003104D0"/>
    <w:pPr>
      <w:keepNext/>
      <w:spacing w:before="60" w:line="240" w:lineRule="atLeast"/>
      <w:ind w:left="170"/>
    </w:pPr>
    <w:rPr>
      <w:sz w:val="16"/>
    </w:rPr>
  </w:style>
  <w:style w:type="paragraph" w:customStyle="1" w:styleId="ENotesHeading1">
    <w:name w:val="ENotesHeading 1"/>
    <w:aliases w:val="Enh1"/>
    <w:basedOn w:val="OPCParaBase"/>
    <w:next w:val="Normal"/>
    <w:rsid w:val="003104D0"/>
    <w:pPr>
      <w:spacing w:before="120"/>
      <w:outlineLvl w:val="1"/>
    </w:pPr>
    <w:rPr>
      <w:b/>
      <w:sz w:val="28"/>
      <w:szCs w:val="28"/>
    </w:rPr>
  </w:style>
  <w:style w:type="paragraph" w:customStyle="1" w:styleId="ENotesHeading2">
    <w:name w:val="ENotesHeading 2"/>
    <w:aliases w:val="Enh2"/>
    <w:basedOn w:val="OPCParaBase"/>
    <w:next w:val="Normal"/>
    <w:rsid w:val="003104D0"/>
    <w:pPr>
      <w:spacing w:before="120" w:after="120"/>
      <w:outlineLvl w:val="2"/>
    </w:pPr>
    <w:rPr>
      <w:b/>
      <w:sz w:val="24"/>
      <w:szCs w:val="28"/>
    </w:rPr>
  </w:style>
  <w:style w:type="paragraph" w:customStyle="1" w:styleId="ENoteTTIndentHeading">
    <w:name w:val="ENoteTTIndentHeading"/>
    <w:aliases w:val="enTTHi"/>
    <w:basedOn w:val="OPCParaBase"/>
    <w:rsid w:val="003104D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104D0"/>
    <w:pPr>
      <w:spacing w:before="60" w:line="240" w:lineRule="atLeast"/>
    </w:pPr>
    <w:rPr>
      <w:sz w:val="16"/>
    </w:rPr>
  </w:style>
  <w:style w:type="paragraph" w:customStyle="1" w:styleId="MadeunderText">
    <w:name w:val="MadeunderText"/>
    <w:basedOn w:val="OPCParaBase"/>
    <w:next w:val="Normal"/>
    <w:rsid w:val="003104D0"/>
    <w:pPr>
      <w:spacing w:before="240"/>
    </w:pPr>
    <w:rPr>
      <w:sz w:val="24"/>
      <w:szCs w:val="24"/>
    </w:rPr>
  </w:style>
  <w:style w:type="paragraph" w:customStyle="1" w:styleId="ENotesHeading3">
    <w:name w:val="ENotesHeading 3"/>
    <w:aliases w:val="Enh3"/>
    <w:basedOn w:val="OPCParaBase"/>
    <w:next w:val="Normal"/>
    <w:rsid w:val="003104D0"/>
    <w:pPr>
      <w:keepNext/>
      <w:spacing w:before="120" w:line="240" w:lineRule="auto"/>
      <w:outlineLvl w:val="4"/>
    </w:pPr>
    <w:rPr>
      <w:b/>
      <w:szCs w:val="24"/>
    </w:rPr>
  </w:style>
  <w:style w:type="character" w:customStyle="1" w:styleId="CharSubPartTextCASA">
    <w:name w:val="CharSubPartText(CASA)"/>
    <w:basedOn w:val="OPCCharBase"/>
    <w:uiPriority w:val="1"/>
    <w:rsid w:val="003104D0"/>
  </w:style>
  <w:style w:type="character" w:customStyle="1" w:styleId="CharSubPartNoCASA">
    <w:name w:val="CharSubPartNo(CASA)"/>
    <w:basedOn w:val="OPCCharBase"/>
    <w:uiPriority w:val="1"/>
    <w:rsid w:val="003104D0"/>
  </w:style>
  <w:style w:type="paragraph" w:customStyle="1" w:styleId="ENoteTTIndentHeadingSub">
    <w:name w:val="ENoteTTIndentHeadingSub"/>
    <w:aliases w:val="enTTHis"/>
    <w:basedOn w:val="OPCParaBase"/>
    <w:rsid w:val="003104D0"/>
    <w:pPr>
      <w:keepNext/>
      <w:spacing w:before="60" w:line="240" w:lineRule="atLeast"/>
      <w:ind w:left="340"/>
    </w:pPr>
    <w:rPr>
      <w:b/>
      <w:sz w:val="16"/>
    </w:rPr>
  </w:style>
  <w:style w:type="paragraph" w:customStyle="1" w:styleId="ENoteTTiSub">
    <w:name w:val="ENoteTTiSub"/>
    <w:aliases w:val="enttis"/>
    <w:basedOn w:val="OPCParaBase"/>
    <w:rsid w:val="003104D0"/>
    <w:pPr>
      <w:keepNext/>
      <w:spacing w:before="60" w:line="240" w:lineRule="atLeast"/>
      <w:ind w:left="340"/>
    </w:pPr>
    <w:rPr>
      <w:sz w:val="16"/>
    </w:rPr>
  </w:style>
  <w:style w:type="paragraph" w:customStyle="1" w:styleId="SubDivisionMigration">
    <w:name w:val="SubDivisionMigration"/>
    <w:aliases w:val="sdm"/>
    <w:basedOn w:val="OPCParaBase"/>
    <w:rsid w:val="003104D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104D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3104D0"/>
    <w:pPr>
      <w:spacing w:before="122" w:line="240" w:lineRule="auto"/>
      <w:ind w:left="1985" w:hanging="851"/>
    </w:pPr>
    <w:rPr>
      <w:sz w:val="18"/>
    </w:rPr>
  </w:style>
  <w:style w:type="paragraph" w:customStyle="1" w:styleId="FreeForm">
    <w:name w:val="FreeForm"/>
    <w:rsid w:val="003104D0"/>
    <w:rPr>
      <w:rFonts w:ascii="Arial" w:hAnsi="Arial"/>
      <w:sz w:val="22"/>
    </w:rPr>
  </w:style>
  <w:style w:type="paragraph" w:customStyle="1" w:styleId="SOText">
    <w:name w:val="SO Text"/>
    <w:aliases w:val="sot"/>
    <w:link w:val="SOTextChar"/>
    <w:rsid w:val="003104D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104D0"/>
    <w:rPr>
      <w:sz w:val="22"/>
    </w:rPr>
  </w:style>
  <w:style w:type="paragraph" w:customStyle="1" w:styleId="SOTextNote">
    <w:name w:val="SO TextNote"/>
    <w:aliases w:val="sont"/>
    <w:basedOn w:val="SOText"/>
    <w:qFormat/>
    <w:rsid w:val="003104D0"/>
    <w:pPr>
      <w:spacing w:before="122" w:line="198" w:lineRule="exact"/>
      <w:ind w:left="1843" w:hanging="709"/>
    </w:pPr>
    <w:rPr>
      <w:sz w:val="18"/>
    </w:rPr>
  </w:style>
  <w:style w:type="paragraph" w:customStyle="1" w:styleId="SOPara">
    <w:name w:val="SO Para"/>
    <w:aliases w:val="soa"/>
    <w:basedOn w:val="SOText"/>
    <w:link w:val="SOParaChar"/>
    <w:qFormat/>
    <w:rsid w:val="003104D0"/>
    <w:pPr>
      <w:tabs>
        <w:tab w:val="right" w:pos="1786"/>
      </w:tabs>
      <w:spacing w:before="40"/>
      <w:ind w:left="2070" w:hanging="936"/>
    </w:pPr>
  </w:style>
  <w:style w:type="character" w:customStyle="1" w:styleId="SOParaChar">
    <w:name w:val="SO Para Char"/>
    <w:aliases w:val="soa Char"/>
    <w:basedOn w:val="DefaultParagraphFont"/>
    <w:link w:val="SOPara"/>
    <w:rsid w:val="003104D0"/>
    <w:rPr>
      <w:sz w:val="22"/>
    </w:rPr>
  </w:style>
  <w:style w:type="paragraph" w:customStyle="1" w:styleId="FileName">
    <w:name w:val="FileName"/>
    <w:basedOn w:val="Normal"/>
    <w:rsid w:val="003104D0"/>
  </w:style>
  <w:style w:type="paragraph" w:customStyle="1" w:styleId="TableHeading">
    <w:name w:val="TableHeading"/>
    <w:aliases w:val="th"/>
    <w:basedOn w:val="OPCParaBase"/>
    <w:next w:val="Tabletext"/>
    <w:link w:val="TableHeadingChar"/>
    <w:rsid w:val="003104D0"/>
    <w:pPr>
      <w:keepNext/>
      <w:spacing w:before="60" w:line="240" w:lineRule="atLeast"/>
    </w:pPr>
    <w:rPr>
      <w:b/>
      <w:sz w:val="20"/>
    </w:rPr>
  </w:style>
  <w:style w:type="paragraph" w:customStyle="1" w:styleId="SOHeadBold">
    <w:name w:val="SO HeadBold"/>
    <w:aliases w:val="sohb"/>
    <w:basedOn w:val="SOText"/>
    <w:next w:val="SOText"/>
    <w:link w:val="SOHeadBoldChar"/>
    <w:qFormat/>
    <w:rsid w:val="003104D0"/>
    <w:rPr>
      <w:b/>
    </w:rPr>
  </w:style>
  <w:style w:type="character" w:customStyle="1" w:styleId="SOHeadBoldChar">
    <w:name w:val="SO HeadBold Char"/>
    <w:aliases w:val="sohb Char"/>
    <w:basedOn w:val="DefaultParagraphFont"/>
    <w:link w:val="SOHeadBold"/>
    <w:rsid w:val="003104D0"/>
    <w:rPr>
      <w:b/>
      <w:sz w:val="22"/>
    </w:rPr>
  </w:style>
  <w:style w:type="paragraph" w:customStyle="1" w:styleId="SOHeadItalic">
    <w:name w:val="SO HeadItalic"/>
    <w:aliases w:val="sohi"/>
    <w:basedOn w:val="SOText"/>
    <w:next w:val="SOText"/>
    <w:link w:val="SOHeadItalicChar"/>
    <w:qFormat/>
    <w:rsid w:val="003104D0"/>
    <w:rPr>
      <w:i/>
    </w:rPr>
  </w:style>
  <w:style w:type="character" w:customStyle="1" w:styleId="SOHeadItalicChar">
    <w:name w:val="SO HeadItalic Char"/>
    <w:aliases w:val="sohi Char"/>
    <w:basedOn w:val="DefaultParagraphFont"/>
    <w:link w:val="SOHeadItalic"/>
    <w:rsid w:val="003104D0"/>
    <w:rPr>
      <w:i/>
      <w:sz w:val="22"/>
    </w:rPr>
  </w:style>
  <w:style w:type="paragraph" w:customStyle="1" w:styleId="SOBullet">
    <w:name w:val="SO Bullet"/>
    <w:aliases w:val="sotb"/>
    <w:basedOn w:val="SOText"/>
    <w:link w:val="SOBulletChar"/>
    <w:qFormat/>
    <w:rsid w:val="003104D0"/>
    <w:pPr>
      <w:ind w:left="1559" w:hanging="425"/>
    </w:pPr>
  </w:style>
  <w:style w:type="character" w:customStyle="1" w:styleId="SOBulletChar">
    <w:name w:val="SO Bullet Char"/>
    <w:aliases w:val="sotb Char"/>
    <w:basedOn w:val="DefaultParagraphFont"/>
    <w:link w:val="SOBullet"/>
    <w:rsid w:val="003104D0"/>
    <w:rPr>
      <w:sz w:val="22"/>
    </w:rPr>
  </w:style>
  <w:style w:type="paragraph" w:customStyle="1" w:styleId="SOBulletNote">
    <w:name w:val="SO BulletNote"/>
    <w:aliases w:val="sonb"/>
    <w:basedOn w:val="SOTextNote"/>
    <w:link w:val="SOBulletNoteChar"/>
    <w:qFormat/>
    <w:rsid w:val="003104D0"/>
    <w:pPr>
      <w:tabs>
        <w:tab w:val="left" w:pos="1560"/>
      </w:tabs>
      <w:ind w:left="2268" w:hanging="1134"/>
    </w:pPr>
  </w:style>
  <w:style w:type="character" w:customStyle="1" w:styleId="SOBulletNoteChar">
    <w:name w:val="SO BulletNote Char"/>
    <w:aliases w:val="sonb Char"/>
    <w:basedOn w:val="DefaultParagraphFont"/>
    <w:link w:val="SOBulletNote"/>
    <w:rsid w:val="003104D0"/>
    <w:rPr>
      <w:sz w:val="18"/>
    </w:rPr>
  </w:style>
  <w:style w:type="paragraph" w:customStyle="1" w:styleId="SOText2">
    <w:name w:val="SO Text2"/>
    <w:aliases w:val="sot2"/>
    <w:basedOn w:val="Normal"/>
    <w:next w:val="SOText"/>
    <w:link w:val="SOText2Char"/>
    <w:rsid w:val="003104D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104D0"/>
    <w:rPr>
      <w:sz w:val="22"/>
    </w:rPr>
  </w:style>
  <w:style w:type="paragraph" w:customStyle="1" w:styleId="SubPartCASA">
    <w:name w:val="SubPart(CASA)"/>
    <w:aliases w:val="csp"/>
    <w:basedOn w:val="OPCParaBase"/>
    <w:next w:val="ActHead3"/>
    <w:rsid w:val="003104D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3104D0"/>
    <w:rPr>
      <w:rFonts w:eastAsia="Times New Roman" w:cs="Times New Roman"/>
      <w:sz w:val="22"/>
      <w:lang w:eastAsia="en-AU"/>
    </w:rPr>
  </w:style>
  <w:style w:type="character" w:customStyle="1" w:styleId="notetextChar">
    <w:name w:val="note(text) Char"/>
    <w:aliases w:val="n Char"/>
    <w:basedOn w:val="DefaultParagraphFont"/>
    <w:link w:val="notetext"/>
    <w:rsid w:val="003104D0"/>
    <w:rPr>
      <w:rFonts w:eastAsia="Times New Roman" w:cs="Times New Roman"/>
      <w:sz w:val="18"/>
      <w:lang w:eastAsia="en-AU"/>
    </w:rPr>
  </w:style>
  <w:style w:type="character" w:customStyle="1" w:styleId="Heading1Char">
    <w:name w:val="Heading 1 Char"/>
    <w:basedOn w:val="DefaultParagraphFont"/>
    <w:link w:val="Heading1"/>
    <w:uiPriority w:val="9"/>
    <w:rsid w:val="003104D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104D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104D0"/>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3104D0"/>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3104D0"/>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3104D0"/>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3104D0"/>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3104D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3104D0"/>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3104D0"/>
    <w:rPr>
      <w:rFonts w:ascii="Arial" w:hAnsi="Arial" w:cs="Arial" w:hint="default"/>
      <w:b/>
      <w:bCs/>
      <w:sz w:val="28"/>
      <w:szCs w:val="28"/>
    </w:rPr>
  </w:style>
  <w:style w:type="paragraph" w:styleId="Index1">
    <w:name w:val="index 1"/>
    <w:basedOn w:val="Normal"/>
    <w:next w:val="Normal"/>
    <w:autoRedefine/>
    <w:rsid w:val="003104D0"/>
    <w:pPr>
      <w:ind w:left="240" w:hanging="240"/>
    </w:pPr>
  </w:style>
  <w:style w:type="paragraph" w:styleId="Index2">
    <w:name w:val="index 2"/>
    <w:basedOn w:val="Normal"/>
    <w:next w:val="Normal"/>
    <w:autoRedefine/>
    <w:rsid w:val="003104D0"/>
    <w:pPr>
      <w:ind w:left="480" w:hanging="240"/>
    </w:pPr>
  </w:style>
  <w:style w:type="paragraph" w:styleId="Index3">
    <w:name w:val="index 3"/>
    <w:basedOn w:val="Normal"/>
    <w:next w:val="Normal"/>
    <w:autoRedefine/>
    <w:rsid w:val="003104D0"/>
    <w:pPr>
      <w:ind w:left="720" w:hanging="240"/>
    </w:pPr>
  </w:style>
  <w:style w:type="paragraph" w:styleId="Index4">
    <w:name w:val="index 4"/>
    <w:basedOn w:val="Normal"/>
    <w:next w:val="Normal"/>
    <w:autoRedefine/>
    <w:rsid w:val="003104D0"/>
    <w:pPr>
      <w:ind w:left="960" w:hanging="240"/>
    </w:pPr>
  </w:style>
  <w:style w:type="paragraph" w:styleId="Index5">
    <w:name w:val="index 5"/>
    <w:basedOn w:val="Normal"/>
    <w:next w:val="Normal"/>
    <w:autoRedefine/>
    <w:rsid w:val="003104D0"/>
    <w:pPr>
      <w:ind w:left="1200" w:hanging="240"/>
    </w:pPr>
  </w:style>
  <w:style w:type="paragraph" w:styleId="Index6">
    <w:name w:val="index 6"/>
    <w:basedOn w:val="Normal"/>
    <w:next w:val="Normal"/>
    <w:autoRedefine/>
    <w:rsid w:val="003104D0"/>
    <w:pPr>
      <w:ind w:left="1440" w:hanging="240"/>
    </w:pPr>
  </w:style>
  <w:style w:type="paragraph" w:styleId="Index7">
    <w:name w:val="index 7"/>
    <w:basedOn w:val="Normal"/>
    <w:next w:val="Normal"/>
    <w:autoRedefine/>
    <w:rsid w:val="003104D0"/>
    <w:pPr>
      <w:ind w:left="1680" w:hanging="240"/>
    </w:pPr>
  </w:style>
  <w:style w:type="paragraph" w:styleId="Index8">
    <w:name w:val="index 8"/>
    <w:basedOn w:val="Normal"/>
    <w:next w:val="Normal"/>
    <w:autoRedefine/>
    <w:rsid w:val="003104D0"/>
    <w:pPr>
      <w:ind w:left="1920" w:hanging="240"/>
    </w:pPr>
  </w:style>
  <w:style w:type="paragraph" w:styleId="Index9">
    <w:name w:val="index 9"/>
    <w:basedOn w:val="Normal"/>
    <w:next w:val="Normal"/>
    <w:autoRedefine/>
    <w:rsid w:val="003104D0"/>
    <w:pPr>
      <w:ind w:left="2160" w:hanging="240"/>
    </w:pPr>
  </w:style>
  <w:style w:type="paragraph" w:styleId="NormalIndent">
    <w:name w:val="Normal Indent"/>
    <w:basedOn w:val="Normal"/>
    <w:rsid w:val="003104D0"/>
    <w:pPr>
      <w:ind w:left="720"/>
    </w:pPr>
  </w:style>
  <w:style w:type="paragraph" w:styleId="FootnoteText">
    <w:name w:val="footnote text"/>
    <w:basedOn w:val="Normal"/>
    <w:link w:val="FootnoteTextChar"/>
    <w:rsid w:val="003104D0"/>
    <w:rPr>
      <w:sz w:val="20"/>
    </w:rPr>
  </w:style>
  <w:style w:type="character" w:customStyle="1" w:styleId="FootnoteTextChar">
    <w:name w:val="Footnote Text Char"/>
    <w:basedOn w:val="DefaultParagraphFont"/>
    <w:link w:val="FootnoteText"/>
    <w:rsid w:val="003104D0"/>
  </w:style>
  <w:style w:type="paragraph" w:styleId="CommentText">
    <w:name w:val="annotation text"/>
    <w:basedOn w:val="Normal"/>
    <w:link w:val="CommentTextChar"/>
    <w:rsid w:val="003104D0"/>
    <w:rPr>
      <w:sz w:val="20"/>
    </w:rPr>
  </w:style>
  <w:style w:type="character" w:customStyle="1" w:styleId="CommentTextChar">
    <w:name w:val="Comment Text Char"/>
    <w:basedOn w:val="DefaultParagraphFont"/>
    <w:link w:val="CommentText"/>
    <w:rsid w:val="003104D0"/>
  </w:style>
  <w:style w:type="paragraph" w:styleId="IndexHeading">
    <w:name w:val="index heading"/>
    <w:basedOn w:val="Normal"/>
    <w:next w:val="Index1"/>
    <w:rsid w:val="003104D0"/>
    <w:rPr>
      <w:rFonts w:ascii="Arial" w:hAnsi="Arial" w:cs="Arial"/>
      <w:b/>
      <w:bCs/>
    </w:rPr>
  </w:style>
  <w:style w:type="paragraph" w:styleId="Caption">
    <w:name w:val="caption"/>
    <w:basedOn w:val="Normal"/>
    <w:next w:val="Normal"/>
    <w:qFormat/>
    <w:rsid w:val="003104D0"/>
    <w:pPr>
      <w:spacing w:before="120" w:after="120"/>
    </w:pPr>
    <w:rPr>
      <w:b/>
      <w:bCs/>
      <w:sz w:val="20"/>
    </w:rPr>
  </w:style>
  <w:style w:type="paragraph" w:styleId="TableofFigures">
    <w:name w:val="table of figures"/>
    <w:basedOn w:val="Normal"/>
    <w:next w:val="Normal"/>
    <w:rsid w:val="003104D0"/>
    <w:pPr>
      <w:ind w:left="480" w:hanging="480"/>
    </w:pPr>
  </w:style>
  <w:style w:type="paragraph" w:styleId="EnvelopeAddress">
    <w:name w:val="envelope address"/>
    <w:basedOn w:val="Normal"/>
    <w:rsid w:val="003104D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104D0"/>
    <w:rPr>
      <w:rFonts w:ascii="Arial" w:hAnsi="Arial" w:cs="Arial"/>
      <w:sz w:val="20"/>
    </w:rPr>
  </w:style>
  <w:style w:type="character" w:styleId="FootnoteReference">
    <w:name w:val="footnote reference"/>
    <w:basedOn w:val="DefaultParagraphFont"/>
    <w:rsid w:val="003104D0"/>
    <w:rPr>
      <w:rFonts w:ascii="Times New Roman" w:hAnsi="Times New Roman"/>
      <w:sz w:val="20"/>
      <w:vertAlign w:val="superscript"/>
    </w:rPr>
  </w:style>
  <w:style w:type="character" w:styleId="CommentReference">
    <w:name w:val="annotation reference"/>
    <w:basedOn w:val="DefaultParagraphFont"/>
    <w:rsid w:val="003104D0"/>
    <w:rPr>
      <w:sz w:val="16"/>
      <w:szCs w:val="16"/>
    </w:rPr>
  </w:style>
  <w:style w:type="character" w:styleId="PageNumber">
    <w:name w:val="page number"/>
    <w:basedOn w:val="DefaultParagraphFont"/>
    <w:rsid w:val="003104D0"/>
  </w:style>
  <w:style w:type="character" w:styleId="EndnoteReference">
    <w:name w:val="endnote reference"/>
    <w:basedOn w:val="DefaultParagraphFont"/>
    <w:rsid w:val="003104D0"/>
    <w:rPr>
      <w:vertAlign w:val="superscript"/>
    </w:rPr>
  </w:style>
  <w:style w:type="paragraph" w:styleId="EndnoteText">
    <w:name w:val="endnote text"/>
    <w:basedOn w:val="Normal"/>
    <w:link w:val="EndnoteTextChar"/>
    <w:rsid w:val="003104D0"/>
    <w:rPr>
      <w:sz w:val="20"/>
    </w:rPr>
  </w:style>
  <w:style w:type="character" w:customStyle="1" w:styleId="EndnoteTextChar">
    <w:name w:val="Endnote Text Char"/>
    <w:basedOn w:val="DefaultParagraphFont"/>
    <w:link w:val="EndnoteText"/>
    <w:rsid w:val="003104D0"/>
  </w:style>
  <w:style w:type="paragraph" w:styleId="TableofAuthorities">
    <w:name w:val="table of authorities"/>
    <w:basedOn w:val="Normal"/>
    <w:next w:val="Normal"/>
    <w:rsid w:val="003104D0"/>
    <w:pPr>
      <w:ind w:left="240" w:hanging="240"/>
    </w:pPr>
  </w:style>
  <w:style w:type="paragraph" w:styleId="MacroText">
    <w:name w:val="macro"/>
    <w:link w:val="MacroTextChar"/>
    <w:rsid w:val="003104D0"/>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3104D0"/>
    <w:rPr>
      <w:rFonts w:ascii="Courier New" w:eastAsia="Times New Roman" w:hAnsi="Courier New" w:cs="Courier New"/>
      <w:lang w:eastAsia="en-AU"/>
    </w:rPr>
  </w:style>
  <w:style w:type="paragraph" w:styleId="TOAHeading">
    <w:name w:val="toa heading"/>
    <w:basedOn w:val="Normal"/>
    <w:next w:val="Normal"/>
    <w:rsid w:val="003104D0"/>
    <w:pPr>
      <w:spacing w:before="120"/>
    </w:pPr>
    <w:rPr>
      <w:rFonts w:ascii="Arial" w:hAnsi="Arial" w:cs="Arial"/>
      <w:b/>
      <w:bCs/>
    </w:rPr>
  </w:style>
  <w:style w:type="paragraph" w:styleId="List">
    <w:name w:val="List"/>
    <w:basedOn w:val="Normal"/>
    <w:rsid w:val="003104D0"/>
    <w:pPr>
      <w:ind w:left="283" w:hanging="283"/>
    </w:pPr>
  </w:style>
  <w:style w:type="paragraph" w:styleId="ListBullet">
    <w:name w:val="List Bullet"/>
    <w:basedOn w:val="Normal"/>
    <w:autoRedefine/>
    <w:rsid w:val="003104D0"/>
    <w:pPr>
      <w:tabs>
        <w:tab w:val="num" w:pos="360"/>
      </w:tabs>
      <w:ind w:left="360" w:hanging="360"/>
    </w:pPr>
  </w:style>
  <w:style w:type="paragraph" w:styleId="ListNumber">
    <w:name w:val="List Number"/>
    <w:basedOn w:val="Normal"/>
    <w:rsid w:val="003104D0"/>
    <w:pPr>
      <w:tabs>
        <w:tab w:val="num" w:pos="360"/>
      </w:tabs>
      <w:ind w:left="360" w:hanging="360"/>
    </w:pPr>
  </w:style>
  <w:style w:type="paragraph" w:styleId="List2">
    <w:name w:val="List 2"/>
    <w:basedOn w:val="Normal"/>
    <w:rsid w:val="003104D0"/>
    <w:pPr>
      <w:ind w:left="566" w:hanging="283"/>
    </w:pPr>
  </w:style>
  <w:style w:type="paragraph" w:styleId="List3">
    <w:name w:val="List 3"/>
    <w:basedOn w:val="Normal"/>
    <w:rsid w:val="003104D0"/>
    <w:pPr>
      <w:ind w:left="849" w:hanging="283"/>
    </w:pPr>
  </w:style>
  <w:style w:type="paragraph" w:styleId="List4">
    <w:name w:val="List 4"/>
    <w:basedOn w:val="Normal"/>
    <w:rsid w:val="003104D0"/>
    <w:pPr>
      <w:ind w:left="1132" w:hanging="283"/>
    </w:pPr>
  </w:style>
  <w:style w:type="paragraph" w:styleId="List5">
    <w:name w:val="List 5"/>
    <w:basedOn w:val="Normal"/>
    <w:rsid w:val="003104D0"/>
    <w:pPr>
      <w:ind w:left="1415" w:hanging="283"/>
    </w:pPr>
  </w:style>
  <w:style w:type="paragraph" w:styleId="ListBullet2">
    <w:name w:val="List Bullet 2"/>
    <w:basedOn w:val="Normal"/>
    <w:autoRedefine/>
    <w:rsid w:val="003104D0"/>
    <w:pPr>
      <w:tabs>
        <w:tab w:val="num" w:pos="360"/>
      </w:tabs>
    </w:pPr>
  </w:style>
  <w:style w:type="paragraph" w:styleId="ListBullet3">
    <w:name w:val="List Bullet 3"/>
    <w:basedOn w:val="Normal"/>
    <w:autoRedefine/>
    <w:rsid w:val="003104D0"/>
    <w:pPr>
      <w:tabs>
        <w:tab w:val="num" w:pos="926"/>
      </w:tabs>
      <w:ind w:left="926" w:hanging="360"/>
    </w:pPr>
  </w:style>
  <w:style w:type="paragraph" w:styleId="ListBullet4">
    <w:name w:val="List Bullet 4"/>
    <w:basedOn w:val="Normal"/>
    <w:autoRedefine/>
    <w:rsid w:val="003104D0"/>
    <w:pPr>
      <w:tabs>
        <w:tab w:val="num" w:pos="1209"/>
      </w:tabs>
      <w:ind w:left="1209" w:hanging="360"/>
    </w:pPr>
  </w:style>
  <w:style w:type="paragraph" w:styleId="ListBullet5">
    <w:name w:val="List Bullet 5"/>
    <w:basedOn w:val="Normal"/>
    <w:autoRedefine/>
    <w:rsid w:val="003104D0"/>
    <w:pPr>
      <w:tabs>
        <w:tab w:val="num" w:pos="1492"/>
      </w:tabs>
      <w:ind w:left="1492" w:hanging="360"/>
    </w:pPr>
  </w:style>
  <w:style w:type="paragraph" w:styleId="ListNumber2">
    <w:name w:val="List Number 2"/>
    <w:basedOn w:val="Normal"/>
    <w:rsid w:val="003104D0"/>
    <w:pPr>
      <w:tabs>
        <w:tab w:val="num" w:pos="643"/>
      </w:tabs>
      <w:ind w:left="643" w:hanging="360"/>
    </w:pPr>
  </w:style>
  <w:style w:type="paragraph" w:styleId="ListNumber3">
    <w:name w:val="List Number 3"/>
    <w:basedOn w:val="Normal"/>
    <w:rsid w:val="003104D0"/>
    <w:pPr>
      <w:tabs>
        <w:tab w:val="num" w:pos="926"/>
      </w:tabs>
      <w:ind w:left="926" w:hanging="360"/>
    </w:pPr>
  </w:style>
  <w:style w:type="paragraph" w:styleId="ListNumber4">
    <w:name w:val="List Number 4"/>
    <w:basedOn w:val="Normal"/>
    <w:rsid w:val="003104D0"/>
    <w:pPr>
      <w:tabs>
        <w:tab w:val="num" w:pos="1209"/>
      </w:tabs>
      <w:ind w:left="1209" w:hanging="360"/>
    </w:pPr>
  </w:style>
  <w:style w:type="paragraph" w:styleId="ListNumber5">
    <w:name w:val="List Number 5"/>
    <w:basedOn w:val="Normal"/>
    <w:rsid w:val="003104D0"/>
    <w:pPr>
      <w:tabs>
        <w:tab w:val="num" w:pos="1492"/>
      </w:tabs>
      <w:ind w:left="1492" w:hanging="360"/>
    </w:pPr>
  </w:style>
  <w:style w:type="paragraph" w:styleId="Title">
    <w:name w:val="Title"/>
    <w:basedOn w:val="Normal"/>
    <w:link w:val="TitleChar"/>
    <w:qFormat/>
    <w:rsid w:val="003104D0"/>
    <w:pPr>
      <w:spacing w:before="240" w:after="60"/>
    </w:pPr>
    <w:rPr>
      <w:rFonts w:ascii="Arial" w:hAnsi="Arial" w:cs="Arial"/>
      <w:b/>
      <w:bCs/>
      <w:sz w:val="40"/>
      <w:szCs w:val="40"/>
    </w:rPr>
  </w:style>
  <w:style w:type="character" w:customStyle="1" w:styleId="TitleChar">
    <w:name w:val="Title Char"/>
    <w:basedOn w:val="DefaultParagraphFont"/>
    <w:link w:val="Title"/>
    <w:rsid w:val="003104D0"/>
    <w:rPr>
      <w:rFonts w:ascii="Arial" w:hAnsi="Arial" w:cs="Arial"/>
      <w:b/>
      <w:bCs/>
      <w:sz w:val="40"/>
      <w:szCs w:val="40"/>
    </w:rPr>
  </w:style>
  <w:style w:type="paragraph" w:styleId="Closing">
    <w:name w:val="Closing"/>
    <w:basedOn w:val="Normal"/>
    <w:link w:val="ClosingChar"/>
    <w:rsid w:val="003104D0"/>
    <w:pPr>
      <w:ind w:left="4252"/>
    </w:pPr>
  </w:style>
  <w:style w:type="character" w:customStyle="1" w:styleId="ClosingChar">
    <w:name w:val="Closing Char"/>
    <w:basedOn w:val="DefaultParagraphFont"/>
    <w:link w:val="Closing"/>
    <w:rsid w:val="003104D0"/>
    <w:rPr>
      <w:sz w:val="22"/>
    </w:rPr>
  </w:style>
  <w:style w:type="paragraph" w:styleId="Signature">
    <w:name w:val="Signature"/>
    <w:basedOn w:val="Normal"/>
    <w:link w:val="SignatureChar"/>
    <w:rsid w:val="003104D0"/>
    <w:pPr>
      <w:ind w:left="4252"/>
    </w:pPr>
  </w:style>
  <w:style w:type="character" w:customStyle="1" w:styleId="SignatureChar">
    <w:name w:val="Signature Char"/>
    <w:basedOn w:val="DefaultParagraphFont"/>
    <w:link w:val="Signature"/>
    <w:rsid w:val="003104D0"/>
    <w:rPr>
      <w:sz w:val="22"/>
    </w:rPr>
  </w:style>
  <w:style w:type="paragraph" w:styleId="BodyText">
    <w:name w:val="Body Text"/>
    <w:basedOn w:val="Normal"/>
    <w:link w:val="BodyTextChar"/>
    <w:rsid w:val="003104D0"/>
    <w:pPr>
      <w:spacing w:after="120"/>
    </w:pPr>
  </w:style>
  <w:style w:type="character" w:customStyle="1" w:styleId="BodyTextChar">
    <w:name w:val="Body Text Char"/>
    <w:basedOn w:val="DefaultParagraphFont"/>
    <w:link w:val="BodyText"/>
    <w:rsid w:val="003104D0"/>
    <w:rPr>
      <w:sz w:val="22"/>
    </w:rPr>
  </w:style>
  <w:style w:type="paragraph" w:styleId="BodyTextIndent">
    <w:name w:val="Body Text Indent"/>
    <w:basedOn w:val="Normal"/>
    <w:link w:val="BodyTextIndentChar"/>
    <w:rsid w:val="003104D0"/>
    <w:pPr>
      <w:spacing w:after="120"/>
      <w:ind w:left="283"/>
    </w:pPr>
  </w:style>
  <w:style w:type="character" w:customStyle="1" w:styleId="BodyTextIndentChar">
    <w:name w:val="Body Text Indent Char"/>
    <w:basedOn w:val="DefaultParagraphFont"/>
    <w:link w:val="BodyTextIndent"/>
    <w:rsid w:val="003104D0"/>
    <w:rPr>
      <w:sz w:val="22"/>
    </w:rPr>
  </w:style>
  <w:style w:type="paragraph" w:styleId="ListContinue">
    <w:name w:val="List Continue"/>
    <w:basedOn w:val="Normal"/>
    <w:rsid w:val="003104D0"/>
    <w:pPr>
      <w:spacing w:after="120"/>
      <w:ind w:left="283"/>
    </w:pPr>
  </w:style>
  <w:style w:type="paragraph" w:styleId="ListContinue2">
    <w:name w:val="List Continue 2"/>
    <w:basedOn w:val="Normal"/>
    <w:rsid w:val="003104D0"/>
    <w:pPr>
      <w:spacing w:after="120"/>
      <w:ind w:left="566"/>
    </w:pPr>
  </w:style>
  <w:style w:type="paragraph" w:styleId="ListContinue3">
    <w:name w:val="List Continue 3"/>
    <w:basedOn w:val="Normal"/>
    <w:rsid w:val="003104D0"/>
    <w:pPr>
      <w:spacing w:after="120"/>
      <w:ind w:left="849"/>
    </w:pPr>
  </w:style>
  <w:style w:type="paragraph" w:styleId="ListContinue4">
    <w:name w:val="List Continue 4"/>
    <w:basedOn w:val="Normal"/>
    <w:rsid w:val="003104D0"/>
    <w:pPr>
      <w:spacing w:after="120"/>
      <w:ind w:left="1132"/>
    </w:pPr>
  </w:style>
  <w:style w:type="paragraph" w:styleId="ListContinue5">
    <w:name w:val="List Continue 5"/>
    <w:basedOn w:val="Normal"/>
    <w:rsid w:val="003104D0"/>
    <w:pPr>
      <w:spacing w:after="120"/>
      <w:ind w:left="1415"/>
    </w:pPr>
  </w:style>
  <w:style w:type="paragraph" w:styleId="MessageHeader">
    <w:name w:val="Message Header"/>
    <w:basedOn w:val="Normal"/>
    <w:link w:val="MessageHeaderChar"/>
    <w:rsid w:val="003104D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3104D0"/>
    <w:rPr>
      <w:rFonts w:ascii="Arial" w:hAnsi="Arial" w:cs="Arial"/>
      <w:sz w:val="22"/>
      <w:shd w:val="pct20" w:color="auto" w:fill="auto"/>
    </w:rPr>
  </w:style>
  <w:style w:type="paragraph" w:styleId="Subtitle">
    <w:name w:val="Subtitle"/>
    <w:basedOn w:val="Normal"/>
    <w:link w:val="SubtitleChar"/>
    <w:qFormat/>
    <w:rsid w:val="003104D0"/>
    <w:pPr>
      <w:spacing w:after="60"/>
      <w:jc w:val="center"/>
      <w:outlineLvl w:val="1"/>
    </w:pPr>
    <w:rPr>
      <w:rFonts w:ascii="Arial" w:hAnsi="Arial" w:cs="Arial"/>
    </w:rPr>
  </w:style>
  <w:style w:type="character" w:customStyle="1" w:styleId="SubtitleChar">
    <w:name w:val="Subtitle Char"/>
    <w:basedOn w:val="DefaultParagraphFont"/>
    <w:link w:val="Subtitle"/>
    <w:rsid w:val="003104D0"/>
    <w:rPr>
      <w:rFonts w:ascii="Arial" w:hAnsi="Arial" w:cs="Arial"/>
      <w:sz w:val="22"/>
    </w:rPr>
  </w:style>
  <w:style w:type="paragraph" w:styleId="Salutation">
    <w:name w:val="Salutation"/>
    <w:basedOn w:val="Normal"/>
    <w:next w:val="Normal"/>
    <w:link w:val="SalutationChar"/>
    <w:rsid w:val="003104D0"/>
  </w:style>
  <w:style w:type="character" w:customStyle="1" w:styleId="SalutationChar">
    <w:name w:val="Salutation Char"/>
    <w:basedOn w:val="DefaultParagraphFont"/>
    <w:link w:val="Salutation"/>
    <w:rsid w:val="003104D0"/>
    <w:rPr>
      <w:sz w:val="22"/>
    </w:rPr>
  </w:style>
  <w:style w:type="paragraph" w:styleId="Date">
    <w:name w:val="Date"/>
    <w:basedOn w:val="Normal"/>
    <w:next w:val="Normal"/>
    <w:link w:val="DateChar"/>
    <w:rsid w:val="003104D0"/>
  </w:style>
  <w:style w:type="character" w:customStyle="1" w:styleId="DateChar">
    <w:name w:val="Date Char"/>
    <w:basedOn w:val="DefaultParagraphFont"/>
    <w:link w:val="Date"/>
    <w:rsid w:val="003104D0"/>
    <w:rPr>
      <w:sz w:val="22"/>
    </w:rPr>
  </w:style>
  <w:style w:type="paragraph" w:styleId="BodyTextFirstIndent">
    <w:name w:val="Body Text First Indent"/>
    <w:basedOn w:val="BodyText"/>
    <w:link w:val="BodyTextFirstIndentChar"/>
    <w:rsid w:val="003104D0"/>
    <w:pPr>
      <w:ind w:firstLine="210"/>
    </w:pPr>
  </w:style>
  <w:style w:type="character" w:customStyle="1" w:styleId="BodyTextFirstIndentChar">
    <w:name w:val="Body Text First Indent Char"/>
    <w:basedOn w:val="BodyTextChar"/>
    <w:link w:val="BodyTextFirstIndent"/>
    <w:rsid w:val="003104D0"/>
    <w:rPr>
      <w:sz w:val="22"/>
    </w:rPr>
  </w:style>
  <w:style w:type="paragraph" w:styleId="BodyTextFirstIndent2">
    <w:name w:val="Body Text First Indent 2"/>
    <w:basedOn w:val="BodyTextIndent"/>
    <w:link w:val="BodyTextFirstIndent2Char"/>
    <w:rsid w:val="003104D0"/>
    <w:pPr>
      <w:ind w:firstLine="210"/>
    </w:pPr>
  </w:style>
  <w:style w:type="character" w:customStyle="1" w:styleId="BodyTextFirstIndent2Char">
    <w:name w:val="Body Text First Indent 2 Char"/>
    <w:basedOn w:val="BodyTextIndentChar"/>
    <w:link w:val="BodyTextFirstIndent2"/>
    <w:rsid w:val="003104D0"/>
    <w:rPr>
      <w:sz w:val="22"/>
    </w:rPr>
  </w:style>
  <w:style w:type="paragraph" w:styleId="BodyText2">
    <w:name w:val="Body Text 2"/>
    <w:basedOn w:val="Normal"/>
    <w:link w:val="BodyText2Char"/>
    <w:rsid w:val="003104D0"/>
    <w:pPr>
      <w:spacing w:after="120" w:line="480" w:lineRule="auto"/>
    </w:pPr>
  </w:style>
  <w:style w:type="character" w:customStyle="1" w:styleId="BodyText2Char">
    <w:name w:val="Body Text 2 Char"/>
    <w:basedOn w:val="DefaultParagraphFont"/>
    <w:link w:val="BodyText2"/>
    <w:rsid w:val="003104D0"/>
    <w:rPr>
      <w:sz w:val="22"/>
    </w:rPr>
  </w:style>
  <w:style w:type="paragraph" w:styleId="BodyText3">
    <w:name w:val="Body Text 3"/>
    <w:basedOn w:val="Normal"/>
    <w:link w:val="BodyText3Char"/>
    <w:rsid w:val="003104D0"/>
    <w:pPr>
      <w:spacing w:after="120"/>
    </w:pPr>
    <w:rPr>
      <w:sz w:val="16"/>
      <w:szCs w:val="16"/>
    </w:rPr>
  </w:style>
  <w:style w:type="character" w:customStyle="1" w:styleId="BodyText3Char">
    <w:name w:val="Body Text 3 Char"/>
    <w:basedOn w:val="DefaultParagraphFont"/>
    <w:link w:val="BodyText3"/>
    <w:rsid w:val="003104D0"/>
    <w:rPr>
      <w:sz w:val="16"/>
      <w:szCs w:val="16"/>
    </w:rPr>
  </w:style>
  <w:style w:type="paragraph" w:styleId="BodyTextIndent2">
    <w:name w:val="Body Text Indent 2"/>
    <w:basedOn w:val="Normal"/>
    <w:link w:val="BodyTextIndent2Char"/>
    <w:rsid w:val="003104D0"/>
    <w:pPr>
      <w:spacing w:after="120" w:line="480" w:lineRule="auto"/>
      <w:ind w:left="283"/>
    </w:pPr>
  </w:style>
  <w:style w:type="character" w:customStyle="1" w:styleId="BodyTextIndent2Char">
    <w:name w:val="Body Text Indent 2 Char"/>
    <w:basedOn w:val="DefaultParagraphFont"/>
    <w:link w:val="BodyTextIndent2"/>
    <w:rsid w:val="003104D0"/>
    <w:rPr>
      <w:sz w:val="22"/>
    </w:rPr>
  </w:style>
  <w:style w:type="paragraph" w:styleId="BodyTextIndent3">
    <w:name w:val="Body Text Indent 3"/>
    <w:basedOn w:val="Normal"/>
    <w:link w:val="BodyTextIndent3Char"/>
    <w:rsid w:val="003104D0"/>
    <w:pPr>
      <w:spacing w:after="120"/>
      <w:ind w:left="283"/>
    </w:pPr>
    <w:rPr>
      <w:sz w:val="16"/>
      <w:szCs w:val="16"/>
    </w:rPr>
  </w:style>
  <w:style w:type="character" w:customStyle="1" w:styleId="BodyTextIndent3Char">
    <w:name w:val="Body Text Indent 3 Char"/>
    <w:basedOn w:val="DefaultParagraphFont"/>
    <w:link w:val="BodyTextIndent3"/>
    <w:rsid w:val="003104D0"/>
    <w:rPr>
      <w:sz w:val="16"/>
      <w:szCs w:val="16"/>
    </w:rPr>
  </w:style>
  <w:style w:type="paragraph" w:styleId="BlockText">
    <w:name w:val="Block Text"/>
    <w:basedOn w:val="Normal"/>
    <w:rsid w:val="003104D0"/>
    <w:pPr>
      <w:spacing w:after="120"/>
      <w:ind w:left="1440" w:right="1440"/>
    </w:pPr>
  </w:style>
  <w:style w:type="character" w:styleId="Hyperlink">
    <w:name w:val="Hyperlink"/>
    <w:basedOn w:val="DefaultParagraphFont"/>
    <w:rsid w:val="003104D0"/>
    <w:rPr>
      <w:color w:val="0000FF"/>
      <w:u w:val="single"/>
    </w:rPr>
  </w:style>
  <w:style w:type="character" w:styleId="FollowedHyperlink">
    <w:name w:val="FollowedHyperlink"/>
    <w:basedOn w:val="DefaultParagraphFont"/>
    <w:rsid w:val="003104D0"/>
    <w:rPr>
      <w:color w:val="800080"/>
      <w:u w:val="single"/>
    </w:rPr>
  </w:style>
  <w:style w:type="character" w:styleId="Strong">
    <w:name w:val="Strong"/>
    <w:basedOn w:val="DefaultParagraphFont"/>
    <w:qFormat/>
    <w:rsid w:val="003104D0"/>
    <w:rPr>
      <w:b/>
      <w:bCs/>
    </w:rPr>
  </w:style>
  <w:style w:type="character" w:styleId="Emphasis">
    <w:name w:val="Emphasis"/>
    <w:basedOn w:val="DefaultParagraphFont"/>
    <w:qFormat/>
    <w:rsid w:val="003104D0"/>
    <w:rPr>
      <w:i/>
      <w:iCs/>
    </w:rPr>
  </w:style>
  <w:style w:type="paragraph" w:styleId="DocumentMap">
    <w:name w:val="Document Map"/>
    <w:basedOn w:val="Normal"/>
    <w:link w:val="DocumentMapChar"/>
    <w:rsid w:val="003104D0"/>
    <w:pPr>
      <w:shd w:val="clear" w:color="auto" w:fill="000080"/>
    </w:pPr>
    <w:rPr>
      <w:rFonts w:ascii="Tahoma" w:hAnsi="Tahoma" w:cs="Tahoma"/>
    </w:rPr>
  </w:style>
  <w:style w:type="character" w:customStyle="1" w:styleId="DocumentMapChar">
    <w:name w:val="Document Map Char"/>
    <w:basedOn w:val="DefaultParagraphFont"/>
    <w:link w:val="DocumentMap"/>
    <w:rsid w:val="003104D0"/>
    <w:rPr>
      <w:rFonts w:ascii="Tahoma" w:hAnsi="Tahoma" w:cs="Tahoma"/>
      <w:sz w:val="22"/>
      <w:shd w:val="clear" w:color="auto" w:fill="000080"/>
    </w:rPr>
  </w:style>
  <w:style w:type="paragraph" w:styleId="PlainText">
    <w:name w:val="Plain Text"/>
    <w:basedOn w:val="Normal"/>
    <w:link w:val="PlainTextChar"/>
    <w:rsid w:val="003104D0"/>
    <w:rPr>
      <w:rFonts w:ascii="Courier New" w:hAnsi="Courier New" w:cs="Courier New"/>
      <w:sz w:val="20"/>
    </w:rPr>
  </w:style>
  <w:style w:type="character" w:customStyle="1" w:styleId="PlainTextChar">
    <w:name w:val="Plain Text Char"/>
    <w:basedOn w:val="DefaultParagraphFont"/>
    <w:link w:val="PlainText"/>
    <w:rsid w:val="003104D0"/>
    <w:rPr>
      <w:rFonts w:ascii="Courier New" w:hAnsi="Courier New" w:cs="Courier New"/>
    </w:rPr>
  </w:style>
  <w:style w:type="paragraph" w:styleId="E-mailSignature">
    <w:name w:val="E-mail Signature"/>
    <w:basedOn w:val="Normal"/>
    <w:link w:val="E-mailSignatureChar"/>
    <w:rsid w:val="003104D0"/>
  </w:style>
  <w:style w:type="character" w:customStyle="1" w:styleId="E-mailSignatureChar">
    <w:name w:val="E-mail Signature Char"/>
    <w:basedOn w:val="DefaultParagraphFont"/>
    <w:link w:val="E-mailSignature"/>
    <w:rsid w:val="003104D0"/>
    <w:rPr>
      <w:sz w:val="22"/>
    </w:rPr>
  </w:style>
  <w:style w:type="paragraph" w:styleId="NormalWeb">
    <w:name w:val="Normal (Web)"/>
    <w:basedOn w:val="Normal"/>
    <w:rsid w:val="003104D0"/>
  </w:style>
  <w:style w:type="character" w:styleId="HTMLAcronym">
    <w:name w:val="HTML Acronym"/>
    <w:basedOn w:val="DefaultParagraphFont"/>
    <w:rsid w:val="003104D0"/>
  </w:style>
  <w:style w:type="paragraph" w:styleId="HTMLAddress">
    <w:name w:val="HTML Address"/>
    <w:basedOn w:val="Normal"/>
    <w:link w:val="HTMLAddressChar"/>
    <w:rsid w:val="003104D0"/>
    <w:rPr>
      <w:i/>
      <w:iCs/>
    </w:rPr>
  </w:style>
  <w:style w:type="character" w:customStyle="1" w:styleId="HTMLAddressChar">
    <w:name w:val="HTML Address Char"/>
    <w:basedOn w:val="DefaultParagraphFont"/>
    <w:link w:val="HTMLAddress"/>
    <w:rsid w:val="003104D0"/>
    <w:rPr>
      <w:i/>
      <w:iCs/>
      <w:sz w:val="22"/>
    </w:rPr>
  </w:style>
  <w:style w:type="character" w:styleId="HTMLCite">
    <w:name w:val="HTML Cite"/>
    <w:basedOn w:val="DefaultParagraphFont"/>
    <w:rsid w:val="003104D0"/>
    <w:rPr>
      <w:i/>
      <w:iCs/>
    </w:rPr>
  </w:style>
  <w:style w:type="character" w:styleId="HTMLCode">
    <w:name w:val="HTML Code"/>
    <w:basedOn w:val="DefaultParagraphFont"/>
    <w:rsid w:val="003104D0"/>
    <w:rPr>
      <w:rFonts w:ascii="Courier New" w:hAnsi="Courier New" w:cs="Courier New"/>
      <w:sz w:val="20"/>
      <w:szCs w:val="20"/>
    </w:rPr>
  </w:style>
  <w:style w:type="character" w:styleId="HTMLDefinition">
    <w:name w:val="HTML Definition"/>
    <w:basedOn w:val="DefaultParagraphFont"/>
    <w:rsid w:val="003104D0"/>
    <w:rPr>
      <w:i/>
      <w:iCs/>
    </w:rPr>
  </w:style>
  <w:style w:type="character" w:styleId="HTMLKeyboard">
    <w:name w:val="HTML Keyboard"/>
    <w:basedOn w:val="DefaultParagraphFont"/>
    <w:rsid w:val="003104D0"/>
    <w:rPr>
      <w:rFonts w:ascii="Courier New" w:hAnsi="Courier New" w:cs="Courier New"/>
      <w:sz w:val="20"/>
      <w:szCs w:val="20"/>
    </w:rPr>
  </w:style>
  <w:style w:type="paragraph" w:styleId="HTMLPreformatted">
    <w:name w:val="HTML Preformatted"/>
    <w:basedOn w:val="Normal"/>
    <w:link w:val="HTMLPreformattedChar"/>
    <w:rsid w:val="003104D0"/>
    <w:rPr>
      <w:rFonts w:ascii="Courier New" w:hAnsi="Courier New" w:cs="Courier New"/>
      <w:sz w:val="20"/>
    </w:rPr>
  </w:style>
  <w:style w:type="character" w:customStyle="1" w:styleId="HTMLPreformattedChar">
    <w:name w:val="HTML Preformatted Char"/>
    <w:basedOn w:val="DefaultParagraphFont"/>
    <w:link w:val="HTMLPreformatted"/>
    <w:rsid w:val="003104D0"/>
    <w:rPr>
      <w:rFonts w:ascii="Courier New" w:hAnsi="Courier New" w:cs="Courier New"/>
    </w:rPr>
  </w:style>
  <w:style w:type="character" w:styleId="HTMLSample">
    <w:name w:val="HTML Sample"/>
    <w:basedOn w:val="DefaultParagraphFont"/>
    <w:rsid w:val="003104D0"/>
    <w:rPr>
      <w:rFonts w:ascii="Courier New" w:hAnsi="Courier New" w:cs="Courier New"/>
    </w:rPr>
  </w:style>
  <w:style w:type="character" w:styleId="HTMLTypewriter">
    <w:name w:val="HTML Typewriter"/>
    <w:basedOn w:val="DefaultParagraphFont"/>
    <w:rsid w:val="003104D0"/>
    <w:rPr>
      <w:rFonts w:ascii="Courier New" w:hAnsi="Courier New" w:cs="Courier New"/>
      <w:sz w:val="20"/>
      <w:szCs w:val="20"/>
    </w:rPr>
  </w:style>
  <w:style w:type="character" w:styleId="HTMLVariable">
    <w:name w:val="HTML Variable"/>
    <w:basedOn w:val="DefaultParagraphFont"/>
    <w:rsid w:val="003104D0"/>
    <w:rPr>
      <w:i/>
      <w:iCs/>
    </w:rPr>
  </w:style>
  <w:style w:type="paragraph" w:styleId="CommentSubject">
    <w:name w:val="annotation subject"/>
    <w:basedOn w:val="CommentText"/>
    <w:next w:val="CommentText"/>
    <w:link w:val="CommentSubjectChar"/>
    <w:rsid w:val="003104D0"/>
    <w:rPr>
      <w:b/>
      <w:bCs/>
    </w:rPr>
  </w:style>
  <w:style w:type="character" w:customStyle="1" w:styleId="CommentSubjectChar">
    <w:name w:val="Comment Subject Char"/>
    <w:basedOn w:val="CommentTextChar"/>
    <w:link w:val="CommentSubject"/>
    <w:rsid w:val="003104D0"/>
    <w:rPr>
      <w:b/>
      <w:bCs/>
    </w:rPr>
  </w:style>
  <w:style w:type="numbering" w:styleId="1ai">
    <w:name w:val="Outline List 1"/>
    <w:basedOn w:val="NoList"/>
    <w:rsid w:val="003104D0"/>
    <w:pPr>
      <w:numPr>
        <w:numId w:val="14"/>
      </w:numPr>
    </w:pPr>
  </w:style>
  <w:style w:type="numbering" w:styleId="111111">
    <w:name w:val="Outline List 2"/>
    <w:basedOn w:val="NoList"/>
    <w:rsid w:val="003104D0"/>
    <w:pPr>
      <w:numPr>
        <w:numId w:val="15"/>
      </w:numPr>
    </w:pPr>
  </w:style>
  <w:style w:type="numbering" w:styleId="ArticleSection">
    <w:name w:val="Outline List 3"/>
    <w:basedOn w:val="NoList"/>
    <w:rsid w:val="003104D0"/>
    <w:pPr>
      <w:numPr>
        <w:numId w:val="17"/>
      </w:numPr>
    </w:pPr>
  </w:style>
  <w:style w:type="table" w:styleId="TableSimple1">
    <w:name w:val="Table Simple 1"/>
    <w:basedOn w:val="TableNormal"/>
    <w:rsid w:val="003104D0"/>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104D0"/>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104D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3104D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104D0"/>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104D0"/>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104D0"/>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104D0"/>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104D0"/>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104D0"/>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104D0"/>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104D0"/>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104D0"/>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104D0"/>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104D0"/>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3104D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104D0"/>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104D0"/>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104D0"/>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104D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104D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104D0"/>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104D0"/>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104D0"/>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104D0"/>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104D0"/>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104D0"/>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104D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104D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104D0"/>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104D0"/>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3104D0"/>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104D0"/>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104D0"/>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3104D0"/>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104D0"/>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3104D0"/>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104D0"/>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104D0"/>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104D0"/>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104D0"/>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104D0"/>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3104D0"/>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3104D0"/>
    <w:rPr>
      <w:rFonts w:eastAsia="Times New Roman" w:cs="Times New Roman"/>
      <w:b/>
      <w:kern w:val="28"/>
      <w:sz w:val="24"/>
      <w:lang w:eastAsia="en-AU"/>
    </w:rPr>
  </w:style>
  <w:style w:type="paragraph" w:customStyle="1" w:styleId="ETAsubitem">
    <w:name w:val="ETA(subitem)"/>
    <w:basedOn w:val="OPCParaBase"/>
    <w:rsid w:val="003104D0"/>
    <w:pPr>
      <w:tabs>
        <w:tab w:val="right" w:pos="340"/>
      </w:tabs>
      <w:spacing w:before="60" w:line="240" w:lineRule="auto"/>
      <w:ind w:left="454" w:hanging="454"/>
    </w:pPr>
    <w:rPr>
      <w:sz w:val="20"/>
    </w:rPr>
  </w:style>
  <w:style w:type="paragraph" w:customStyle="1" w:styleId="ETApara">
    <w:name w:val="ETA(para)"/>
    <w:basedOn w:val="OPCParaBase"/>
    <w:rsid w:val="003104D0"/>
    <w:pPr>
      <w:tabs>
        <w:tab w:val="right" w:pos="754"/>
      </w:tabs>
      <w:spacing w:before="60" w:line="240" w:lineRule="auto"/>
      <w:ind w:left="828" w:hanging="828"/>
    </w:pPr>
    <w:rPr>
      <w:sz w:val="20"/>
    </w:rPr>
  </w:style>
  <w:style w:type="paragraph" w:customStyle="1" w:styleId="ETAsubpara">
    <w:name w:val="ETA(subpara)"/>
    <w:basedOn w:val="OPCParaBase"/>
    <w:rsid w:val="003104D0"/>
    <w:pPr>
      <w:tabs>
        <w:tab w:val="right" w:pos="1083"/>
      </w:tabs>
      <w:spacing w:before="60" w:line="240" w:lineRule="auto"/>
      <w:ind w:left="1191" w:hanging="1191"/>
    </w:pPr>
    <w:rPr>
      <w:sz w:val="20"/>
    </w:rPr>
  </w:style>
  <w:style w:type="paragraph" w:customStyle="1" w:styleId="ETAsub-subpara">
    <w:name w:val="ETA(sub-subpara)"/>
    <w:basedOn w:val="OPCParaBase"/>
    <w:rsid w:val="003104D0"/>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3104D0"/>
  </w:style>
  <w:style w:type="numbering" w:customStyle="1" w:styleId="OPCBodyList">
    <w:name w:val="OPCBodyList"/>
    <w:uiPriority w:val="99"/>
    <w:rsid w:val="0001201E"/>
    <w:pPr>
      <w:numPr>
        <w:numId w:val="29"/>
      </w:numPr>
    </w:pPr>
  </w:style>
  <w:style w:type="character" w:customStyle="1" w:styleId="OPCParaBaseChar">
    <w:name w:val="OPCParaBase Char"/>
    <w:link w:val="OPCParaBase"/>
    <w:rsid w:val="0001201E"/>
    <w:rPr>
      <w:rFonts w:eastAsia="Times New Roman" w:cs="Times New Roman"/>
      <w:sz w:val="22"/>
      <w:lang w:eastAsia="en-AU"/>
    </w:rPr>
  </w:style>
  <w:style w:type="paragraph" w:styleId="Revision">
    <w:name w:val="Revision"/>
    <w:hidden/>
    <w:uiPriority w:val="99"/>
    <w:semiHidden/>
    <w:rsid w:val="0001201E"/>
    <w:rPr>
      <w:rFonts w:eastAsia="Calibri" w:cs="Times New Roman"/>
      <w:sz w:val="22"/>
    </w:rPr>
  </w:style>
  <w:style w:type="character" w:customStyle="1" w:styleId="TableHeadingChar">
    <w:name w:val="TableHeading Char"/>
    <w:aliases w:val="th Char"/>
    <w:link w:val="TableHeading"/>
    <w:rsid w:val="0001201E"/>
    <w:rPr>
      <w:rFonts w:eastAsia="Times New Roman" w:cs="Times New Roman"/>
      <w:b/>
      <w:lang w:eastAsia="en-AU"/>
    </w:rPr>
  </w:style>
  <w:style w:type="character" w:customStyle="1" w:styleId="paragraphChar">
    <w:name w:val="paragraph Char"/>
    <w:aliases w:val="a Char"/>
    <w:link w:val="paragraph"/>
    <w:rsid w:val="0001201E"/>
    <w:rPr>
      <w:rFonts w:eastAsia="Times New Roman" w:cs="Times New Roman"/>
      <w:sz w:val="22"/>
      <w:lang w:eastAsia="en-AU"/>
    </w:rPr>
  </w:style>
  <w:style w:type="paragraph" w:styleId="NoteHeading">
    <w:name w:val="Note Heading"/>
    <w:basedOn w:val="Normal"/>
    <w:next w:val="Normal"/>
    <w:link w:val="NoteHeadingChar"/>
    <w:uiPriority w:val="99"/>
    <w:semiHidden/>
    <w:unhideWhenUsed/>
    <w:rsid w:val="0001201E"/>
    <w:pPr>
      <w:spacing w:line="240" w:lineRule="auto"/>
    </w:pPr>
    <w:rPr>
      <w:rFonts w:eastAsia="Calibri" w:cs="Times New Roman"/>
    </w:rPr>
  </w:style>
  <w:style w:type="character" w:customStyle="1" w:styleId="NoteHeadingChar">
    <w:name w:val="Note Heading Char"/>
    <w:basedOn w:val="DefaultParagraphFont"/>
    <w:link w:val="NoteHeading"/>
    <w:uiPriority w:val="99"/>
    <w:semiHidden/>
    <w:rsid w:val="0001201E"/>
    <w:rPr>
      <w:rFonts w:eastAsia="Calibri" w:cs="Times New Roman"/>
      <w:sz w:val="22"/>
    </w:rPr>
  </w:style>
  <w:style w:type="paragraph" w:styleId="ListParagraph">
    <w:name w:val="List Paragraph"/>
    <w:basedOn w:val="Normal"/>
    <w:uiPriority w:val="34"/>
    <w:qFormat/>
    <w:rsid w:val="0006233F"/>
    <w:pPr>
      <w:spacing w:line="240" w:lineRule="auto"/>
      <w:ind w:left="720"/>
    </w:pPr>
    <w:rPr>
      <w:rFonts w:ascii="Calibri" w:eastAsia="Times New Roman" w:hAnsi="Calibri" w:cs="Times New Roman"/>
      <w:sz w:val="20"/>
      <w:lang w:eastAsia="en-AU"/>
    </w:rPr>
  </w:style>
  <w:style w:type="character" w:customStyle="1" w:styleId="TabletextChar">
    <w:name w:val="Tabletext Char"/>
    <w:aliases w:val="tt Char"/>
    <w:basedOn w:val="DefaultParagraphFont"/>
    <w:link w:val="Tabletext"/>
    <w:rsid w:val="005B63A2"/>
    <w:rPr>
      <w:rFonts w:eastAsia="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2758">
      <w:bodyDiv w:val="1"/>
      <w:marLeft w:val="0"/>
      <w:marRight w:val="0"/>
      <w:marTop w:val="0"/>
      <w:marBottom w:val="0"/>
      <w:divBdr>
        <w:top w:val="none" w:sz="0" w:space="0" w:color="auto"/>
        <w:left w:val="none" w:sz="0" w:space="0" w:color="auto"/>
        <w:bottom w:val="none" w:sz="0" w:space="0" w:color="auto"/>
        <w:right w:val="none" w:sz="0" w:space="0" w:color="auto"/>
      </w:divBdr>
    </w:div>
    <w:div w:id="159779593">
      <w:bodyDiv w:val="1"/>
      <w:marLeft w:val="0"/>
      <w:marRight w:val="0"/>
      <w:marTop w:val="0"/>
      <w:marBottom w:val="0"/>
      <w:divBdr>
        <w:top w:val="none" w:sz="0" w:space="0" w:color="auto"/>
        <w:left w:val="none" w:sz="0" w:space="0" w:color="auto"/>
        <w:bottom w:val="none" w:sz="0" w:space="0" w:color="auto"/>
        <w:right w:val="none" w:sz="0" w:space="0" w:color="auto"/>
      </w:divBdr>
      <w:divsChild>
        <w:div w:id="204493403">
          <w:marLeft w:val="0"/>
          <w:marRight w:val="0"/>
          <w:marTop w:val="0"/>
          <w:marBottom w:val="0"/>
          <w:divBdr>
            <w:top w:val="none" w:sz="0" w:space="0" w:color="auto"/>
            <w:left w:val="none" w:sz="0" w:space="0" w:color="auto"/>
            <w:bottom w:val="none" w:sz="0" w:space="0" w:color="auto"/>
            <w:right w:val="none" w:sz="0" w:space="0" w:color="auto"/>
          </w:divBdr>
          <w:divsChild>
            <w:div w:id="321616688">
              <w:marLeft w:val="0"/>
              <w:marRight w:val="0"/>
              <w:marTop w:val="0"/>
              <w:marBottom w:val="0"/>
              <w:divBdr>
                <w:top w:val="none" w:sz="0" w:space="0" w:color="auto"/>
                <w:left w:val="none" w:sz="0" w:space="0" w:color="auto"/>
                <w:bottom w:val="none" w:sz="0" w:space="0" w:color="auto"/>
                <w:right w:val="none" w:sz="0" w:space="0" w:color="auto"/>
              </w:divBdr>
              <w:divsChild>
                <w:div w:id="438108384">
                  <w:marLeft w:val="0"/>
                  <w:marRight w:val="0"/>
                  <w:marTop w:val="0"/>
                  <w:marBottom w:val="0"/>
                  <w:divBdr>
                    <w:top w:val="none" w:sz="0" w:space="0" w:color="auto"/>
                    <w:left w:val="none" w:sz="0" w:space="0" w:color="auto"/>
                    <w:bottom w:val="none" w:sz="0" w:space="0" w:color="auto"/>
                    <w:right w:val="none" w:sz="0" w:space="0" w:color="auto"/>
                  </w:divBdr>
                  <w:divsChild>
                    <w:div w:id="473374573">
                      <w:marLeft w:val="0"/>
                      <w:marRight w:val="0"/>
                      <w:marTop w:val="0"/>
                      <w:marBottom w:val="0"/>
                      <w:divBdr>
                        <w:top w:val="none" w:sz="0" w:space="0" w:color="auto"/>
                        <w:left w:val="none" w:sz="0" w:space="0" w:color="auto"/>
                        <w:bottom w:val="none" w:sz="0" w:space="0" w:color="auto"/>
                        <w:right w:val="none" w:sz="0" w:space="0" w:color="auto"/>
                      </w:divBdr>
                      <w:divsChild>
                        <w:div w:id="382602091">
                          <w:marLeft w:val="0"/>
                          <w:marRight w:val="0"/>
                          <w:marTop w:val="0"/>
                          <w:marBottom w:val="0"/>
                          <w:divBdr>
                            <w:top w:val="none" w:sz="0" w:space="0" w:color="auto"/>
                            <w:left w:val="none" w:sz="0" w:space="0" w:color="auto"/>
                            <w:bottom w:val="none" w:sz="0" w:space="0" w:color="auto"/>
                            <w:right w:val="none" w:sz="0" w:space="0" w:color="auto"/>
                          </w:divBdr>
                          <w:divsChild>
                            <w:div w:id="114177015">
                              <w:marLeft w:val="0"/>
                              <w:marRight w:val="0"/>
                              <w:marTop w:val="0"/>
                              <w:marBottom w:val="0"/>
                              <w:divBdr>
                                <w:top w:val="none" w:sz="0" w:space="0" w:color="auto"/>
                                <w:left w:val="none" w:sz="0" w:space="0" w:color="auto"/>
                                <w:bottom w:val="none" w:sz="0" w:space="0" w:color="auto"/>
                                <w:right w:val="none" w:sz="0" w:space="0" w:color="auto"/>
                              </w:divBdr>
                              <w:divsChild>
                                <w:div w:id="1720588617">
                                  <w:marLeft w:val="0"/>
                                  <w:marRight w:val="0"/>
                                  <w:marTop w:val="0"/>
                                  <w:marBottom w:val="0"/>
                                  <w:divBdr>
                                    <w:top w:val="none" w:sz="0" w:space="0" w:color="auto"/>
                                    <w:left w:val="none" w:sz="0" w:space="0" w:color="auto"/>
                                    <w:bottom w:val="none" w:sz="0" w:space="0" w:color="auto"/>
                                    <w:right w:val="none" w:sz="0" w:space="0" w:color="auto"/>
                                  </w:divBdr>
                                  <w:divsChild>
                                    <w:div w:id="15928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499552">
      <w:bodyDiv w:val="1"/>
      <w:marLeft w:val="0"/>
      <w:marRight w:val="0"/>
      <w:marTop w:val="0"/>
      <w:marBottom w:val="0"/>
      <w:divBdr>
        <w:top w:val="none" w:sz="0" w:space="0" w:color="auto"/>
        <w:left w:val="none" w:sz="0" w:space="0" w:color="auto"/>
        <w:bottom w:val="none" w:sz="0" w:space="0" w:color="auto"/>
        <w:right w:val="none" w:sz="0" w:space="0" w:color="auto"/>
      </w:divBdr>
    </w:div>
    <w:div w:id="1588608718">
      <w:bodyDiv w:val="1"/>
      <w:marLeft w:val="0"/>
      <w:marRight w:val="0"/>
      <w:marTop w:val="0"/>
      <w:marBottom w:val="0"/>
      <w:divBdr>
        <w:top w:val="none" w:sz="0" w:space="0" w:color="auto"/>
        <w:left w:val="none" w:sz="0" w:space="0" w:color="auto"/>
        <w:bottom w:val="none" w:sz="0" w:space="0" w:color="auto"/>
        <w:right w:val="none" w:sz="0" w:space="0" w:color="auto"/>
      </w:divBdr>
    </w:div>
    <w:div w:id="1665236722">
      <w:bodyDiv w:val="1"/>
      <w:marLeft w:val="0"/>
      <w:marRight w:val="0"/>
      <w:marTop w:val="0"/>
      <w:marBottom w:val="0"/>
      <w:divBdr>
        <w:top w:val="none" w:sz="0" w:space="0" w:color="auto"/>
        <w:left w:val="none" w:sz="0" w:space="0" w:color="auto"/>
        <w:bottom w:val="none" w:sz="0" w:space="0" w:color="auto"/>
        <w:right w:val="none" w:sz="0" w:space="0" w:color="auto"/>
      </w:divBdr>
    </w:div>
    <w:div w:id="176731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oleObject" Target="embeddings/oleObject3.bin"/><Relationship Id="rId39" Type="http://schemas.openxmlformats.org/officeDocument/2006/relationships/oleObject" Target="embeddings/oleObject7.bin"/><Relationship Id="rId21" Type="http://schemas.openxmlformats.org/officeDocument/2006/relationships/image" Target="media/image2.wmf"/><Relationship Id="rId34" Type="http://schemas.openxmlformats.org/officeDocument/2006/relationships/footer" Target="footer7.xml"/><Relationship Id="rId42" Type="http://schemas.openxmlformats.org/officeDocument/2006/relationships/image" Target="media/image10.wmf"/><Relationship Id="rId47" Type="http://schemas.openxmlformats.org/officeDocument/2006/relationships/header" Target="header10.xml"/><Relationship Id="rId50" Type="http://schemas.openxmlformats.org/officeDocument/2006/relationships/header" Target="header11.xml"/><Relationship Id="rId55" Type="http://schemas.openxmlformats.org/officeDocument/2006/relationships/footer" Target="footer13.xml"/><Relationship Id="rId63" Type="http://schemas.openxmlformats.org/officeDocument/2006/relationships/customXml" Target="../customXml/item5.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6.wmf"/><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header" Target="header8.xml"/><Relationship Id="rId37" Type="http://schemas.openxmlformats.org/officeDocument/2006/relationships/oleObject" Target="embeddings/oleObject6.bin"/><Relationship Id="rId40" Type="http://schemas.openxmlformats.org/officeDocument/2006/relationships/image" Target="media/image9.wmf"/><Relationship Id="rId45" Type="http://schemas.openxmlformats.org/officeDocument/2006/relationships/oleObject" Target="embeddings/oleObject10.bin"/><Relationship Id="rId53" Type="http://schemas.openxmlformats.org/officeDocument/2006/relationships/header" Target="header13.xml"/><Relationship Id="rId58"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customXml" Target="../customXml/item3.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footer" Target="footer8.xml"/><Relationship Id="rId43" Type="http://schemas.openxmlformats.org/officeDocument/2006/relationships/oleObject" Target="embeddings/oleObject9.bin"/><Relationship Id="rId48" Type="http://schemas.openxmlformats.org/officeDocument/2006/relationships/footer" Target="footer9.xml"/><Relationship Id="rId56" Type="http://schemas.openxmlformats.org/officeDocument/2006/relationships/header" Target="header14.xml"/><Relationship Id="rId64" Type="http://schemas.openxmlformats.org/officeDocument/2006/relationships/customXml" Target="../customXml/item6.xml"/><Relationship Id="rId8" Type="http://schemas.openxmlformats.org/officeDocument/2006/relationships/endnotes" Target="endnotes.xml"/><Relationship Id="rId51" Type="http://schemas.openxmlformats.org/officeDocument/2006/relationships/footer" Target="footer1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4.wmf"/><Relationship Id="rId33" Type="http://schemas.openxmlformats.org/officeDocument/2006/relationships/footer" Target="footer6.xml"/><Relationship Id="rId38" Type="http://schemas.openxmlformats.org/officeDocument/2006/relationships/image" Target="media/image8.wmf"/><Relationship Id="rId46" Type="http://schemas.openxmlformats.org/officeDocument/2006/relationships/header" Target="header9.xml"/><Relationship Id="rId59"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oleObject" Target="embeddings/oleObject8.bin"/><Relationship Id="rId54" Type="http://schemas.openxmlformats.org/officeDocument/2006/relationships/footer" Target="footer12.xml"/><Relationship Id="rId62"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image" Target="media/image7.wmf"/><Relationship Id="rId49" Type="http://schemas.openxmlformats.org/officeDocument/2006/relationships/footer" Target="footer10.xml"/><Relationship Id="rId57" Type="http://schemas.openxmlformats.org/officeDocument/2006/relationships/footer" Target="footer14.xml"/><Relationship Id="rId10" Type="http://schemas.openxmlformats.org/officeDocument/2006/relationships/header" Target="header1.xml"/><Relationship Id="rId31" Type="http://schemas.openxmlformats.org/officeDocument/2006/relationships/header" Target="header7.xml"/><Relationship Id="rId44" Type="http://schemas.openxmlformats.org/officeDocument/2006/relationships/image" Target="media/image11.wmf"/><Relationship Id="rId52" Type="http://schemas.openxmlformats.org/officeDocument/2006/relationships/header" Target="header12.xml"/><Relationship Id="rId6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31891" ma:contentTypeDescription="" ma:contentTypeScope="" ma:versionID="91675d2047fed69a9323d4729aa776b3">
  <xsd:schema xmlns:xsd="http://www.w3.org/2001/XMLSchema" xmlns:xs="http://www.w3.org/2001/XMLSchema" xmlns:p="http://schemas.microsoft.com/office/2006/metadata/properties" xmlns:ns1="http://schemas.microsoft.com/sharepoint/v3" xmlns:ns2="0f563589-9cf9-4143-b1eb-fb0534803d38" xmlns:ns3="9f7bc583-7cbe-45b9-a2bd-8bbb6543b37e" xmlns:ns4="687b78b0-2ddd-4441-8a8b-c9638c2a1939" xmlns:ns5="http://schemas.microsoft.com/sharepoint/v4" targetNamespace="http://schemas.microsoft.com/office/2006/metadata/properties" ma:root="true" ma:fieldsID="3d2ffd508cf50a086b47d5dbb9950560" ns1:_="" ns2:_="" ns3:_="" ns4:_="" ns5:_="">
    <xsd:import namespace="http://schemas.microsoft.com/sharepoint/v3"/>
    <xsd:import namespace="0f563589-9cf9-4143-b1eb-fb0534803d38"/>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element ref="ns5:IconOverlay" minOccurs="0"/>
                <xsd:element ref="ns4:LMU_x0020_Number" minOccurs="0"/>
                <xsd:element ref="ns4:Status" minOccurs="0"/>
                <xsd:element ref="ns4:Number_x0020_version" minOccurs="0"/>
                <xsd:element ref="ns4:NAture_x0020_of_x0020_documents1" minOccurs="0"/>
                <xsd:element ref="ns4:Parliamentary_x0020_session" minOccurs="0"/>
                <xsd:element ref="ns4:Responsible_x0020_LDO_x0020_Officer" minOccurs="0"/>
                <xsd:element ref="ns3:i6880fa62fd2465ea894b48b45824d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i6880fa62fd2465ea894b48b45824d1c" ma:index="25" nillable="true" ma:taxonomy="true" ma:internalName="i6880fa62fd2465ea894b48b45824d1c" ma:taxonomyFieldName="TSYTopic" ma:displayName="TSYTopic" ma:default="" ma:fieldId="{26880fa6-2fd2-465e-a894-b48b45824d1c}" ma:sspId="77b7a547-5880-464f-83f8-cefe583c3af4" ma:termSetId="5ad9bdc0-881e-4a06-8325-cf02134be2c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enumeration value="Archived"/>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internalName="Parliamentary_x0020_session">
      <xsd:complexType>
        <xsd:complexContent>
          <xsd:extension base="dms:MultiChoice">
            <xsd:sequence>
              <xsd:element name="Value" maxOccurs="unbounded" minOccurs="0" nillable="true">
                <xsd:simpleType>
                  <xsd:restriction base="dms:Choice">
                    <xsd:enumeration value="TBD"/>
                    <xsd:enumeration value="46th"/>
                    <xsd:enumeration value="45th"/>
                    <xsd:enumeration value="44th"/>
                    <xsd:enumeration value="43rd"/>
                    <xsd:enumeration value="NA"/>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_dlc_DocId xmlns="0f563589-9cf9-4143-b1eb-fb0534803d38">2020RG-136-55093</_dlc_DocId>
    <TaxCatchAll xmlns="0f563589-9cf9-4143-b1eb-fb0534803d38">
      <Value>7</Value>
    </TaxCatchAll>
    <_dlc_DocIdUrl xmlns="0f563589-9cf9-4143-b1eb-fb0534803d38">
      <Url>http://tweb/sites/rg/ldp/_layouts/15/DocIdRedir.aspx?ID=2020RG-136-55093</Url>
      <Description>2020RG-136-55093</Description>
    </_dlc_DocIdUrl>
    <LMU_x0020_Number xmlns="687b78b0-2ddd-4441-8a8b-c9638c2a1939" xsi:nil="true"/>
    <Responsible_x0020_LDO_x0020_Officer xmlns="687b78b0-2ddd-4441-8a8b-c9638c2a1939">
      <UserInfo>
        <DisplayName/>
        <AccountId xsi:nil="true"/>
        <AccountType/>
      </UserInfo>
    </Responsible_x0020_LDO_x0020_Officer>
    <IconOverlay xmlns="http://schemas.microsoft.com/sharepoint/v4" xsi:nil="true"/>
    <Parliamentary_x0020_session xmlns="687b78b0-2ddd-4441-8a8b-c9638c2a1939"/>
    <Number_x0020_version xmlns="687b78b0-2ddd-4441-8a8b-c9638c2a1939" xsi:nil="true"/>
    <Status xmlns="687b78b0-2ddd-4441-8a8b-c9638c2a1939">
      <Value>Current</Value>
    </Status>
    <NAture_x0020_of_x0020_documents1 xmlns="687b78b0-2ddd-4441-8a8b-c9638c2a1939"/>
    <i6880fa62fd2465ea894b48b45824d1c xmlns="9f7bc583-7cbe-45b9-a2bd-8bbb6543b37e">
      <Terms xmlns="http://schemas.microsoft.com/office/infopath/2007/PartnerControls"/>
    </i6880fa62fd2465ea894b48b45824d1c>
  </documentManagement>
</p:properties>
</file>

<file path=customXml/itemProps1.xml><?xml version="1.0" encoding="utf-8"?>
<ds:datastoreItem xmlns:ds="http://schemas.openxmlformats.org/officeDocument/2006/customXml" ds:itemID="{2916012E-0D4C-45AC-AF95-04B98E90A444}">
  <ds:schemaRefs>
    <ds:schemaRef ds:uri="http://schemas.openxmlformats.org/officeDocument/2006/bibliography"/>
  </ds:schemaRefs>
</ds:datastoreItem>
</file>

<file path=customXml/itemProps2.xml><?xml version="1.0" encoding="utf-8"?>
<ds:datastoreItem xmlns:ds="http://schemas.openxmlformats.org/officeDocument/2006/customXml" ds:itemID="{99CAB99B-EC68-4214-8A85-C243AC72D704}"/>
</file>

<file path=customXml/itemProps3.xml><?xml version="1.0" encoding="utf-8"?>
<ds:datastoreItem xmlns:ds="http://schemas.openxmlformats.org/officeDocument/2006/customXml" ds:itemID="{70963355-FE5C-4357-9B1D-0BACB6515C54}"/>
</file>

<file path=customXml/itemProps4.xml><?xml version="1.0" encoding="utf-8"?>
<ds:datastoreItem xmlns:ds="http://schemas.openxmlformats.org/officeDocument/2006/customXml" ds:itemID="{6E8DA3E9-76DD-469A-A545-807051BAC0E3}"/>
</file>

<file path=customXml/itemProps5.xml><?xml version="1.0" encoding="utf-8"?>
<ds:datastoreItem xmlns:ds="http://schemas.openxmlformats.org/officeDocument/2006/customXml" ds:itemID="{19729B5A-F373-41FB-8164-75E7B4929EE9}"/>
</file>

<file path=customXml/itemProps6.xml><?xml version="1.0" encoding="utf-8"?>
<ds:datastoreItem xmlns:ds="http://schemas.openxmlformats.org/officeDocument/2006/customXml" ds:itemID="{319E15F3-3A4C-4F6F-B497-02B35ED08815}"/>
</file>

<file path=docProps/app.xml><?xml version="1.0" encoding="utf-8"?>
<Properties xmlns="http://schemas.openxmlformats.org/officeDocument/2006/extended-properties" xmlns:vt="http://schemas.openxmlformats.org/officeDocument/2006/docPropsVTypes">
  <Template>Inst_New.dotx</Template>
  <TotalTime>0</TotalTime>
  <Pages>143</Pages>
  <Words>39041</Words>
  <Characters>196716</Characters>
  <Application>Microsoft Office Word</Application>
  <DocSecurity>6</DocSecurity>
  <PresentationFormat/>
  <Lines>5946</Lines>
  <Paragraphs>3957</Paragraphs>
  <ScaleCrop>false</ScaleCrop>
  <HeadingPairs>
    <vt:vector size="2" baseType="variant">
      <vt:variant>
        <vt:lpstr>Title</vt:lpstr>
      </vt:variant>
      <vt:variant>
        <vt:i4>1</vt:i4>
      </vt:variant>
    </vt:vector>
  </HeadingPairs>
  <TitlesOfParts>
    <vt:vector size="1" baseType="lpstr">
      <vt:lpstr>Income Tax Assessment Regulations 2020</vt:lpstr>
    </vt:vector>
  </TitlesOfParts>
  <Manager/>
  <Company/>
  <LinksUpToDate>false</LinksUpToDate>
  <CharactersWithSpaces>232981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2018-11-20T01:05:00Z</cp:lastPrinted>
  <dcterms:created xsi:type="dcterms:W3CDTF">2020-08-31T01:30:00Z</dcterms:created>
  <dcterms:modified xsi:type="dcterms:W3CDTF">2020-08-31T01:30:00Z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Income Tax Assessment Regulations 2020</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No</vt:lpwstr>
  </property>
  <property fmtid="{D5CDD505-2E9C-101B-9397-08002B2CF9AE}" pid="9" name="DateMade">
    <vt:lpwstr>2020</vt:lpwstr>
  </property>
  <property fmtid="{D5CDD505-2E9C-101B-9397-08002B2CF9AE}" pid="10" name="Authority">
    <vt:lpwstr>Unk</vt:lpwstr>
  </property>
  <property fmtid="{D5CDD505-2E9C-101B-9397-08002B2CF9AE}" pid="11" name="ID">
    <vt:lpwstr>OPC63552</vt:lpwstr>
  </property>
  <property fmtid="{D5CDD505-2E9C-101B-9397-08002B2CF9AE}" pid="12" name="Classification">
    <vt:lpwstr>UNCLASSIFIED</vt:lpwstr>
  </property>
  <property fmtid="{D5CDD505-2E9C-101B-9397-08002B2CF9AE}" pid="13" name="DLM">
    <vt:lpwstr>EXPOSURE DRAFT</vt:lpwstr>
  </property>
  <property fmtid="{D5CDD505-2E9C-101B-9397-08002B2CF9AE}" pid="14" name="DoNotAsk">
    <vt:lpwstr>0</vt:lpwstr>
  </property>
  <property fmtid="{D5CDD505-2E9C-101B-9397-08002B2CF9AE}" pid="15" name="ChangedTitle">
    <vt:lpwstr/>
  </property>
  <property fmtid="{D5CDD505-2E9C-101B-9397-08002B2CF9AE}" pid="16" name="TrimID">
    <vt:lpwstr>PC:D20/12436</vt:lpwstr>
  </property>
  <property fmtid="{D5CDD505-2E9C-101B-9397-08002B2CF9AE}" pid="17" name="ContentTypeId">
    <vt:lpwstr>0x01010036BB8DE7EC542E42A8B2E98CC20CB69700AD614E3FF758BD46BB6A91BF499E7E08</vt:lpwstr>
  </property>
  <property fmtid="{D5CDD505-2E9C-101B-9397-08002B2CF9AE}" pid="18" name="TSYRecordClass">
    <vt:lpwstr>7;#TSY RA-9236 - Retain as national archives|c6a225b4-6b93-473e-bcbb-6bc6ab25b623</vt:lpwstr>
  </property>
  <property fmtid="{D5CDD505-2E9C-101B-9397-08002B2CF9AE}" pid="19" name="_dlc_DocIdItemGuid">
    <vt:lpwstr>936c9798-f04f-4130-93eb-18f8aaed0316</vt:lpwstr>
  </property>
  <property fmtid="{D5CDD505-2E9C-101B-9397-08002B2CF9AE}" pid="20" name="RecordPoint_WorkflowType">
    <vt:lpwstr>ActiveSubmitStub</vt:lpwstr>
  </property>
  <property fmtid="{D5CDD505-2E9C-101B-9397-08002B2CF9AE}" pid="21" name="RecordPoint_ActiveItemWebId">
    <vt:lpwstr>{09392e0d-4618-463d-b4d2-50a90b9447cf}</vt:lpwstr>
  </property>
  <property fmtid="{D5CDD505-2E9C-101B-9397-08002B2CF9AE}" pid="22" name="RecordPoint_ActiveItemSiteId">
    <vt:lpwstr>{5b52b9a5-e5b2-4521-8814-a1e24ca2869d}</vt:lpwstr>
  </property>
  <property fmtid="{D5CDD505-2E9C-101B-9397-08002B2CF9AE}" pid="23" name="RecordPoint_ActiveItemListId">
    <vt:lpwstr>{687b78b0-2ddd-4441-8a8b-c9638c2a1939}</vt:lpwstr>
  </property>
  <property fmtid="{D5CDD505-2E9C-101B-9397-08002B2CF9AE}" pid="24" name="RecordPoint_ActiveItemUniqueId">
    <vt:lpwstr>{936c9798-f04f-4130-93eb-18f8aaed0316}</vt:lpwstr>
  </property>
</Properties>
</file>