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E4F9" w14:textId="77777777" w:rsidR="009E178F" w:rsidRDefault="00062F89" w:rsidP="00062F89">
      <w:pPr>
        <w:pStyle w:val="Default"/>
        <w:jc w:val="center"/>
      </w:pPr>
      <w:bookmarkStart w:id="0" w:name="_GoBack"/>
      <w:bookmarkEnd w:id="0"/>
      <w:r w:rsidRPr="00062F89">
        <w:rPr>
          <w:noProof/>
          <w:lang w:eastAsia="en-AU"/>
        </w:rPr>
        <w:drawing>
          <wp:inline distT="0" distB="0" distL="0" distR="0" wp14:anchorId="01A951BF" wp14:editId="57B1AB08">
            <wp:extent cx="258445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1422400"/>
                    </a:xfrm>
                    <a:prstGeom prst="rect">
                      <a:avLst/>
                    </a:prstGeom>
                    <a:noFill/>
                    <a:ln>
                      <a:noFill/>
                    </a:ln>
                  </pic:spPr>
                </pic:pic>
              </a:graphicData>
            </a:graphic>
          </wp:inline>
        </w:drawing>
      </w:r>
    </w:p>
    <w:p w14:paraId="021CDAEF" w14:textId="77777777" w:rsidR="00062F89" w:rsidRDefault="00062F89" w:rsidP="009E178F">
      <w:pPr>
        <w:pStyle w:val="Default"/>
        <w:spacing w:after="200"/>
        <w:jc w:val="center"/>
      </w:pPr>
    </w:p>
    <w:p w14:paraId="2807B853" w14:textId="77777777" w:rsidR="009E178F" w:rsidRDefault="009E178F" w:rsidP="009E178F">
      <w:pPr>
        <w:pStyle w:val="Default"/>
        <w:spacing w:after="200"/>
        <w:jc w:val="center"/>
        <w:rPr>
          <w:sz w:val="36"/>
          <w:szCs w:val="36"/>
        </w:rPr>
      </w:pPr>
      <w:r>
        <w:t xml:space="preserve"> </w:t>
      </w:r>
      <w:r>
        <w:rPr>
          <w:sz w:val="36"/>
          <w:szCs w:val="36"/>
        </w:rPr>
        <w:t xml:space="preserve">National Interest Statement: </w:t>
      </w:r>
    </w:p>
    <w:p w14:paraId="4B371628" w14:textId="77777777" w:rsidR="009E178F" w:rsidRDefault="009E178F" w:rsidP="009E178F">
      <w:pPr>
        <w:pStyle w:val="Default"/>
        <w:spacing w:after="200"/>
        <w:jc w:val="center"/>
        <w:rPr>
          <w:sz w:val="36"/>
          <w:szCs w:val="36"/>
        </w:rPr>
      </w:pPr>
      <w:r>
        <w:rPr>
          <w:sz w:val="36"/>
          <w:szCs w:val="36"/>
        </w:rPr>
        <w:t>Loan Agreement between the Australia</w:t>
      </w:r>
      <w:r w:rsidR="00B279BF">
        <w:rPr>
          <w:sz w:val="36"/>
          <w:szCs w:val="36"/>
        </w:rPr>
        <w:t>n Government</w:t>
      </w:r>
      <w:r>
        <w:rPr>
          <w:sz w:val="36"/>
          <w:szCs w:val="36"/>
        </w:rPr>
        <w:t xml:space="preserve"> and the </w:t>
      </w:r>
      <w:r w:rsidR="009732AC">
        <w:rPr>
          <w:sz w:val="36"/>
          <w:szCs w:val="36"/>
        </w:rPr>
        <w:t>Government of Indonesia</w:t>
      </w:r>
    </w:p>
    <w:p w14:paraId="1B59CA62" w14:textId="77777777" w:rsidR="009E178F" w:rsidRDefault="009E178F" w:rsidP="009E178F">
      <w:pPr>
        <w:jc w:val="right"/>
        <w:rPr>
          <w:sz w:val="28"/>
          <w:szCs w:val="28"/>
        </w:rPr>
      </w:pPr>
    </w:p>
    <w:p w14:paraId="5EB5E0E0" w14:textId="77777777" w:rsidR="009E178F" w:rsidRDefault="009E178F" w:rsidP="009E178F">
      <w:pPr>
        <w:jc w:val="right"/>
        <w:rPr>
          <w:sz w:val="28"/>
          <w:szCs w:val="28"/>
        </w:rPr>
      </w:pPr>
    </w:p>
    <w:p w14:paraId="0280D1F6" w14:textId="77777777" w:rsidR="009E178F" w:rsidRDefault="009E178F" w:rsidP="009E178F">
      <w:pPr>
        <w:jc w:val="right"/>
        <w:rPr>
          <w:sz w:val="28"/>
          <w:szCs w:val="28"/>
        </w:rPr>
      </w:pPr>
    </w:p>
    <w:p w14:paraId="23038304" w14:textId="77777777" w:rsidR="009E178F" w:rsidRDefault="009E178F" w:rsidP="009E178F">
      <w:pPr>
        <w:jc w:val="right"/>
        <w:rPr>
          <w:sz w:val="28"/>
          <w:szCs w:val="28"/>
        </w:rPr>
      </w:pPr>
    </w:p>
    <w:p w14:paraId="58C5F038" w14:textId="77777777" w:rsidR="009E178F" w:rsidRDefault="009E178F" w:rsidP="009E178F">
      <w:pPr>
        <w:jc w:val="right"/>
        <w:rPr>
          <w:sz w:val="28"/>
          <w:szCs w:val="28"/>
        </w:rPr>
      </w:pPr>
    </w:p>
    <w:p w14:paraId="3C9D74ED" w14:textId="77777777" w:rsidR="009E178F" w:rsidRDefault="009E178F" w:rsidP="009E178F">
      <w:pPr>
        <w:jc w:val="right"/>
        <w:rPr>
          <w:sz w:val="28"/>
          <w:szCs w:val="28"/>
        </w:rPr>
      </w:pPr>
    </w:p>
    <w:p w14:paraId="7F9B871A" w14:textId="77777777" w:rsidR="009E178F" w:rsidRDefault="009E178F" w:rsidP="009E178F">
      <w:pPr>
        <w:jc w:val="right"/>
        <w:rPr>
          <w:sz w:val="28"/>
          <w:szCs w:val="28"/>
        </w:rPr>
      </w:pPr>
    </w:p>
    <w:p w14:paraId="0C9AFCF0" w14:textId="77777777" w:rsidR="009E178F" w:rsidRDefault="009E178F" w:rsidP="009E178F">
      <w:pPr>
        <w:jc w:val="right"/>
        <w:rPr>
          <w:sz w:val="28"/>
          <w:szCs w:val="28"/>
        </w:rPr>
      </w:pPr>
    </w:p>
    <w:p w14:paraId="30E64CD8" w14:textId="77777777" w:rsidR="009E178F" w:rsidRDefault="009E178F" w:rsidP="009E178F">
      <w:pPr>
        <w:jc w:val="right"/>
        <w:rPr>
          <w:sz w:val="28"/>
          <w:szCs w:val="28"/>
        </w:rPr>
      </w:pPr>
    </w:p>
    <w:p w14:paraId="0E1EC327" w14:textId="77777777" w:rsidR="009E178F" w:rsidRDefault="009E178F" w:rsidP="009E178F">
      <w:pPr>
        <w:jc w:val="right"/>
        <w:rPr>
          <w:sz w:val="28"/>
          <w:szCs w:val="28"/>
        </w:rPr>
      </w:pPr>
    </w:p>
    <w:p w14:paraId="4D3169FC" w14:textId="77777777" w:rsidR="009E178F" w:rsidRDefault="009E178F" w:rsidP="009E178F">
      <w:pPr>
        <w:jc w:val="right"/>
        <w:rPr>
          <w:sz w:val="28"/>
          <w:szCs w:val="28"/>
        </w:rPr>
      </w:pPr>
    </w:p>
    <w:p w14:paraId="7BBBD8F0" w14:textId="77777777" w:rsidR="009E178F" w:rsidRDefault="009E178F" w:rsidP="009E178F">
      <w:pPr>
        <w:jc w:val="right"/>
        <w:rPr>
          <w:sz w:val="28"/>
          <w:szCs w:val="28"/>
        </w:rPr>
      </w:pPr>
    </w:p>
    <w:p w14:paraId="707E5AB5" w14:textId="77777777" w:rsidR="009E178F" w:rsidRDefault="009E178F" w:rsidP="009E178F">
      <w:pPr>
        <w:jc w:val="right"/>
        <w:rPr>
          <w:sz w:val="28"/>
          <w:szCs w:val="28"/>
        </w:rPr>
      </w:pPr>
    </w:p>
    <w:p w14:paraId="3A6AC4C5" w14:textId="77777777" w:rsidR="009E178F" w:rsidRDefault="009E178F" w:rsidP="009E178F">
      <w:pPr>
        <w:jc w:val="right"/>
        <w:rPr>
          <w:sz w:val="28"/>
          <w:szCs w:val="28"/>
        </w:rPr>
      </w:pPr>
    </w:p>
    <w:p w14:paraId="2D0B8C83" w14:textId="77777777" w:rsidR="009E178F" w:rsidRDefault="009E178F" w:rsidP="009E178F">
      <w:pPr>
        <w:jc w:val="right"/>
        <w:rPr>
          <w:sz w:val="28"/>
          <w:szCs w:val="28"/>
        </w:rPr>
      </w:pPr>
    </w:p>
    <w:p w14:paraId="2F1A5A5A" w14:textId="77777777" w:rsidR="009E178F" w:rsidRDefault="009E178F" w:rsidP="009E178F">
      <w:pPr>
        <w:jc w:val="right"/>
        <w:rPr>
          <w:sz w:val="28"/>
          <w:szCs w:val="28"/>
        </w:rPr>
      </w:pPr>
    </w:p>
    <w:p w14:paraId="21090397" w14:textId="77777777" w:rsidR="009E178F" w:rsidRDefault="009E178F" w:rsidP="009E178F">
      <w:pPr>
        <w:jc w:val="right"/>
        <w:rPr>
          <w:sz w:val="28"/>
          <w:szCs w:val="28"/>
        </w:rPr>
      </w:pPr>
    </w:p>
    <w:p w14:paraId="71DB89F9" w14:textId="77777777" w:rsidR="002B60ED" w:rsidRDefault="00771260" w:rsidP="009E178F">
      <w:pPr>
        <w:jc w:val="right"/>
        <w:rPr>
          <w:sz w:val="28"/>
          <w:szCs w:val="28"/>
        </w:rPr>
      </w:pPr>
      <w:r>
        <w:rPr>
          <w:sz w:val="28"/>
          <w:szCs w:val="28"/>
        </w:rPr>
        <w:t>NOVEMBER</w:t>
      </w:r>
      <w:r w:rsidR="004A716E">
        <w:rPr>
          <w:sz w:val="28"/>
          <w:szCs w:val="28"/>
        </w:rPr>
        <w:t xml:space="preserve"> </w:t>
      </w:r>
      <w:r w:rsidR="009E178F">
        <w:rPr>
          <w:sz w:val="28"/>
          <w:szCs w:val="28"/>
        </w:rPr>
        <w:t>2020</w:t>
      </w:r>
    </w:p>
    <w:p w14:paraId="0E4918A9" w14:textId="77777777" w:rsidR="009E178F" w:rsidRPr="009E178F" w:rsidRDefault="009E178F" w:rsidP="003F35DF">
      <w:pPr>
        <w:pageBreakBefore/>
        <w:autoSpaceDE w:val="0"/>
        <w:autoSpaceDN w:val="0"/>
        <w:adjustRightInd w:val="0"/>
        <w:spacing w:before="120" w:after="120" w:line="240" w:lineRule="auto"/>
        <w:jc w:val="center"/>
        <w:rPr>
          <w:rFonts w:ascii="Verdana" w:hAnsi="Verdana" w:cs="Verdana"/>
          <w:color w:val="000000"/>
        </w:rPr>
      </w:pPr>
      <w:r w:rsidRPr="009E178F">
        <w:rPr>
          <w:rFonts w:ascii="Verdana" w:hAnsi="Verdana" w:cs="Verdana"/>
          <w:b/>
          <w:bCs/>
          <w:color w:val="000000"/>
        </w:rPr>
        <w:lastRenderedPageBreak/>
        <w:t xml:space="preserve">NATIONAL INTEREST STATEMENT </w:t>
      </w:r>
    </w:p>
    <w:p w14:paraId="2543C0F8" w14:textId="77777777" w:rsidR="009E178F" w:rsidRPr="009E178F" w:rsidRDefault="009E178F" w:rsidP="009E178F">
      <w:pPr>
        <w:autoSpaceDE w:val="0"/>
        <w:autoSpaceDN w:val="0"/>
        <w:adjustRightInd w:val="0"/>
        <w:spacing w:before="120" w:after="120" w:line="240" w:lineRule="auto"/>
        <w:jc w:val="center"/>
        <w:rPr>
          <w:rFonts w:ascii="Verdana" w:hAnsi="Verdana" w:cs="Verdana"/>
          <w:color w:val="000000"/>
        </w:rPr>
      </w:pPr>
      <w:r w:rsidRPr="009E178F">
        <w:rPr>
          <w:rFonts w:ascii="Verdana" w:hAnsi="Verdana" w:cs="Verdana"/>
          <w:b/>
          <w:bCs/>
          <w:color w:val="000000"/>
        </w:rPr>
        <w:t xml:space="preserve">Loan Agreement between the Australian Government and the </w:t>
      </w:r>
      <w:r w:rsidR="009732AC">
        <w:rPr>
          <w:rFonts w:ascii="Verdana" w:hAnsi="Verdana" w:cs="Verdana"/>
          <w:b/>
          <w:bCs/>
          <w:color w:val="000000"/>
        </w:rPr>
        <w:t xml:space="preserve">Government </w:t>
      </w:r>
      <w:r w:rsidRPr="009E178F">
        <w:rPr>
          <w:rFonts w:ascii="Verdana" w:hAnsi="Verdana" w:cs="Verdana"/>
          <w:b/>
          <w:bCs/>
          <w:color w:val="000000"/>
        </w:rPr>
        <w:t xml:space="preserve">of Indonesia </w:t>
      </w:r>
      <w:r w:rsidR="007F34C5">
        <w:rPr>
          <w:rFonts w:ascii="Verdana" w:hAnsi="Verdana" w:cs="Verdana"/>
          <w:b/>
          <w:bCs/>
          <w:color w:val="000000"/>
        </w:rPr>
        <w:t>for a</w:t>
      </w:r>
      <w:r w:rsidR="00763A19">
        <w:rPr>
          <w:rFonts w:ascii="Verdana" w:hAnsi="Verdana" w:cs="Verdana"/>
          <w:b/>
          <w:bCs/>
          <w:color w:val="000000"/>
        </w:rPr>
        <w:t xml:space="preserve"> bilateral</w:t>
      </w:r>
      <w:r w:rsidRPr="009E178F">
        <w:rPr>
          <w:rFonts w:ascii="Verdana" w:hAnsi="Verdana" w:cs="Verdana"/>
          <w:b/>
          <w:bCs/>
          <w:color w:val="000000"/>
        </w:rPr>
        <w:t xml:space="preserve"> loan </w:t>
      </w:r>
      <w:r w:rsidR="00997DA8">
        <w:rPr>
          <w:rFonts w:ascii="Verdana" w:hAnsi="Verdana" w:cs="Verdana"/>
          <w:b/>
          <w:bCs/>
          <w:color w:val="000000"/>
        </w:rPr>
        <w:t>of</w:t>
      </w:r>
      <w:r w:rsidRPr="009E178F">
        <w:rPr>
          <w:rFonts w:ascii="Verdana" w:hAnsi="Verdana" w:cs="Verdana"/>
          <w:b/>
          <w:bCs/>
          <w:color w:val="000000"/>
        </w:rPr>
        <w:t xml:space="preserve"> A</w:t>
      </w:r>
      <w:r w:rsidR="00201F4E">
        <w:rPr>
          <w:rFonts w:ascii="Verdana" w:hAnsi="Verdana" w:cs="Verdana"/>
          <w:b/>
          <w:bCs/>
          <w:color w:val="000000"/>
        </w:rPr>
        <w:t>$</w:t>
      </w:r>
      <w:r w:rsidRPr="009E178F">
        <w:rPr>
          <w:rFonts w:ascii="Verdana" w:hAnsi="Verdana" w:cs="Verdana"/>
          <w:b/>
          <w:bCs/>
          <w:color w:val="000000"/>
        </w:rPr>
        <w:t>1</w:t>
      </w:r>
      <w:r w:rsidR="002923F2">
        <w:rPr>
          <w:rFonts w:ascii="Verdana" w:hAnsi="Verdana" w:cs="Verdana"/>
          <w:b/>
          <w:bCs/>
          <w:color w:val="000000"/>
        </w:rPr>
        <w:t>.5</w:t>
      </w:r>
      <w:r w:rsidR="00C023CF">
        <w:rPr>
          <w:rFonts w:ascii="Verdana" w:hAnsi="Verdana" w:cs="Verdana"/>
          <w:b/>
          <w:bCs/>
          <w:color w:val="000000"/>
        </w:rPr>
        <w:t xml:space="preserve"> billion</w:t>
      </w:r>
    </w:p>
    <w:p w14:paraId="334EBF10" w14:textId="77777777" w:rsidR="009E178F" w:rsidRPr="009E178F" w:rsidRDefault="009E178F" w:rsidP="009E178F">
      <w:pPr>
        <w:autoSpaceDE w:val="0"/>
        <w:autoSpaceDN w:val="0"/>
        <w:adjustRightInd w:val="0"/>
        <w:spacing w:before="120" w:after="120" w:line="240" w:lineRule="auto"/>
        <w:rPr>
          <w:rFonts w:ascii="Verdana" w:hAnsi="Verdana" w:cs="Verdana"/>
          <w:color w:val="000000"/>
        </w:rPr>
      </w:pPr>
      <w:r w:rsidRPr="009E178F">
        <w:rPr>
          <w:rFonts w:ascii="Verdana" w:hAnsi="Verdana" w:cs="Verdana"/>
          <w:b/>
          <w:bCs/>
          <w:color w:val="000000"/>
        </w:rPr>
        <w:t xml:space="preserve">Summary </w:t>
      </w:r>
    </w:p>
    <w:p w14:paraId="6F04A1E6" w14:textId="77777777" w:rsidR="009E178F" w:rsidRPr="007D6498" w:rsidRDefault="009E178F" w:rsidP="009E178F">
      <w:pPr>
        <w:autoSpaceDE w:val="0"/>
        <w:autoSpaceDN w:val="0"/>
        <w:adjustRightInd w:val="0"/>
        <w:spacing w:before="120" w:after="120" w:line="240" w:lineRule="auto"/>
        <w:rPr>
          <w:rFonts w:ascii="Verdana" w:hAnsi="Verdana" w:cs="Verdana"/>
          <w:color w:val="000000"/>
        </w:rPr>
      </w:pPr>
      <w:r w:rsidRPr="009E178F">
        <w:rPr>
          <w:rFonts w:ascii="Verdana" w:hAnsi="Verdana" w:cs="Verdana"/>
          <w:color w:val="000000"/>
        </w:rPr>
        <w:t xml:space="preserve">This document is a national interest statement for the recent </w:t>
      </w:r>
      <w:r w:rsidR="009A6DAF">
        <w:rPr>
          <w:rFonts w:ascii="Verdana" w:hAnsi="Verdana" w:cs="Verdana"/>
          <w:color w:val="000000"/>
        </w:rPr>
        <w:t xml:space="preserve">bilateral </w:t>
      </w:r>
      <w:r w:rsidR="00C57DDE">
        <w:rPr>
          <w:rFonts w:ascii="Verdana" w:hAnsi="Verdana" w:cs="Verdana"/>
          <w:color w:val="000000"/>
        </w:rPr>
        <w:t>l</w:t>
      </w:r>
      <w:r w:rsidRPr="009E178F">
        <w:rPr>
          <w:rFonts w:ascii="Verdana" w:hAnsi="Verdana" w:cs="Verdana"/>
          <w:color w:val="000000"/>
        </w:rPr>
        <w:t xml:space="preserve">oan </w:t>
      </w:r>
      <w:r w:rsidR="00C57DDE">
        <w:rPr>
          <w:rFonts w:ascii="Verdana" w:hAnsi="Verdana" w:cs="Verdana"/>
          <w:color w:val="000000"/>
        </w:rPr>
        <w:t>a</w:t>
      </w:r>
      <w:r w:rsidRPr="009E178F">
        <w:rPr>
          <w:rFonts w:ascii="Verdana" w:hAnsi="Verdana" w:cs="Verdana"/>
          <w:color w:val="000000"/>
        </w:rPr>
        <w:t xml:space="preserve">greement between the </w:t>
      </w:r>
      <w:r w:rsidRPr="007D6498">
        <w:rPr>
          <w:rFonts w:ascii="Verdana" w:hAnsi="Verdana" w:cs="Verdana"/>
          <w:color w:val="000000"/>
        </w:rPr>
        <w:t>Australia</w:t>
      </w:r>
      <w:r w:rsidR="007E2D8C">
        <w:rPr>
          <w:rFonts w:ascii="Verdana" w:hAnsi="Verdana" w:cs="Verdana"/>
          <w:color w:val="000000"/>
        </w:rPr>
        <w:t>n Government</w:t>
      </w:r>
      <w:r w:rsidRPr="007D6498">
        <w:rPr>
          <w:rFonts w:ascii="Verdana" w:hAnsi="Verdana" w:cs="Verdana"/>
          <w:color w:val="000000"/>
        </w:rPr>
        <w:t xml:space="preserve"> and t</w:t>
      </w:r>
      <w:r w:rsidR="002923F2" w:rsidRPr="007D6498">
        <w:rPr>
          <w:rFonts w:ascii="Verdana" w:hAnsi="Verdana" w:cs="Verdana"/>
          <w:color w:val="000000"/>
        </w:rPr>
        <w:t xml:space="preserve">he </w:t>
      </w:r>
      <w:r w:rsidR="009732AC" w:rsidRPr="007D6498">
        <w:rPr>
          <w:rFonts w:ascii="Verdana" w:hAnsi="Verdana" w:cs="Verdana"/>
          <w:color w:val="000000"/>
        </w:rPr>
        <w:t>Government of</w:t>
      </w:r>
      <w:r w:rsidR="002923F2" w:rsidRPr="007D6498">
        <w:rPr>
          <w:rFonts w:ascii="Verdana" w:hAnsi="Verdana" w:cs="Verdana"/>
          <w:color w:val="000000"/>
        </w:rPr>
        <w:t xml:space="preserve"> Indonesia for </w:t>
      </w:r>
      <w:r w:rsidRPr="007D6498">
        <w:rPr>
          <w:rFonts w:ascii="Verdana" w:hAnsi="Verdana" w:cs="Verdana"/>
          <w:color w:val="000000"/>
        </w:rPr>
        <w:t>A</w:t>
      </w:r>
      <w:r w:rsidR="00201F4E" w:rsidRPr="007D6498">
        <w:rPr>
          <w:rFonts w:ascii="Verdana" w:hAnsi="Verdana" w:cs="Verdana"/>
          <w:color w:val="000000"/>
        </w:rPr>
        <w:t>$</w:t>
      </w:r>
      <w:r w:rsidRPr="007D6498">
        <w:rPr>
          <w:rFonts w:ascii="Verdana" w:hAnsi="Verdana" w:cs="Verdana"/>
          <w:color w:val="000000"/>
        </w:rPr>
        <w:t>1</w:t>
      </w:r>
      <w:r w:rsidR="002923F2" w:rsidRPr="007D6498">
        <w:rPr>
          <w:rFonts w:ascii="Verdana" w:hAnsi="Verdana" w:cs="Verdana"/>
          <w:color w:val="000000"/>
        </w:rPr>
        <w:t>.5</w:t>
      </w:r>
      <w:r w:rsidRPr="007D6498">
        <w:rPr>
          <w:rFonts w:ascii="Verdana" w:hAnsi="Verdana" w:cs="Verdana"/>
          <w:color w:val="000000"/>
        </w:rPr>
        <w:t xml:space="preserve"> billion, signed on </w:t>
      </w:r>
      <w:r w:rsidR="00366587" w:rsidRPr="007D6498">
        <w:rPr>
          <w:rFonts w:ascii="Verdana" w:hAnsi="Verdana" w:cs="Verdana"/>
          <w:color w:val="000000"/>
        </w:rPr>
        <w:t>12</w:t>
      </w:r>
      <w:r w:rsidRPr="007D6498">
        <w:rPr>
          <w:rFonts w:ascii="Verdana" w:hAnsi="Verdana" w:cs="Verdana"/>
          <w:color w:val="000000"/>
        </w:rPr>
        <w:t xml:space="preserve"> </w:t>
      </w:r>
      <w:r w:rsidR="00B73ADB" w:rsidRPr="007D6498">
        <w:rPr>
          <w:rFonts w:ascii="Verdana" w:hAnsi="Verdana" w:cs="Verdana"/>
          <w:color w:val="000000"/>
        </w:rPr>
        <w:t>November</w:t>
      </w:r>
      <w:r w:rsidRPr="007D6498">
        <w:rPr>
          <w:rFonts w:ascii="Verdana" w:hAnsi="Verdana" w:cs="Verdana"/>
          <w:color w:val="000000"/>
        </w:rPr>
        <w:t xml:space="preserve"> 20</w:t>
      </w:r>
      <w:r w:rsidR="002923F2" w:rsidRPr="007D6498">
        <w:rPr>
          <w:rFonts w:ascii="Verdana" w:hAnsi="Verdana" w:cs="Verdana"/>
          <w:color w:val="000000"/>
        </w:rPr>
        <w:t>20</w:t>
      </w:r>
      <w:r w:rsidRPr="007D6498">
        <w:rPr>
          <w:rFonts w:ascii="Verdana" w:hAnsi="Verdana" w:cs="Verdana"/>
          <w:color w:val="000000"/>
        </w:rPr>
        <w:t xml:space="preserve">. </w:t>
      </w:r>
      <w:r w:rsidR="008C3F17" w:rsidRPr="007D6498">
        <w:rPr>
          <w:rFonts w:ascii="Verdana" w:hAnsi="Verdana" w:cs="Verdana"/>
          <w:color w:val="000000"/>
        </w:rPr>
        <w:t>The national interest statement is</w:t>
      </w:r>
      <w:r w:rsidRPr="007D6498">
        <w:rPr>
          <w:rFonts w:ascii="Verdana" w:hAnsi="Verdana" w:cs="Verdana"/>
          <w:color w:val="000000"/>
        </w:rPr>
        <w:t xml:space="preserve"> tabled in compliance with the requirements of the </w:t>
      </w:r>
      <w:r w:rsidRPr="007D6498">
        <w:rPr>
          <w:rFonts w:ascii="Verdana" w:hAnsi="Verdana" w:cs="Verdana"/>
          <w:i/>
          <w:iCs/>
          <w:color w:val="000000"/>
        </w:rPr>
        <w:t>International Mo</w:t>
      </w:r>
      <w:r w:rsidR="002923F2" w:rsidRPr="007D6498">
        <w:rPr>
          <w:rFonts w:ascii="Verdana" w:hAnsi="Verdana" w:cs="Verdana"/>
          <w:i/>
          <w:iCs/>
          <w:color w:val="000000"/>
        </w:rPr>
        <w:t>netary Agreements Act 1947 (Cth</w:t>
      </w:r>
      <w:r w:rsidRPr="007D6498">
        <w:rPr>
          <w:rFonts w:ascii="Verdana" w:hAnsi="Verdana" w:cs="Verdana"/>
          <w:i/>
          <w:iCs/>
          <w:color w:val="000000"/>
        </w:rPr>
        <w:t xml:space="preserve">) </w:t>
      </w:r>
      <w:r w:rsidRPr="007D6498">
        <w:rPr>
          <w:rFonts w:ascii="Verdana" w:hAnsi="Verdana" w:cs="Verdana"/>
          <w:color w:val="000000"/>
        </w:rPr>
        <w:t xml:space="preserve">(IMA Act). </w:t>
      </w:r>
    </w:p>
    <w:p w14:paraId="1FC3F3A3" w14:textId="77777777" w:rsidR="009E178F" w:rsidRPr="00847317" w:rsidRDefault="009E178F" w:rsidP="009E178F">
      <w:pPr>
        <w:autoSpaceDE w:val="0"/>
        <w:autoSpaceDN w:val="0"/>
        <w:adjustRightInd w:val="0"/>
        <w:spacing w:before="120" w:after="120" w:line="240" w:lineRule="auto"/>
        <w:rPr>
          <w:rFonts w:ascii="Verdana" w:hAnsi="Verdana" w:cs="Verdana"/>
          <w:color w:val="000000"/>
        </w:rPr>
      </w:pPr>
      <w:r w:rsidRPr="007D6498">
        <w:rPr>
          <w:rFonts w:ascii="Verdana" w:hAnsi="Verdana" w:cs="Verdana"/>
          <w:color w:val="000000"/>
        </w:rPr>
        <w:t xml:space="preserve">On </w:t>
      </w:r>
      <w:r w:rsidR="00366587" w:rsidRPr="007D6498">
        <w:rPr>
          <w:rFonts w:ascii="Verdana" w:hAnsi="Verdana" w:cs="Verdana"/>
          <w:color w:val="000000"/>
        </w:rPr>
        <w:t>12</w:t>
      </w:r>
      <w:r w:rsidRPr="007D6498">
        <w:rPr>
          <w:rFonts w:ascii="Verdana" w:hAnsi="Verdana" w:cs="Verdana"/>
          <w:color w:val="000000"/>
        </w:rPr>
        <w:t xml:space="preserve"> </w:t>
      </w:r>
      <w:r w:rsidR="00B73ADB" w:rsidRPr="007D6498">
        <w:rPr>
          <w:rFonts w:ascii="Verdana" w:hAnsi="Verdana" w:cs="Verdana"/>
          <w:color w:val="000000"/>
        </w:rPr>
        <w:t>November</w:t>
      </w:r>
      <w:r w:rsidRPr="007D6498">
        <w:rPr>
          <w:rFonts w:ascii="Verdana" w:hAnsi="Verdana" w:cs="Verdana"/>
          <w:color w:val="000000"/>
        </w:rPr>
        <w:t xml:space="preserve"> 20</w:t>
      </w:r>
      <w:r w:rsidR="002923F2" w:rsidRPr="007D6498">
        <w:rPr>
          <w:rFonts w:ascii="Verdana" w:hAnsi="Verdana" w:cs="Verdana"/>
          <w:color w:val="000000"/>
        </w:rPr>
        <w:t>20</w:t>
      </w:r>
      <w:r w:rsidRPr="007D6498">
        <w:rPr>
          <w:rFonts w:ascii="Verdana" w:hAnsi="Verdana" w:cs="Verdana"/>
          <w:color w:val="000000"/>
        </w:rPr>
        <w:t xml:space="preserve">, Australia entered into </w:t>
      </w:r>
      <w:r w:rsidR="002923F2" w:rsidRPr="007D6498">
        <w:rPr>
          <w:rFonts w:ascii="Verdana" w:hAnsi="Verdana" w:cs="Verdana"/>
          <w:color w:val="000000"/>
        </w:rPr>
        <w:t>a</w:t>
      </w:r>
      <w:r w:rsidRPr="007D6498">
        <w:rPr>
          <w:rFonts w:ascii="Verdana" w:hAnsi="Verdana" w:cs="Verdana"/>
          <w:color w:val="000000"/>
        </w:rPr>
        <w:t xml:space="preserve"> loan agreement with Indonesia to provide A</w:t>
      </w:r>
      <w:r w:rsidR="00201F4E" w:rsidRPr="007D6498">
        <w:rPr>
          <w:rFonts w:ascii="Verdana" w:hAnsi="Verdana" w:cs="Verdana"/>
          <w:color w:val="000000"/>
        </w:rPr>
        <w:t>$</w:t>
      </w:r>
      <w:r w:rsidRPr="007D6498">
        <w:rPr>
          <w:rFonts w:ascii="Verdana" w:hAnsi="Verdana" w:cs="Verdana"/>
          <w:color w:val="000000"/>
        </w:rPr>
        <w:t>1</w:t>
      </w:r>
      <w:r w:rsidR="002923F2" w:rsidRPr="007D6498">
        <w:rPr>
          <w:rFonts w:ascii="Verdana" w:hAnsi="Verdana" w:cs="Verdana"/>
          <w:color w:val="000000"/>
        </w:rPr>
        <w:t>.5</w:t>
      </w:r>
      <w:r w:rsidRPr="007D6498">
        <w:rPr>
          <w:rFonts w:ascii="Verdana" w:hAnsi="Verdana" w:cs="Verdana"/>
          <w:color w:val="000000"/>
        </w:rPr>
        <w:t xml:space="preserve"> billion. This agreement</w:t>
      </w:r>
      <w:r w:rsidRPr="009E178F">
        <w:rPr>
          <w:rFonts w:ascii="Verdana" w:hAnsi="Verdana" w:cs="Verdana"/>
          <w:color w:val="000000"/>
        </w:rPr>
        <w:t xml:space="preserve"> is part of a multilateral action to support Indonesia </w:t>
      </w:r>
      <w:r w:rsidRPr="00847317">
        <w:rPr>
          <w:rFonts w:ascii="Verdana" w:hAnsi="Verdana" w:cs="Verdana"/>
          <w:color w:val="000000"/>
        </w:rPr>
        <w:t xml:space="preserve">led by the </w:t>
      </w:r>
      <w:r w:rsidR="002923F2" w:rsidRPr="00847317">
        <w:rPr>
          <w:rFonts w:ascii="Verdana" w:hAnsi="Verdana" w:cs="Verdana"/>
          <w:color w:val="000000"/>
        </w:rPr>
        <w:t>Asian Development Bank (ADB)</w:t>
      </w:r>
      <w:r w:rsidRPr="00847317">
        <w:rPr>
          <w:rFonts w:ascii="Verdana" w:hAnsi="Verdana" w:cs="Verdana"/>
          <w:color w:val="000000"/>
        </w:rPr>
        <w:t xml:space="preserve"> and including the Asian </w:t>
      </w:r>
      <w:r w:rsidR="00B82D15" w:rsidRPr="00847317">
        <w:rPr>
          <w:rFonts w:ascii="Verdana" w:hAnsi="Verdana" w:cs="Verdana"/>
          <w:color w:val="000000"/>
        </w:rPr>
        <w:t>Infrastructure</w:t>
      </w:r>
      <w:r w:rsidR="002923F2" w:rsidRPr="00847317">
        <w:rPr>
          <w:rFonts w:ascii="Verdana" w:hAnsi="Verdana" w:cs="Verdana"/>
          <w:color w:val="000000"/>
        </w:rPr>
        <w:t xml:space="preserve"> Investment Bank</w:t>
      </w:r>
      <w:r w:rsidRPr="00847317">
        <w:rPr>
          <w:rFonts w:ascii="Verdana" w:hAnsi="Verdana" w:cs="Verdana"/>
          <w:color w:val="000000"/>
        </w:rPr>
        <w:t xml:space="preserve"> (A</w:t>
      </w:r>
      <w:r w:rsidR="002923F2" w:rsidRPr="00847317">
        <w:rPr>
          <w:rFonts w:ascii="Verdana" w:hAnsi="Verdana" w:cs="Verdana"/>
          <w:color w:val="000000"/>
        </w:rPr>
        <w:t>IIB</w:t>
      </w:r>
      <w:r w:rsidR="00303802">
        <w:rPr>
          <w:rFonts w:ascii="Verdana" w:hAnsi="Verdana" w:cs="Verdana"/>
          <w:color w:val="000000"/>
        </w:rPr>
        <w:t xml:space="preserve">), </w:t>
      </w:r>
      <w:r w:rsidR="00A858F6" w:rsidRPr="00847317">
        <w:rPr>
          <w:rFonts w:ascii="Verdana" w:hAnsi="Verdana" w:cs="Verdana"/>
          <w:color w:val="000000"/>
        </w:rPr>
        <w:t xml:space="preserve">the </w:t>
      </w:r>
      <w:r w:rsidRPr="00847317">
        <w:rPr>
          <w:rFonts w:ascii="Verdana" w:hAnsi="Verdana" w:cs="Verdana"/>
          <w:color w:val="000000"/>
        </w:rPr>
        <w:t>Japan</w:t>
      </w:r>
      <w:r w:rsidR="00A858F6" w:rsidRPr="00847317">
        <w:rPr>
          <w:rFonts w:ascii="Verdana" w:hAnsi="Verdana" w:cs="Verdana"/>
          <w:color w:val="000000"/>
        </w:rPr>
        <w:t xml:space="preserve"> International Cooperation Agency (JICA)</w:t>
      </w:r>
      <w:r w:rsidR="00303802">
        <w:rPr>
          <w:rFonts w:ascii="Verdana" w:hAnsi="Verdana" w:cs="Verdana"/>
          <w:color w:val="000000"/>
        </w:rPr>
        <w:t xml:space="preserve"> and</w:t>
      </w:r>
      <w:r w:rsidR="002B294A">
        <w:rPr>
          <w:rFonts w:ascii="Verdana" w:hAnsi="Verdana" w:cs="Verdana"/>
          <w:color w:val="000000"/>
        </w:rPr>
        <w:t xml:space="preserve"> the</w:t>
      </w:r>
      <w:r w:rsidR="00303802">
        <w:rPr>
          <w:rFonts w:ascii="Verdana" w:hAnsi="Verdana" w:cs="Verdana"/>
          <w:color w:val="000000"/>
        </w:rPr>
        <w:t xml:space="preserve"> </w:t>
      </w:r>
      <w:r w:rsidR="000B4898" w:rsidRPr="000B4898">
        <w:rPr>
          <w:rFonts w:ascii="Verdana" w:hAnsi="Verdana" w:cs="Verdana"/>
          <w:color w:val="000000"/>
        </w:rPr>
        <w:t>Germa</w:t>
      </w:r>
      <w:r w:rsidR="00414B9F">
        <w:rPr>
          <w:rFonts w:ascii="Verdana" w:hAnsi="Verdana" w:cs="Verdana"/>
          <w:color w:val="000000"/>
        </w:rPr>
        <w:t>n state-owned development bank (</w:t>
      </w:r>
      <w:r w:rsidR="000B4898" w:rsidRPr="000B4898">
        <w:rPr>
          <w:rFonts w:ascii="Verdana" w:hAnsi="Verdana" w:cs="Verdana"/>
          <w:color w:val="000000"/>
        </w:rPr>
        <w:t>KfW</w:t>
      </w:r>
      <w:r w:rsidR="00414B9F">
        <w:rPr>
          <w:rFonts w:ascii="Verdana" w:hAnsi="Verdana" w:cs="Verdana"/>
          <w:color w:val="000000"/>
        </w:rPr>
        <w:t>)</w:t>
      </w:r>
      <w:r w:rsidR="00C13725" w:rsidRPr="00847317">
        <w:rPr>
          <w:rFonts w:ascii="Verdana" w:hAnsi="Verdana" w:cs="Verdana"/>
          <w:color w:val="000000"/>
        </w:rPr>
        <w:t>.</w:t>
      </w:r>
    </w:p>
    <w:p w14:paraId="3B666A17" w14:textId="4DC1662C" w:rsidR="00B832EF" w:rsidRPr="00B832EF" w:rsidRDefault="009E178F" w:rsidP="00B832EF">
      <w:pPr>
        <w:spacing w:after="0"/>
        <w:rPr>
          <w:rFonts w:ascii="Verdana" w:hAnsi="Verdana" w:cs="Verdana"/>
          <w:color w:val="000000"/>
        </w:rPr>
      </w:pPr>
      <w:r w:rsidRPr="00847317">
        <w:rPr>
          <w:rFonts w:ascii="Verdana" w:hAnsi="Verdana" w:cs="Verdana"/>
          <w:color w:val="000000"/>
        </w:rPr>
        <w:t xml:space="preserve">This </w:t>
      </w:r>
      <w:r w:rsidR="00FE7168" w:rsidRPr="00847317">
        <w:rPr>
          <w:rFonts w:ascii="Verdana" w:hAnsi="Verdana" w:cs="Verdana"/>
          <w:color w:val="000000"/>
        </w:rPr>
        <w:t>loan is</w:t>
      </w:r>
      <w:r w:rsidRPr="00847317">
        <w:rPr>
          <w:rFonts w:ascii="Verdana" w:hAnsi="Verdana" w:cs="Verdana"/>
          <w:color w:val="000000"/>
        </w:rPr>
        <w:t xml:space="preserve"> designed to </w:t>
      </w:r>
      <w:r w:rsidR="00652A52" w:rsidRPr="00847317">
        <w:rPr>
          <w:rFonts w:ascii="Verdana" w:hAnsi="Verdana" w:cs="Verdana"/>
          <w:color w:val="000000"/>
        </w:rPr>
        <w:t xml:space="preserve">support </w:t>
      </w:r>
      <w:r w:rsidRPr="00847317">
        <w:rPr>
          <w:rFonts w:ascii="Verdana" w:hAnsi="Verdana" w:cs="Verdana"/>
          <w:color w:val="000000"/>
        </w:rPr>
        <w:t>Indonesia’s</w:t>
      </w:r>
      <w:r w:rsidRPr="00F645E0">
        <w:rPr>
          <w:rFonts w:ascii="Verdana" w:hAnsi="Verdana" w:cs="Verdana"/>
          <w:color w:val="000000"/>
        </w:rPr>
        <w:t xml:space="preserve"> </w:t>
      </w:r>
      <w:r w:rsidR="00FE7168" w:rsidRPr="00F645E0">
        <w:rPr>
          <w:rFonts w:ascii="Verdana" w:hAnsi="Verdana" w:cs="Verdana"/>
          <w:color w:val="000000"/>
        </w:rPr>
        <w:t>COVID-19 response financing task.</w:t>
      </w:r>
      <w:r w:rsidR="00846160" w:rsidRPr="00F645E0">
        <w:rPr>
          <w:rFonts w:ascii="Verdana" w:hAnsi="Verdana" w:cs="Verdana"/>
          <w:color w:val="000000"/>
        </w:rPr>
        <w:t xml:space="preserve"> </w:t>
      </w:r>
      <w:r w:rsidR="00AD3E09" w:rsidRPr="00AD3E09">
        <w:rPr>
          <w:rFonts w:ascii="Verdana" w:hAnsi="Verdana" w:cs="Verdana"/>
          <w:color w:val="000000"/>
        </w:rPr>
        <w:t xml:space="preserve">COVID-19 </w:t>
      </w:r>
      <w:r w:rsidR="00663492">
        <w:rPr>
          <w:rFonts w:ascii="Verdana" w:hAnsi="Verdana" w:cs="Verdana"/>
          <w:color w:val="000000"/>
        </w:rPr>
        <w:t>has</w:t>
      </w:r>
      <w:r w:rsidR="00663492" w:rsidRPr="00AD3E09">
        <w:rPr>
          <w:rFonts w:ascii="Verdana" w:hAnsi="Verdana" w:cs="Verdana"/>
          <w:color w:val="000000"/>
        </w:rPr>
        <w:t xml:space="preserve"> </w:t>
      </w:r>
      <w:r w:rsidR="00AD3E09" w:rsidRPr="00AD3E09">
        <w:rPr>
          <w:rFonts w:ascii="Verdana" w:hAnsi="Verdana" w:cs="Verdana"/>
          <w:color w:val="000000"/>
        </w:rPr>
        <w:t>precipitat</w:t>
      </w:r>
      <w:r w:rsidR="00663492">
        <w:rPr>
          <w:rFonts w:ascii="Verdana" w:hAnsi="Verdana" w:cs="Verdana"/>
          <w:color w:val="000000"/>
        </w:rPr>
        <w:t>ed</w:t>
      </w:r>
      <w:r w:rsidR="00AD3E09" w:rsidRPr="00AD3E09">
        <w:rPr>
          <w:rFonts w:ascii="Verdana" w:hAnsi="Verdana" w:cs="Verdana"/>
          <w:color w:val="000000"/>
        </w:rPr>
        <w:t xml:space="preserve"> a health and humanitarian crisis in Indonesia, threatening economic prosperity.</w:t>
      </w:r>
      <w:r w:rsidR="00AD3E09">
        <w:t xml:space="preserve"> </w:t>
      </w:r>
      <w:r w:rsidR="00AD3E09" w:rsidRPr="00AD3E09">
        <w:rPr>
          <w:rFonts w:ascii="Verdana" w:hAnsi="Verdana" w:cs="Verdana"/>
          <w:color w:val="000000"/>
        </w:rPr>
        <w:t>The economic impacts of COVID-19 are being felt.</w:t>
      </w:r>
      <w:r w:rsidR="005533CF">
        <w:rPr>
          <w:rFonts w:ascii="Verdana" w:hAnsi="Verdana" w:cs="Verdana"/>
          <w:color w:val="000000"/>
        </w:rPr>
        <w:t xml:space="preserve"> </w:t>
      </w:r>
      <w:r w:rsidR="00A31C3C">
        <w:rPr>
          <w:rFonts w:ascii="Verdana" w:hAnsi="Verdana" w:cs="Verdana"/>
          <w:color w:val="000000"/>
        </w:rPr>
        <w:t>Indonesia experienced the first year on year contraction since the Asian Financial crisis in the second quarter</w:t>
      </w:r>
      <w:r w:rsidR="0050568A">
        <w:rPr>
          <w:rFonts w:ascii="Verdana" w:hAnsi="Verdana" w:cs="Verdana"/>
          <w:color w:val="000000"/>
        </w:rPr>
        <w:t xml:space="preserve"> of 2020</w:t>
      </w:r>
      <w:r w:rsidR="00A31C3C">
        <w:rPr>
          <w:rFonts w:ascii="Verdana" w:hAnsi="Verdana" w:cs="Verdana"/>
          <w:color w:val="000000"/>
        </w:rPr>
        <w:t xml:space="preserve">. </w:t>
      </w:r>
      <w:r w:rsidR="00B832EF" w:rsidRPr="00B832EF">
        <w:rPr>
          <w:rFonts w:ascii="Verdana" w:hAnsi="Verdana" w:cs="Verdana"/>
          <w:color w:val="000000"/>
        </w:rPr>
        <w:t xml:space="preserve">The economy contracted 5.3 per cent through the year to the June quarter marking the first contraction since the 1997-98 Asian Financial Crisis. Following its response to COVID-19, the fiscal deficit is forecast to widen from 2.2 per cent in 2019 to 6.3 per cent in 2020. </w:t>
      </w:r>
    </w:p>
    <w:p w14:paraId="6300BED5" w14:textId="127DA5E1" w:rsidR="00D90604" w:rsidRDefault="00FE7168" w:rsidP="00D90604">
      <w:pPr>
        <w:autoSpaceDE w:val="0"/>
        <w:autoSpaceDN w:val="0"/>
        <w:adjustRightInd w:val="0"/>
        <w:spacing w:before="120" w:after="120" w:line="240" w:lineRule="auto"/>
        <w:rPr>
          <w:rFonts w:ascii="Verdana" w:hAnsi="Verdana" w:cs="Verdana"/>
          <w:color w:val="000000"/>
        </w:rPr>
      </w:pPr>
      <w:r w:rsidRPr="00060381">
        <w:rPr>
          <w:rFonts w:ascii="Verdana" w:hAnsi="Verdana"/>
          <w:color w:val="000000"/>
        </w:rPr>
        <w:t>Escalation</w:t>
      </w:r>
      <w:r>
        <w:rPr>
          <w:rFonts w:ascii="Verdana" w:hAnsi="Verdana" w:cs="Verdana"/>
          <w:color w:val="000000"/>
        </w:rPr>
        <w:t xml:space="preserve"> of the</w:t>
      </w:r>
      <w:r w:rsidRPr="00652A52">
        <w:rPr>
          <w:rFonts w:ascii="Verdana" w:hAnsi="Verdana" w:cs="Verdana"/>
          <w:color w:val="000000"/>
        </w:rPr>
        <w:t xml:space="preserve"> health crisis will further undermine the economic and fiscal position.</w:t>
      </w:r>
      <w:r>
        <w:rPr>
          <w:rFonts w:ascii="Verdana" w:hAnsi="Verdana" w:cs="Verdana"/>
          <w:color w:val="000000"/>
        </w:rPr>
        <w:t xml:space="preserve"> </w:t>
      </w:r>
      <w:r w:rsidR="00652A52" w:rsidRPr="00652A52">
        <w:rPr>
          <w:rFonts w:ascii="Verdana" w:hAnsi="Verdana" w:cs="Verdana"/>
          <w:color w:val="000000"/>
        </w:rPr>
        <w:t xml:space="preserve">While the </w:t>
      </w:r>
      <w:r w:rsidR="00652A52" w:rsidRPr="00FC2718">
        <w:rPr>
          <w:rFonts w:ascii="Verdana" w:hAnsi="Verdana" w:cs="Verdana"/>
          <w:color w:val="000000"/>
        </w:rPr>
        <w:t xml:space="preserve">Indonesian Government </w:t>
      </w:r>
      <w:r w:rsidR="00B269D2" w:rsidRPr="00FC2718">
        <w:rPr>
          <w:rFonts w:ascii="Verdana" w:hAnsi="Verdana" w:cs="Verdana"/>
          <w:color w:val="000000"/>
        </w:rPr>
        <w:t>is responding to the crisis through increased expenditure and</w:t>
      </w:r>
      <w:r w:rsidR="00597A6C" w:rsidRPr="00FC2718">
        <w:rPr>
          <w:rFonts w:ascii="Verdana" w:hAnsi="Verdana" w:cs="Verdana"/>
          <w:color w:val="000000"/>
        </w:rPr>
        <w:t xml:space="preserve"> has</w:t>
      </w:r>
      <w:r w:rsidR="00B269D2" w:rsidRPr="00FC2718">
        <w:rPr>
          <w:rFonts w:ascii="Verdana" w:hAnsi="Verdana" w:cs="Verdana"/>
          <w:color w:val="000000"/>
        </w:rPr>
        <w:t xml:space="preserve"> </w:t>
      </w:r>
      <w:r w:rsidR="00652A52" w:rsidRPr="00FC2718">
        <w:rPr>
          <w:rFonts w:ascii="Verdana" w:hAnsi="Verdana" w:cs="Verdana"/>
          <w:color w:val="000000"/>
        </w:rPr>
        <w:t>taken steps to manage fiscal pressures, further assistance is required.</w:t>
      </w:r>
      <w:r w:rsidR="00C67E27" w:rsidRPr="00FC2718">
        <w:rPr>
          <w:rFonts w:ascii="Verdana" w:hAnsi="Verdana" w:cs="Verdana"/>
          <w:color w:val="000000"/>
        </w:rPr>
        <w:t xml:space="preserve"> </w:t>
      </w:r>
      <w:r w:rsidR="00B31DC2" w:rsidRPr="00FC2718">
        <w:rPr>
          <w:rFonts w:ascii="Verdana" w:hAnsi="Verdana" w:cs="Verdana"/>
          <w:color w:val="000000"/>
        </w:rPr>
        <w:t xml:space="preserve">Indonesia’s ability to raise revenue quickly is constrained, given its narrow tax base and financial market conditions </w:t>
      </w:r>
      <w:r w:rsidR="00D53E5C" w:rsidRPr="00FC2718">
        <w:rPr>
          <w:rFonts w:ascii="Verdana" w:hAnsi="Verdana" w:cs="Verdana"/>
          <w:color w:val="000000"/>
        </w:rPr>
        <w:t xml:space="preserve">mean that raising </w:t>
      </w:r>
      <w:r w:rsidR="00B31DC2" w:rsidRPr="00FC2718">
        <w:rPr>
          <w:rFonts w:ascii="Verdana" w:hAnsi="Verdana" w:cs="Verdana"/>
          <w:color w:val="000000"/>
        </w:rPr>
        <w:t>capital</w:t>
      </w:r>
      <w:r w:rsidR="00D53E5C" w:rsidRPr="00FC2718">
        <w:rPr>
          <w:rFonts w:ascii="Verdana" w:hAnsi="Verdana" w:cs="Verdana"/>
          <w:color w:val="000000"/>
        </w:rPr>
        <w:t xml:space="preserve"> is expensive</w:t>
      </w:r>
      <w:r w:rsidR="00042DBE" w:rsidRPr="00FC2718">
        <w:rPr>
          <w:rFonts w:ascii="Verdana" w:hAnsi="Verdana" w:cs="Verdana"/>
          <w:color w:val="000000"/>
        </w:rPr>
        <w:t>.</w:t>
      </w:r>
      <w:r w:rsidR="00042DBE">
        <w:rPr>
          <w:rFonts w:ascii="Verdana" w:hAnsi="Verdana" w:cs="Verdana"/>
          <w:color w:val="000000"/>
        </w:rPr>
        <w:t xml:space="preserve"> </w:t>
      </w:r>
      <w:r w:rsidR="005533CF">
        <w:rPr>
          <w:rFonts w:ascii="Verdana" w:hAnsi="Verdana" w:cs="Verdana"/>
          <w:color w:val="000000"/>
        </w:rPr>
        <w:t xml:space="preserve"> </w:t>
      </w:r>
    </w:p>
    <w:p w14:paraId="2EA5E059" w14:textId="1AE19243" w:rsidR="001B22FF" w:rsidRDefault="00D90604" w:rsidP="001B22FF">
      <w:pPr>
        <w:autoSpaceDE w:val="0"/>
        <w:autoSpaceDN w:val="0"/>
        <w:adjustRightInd w:val="0"/>
        <w:spacing w:before="120" w:after="120" w:line="240" w:lineRule="auto"/>
        <w:rPr>
          <w:rFonts w:ascii="Verdana" w:hAnsi="Verdana" w:cs="Verdana"/>
          <w:color w:val="000000"/>
        </w:rPr>
      </w:pPr>
      <w:r w:rsidRPr="00970442">
        <w:rPr>
          <w:rFonts w:ascii="Verdana" w:hAnsi="Verdana" w:cs="Verdana"/>
          <w:color w:val="000000"/>
        </w:rPr>
        <w:t>The funds will be used to support Indonesia’s COVID-19 response, including social protection initiatives and health system development. Indonesia’s response has expanded social protections for the most vulnerable and strengthened the health system.</w:t>
      </w:r>
      <w:r w:rsidR="000360D7" w:rsidRPr="00970442">
        <w:rPr>
          <w:rFonts w:ascii="Verdana" w:hAnsi="Verdana" w:cs="Verdana"/>
          <w:color w:val="000000"/>
        </w:rPr>
        <w:t xml:space="preserve"> </w:t>
      </w:r>
    </w:p>
    <w:p w14:paraId="2C9C908C" w14:textId="676A8BAD" w:rsidR="00B832EF" w:rsidRPr="00B832EF" w:rsidRDefault="00B832EF" w:rsidP="009E178F">
      <w:pPr>
        <w:autoSpaceDE w:val="0"/>
        <w:autoSpaceDN w:val="0"/>
        <w:adjustRightInd w:val="0"/>
        <w:spacing w:before="120" w:after="120" w:line="240" w:lineRule="auto"/>
        <w:rPr>
          <w:rFonts w:ascii="Verdana" w:hAnsi="Verdana" w:cs="Verdana"/>
          <w:color w:val="000000"/>
        </w:rPr>
      </w:pPr>
      <w:r w:rsidRPr="00B832EF">
        <w:rPr>
          <w:rFonts w:ascii="Verdana" w:hAnsi="Verdana" w:cs="Verdana"/>
          <w:color w:val="000000"/>
        </w:rPr>
        <w:t xml:space="preserve">It is in Australia’s interest, as we have in the past, to offer direct support to Indonesia during challenging times. An economically strong Indonesia is critical to the recovery and prosperity of Australia and the rest of the region. </w:t>
      </w:r>
    </w:p>
    <w:p w14:paraId="0D621903" w14:textId="77777777" w:rsidR="009E178F" w:rsidRPr="009E178F" w:rsidRDefault="009407B8" w:rsidP="009E178F">
      <w:pPr>
        <w:autoSpaceDE w:val="0"/>
        <w:autoSpaceDN w:val="0"/>
        <w:adjustRightInd w:val="0"/>
        <w:spacing w:before="120" w:after="120" w:line="240" w:lineRule="auto"/>
        <w:rPr>
          <w:rFonts w:ascii="Verdana" w:hAnsi="Verdana" w:cs="Verdana"/>
          <w:color w:val="000000"/>
        </w:rPr>
      </w:pPr>
      <w:r>
        <w:rPr>
          <w:rFonts w:ascii="Verdana" w:hAnsi="Verdana" w:cs="Verdana"/>
          <w:color w:val="000000"/>
        </w:rPr>
        <w:t xml:space="preserve">The Australian Government previously </w:t>
      </w:r>
      <w:r w:rsidR="001B22FF" w:rsidRPr="001B22FF">
        <w:rPr>
          <w:rFonts w:ascii="Verdana" w:hAnsi="Verdana" w:cs="Verdana"/>
          <w:color w:val="000000"/>
        </w:rPr>
        <w:t xml:space="preserve">provided standby loans to Indonesia in both </w:t>
      </w:r>
      <w:r w:rsidR="00C13725">
        <w:rPr>
          <w:rFonts w:ascii="Verdana" w:hAnsi="Verdana" w:cs="Verdana"/>
          <w:color w:val="000000"/>
        </w:rPr>
        <w:t>2008 (US</w:t>
      </w:r>
      <w:r w:rsidR="00627344">
        <w:rPr>
          <w:rFonts w:ascii="Verdana" w:hAnsi="Verdana" w:cs="Verdana"/>
          <w:color w:val="000000"/>
        </w:rPr>
        <w:t>$</w:t>
      </w:r>
      <w:r w:rsidR="00C13725">
        <w:rPr>
          <w:rFonts w:ascii="Verdana" w:hAnsi="Verdana" w:cs="Verdana"/>
          <w:color w:val="000000"/>
        </w:rPr>
        <w:t xml:space="preserve">1 billion) and </w:t>
      </w:r>
      <w:r w:rsidR="00C4190E">
        <w:rPr>
          <w:rFonts w:ascii="Verdana" w:hAnsi="Verdana" w:cs="Verdana"/>
          <w:color w:val="000000"/>
        </w:rPr>
        <w:t xml:space="preserve">again between </w:t>
      </w:r>
      <w:r w:rsidR="00C13725">
        <w:rPr>
          <w:rFonts w:ascii="Verdana" w:hAnsi="Verdana" w:cs="Verdana"/>
          <w:color w:val="000000"/>
        </w:rPr>
        <w:t>2013</w:t>
      </w:r>
      <w:r w:rsidR="00C4190E">
        <w:rPr>
          <w:rFonts w:ascii="Verdana" w:hAnsi="Verdana" w:cs="Verdana"/>
          <w:color w:val="000000"/>
        </w:rPr>
        <w:t xml:space="preserve"> and 2015</w:t>
      </w:r>
      <w:r w:rsidR="00C13725">
        <w:rPr>
          <w:rFonts w:ascii="Verdana" w:hAnsi="Verdana" w:cs="Verdana"/>
          <w:color w:val="000000"/>
        </w:rPr>
        <w:t xml:space="preserve"> (A</w:t>
      </w:r>
      <w:r w:rsidR="00201F4E">
        <w:rPr>
          <w:rFonts w:ascii="Verdana" w:hAnsi="Verdana" w:cs="Verdana"/>
          <w:color w:val="000000"/>
        </w:rPr>
        <w:t>$</w:t>
      </w:r>
      <w:r w:rsidR="001B22FF" w:rsidRPr="001B22FF">
        <w:rPr>
          <w:rFonts w:ascii="Verdana" w:hAnsi="Verdana" w:cs="Verdana"/>
          <w:color w:val="000000"/>
        </w:rPr>
        <w:t xml:space="preserve">1 billion). </w:t>
      </w:r>
      <w:r w:rsidR="00676F8D">
        <w:rPr>
          <w:rFonts w:ascii="Verdana" w:hAnsi="Verdana" w:cs="Verdana"/>
          <w:color w:val="000000"/>
        </w:rPr>
        <w:t>While n</w:t>
      </w:r>
      <w:r w:rsidR="001B22FF" w:rsidRPr="001B22FF">
        <w:rPr>
          <w:rFonts w:ascii="Verdana" w:hAnsi="Verdana" w:cs="Verdana"/>
          <w:color w:val="000000"/>
        </w:rPr>
        <w:t>either loan was taken up</w:t>
      </w:r>
      <w:r w:rsidR="00676F8D">
        <w:rPr>
          <w:rFonts w:ascii="Verdana" w:hAnsi="Verdana" w:cs="Verdana"/>
          <w:color w:val="000000"/>
        </w:rPr>
        <w:t>,</w:t>
      </w:r>
      <w:r w:rsidR="001B22FF" w:rsidRPr="001B22FF">
        <w:rPr>
          <w:rFonts w:ascii="Verdana" w:hAnsi="Verdana" w:cs="Verdana"/>
          <w:color w:val="000000"/>
        </w:rPr>
        <w:t xml:space="preserve"> their existence provided confidence to markets, which assisted Indonesia to access international capital. </w:t>
      </w:r>
      <w:r w:rsidR="009E178F" w:rsidRPr="009E178F">
        <w:rPr>
          <w:rFonts w:ascii="Verdana" w:hAnsi="Verdana" w:cs="Verdana"/>
          <w:color w:val="000000"/>
        </w:rPr>
        <w:t xml:space="preserve">Providing this </w:t>
      </w:r>
      <w:r w:rsidR="00004EB2">
        <w:rPr>
          <w:rFonts w:ascii="Verdana" w:hAnsi="Verdana" w:cs="Verdana"/>
          <w:color w:val="000000"/>
        </w:rPr>
        <w:t>loan</w:t>
      </w:r>
      <w:r w:rsidR="009E178F" w:rsidRPr="009E178F">
        <w:rPr>
          <w:rFonts w:ascii="Verdana" w:hAnsi="Verdana" w:cs="Verdana"/>
          <w:color w:val="000000"/>
        </w:rPr>
        <w:t xml:space="preserve"> to Indonesia enhances Australia’s diplomatic and economic interests, through strengthening the important relationship between the two countries, and by supporting the economic stability of Indonesia and the region. </w:t>
      </w:r>
    </w:p>
    <w:p w14:paraId="07664CE1" w14:textId="77777777" w:rsidR="009E178F" w:rsidRPr="009E178F" w:rsidRDefault="009E178F" w:rsidP="00497475">
      <w:pPr>
        <w:pageBreakBefore/>
        <w:autoSpaceDE w:val="0"/>
        <w:autoSpaceDN w:val="0"/>
        <w:adjustRightInd w:val="0"/>
        <w:spacing w:before="120" w:after="120" w:line="240" w:lineRule="auto"/>
        <w:rPr>
          <w:rFonts w:ascii="Verdana" w:hAnsi="Verdana" w:cs="Verdana"/>
          <w:color w:val="000000"/>
        </w:rPr>
      </w:pPr>
      <w:r w:rsidRPr="009E178F">
        <w:rPr>
          <w:rFonts w:ascii="Verdana" w:hAnsi="Verdana" w:cs="Verdana"/>
          <w:b/>
          <w:bCs/>
          <w:color w:val="000000"/>
        </w:rPr>
        <w:lastRenderedPageBreak/>
        <w:t xml:space="preserve">Legislative requirements </w:t>
      </w:r>
    </w:p>
    <w:p w14:paraId="7A9FFD78" w14:textId="77777777" w:rsidR="009E178F" w:rsidRPr="009E178F" w:rsidRDefault="009E178F" w:rsidP="009E178F">
      <w:pPr>
        <w:autoSpaceDE w:val="0"/>
        <w:autoSpaceDN w:val="0"/>
        <w:adjustRightInd w:val="0"/>
        <w:spacing w:before="120" w:after="120" w:line="240" w:lineRule="auto"/>
        <w:rPr>
          <w:rFonts w:ascii="Verdana" w:hAnsi="Verdana" w:cs="Verdana"/>
          <w:color w:val="000000"/>
        </w:rPr>
      </w:pPr>
      <w:r w:rsidRPr="009E178F">
        <w:rPr>
          <w:rFonts w:ascii="Verdana" w:hAnsi="Verdana" w:cs="Verdana"/>
          <w:color w:val="000000"/>
        </w:rPr>
        <w:t>This National Interest Statement relating to the Loan Agreement was tabled pursuant to the requirements of sections 8CA-8F of the IMA Act. The IMA Act requires the Treasurer to table a</w:t>
      </w:r>
      <w:r w:rsidR="00377E8B">
        <w:rPr>
          <w:rFonts w:ascii="Verdana" w:hAnsi="Verdana" w:cs="Verdana"/>
          <w:color w:val="000000"/>
        </w:rPr>
        <w:t> </w:t>
      </w:r>
      <w:r w:rsidRPr="009E178F">
        <w:rPr>
          <w:rFonts w:ascii="Verdana" w:hAnsi="Verdana" w:cs="Verdana"/>
          <w:color w:val="000000"/>
        </w:rPr>
        <w:t xml:space="preserve">statement as soon as practicable after entering into such an agreement, indicating the reasons why the loan agreement is in Australia’s national interest, along with a description of its nature and terms. </w:t>
      </w:r>
    </w:p>
    <w:p w14:paraId="66CBEB76" w14:textId="77777777" w:rsidR="009E178F" w:rsidRPr="009E178F" w:rsidRDefault="009E178F" w:rsidP="009E178F">
      <w:pPr>
        <w:autoSpaceDE w:val="0"/>
        <w:autoSpaceDN w:val="0"/>
        <w:adjustRightInd w:val="0"/>
        <w:spacing w:before="120" w:after="120" w:line="240" w:lineRule="auto"/>
        <w:rPr>
          <w:rFonts w:ascii="Verdana" w:hAnsi="Verdana" w:cs="Verdana"/>
          <w:color w:val="000000"/>
        </w:rPr>
      </w:pPr>
      <w:r w:rsidRPr="009E178F">
        <w:rPr>
          <w:rFonts w:ascii="Verdana" w:hAnsi="Verdana" w:cs="Verdana"/>
          <w:color w:val="000000"/>
        </w:rPr>
        <w:t xml:space="preserve">The IMA Act also prescribes that Australia can enter into an agreement for a loan that provides financial assistance in support of </w:t>
      </w:r>
      <w:r w:rsidR="004A2BE1">
        <w:rPr>
          <w:rFonts w:ascii="Verdana" w:hAnsi="Verdana" w:cs="Verdana"/>
          <w:color w:val="000000"/>
        </w:rPr>
        <w:t>ADB</w:t>
      </w:r>
      <w:r w:rsidRPr="009E178F">
        <w:rPr>
          <w:rFonts w:ascii="Verdana" w:hAnsi="Verdana" w:cs="Verdana"/>
          <w:color w:val="000000"/>
        </w:rPr>
        <w:t xml:space="preserve"> programs to another country if: the </w:t>
      </w:r>
      <w:r w:rsidR="004A2BE1">
        <w:rPr>
          <w:rFonts w:ascii="Verdana" w:hAnsi="Verdana" w:cs="Verdana"/>
          <w:color w:val="000000"/>
        </w:rPr>
        <w:t>ADB</w:t>
      </w:r>
      <w:r w:rsidRPr="009E178F">
        <w:rPr>
          <w:rFonts w:ascii="Verdana" w:hAnsi="Verdana" w:cs="Verdana"/>
          <w:color w:val="000000"/>
        </w:rPr>
        <w:t xml:space="preserve"> requests Australia’s assistance; and the Treasurer is satisfied that at least one other government or organisation will be providing similar assistance. </w:t>
      </w:r>
    </w:p>
    <w:p w14:paraId="38150C46" w14:textId="4F90016E" w:rsidR="009E178F" w:rsidRPr="009E178F" w:rsidRDefault="009E178F" w:rsidP="00E937C0">
      <w:pPr>
        <w:autoSpaceDE w:val="0"/>
        <w:autoSpaceDN w:val="0"/>
        <w:adjustRightInd w:val="0"/>
        <w:spacing w:before="120" w:after="120" w:line="240" w:lineRule="auto"/>
        <w:rPr>
          <w:rFonts w:ascii="Verdana" w:hAnsi="Verdana" w:cs="Verdana"/>
          <w:color w:val="000000"/>
        </w:rPr>
      </w:pPr>
      <w:r w:rsidRPr="009E178F">
        <w:rPr>
          <w:rFonts w:ascii="Verdana" w:hAnsi="Verdana" w:cs="Verdana"/>
          <w:color w:val="000000"/>
        </w:rPr>
        <w:t xml:space="preserve">These requirements have been fulfilled. The </w:t>
      </w:r>
      <w:r w:rsidR="004A2BE1">
        <w:rPr>
          <w:rFonts w:ascii="Verdana" w:hAnsi="Verdana" w:cs="Verdana"/>
          <w:color w:val="000000"/>
        </w:rPr>
        <w:t>ADB</w:t>
      </w:r>
      <w:r w:rsidRPr="009E178F">
        <w:rPr>
          <w:rFonts w:ascii="Verdana" w:hAnsi="Verdana" w:cs="Verdana"/>
          <w:color w:val="000000"/>
        </w:rPr>
        <w:t xml:space="preserve"> has formally requested Australia’s participation in </w:t>
      </w:r>
      <w:r w:rsidR="00E80CE6">
        <w:rPr>
          <w:rFonts w:ascii="Verdana" w:hAnsi="Verdana" w:cs="Verdana"/>
          <w:color w:val="000000"/>
        </w:rPr>
        <w:t>support of</w:t>
      </w:r>
      <w:r w:rsidRPr="009E178F">
        <w:rPr>
          <w:rFonts w:ascii="Verdana" w:hAnsi="Verdana" w:cs="Verdana"/>
          <w:color w:val="000000"/>
        </w:rPr>
        <w:t xml:space="preserve"> its </w:t>
      </w:r>
      <w:r w:rsidR="00004EB2" w:rsidRPr="00004EB2">
        <w:rPr>
          <w:rFonts w:ascii="Verdana" w:hAnsi="Verdana" w:cs="Verdana"/>
          <w:color w:val="000000"/>
        </w:rPr>
        <w:t>US</w:t>
      </w:r>
      <w:r w:rsidR="00627344">
        <w:rPr>
          <w:rFonts w:ascii="Verdana" w:hAnsi="Verdana" w:cs="Verdana"/>
          <w:color w:val="000000"/>
        </w:rPr>
        <w:t>$</w:t>
      </w:r>
      <w:r w:rsidR="00004EB2" w:rsidRPr="00004EB2">
        <w:rPr>
          <w:rFonts w:ascii="Verdana" w:hAnsi="Verdana" w:cs="Verdana"/>
          <w:color w:val="000000"/>
        </w:rPr>
        <w:t>1.5</w:t>
      </w:r>
      <w:r w:rsidRPr="009E178F">
        <w:rPr>
          <w:rFonts w:ascii="Verdana" w:hAnsi="Verdana" w:cs="Verdana"/>
          <w:color w:val="000000"/>
        </w:rPr>
        <w:t xml:space="preserve"> billion </w:t>
      </w:r>
      <w:r w:rsidR="00665842">
        <w:rPr>
          <w:rFonts w:ascii="Verdana" w:hAnsi="Verdana" w:cs="Verdana"/>
          <w:color w:val="000000"/>
        </w:rPr>
        <w:t>c</w:t>
      </w:r>
      <w:r w:rsidR="00004EB2" w:rsidRPr="00004EB2">
        <w:rPr>
          <w:rFonts w:ascii="Verdana" w:hAnsi="Verdana" w:cs="Verdana"/>
          <w:color w:val="000000"/>
        </w:rPr>
        <w:t>ountercyclical support facility loan under the COVID-19 pandemic response option (CPRO) for the COVID-19 Active Response and Expenditure Support Program (CARES)</w:t>
      </w:r>
      <w:r w:rsidR="00987DF9">
        <w:rPr>
          <w:rFonts w:ascii="Verdana" w:hAnsi="Verdana" w:cs="Verdana"/>
          <w:color w:val="000000"/>
        </w:rPr>
        <w:t>,</w:t>
      </w:r>
      <w:r w:rsidR="00E937C0">
        <w:rPr>
          <w:rFonts w:ascii="Verdana" w:hAnsi="Verdana" w:cs="Verdana"/>
          <w:color w:val="000000"/>
        </w:rPr>
        <w:t xml:space="preserve"> </w:t>
      </w:r>
      <w:r w:rsidR="00E937C0" w:rsidRPr="00E937C0">
        <w:rPr>
          <w:rFonts w:ascii="Verdana" w:hAnsi="Verdana" w:cs="Verdana"/>
          <w:color w:val="000000"/>
        </w:rPr>
        <w:t>approved by the ADB board of Directors on 23 April 2020</w:t>
      </w:r>
      <w:r w:rsidR="00004EB2" w:rsidRPr="00004EB2">
        <w:rPr>
          <w:rFonts w:ascii="Verdana" w:hAnsi="Verdana" w:cs="Verdana"/>
          <w:color w:val="000000"/>
        </w:rPr>
        <w:t>.</w:t>
      </w:r>
      <w:r w:rsidRPr="009E178F">
        <w:rPr>
          <w:rFonts w:ascii="Verdana" w:hAnsi="Verdana" w:cs="Verdana"/>
          <w:color w:val="000000"/>
        </w:rPr>
        <w:t xml:space="preserve"> </w:t>
      </w:r>
      <w:r w:rsidR="002C6F0A">
        <w:rPr>
          <w:rFonts w:ascii="Verdana" w:hAnsi="Verdana" w:cs="Verdana"/>
          <w:color w:val="000000"/>
        </w:rPr>
        <w:t xml:space="preserve">The AIIB, </w:t>
      </w:r>
      <w:r w:rsidR="00987DF9">
        <w:rPr>
          <w:rFonts w:ascii="Verdana" w:hAnsi="Verdana" w:cs="Verdana"/>
          <w:color w:val="000000"/>
        </w:rPr>
        <w:t>JICA</w:t>
      </w:r>
      <w:r w:rsidR="002C6F0A">
        <w:rPr>
          <w:rFonts w:ascii="Verdana" w:hAnsi="Verdana" w:cs="Verdana"/>
          <w:color w:val="000000"/>
        </w:rPr>
        <w:t xml:space="preserve"> and KfW</w:t>
      </w:r>
      <w:r w:rsidRPr="009E178F">
        <w:rPr>
          <w:rFonts w:ascii="Verdana" w:hAnsi="Verdana" w:cs="Verdana"/>
          <w:color w:val="000000"/>
        </w:rPr>
        <w:t xml:space="preserve"> have also announced similar </w:t>
      </w:r>
      <w:r w:rsidR="004A2BE1">
        <w:rPr>
          <w:rFonts w:ascii="Verdana" w:hAnsi="Verdana" w:cs="Verdana"/>
          <w:color w:val="000000"/>
        </w:rPr>
        <w:t>lending</w:t>
      </w:r>
      <w:r w:rsidRPr="009E178F">
        <w:rPr>
          <w:rFonts w:ascii="Verdana" w:hAnsi="Verdana" w:cs="Verdana"/>
          <w:color w:val="000000"/>
        </w:rPr>
        <w:t xml:space="preserve"> arrangements in </w:t>
      </w:r>
      <w:r w:rsidR="00E80CE6">
        <w:rPr>
          <w:rFonts w:ascii="Verdana" w:hAnsi="Verdana" w:cs="Verdana"/>
          <w:color w:val="000000"/>
        </w:rPr>
        <w:t>support of</w:t>
      </w:r>
      <w:r w:rsidRPr="009E178F">
        <w:rPr>
          <w:rFonts w:ascii="Verdana" w:hAnsi="Verdana" w:cs="Verdana"/>
          <w:color w:val="000000"/>
        </w:rPr>
        <w:t xml:space="preserve"> this program to the value of </w:t>
      </w:r>
      <w:r w:rsidR="008A02E2" w:rsidRPr="008A02E2">
        <w:rPr>
          <w:rFonts w:ascii="Verdana" w:hAnsi="Verdana" w:cs="Verdana"/>
          <w:color w:val="000000"/>
        </w:rPr>
        <w:t>US</w:t>
      </w:r>
      <w:r w:rsidR="00627344">
        <w:rPr>
          <w:rFonts w:ascii="Verdana" w:hAnsi="Verdana" w:cs="Verdana"/>
          <w:color w:val="000000"/>
        </w:rPr>
        <w:t>$</w:t>
      </w:r>
      <w:r w:rsidR="008A02E2" w:rsidRPr="008A02E2">
        <w:rPr>
          <w:rFonts w:ascii="Verdana" w:hAnsi="Verdana" w:cs="Verdana"/>
          <w:color w:val="000000"/>
        </w:rPr>
        <w:t>750 million</w:t>
      </w:r>
      <w:r w:rsidR="002C6F0A">
        <w:rPr>
          <w:rFonts w:ascii="Verdana" w:hAnsi="Verdana" w:cs="Verdana"/>
          <w:color w:val="000000"/>
        </w:rPr>
        <w:t>,</w:t>
      </w:r>
      <w:r w:rsidR="004A2BE1">
        <w:rPr>
          <w:rFonts w:ascii="Verdana" w:hAnsi="Verdana" w:cs="Verdana"/>
          <w:color w:val="000000"/>
        </w:rPr>
        <w:t xml:space="preserve"> </w:t>
      </w:r>
      <w:r w:rsidR="00987DF9">
        <w:rPr>
          <w:rFonts w:ascii="Verdana" w:hAnsi="Verdana" w:cs="Verdana"/>
          <w:color w:val="000000"/>
        </w:rPr>
        <w:t>US</w:t>
      </w:r>
      <w:r w:rsidR="00627344">
        <w:rPr>
          <w:rFonts w:ascii="Verdana" w:hAnsi="Verdana" w:cs="Verdana"/>
          <w:color w:val="000000"/>
        </w:rPr>
        <w:t>$</w:t>
      </w:r>
      <w:r w:rsidR="00260FF2">
        <w:rPr>
          <w:rFonts w:ascii="Verdana" w:hAnsi="Verdana" w:cs="Verdana"/>
          <w:color w:val="000000"/>
        </w:rPr>
        <w:t>480</w:t>
      </w:r>
      <w:r w:rsidR="00987DF9">
        <w:rPr>
          <w:rFonts w:ascii="Verdana" w:hAnsi="Verdana" w:cs="Verdana"/>
          <w:color w:val="000000"/>
        </w:rPr>
        <w:t xml:space="preserve"> million</w:t>
      </w:r>
      <w:r w:rsidR="002C6F0A">
        <w:rPr>
          <w:rFonts w:ascii="Verdana" w:hAnsi="Verdana" w:cs="Verdana"/>
          <w:color w:val="000000"/>
        </w:rPr>
        <w:t xml:space="preserve"> and EUR</w:t>
      </w:r>
      <w:r w:rsidR="00260FF2">
        <w:rPr>
          <w:rFonts w:ascii="Verdana" w:hAnsi="Verdana" w:cs="Verdana"/>
          <w:color w:val="000000"/>
        </w:rPr>
        <w:t>250</w:t>
      </w:r>
      <w:r w:rsidR="002C6F0A">
        <w:rPr>
          <w:rFonts w:ascii="Verdana" w:hAnsi="Verdana" w:cs="Verdana"/>
          <w:color w:val="000000"/>
        </w:rPr>
        <w:t xml:space="preserve"> million</w:t>
      </w:r>
      <w:r w:rsidRPr="009E178F">
        <w:rPr>
          <w:rFonts w:ascii="Verdana" w:hAnsi="Verdana" w:cs="Verdana"/>
          <w:color w:val="000000"/>
        </w:rPr>
        <w:t xml:space="preserve"> respectively.</w:t>
      </w:r>
    </w:p>
    <w:p w14:paraId="1A849D51" w14:textId="77777777" w:rsidR="00004EB2" w:rsidRDefault="00004EB2" w:rsidP="009E178F">
      <w:pPr>
        <w:autoSpaceDE w:val="0"/>
        <w:autoSpaceDN w:val="0"/>
        <w:adjustRightInd w:val="0"/>
        <w:spacing w:before="120" w:after="120" w:line="240" w:lineRule="auto"/>
        <w:rPr>
          <w:rFonts w:ascii="Verdana" w:hAnsi="Verdana" w:cs="Verdana"/>
          <w:color w:val="000000"/>
        </w:rPr>
      </w:pPr>
    </w:p>
    <w:p w14:paraId="6C93F5A1" w14:textId="77777777" w:rsidR="009E178F" w:rsidRPr="009E178F" w:rsidRDefault="009E178F" w:rsidP="009E178F">
      <w:pPr>
        <w:pageBreakBefore/>
        <w:autoSpaceDE w:val="0"/>
        <w:autoSpaceDN w:val="0"/>
        <w:adjustRightInd w:val="0"/>
        <w:spacing w:before="120" w:after="120" w:line="240" w:lineRule="auto"/>
        <w:rPr>
          <w:rFonts w:ascii="Verdana" w:hAnsi="Verdana" w:cs="Verdana"/>
          <w:color w:val="000000"/>
        </w:rPr>
      </w:pPr>
      <w:r w:rsidRPr="009E178F">
        <w:rPr>
          <w:rFonts w:ascii="Verdana" w:hAnsi="Verdana" w:cs="Verdana"/>
          <w:b/>
          <w:bCs/>
          <w:color w:val="000000"/>
        </w:rPr>
        <w:lastRenderedPageBreak/>
        <w:t xml:space="preserve">National Interest Assessment </w:t>
      </w:r>
    </w:p>
    <w:p w14:paraId="03430D17" w14:textId="77777777" w:rsidR="00AD0DCB" w:rsidRPr="009E178F" w:rsidRDefault="00AD0DCB" w:rsidP="00AD0DCB">
      <w:pPr>
        <w:autoSpaceDE w:val="0"/>
        <w:autoSpaceDN w:val="0"/>
        <w:adjustRightInd w:val="0"/>
        <w:spacing w:before="120" w:after="120" w:line="240" w:lineRule="auto"/>
        <w:rPr>
          <w:rFonts w:ascii="Verdana" w:hAnsi="Verdana" w:cs="Verdana"/>
          <w:color w:val="000000"/>
        </w:rPr>
      </w:pPr>
      <w:r w:rsidRPr="00BE05BF">
        <w:rPr>
          <w:rFonts w:ascii="Verdana" w:hAnsi="Verdana" w:cs="Verdana"/>
          <w:color w:val="000000"/>
        </w:rPr>
        <w:t>It is in Australia’s interest, as we have in the past, to offer direct support to Indonesia during challenging times. An economically strong Indonesia is critical to the recovery and future prosperity of Australia and the region.</w:t>
      </w:r>
    </w:p>
    <w:p w14:paraId="3E59D88A" w14:textId="77777777" w:rsidR="003057D9" w:rsidRDefault="009E178F" w:rsidP="003057D9">
      <w:pPr>
        <w:rPr>
          <w:rFonts w:ascii="Verdana" w:hAnsi="Verdana" w:cs="Verdana"/>
          <w:color w:val="000000"/>
        </w:rPr>
      </w:pPr>
      <w:r w:rsidRPr="009E178F">
        <w:rPr>
          <w:rFonts w:ascii="Verdana" w:hAnsi="Verdana" w:cs="Verdana"/>
          <w:color w:val="000000"/>
        </w:rPr>
        <w:t xml:space="preserve">Australia’s bilateral relationship with Indonesia is based on important political, economic, strategic and social connections. The Australian Government’s continued support through this </w:t>
      </w:r>
      <w:r w:rsidR="003057D9">
        <w:rPr>
          <w:rFonts w:ascii="Verdana" w:hAnsi="Verdana" w:cs="Verdana"/>
          <w:color w:val="000000"/>
        </w:rPr>
        <w:t>bilateral loan</w:t>
      </w:r>
      <w:r w:rsidRPr="009E178F">
        <w:rPr>
          <w:rFonts w:ascii="Verdana" w:hAnsi="Verdana" w:cs="Verdana"/>
          <w:color w:val="000000"/>
        </w:rPr>
        <w:t xml:space="preserve"> will strengthen this relationship with the Indonesian Government. It will also help promote the long-term economic prosperity of Indonesia and the region, which will in turn benefit Australia. </w:t>
      </w:r>
      <w:r w:rsidR="003057D9" w:rsidRPr="003057D9">
        <w:rPr>
          <w:rFonts w:ascii="Verdana" w:hAnsi="Verdana" w:cs="Verdana"/>
          <w:color w:val="000000"/>
        </w:rPr>
        <w:t xml:space="preserve">Providing this loan will assist Indonesia in its </w:t>
      </w:r>
      <w:r w:rsidR="00967FB5">
        <w:rPr>
          <w:rFonts w:ascii="Verdana" w:hAnsi="Verdana" w:cs="Verdana"/>
          <w:color w:val="000000"/>
        </w:rPr>
        <w:t xml:space="preserve">health response and </w:t>
      </w:r>
      <w:r w:rsidR="003057D9" w:rsidRPr="003057D9">
        <w:rPr>
          <w:rFonts w:ascii="Verdana" w:hAnsi="Verdana" w:cs="Verdana"/>
          <w:color w:val="000000"/>
        </w:rPr>
        <w:t xml:space="preserve">economic recovery from COVID-19. </w:t>
      </w:r>
    </w:p>
    <w:p w14:paraId="17D4EDEB" w14:textId="77777777" w:rsidR="009E178F" w:rsidRPr="00CC5875" w:rsidRDefault="009E178F" w:rsidP="009E178F">
      <w:pPr>
        <w:autoSpaceDE w:val="0"/>
        <w:autoSpaceDN w:val="0"/>
        <w:adjustRightInd w:val="0"/>
        <w:spacing w:before="120" w:after="120" w:line="240" w:lineRule="auto"/>
        <w:rPr>
          <w:rFonts w:ascii="Verdana" w:hAnsi="Verdana" w:cs="Verdana"/>
          <w:color w:val="000000"/>
        </w:rPr>
      </w:pPr>
      <w:r w:rsidRPr="00C1372D">
        <w:rPr>
          <w:rFonts w:ascii="Verdana" w:hAnsi="Verdana" w:cs="Verdana"/>
          <w:color w:val="000000"/>
        </w:rPr>
        <w:t xml:space="preserve">Australia </w:t>
      </w:r>
      <w:r w:rsidR="00967FB5">
        <w:rPr>
          <w:rFonts w:ascii="Verdana" w:hAnsi="Verdana" w:cs="Verdana"/>
          <w:color w:val="000000"/>
        </w:rPr>
        <w:t>has previously provided support to Indonesia through two</w:t>
      </w:r>
      <w:r w:rsidRPr="00CC5875">
        <w:rPr>
          <w:rFonts w:ascii="Verdana" w:hAnsi="Verdana" w:cs="Verdana"/>
          <w:color w:val="000000"/>
        </w:rPr>
        <w:t xml:space="preserve"> standby loan facilit</w:t>
      </w:r>
      <w:r w:rsidR="00967FB5">
        <w:rPr>
          <w:rFonts w:ascii="Verdana" w:hAnsi="Verdana" w:cs="Verdana"/>
          <w:color w:val="000000"/>
        </w:rPr>
        <w:t>ies. The first</w:t>
      </w:r>
      <w:r w:rsidRPr="00CC5875">
        <w:rPr>
          <w:rFonts w:ascii="Verdana" w:hAnsi="Verdana" w:cs="Verdana"/>
          <w:color w:val="000000"/>
        </w:rPr>
        <w:t xml:space="preserve"> </w:t>
      </w:r>
      <w:r w:rsidR="00967FB5">
        <w:rPr>
          <w:rFonts w:ascii="Verdana" w:hAnsi="Verdana" w:cs="Verdana"/>
          <w:color w:val="000000"/>
        </w:rPr>
        <w:t xml:space="preserve">was established </w:t>
      </w:r>
      <w:r w:rsidRPr="00CC5875">
        <w:rPr>
          <w:rFonts w:ascii="Verdana" w:hAnsi="Verdana" w:cs="Verdana"/>
          <w:color w:val="000000"/>
        </w:rPr>
        <w:t>in 200</w:t>
      </w:r>
      <w:r w:rsidR="00C1372D" w:rsidRPr="00CC5875">
        <w:rPr>
          <w:rFonts w:ascii="Verdana" w:hAnsi="Verdana" w:cs="Verdana"/>
          <w:color w:val="000000"/>
        </w:rPr>
        <w:t xml:space="preserve">8 and </w:t>
      </w:r>
      <w:r w:rsidR="00967FB5">
        <w:rPr>
          <w:rFonts w:ascii="Verdana" w:hAnsi="Verdana" w:cs="Verdana"/>
          <w:color w:val="000000"/>
        </w:rPr>
        <w:t xml:space="preserve">the second was in place between </w:t>
      </w:r>
      <w:r w:rsidR="00C1372D" w:rsidRPr="00CC5875">
        <w:rPr>
          <w:rFonts w:ascii="Verdana" w:hAnsi="Verdana" w:cs="Verdana"/>
          <w:color w:val="000000"/>
        </w:rPr>
        <w:t>2013</w:t>
      </w:r>
      <w:r w:rsidR="00967FB5">
        <w:rPr>
          <w:rFonts w:ascii="Verdana" w:hAnsi="Verdana" w:cs="Verdana"/>
          <w:color w:val="000000"/>
        </w:rPr>
        <w:t xml:space="preserve"> and 2015</w:t>
      </w:r>
      <w:r w:rsidR="00C1372D" w:rsidRPr="00CC5875">
        <w:rPr>
          <w:rFonts w:ascii="Verdana" w:hAnsi="Verdana" w:cs="Verdana"/>
          <w:color w:val="000000"/>
        </w:rPr>
        <w:t>. While neither of these standby loan facilities were drawn down, they were</w:t>
      </w:r>
      <w:r w:rsidRPr="00CC5875">
        <w:rPr>
          <w:rFonts w:ascii="Verdana" w:hAnsi="Verdana" w:cs="Verdana"/>
          <w:color w:val="000000"/>
        </w:rPr>
        <w:t xml:space="preserve"> considered by Indonesia to have played a role in boosting market confidence in Indonesia’s economic prospects. </w:t>
      </w:r>
    </w:p>
    <w:p w14:paraId="5EB81B4C" w14:textId="77777777" w:rsidR="00847317" w:rsidRPr="00847317" w:rsidRDefault="00847317" w:rsidP="00847317">
      <w:pPr>
        <w:autoSpaceDE w:val="0"/>
        <w:autoSpaceDN w:val="0"/>
        <w:adjustRightInd w:val="0"/>
        <w:spacing w:before="120" w:after="120" w:line="240" w:lineRule="auto"/>
        <w:rPr>
          <w:rFonts w:ascii="Verdana" w:hAnsi="Verdana" w:cs="Verdana"/>
          <w:color w:val="000000"/>
        </w:rPr>
      </w:pPr>
      <w:r w:rsidRPr="00847317">
        <w:rPr>
          <w:rFonts w:ascii="Verdana" w:hAnsi="Verdana" w:cs="Verdana"/>
          <w:color w:val="000000"/>
        </w:rPr>
        <w:t>Australia has significant trade and investment links to Indonesia, which is the largest economy in Southeast Asia and 16th largest economy in the world. In 2019, two-way trade (goods and ser</w:t>
      </w:r>
      <w:r w:rsidR="00CB2B91">
        <w:rPr>
          <w:rFonts w:ascii="Verdana" w:hAnsi="Verdana" w:cs="Verdana"/>
          <w:color w:val="000000"/>
        </w:rPr>
        <w:t>v</w:t>
      </w:r>
      <w:r w:rsidR="00201F4E">
        <w:rPr>
          <w:rFonts w:ascii="Verdana" w:hAnsi="Verdana" w:cs="Verdana"/>
          <w:color w:val="000000"/>
        </w:rPr>
        <w:t>ices) totalled approximately A$</w:t>
      </w:r>
      <w:r w:rsidRPr="00847317">
        <w:rPr>
          <w:rFonts w:ascii="Verdana" w:hAnsi="Verdana" w:cs="Verdana"/>
          <w:color w:val="000000"/>
        </w:rPr>
        <w:t>17.7</w:t>
      </w:r>
      <w:r w:rsidR="008204B9">
        <w:rPr>
          <w:rFonts w:ascii="Verdana" w:hAnsi="Verdana" w:cs="Verdana"/>
          <w:color w:val="000000"/>
        </w:rPr>
        <w:t> </w:t>
      </w:r>
      <w:r w:rsidRPr="00847317">
        <w:rPr>
          <w:rFonts w:ascii="Verdana" w:hAnsi="Verdana" w:cs="Verdana"/>
          <w:color w:val="000000"/>
        </w:rPr>
        <w:t>billion, making it Australia’s 13th largest bilateral trading relationship, while two</w:t>
      </w:r>
      <w:r w:rsidR="00C23CA6">
        <w:rPr>
          <w:rFonts w:ascii="Verdana" w:hAnsi="Verdana" w:cs="Verdana"/>
          <w:color w:val="000000"/>
        </w:rPr>
        <w:noBreakHyphen/>
      </w:r>
      <w:r w:rsidRPr="00847317">
        <w:rPr>
          <w:rFonts w:ascii="Verdana" w:hAnsi="Verdana" w:cs="Verdana"/>
          <w:color w:val="000000"/>
        </w:rPr>
        <w:t xml:space="preserve">way investment in 2019 totalled </w:t>
      </w:r>
      <w:r w:rsidR="00201F4E">
        <w:rPr>
          <w:rFonts w:ascii="Verdana" w:hAnsi="Verdana" w:cs="Verdana"/>
          <w:color w:val="000000"/>
        </w:rPr>
        <w:t>A$</w:t>
      </w:r>
      <w:r w:rsidR="00887223">
        <w:rPr>
          <w:rFonts w:ascii="Verdana" w:hAnsi="Verdana" w:cs="Verdana"/>
          <w:color w:val="000000"/>
        </w:rPr>
        <w:t>9</w:t>
      </w:r>
      <w:r w:rsidRPr="00847317">
        <w:rPr>
          <w:rFonts w:ascii="Verdana" w:hAnsi="Verdana" w:cs="Verdana"/>
          <w:color w:val="000000"/>
        </w:rPr>
        <w:t xml:space="preserve"> billion.  Indonesia</w:t>
      </w:r>
      <w:r w:rsidR="00C66E81">
        <w:rPr>
          <w:rFonts w:ascii="Verdana" w:hAnsi="Verdana" w:cs="Verdana"/>
          <w:color w:val="000000"/>
        </w:rPr>
        <w:t xml:space="preserve"> is </w:t>
      </w:r>
      <w:r w:rsidRPr="00847317">
        <w:rPr>
          <w:rFonts w:ascii="Verdana" w:hAnsi="Verdana" w:cs="Verdana"/>
          <w:color w:val="000000"/>
        </w:rPr>
        <w:t>expected to experience continued strong growth over the medium term</w:t>
      </w:r>
      <w:r w:rsidR="00C66E81">
        <w:rPr>
          <w:rFonts w:ascii="Verdana" w:hAnsi="Verdana" w:cs="Verdana"/>
          <w:color w:val="000000"/>
        </w:rPr>
        <w:t>. T</w:t>
      </w:r>
      <w:r w:rsidRPr="00847317">
        <w:rPr>
          <w:rFonts w:ascii="Verdana" w:hAnsi="Verdana" w:cs="Verdana"/>
          <w:color w:val="000000"/>
        </w:rPr>
        <w:t xml:space="preserve">he entry into </w:t>
      </w:r>
      <w:r w:rsidR="006E3D70">
        <w:rPr>
          <w:rFonts w:ascii="Verdana" w:hAnsi="Verdana" w:cs="Verdana"/>
          <w:color w:val="000000"/>
        </w:rPr>
        <w:t>effect</w:t>
      </w:r>
      <w:r w:rsidRPr="00847317">
        <w:rPr>
          <w:rFonts w:ascii="Verdana" w:hAnsi="Verdana" w:cs="Verdana"/>
          <w:color w:val="000000"/>
        </w:rPr>
        <w:t xml:space="preserve"> of the Indonesian-Australia Comprehensive Economic Partnership Agreement (IA</w:t>
      </w:r>
      <w:r w:rsidR="009E2BC4">
        <w:rPr>
          <w:rFonts w:ascii="Verdana" w:hAnsi="Verdana" w:cs="Verdana"/>
          <w:color w:val="000000"/>
        </w:rPr>
        <w:noBreakHyphen/>
      </w:r>
      <w:r w:rsidRPr="00847317">
        <w:rPr>
          <w:rFonts w:ascii="Verdana" w:hAnsi="Verdana" w:cs="Verdana"/>
          <w:color w:val="000000"/>
        </w:rPr>
        <w:t>CEPA)</w:t>
      </w:r>
      <w:r w:rsidR="0050459C">
        <w:rPr>
          <w:rFonts w:ascii="Verdana" w:hAnsi="Verdana" w:cs="Verdana"/>
          <w:color w:val="000000"/>
        </w:rPr>
        <w:t xml:space="preserve"> on 5 July 2020</w:t>
      </w:r>
      <w:r w:rsidRPr="00847317">
        <w:rPr>
          <w:rFonts w:ascii="Verdana" w:hAnsi="Verdana" w:cs="Verdana"/>
          <w:color w:val="000000"/>
        </w:rPr>
        <w:t xml:space="preserve"> and the soon to be concluded Regional Comprehensive Economic Partnership (RCEP) negotiations</w:t>
      </w:r>
      <w:r w:rsidR="00C66E81">
        <w:rPr>
          <w:rFonts w:ascii="Verdana" w:hAnsi="Verdana" w:cs="Verdana"/>
          <w:color w:val="000000"/>
        </w:rPr>
        <w:t xml:space="preserve"> will support and develop the </w:t>
      </w:r>
      <w:r w:rsidRPr="00847317">
        <w:rPr>
          <w:rFonts w:ascii="Verdana" w:hAnsi="Verdana" w:cs="Verdana"/>
          <w:color w:val="000000"/>
        </w:rPr>
        <w:t xml:space="preserve">trade and investment </w:t>
      </w:r>
      <w:r w:rsidR="00C66E81">
        <w:rPr>
          <w:rFonts w:ascii="Verdana" w:hAnsi="Verdana" w:cs="Verdana"/>
          <w:color w:val="000000"/>
        </w:rPr>
        <w:t xml:space="preserve">relationship </w:t>
      </w:r>
      <w:r w:rsidRPr="00847317">
        <w:rPr>
          <w:rFonts w:ascii="Verdana" w:hAnsi="Verdana" w:cs="Verdana"/>
          <w:color w:val="000000"/>
        </w:rPr>
        <w:t>in the years ahead.</w:t>
      </w:r>
    </w:p>
    <w:p w14:paraId="57FC2506" w14:textId="77777777" w:rsidR="009E178F" w:rsidRPr="009E178F" w:rsidRDefault="009E178F" w:rsidP="00880AF6">
      <w:pPr>
        <w:pageBreakBefore/>
        <w:autoSpaceDE w:val="0"/>
        <w:autoSpaceDN w:val="0"/>
        <w:adjustRightInd w:val="0"/>
        <w:spacing w:before="120" w:after="120" w:line="240" w:lineRule="auto"/>
        <w:rPr>
          <w:rFonts w:ascii="Verdana" w:hAnsi="Verdana" w:cs="Verdana"/>
          <w:color w:val="000000"/>
        </w:rPr>
      </w:pPr>
      <w:r w:rsidRPr="009E178F">
        <w:rPr>
          <w:rFonts w:ascii="Verdana" w:hAnsi="Verdana" w:cs="Verdana"/>
          <w:b/>
          <w:bCs/>
          <w:color w:val="000000"/>
        </w:rPr>
        <w:lastRenderedPageBreak/>
        <w:t xml:space="preserve">Nature and terms of the Loan Agreement </w:t>
      </w:r>
    </w:p>
    <w:p w14:paraId="7F253F07" w14:textId="77777777" w:rsidR="00A52DFF" w:rsidRPr="007D6498" w:rsidRDefault="009E178F" w:rsidP="009E178F">
      <w:pPr>
        <w:autoSpaceDE w:val="0"/>
        <w:autoSpaceDN w:val="0"/>
        <w:adjustRightInd w:val="0"/>
        <w:spacing w:before="120" w:after="120" w:line="240" w:lineRule="auto"/>
        <w:rPr>
          <w:rFonts w:ascii="Verdana" w:hAnsi="Verdana" w:cs="Verdana"/>
          <w:color w:val="000000"/>
        </w:rPr>
      </w:pPr>
      <w:r w:rsidRPr="007D6498">
        <w:rPr>
          <w:rFonts w:ascii="Verdana" w:hAnsi="Verdana" w:cs="Verdana"/>
          <w:color w:val="000000"/>
        </w:rPr>
        <w:t xml:space="preserve">On </w:t>
      </w:r>
      <w:r w:rsidR="00366587" w:rsidRPr="007D6498">
        <w:rPr>
          <w:rFonts w:ascii="Verdana" w:hAnsi="Verdana" w:cs="Verdana"/>
          <w:color w:val="000000"/>
        </w:rPr>
        <w:t>12</w:t>
      </w:r>
      <w:r w:rsidRPr="007D6498">
        <w:rPr>
          <w:rFonts w:ascii="Verdana" w:hAnsi="Verdana" w:cs="Verdana"/>
          <w:color w:val="000000"/>
        </w:rPr>
        <w:t xml:space="preserve"> </w:t>
      </w:r>
      <w:r w:rsidR="002F22AD" w:rsidRPr="007D6498">
        <w:rPr>
          <w:rFonts w:ascii="Verdana" w:hAnsi="Verdana" w:cs="Verdana"/>
          <w:color w:val="000000"/>
        </w:rPr>
        <w:t>November</w:t>
      </w:r>
      <w:r w:rsidRPr="007D6498">
        <w:rPr>
          <w:rFonts w:ascii="Verdana" w:hAnsi="Verdana" w:cs="Verdana"/>
          <w:color w:val="000000"/>
        </w:rPr>
        <w:t xml:space="preserve"> 20</w:t>
      </w:r>
      <w:r w:rsidR="00FF7E45" w:rsidRPr="007D6498">
        <w:rPr>
          <w:rFonts w:ascii="Verdana" w:hAnsi="Verdana" w:cs="Verdana"/>
          <w:color w:val="000000"/>
        </w:rPr>
        <w:t>20</w:t>
      </w:r>
      <w:r w:rsidRPr="007D6498">
        <w:rPr>
          <w:rFonts w:ascii="Verdana" w:hAnsi="Verdana" w:cs="Verdana"/>
          <w:color w:val="000000"/>
        </w:rPr>
        <w:t xml:space="preserve">, </w:t>
      </w:r>
      <w:r w:rsidR="00FF7E45" w:rsidRPr="007D6498">
        <w:rPr>
          <w:rFonts w:ascii="Verdana" w:hAnsi="Verdana" w:cs="Verdana"/>
          <w:color w:val="000000"/>
        </w:rPr>
        <w:t>the Treasurer</w:t>
      </w:r>
      <w:r w:rsidR="00EF1AE5" w:rsidRPr="007D6498">
        <w:rPr>
          <w:rFonts w:ascii="Verdana" w:hAnsi="Verdana" w:cs="Verdana"/>
          <w:color w:val="000000"/>
        </w:rPr>
        <w:t xml:space="preserve"> </w:t>
      </w:r>
      <w:r w:rsidRPr="007D6498">
        <w:rPr>
          <w:rFonts w:ascii="Verdana" w:hAnsi="Verdana" w:cs="Verdana"/>
          <w:color w:val="000000"/>
        </w:rPr>
        <w:t>announced that Australia would provide a</w:t>
      </w:r>
      <w:r w:rsidR="00FF7E45" w:rsidRPr="007D6498">
        <w:rPr>
          <w:rFonts w:ascii="Verdana" w:hAnsi="Verdana" w:cs="Verdana"/>
          <w:color w:val="000000"/>
        </w:rPr>
        <w:t> bilateral</w:t>
      </w:r>
      <w:r w:rsidR="00201F4E" w:rsidRPr="007D6498">
        <w:rPr>
          <w:rFonts w:ascii="Verdana" w:hAnsi="Verdana" w:cs="Verdana"/>
          <w:color w:val="000000"/>
        </w:rPr>
        <w:t xml:space="preserve"> loan of A$</w:t>
      </w:r>
      <w:r w:rsidRPr="007D6498">
        <w:rPr>
          <w:rFonts w:ascii="Verdana" w:hAnsi="Verdana" w:cs="Verdana"/>
          <w:color w:val="000000"/>
        </w:rPr>
        <w:t>1</w:t>
      </w:r>
      <w:r w:rsidR="00FF7E45" w:rsidRPr="007D6498">
        <w:rPr>
          <w:rFonts w:ascii="Verdana" w:hAnsi="Verdana" w:cs="Verdana"/>
          <w:color w:val="000000"/>
        </w:rPr>
        <w:t>.5</w:t>
      </w:r>
      <w:r w:rsidRPr="007D6498">
        <w:rPr>
          <w:rFonts w:ascii="Verdana" w:hAnsi="Verdana" w:cs="Verdana"/>
          <w:color w:val="000000"/>
        </w:rPr>
        <w:t xml:space="preserve"> billion to Indonesia, </w:t>
      </w:r>
      <w:r w:rsidR="00342E27" w:rsidRPr="007D6498">
        <w:rPr>
          <w:rFonts w:ascii="Verdana" w:hAnsi="Verdana" w:cs="Verdana"/>
          <w:color w:val="000000"/>
        </w:rPr>
        <w:t xml:space="preserve">to </w:t>
      </w:r>
      <w:r w:rsidR="00A52DFF" w:rsidRPr="007D6498">
        <w:rPr>
          <w:rFonts w:ascii="Verdana" w:hAnsi="Verdana" w:cs="Verdana"/>
          <w:color w:val="000000"/>
        </w:rPr>
        <w:t xml:space="preserve">provide timely support to the Government of Indonesia’s public expenditure and fiscal management for urgent public health measures and for the expansion of social and economic assistance. </w:t>
      </w:r>
    </w:p>
    <w:p w14:paraId="52EFE64E" w14:textId="77777777" w:rsidR="009E178F" w:rsidRDefault="009E178F" w:rsidP="009E178F">
      <w:pPr>
        <w:autoSpaceDE w:val="0"/>
        <w:autoSpaceDN w:val="0"/>
        <w:adjustRightInd w:val="0"/>
        <w:spacing w:before="120" w:after="120" w:line="240" w:lineRule="auto"/>
        <w:rPr>
          <w:rFonts w:ascii="Verdana" w:hAnsi="Verdana" w:cs="Verdana"/>
          <w:color w:val="000000"/>
        </w:rPr>
      </w:pPr>
      <w:r w:rsidRPr="007D6498">
        <w:rPr>
          <w:rFonts w:ascii="Verdana" w:hAnsi="Verdana" w:cs="Verdana"/>
          <w:color w:val="000000"/>
        </w:rPr>
        <w:t>The subsequent Loan Agreement was entered into by the Australia</w:t>
      </w:r>
      <w:r w:rsidR="000C37F5">
        <w:rPr>
          <w:rFonts w:ascii="Verdana" w:hAnsi="Verdana" w:cs="Verdana"/>
          <w:color w:val="000000"/>
        </w:rPr>
        <w:t>n Government</w:t>
      </w:r>
      <w:r w:rsidRPr="007D6498">
        <w:rPr>
          <w:rFonts w:ascii="Verdana" w:hAnsi="Verdana" w:cs="Verdana"/>
          <w:color w:val="000000"/>
        </w:rPr>
        <w:t xml:space="preserve"> and the </w:t>
      </w:r>
      <w:r w:rsidR="009732AC" w:rsidRPr="007D6498">
        <w:rPr>
          <w:rFonts w:ascii="Verdana" w:hAnsi="Verdana" w:cs="Verdana"/>
          <w:color w:val="000000"/>
        </w:rPr>
        <w:t>Government</w:t>
      </w:r>
      <w:r w:rsidRPr="007D6498">
        <w:rPr>
          <w:rFonts w:ascii="Verdana" w:hAnsi="Verdana" w:cs="Verdana"/>
          <w:color w:val="000000"/>
        </w:rPr>
        <w:t xml:space="preserve"> of Indonesia on </w:t>
      </w:r>
      <w:r w:rsidR="00366587" w:rsidRPr="007D6498">
        <w:rPr>
          <w:rFonts w:ascii="Verdana" w:hAnsi="Verdana" w:cs="Verdana"/>
          <w:color w:val="000000"/>
        </w:rPr>
        <w:t>12</w:t>
      </w:r>
      <w:r w:rsidRPr="007D6498">
        <w:rPr>
          <w:rFonts w:ascii="Verdana" w:hAnsi="Verdana" w:cs="Verdana"/>
          <w:color w:val="000000"/>
        </w:rPr>
        <w:t xml:space="preserve"> </w:t>
      </w:r>
      <w:r w:rsidR="002F22AD" w:rsidRPr="007D6498">
        <w:rPr>
          <w:rFonts w:ascii="Verdana" w:hAnsi="Verdana" w:cs="Verdana"/>
          <w:color w:val="000000"/>
        </w:rPr>
        <w:t>November</w:t>
      </w:r>
      <w:r w:rsidRPr="007D6498">
        <w:rPr>
          <w:rFonts w:ascii="Verdana" w:hAnsi="Verdana" w:cs="Verdana"/>
          <w:color w:val="000000"/>
        </w:rPr>
        <w:t xml:space="preserve"> 20</w:t>
      </w:r>
      <w:r w:rsidR="00342E27" w:rsidRPr="007D6498">
        <w:rPr>
          <w:rFonts w:ascii="Verdana" w:hAnsi="Verdana" w:cs="Verdana"/>
          <w:color w:val="000000"/>
        </w:rPr>
        <w:t>20</w:t>
      </w:r>
      <w:r w:rsidRPr="007D6498">
        <w:rPr>
          <w:rFonts w:ascii="Verdana" w:hAnsi="Verdana" w:cs="Verdana"/>
          <w:color w:val="000000"/>
        </w:rPr>
        <w:t xml:space="preserve">. </w:t>
      </w:r>
      <w:r w:rsidR="00880AF6" w:rsidRPr="007D6498">
        <w:rPr>
          <w:rFonts w:ascii="Verdana" w:hAnsi="Verdana" w:cs="Verdana"/>
          <w:color w:val="000000"/>
        </w:rPr>
        <w:t>The availability of the loan</w:t>
      </w:r>
      <w:r w:rsidR="009732AC" w:rsidRPr="007D6498">
        <w:rPr>
          <w:rFonts w:ascii="Verdana" w:hAnsi="Verdana" w:cs="Verdana"/>
          <w:color w:val="000000"/>
        </w:rPr>
        <w:t xml:space="preserve"> for drawdown by Indonesia will be up</w:t>
      </w:r>
      <w:r w:rsidR="00E01F92" w:rsidRPr="007D6498">
        <w:rPr>
          <w:rFonts w:ascii="Verdana" w:hAnsi="Verdana" w:cs="Verdana"/>
          <w:color w:val="000000"/>
        </w:rPr>
        <w:t xml:space="preserve"> and</w:t>
      </w:r>
      <w:r w:rsidR="009732AC" w:rsidRPr="007D6498">
        <w:rPr>
          <w:rFonts w:ascii="Verdana" w:hAnsi="Verdana" w:cs="Verdana"/>
          <w:color w:val="000000"/>
        </w:rPr>
        <w:t xml:space="preserve"> until </w:t>
      </w:r>
      <w:r w:rsidR="00551303" w:rsidRPr="007D6498">
        <w:rPr>
          <w:rFonts w:ascii="Verdana" w:hAnsi="Verdana" w:cs="Verdana"/>
          <w:color w:val="000000"/>
        </w:rPr>
        <w:t>12</w:t>
      </w:r>
      <w:r w:rsidR="00E01F92" w:rsidRPr="007D6498">
        <w:rPr>
          <w:rFonts w:ascii="Verdana" w:hAnsi="Verdana" w:cs="Verdana"/>
          <w:color w:val="000000"/>
        </w:rPr>
        <w:t xml:space="preserve"> </w:t>
      </w:r>
      <w:r w:rsidR="002F22AD" w:rsidRPr="007D6498">
        <w:rPr>
          <w:rFonts w:ascii="Verdana" w:hAnsi="Verdana" w:cs="Verdana"/>
          <w:color w:val="000000"/>
        </w:rPr>
        <w:t>May</w:t>
      </w:r>
      <w:r w:rsidR="0031025B" w:rsidRPr="007D6498">
        <w:rPr>
          <w:rFonts w:ascii="Verdana" w:hAnsi="Verdana" w:cs="Verdana"/>
          <w:color w:val="000000"/>
        </w:rPr>
        <w:t xml:space="preserve"> 2021</w:t>
      </w:r>
      <w:r w:rsidR="00342E27" w:rsidRPr="007D6498">
        <w:rPr>
          <w:rFonts w:ascii="Verdana" w:hAnsi="Verdana" w:cs="Verdana"/>
          <w:color w:val="000000"/>
        </w:rPr>
        <w:t>.</w:t>
      </w:r>
      <w:r w:rsidRPr="007D6498">
        <w:rPr>
          <w:rFonts w:ascii="Verdana" w:hAnsi="Verdana" w:cs="Verdana"/>
          <w:color w:val="000000"/>
        </w:rPr>
        <w:t xml:space="preserve"> </w:t>
      </w:r>
      <w:r w:rsidR="00FA2582" w:rsidRPr="007D6498">
        <w:rPr>
          <w:rFonts w:ascii="Verdana" w:hAnsi="Verdana" w:cs="Verdana"/>
          <w:color w:val="000000"/>
        </w:rPr>
        <w:t>Th</w:t>
      </w:r>
      <w:r w:rsidR="006F344F" w:rsidRPr="007D6498">
        <w:rPr>
          <w:rFonts w:ascii="Verdana" w:hAnsi="Verdana" w:cs="Verdana"/>
          <w:color w:val="000000"/>
        </w:rPr>
        <w:t xml:space="preserve">e </w:t>
      </w:r>
      <w:r w:rsidR="00FA2582" w:rsidRPr="007D6498">
        <w:rPr>
          <w:rFonts w:ascii="Verdana" w:hAnsi="Verdana" w:cs="Verdana"/>
          <w:color w:val="000000"/>
        </w:rPr>
        <w:t xml:space="preserve">availability period reflects </w:t>
      </w:r>
      <w:r w:rsidR="00FE55F8" w:rsidRPr="007D6498">
        <w:rPr>
          <w:rFonts w:ascii="Verdana" w:hAnsi="Verdana" w:cs="Verdana"/>
          <w:color w:val="000000"/>
        </w:rPr>
        <w:t xml:space="preserve">the </w:t>
      </w:r>
      <w:r w:rsidR="00FA2582" w:rsidRPr="007D6498">
        <w:rPr>
          <w:rFonts w:ascii="Verdana" w:hAnsi="Verdana" w:cs="Verdana"/>
          <w:color w:val="000000"/>
        </w:rPr>
        <w:t>Indonesia</w:t>
      </w:r>
      <w:r w:rsidR="00FE55F8" w:rsidRPr="007D6498">
        <w:rPr>
          <w:rFonts w:ascii="Verdana" w:hAnsi="Verdana" w:cs="Verdana"/>
          <w:color w:val="000000"/>
        </w:rPr>
        <w:t xml:space="preserve"> Government</w:t>
      </w:r>
      <w:r w:rsidR="00BD4B6A" w:rsidRPr="007D6498">
        <w:rPr>
          <w:rFonts w:ascii="Verdana" w:hAnsi="Verdana" w:cs="Verdana"/>
          <w:color w:val="000000"/>
        </w:rPr>
        <w:t>’s</w:t>
      </w:r>
      <w:r w:rsidR="003439BC" w:rsidRPr="007D6498">
        <w:rPr>
          <w:rFonts w:ascii="Verdana" w:hAnsi="Verdana" w:cs="Verdana"/>
          <w:color w:val="000000"/>
        </w:rPr>
        <w:t xml:space="preserve"> </w:t>
      </w:r>
      <w:r w:rsidR="00FE55F8" w:rsidRPr="007D6498">
        <w:rPr>
          <w:rFonts w:ascii="Verdana" w:hAnsi="Verdana" w:cs="Verdana"/>
          <w:color w:val="000000"/>
        </w:rPr>
        <w:t xml:space="preserve">careful cash flow management. Indonesia is working </w:t>
      </w:r>
      <w:r w:rsidR="0002545F" w:rsidRPr="007D6498">
        <w:rPr>
          <w:rFonts w:ascii="Verdana" w:hAnsi="Verdana" w:cs="Verdana"/>
          <w:color w:val="000000"/>
        </w:rPr>
        <w:t xml:space="preserve">hard </w:t>
      </w:r>
      <w:r w:rsidR="00FE55F8" w:rsidRPr="007D6498">
        <w:rPr>
          <w:rFonts w:ascii="Verdana" w:hAnsi="Verdana" w:cs="Verdana"/>
          <w:color w:val="000000"/>
        </w:rPr>
        <w:t>to constrain interest costs from the</w:t>
      </w:r>
      <w:r w:rsidR="00FE55F8" w:rsidRPr="0031025B">
        <w:rPr>
          <w:rFonts w:ascii="Verdana" w:hAnsi="Verdana" w:cs="Verdana"/>
          <w:color w:val="000000"/>
        </w:rPr>
        <w:t xml:space="preserve"> multiple </w:t>
      </w:r>
      <w:r w:rsidR="006F344F">
        <w:rPr>
          <w:rFonts w:ascii="Verdana" w:hAnsi="Verdana" w:cs="Verdana"/>
          <w:color w:val="000000"/>
        </w:rPr>
        <w:t>bilateral loans</w:t>
      </w:r>
      <w:r w:rsidR="00FE55F8" w:rsidRPr="0031025B">
        <w:rPr>
          <w:rFonts w:ascii="Verdana" w:hAnsi="Verdana" w:cs="Verdana"/>
          <w:color w:val="000000"/>
        </w:rPr>
        <w:t xml:space="preserve"> they are receiving, </w:t>
      </w:r>
      <w:r w:rsidR="006F344F">
        <w:rPr>
          <w:rFonts w:ascii="Verdana" w:hAnsi="Verdana" w:cs="Verdana"/>
          <w:color w:val="000000"/>
        </w:rPr>
        <w:t>with</w:t>
      </w:r>
      <w:r w:rsidR="00FE55F8" w:rsidRPr="0031025B">
        <w:rPr>
          <w:rFonts w:ascii="Verdana" w:hAnsi="Verdana" w:cs="Verdana"/>
          <w:color w:val="000000"/>
        </w:rPr>
        <w:t xml:space="preserve"> varying rates of conditionality. The Loan Agreement ensures additional flexibility so that the Indonesian Government can draw down on our</w:t>
      </w:r>
      <w:r w:rsidR="00FE55F8" w:rsidRPr="00FE55F8">
        <w:rPr>
          <w:rFonts w:ascii="Verdana" w:hAnsi="Verdana" w:cs="Verdana"/>
          <w:color w:val="000000"/>
        </w:rPr>
        <w:t xml:space="preserve"> loan in one instalment anytime within six months of the date of agreement.</w:t>
      </w:r>
    </w:p>
    <w:p w14:paraId="5863146D" w14:textId="77777777" w:rsidR="007B6247" w:rsidRDefault="007B6247" w:rsidP="007B6247">
      <w:pPr>
        <w:spacing w:after="0"/>
        <w:rPr>
          <w:rFonts w:ascii="Verdana" w:hAnsi="Verdana" w:cs="Verdana"/>
          <w:color w:val="000000"/>
        </w:rPr>
      </w:pPr>
      <w:r w:rsidRPr="004A31BE">
        <w:rPr>
          <w:rFonts w:ascii="Verdana" w:hAnsi="Verdana" w:cs="Verdana"/>
          <w:color w:val="000000"/>
        </w:rPr>
        <w:t xml:space="preserve">In line with our Cabinet negotiation mandate, the interest rate </w:t>
      </w:r>
      <w:r w:rsidR="000C37F5">
        <w:rPr>
          <w:rFonts w:ascii="Verdana" w:hAnsi="Verdana" w:cs="Verdana"/>
          <w:color w:val="000000"/>
        </w:rPr>
        <w:t>is</w:t>
      </w:r>
      <w:r w:rsidRPr="004A31BE">
        <w:rPr>
          <w:rFonts w:ascii="Verdana" w:hAnsi="Verdana" w:cs="Verdana"/>
          <w:color w:val="000000"/>
        </w:rPr>
        <w:t xml:space="preserve"> fixed to match the yield on 10-year Australian Government Securities (AGS) as at the date of drawdown by the Indonesian Governm</w:t>
      </w:r>
      <w:r w:rsidR="007D258F">
        <w:rPr>
          <w:rFonts w:ascii="Verdana" w:hAnsi="Verdana" w:cs="Verdana"/>
          <w:color w:val="000000"/>
        </w:rPr>
        <w:t xml:space="preserve">ent, with an additional 0.5 per </w:t>
      </w:r>
      <w:r w:rsidRPr="004A31BE">
        <w:rPr>
          <w:rFonts w:ascii="Verdana" w:hAnsi="Verdana" w:cs="Verdana"/>
          <w:color w:val="000000"/>
        </w:rPr>
        <w:t xml:space="preserve">cent margin to cover administrative costs associated with the loan. Instalments on the loan </w:t>
      </w:r>
      <w:r w:rsidRPr="00F11EA5">
        <w:rPr>
          <w:rFonts w:ascii="Verdana" w:hAnsi="Verdana" w:cs="Verdana"/>
          <w:color w:val="000000"/>
        </w:rPr>
        <w:t>principal and interest are repayable</w:t>
      </w:r>
      <w:r w:rsidR="004B2ACC" w:rsidRPr="00F11EA5">
        <w:rPr>
          <w:rFonts w:ascii="Verdana" w:hAnsi="Verdana" w:cs="Verdana"/>
          <w:color w:val="000000"/>
        </w:rPr>
        <w:t xml:space="preserve"> over fifteen years</w:t>
      </w:r>
      <w:r w:rsidRPr="00F11EA5">
        <w:rPr>
          <w:rFonts w:ascii="Verdana" w:hAnsi="Verdana" w:cs="Verdana"/>
          <w:color w:val="000000"/>
        </w:rPr>
        <w:t xml:space="preserve"> every six months in A</w:t>
      </w:r>
      <w:r w:rsidR="00025137">
        <w:rPr>
          <w:rFonts w:ascii="Verdana" w:hAnsi="Verdana" w:cs="Verdana"/>
          <w:color w:val="000000"/>
        </w:rPr>
        <w:t>ustralian Dollars</w:t>
      </w:r>
      <w:r w:rsidR="004B2ACC" w:rsidRPr="00F11EA5">
        <w:rPr>
          <w:rFonts w:ascii="Verdana" w:hAnsi="Verdana" w:cs="Verdana"/>
          <w:color w:val="000000"/>
        </w:rPr>
        <w:t>.</w:t>
      </w:r>
      <w:r w:rsidRPr="00F11EA5">
        <w:rPr>
          <w:rFonts w:ascii="Verdana" w:hAnsi="Verdana" w:cs="Verdana"/>
          <w:color w:val="000000"/>
        </w:rPr>
        <w:t xml:space="preserve"> </w:t>
      </w:r>
      <w:r w:rsidR="00000691" w:rsidRPr="00F11EA5">
        <w:rPr>
          <w:rFonts w:ascii="Verdana" w:hAnsi="Verdana" w:cs="Verdana"/>
          <w:color w:val="000000"/>
        </w:rPr>
        <w:t>The loan</w:t>
      </w:r>
      <w:r w:rsidRPr="00F11EA5">
        <w:rPr>
          <w:rFonts w:ascii="Verdana" w:hAnsi="Verdana" w:cs="Verdana"/>
          <w:color w:val="000000"/>
        </w:rPr>
        <w:t xml:space="preserve"> </w:t>
      </w:r>
      <w:r w:rsidR="00000691" w:rsidRPr="00F11EA5">
        <w:rPr>
          <w:rFonts w:ascii="Verdana" w:hAnsi="Verdana" w:cs="Verdana"/>
          <w:color w:val="000000"/>
        </w:rPr>
        <w:t xml:space="preserve">will </w:t>
      </w:r>
      <w:r w:rsidR="00071771" w:rsidRPr="00F11EA5">
        <w:rPr>
          <w:rFonts w:ascii="Verdana" w:hAnsi="Verdana" w:cs="Verdana"/>
          <w:color w:val="000000"/>
        </w:rPr>
        <w:t>have a</w:t>
      </w:r>
      <w:r w:rsidR="00F11EA5" w:rsidRPr="00F11EA5">
        <w:rPr>
          <w:rFonts w:ascii="Verdana" w:hAnsi="Verdana" w:cs="Verdana"/>
          <w:color w:val="000000"/>
        </w:rPr>
        <w:t>n</w:t>
      </w:r>
      <w:r w:rsidR="00201F4E">
        <w:rPr>
          <w:rFonts w:ascii="Verdana" w:hAnsi="Verdana" w:cs="Verdana"/>
          <w:color w:val="000000"/>
        </w:rPr>
        <w:t xml:space="preserve"> A$</w:t>
      </w:r>
      <w:r w:rsidR="00F11EA5" w:rsidRPr="00F11EA5">
        <w:rPr>
          <w:rFonts w:ascii="Verdana" w:hAnsi="Verdana" w:cs="Verdana"/>
          <w:color w:val="000000"/>
        </w:rPr>
        <w:t>9.996</w:t>
      </w:r>
      <w:r w:rsidR="00627344">
        <w:rPr>
          <w:rFonts w:ascii="Verdana" w:hAnsi="Verdana" w:cs="Verdana"/>
          <w:color w:val="000000"/>
        </w:rPr>
        <w:t xml:space="preserve"> million</w:t>
      </w:r>
      <w:r w:rsidR="00EF1AE5" w:rsidRPr="00F11EA5">
        <w:rPr>
          <w:rFonts w:ascii="Verdana" w:hAnsi="Verdana" w:cs="Verdana"/>
          <w:color w:val="000000"/>
        </w:rPr>
        <w:t xml:space="preserve"> impact on the Underlying Cash Balance</w:t>
      </w:r>
      <w:r w:rsidRPr="00F11EA5">
        <w:rPr>
          <w:rFonts w:ascii="Verdana" w:hAnsi="Verdana" w:cs="Verdana"/>
          <w:color w:val="000000"/>
        </w:rPr>
        <w:t xml:space="preserve"> </w:t>
      </w:r>
      <w:r w:rsidR="00211BAE" w:rsidRPr="00F11EA5">
        <w:rPr>
          <w:rFonts w:ascii="Verdana" w:hAnsi="Verdana" w:cs="Verdana"/>
          <w:color w:val="000000"/>
        </w:rPr>
        <w:t xml:space="preserve">from </w:t>
      </w:r>
      <w:r w:rsidR="00F11EA5" w:rsidRPr="00F11EA5">
        <w:rPr>
          <w:rFonts w:ascii="Verdana" w:hAnsi="Verdana" w:cs="Verdana"/>
          <w:color w:val="000000"/>
        </w:rPr>
        <w:t xml:space="preserve">2020-21 </w:t>
      </w:r>
      <w:r w:rsidR="00211BAE" w:rsidRPr="00F11EA5">
        <w:rPr>
          <w:rFonts w:ascii="Verdana" w:hAnsi="Verdana" w:cs="Verdana"/>
          <w:color w:val="000000"/>
        </w:rPr>
        <w:t xml:space="preserve">to </w:t>
      </w:r>
      <w:r w:rsidR="00F11EA5" w:rsidRPr="00F11EA5">
        <w:rPr>
          <w:rFonts w:ascii="Verdana" w:hAnsi="Verdana" w:cs="Verdana"/>
          <w:color w:val="000000"/>
        </w:rPr>
        <w:t>2023-24</w:t>
      </w:r>
      <w:r w:rsidRPr="00F11EA5">
        <w:rPr>
          <w:rFonts w:ascii="Verdana" w:hAnsi="Verdana" w:cs="Verdana"/>
          <w:color w:val="000000"/>
        </w:rPr>
        <w:t>.</w:t>
      </w:r>
    </w:p>
    <w:p w14:paraId="6C138E7C" w14:textId="77777777" w:rsidR="00D02572" w:rsidRDefault="00D02572" w:rsidP="007B6247">
      <w:pPr>
        <w:spacing w:after="0"/>
        <w:rPr>
          <w:rFonts w:ascii="Verdana" w:hAnsi="Verdana" w:cs="Verdana"/>
          <w:color w:val="000000"/>
        </w:rPr>
      </w:pPr>
    </w:p>
    <w:p w14:paraId="454E12AC" w14:textId="77777777" w:rsidR="00D02572" w:rsidRPr="00D02572" w:rsidRDefault="00D02572" w:rsidP="00D02572">
      <w:pPr>
        <w:spacing w:after="0"/>
        <w:rPr>
          <w:rFonts w:ascii="Verdana" w:hAnsi="Verdana" w:cs="Verdana"/>
          <w:color w:val="000000"/>
        </w:rPr>
      </w:pPr>
      <w:r w:rsidRPr="00D02572">
        <w:rPr>
          <w:rFonts w:ascii="Verdana" w:hAnsi="Verdana" w:cs="Verdana"/>
          <w:color w:val="000000"/>
        </w:rPr>
        <w:t xml:space="preserve">The 10-year bond is </w:t>
      </w:r>
      <w:r w:rsidR="00AB2FB8">
        <w:rPr>
          <w:rFonts w:ascii="Verdana" w:hAnsi="Verdana" w:cs="Verdana"/>
          <w:color w:val="000000"/>
        </w:rPr>
        <w:t xml:space="preserve">the Australian Office of Financial Management (AOFM) target </w:t>
      </w:r>
      <w:r w:rsidR="00AB2FB8" w:rsidRPr="00AB2FB8">
        <w:rPr>
          <w:rFonts w:ascii="Verdana" w:hAnsi="Verdana" w:cs="Verdana"/>
          <w:color w:val="000000"/>
        </w:rPr>
        <w:t>weighted average term to maturity across all bond lines</w:t>
      </w:r>
      <w:r w:rsidR="00AB2FB8">
        <w:rPr>
          <w:rFonts w:ascii="Verdana" w:hAnsi="Verdana" w:cs="Verdana"/>
          <w:color w:val="000000"/>
        </w:rPr>
        <w:t>.</w:t>
      </w:r>
      <w:r w:rsidRPr="00D02572">
        <w:rPr>
          <w:rFonts w:ascii="Verdana" w:hAnsi="Verdana" w:cs="Verdana"/>
          <w:color w:val="000000"/>
        </w:rPr>
        <w:t xml:space="preserve"> </w:t>
      </w:r>
      <w:r w:rsidR="00AB2FB8">
        <w:rPr>
          <w:rFonts w:ascii="Verdana" w:hAnsi="Verdana" w:cs="Verdana"/>
          <w:color w:val="000000"/>
        </w:rPr>
        <w:t>It serves as the best reflection of the Government’s cost of borrowing</w:t>
      </w:r>
      <w:r w:rsidRPr="00D02572">
        <w:rPr>
          <w:rFonts w:ascii="Verdana" w:hAnsi="Verdana" w:cs="Verdana"/>
          <w:color w:val="000000"/>
        </w:rPr>
        <w:t xml:space="preserve">. It </w:t>
      </w:r>
      <w:r w:rsidR="00AB2FB8">
        <w:rPr>
          <w:rFonts w:ascii="Verdana" w:hAnsi="Verdana" w:cs="Verdana"/>
          <w:color w:val="000000"/>
        </w:rPr>
        <w:t xml:space="preserve">is </w:t>
      </w:r>
      <w:r w:rsidRPr="00D02572">
        <w:rPr>
          <w:rFonts w:ascii="Verdana" w:hAnsi="Verdana" w:cs="Verdana"/>
          <w:color w:val="000000"/>
        </w:rPr>
        <w:t>also</w:t>
      </w:r>
      <w:r w:rsidR="00AB2FB8" w:rsidRPr="00AB2FB8">
        <w:rPr>
          <w:rFonts w:ascii="Verdana" w:hAnsi="Verdana" w:cs="Verdana"/>
          <w:color w:val="000000"/>
        </w:rPr>
        <w:t xml:space="preserve"> consistent with the approach undertaken for setting the base rate for other loans</w:t>
      </w:r>
      <w:r w:rsidR="00AB2FB8">
        <w:rPr>
          <w:rFonts w:ascii="Verdana" w:hAnsi="Verdana" w:cs="Verdana"/>
          <w:color w:val="000000"/>
        </w:rPr>
        <w:t xml:space="preserve"> and concessional lending arrangements with state and territory governments. </w:t>
      </w:r>
      <w:r w:rsidRPr="00D02572">
        <w:rPr>
          <w:rFonts w:ascii="Verdana" w:hAnsi="Verdana" w:cs="Verdana"/>
          <w:color w:val="000000"/>
        </w:rPr>
        <w:t xml:space="preserve">It is </w:t>
      </w:r>
      <w:r w:rsidR="0029305C" w:rsidRPr="00D02572">
        <w:rPr>
          <w:rFonts w:ascii="Verdana" w:hAnsi="Verdana" w:cs="Verdana"/>
          <w:color w:val="000000"/>
        </w:rPr>
        <w:t>a</w:t>
      </w:r>
      <w:r w:rsidR="0029305C">
        <w:rPr>
          <w:rFonts w:ascii="Verdana" w:hAnsi="Verdana" w:cs="Verdana"/>
          <w:color w:val="000000"/>
        </w:rPr>
        <w:t> </w:t>
      </w:r>
      <w:r w:rsidRPr="00D02572">
        <w:rPr>
          <w:rFonts w:ascii="Verdana" w:hAnsi="Verdana" w:cs="Verdana"/>
          <w:color w:val="000000"/>
        </w:rPr>
        <w:t>simple and transparent option for approximating Australia’s cost of borrowing, and avoids the administrative burden of periodically resetting the interest rate as would be the case for a variable rate</w:t>
      </w:r>
      <w:r>
        <w:rPr>
          <w:rFonts w:ascii="Verdana" w:hAnsi="Verdana" w:cs="Verdana"/>
          <w:color w:val="000000"/>
        </w:rPr>
        <w:t>.</w:t>
      </w:r>
    </w:p>
    <w:p w14:paraId="5F2F326A" w14:textId="77777777" w:rsidR="007B6247" w:rsidRPr="004A31BE" w:rsidRDefault="007B6247" w:rsidP="007B6247">
      <w:pPr>
        <w:spacing w:after="0"/>
        <w:rPr>
          <w:rFonts w:ascii="Verdana" w:hAnsi="Verdana" w:cs="Verdana"/>
          <w:color w:val="000000"/>
        </w:rPr>
      </w:pPr>
    </w:p>
    <w:p w14:paraId="30ADF5DC" w14:textId="77777777" w:rsidR="007B6247" w:rsidRPr="004A31BE" w:rsidRDefault="007B6247" w:rsidP="007B6247">
      <w:pPr>
        <w:spacing w:after="0"/>
        <w:rPr>
          <w:rFonts w:ascii="Verdana" w:hAnsi="Verdana" w:cs="Verdana"/>
          <w:color w:val="000000"/>
        </w:rPr>
      </w:pPr>
      <w:r w:rsidRPr="004A31BE">
        <w:rPr>
          <w:rFonts w:ascii="Verdana" w:hAnsi="Verdana" w:cs="Verdana"/>
          <w:color w:val="000000"/>
        </w:rPr>
        <w:t>The interest rate is scheduled for review 10 years after drawdown, at which time the rate can be modified if it no longer aligns with the Australian Government’s cost of borrowing</w:t>
      </w:r>
      <w:r w:rsidR="004A31BE" w:rsidRPr="004A31BE">
        <w:rPr>
          <w:rFonts w:ascii="Verdana" w:hAnsi="Verdana" w:cs="Verdana"/>
          <w:color w:val="000000"/>
        </w:rPr>
        <w:t xml:space="preserve">. </w:t>
      </w:r>
      <w:r w:rsidR="004A31BE">
        <w:rPr>
          <w:rFonts w:ascii="Verdana" w:hAnsi="Verdana" w:cs="Verdana"/>
          <w:color w:val="000000"/>
        </w:rPr>
        <w:t>T</w:t>
      </w:r>
      <w:r w:rsidR="004A31BE" w:rsidRPr="004F0519">
        <w:rPr>
          <w:rFonts w:ascii="Verdana" w:hAnsi="Verdana" w:cs="Verdana"/>
          <w:color w:val="000000"/>
        </w:rPr>
        <w:t>his will ensure Australia’s underlying cash balance will not be negatively impacted as a result of the loan being drawn down.</w:t>
      </w:r>
    </w:p>
    <w:p w14:paraId="1CBDBB3C" w14:textId="77777777" w:rsidR="009E178F" w:rsidRPr="00A34E36" w:rsidRDefault="009E178F" w:rsidP="00A34E36">
      <w:pPr>
        <w:spacing w:after="0"/>
        <w:rPr>
          <w:rFonts w:ascii="Verdana" w:hAnsi="Verdana" w:cs="Verdana"/>
          <w:color w:val="000000"/>
        </w:rPr>
      </w:pPr>
    </w:p>
    <w:p w14:paraId="35C4BD1F" w14:textId="77777777" w:rsidR="00A34E36" w:rsidRPr="004F0519" w:rsidRDefault="00A34E36" w:rsidP="00A34E36">
      <w:pPr>
        <w:spacing w:after="0"/>
        <w:rPr>
          <w:rFonts w:ascii="Verdana" w:hAnsi="Verdana" w:cs="Verdana"/>
          <w:color w:val="000000"/>
        </w:rPr>
      </w:pPr>
      <w:r>
        <w:rPr>
          <w:rFonts w:ascii="Verdana" w:hAnsi="Verdana" w:cs="Verdana"/>
          <w:color w:val="000000"/>
        </w:rPr>
        <w:t xml:space="preserve">Stakeholder consultation committees under the ADB CARES Program, members of which include Australian representatives, will meet quarterly to monitor </w:t>
      </w:r>
      <w:r w:rsidRPr="00C871C3">
        <w:rPr>
          <w:rFonts w:ascii="Verdana" w:hAnsi="Verdana" w:cs="Verdana"/>
          <w:color w:val="000000"/>
        </w:rPr>
        <w:t>the Government of Indonesia’s overall COVID-19 response measures.</w:t>
      </w:r>
      <w:r>
        <w:rPr>
          <w:rFonts w:ascii="Verdana" w:hAnsi="Verdana" w:cs="Verdana"/>
          <w:color w:val="000000"/>
        </w:rPr>
        <w:t xml:space="preserve"> </w:t>
      </w:r>
      <w:r w:rsidR="00982A08">
        <w:rPr>
          <w:rFonts w:ascii="Verdana" w:hAnsi="Verdana" w:cs="Verdana"/>
          <w:color w:val="000000"/>
        </w:rPr>
        <w:t xml:space="preserve">Indonesia will report </w:t>
      </w:r>
      <w:r w:rsidRPr="00C871C3">
        <w:rPr>
          <w:rFonts w:ascii="Verdana" w:hAnsi="Verdana" w:cs="Verdana"/>
          <w:color w:val="000000"/>
        </w:rPr>
        <w:t>ongoing progress</w:t>
      </w:r>
      <w:r>
        <w:rPr>
          <w:rFonts w:ascii="Verdana" w:hAnsi="Verdana" w:cs="Verdana"/>
          <w:color w:val="000000"/>
        </w:rPr>
        <w:t xml:space="preserve"> of</w:t>
      </w:r>
      <w:r w:rsidRPr="00C871C3">
        <w:rPr>
          <w:rFonts w:ascii="Verdana" w:hAnsi="Verdana" w:cs="Verdana"/>
          <w:color w:val="000000"/>
        </w:rPr>
        <w:t xml:space="preserve"> managing COVID</w:t>
      </w:r>
      <w:r w:rsidRPr="00C871C3">
        <w:rPr>
          <w:rFonts w:ascii="Verdana" w:hAnsi="Verdana" w:cs="Verdana"/>
          <w:color w:val="000000"/>
        </w:rPr>
        <w:noBreakHyphen/>
        <w:t xml:space="preserve">19 and mitigating the economic and social damage from the </w:t>
      </w:r>
      <w:r w:rsidRPr="004F0519">
        <w:rPr>
          <w:rFonts w:ascii="Verdana" w:hAnsi="Verdana" w:cs="Verdana"/>
          <w:color w:val="000000"/>
        </w:rPr>
        <w:t xml:space="preserve">outbreak. </w:t>
      </w:r>
    </w:p>
    <w:p w14:paraId="57981D4F" w14:textId="77777777" w:rsidR="00A34E36" w:rsidRDefault="00A34E36" w:rsidP="009E178F"/>
    <w:sectPr w:rsidR="00A34E3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FB68D" w14:textId="77777777" w:rsidR="00E57B97" w:rsidRDefault="00E57B97" w:rsidP="00E57B97">
      <w:pPr>
        <w:spacing w:after="0" w:line="240" w:lineRule="auto"/>
      </w:pPr>
      <w:r>
        <w:separator/>
      </w:r>
    </w:p>
  </w:endnote>
  <w:endnote w:type="continuationSeparator" w:id="0">
    <w:p w14:paraId="66934766" w14:textId="77777777" w:rsidR="00E57B97" w:rsidRDefault="00E57B97" w:rsidP="00E5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1161" w14:textId="77777777" w:rsidR="00E57B97" w:rsidRDefault="00E57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6D8D" w14:textId="77777777" w:rsidR="00E57B97" w:rsidRDefault="00E57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BCAC" w14:textId="77777777" w:rsidR="00E57B97" w:rsidRDefault="00E5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0292" w14:textId="77777777" w:rsidR="00E57B97" w:rsidRDefault="00E57B97" w:rsidP="00E57B97">
      <w:pPr>
        <w:spacing w:after="0" w:line="240" w:lineRule="auto"/>
      </w:pPr>
      <w:r>
        <w:separator/>
      </w:r>
    </w:p>
  </w:footnote>
  <w:footnote w:type="continuationSeparator" w:id="0">
    <w:p w14:paraId="168AF2D1" w14:textId="77777777" w:rsidR="00E57B97" w:rsidRDefault="00E57B97" w:rsidP="00E57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D86D" w14:textId="77777777" w:rsidR="00E57B97" w:rsidRDefault="00E57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A0A2" w14:textId="77777777" w:rsidR="00E57B97" w:rsidRDefault="00E57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960A" w14:textId="77777777" w:rsidR="00E57B97" w:rsidRDefault="00E57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B4575"/>
    <w:multiLevelType w:val="multilevel"/>
    <w:tmpl w:val="469A0832"/>
    <w:lvl w:ilvl="0">
      <w:start w:val="1"/>
      <w:numFmt w:val="decimal"/>
      <w:pStyle w:val="Heading1"/>
      <w:lvlText w:val="%1"/>
      <w:lvlJc w:val="left"/>
      <w:pPr>
        <w:ind w:left="360" w:hanging="360"/>
      </w:pPr>
      <w:rPr>
        <w:rFonts w:hint="default"/>
        <w:sz w:val="28"/>
      </w:rPr>
    </w:lvl>
    <w:lvl w:ilvl="1">
      <w:start w:val="1"/>
      <w:numFmt w:val="decimal"/>
      <w:pStyle w:val="CAB-NumberedParagraph"/>
      <w:lvlText w:val="%1.%2"/>
      <w:lvlJc w:val="left"/>
      <w:pPr>
        <w:tabs>
          <w:tab w:val="num" w:pos="0"/>
        </w:tabs>
        <w:ind w:left="0" w:firstLine="0"/>
      </w:pPr>
      <w:rPr>
        <w:rFonts w:hint="default"/>
      </w:rPr>
    </w:lvl>
    <w:lvl w:ilvl="2">
      <w:start w:val="1"/>
      <w:numFmt w:val="lowerRoman"/>
      <w:lvlText w:val="%3."/>
      <w:lvlJc w:val="right"/>
      <w:pPr>
        <w:ind w:left="-4163" w:hanging="504"/>
      </w:pPr>
      <w:rPr>
        <w:rFonts w:hint="default"/>
      </w:rPr>
    </w:lvl>
    <w:lvl w:ilvl="3">
      <w:start w:val="1"/>
      <w:numFmt w:val="decimal"/>
      <w:lvlText w:val="%1.%2.%3.%4."/>
      <w:lvlJc w:val="left"/>
      <w:pPr>
        <w:ind w:left="-3659" w:hanging="648"/>
      </w:pPr>
      <w:rPr>
        <w:rFonts w:hint="default"/>
      </w:rPr>
    </w:lvl>
    <w:lvl w:ilvl="4">
      <w:start w:val="1"/>
      <w:numFmt w:val="decimal"/>
      <w:lvlText w:val="%1.%2.%3.%4.%5."/>
      <w:lvlJc w:val="left"/>
      <w:pPr>
        <w:ind w:left="-3155" w:hanging="792"/>
      </w:pPr>
      <w:rPr>
        <w:rFonts w:hint="default"/>
      </w:rPr>
    </w:lvl>
    <w:lvl w:ilvl="5">
      <w:start w:val="1"/>
      <w:numFmt w:val="decimal"/>
      <w:lvlText w:val="%1.%2.%3.%4.%5.%6."/>
      <w:lvlJc w:val="left"/>
      <w:pPr>
        <w:ind w:left="-2651" w:hanging="936"/>
      </w:pPr>
      <w:rPr>
        <w:rFonts w:hint="default"/>
      </w:rPr>
    </w:lvl>
    <w:lvl w:ilvl="6">
      <w:start w:val="1"/>
      <w:numFmt w:val="decimal"/>
      <w:lvlText w:val="%1.%2.%3.%4.%5.%6.%7."/>
      <w:lvlJc w:val="left"/>
      <w:pPr>
        <w:ind w:left="-2147" w:hanging="1080"/>
      </w:pPr>
      <w:rPr>
        <w:rFonts w:hint="default"/>
      </w:rPr>
    </w:lvl>
    <w:lvl w:ilvl="7">
      <w:start w:val="1"/>
      <w:numFmt w:val="decimal"/>
      <w:lvlText w:val="%1.%2.%3.%4.%5.%6.%7.%8."/>
      <w:lvlJc w:val="left"/>
      <w:pPr>
        <w:ind w:left="-1643" w:hanging="1224"/>
      </w:pPr>
      <w:rPr>
        <w:rFonts w:hint="default"/>
      </w:rPr>
    </w:lvl>
    <w:lvl w:ilvl="8">
      <w:start w:val="1"/>
      <w:numFmt w:val="decimal"/>
      <w:lvlText w:val="%1.%2.%3.%4.%5.%6.%7.%8.%9."/>
      <w:lvlJc w:val="left"/>
      <w:pPr>
        <w:ind w:left="-1067" w:hanging="1440"/>
      </w:pPr>
      <w:rPr>
        <w:rFonts w:hint="default"/>
      </w:rPr>
    </w:lvl>
  </w:abstractNum>
  <w:abstractNum w:abstractNumId="1" w15:restartNumberingAfterBreak="0">
    <w:nsid w:val="5E122E86"/>
    <w:multiLevelType w:val="multilevel"/>
    <w:tmpl w:val="E608796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8F"/>
    <w:rsid w:val="00000691"/>
    <w:rsid w:val="00004EB2"/>
    <w:rsid w:val="00007A95"/>
    <w:rsid w:val="00007BFF"/>
    <w:rsid w:val="00021F27"/>
    <w:rsid w:val="00025137"/>
    <w:rsid w:val="0002545F"/>
    <w:rsid w:val="000345EB"/>
    <w:rsid w:val="00034F8F"/>
    <w:rsid w:val="000360D7"/>
    <w:rsid w:val="00042DBE"/>
    <w:rsid w:val="00047E63"/>
    <w:rsid w:val="00060381"/>
    <w:rsid w:val="00062F89"/>
    <w:rsid w:val="00071771"/>
    <w:rsid w:val="00073E82"/>
    <w:rsid w:val="0007731D"/>
    <w:rsid w:val="0009533A"/>
    <w:rsid w:val="000B4898"/>
    <w:rsid w:val="000C29B4"/>
    <w:rsid w:val="000C37F5"/>
    <w:rsid w:val="000D2E06"/>
    <w:rsid w:val="000D4D24"/>
    <w:rsid w:val="0011039A"/>
    <w:rsid w:val="00110A04"/>
    <w:rsid w:val="00110B43"/>
    <w:rsid w:val="00133509"/>
    <w:rsid w:val="00142F1B"/>
    <w:rsid w:val="001543A4"/>
    <w:rsid w:val="00155DD4"/>
    <w:rsid w:val="00161876"/>
    <w:rsid w:val="00175C22"/>
    <w:rsid w:val="00176843"/>
    <w:rsid w:val="001827A0"/>
    <w:rsid w:val="001927DB"/>
    <w:rsid w:val="001A35FB"/>
    <w:rsid w:val="001B22FF"/>
    <w:rsid w:val="001B402B"/>
    <w:rsid w:val="001B7B9F"/>
    <w:rsid w:val="001C420A"/>
    <w:rsid w:val="001D0D75"/>
    <w:rsid w:val="001F49FE"/>
    <w:rsid w:val="001F71C2"/>
    <w:rsid w:val="00201F4E"/>
    <w:rsid w:val="00211BAE"/>
    <w:rsid w:val="00217BA7"/>
    <w:rsid w:val="00221D57"/>
    <w:rsid w:val="00226DFA"/>
    <w:rsid w:val="0022792D"/>
    <w:rsid w:val="00260645"/>
    <w:rsid w:val="00260FF2"/>
    <w:rsid w:val="002678F7"/>
    <w:rsid w:val="0027202D"/>
    <w:rsid w:val="002779A6"/>
    <w:rsid w:val="00283D53"/>
    <w:rsid w:val="002923F2"/>
    <w:rsid w:val="0029305C"/>
    <w:rsid w:val="00296483"/>
    <w:rsid w:val="00296FDA"/>
    <w:rsid w:val="002975DD"/>
    <w:rsid w:val="002A146E"/>
    <w:rsid w:val="002B294A"/>
    <w:rsid w:val="002B60ED"/>
    <w:rsid w:val="002C26FB"/>
    <w:rsid w:val="002C2DE1"/>
    <w:rsid w:val="002C6F0A"/>
    <w:rsid w:val="002D1444"/>
    <w:rsid w:val="002E361F"/>
    <w:rsid w:val="002E46EA"/>
    <w:rsid w:val="002E6FCA"/>
    <w:rsid w:val="002F1934"/>
    <w:rsid w:val="002F22AD"/>
    <w:rsid w:val="00303802"/>
    <w:rsid w:val="00304E80"/>
    <w:rsid w:val="003057D9"/>
    <w:rsid w:val="00305DDF"/>
    <w:rsid w:val="00306283"/>
    <w:rsid w:val="0031025B"/>
    <w:rsid w:val="00327E68"/>
    <w:rsid w:val="00341A06"/>
    <w:rsid w:val="00342E27"/>
    <w:rsid w:val="003439BC"/>
    <w:rsid w:val="00366587"/>
    <w:rsid w:val="00377E8B"/>
    <w:rsid w:val="003821BD"/>
    <w:rsid w:val="003936E4"/>
    <w:rsid w:val="00394299"/>
    <w:rsid w:val="00394C5A"/>
    <w:rsid w:val="003978AB"/>
    <w:rsid w:val="003A1722"/>
    <w:rsid w:val="003A5FD8"/>
    <w:rsid w:val="003C66E2"/>
    <w:rsid w:val="003D58C0"/>
    <w:rsid w:val="003F35DF"/>
    <w:rsid w:val="00414B9F"/>
    <w:rsid w:val="00417074"/>
    <w:rsid w:val="00420017"/>
    <w:rsid w:val="004271C6"/>
    <w:rsid w:val="0043178A"/>
    <w:rsid w:val="00441111"/>
    <w:rsid w:val="00443539"/>
    <w:rsid w:val="00454EFD"/>
    <w:rsid w:val="0046312A"/>
    <w:rsid w:val="0047080C"/>
    <w:rsid w:val="00474E22"/>
    <w:rsid w:val="00496A14"/>
    <w:rsid w:val="00497475"/>
    <w:rsid w:val="004A2BE1"/>
    <w:rsid w:val="004A31BE"/>
    <w:rsid w:val="004A716E"/>
    <w:rsid w:val="004B25CA"/>
    <w:rsid w:val="004B2ACC"/>
    <w:rsid w:val="004B5120"/>
    <w:rsid w:val="004D0F8B"/>
    <w:rsid w:val="004D2354"/>
    <w:rsid w:val="004E68B5"/>
    <w:rsid w:val="004F0519"/>
    <w:rsid w:val="004F2A94"/>
    <w:rsid w:val="0050459C"/>
    <w:rsid w:val="0050568A"/>
    <w:rsid w:val="0051475B"/>
    <w:rsid w:val="005163DA"/>
    <w:rsid w:val="005224F6"/>
    <w:rsid w:val="00536FD6"/>
    <w:rsid w:val="00551303"/>
    <w:rsid w:val="005533CF"/>
    <w:rsid w:val="00564945"/>
    <w:rsid w:val="00564E64"/>
    <w:rsid w:val="005842C1"/>
    <w:rsid w:val="00597A6C"/>
    <w:rsid w:val="005B2EEE"/>
    <w:rsid w:val="005C4D6A"/>
    <w:rsid w:val="005D357A"/>
    <w:rsid w:val="005E6AE7"/>
    <w:rsid w:val="005F1F84"/>
    <w:rsid w:val="005F6850"/>
    <w:rsid w:val="00601DCD"/>
    <w:rsid w:val="0061196E"/>
    <w:rsid w:val="00621303"/>
    <w:rsid w:val="00627344"/>
    <w:rsid w:val="00642DAA"/>
    <w:rsid w:val="00644BC8"/>
    <w:rsid w:val="00647134"/>
    <w:rsid w:val="00652A52"/>
    <w:rsid w:val="00654914"/>
    <w:rsid w:val="00657732"/>
    <w:rsid w:val="00663492"/>
    <w:rsid w:val="00664083"/>
    <w:rsid w:val="00665842"/>
    <w:rsid w:val="00676F8D"/>
    <w:rsid w:val="006830E6"/>
    <w:rsid w:val="00683483"/>
    <w:rsid w:val="006C752C"/>
    <w:rsid w:val="006D1C13"/>
    <w:rsid w:val="006E3D70"/>
    <w:rsid w:val="006F344F"/>
    <w:rsid w:val="007124FA"/>
    <w:rsid w:val="00717999"/>
    <w:rsid w:val="00736878"/>
    <w:rsid w:val="00736A00"/>
    <w:rsid w:val="007424CB"/>
    <w:rsid w:val="0075024D"/>
    <w:rsid w:val="0075246C"/>
    <w:rsid w:val="00756CA5"/>
    <w:rsid w:val="00763A19"/>
    <w:rsid w:val="00771260"/>
    <w:rsid w:val="00786339"/>
    <w:rsid w:val="007B6247"/>
    <w:rsid w:val="007C2C11"/>
    <w:rsid w:val="007D15EC"/>
    <w:rsid w:val="007D258F"/>
    <w:rsid w:val="007D468B"/>
    <w:rsid w:val="007D5D41"/>
    <w:rsid w:val="007D6498"/>
    <w:rsid w:val="007E2D8C"/>
    <w:rsid w:val="007F07B0"/>
    <w:rsid w:val="007F18A7"/>
    <w:rsid w:val="007F34C5"/>
    <w:rsid w:val="00800D0E"/>
    <w:rsid w:val="0082013F"/>
    <w:rsid w:val="008204B9"/>
    <w:rsid w:val="00826407"/>
    <w:rsid w:val="00836267"/>
    <w:rsid w:val="00846160"/>
    <w:rsid w:val="00847317"/>
    <w:rsid w:val="00857056"/>
    <w:rsid w:val="008640BA"/>
    <w:rsid w:val="00880AF6"/>
    <w:rsid w:val="00884E8A"/>
    <w:rsid w:val="00885ABF"/>
    <w:rsid w:val="00887223"/>
    <w:rsid w:val="008A02E2"/>
    <w:rsid w:val="008A2E91"/>
    <w:rsid w:val="008B03BE"/>
    <w:rsid w:val="008C3F17"/>
    <w:rsid w:val="008C4878"/>
    <w:rsid w:val="008F7298"/>
    <w:rsid w:val="009050CC"/>
    <w:rsid w:val="0090670A"/>
    <w:rsid w:val="00936ABB"/>
    <w:rsid w:val="009407B8"/>
    <w:rsid w:val="00947234"/>
    <w:rsid w:val="00967FB5"/>
    <w:rsid w:val="00970442"/>
    <w:rsid w:val="009732AC"/>
    <w:rsid w:val="00975307"/>
    <w:rsid w:val="00982A08"/>
    <w:rsid w:val="00987DF9"/>
    <w:rsid w:val="00996429"/>
    <w:rsid w:val="00997DA8"/>
    <w:rsid w:val="009A6DAF"/>
    <w:rsid w:val="009E178F"/>
    <w:rsid w:val="009E2BC4"/>
    <w:rsid w:val="009E2C77"/>
    <w:rsid w:val="009F3E1A"/>
    <w:rsid w:val="009F4C9B"/>
    <w:rsid w:val="00A1339B"/>
    <w:rsid w:val="00A141AC"/>
    <w:rsid w:val="00A250ED"/>
    <w:rsid w:val="00A31C3C"/>
    <w:rsid w:val="00A34E36"/>
    <w:rsid w:val="00A52DFF"/>
    <w:rsid w:val="00A562E2"/>
    <w:rsid w:val="00A61155"/>
    <w:rsid w:val="00A6144B"/>
    <w:rsid w:val="00A76EF3"/>
    <w:rsid w:val="00A858F6"/>
    <w:rsid w:val="00A87CAF"/>
    <w:rsid w:val="00A92484"/>
    <w:rsid w:val="00AB1729"/>
    <w:rsid w:val="00AB2FB8"/>
    <w:rsid w:val="00AB408D"/>
    <w:rsid w:val="00AD0DCB"/>
    <w:rsid w:val="00AD3E09"/>
    <w:rsid w:val="00AD485B"/>
    <w:rsid w:val="00AE3668"/>
    <w:rsid w:val="00AF5436"/>
    <w:rsid w:val="00AF5E8C"/>
    <w:rsid w:val="00B1511B"/>
    <w:rsid w:val="00B269D2"/>
    <w:rsid w:val="00B279BF"/>
    <w:rsid w:val="00B31378"/>
    <w:rsid w:val="00B31DC2"/>
    <w:rsid w:val="00B73ADB"/>
    <w:rsid w:val="00B77820"/>
    <w:rsid w:val="00B82D15"/>
    <w:rsid w:val="00B832EF"/>
    <w:rsid w:val="00B9644C"/>
    <w:rsid w:val="00BD43E6"/>
    <w:rsid w:val="00BD4B6A"/>
    <w:rsid w:val="00BD59A4"/>
    <w:rsid w:val="00BF43C2"/>
    <w:rsid w:val="00C023CF"/>
    <w:rsid w:val="00C11523"/>
    <w:rsid w:val="00C1249A"/>
    <w:rsid w:val="00C13725"/>
    <w:rsid w:val="00C1372D"/>
    <w:rsid w:val="00C23CA6"/>
    <w:rsid w:val="00C32250"/>
    <w:rsid w:val="00C37FCC"/>
    <w:rsid w:val="00C4190E"/>
    <w:rsid w:val="00C5314C"/>
    <w:rsid w:val="00C57DDE"/>
    <w:rsid w:val="00C66E81"/>
    <w:rsid w:val="00C67E27"/>
    <w:rsid w:val="00C77504"/>
    <w:rsid w:val="00C80D65"/>
    <w:rsid w:val="00C871C3"/>
    <w:rsid w:val="00C92ABF"/>
    <w:rsid w:val="00C941DB"/>
    <w:rsid w:val="00CB274D"/>
    <w:rsid w:val="00CB2B91"/>
    <w:rsid w:val="00CC5875"/>
    <w:rsid w:val="00CE5864"/>
    <w:rsid w:val="00D02572"/>
    <w:rsid w:val="00D02EDB"/>
    <w:rsid w:val="00D0664E"/>
    <w:rsid w:val="00D37108"/>
    <w:rsid w:val="00D53E5C"/>
    <w:rsid w:val="00D600AB"/>
    <w:rsid w:val="00D71000"/>
    <w:rsid w:val="00D90604"/>
    <w:rsid w:val="00DA45CC"/>
    <w:rsid w:val="00DB7349"/>
    <w:rsid w:val="00DC121E"/>
    <w:rsid w:val="00E01F92"/>
    <w:rsid w:val="00E3385F"/>
    <w:rsid w:val="00E43A55"/>
    <w:rsid w:val="00E57B97"/>
    <w:rsid w:val="00E66936"/>
    <w:rsid w:val="00E74619"/>
    <w:rsid w:val="00E75293"/>
    <w:rsid w:val="00E80CE6"/>
    <w:rsid w:val="00E83EC1"/>
    <w:rsid w:val="00E875E6"/>
    <w:rsid w:val="00E932BB"/>
    <w:rsid w:val="00E937C0"/>
    <w:rsid w:val="00EA4201"/>
    <w:rsid w:val="00EA6F63"/>
    <w:rsid w:val="00EB768A"/>
    <w:rsid w:val="00EB77A3"/>
    <w:rsid w:val="00EB77ED"/>
    <w:rsid w:val="00EC07DA"/>
    <w:rsid w:val="00EC3505"/>
    <w:rsid w:val="00ED2627"/>
    <w:rsid w:val="00EF117A"/>
    <w:rsid w:val="00EF1AE5"/>
    <w:rsid w:val="00F06E40"/>
    <w:rsid w:val="00F11EA5"/>
    <w:rsid w:val="00F122DB"/>
    <w:rsid w:val="00F35316"/>
    <w:rsid w:val="00F40235"/>
    <w:rsid w:val="00F41D34"/>
    <w:rsid w:val="00F46111"/>
    <w:rsid w:val="00F645E0"/>
    <w:rsid w:val="00F67FC4"/>
    <w:rsid w:val="00F75B10"/>
    <w:rsid w:val="00F76EC8"/>
    <w:rsid w:val="00F77295"/>
    <w:rsid w:val="00F81869"/>
    <w:rsid w:val="00F82AFF"/>
    <w:rsid w:val="00F838F1"/>
    <w:rsid w:val="00F84634"/>
    <w:rsid w:val="00FA102B"/>
    <w:rsid w:val="00FA2582"/>
    <w:rsid w:val="00FB0F93"/>
    <w:rsid w:val="00FC15BB"/>
    <w:rsid w:val="00FC18D2"/>
    <w:rsid w:val="00FC2718"/>
    <w:rsid w:val="00FC6BA1"/>
    <w:rsid w:val="00FE55F8"/>
    <w:rsid w:val="00FE7168"/>
    <w:rsid w:val="00FF650F"/>
    <w:rsid w:val="00FF7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5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next w:val="BodyText"/>
    <w:link w:val="Heading1Char"/>
    <w:uiPriority w:val="4"/>
    <w:qFormat/>
    <w:rsid w:val="001B22FF"/>
    <w:pPr>
      <w:keepNext/>
      <w:keepLines/>
      <w:numPr>
        <w:numId w:val="1"/>
      </w:numPr>
      <w:tabs>
        <w:tab w:val="left" w:pos="567"/>
      </w:tabs>
      <w:spacing w:before="240" w:after="200" w:line="240" w:lineRule="auto"/>
      <w:outlineLvl w:val="0"/>
    </w:pPr>
    <w:rPr>
      <w:rFonts w:ascii="Arial" w:eastAsiaTheme="majorEastAsia" w:hAnsi="Arial" w:cstheme="majorBidi"/>
      <w:b/>
      <w:bCs/>
      <w:color w:val="00386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78F"/>
    <w:pPr>
      <w:autoSpaceDE w:val="0"/>
      <w:autoSpaceDN w:val="0"/>
      <w:adjustRightInd w:val="0"/>
      <w:spacing w:after="0" w:line="240" w:lineRule="auto"/>
    </w:pPr>
    <w:rPr>
      <w:rFonts w:ascii="Calibri" w:hAnsi="Calibri" w:cs="Calibri"/>
      <w:color w:val="000000"/>
      <w:sz w:val="24"/>
      <w:szCs w:val="24"/>
    </w:rPr>
  </w:style>
  <w:style w:type="table" w:styleId="GridTable3">
    <w:name w:val="Grid Table 3"/>
    <w:basedOn w:val="TableNormal"/>
    <w:uiPriority w:val="48"/>
    <w:rsid w:val="00C115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unhideWhenUsed/>
    <w:rsid w:val="00C11523"/>
    <w:rPr>
      <w:sz w:val="16"/>
      <w:szCs w:val="16"/>
    </w:rPr>
  </w:style>
  <w:style w:type="paragraph" w:styleId="CommentText">
    <w:name w:val="annotation text"/>
    <w:basedOn w:val="Normal"/>
    <w:link w:val="CommentTextChar"/>
    <w:uiPriority w:val="99"/>
    <w:unhideWhenUsed/>
    <w:rsid w:val="00C11523"/>
    <w:pPr>
      <w:spacing w:line="240" w:lineRule="auto"/>
    </w:pPr>
    <w:rPr>
      <w:sz w:val="20"/>
      <w:szCs w:val="20"/>
    </w:rPr>
  </w:style>
  <w:style w:type="character" w:customStyle="1" w:styleId="CommentTextChar">
    <w:name w:val="Comment Text Char"/>
    <w:basedOn w:val="DefaultParagraphFont"/>
    <w:link w:val="CommentText"/>
    <w:uiPriority w:val="99"/>
    <w:rsid w:val="00C11523"/>
    <w:rPr>
      <w:sz w:val="20"/>
      <w:szCs w:val="20"/>
    </w:rPr>
  </w:style>
  <w:style w:type="paragraph" w:styleId="CommentSubject">
    <w:name w:val="annotation subject"/>
    <w:basedOn w:val="CommentText"/>
    <w:next w:val="CommentText"/>
    <w:link w:val="CommentSubjectChar"/>
    <w:uiPriority w:val="99"/>
    <w:semiHidden/>
    <w:unhideWhenUsed/>
    <w:rsid w:val="00C11523"/>
    <w:rPr>
      <w:b/>
      <w:bCs/>
    </w:rPr>
  </w:style>
  <w:style w:type="character" w:customStyle="1" w:styleId="CommentSubjectChar">
    <w:name w:val="Comment Subject Char"/>
    <w:basedOn w:val="CommentTextChar"/>
    <w:link w:val="CommentSubject"/>
    <w:uiPriority w:val="99"/>
    <w:semiHidden/>
    <w:rsid w:val="00C11523"/>
    <w:rPr>
      <w:b/>
      <w:bCs/>
      <w:sz w:val="20"/>
      <w:szCs w:val="20"/>
    </w:rPr>
  </w:style>
  <w:style w:type="paragraph" w:styleId="BalloonText">
    <w:name w:val="Balloon Text"/>
    <w:basedOn w:val="Normal"/>
    <w:link w:val="BalloonTextChar"/>
    <w:uiPriority w:val="99"/>
    <w:semiHidden/>
    <w:unhideWhenUsed/>
    <w:rsid w:val="00C1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523"/>
    <w:rPr>
      <w:rFonts w:ascii="Segoe UI" w:hAnsi="Segoe UI" w:cs="Segoe UI"/>
      <w:sz w:val="18"/>
      <w:szCs w:val="18"/>
    </w:rPr>
  </w:style>
  <w:style w:type="paragraph" w:styleId="Revision">
    <w:name w:val="Revision"/>
    <w:hidden/>
    <w:uiPriority w:val="99"/>
    <w:semiHidden/>
    <w:rsid w:val="00936ABB"/>
    <w:pPr>
      <w:spacing w:after="0" w:line="240" w:lineRule="auto"/>
    </w:pPr>
  </w:style>
  <w:style w:type="character" w:customStyle="1" w:styleId="Heading1Char">
    <w:name w:val="Heading 1 Char"/>
    <w:aliases w:val="Heading 1 Cab Char"/>
    <w:basedOn w:val="DefaultParagraphFont"/>
    <w:link w:val="Heading1"/>
    <w:uiPriority w:val="4"/>
    <w:rsid w:val="001B22FF"/>
    <w:rPr>
      <w:rFonts w:ascii="Arial" w:eastAsiaTheme="majorEastAsia" w:hAnsi="Arial" w:cstheme="majorBidi"/>
      <w:b/>
      <w:bCs/>
      <w:color w:val="003865"/>
      <w:sz w:val="32"/>
      <w:szCs w:val="28"/>
    </w:rPr>
  </w:style>
  <w:style w:type="paragraph" w:customStyle="1" w:styleId="CAB-NumberedParagraph">
    <w:name w:val="CAB - Numbered Paragraph"/>
    <w:basedOn w:val="Normal"/>
    <w:link w:val="CAB-NumberedParagraphChar"/>
    <w:uiPriority w:val="98"/>
    <w:rsid w:val="001B22FF"/>
    <w:pPr>
      <w:numPr>
        <w:ilvl w:val="1"/>
        <w:numId w:val="1"/>
      </w:numPr>
      <w:spacing w:after="200" w:line="276" w:lineRule="auto"/>
    </w:pPr>
    <w:rPr>
      <w:rFonts w:ascii="Arial" w:hAnsi="Arial"/>
    </w:rPr>
  </w:style>
  <w:style w:type="character" w:customStyle="1" w:styleId="CAB-NumberedParagraphChar">
    <w:name w:val="CAB - Numbered Paragraph Char"/>
    <w:basedOn w:val="DefaultParagraphFont"/>
    <w:link w:val="CAB-NumberedParagraph"/>
    <w:uiPriority w:val="98"/>
    <w:rsid w:val="001B22FF"/>
    <w:rPr>
      <w:rFonts w:ascii="Arial" w:hAnsi="Arial"/>
    </w:rPr>
  </w:style>
  <w:style w:type="paragraph" w:styleId="BodyText">
    <w:name w:val="Body Text"/>
    <w:basedOn w:val="Normal"/>
    <w:link w:val="BodyTextChar"/>
    <w:uiPriority w:val="99"/>
    <w:semiHidden/>
    <w:unhideWhenUsed/>
    <w:rsid w:val="001B22FF"/>
    <w:pPr>
      <w:spacing w:after="120"/>
    </w:pPr>
  </w:style>
  <w:style w:type="character" w:customStyle="1" w:styleId="BodyTextChar">
    <w:name w:val="Body Text Char"/>
    <w:basedOn w:val="DefaultParagraphFont"/>
    <w:link w:val="BodyText"/>
    <w:uiPriority w:val="99"/>
    <w:semiHidden/>
    <w:rsid w:val="001B22FF"/>
  </w:style>
  <w:style w:type="paragraph" w:styleId="NormalWeb">
    <w:name w:val="Normal (Web)"/>
    <w:basedOn w:val="Normal"/>
    <w:uiPriority w:val="99"/>
    <w:semiHidden/>
    <w:unhideWhenUsed/>
    <w:rsid w:val="008570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36FD6"/>
    <w:pPr>
      <w:spacing w:after="0" w:line="240" w:lineRule="auto"/>
      <w:ind w:left="720"/>
    </w:pPr>
    <w:rPr>
      <w:rFonts w:ascii="Calibri" w:hAnsi="Calibri" w:cs="Calibri"/>
    </w:rPr>
  </w:style>
  <w:style w:type="paragraph" w:customStyle="1" w:styleId="Bullet">
    <w:name w:val="Bullet"/>
    <w:basedOn w:val="Normal"/>
    <w:rsid w:val="00AD0DCB"/>
    <w:pPr>
      <w:numPr>
        <w:numId w:val="2"/>
      </w:numPr>
    </w:pPr>
  </w:style>
  <w:style w:type="paragraph" w:customStyle="1" w:styleId="Dash">
    <w:name w:val="Dash"/>
    <w:basedOn w:val="Normal"/>
    <w:link w:val="DashChar"/>
    <w:rsid w:val="00AD0DCB"/>
    <w:pPr>
      <w:numPr>
        <w:ilvl w:val="1"/>
        <w:numId w:val="2"/>
      </w:numPr>
    </w:pPr>
  </w:style>
  <w:style w:type="character" w:customStyle="1" w:styleId="DashChar">
    <w:name w:val="Dash Char"/>
    <w:basedOn w:val="DefaultParagraphFont"/>
    <w:link w:val="Dash"/>
    <w:rsid w:val="00AD0DCB"/>
  </w:style>
  <w:style w:type="paragraph" w:customStyle="1" w:styleId="DoubleDot">
    <w:name w:val="Double Dot"/>
    <w:basedOn w:val="Normal"/>
    <w:rsid w:val="00AD0DCB"/>
    <w:pPr>
      <w:numPr>
        <w:ilvl w:val="2"/>
        <w:numId w:val="2"/>
      </w:numPr>
    </w:pPr>
  </w:style>
  <w:style w:type="paragraph" w:styleId="Header">
    <w:name w:val="header"/>
    <w:basedOn w:val="Normal"/>
    <w:link w:val="HeaderChar"/>
    <w:uiPriority w:val="99"/>
    <w:unhideWhenUsed/>
    <w:rsid w:val="00E57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B97"/>
  </w:style>
  <w:style w:type="paragraph" w:styleId="Footer">
    <w:name w:val="footer"/>
    <w:basedOn w:val="Normal"/>
    <w:link w:val="FooterChar"/>
    <w:uiPriority w:val="99"/>
    <w:unhideWhenUsed/>
    <w:rsid w:val="00E57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3549">
      <w:bodyDiv w:val="1"/>
      <w:marLeft w:val="0"/>
      <w:marRight w:val="0"/>
      <w:marTop w:val="0"/>
      <w:marBottom w:val="0"/>
      <w:divBdr>
        <w:top w:val="none" w:sz="0" w:space="0" w:color="auto"/>
        <w:left w:val="none" w:sz="0" w:space="0" w:color="auto"/>
        <w:bottom w:val="none" w:sz="0" w:space="0" w:color="auto"/>
        <w:right w:val="none" w:sz="0" w:space="0" w:color="auto"/>
      </w:divBdr>
    </w:div>
    <w:div w:id="1288047678">
      <w:bodyDiv w:val="1"/>
      <w:marLeft w:val="0"/>
      <w:marRight w:val="0"/>
      <w:marTop w:val="0"/>
      <w:marBottom w:val="0"/>
      <w:divBdr>
        <w:top w:val="none" w:sz="0" w:space="0" w:color="auto"/>
        <w:left w:val="none" w:sz="0" w:space="0" w:color="auto"/>
        <w:bottom w:val="none" w:sz="0" w:space="0" w:color="auto"/>
        <w:right w:val="none" w:sz="0" w:space="0" w:color="auto"/>
      </w:divBdr>
      <w:divsChild>
        <w:div w:id="195193268">
          <w:marLeft w:val="0"/>
          <w:marRight w:val="0"/>
          <w:marTop w:val="0"/>
          <w:marBottom w:val="0"/>
          <w:divBdr>
            <w:top w:val="none" w:sz="0" w:space="0" w:color="auto"/>
            <w:left w:val="none" w:sz="0" w:space="0" w:color="auto"/>
            <w:bottom w:val="none" w:sz="0" w:space="0" w:color="auto"/>
            <w:right w:val="none" w:sz="0" w:space="0" w:color="auto"/>
          </w:divBdr>
          <w:divsChild>
            <w:div w:id="1535730201">
              <w:marLeft w:val="0"/>
              <w:marRight w:val="0"/>
              <w:marTop w:val="0"/>
              <w:marBottom w:val="0"/>
              <w:divBdr>
                <w:top w:val="none" w:sz="0" w:space="0" w:color="auto"/>
                <w:left w:val="none" w:sz="0" w:space="0" w:color="auto"/>
                <w:bottom w:val="none" w:sz="0" w:space="0" w:color="auto"/>
                <w:right w:val="none" w:sz="0" w:space="0" w:color="auto"/>
              </w:divBdr>
              <w:divsChild>
                <w:div w:id="1180043981">
                  <w:marLeft w:val="0"/>
                  <w:marRight w:val="0"/>
                  <w:marTop w:val="0"/>
                  <w:marBottom w:val="0"/>
                  <w:divBdr>
                    <w:top w:val="none" w:sz="0" w:space="0" w:color="auto"/>
                    <w:left w:val="none" w:sz="0" w:space="0" w:color="auto"/>
                    <w:bottom w:val="none" w:sz="0" w:space="0" w:color="auto"/>
                    <w:right w:val="none" w:sz="0" w:space="0" w:color="auto"/>
                  </w:divBdr>
                  <w:divsChild>
                    <w:div w:id="1408260304">
                      <w:marLeft w:val="0"/>
                      <w:marRight w:val="0"/>
                      <w:marTop w:val="0"/>
                      <w:marBottom w:val="0"/>
                      <w:divBdr>
                        <w:top w:val="none" w:sz="0" w:space="0" w:color="auto"/>
                        <w:left w:val="none" w:sz="0" w:space="0" w:color="auto"/>
                        <w:bottom w:val="none" w:sz="0" w:space="0" w:color="auto"/>
                        <w:right w:val="none" w:sz="0" w:space="0" w:color="auto"/>
                      </w:divBdr>
                      <w:divsChild>
                        <w:div w:id="929892591">
                          <w:marLeft w:val="0"/>
                          <w:marRight w:val="0"/>
                          <w:marTop w:val="0"/>
                          <w:marBottom w:val="0"/>
                          <w:divBdr>
                            <w:top w:val="none" w:sz="0" w:space="0" w:color="auto"/>
                            <w:left w:val="none" w:sz="0" w:space="0" w:color="auto"/>
                            <w:bottom w:val="none" w:sz="0" w:space="0" w:color="auto"/>
                            <w:right w:val="none" w:sz="0" w:space="0" w:color="auto"/>
                          </w:divBdr>
                          <w:divsChild>
                            <w:div w:id="707804412">
                              <w:marLeft w:val="0"/>
                              <w:marRight w:val="0"/>
                              <w:marTop w:val="0"/>
                              <w:marBottom w:val="0"/>
                              <w:divBdr>
                                <w:top w:val="none" w:sz="0" w:space="0" w:color="auto"/>
                                <w:left w:val="none" w:sz="0" w:space="0" w:color="auto"/>
                                <w:bottom w:val="none" w:sz="0" w:space="0" w:color="auto"/>
                                <w:right w:val="none" w:sz="0" w:space="0" w:color="auto"/>
                              </w:divBdr>
                              <w:divsChild>
                                <w:div w:id="313604531">
                                  <w:marLeft w:val="0"/>
                                  <w:marRight w:val="0"/>
                                  <w:marTop w:val="0"/>
                                  <w:marBottom w:val="0"/>
                                  <w:divBdr>
                                    <w:top w:val="none" w:sz="0" w:space="0" w:color="auto"/>
                                    <w:left w:val="none" w:sz="0" w:space="0" w:color="auto"/>
                                    <w:bottom w:val="none" w:sz="0" w:space="0" w:color="auto"/>
                                    <w:right w:val="none" w:sz="0" w:space="0" w:color="auto"/>
                                  </w:divBdr>
                                  <w:divsChild>
                                    <w:div w:id="145710561">
                                      <w:marLeft w:val="0"/>
                                      <w:marRight w:val="0"/>
                                      <w:marTop w:val="0"/>
                                      <w:marBottom w:val="0"/>
                                      <w:divBdr>
                                        <w:top w:val="none" w:sz="0" w:space="0" w:color="auto"/>
                                        <w:left w:val="none" w:sz="0" w:space="0" w:color="auto"/>
                                        <w:bottom w:val="none" w:sz="0" w:space="0" w:color="auto"/>
                                        <w:right w:val="none" w:sz="0" w:space="0" w:color="auto"/>
                                      </w:divBdr>
                                      <w:divsChild>
                                        <w:div w:id="1703939587">
                                          <w:marLeft w:val="0"/>
                                          <w:marRight w:val="0"/>
                                          <w:marTop w:val="0"/>
                                          <w:marBottom w:val="0"/>
                                          <w:divBdr>
                                            <w:top w:val="none" w:sz="0" w:space="0" w:color="auto"/>
                                            <w:left w:val="none" w:sz="0" w:space="0" w:color="auto"/>
                                            <w:bottom w:val="none" w:sz="0" w:space="0" w:color="auto"/>
                                            <w:right w:val="none" w:sz="0" w:space="0" w:color="auto"/>
                                          </w:divBdr>
                                          <w:divsChild>
                                            <w:div w:id="627051757">
                                              <w:marLeft w:val="0"/>
                                              <w:marRight w:val="0"/>
                                              <w:marTop w:val="0"/>
                                              <w:marBottom w:val="0"/>
                                              <w:divBdr>
                                                <w:top w:val="none" w:sz="0" w:space="0" w:color="auto"/>
                                                <w:left w:val="none" w:sz="0" w:space="0" w:color="auto"/>
                                                <w:bottom w:val="none" w:sz="0" w:space="0" w:color="auto"/>
                                                <w:right w:val="none" w:sz="0" w:space="0" w:color="auto"/>
                                              </w:divBdr>
                                              <w:divsChild>
                                                <w:div w:id="1294290443">
                                                  <w:marLeft w:val="0"/>
                                                  <w:marRight w:val="0"/>
                                                  <w:marTop w:val="0"/>
                                                  <w:marBottom w:val="0"/>
                                                  <w:divBdr>
                                                    <w:top w:val="none" w:sz="0" w:space="0" w:color="auto"/>
                                                    <w:left w:val="none" w:sz="0" w:space="0" w:color="auto"/>
                                                    <w:bottom w:val="none" w:sz="0" w:space="0" w:color="auto"/>
                                                    <w:right w:val="none" w:sz="0" w:space="0" w:color="auto"/>
                                                  </w:divBdr>
                                                  <w:divsChild>
                                                    <w:div w:id="560020369">
                                                      <w:marLeft w:val="0"/>
                                                      <w:marRight w:val="0"/>
                                                      <w:marTop w:val="0"/>
                                                      <w:marBottom w:val="0"/>
                                                      <w:divBdr>
                                                        <w:top w:val="none" w:sz="0" w:space="0" w:color="auto"/>
                                                        <w:left w:val="none" w:sz="0" w:space="0" w:color="auto"/>
                                                        <w:bottom w:val="none" w:sz="0" w:space="0" w:color="auto"/>
                                                        <w:right w:val="none" w:sz="0" w:space="0" w:color="auto"/>
                                                      </w:divBdr>
                                                      <w:divsChild>
                                                        <w:div w:id="1544977501">
                                                          <w:marLeft w:val="0"/>
                                                          <w:marRight w:val="0"/>
                                                          <w:marTop w:val="0"/>
                                                          <w:marBottom w:val="0"/>
                                                          <w:divBdr>
                                                            <w:top w:val="none" w:sz="0" w:space="0" w:color="auto"/>
                                                            <w:left w:val="none" w:sz="0" w:space="0" w:color="auto"/>
                                                            <w:bottom w:val="none" w:sz="0" w:space="0" w:color="auto"/>
                                                            <w:right w:val="none" w:sz="0" w:space="0" w:color="auto"/>
                                                          </w:divBdr>
                                                          <w:divsChild>
                                                            <w:div w:id="998851845">
                                                              <w:marLeft w:val="0"/>
                                                              <w:marRight w:val="0"/>
                                                              <w:marTop w:val="0"/>
                                                              <w:marBottom w:val="0"/>
                                                              <w:divBdr>
                                                                <w:top w:val="none" w:sz="0" w:space="0" w:color="auto"/>
                                                                <w:left w:val="none" w:sz="0" w:space="0" w:color="auto"/>
                                                                <w:bottom w:val="none" w:sz="0" w:space="0" w:color="auto"/>
                                                                <w:right w:val="none" w:sz="0" w:space="0" w:color="auto"/>
                                                              </w:divBdr>
                                                              <w:divsChild>
                                                                <w:div w:id="460535833">
                                                                  <w:marLeft w:val="0"/>
                                                                  <w:marRight w:val="0"/>
                                                                  <w:marTop w:val="0"/>
                                                                  <w:marBottom w:val="0"/>
                                                                  <w:divBdr>
                                                                    <w:top w:val="none" w:sz="0" w:space="0" w:color="auto"/>
                                                                    <w:left w:val="none" w:sz="0" w:space="0" w:color="auto"/>
                                                                    <w:bottom w:val="none" w:sz="0" w:space="0" w:color="auto"/>
                                                                    <w:right w:val="none" w:sz="0" w:space="0" w:color="auto"/>
                                                                  </w:divBdr>
                                                                  <w:divsChild>
                                                                    <w:div w:id="1017271689">
                                                                      <w:marLeft w:val="0"/>
                                                                      <w:marRight w:val="0"/>
                                                                      <w:marTop w:val="0"/>
                                                                      <w:marBottom w:val="0"/>
                                                                      <w:divBdr>
                                                                        <w:top w:val="none" w:sz="0" w:space="0" w:color="auto"/>
                                                                        <w:left w:val="none" w:sz="0" w:space="0" w:color="auto"/>
                                                                        <w:bottom w:val="none" w:sz="0" w:space="0" w:color="auto"/>
                                                                        <w:right w:val="none" w:sz="0" w:space="0" w:color="auto"/>
                                                                      </w:divBdr>
                                                                      <w:divsChild>
                                                                        <w:div w:id="254218162">
                                                                          <w:marLeft w:val="0"/>
                                                                          <w:marRight w:val="0"/>
                                                                          <w:marTop w:val="0"/>
                                                                          <w:marBottom w:val="0"/>
                                                                          <w:divBdr>
                                                                            <w:top w:val="none" w:sz="0" w:space="0" w:color="auto"/>
                                                                            <w:left w:val="none" w:sz="0" w:space="0" w:color="auto"/>
                                                                            <w:bottom w:val="none" w:sz="0" w:space="0" w:color="auto"/>
                                                                            <w:right w:val="none" w:sz="0" w:space="0" w:color="auto"/>
                                                                          </w:divBdr>
                                                                          <w:divsChild>
                                                                            <w:div w:id="9637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044051">
      <w:bodyDiv w:val="1"/>
      <w:marLeft w:val="0"/>
      <w:marRight w:val="0"/>
      <w:marTop w:val="0"/>
      <w:marBottom w:val="0"/>
      <w:divBdr>
        <w:top w:val="none" w:sz="0" w:space="0" w:color="auto"/>
        <w:left w:val="none" w:sz="0" w:space="0" w:color="auto"/>
        <w:bottom w:val="none" w:sz="0" w:space="0" w:color="auto"/>
        <w:right w:val="none" w:sz="0" w:space="0" w:color="auto"/>
      </w:divBdr>
    </w:div>
    <w:div w:id="1923097732">
      <w:bodyDiv w:val="1"/>
      <w:marLeft w:val="0"/>
      <w:marRight w:val="0"/>
      <w:marTop w:val="0"/>
      <w:marBottom w:val="0"/>
      <w:divBdr>
        <w:top w:val="none" w:sz="0" w:space="0" w:color="auto"/>
        <w:left w:val="none" w:sz="0" w:space="0" w:color="auto"/>
        <w:bottom w:val="none" w:sz="0" w:space="0" w:color="auto"/>
        <w:right w:val="none" w:sz="0" w:space="0" w:color="auto"/>
      </w:divBdr>
    </w:div>
    <w:div w:id="21410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7AA1-BB80-4E6A-837D-C7AD0DF0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2020-12-07T23:56:00Z</dcterms:created>
  <dcterms:modified xsi:type="dcterms:W3CDTF">2020-12-07T23:57:00Z</dcterms:modified>
</cp:coreProperties>
</file>