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76553243"/>
        <w:docPartObj>
          <w:docPartGallery w:val="Cover Pages"/>
          <w:docPartUnique/>
        </w:docPartObj>
      </w:sdtPr>
      <w:sdtEndPr/>
      <w:sdtContent>
        <w:p w14:paraId="4211F9DC" w14:textId="77777777" w:rsidR="000916EC" w:rsidRDefault="000916EC" w:rsidP="006B73AB">
          <w:pPr>
            <w:jc w:val="right"/>
          </w:pPr>
        </w:p>
        <w:p w14:paraId="46AB54C6" w14:textId="77777777" w:rsidR="00D67A3C" w:rsidRDefault="00AB5C2D" w:rsidP="00D67A3C">
          <w:pPr>
            <w:jc w:val="right"/>
          </w:pPr>
        </w:p>
      </w:sdtContent>
    </w:sdt>
    <w:p w14:paraId="35E00054" w14:textId="77777777" w:rsidR="00D67A3C" w:rsidRDefault="00A44A0B">
      <w:pPr>
        <w:spacing w:before="0"/>
      </w:pPr>
      <w:r>
        <w:rPr>
          <w:noProof/>
          <w:lang w:eastAsia="en-AU"/>
        </w:rPr>
        <mc:AlternateContent>
          <mc:Choice Requires="wps">
            <w:drawing>
              <wp:anchor distT="0" distB="0" distL="114300" distR="114300" simplePos="0" relativeHeight="251655680" behindDoc="0" locked="0" layoutInCell="1" allowOverlap="1" wp14:anchorId="1D36BB4A" wp14:editId="57BBCA4B">
                <wp:simplePos x="0" y="0"/>
                <wp:positionH relativeFrom="column">
                  <wp:posOffset>2404153</wp:posOffset>
                </wp:positionH>
                <wp:positionV relativeFrom="paragraph">
                  <wp:posOffset>6103805</wp:posOffset>
                </wp:positionV>
                <wp:extent cx="4646930" cy="1407559"/>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407559"/>
                        </a:xfrm>
                        <a:prstGeom prst="rect">
                          <a:avLst/>
                        </a:prstGeom>
                        <a:noFill/>
                        <a:ln w="9525">
                          <a:noFill/>
                          <a:miter lim="800000"/>
                          <a:headEnd/>
                          <a:tailEnd/>
                        </a:ln>
                      </wps:spPr>
                      <wps:txbx>
                        <w:txbxContent>
                          <w:p w14:paraId="297C041E" w14:textId="77777777" w:rsidR="00966245" w:rsidRPr="00724725" w:rsidRDefault="00966245" w:rsidP="003C53EF">
                            <w:pPr>
                              <w:pStyle w:val="Heading3"/>
                              <w:ind w:left="1134" w:hanging="1134"/>
                              <w:rPr>
                                <w:color w:val="516E73"/>
                              </w:rPr>
                            </w:pPr>
                            <w:r>
                              <w:rPr>
                                <w:color w:val="516E73"/>
                              </w:rPr>
                              <w:t>February 2019</w:t>
                            </w:r>
                          </w:p>
                          <w:p w14:paraId="15B6BC55" w14:textId="66F83906" w:rsidR="00966245" w:rsidRPr="00724725" w:rsidRDefault="00966245" w:rsidP="003C53EF">
                            <w:pPr>
                              <w:pStyle w:val="Heading3"/>
                              <w:ind w:left="1134" w:hanging="1134"/>
                              <w:rPr>
                                <w:color w:val="516E73"/>
                              </w:rPr>
                            </w:pPr>
                            <w:r>
                              <w:rPr>
                                <w:color w:val="516E73"/>
                              </w:rPr>
                              <w:t>9004735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6BB4A" id="_x0000_t202" coordsize="21600,21600" o:spt="202" path="m,l,21600r21600,l21600,xe">
                <v:stroke joinstyle="miter"/>
                <v:path gradientshapeok="t" o:connecttype="rect"/>
              </v:shapetype>
              <v:shape id="Text Box 2" o:spid="_x0000_s1026" type="#_x0000_t202" style="position:absolute;margin-left:189.3pt;margin-top:480.6pt;width:365.9pt;height:11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" filled="f" stroked="f">
                <v:textbox>
                  <w:txbxContent>
                    <w:p w14:paraId="297C041E" w14:textId="77777777" w:rsidR="00966245" w:rsidRPr="00724725" w:rsidRDefault="00966245" w:rsidP="003C53EF">
                      <w:pPr>
                        <w:pStyle w:val="Heading3"/>
                        <w:ind w:left="1134" w:hanging="1134"/>
                        <w:rPr>
                          <w:color w:val="516E73"/>
                        </w:rPr>
                      </w:pPr>
                      <w:r>
                        <w:rPr>
                          <w:color w:val="516E73"/>
                        </w:rPr>
                        <w:t>February 2019</w:t>
                      </w:r>
                    </w:p>
                    <w:p w14:paraId="15B6BC55" w14:textId="66F83906" w:rsidR="00966245" w:rsidRPr="00724725" w:rsidRDefault="00966245" w:rsidP="003C53EF">
                      <w:pPr>
                        <w:pStyle w:val="Heading3"/>
                        <w:ind w:left="1134" w:hanging="1134"/>
                        <w:rPr>
                          <w:color w:val="516E73"/>
                        </w:rPr>
                      </w:pPr>
                      <w:r>
                        <w:rPr>
                          <w:color w:val="516E73"/>
                        </w:rPr>
                        <w:t>9004735</w:t>
                      </w:r>
                    </w:p>
                  </w:txbxContent>
                </v:textbox>
              </v:shape>
            </w:pict>
          </mc:Fallback>
        </mc:AlternateContent>
      </w:r>
      <w:r w:rsidR="00582AE7">
        <w:rPr>
          <w:noProof/>
          <w:lang w:eastAsia="en-AU"/>
        </w:rPr>
        <mc:AlternateContent>
          <mc:Choice Requires="wps">
            <w:drawing>
              <wp:anchor distT="0" distB="0" distL="114300" distR="114300" simplePos="0" relativeHeight="251659776" behindDoc="0" locked="0" layoutInCell="1" allowOverlap="1" wp14:anchorId="5A4C72DD" wp14:editId="41DF7D66">
                <wp:simplePos x="0" y="0"/>
                <wp:positionH relativeFrom="column">
                  <wp:posOffset>2400300</wp:posOffset>
                </wp:positionH>
                <wp:positionV relativeFrom="paragraph">
                  <wp:posOffset>5292090</wp:posOffset>
                </wp:positionV>
                <wp:extent cx="4646930" cy="6000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600075"/>
                        </a:xfrm>
                        <a:prstGeom prst="rect">
                          <a:avLst/>
                        </a:prstGeom>
                        <a:noFill/>
                        <a:ln w="9525">
                          <a:noFill/>
                          <a:miter lim="800000"/>
                          <a:headEnd/>
                          <a:tailEnd/>
                        </a:ln>
                      </wps:spPr>
                      <wps:txbx>
                        <w:txbxContent>
                          <w:p w14:paraId="73494036" w14:textId="77777777" w:rsidR="00966245" w:rsidRPr="00EA1DB1" w:rsidRDefault="00966245" w:rsidP="003C53EF">
                            <w:pPr>
                              <w:pStyle w:val="Heading2"/>
                              <w:ind w:left="1134" w:hanging="1134"/>
                            </w:pPr>
                            <w:r>
                              <w:t>A Sharing Economy Reporting Regime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C72DD" id="_x0000_s1027" type="#_x0000_t202" style="position:absolute;margin-left:189pt;margin-top:416.7pt;width:365.9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" filled="f" stroked="f">
                <v:textbox>
                  <w:txbxContent>
                    <w:p w14:paraId="73494036" w14:textId="77777777" w:rsidR="00966245" w:rsidRPr="00EA1DB1" w:rsidRDefault="00966245" w:rsidP="003C53EF">
                      <w:pPr>
                        <w:pStyle w:val="Heading2"/>
                        <w:ind w:left="1134" w:hanging="1134"/>
                      </w:pPr>
                      <w:r>
                        <w:t>A Sharing Economy Reporting Regime</w:t>
                      </w:r>
                    </w:p>
                  </w:txbxContent>
                </v:textbox>
              </v:shape>
            </w:pict>
          </mc:Fallback>
        </mc:AlternateContent>
      </w:r>
      <w:r w:rsidR="00582AE7">
        <w:rPr>
          <w:noProof/>
          <w:lang w:eastAsia="en-AU"/>
        </w:rPr>
        <mc:AlternateContent>
          <mc:Choice Requires="wps">
            <w:drawing>
              <wp:anchor distT="0" distB="0" distL="114300" distR="114300" simplePos="0" relativeHeight="251662848" behindDoc="0" locked="0" layoutInCell="1" allowOverlap="1" wp14:anchorId="35DA8839" wp14:editId="1BA8C834">
                <wp:simplePos x="0" y="0"/>
                <wp:positionH relativeFrom="column">
                  <wp:posOffset>2400300</wp:posOffset>
                </wp:positionH>
                <wp:positionV relativeFrom="paragraph">
                  <wp:posOffset>4748848</wp:posOffset>
                </wp:positionV>
                <wp:extent cx="4646930" cy="681037"/>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681037"/>
                        </a:xfrm>
                        <a:prstGeom prst="rect">
                          <a:avLst/>
                        </a:prstGeom>
                        <a:noFill/>
                        <a:ln w="9525">
                          <a:noFill/>
                          <a:miter lim="800000"/>
                          <a:headEnd/>
                          <a:tailEnd/>
                        </a:ln>
                      </wps:spPr>
                      <wps:txbx>
                        <w:txbxContent>
                          <w:p w14:paraId="69794243" w14:textId="77777777" w:rsidR="00966245" w:rsidRPr="00926B3A" w:rsidRDefault="00966245" w:rsidP="003C53EF">
                            <w:pPr>
                              <w:pStyle w:val="Heading1"/>
                              <w:spacing w:after="600"/>
                            </w:pPr>
                            <w:r>
                              <w:t>Tackling the Black Economy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A8839" id="_x0000_s1028" type="#_x0000_t202" style="position:absolute;margin-left:189pt;margin-top:373.95pt;width:365.9pt;height:5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" filled="f" stroked="f">
                <v:textbox>
                  <w:txbxContent>
                    <w:p w14:paraId="69794243" w14:textId="77777777" w:rsidR="00966245" w:rsidRPr="00926B3A" w:rsidRDefault="00966245" w:rsidP="003C53EF">
                      <w:pPr>
                        <w:pStyle w:val="Heading1"/>
                        <w:spacing w:after="600"/>
                      </w:pPr>
                      <w:r>
                        <w:t>Tackling the Black Economy</w:t>
                      </w:r>
                    </w:p>
                  </w:txbxContent>
                </v:textbox>
              </v:shape>
            </w:pict>
          </mc:Fallback>
        </mc:AlternateContent>
      </w:r>
      <w:r w:rsidR="00D67A3C">
        <w:br w:type="page"/>
      </w:r>
    </w:p>
    <w:p w14:paraId="6D796C88" w14:textId="77777777" w:rsidR="004561ED" w:rsidRPr="001B1FDC" w:rsidRDefault="0051580E" w:rsidP="00F1604A">
      <w:pPr>
        <w:pStyle w:val="Heading1"/>
      </w:pPr>
      <w:r>
        <w:lastRenderedPageBreak/>
        <w:t>Response to January 2019 consultation paper</w:t>
      </w:r>
    </w:p>
    <w:p w14:paraId="66458B53" w14:textId="77777777" w:rsidR="003B7C51" w:rsidRPr="006A6008" w:rsidRDefault="000D09FA" w:rsidP="003B7C51">
      <w:pPr>
        <w:rPr>
          <w:szCs w:val="24"/>
        </w:rPr>
      </w:pPr>
      <w:r>
        <w:rPr>
          <w:szCs w:val="24"/>
        </w:rPr>
        <w:t>Thank you for providing AUSTRAC with the opportunity to comment on the Sharing Economy Reporting Regime consultation paper in response to the Black Economy Taskforce Final Report.</w:t>
      </w:r>
    </w:p>
    <w:p w14:paraId="14FEDAFA" w14:textId="002776A5" w:rsidR="000E3B0D" w:rsidRDefault="000E3B0D" w:rsidP="003B7C51">
      <w:pPr>
        <w:rPr>
          <w:szCs w:val="24"/>
        </w:rPr>
      </w:pPr>
      <w:r>
        <w:rPr>
          <w:szCs w:val="24"/>
        </w:rPr>
        <w:t xml:space="preserve">AUSTRAC is Australia’s financial intelligence regulator (FIU) </w:t>
      </w:r>
      <w:r w:rsidRPr="000E3B0D">
        <w:rPr>
          <w:szCs w:val="24"/>
        </w:rPr>
        <w:t>with regulatory responsibility for anti-money laundering and counter-terrorism financing</w:t>
      </w:r>
      <w:r>
        <w:rPr>
          <w:szCs w:val="24"/>
        </w:rPr>
        <w:t xml:space="preserve">. </w:t>
      </w:r>
      <w:r w:rsidRPr="000E3B0D">
        <w:rPr>
          <w:szCs w:val="24"/>
        </w:rPr>
        <w:t>AUSTRAC is Australia's primary source for financial intelligence used to fight serious and organised crime and terrorism financing</w:t>
      </w:r>
      <w:r w:rsidR="00C915E2">
        <w:rPr>
          <w:szCs w:val="24"/>
        </w:rPr>
        <w:t>. AUSTRAC also</w:t>
      </w:r>
      <w:r>
        <w:rPr>
          <w:szCs w:val="24"/>
        </w:rPr>
        <w:t xml:space="preserve"> </w:t>
      </w:r>
      <w:r w:rsidRPr="000E3B0D">
        <w:rPr>
          <w:szCs w:val="24"/>
        </w:rPr>
        <w:t>oversees</w:t>
      </w:r>
      <w:r w:rsidR="00C915E2">
        <w:rPr>
          <w:szCs w:val="24"/>
        </w:rPr>
        <w:t xml:space="preserve"> compliance of </w:t>
      </w:r>
      <w:r w:rsidR="00C915E2" w:rsidRPr="000E3B0D">
        <w:rPr>
          <w:szCs w:val="24"/>
        </w:rPr>
        <w:t>more than 14,000 Australian businesses ranging from major banks and casinos to single-operator businesses</w:t>
      </w:r>
      <w:r w:rsidRPr="000E3B0D">
        <w:rPr>
          <w:szCs w:val="24"/>
        </w:rPr>
        <w:t xml:space="preserve"> </w:t>
      </w:r>
      <w:r>
        <w:rPr>
          <w:szCs w:val="24"/>
        </w:rPr>
        <w:t xml:space="preserve">with the </w:t>
      </w:r>
      <w:r w:rsidRPr="000E3B0D">
        <w:rPr>
          <w:i/>
          <w:szCs w:val="24"/>
        </w:rPr>
        <w:t>Anti-Money Laundering and Counter-Terrorism Financing Act 2006</w:t>
      </w:r>
      <w:r>
        <w:rPr>
          <w:szCs w:val="24"/>
        </w:rPr>
        <w:t xml:space="preserve"> </w:t>
      </w:r>
      <w:r w:rsidR="00C47D2F">
        <w:rPr>
          <w:szCs w:val="24"/>
        </w:rPr>
        <w:t xml:space="preserve">(AML/CTF Act) </w:t>
      </w:r>
      <w:r>
        <w:rPr>
          <w:szCs w:val="24"/>
        </w:rPr>
        <w:t xml:space="preserve">and </w:t>
      </w:r>
      <w:r w:rsidR="00C915E2" w:rsidRPr="00813B9C">
        <w:rPr>
          <w:szCs w:val="24"/>
        </w:rPr>
        <w:t>a</w:t>
      </w:r>
      <w:r w:rsidR="00C915E2" w:rsidRPr="00C915E2">
        <w:rPr>
          <w:szCs w:val="24"/>
        </w:rPr>
        <w:t>ssociated R</w:t>
      </w:r>
      <w:r w:rsidR="00C915E2" w:rsidRPr="00813B9C">
        <w:rPr>
          <w:szCs w:val="24"/>
        </w:rPr>
        <w:t>ules</w:t>
      </w:r>
      <w:r>
        <w:rPr>
          <w:i/>
          <w:szCs w:val="24"/>
        </w:rPr>
        <w:t>.</w:t>
      </w:r>
    </w:p>
    <w:p w14:paraId="2EA814BF" w14:textId="6E7B7FDE" w:rsidR="005D0EB6" w:rsidRDefault="005D0EB6" w:rsidP="003B7C51">
      <w:pPr>
        <w:rPr>
          <w:szCs w:val="24"/>
        </w:rPr>
      </w:pPr>
      <w:r w:rsidRPr="005D0EB6">
        <w:rPr>
          <w:szCs w:val="24"/>
        </w:rPr>
        <w:t xml:space="preserve">The contact point for this submission is AUSTRAC’s Government Relations </w:t>
      </w:r>
      <w:r w:rsidR="00C915E2">
        <w:rPr>
          <w:szCs w:val="24"/>
        </w:rPr>
        <w:t>team</w:t>
      </w:r>
      <w:r w:rsidRPr="005D0EB6">
        <w:rPr>
          <w:szCs w:val="24"/>
        </w:rPr>
        <w:t xml:space="preserve">. If you have any questions about the submission, or require further information, please email </w:t>
      </w:r>
      <w:hyperlink r:id="rId8" w:history="1">
        <w:r w:rsidR="00F96CCC" w:rsidRPr="004447C2">
          <w:rPr>
            <w:rStyle w:val="Hyperlink"/>
            <w:szCs w:val="24"/>
          </w:rPr>
          <w:t>government_relations@austrac.gov.au</w:t>
        </w:r>
      </w:hyperlink>
      <w:r w:rsidRPr="005D0EB6">
        <w:rPr>
          <w:szCs w:val="24"/>
        </w:rPr>
        <w:t>.</w:t>
      </w:r>
    </w:p>
    <w:p w14:paraId="20EBC56D" w14:textId="77777777" w:rsidR="00F96CCC" w:rsidRPr="005D0EB6" w:rsidRDefault="00F96CCC" w:rsidP="003B7C51">
      <w:pPr>
        <w:rPr>
          <w:szCs w:val="24"/>
        </w:rPr>
      </w:pPr>
    </w:p>
    <w:p w14:paraId="3C5DB63C" w14:textId="77777777" w:rsidR="00F96CCC" w:rsidRDefault="00F96CCC" w:rsidP="003B7C51">
      <w:pPr>
        <w:rPr>
          <w:szCs w:val="24"/>
        </w:rPr>
      </w:pPr>
    </w:p>
    <w:p w14:paraId="10236AE9" w14:textId="1D2F585D" w:rsidR="000E3B0D" w:rsidRDefault="000E3B0D" w:rsidP="003B7C51">
      <w:pPr>
        <w:rPr>
          <w:szCs w:val="24"/>
        </w:rPr>
      </w:pPr>
      <w:r w:rsidRPr="000E3B0D">
        <w:rPr>
          <w:szCs w:val="24"/>
        </w:rPr>
        <w:t xml:space="preserve">AUSTRAC offers the following observations arising from the </w:t>
      </w:r>
      <w:r w:rsidR="005D0EB6">
        <w:rPr>
          <w:szCs w:val="24"/>
        </w:rPr>
        <w:t>January 2019 consultation paper</w:t>
      </w:r>
      <w:r w:rsidRPr="000E3B0D">
        <w:rPr>
          <w:szCs w:val="24"/>
        </w:rPr>
        <w:t xml:space="preserve"> for your consideration.</w:t>
      </w:r>
    </w:p>
    <w:p w14:paraId="39C92810" w14:textId="77777777" w:rsidR="000E3B0D" w:rsidRPr="00C47D2F" w:rsidRDefault="000E3B0D" w:rsidP="00C47D2F">
      <w:pPr>
        <w:pStyle w:val="Heading3"/>
      </w:pPr>
      <w:r w:rsidRPr="00C47D2F">
        <w:t xml:space="preserve">Money laundering and </w:t>
      </w:r>
      <w:r w:rsidR="00C47D2F" w:rsidRPr="00C47D2F">
        <w:t>sharing economy platforms</w:t>
      </w:r>
    </w:p>
    <w:p w14:paraId="7512C939" w14:textId="761183AA" w:rsidR="00C47D2F" w:rsidRDefault="00C47D2F" w:rsidP="003B7C51">
      <w:pPr>
        <w:rPr>
          <w:szCs w:val="24"/>
        </w:rPr>
      </w:pPr>
      <w:r w:rsidRPr="00C47D2F">
        <w:rPr>
          <w:szCs w:val="24"/>
        </w:rPr>
        <w:t xml:space="preserve">There are circumstances now emerging globally where sharing economy platforms (e.g. Airbnb, Uber) are being exploited for money laundering purposes, usually involving complicit employees involved with criminals domiciled in another jurisdiction. Furthermore, there </w:t>
      </w:r>
      <w:r w:rsidR="00085487">
        <w:rPr>
          <w:szCs w:val="24"/>
        </w:rPr>
        <w:t>are</w:t>
      </w:r>
      <w:r w:rsidRPr="00C47D2F">
        <w:rPr>
          <w:szCs w:val="24"/>
        </w:rPr>
        <w:t xml:space="preserve"> research</w:t>
      </w:r>
      <w:r w:rsidR="00085487">
        <w:rPr>
          <w:szCs w:val="24"/>
        </w:rPr>
        <w:t xml:space="preserve"> and press articles</w:t>
      </w:r>
      <w:r w:rsidRPr="00C47D2F">
        <w:rPr>
          <w:szCs w:val="24"/>
        </w:rPr>
        <w:t xml:space="preserve"> that ha</w:t>
      </w:r>
      <w:r w:rsidR="00085487">
        <w:rPr>
          <w:szCs w:val="24"/>
        </w:rPr>
        <w:t>ve</w:t>
      </w:r>
      <w:r w:rsidRPr="00C47D2F">
        <w:rPr>
          <w:szCs w:val="24"/>
        </w:rPr>
        <w:t xml:space="preserve"> identified </w:t>
      </w:r>
      <w:r w:rsidRPr="00C47D2F">
        <w:rPr>
          <w:i/>
          <w:szCs w:val="24"/>
        </w:rPr>
        <w:t>micro-laundering</w:t>
      </w:r>
      <w:r w:rsidRPr="00C47D2F">
        <w:rPr>
          <w:szCs w:val="24"/>
        </w:rPr>
        <w:t xml:space="preserve"> </w:t>
      </w:r>
      <w:r w:rsidR="00A56ABF">
        <w:rPr>
          <w:szCs w:val="24"/>
        </w:rPr>
        <w:t>using</w:t>
      </w:r>
      <w:r w:rsidR="00A56ABF" w:rsidRPr="00C47D2F">
        <w:rPr>
          <w:szCs w:val="24"/>
        </w:rPr>
        <w:t xml:space="preserve"> </w:t>
      </w:r>
      <w:r w:rsidRPr="00C47D2F">
        <w:rPr>
          <w:szCs w:val="24"/>
        </w:rPr>
        <w:t xml:space="preserve">sharing </w:t>
      </w:r>
      <w:r w:rsidR="005A2E0A">
        <w:rPr>
          <w:szCs w:val="24"/>
        </w:rPr>
        <w:t xml:space="preserve">economy </w:t>
      </w:r>
      <w:r w:rsidRPr="00C47D2F">
        <w:rPr>
          <w:szCs w:val="24"/>
        </w:rPr>
        <w:t>platforms</w:t>
      </w:r>
      <w:r w:rsidR="00CA3C72">
        <w:rPr>
          <w:szCs w:val="24"/>
        </w:rPr>
        <w:t>.</w:t>
      </w:r>
      <w:r w:rsidRPr="00C47D2F">
        <w:rPr>
          <w:szCs w:val="24"/>
        </w:rPr>
        <w:t xml:space="preserve"> </w:t>
      </w:r>
      <w:r w:rsidR="00CA3C72">
        <w:rPr>
          <w:szCs w:val="24"/>
        </w:rPr>
        <w:t>This</w:t>
      </w:r>
      <w:r w:rsidRPr="00C47D2F">
        <w:rPr>
          <w:szCs w:val="24"/>
        </w:rPr>
        <w:t xml:space="preserve"> involves </w:t>
      </w:r>
      <w:r w:rsidR="00CA3C72">
        <w:rPr>
          <w:szCs w:val="24"/>
        </w:rPr>
        <w:t>laundering</w:t>
      </w:r>
      <w:r w:rsidR="00CA3C72" w:rsidRPr="00C47D2F">
        <w:rPr>
          <w:szCs w:val="24"/>
        </w:rPr>
        <w:t xml:space="preserve"> </w:t>
      </w:r>
      <w:r w:rsidRPr="00C47D2F">
        <w:rPr>
          <w:szCs w:val="24"/>
        </w:rPr>
        <w:t xml:space="preserve">a sum of money by scattering it over </w:t>
      </w:r>
      <w:r w:rsidR="00964BBA">
        <w:rPr>
          <w:szCs w:val="24"/>
        </w:rPr>
        <w:t>many</w:t>
      </w:r>
      <w:r w:rsidRPr="00C47D2F">
        <w:rPr>
          <w:szCs w:val="24"/>
        </w:rPr>
        <w:t xml:space="preserve"> electronic transactions</w:t>
      </w:r>
      <w:r w:rsidR="00CA3C72">
        <w:rPr>
          <w:rStyle w:val="FootnoteReference"/>
          <w:szCs w:val="24"/>
        </w:rPr>
        <w:footnoteReference w:id="1"/>
      </w:r>
      <w:r w:rsidR="00085487" w:rsidRPr="00964BBA">
        <w:rPr>
          <w:szCs w:val="24"/>
          <w:vertAlign w:val="superscript"/>
        </w:rPr>
        <w:t>,</w:t>
      </w:r>
      <w:r w:rsidR="00085487">
        <w:rPr>
          <w:rStyle w:val="FootnoteReference"/>
          <w:szCs w:val="24"/>
        </w:rPr>
        <w:footnoteReference w:id="2"/>
      </w:r>
      <w:r w:rsidRPr="00C47D2F">
        <w:rPr>
          <w:szCs w:val="24"/>
        </w:rPr>
        <w:t xml:space="preserve">. </w:t>
      </w:r>
    </w:p>
    <w:p w14:paraId="6CBE809F" w14:textId="4359EDAF" w:rsidR="00C47D2F" w:rsidRDefault="00C47D2F" w:rsidP="003B7C51">
      <w:pPr>
        <w:rPr>
          <w:szCs w:val="24"/>
        </w:rPr>
      </w:pPr>
      <w:r>
        <w:rPr>
          <w:szCs w:val="24"/>
        </w:rPr>
        <w:t xml:space="preserve">AUSTRAC continues to closely monitor developments in sharing economy payment platforms </w:t>
      </w:r>
      <w:r w:rsidRPr="00C47D2F">
        <w:rPr>
          <w:szCs w:val="24"/>
        </w:rPr>
        <w:t>to ensure that gaps are not emerging under the AML/CTF framework that enable these se</w:t>
      </w:r>
      <w:r>
        <w:rPr>
          <w:szCs w:val="24"/>
        </w:rPr>
        <w:t>rvices to be exploited for money laundering (ML) and terrorism financing (TF)</w:t>
      </w:r>
      <w:r w:rsidRPr="00C47D2F">
        <w:rPr>
          <w:szCs w:val="24"/>
        </w:rPr>
        <w:t xml:space="preserve"> purposes</w:t>
      </w:r>
      <w:r>
        <w:rPr>
          <w:rStyle w:val="FootnoteReference"/>
          <w:szCs w:val="24"/>
        </w:rPr>
        <w:footnoteReference w:id="3"/>
      </w:r>
      <w:r w:rsidRPr="00C47D2F">
        <w:rPr>
          <w:szCs w:val="24"/>
        </w:rPr>
        <w:t>.</w:t>
      </w:r>
    </w:p>
    <w:p w14:paraId="635949C6" w14:textId="77777777" w:rsidR="00C47D2F" w:rsidRPr="00EF1485" w:rsidRDefault="00EF1485" w:rsidP="00EF1485">
      <w:pPr>
        <w:pStyle w:val="Heading3"/>
      </w:pPr>
      <w:r w:rsidRPr="00EF1485">
        <w:lastRenderedPageBreak/>
        <w:t>Responses to consultation questions</w:t>
      </w:r>
    </w:p>
    <w:p w14:paraId="73700E10" w14:textId="77777777" w:rsidR="00EF1485" w:rsidRDefault="00EF1485" w:rsidP="003B7C51">
      <w:pPr>
        <w:rPr>
          <w:szCs w:val="24"/>
        </w:rPr>
      </w:pPr>
      <w:r>
        <w:rPr>
          <w:szCs w:val="24"/>
        </w:rPr>
        <w:t>The responses below are offered to questions most relevant to AUSTRAC.</w:t>
      </w:r>
    </w:p>
    <w:p w14:paraId="2CD8738D" w14:textId="77777777" w:rsidR="00EF1485" w:rsidRPr="00364E2E" w:rsidRDefault="00EF1485" w:rsidP="003B7C51">
      <w:pPr>
        <w:rPr>
          <w:b/>
          <w:szCs w:val="24"/>
        </w:rPr>
      </w:pPr>
      <w:r w:rsidRPr="00364E2E">
        <w:rPr>
          <w:b/>
          <w:i/>
          <w:szCs w:val="24"/>
        </w:rPr>
        <w:t>Question 1:</w:t>
      </w:r>
      <w:r w:rsidRPr="00364E2E">
        <w:rPr>
          <w:b/>
          <w:szCs w:val="24"/>
        </w:rPr>
        <w:t xml:space="preserve"> </w:t>
      </w:r>
      <w:r w:rsidRPr="00364E2E">
        <w:rPr>
          <w:b/>
          <w:i/>
          <w:szCs w:val="24"/>
        </w:rPr>
        <w:t>Does there need to be changes to existing reporting requirements as they relate to sellers in the sharing economy? Is a separate reporting regime required?</w:t>
      </w:r>
    </w:p>
    <w:p w14:paraId="06D5A5E4" w14:textId="77777777" w:rsidR="00364E2E" w:rsidRDefault="00EF1485" w:rsidP="00EF1485">
      <w:r>
        <w:rPr>
          <w:szCs w:val="24"/>
        </w:rPr>
        <w:t>AUSTRAC supports the introduction of a reporting regime with a preference for Option 1.</w:t>
      </w:r>
      <w:r w:rsidRPr="00EF1485">
        <w:t xml:space="preserve"> </w:t>
      </w:r>
    </w:p>
    <w:p w14:paraId="4D49E21C" w14:textId="77777777" w:rsidR="00364E2E" w:rsidRDefault="00364E2E" w:rsidP="00364E2E">
      <w:pPr>
        <w:rPr>
          <w:szCs w:val="24"/>
        </w:rPr>
      </w:pPr>
      <w:r>
        <w:rPr>
          <w:szCs w:val="24"/>
        </w:rPr>
        <w:t xml:space="preserve">The ATO currently collects information from various businesses on employee wage payments, financial </w:t>
      </w:r>
      <w:proofErr w:type="gramStart"/>
      <w:r>
        <w:rPr>
          <w:szCs w:val="24"/>
        </w:rPr>
        <w:t>activity</w:t>
      </w:r>
      <w:proofErr w:type="gramEnd"/>
      <w:r>
        <w:rPr>
          <w:szCs w:val="24"/>
        </w:rPr>
        <w:t xml:space="preserve"> and investment dividends. Extending the collection of information to sharing economy businesses would be consistent with current </w:t>
      </w:r>
      <w:r w:rsidR="0051580E">
        <w:rPr>
          <w:szCs w:val="24"/>
        </w:rPr>
        <w:t xml:space="preserve">ATO </w:t>
      </w:r>
      <w:r>
        <w:rPr>
          <w:szCs w:val="24"/>
        </w:rPr>
        <w:t>practices.</w:t>
      </w:r>
    </w:p>
    <w:p w14:paraId="37E6E716" w14:textId="24C4C662" w:rsidR="009328A0" w:rsidRDefault="009328A0" w:rsidP="00EF1485">
      <w:pPr>
        <w:rPr>
          <w:szCs w:val="24"/>
        </w:rPr>
      </w:pPr>
      <w:r>
        <w:rPr>
          <w:szCs w:val="24"/>
        </w:rPr>
        <w:t>AUSTRAC recognises that</w:t>
      </w:r>
      <w:r w:rsidR="00EF1485" w:rsidRPr="00EF1485">
        <w:rPr>
          <w:szCs w:val="24"/>
        </w:rPr>
        <w:t xml:space="preserve"> </w:t>
      </w:r>
      <w:r w:rsidR="00364E2E">
        <w:rPr>
          <w:szCs w:val="24"/>
        </w:rPr>
        <w:t>O</w:t>
      </w:r>
      <w:r w:rsidR="00EF1485" w:rsidRPr="00EF1485">
        <w:rPr>
          <w:szCs w:val="24"/>
        </w:rPr>
        <w:t>ption</w:t>
      </w:r>
      <w:r w:rsidR="00364E2E">
        <w:rPr>
          <w:szCs w:val="24"/>
        </w:rPr>
        <w:t xml:space="preserve"> 1</w:t>
      </w:r>
      <w:r w:rsidR="00EF1485" w:rsidRPr="00EF1485">
        <w:rPr>
          <w:szCs w:val="24"/>
        </w:rPr>
        <w:t xml:space="preserve"> may require infrastructure changes</w:t>
      </w:r>
      <w:r>
        <w:rPr>
          <w:szCs w:val="24"/>
        </w:rPr>
        <w:t xml:space="preserve"> and</w:t>
      </w:r>
      <w:r w:rsidR="00EF1485" w:rsidRPr="00EF1485">
        <w:rPr>
          <w:szCs w:val="24"/>
        </w:rPr>
        <w:t xml:space="preserve"> impose compliance costs on businesses</w:t>
      </w:r>
      <w:r>
        <w:rPr>
          <w:szCs w:val="24"/>
        </w:rPr>
        <w:t>. However,</w:t>
      </w:r>
      <w:r w:rsidR="00EF1485" w:rsidRPr="00EF1485">
        <w:rPr>
          <w:szCs w:val="24"/>
        </w:rPr>
        <w:t xml:space="preserve"> </w:t>
      </w:r>
      <w:r>
        <w:rPr>
          <w:szCs w:val="24"/>
        </w:rPr>
        <w:t xml:space="preserve">AUSTRAC consider that </w:t>
      </w:r>
      <w:r w:rsidR="00EF1485" w:rsidRPr="00EF1485">
        <w:rPr>
          <w:szCs w:val="24"/>
        </w:rPr>
        <w:t xml:space="preserve">Option 2 is </w:t>
      </w:r>
      <w:r>
        <w:rPr>
          <w:szCs w:val="24"/>
        </w:rPr>
        <w:t>less</w:t>
      </w:r>
      <w:r w:rsidR="00EF1485" w:rsidRPr="00EF1485">
        <w:rPr>
          <w:szCs w:val="24"/>
        </w:rPr>
        <w:t xml:space="preserve"> desirable because</w:t>
      </w:r>
      <w:r>
        <w:rPr>
          <w:szCs w:val="24"/>
        </w:rPr>
        <w:t xml:space="preserve"> of the</w:t>
      </w:r>
      <w:r w:rsidR="00EF1485" w:rsidRPr="00EF1485">
        <w:rPr>
          <w:szCs w:val="24"/>
        </w:rPr>
        <w:t xml:space="preserve"> costs </w:t>
      </w:r>
      <w:r w:rsidR="00EB4273">
        <w:rPr>
          <w:szCs w:val="24"/>
        </w:rPr>
        <w:t xml:space="preserve">that </w:t>
      </w:r>
      <w:r w:rsidR="00EF1485" w:rsidRPr="00EF1485">
        <w:rPr>
          <w:szCs w:val="24"/>
        </w:rPr>
        <w:t xml:space="preserve">would be incurred by financial institutions, suitable datasets are not currently </w:t>
      </w:r>
      <w:proofErr w:type="gramStart"/>
      <w:r w:rsidR="00EF1485" w:rsidRPr="00EF1485">
        <w:rPr>
          <w:szCs w:val="24"/>
        </w:rPr>
        <w:t>available</w:t>
      </w:r>
      <w:proofErr w:type="gramEnd"/>
      <w:r w:rsidR="00EF1485" w:rsidRPr="00EF1485">
        <w:rPr>
          <w:szCs w:val="24"/>
        </w:rPr>
        <w:t xml:space="preserve"> and industry has indicated there would be obstacles in isolating transactions with a sufficient level of detail.</w:t>
      </w:r>
    </w:p>
    <w:p w14:paraId="2674348D" w14:textId="35450F8F" w:rsidR="00EF1485" w:rsidRPr="00EF1485" w:rsidRDefault="009328A0" w:rsidP="00EF1485">
      <w:pPr>
        <w:rPr>
          <w:szCs w:val="24"/>
        </w:rPr>
      </w:pPr>
      <w:r>
        <w:rPr>
          <w:szCs w:val="24"/>
        </w:rPr>
        <w:t>W</w:t>
      </w:r>
      <w:r w:rsidR="000D4229">
        <w:rPr>
          <w:szCs w:val="24"/>
        </w:rPr>
        <w:t>hile preferring Option 1, w</w:t>
      </w:r>
      <w:r>
        <w:rPr>
          <w:szCs w:val="24"/>
        </w:rPr>
        <w:t xml:space="preserve">e note that in some cases </w:t>
      </w:r>
      <w:r w:rsidR="000D4229">
        <w:rPr>
          <w:szCs w:val="24"/>
        </w:rPr>
        <w:t xml:space="preserve">this option </w:t>
      </w:r>
      <w:r w:rsidRPr="00EF1485">
        <w:rPr>
          <w:szCs w:val="24"/>
        </w:rPr>
        <w:t>could create an uneven playing field between domestic and international platform operators</w:t>
      </w:r>
      <w:r>
        <w:rPr>
          <w:szCs w:val="24"/>
        </w:rPr>
        <w:t>. This creates</w:t>
      </w:r>
      <w:r w:rsidR="00364E2E">
        <w:rPr>
          <w:szCs w:val="24"/>
        </w:rPr>
        <w:t xml:space="preserve"> </w:t>
      </w:r>
      <w:r>
        <w:rPr>
          <w:szCs w:val="24"/>
        </w:rPr>
        <w:t xml:space="preserve">the </w:t>
      </w:r>
      <w:r w:rsidR="00364E2E">
        <w:rPr>
          <w:szCs w:val="24"/>
        </w:rPr>
        <w:t xml:space="preserve">potential for displacement </w:t>
      </w:r>
      <w:r>
        <w:rPr>
          <w:szCs w:val="24"/>
        </w:rPr>
        <w:t xml:space="preserve">of customers, and the associated </w:t>
      </w:r>
      <w:r w:rsidR="000D4229">
        <w:rPr>
          <w:szCs w:val="24"/>
        </w:rPr>
        <w:t xml:space="preserve">tax evasion and other financial crime risks, </w:t>
      </w:r>
      <w:r w:rsidR="00364E2E">
        <w:rPr>
          <w:szCs w:val="24"/>
        </w:rPr>
        <w:t>from domestic to intern</w:t>
      </w:r>
      <w:r w:rsidR="0051580E">
        <w:rPr>
          <w:szCs w:val="24"/>
        </w:rPr>
        <w:t>ational platforms for some sharing economy services</w:t>
      </w:r>
      <w:r w:rsidR="00364E2E">
        <w:rPr>
          <w:szCs w:val="24"/>
        </w:rPr>
        <w:t>.</w:t>
      </w:r>
    </w:p>
    <w:p w14:paraId="5310B9AC" w14:textId="77777777" w:rsidR="00EF1485" w:rsidRPr="00364E2E" w:rsidRDefault="00EF1485" w:rsidP="003B7C51">
      <w:pPr>
        <w:rPr>
          <w:b/>
          <w:szCs w:val="24"/>
        </w:rPr>
      </w:pPr>
      <w:r w:rsidRPr="00364E2E">
        <w:rPr>
          <w:b/>
          <w:i/>
          <w:szCs w:val="24"/>
        </w:rPr>
        <w:t>Question 8: What information should be provided to the ATO and potentially shared with other agencies by the ATO?</w:t>
      </w:r>
    </w:p>
    <w:p w14:paraId="41E960D9" w14:textId="490B5063" w:rsidR="000D4229" w:rsidRDefault="000D4229" w:rsidP="000D4229">
      <w:pPr>
        <w:rPr>
          <w:szCs w:val="24"/>
        </w:rPr>
      </w:pPr>
      <w:r>
        <w:rPr>
          <w:szCs w:val="24"/>
        </w:rPr>
        <w:t>Where available, AUSTRAC suggests that the ATO should collect the following details on the seller and customer (if known):</w:t>
      </w:r>
    </w:p>
    <w:p w14:paraId="31354AF6" w14:textId="77777777" w:rsidR="000D4229" w:rsidRPr="0088537B" w:rsidRDefault="000D4229" w:rsidP="000D4229">
      <w:pPr>
        <w:pStyle w:val="ListParagraph"/>
        <w:numPr>
          <w:ilvl w:val="0"/>
          <w:numId w:val="6"/>
        </w:numPr>
        <w:rPr>
          <w:szCs w:val="24"/>
        </w:rPr>
      </w:pPr>
      <w:r w:rsidRPr="0088537B">
        <w:rPr>
          <w:szCs w:val="24"/>
        </w:rPr>
        <w:t>Full name</w:t>
      </w:r>
    </w:p>
    <w:p w14:paraId="648988F2" w14:textId="77777777" w:rsidR="000D4229" w:rsidRPr="0088537B" w:rsidRDefault="000D4229" w:rsidP="000D4229">
      <w:pPr>
        <w:pStyle w:val="ListParagraph"/>
        <w:numPr>
          <w:ilvl w:val="0"/>
          <w:numId w:val="6"/>
        </w:numPr>
        <w:rPr>
          <w:szCs w:val="24"/>
        </w:rPr>
      </w:pPr>
      <w:r w:rsidRPr="0088537B">
        <w:rPr>
          <w:szCs w:val="24"/>
        </w:rPr>
        <w:t>Address (street, suburb, state, postcode)</w:t>
      </w:r>
    </w:p>
    <w:p w14:paraId="0B5793FE" w14:textId="77777777" w:rsidR="000D4229" w:rsidRPr="0088537B" w:rsidRDefault="000D4229" w:rsidP="000D4229">
      <w:pPr>
        <w:pStyle w:val="ListParagraph"/>
        <w:numPr>
          <w:ilvl w:val="0"/>
          <w:numId w:val="6"/>
        </w:numPr>
        <w:rPr>
          <w:szCs w:val="24"/>
        </w:rPr>
      </w:pPr>
      <w:r w:rsidRPr="0088537B">
        <w:rPr>
          <w:szCs w:val="24"/>
        </w:rPr>
        <w:t>Date of birth</w:t>
      </w:r>
    </w:p>
    <w:p w14:paraId="39D53637" w14:textId="06A6C691" w:rsidR="000D4229" w:rsidRDefault="000D4229" w:rsidP="000D4229">
      <w:pPr>
        <w:pStyle w:val="ListParagraph"/>
        <w:numPr>
          <w:ilvl w:val="0"/>
          <w:numId w:val="6"/>
        </w:numPr>
        <w:rPr>
          <w:szCs w:val="24"/>
        </w:rPr>
      </w:pPr>
      <w:r w:rsidRPr="0088537B">
        <w:rPr>
          <w:szCs w:val="24"/>
        </w:rPr>
        <w:t>BSB and bank account number</w:t>
      </w:r>
    </w:p>
    <w:p w14:paraId="471C6A3D" w14:textId="4AA76429" w:rsidR="0085326D" w:rsidRDefault="0085326D" w:rsidP="000D4229">
      <w:pPr>
        <w:pStyle w:val="ListParagraph"/>
        <w:numPr>
          <w:ilvl w:val="0"/>
          <w:numId w:val="6"/>
        </w:numPr>
        <w:rPr>
          <w:szCs w:val="24"/>
        </w:rPr>
      </w:pPr>
      <w:r>
        <w:rPr>
          <w:szCs w:val="24"/>
        </w:rPr>
        <w:t>Credit card number</w:t>
      </w:r>
    </w:p>
    <w:p w14:paraId="438DA5A3" w14:textId="77777777" w:rsidR="000D4229" w:rsidRPr="0088537B" w:rsidRDefault="000D4229" w:rsidP="000D4229">
      <w:pPr>
        <w:pStyle w:val="ListParagraph"/>
        <w:numPr>
          <w:ilvl w:val="0"/>
          <w:numId w:val="6"/>
        </w:numPr>
        <w:rPr>
          <w:szCs w:val="24"/>
        </w:rPr>
      </w:pPr>
      <w:r>
        <w:rPr>
          <w:szCs w:val="24"/>
        </w:rPr>
        <w:t>Sharing platform account number/unique identifier/</w:t>
      </w:r>
      <w:proofErr w:type="gramStart"/>
      <w:r>
        <w:rPr>
          <w:szCs w:val="24"/>
        </w:rPr>
        <w:t>user name</w:t>
      </w:r>
      <w:proofErr w:type="gramEnd"/>
      <w:r>
        <w:rPr>
          <w:szCs w:val="24"/>
        </w:rPr>
        <w:t xml:space="preserve">  </w:t>
      </w:r>
    </w:p>
    <w:p w14:paraId="2C1826E6" w14:textId="16B83451" w:rsidR="000D4229" w:rsidRDefault="000D4229" w:rsidP="000D4229">
      <w:pPr>
        <w:pStyle w:val="ListParagraph"/>
        <w:numPr>
          <w:ilvl w:val="0"/>
          <w:numId w:val="6"/>
        </w:numPr>
        <w:rPr>
          <w:szCs w:val="24"/>
        </w:rPr>
      </w:pPr>
      <w:r w:rsidRPr="0088537B">
        <w:rPr>
          <w:szCs w:val="24"/>
        </w:rPr>
        <w:t>Australian Business Number</w:t>
      </w:r>
      <w:r w:rsidR="0012385F">
        <w:rPr>
          <w:szCs w:val="24"/>
        </w:rPr>
        <w:t xml:space="preserve"> / Australian Company Number</w:t>
      </w:r>
    </w:p>
    <w:p w14:paraId="35990060" w14:textId="37F7D520" w:rsidR="000D4229" w:rsidRPr="0088537B" w:rsidRDefault="000D4229" w:rsidP="000D4229">
      <w:pPr>
        <w:pStyle w:val="ListParagraph"/>
        <w:numPr>
          <w:ilvl w:val="0"/>
          <w:numId w:val="6"/>
        </w:numPr>
        <w:rPr>
          <w:szCs w:val="24"/>
        </w:rPr>
      </w:pPr>
      <w:r>
        <w:rPr>
          <w:szCs w:val="24"/>
        </w:rPr>
        <w:t>Australian Tax File Number</w:t>
      </w:r>
    </w:p>
    <w:p w14:paraId="49B02CE7" w14:textId="77777777" w:rsidR="000D4229" w:rsidRPr="0088537B" w:rsidRDefault="000D4229" w:rsidP="000D4229">
      <w:pPr>
        <w:pStyle w:val="ListParagraph"/>
        <w:numPr>
          <w:ilvl w:val="0"/>
          <w:numId w:val="6"/>
        </w:numPr>
        <w:rPr>
          <w:szCs w:val="24"/>
        </w:rPr>
      </w:pPr>
      <w:r w:rsidRPr="0088537B">
        <w:rPr>
          <w:szCs w:val="24"/>
        </w:rPr>
        <w:t>Product/service offered</w:t>
      </w:r>
    </w:p>
    <w:p w14:paraId="06B78572" w14:textId="77777777" w:rsidR="000D4229" w:rsidRPr="0088537B" w:rsidRDefault="000D4229" w:rsidP="000D4229">
      <w:pPr>
        <w:pStyle w:val="ListParagraph"/>
        <w:numPr>
          <w:ilvl w:val="0"/>
          <w:numId w:val="6"/>
        </w:numPr>
        <w:rPr>
          <w:szCs w:val="24"/>
        </w:rPr>
      </w:pPr>
      <w:r w:rsidRPr="0088537B">
        <w:rPr>
          <w:szCs w:val="24"/>
        </w:rPr>
        <w:t>Phone number</w:t>
      </w:r>
    </w:p>
    <w:p w14:paraId="49870CA1" w14:textId="77777777" w:rsidR="000D4229" w:rsidRPr="0088537B" w:rsidRDefault="000D4229" w:rsidP="000D4229">
      <w:pPr>
        <w:pStyle w:val="ListParagraph"/>
        <w:numPr>
          <w:ilvl w:val="0"/>
          <w:numId w:val="6"/>
        </w:numPr>
        <w:rPr>
          <w:szCs w:val="24"/>
        </w:rPr>
      </w:pPr>
      <w:r w:rsidRPr="0088537B">
        <w:rPr>
          <w:szCs w:val="24"/>
        </w:rPr>
        <w:t xml:space="preserve">Email address </w:t>
      </w:r>
    </w:p>
    <w:p w14:paraId="5CFC4864" w14:textId="129EDD8A" w:rsidR="000D4229" w:rsidRDefault="000D4229" w:rsidP="000D4229">
      <w:pPr>
        <w:rPr>
          <w:szCs w:val="24"/>
        </w:rPr>
      </w:pPr>
      <w:r>
        <w:rPr>
          <w:szCs w:val="24"/>
        </w:rPr>
        <w:t xml:space="preserve">There may also be value in collecting information relevant to online activity such as IP addresses, MAC addresses and IMEI numbers. These data points are currently able to be reported to AUSTRAC by digital currency exchanges in transaction reports and suspicious </w:t>
      </w:r>
      <w:r>
        <w:rPr>
          <w:szCs w:val="24"/>
        </w:rPr>
        <w:lastRenderedPageBreak/>
        <w:t>matter reports and may prove valuable in matching the information reported to the ATO against AUSTRAC’s holdings.</w:t>
      </w:r>
    </w:p>
    <w:p w14:paraId="2C28BEA3" w14:textId="6AEFF360" w:rsidR="00A56ABF" w:rsidRDefault="00A56ABF" w:rsidP="003B7C51">
      <w:pPr>
        <w:rPr>
          <w:szCs w:val="24"/>
        </w:rPr>
      </w:pPr>
      <w:r>
        <w:rPr>
          <w:szCs w:val="24"/>
        </w:rPr>
        <w:t xml:space="preserve">Section 125 of the AML/CTF Act states the Commissioner of Taxation and any taxation officer is entitled to access AUSTRAC information for any purpose related to the facilitation of the administration or enforcement of a taxation law. </w:t>
      </w:r>
    </w:p>
    <w:p w14:paraId="43AFDB05" w14:textId="1F874BFE" w:rsidR="00364E2E" w:rsidRDefault="00364E2E" w:rsidP="003B7C51">
      <w:pPr>
        <w:rPr>
          <w:szCs w:val="24"/>
        </w:rPr>
      </w:pPr>
      <w:r w:rsidRPr="00364E2E">
        <w:rPr>
          <w:szCs w:val="24"/>
        </w:rPr>
        <w:t xml:space="preserve">AUSTRAC </w:t>
      </w:r>
      <w:r w:rsidR="000D4229">
        <w:rPr>
          <w:szCs w:val="24"/>
        </w:rPr>
        <w:t>could</w:t>
      </w:r>
      <w:r w:rsidRPr="00364E2E">
        <w:rPr>
          <w:szCs w:val="24"/>
        </w:rPr>
        <w:t xml:space="preserve"> support the ATO through the provision and sharing of AUSTRAC information that either supplement</w:t>
      </w:r>
      <w:r w:rsidR="000D4229">
        <w:rPr>
          <w:szCs w:val="24"/>
        </w:rPr>
        <w:t>s</w:t>
      </w:r>
      <w:r w:rsidRPr="00364E2E">
        <w:rPr>
          <w:szCs w:val="24"/>
        </w:rPr>
        <w:t xml:space="preserve"> or complement</w:t>
      </w:r>
      <w:r w:rsidR="000D4229">
        <w:rPr>
          <w:szCs w:val="24"/>
        </w:rPr>
        <w:t>s</w:t>
      </w:r>
      <w:r w:rsidRPr="00364E2E">
        <w:rPr>
          <w:szCs w:val="24"/>
        </w:rPr>
        <w:t xml:space="preserve"> ATO information</w:t>
      </w:r>
      <w:r w:rsidR="000D4229">
        <w:rPr>
          <w:szCs w:val="24"/>
        </w:rPr>
        <w:t>, f</w:t>
      </w:r>
      <w:r>
        <w:rPr>
          <w:szCs w:val="24"/>
        </w:rPr>
        <w:t>or example, in data matching exercises.</w:t>
      </w:r>
      <w:r w:rsidR="00A56ABF">
        <w:rPr>
          <w:szCs w:val="24"/>
        </w:rPr>
        <w:t xml:space="preserve"> </w:t>
      </w:r>
    </w:p>
    <w:p w14:paraId="412E7518" w14:textId="77777777" w:rsidR="00EF1485" w:rsidRPr="0088537B" w:rsidRDefault="00EF1485" w:rsidP="003B7C51">
      <w:pPr>
        <w:rPr>
          <w:b/>
          <w:szCs w:val="24"/>
        </w:rPr>
      </w:pPr>
      <w:r w:rsidRPr="0088537B">
        <w:rPr>
          <w:b/>
          <w:i/>
          <w:szCs w:val="24"/>
        </w:rPr>
        <w:t>Question 10:</w:t>
      </w:r>
      <w:r w:rsidRPr="0088537B">
        <w:rPr>
          <w:b/>
          <w:szCs w:val="24"/>
        </w:rPr>
        <w:t xml:space="preserve"> </w:t>
      </w:r>
      <w:r w:rsidRPr="0088537B">
        <w:rPr>
          <w:b/>
          <w:i/>
          <w:szCs w:val="24"/>
        </w:rPr>
        <w:t>What types of activities and transactions undertaken through a sharing economy platform should be reported? Should it be the responsibility of the platform to report this information?</w:t>
      </w:r>
    </w:p>
    <w:p w14:paraId="2E4EF0DD" w14:textId="09CD0CBF" w:rsidR="00B174B5" w:rsidRPr="00B174B5" w:rsidRDefault="00B174B5" w:rsidP="00B174B5">
      <w:pPr>
        <w:rPr>
          <w:szCs w:val="24"/>
        </w:rPr>
      </w:pPr>
      <w:r w:rsidRPr="00B174B5">
        <w:rPr>
          <w:szCs w:val="24"/>
        </w:rPr>
        <w:t xml:space="preserve">Any activity between </w:t>
      </w:r>
      <w:r>
        <w:rPr>
          <w:szCs w:val="24"/>
        </w:rPr>
        <w:t xml:space="preserve">the seller and </w:t>
      </w:r>
      <w:r w:rsidRPr="00B174B5">
        <w:rPr>
          <w:szCs w:val="24"/>
        </w:rPr>
        <w:t>customer where payments are made</w:t>
      </w:r>
      <w:r>
        <w:rPr>
          <w:szCs w:val="24"/>
        </w:rPr>
        <w:t xml:space="preserve"> should be reported</w:t>
      </w:r>
      <w:r w:rsidRPr="00B174B5">
        <w:rPr>
          <w:szCs w:val="24"/>
        </w:rPr>
        <w:t>.</w:t>
      </w:r>
      <w:r w:rsidR="00102B9C">
        <w:rPr>
          <w:szCs w:val="24"/>
        </w:rPr>
        <w:t xml:space="preserve"> The reporting of fees or commissions paid to the platform associated with each activity or transaction would increase the transparency of payments.     </w:t>
      </w:r>
    </w:p>
    <w:p w14:paraId="257B0B47" w14:textId="7AA288FA" w:rsidR="00EF1485" w:rsidRDefault="00B174B5" w:rsidP="003B7C51">
      <w:pPr>
        <w:rPr>
          <w:szCs w:val="24"/>
        </w:rPr>
      </w:pPr>
      <w:r>
        <w:rPr>
          <w:szCs w:val="24"/>
        </w:rPr>
        <w:t>AUSTRAC considers that it should be the responsibility of the platform to report the information.</w:t>
      </w:r>
      <w:r w:rsidR="00D806B7">
        <w:rPr>
          <w:szCs w:val="24"/>
        </w:rPr>
        <w:t xml:space="preserve"> </w:t>
      </w:r>
      <w:r w:rsidR="00B76230">
        <w:rPr>
          <w:szCs w:val="24"/>
        </w:rPr>
        <w:t>The responsibility for r</w:t>
      </w:r>
      <w:r w:rsidR="00D806B7">
        <w:rPr>
          <w:szCs w:val="24"/>
        </w:rPr>
        <w:t xml:space="preserve">eporting </w:t>
      </w:r>
      <w:r w:rsidR="00B76230">
        <w:rPr>
          <w:szCs w:val="24"/>
        </w:rPr>
        <w:t>should lie with the</w:t>
      </w:r>
      <w:r w:rsidR="00D806B7">
        <w:rPr>
          <w:szCs w:val="24"/>
        </w:rPr>
        <w:t xml:space="preserve"> platforms </w:t>
      </w:r>
      <w:r w:rsidR="00B76230">
        <w:rPr>
          <w:szCs w:val="24"/>
        </w:rPr>
        <w:t>given it is their</w:t>
      </w:r>
      <w:r w:rsidR="00D806B7">
        <w:rPr>
          <w:szCs w:val="24"/>
        </w:rPr>
        <w:t xml:space="preserve"> users who </w:t>
      </w:r>
      <w:r w:rsidR="00601F66">
        <w:rPr>
          <w:szCs w:val="24"/>
        </w:rPr>
        <w:t>are deriving</w:t>
      </w:r>
      <w:r w:rsidR="00D806B7">
        <w:rPr>
          <w:szCs w:val="24"/>
        </w:rPr>
        <w:t xml:space="preserve"> </w:t>
      </w:r>
      <w:r w:rsidR="00601F66">
        <w:rPr>
          <w:szCs w:val="24"/>
        </w:rPr>
        <w:t xml:space="preserve">Australian </w:t>
      </w:r>
      <w:r w:rsidR="00D806B7">
        <w:rPr>
          <w:szCs w:val="24"/>
        </w:rPr>
        <w:t xml:space="preserve">taxable income </w:t>
      </w:r>
      <w:r w:rsidR="00601F66">
        <w:rPr>
          <w:szCs w:val="24"/>
        </w:rPr>
        <w:t>from the platform</w:t>
      </w:r>
      <w:r w:rsidR="00D806B7">
        <w:rPr>
          <w:szCs w:val="24"/>
        </w:rPr>
        <w:t>.</w:t>
      </w:r>
      <w:r w:rsidR="00B432F5">
        <w:rPr>
          <w:szCs w:val="24"/>
        </w:rPr>
        <w:t xml:space="preserve"> Reporting by platforms would also reduce the risk that users will find </w:t>
      </w:r>
      <w:r w:rsidR="00966245">
        <w:rPr>
          <w:szCs w:val="24"/>
        </w:rPr>
        <w:t xml:space="preserve">alternative payment mechanisms to avoid reporting by </w:t>
      </w:r>
      <w:r w:rsidR="00352283">
        <w:rPr>
          <w:szCs w:val="24"/>
        </w:rPr>
        <w:t>financial institutions</w:t>
      </w:r>
      <w:r w:rsidR="00966245">
        <w:rPr>
          <w:szCs w:val="24"/>
        </w:rPr>
        <w:t>.</w:t>
      </w:r>
    </w:p>
    <w:p w14:paraId="7C6C7715" w14:textId="77777777" w:rsidR="00EF1485" w:rsidRPr="00B174B5" w:rsidRDefault="00EF1485" w:rsidP="003B7C51">
      <w:pPr>
        <w:rPr>
          <w:b/>
          <w:szCs w:val="24"/>
        </w:rPr>
      </w:pPr>
      <w:r w:rsidRPr="00B174B5">
        <w:rPr>
          <w:b/>
          <w:i/>
          <w:szCs w:val="24"/>
        </w:rPr>
        <w:t>Question 11:</w:t>
      </w:r>
      <w:r w:rsidRPr="00B174B5">
        <w:rPr>
          <w:b/>
          <w:szCs w:val="24"/>
        </w:rPr>
        <w:t xml:space="preserve"> </w:t>
      </w:r>
      <w:r w:rsidRPr="00B174B5">
        <w:rPr>
          <w:b/>
          <w:i/>
          <w:szCs w:val="24"/>
        </w:rPr>
        <w:t>What transaction and identification details may need to be included in a reporting regime?</w:t>
      </w:r>
    </w:p>
    <w:p w14:paraId="2807245E" w14:textId="43A76313" w:rsidR="00822893" w:rsidRDefault="00EF6974" w:rsidP="003B7C51">
      <w:pPr>
        <w:rPr>
          <w:szCs w:val="24"/>
        </w:rPr>
      </w:pPr>
      <w:r>
        <w:rPr>
          <w:szCs w:val="24"/>
        </w:rPr>
        <w:t>The reporting regime should require reporting</w:t>
      </w:r>
      <w:r w:rsidR="0085326D">
        <w:rPr>
          <w:szCs w:val="24"/>
        </w:rPr>
        <w:t xml:space="preserve"> in defined fields</w:t>
      </w:r>
      <w:r>
        <w:rPr>
          <w:szCs w:val="24"/>
        </w:rPr>
        <w:t xml:space="preserve"> the identification details used to register </w:t>
      </w:r>
      <w:r w:rsidR="0085326D">
        <w:rPr>
          <w:szCs w:val="24"/>
        </w:rPr>
        <w:t>and/</w:t>
      </w:r>
      <w:r>
        <w:rPr>
          <w:szCs w:val="24"/>
        </w:rPr>
        <w:t xml:space="preserve">or verify the </w:t>
      </w:r>
      <w:r w:rsidR="0059279B">
        <w:rPr>
          <w:szCs w:val="24"/>
        </w:rPr>
        <w:t>parties to a transaction</w:t>
      </w:r>
      <w:r w:rsidR="0085326D">
        <w:rPr>
          <w:szCs w:val="24"/>
        </w:rPr>
        <w:t xml:space="preserve"> that maximises opportunities for data matching with other data sets</w:t>
      </w:r>
      <w:r w:rsidR="00966245">
        <w:rPr>
          <w:szCs w:val="24"/>
        </w:rPr>
        <w:t>, including AUSTRAC information</w:t>
      </w:r>
      <w:r>
        <w:rPr>
          <w:szCs w:val="24"/>
        </w:rPr>
        <w:t>.</w:t>
      </w:r>
      <w:r w:rsidR="00822893">
        <w:rPr>
          <w:szCs w:val="24"/>
        </w:rPr>
        <w:t xml:space="preserve"> A reporting regime should include the user’s full name and bank account or credit card details at a minimum, and date of birth (if collected).</w:t>
      </w:r>
    </w:p>
    <w:p w14:paraId="7E9E3659" w14:textId="5D299C91" w:rsidR="00B74D0E" w:rsidRDefault="0059279B" w:rsidP="003B7C51">
      <w:pPr>
        <w:rPr>
          <w:szCs w:val="24"/>
        </w:rPr>
      </w:pPr>
      <w:r>
        <w:rPr>
          <w:szCs w:val="24"/>
        </w:rPr>
        <w:t>D</w:t>
      </w:r>
      <w:r w:rsidR="00B74D0E">
        <w:rPr>
          <w:szCs w:val="24"/>
        </w:rPr>
        <w:t xml:space="preserve">epending on the platform’s business model </w:t>
      </w:r>
      <w:r w:rsidR="00822893">
        <w:rPr>
          <w:szCs w:val="24"/>
        </w:rPr>
        <w:t xml:space="preserve">other </w:t>
      </w:r>
      <w:r w:rsidR="00B74D0E">
        <w:rPr>
          <w:szCs w:val="24"/>
        </w:rPr>
        <w:t xml:space="preserve">identification </w:t>
      </w:r>
      <w:r w:rsidR="00C557E2">
        <w:rPr>
          <w:szCs w:val="24"/>
        </w:rPr>
        <w:t xml:space="preserve">details </w:t>
      </w:r>
      <w:r w:rsidR="00B74D0E">
        <w:rPr>
          <w:szCs w:val="24"/>
        </w:rPr>
        <w:t>currently being collected may</w:t>
      </w:r>
      <w:r w:rsidR="00EF6974">
        <w:rPr>
          <w:szCs w:val="24"/>
        </w:rPr>
        <w:t xml:space="preserve"> </w:t>
      </w:r>
      <w:r w:rsidR="00C557E2">
        <w:rPr>
          <w:szCs w:val="24"/>
        </w:rPr>
        <w:t>be limited</w:t>
      </w:r>
      <w:r w:rsidR="00E96EFE">
        <w:rPr>
          <w:szCs w:val="24"/>
        </w:rPr>
        <w:t xml:space="preserve"> but if available would improve the utility of data collected under the reporting regime</w:t>
      </w:r>
      <w:r w:rsidR="00C557E2">
        <w:rPr>
          <w:szCs w:val="24"/>
        </w:rPr>
        <w:t xml:space="preserve">. </w:t>
      </w:r>
      <w:r w:rsidR="00E96EFE">
        <w:rPr>
          <w:szCs w:val="24"/>
        </w:rPr>
        <w:t>For example, other i</w:t>
      </w:r>
      <w:r w:rsidR="00C557E2">
        <w:rPr>
          <w:szCs w:val="24"/>
        </w:rPr>
        <w:t xml:space="preserve">dentifying details may </w:t>
      </w:r>
      <w:r w:rsidR="00E96EFE">
        <w:rPr>
          <w:szCs w:val="24"/>
        </w:rPr>
        <w:t>include</w:t>
      </w:r>
      <w:r w:rsidR="00B74D0E">
        <w:rPr>
          <w:szCs w:val="24"/>
        </w:rPr>
        <w:t xml:space="preserve"> </w:t>
      </w:r>
      <w:r w:rsidR="00EF6974">
        <w:rPr>
          <w:szCs w:val="24"/>
        </w:rPr>
        <w:t>an email address</w:t>
      </w:r>
      <w:r w:rsidR="00E96EFE">
        <w:rPr>
          <w:szCs w:val="24"/>
        </w:rPr>
        <w:t>,</w:t>
      </w:r>
      <w:r w:rsidR="00EF6974">
        <w:rPr>
          <w:szCs w:val="24"/>
        </w:rPr>
        <w:t xml:space="preserve"> phone number </w:t>
      </w:r>
      <w:r w:rsidR="00E96EFE">
        <w:rPr>
          <w:szCs w:val="24"/>
        </w:rPr>
        <w:t xml:space="preserve">or </w:t>
      </w:r>
      <w:r w:rsidR="00822893">
        <w:rPr>
          <w:szCs w:val="24"/>
        </w:rPr>
        <w:t xml:space="preserve">a </w:t>
      </w:r>
      <w:r w:rsidR="00EF6974">
        <w:rPr>
          <w:szCs w:val="24"/>
        </w:rPr>
        <w:t>government issued identity document</w:t>
      </w:r>
      <w:r w:rsidR="00C557E2">
        <w:rPr>
          <w:szCs w:val="24"/>
        </w:rPr>
        <w:t xml:space="preserve"> such as </w:t>
      </w:r>
      <w:r w:rsidR="00822893">
        <w:rPr>
          <w:szCs w:val="24"/>
        </w:rPr>
        <w:t xml:space="preserve">a </w:t>
      </w:r>
      <w:r w:rsidR="00C557E2">
        <w:rPr>
          <w:szCs w:val="24"/>
        </w:rPr>
        <w:t>passport</w:t>
      </w:r>
      <w:r w:rsidR="00B74D0E">
        <w:rPr>
          <w:szCs w:val="24"/>
        </w:rPr>
        <w:t xml:space="preserve">. </w:t>
      </w:r>
    </w:p>
    <w:p w14:paraId="27C54C48" w14:textId="3586CFFB" w:rsidR="00EF6974" w:rsidRDefault="00EF6974" w:rsidP="003B7C51">
      <w:pPr>
        <w:rPr>
          <w:szCs w:val="24"/>
        </w:rPr>
      </w:pPr>
      <w:r>
        <w:rPr>
          <w:szCs w:val="24"/>
        </w:rPr>
        <w:t xml:space="preserve">Where the platform collects government issued identity </w:t>
      </w:r>
      <w:r w:rsidR="0081697D">
        <w:rPr>
          <w:szCs w:val="24"/>
        </w:rPr>
        <w:t xml:space="preserve">document </w:t>
      </w:r>
      <w:r>
        <w:rPr>
          <w:szCs w:val="24"/>
        </w:rPr>
        <w:t>details the following should</w:t>
      </w:r>
      <w:r w:rsidR="0059279B">
        <w:rPr>
          <w:szCs w:val="24"/>
        </w:rPr>
        <w:t xml:space="preserve"> information be reported</w:t>
      </w:r>
      <w:r>
        <w:rPr>
          <w:szCs w:val="24"/>
        </w:rPr>
        <w:t xml:space="preserve">: </w:t>
      </w:r>
    </w:p>
    <w:p w14:paraId="301EA523" w14:textId="619EC907" w:rsidR="00EF6974" w:rsidRPr="00EF6974" w:rsidRDefault="00212335" w:rsidP="0081697D">
      <w:pPr>
        <w:pStyle w:val="ListParagraph"/>
        <w:numPr>
          <w:ilvl w:val="0"/>
          <w:numId w:val="7"/>
        </w:numPr>
        <w:rPr>
          <w:szCs w:val="24"/>
        </w:rPr>
      </w:pPr>
      <w:r w:rsidRPr="00EF6974">
        <w:rPr>
          <w:szCs w:val="24"/>
        </w:rPr>
        <w:t>passport (issuing country, number</w:t>
      </w:r>
      <w:r w:rsidR="0081697D">
        <w:rPr>
          <w:szCs w:val="24"/>
        </w:rPr>
        <w:t>, expiry date</w:t>
      </w:r>
      <w:r w:rsidRPr="00EF6974">
        <w:rPr>
          <w:szCs w:val="24"/>
        </w:rPr>
        <w:t xml:space="preserve">) </w:t>
      </w:r>
    </w:p>
    <w:p w14:paraId="68216E17" w14:textId="19C02A27" w:rsidR="00212335" w:rsidRDefault="00212335" w:rsidP="0081697D">
      <w:pPr>
        <w:pStyle w:val="ListParagraph"/>
        <w:numPr>
          <w:ilvl w:val="0"/>
          <w:numId w:val="7"/>
        </w:numPr>
        <w:rPr>
          <w:szCs w:val="24"/>
        </w:rPr>
      </w:pPr>
      <w:r w:rsidRPr="0081697D">
        <w:rPr>
          <w:szCs w:val="24"/>
        </w:rPr>
        <w:t>driver’s licence (country, state, licence number).</w:t>
      </w:r>
    </w:p>
    <w:p w14:paraId="4AFC99DC" w14:textId="1A87F761" w:rsidR="0081697D" w:rsidRPr="00EF6974" w:rsidRDefault="0081697D" w:rsidP="0081697D">
      <w:pPr>
        <w:pStyle w:val="ListParagraph"/>
        <w:numPr>
          <w:ilvl w:val="0"/>
          <w:numId w:val="7"/>
        </w:numPr>
        <w:rPr>
          <w:szCs w:val="24"/>
        </w:rPr>
      </w:pPr>
      <w:r>
        <w:rPr>
          <w:szCs w:val="24"/>
        </w:rPr>
        <w:t>ABN/ACN</w:t>
      </w:r>
    </w:p>
    <w:p w14:paraId="4F0E5EEC" w14:textId="205B0D78" w:rsidR="0081697D" w:rsidRDefault="00E96EFE" w:rsidP="003B7C51">
      <w:pPr>
        <w:rPr>
          <w:szCs w:val="24"/>
        </w:rPr>
      </w:pPr>
      <w:r>
        <w:rPr>
          <w:szCs w:val="24"/>
        </w:rPr>
        <w:lastRenderedPageBreak/>
        <w:t>A reporting regime that included t</w:t>
      </w:r>
      <w:r w:rsidR="00966245">
        <w:rPr>
          <w:szCs w:val="24"/>
        </w:rPr>
        <w:t>hese</w:t>
      </w:r>
      <w:r w:rsidR="0081697D">
        <w:rPr>
          <w:szCs w:val="24"/>
        </w:rPr>
        <w:t xml:space="preserve"> details w</w:t>
      </w:r>
      <w:r w:rsidR="00966245">
        <w:rPr>
          <w:szCs w:val="24"/>
        </w:rPr>
        <w:t>ould</w:t>
      </w:r>
      <w:r w:rsidR="0081697D">
        <w:rPr>
          <w:szCs w:val="24"/>
        </w:rPr>
        <w:t xml:space="preserve"> </w:t>
      </w:r>
      <w:r>
        <w:rPr>
          <w:szCs w:val="24"/>
        </w:rPr>
        <w:t>reduce false positive or false negative results in</w:t>
      </w:r>
      <w:r w:rsidR="00822893">
        <w:rPr>
          <w:szCs w:val="24"/>
        </w:rPr>
        <w:t xml:space="preserve"> </w:t>
      </w:r>
      <w:r w:rsidR="0081697D">
        <w:rPr>
          <w:szCs w:val="24"/>
        </w:rPr>
        <w:t>data-matching between ATO held data and data held by AUSTRAC</w:t>
      </w:r>
      <w:r w:rsidR="00966245">
        <w:rPr>
          <w:szCs w:val="24"/>
        </w:rPr>
        <w:t xml:space="preserve"> and other government agencies</w:t>
      </w:r>
      <w:r>
        <w:rPr>
          <w:szCs w:val="24"/>
        </w:rPr>
        <w:t xml:space="preserve"> and provide greater confidence to data matches.</w:t>
      </w:r>
      <w:r w:rsidR="00822893">
        <w:rPr>
          <w:szCs w:val="24"/>
        </w:rPr>
        <w:t xml:space="preserve"> </w:t>
      </w:r>
      <w:r w:rsidR="0081697D">
        <w:rPr>
          <w:szCs w:val="24"/>
        </w:rPr>
        <w:t xml:space="preserve"> </w:t>
      </w:r>
    </w:p>
    <w:p w14:paraId="65896628" w14:textId="2CB33F12" w:rsidR="00212335" w:rsidRDefault="00212335" w:rsidP="003B7C51">
      <w:pPr>
        <w:rPr>
          <w:szCs w:val="24"/>
        </w:rPr>
      </w:pPr>
      <w:r>
        <w:rPr>
          <w:szCs w:val="24"/>
        </w:rPr>
        <w:t xml:space="preserve">Transaction details such as the amount (in AUD) and date the transaction was conducted and </w:t>
      </w:r>
      <w:r w:rsidRPr="00212335">
        <w:rPr>
          <w:szCs w:val="24"/>
        </w:rPr>
        <w:t xml:space="preserve">bank </w:t>
      </w:r>
      <w:r>
        <w:rPr>
          <w:szCs w:val="24"/>
        </w:rPr>
        <w:t>BSB and account details</w:t>
      </w:r>
      <w:r w:rsidR="0012385F">
        <w:rPr>
          <w:szCs w:val="24"/>
        </w:rPr>
        <w:t xml:space="preserve"> (in defined fields)</w:t>
      </w:r>
      <w:r>
        <w:rPr>
          <w:szCs w:val="24"/>
        </w:rPr>
        <w:t xml:space="preserve"> </w:t>
      </w:r>
      <w:r w:rsidR="00966245">
        <w:rPr>
          <w:szCs w:val="24"/>
        </w:rPr>
        <w:t xml:space="preserve">would also </w:t>
      </w:r>
      <w:r>
        <w:rPr>
          <w:szCs w:val="24"/>
        </w:rPr>
        <w:t xml:space="preserve">be </w:t>
      </w:r>
      <w:r w:rsidR="00966245">
        <w:rPr>
          <w:szCs w:val="24"/>
        </w:rPr>
        <w:t xml:space="preserve">useful to </w:t>
      </w:r>
      <w:r>
        <w:rPr>
          <w:szCs w:val="24"/>
        </w:rPr>
        <w:t xml:space="preserve">include. </w:t>
      </w:r>
      <w:proofErr w:type="gramStart"/>
      <w:r>
        <w:rPr>
          <w:szCs w:val="24"/>
        </w:rPr>
        <w:t>Depending on the platform, it</w:t>
      </w:r>
      <w:proofErr w:type="gramEnd"/>
      <w:r>
        <w:rPr>
          <w:szCs w:val="24"/>
        </w:rPr>
        <w:t xml:space="preserve"> i</w:t>
      </w:r>
      <w:r w:rsidRPr="00212335">
        <w:rPr>
          <w:szCs w:val="24"/>
        </w:rPr>
        <w:t xml:space="preserve">s likely </w:t>
      </w:r>
      <w:r>
        <w:rPr>
          <w:szCs w:val="24"/>
        </w:rPr>
        <w:t xml:space="preserve">that some </w:t>
      </w:r>
      <w:r w:rsidRPr="00212335">
        <w:rPr>
          <w:szCs w:val="24"/>
        </w:rPr>
        <w:t>seller</w:t>
      </w:r>
      <w:r>
        <w:rPr>
          <w:szCs w:val="24"/>
        </w:rPr>
        <w:t>s</w:t>
      </w:r>
      <w:r w:rsidRPr="00212335">
        <w:rPr>
          <w:szCs w:val="24"/>
        </w:rPr>
        <w:t xml:space="preserve"> will have offshore accounts</w:t>
      </w:r>
      <w:r>
        <w:rPr>
          <w:szCs w:val="24"/>
        </w:rPr>
        <w:t>.</w:t>
      </w:r>
      <w:r w:rsidRPr="00212335">
        <w:rPr>
          <w:szCs w:val="24"/>
        </w:rPr>
        <w:t xml:space="preserve"> </w:t>
      </w:r>
    </w:p>
    <w:p w14:paraId="63210BC2" w14:textId="77777777" w:rsidR="00EF1485" w:rsidRPr="00B174B5" w:rsidRDefault="00EF1485" w:rsidP="003B7C51">
      <w:pPr>
        <w:rPr>
          <w:b/>
          <w:szCs w:val="24"/>
        </w:rPr>
      </w:pPr>
      <w:r w:rsidRPr="00B174B5">
        <w:rPr>
          <w:b/>
          <w:i/>
          <w:szCs w:val="24"/>
        </w:rPr>
        <w:t>Question 20: Would Option 2 be an efficient alternative to Option 1 (reporting by sharing economy platforms)?</w:t>
      </w:r>
    </w:p>
    <w:p w14:paraId="46F7881C" w14:textId="390865BC" w:rsidR="00966245" w:rsidRDefault="00B174B5" w:rsidP="003B7C51">
      <w:pPr>
        <w:rPr>
          <w:szCs w:val="24"/>
        </w:rPr>
      </w:pPr>
      <w:r>
        <w:rPr>
          <w:szCs w:val="24"/>
        </w:rPr>
        <w:t xml:space="preserve">We consider Option 2 would be less efficient as financial institutions </w:t>
      </w:r>
      <w:r w:rsidR="00212335">
        <w:rPr>
          <w:szCs w:val="24"/>
        </w:rPr>
        <w:t xml:space="preserve">are likely to have significantly less information to report than the sharing economy </w:t>
      </w:r>
      <w:proofErr w:type="gramStart"/>
      <w:r w:rsidR="00212335">
        <w:rPr>
          <w:szCs w:val="24"/>
        </w:rPr>
        <w:t>platform</w:t>
      </w:r>
      <w:r w:rsidR="00966245">
        <w:rPr>
          <w:szCs w:val="24"/>
        </w:rPr>
        <w:t>, and</w:t>
      </w:r>
      <w:proofErr w:type="gramEnd"/>
      <w:r w:rsidR="00966245">
        <w:rPr>
          <w:szCs w:val="24"/>
        </w:rPr>
        <w:t xml:space="preserve"> may provide greater scope for users of sharing economy platforms to avoid reporting by using alternative payment methods</w:t>
      </w:r>
      <w:r w:rsidR="00212335">
        <w:rPr>
          <w:szCs w:val="24"/>
        </w:rPr>
        <w:t>. However, where platforms are based overseas it may be easier to access information, albeit limited, from financial institutions in Australia.</w:t>
      </w:r>
    </w:p>
    <w:p w14:paraId="420D0630" w14:textId="77777777" w:rsidR="00352283" w:rsidRDefault="00966245" w:rsidP="003B7C51">
      <w:pPr>
        <w:rPr>
          <w:szCs w:val="24"/>
        </w:rPr>
      </w:pPr>
      <w:r>
        <w:rPr>
          <w:szCs w:val="24"/>
        </w:rPr>
        <w:t xml:space="preserve">We note that AUSTRAC’s existing holdings may provide some data where Australians are using sharing economy platforms based overseas, and there may be scope to improve the utility of this information in future. </w:t>
      </w:r>
    </w:p>
    <w:p w14:paraId="05CCFBA7" w14:textId="56EEB7B3" w:rsidR="00EF1485" w:rsidRDefault="0059279B" w:rsidP="003B7C51">
      <w:pPr>
        <w:rPr>
          <w:szCs w:val="24"/>
        </w:rPr>
      </w:pPr>
      <w:r>
        <w:rPr>
          <w:szCs w:val="24"/>
        </w:rPr>
        <w:t xml:space="preserve">As highlighted under Chapter 6 of the </w:t>
      </w:r>
      <w:r w:rsidRPr="0059279B">
        <w:rPr>
          <w:szCs w:val="24"/>
        </w:rPr>
        <w:t xml:space="preserve">Report of the Statutory Review </w:t>
      </w:r>
      <w:r>
        <w:rPr>
          <w:szCs w:val="24"/>
        </w:rPr>
        <w:t xml:space="preserve">there may be opportunities to reform </w:t>
      </w:r>
      <w:r w:rsidRPr="0059279B">
        <w:rPr>
          <w:szCs w:val="24"/>
        </w:rPr>
        <w:t>international funds transfer instruction (IFTI) reporting</w:t>
      </w:r>
      <w:r>
        <w:rPr>
          <w:szCs w:val="24"/>
        </w:rPr>
        <w:t xml:space="preserve"> </w:t>
      </w:r>
      <w:r w:rsidR="00966245">
        <w:rPr>
          <w:szCs w:val="24"/>
        </w:rPr>
        <w:t xml:space="preserve">by the </w:t>
      </w:r>
      <w:r w:rsidR="00352283">
        <w:rPr>
          <w:szCs w:val="24"/>
        </w:rPr>
        <w:t>financial institutions</w:t>
      </w:r>
      <w:r w:rsidR="00966245">
        <w:rPr>
          <w:szCs w:val="24"/>
        </w:rPr>
        <w:t xml:space="preserve"> and other businesses regulated for AML/CTF purposes</w:t>
      </w:r>
      <w:r w:rsidR="00C557E2">
        <w:rPr>
          <w:szCs w:val="24"/>
        </w:rPr>
        <w:t xml:space="preserve"> to enable better data matching of AUSTRAC and ATO data holdings for payments from overseas based platforms to Australian residents.</w:t>
      </w:r>
      <w:r w:rsidR="00966245">
        <w:rPr>
          <w:szCs w:val="24"/>
        </w:rPr>
        <w:t xml:space="preserve"> Reforms to IFTI obligations will be considered as part of the Phase 2 AML/CTF reforms, expected to be developed later in 2019.</w:t>
      </w:r>
    </w:p>
    <w:p w14:paraId="23DEF7E8" w14:textId="77777777" w:rsidR="00EF1485" w:rsidRPr="00212335" w:rsidRDefault="00EF1485" w:rsidP="003B7C51">
      <w:pPr>
        <w:rPr>
          <w:b/>
          <w:szCs w:val="24"/>
        </w:rPr>
      </w:pPr>
      <w:r w:rsidRPr="00212335">
        <w:rPr>
          <w:b/>
          <w:i/>
          <w:szCs w:val="24"/>
        </w:rPr>
        <w:t>Question 21:</w:t>
      </w:r>
      <w:r w:rsidRPr="00212335">
        <w:rPr>
          <w:b/>
          <w:szCs w:val="24"/>
        </w:rPr>
        <w:t xml:space="preserve"> </w:t>
      </w:r>
      <w:r w:rsidRPr="00212335">
        <w:rPr>
          <w:b/>
          <w:i/>
          <w:szCs w:val="24"/>
        </w:rPr>
        <w:t>Is it possible to overcome the issues identified with Option 2, or are there other reasons why it may be preferable?</w:t>
      </w:r>
    </w:p>
    <w:p w14:paraId="021FFE98" w14:textId="1AF69624" w:rsidR="0059279B" w:rsidRDefault="006B5417" w:rsidP="003B7C51">
      <w:pPr>
        <w:rPr>
          <w:szCs w:val="24"/>
        </w:rPr>
      </w:pPr>
      <w:r>
        <w:rPr>
          <w:szCs w:val="24"/>
        </w:rPr>
        <w:t xml:space="preserve">We consider that </w:t>
      </w:r>
      <w:r w:rsidR="00EA7C81">
        <w:rPr>
          <w:szCs w:val="24"/>
        </w:rPr>
        <w:t xml:space="preserve">the challenges of collecting data from financial institutions under Option 2 as outlined </w:t>
      </w:r>
      <w:r w:rsidR="001E0207">
        <w:rPr>
          <w:szCs w:val="24"/>
        </w:rPr>
        <w:t xml:space="preserve">in the </w:t>
      </w:r>
      <w:r w:rsidR="00EA7C81">
        <w:rPr>
          <w:szCs w:val="24"/>
        </w:rPr>
        <w:t>discussion paper</w:t>
      </w:r>
      <w:r w:rsidR="00966245">
        <w:rPr>
          <w:szCs w:val="24"/>
        </w:rPr>
        <w:t>—</w:t>
      </w:r>
      <w:r w:rsidR="00EA7C81">
        <w:rPr>
          <w:szCs w:val="24"/>
        </w:rPr>
        <w:t>such as unavailability of suitable data sets, comingling of funds</w:t>
      </w:r>
      <w:r w:rsidR="001E0207">
        <w:rPr>
          <w:szCs w:val="24"/>
        </w:rPr>
        <w:t xml:space="preserve"> and difficulty in identifying income from sharing platforms</w:t>
      </w:r>
      <w:r w:rsidR="00966245">
        <w:rPr>
          <w:szCs w:val="24"/>
        </w:rPr>
        <w:t>—</w:t>
      </w:r>
      <w:r w:rsidR="00EA7C81">
        <w:rPr>
          <w:szCs w:val="24"/>
        </w:rPr>
        <w:t>make Option 1 preferable.</w:t>
      </w:r>
      <w:r>
        <w:rPr>
          <w:szCs w:val="24"/>
        </w:rPr>
        <w:t xml:space="preserve"> </w:t>
      </w:r>
      <w:r w:rsidR="001E0207">
        <w:rPr>
          <w:szCs w:val="24"/>
        </w:rPr>
        <w:t xml:space="preserve">Under Option 2 the ATO may need to provide financial institutions with identifiers (e.g. originating bank account, payer name) </w:t>
      </w:r>
      <w:proofErr w:type="gramStart"/>
      <w:r w:rsidR="001E0207">
        <w:rPr>
          <w:szCs w:val="24"/>
        </w:rPr>
        <w:t>in order for</w:t>
      </w:r>
      <w:proofErr w:type="gramEnd"/>
      <w:r w:rsidR="001E0207">
        <w:rPr>
          <w:szCs w:val="24"/>
        </w:rPr>
        <w:t xml:space="preserve"> the financial institutions to be able to extract the required data.</w:t>
      </w:r>
      <w:r w:rsidR="0059279B">
        <w:rPr>
          <w:szCs w:val="24"/>
        </w:rPr>
        <w:t xml:space="preserve"> </w:t>
      </w:r>
    </w:p>
    <w:p w14:paraId="0D1D912C" w14:textId="285CF754" w:rsidR="00EA7C81" w:rsidRDefault="0059279B" w:rsidP="003B7C51">
      <w:pPr>
        <w:rPr>
          <w:szCs w:val="24"/>
        </w:rPr>
      </w:pPr>
      <w:r>
        <w:rPr>
          <w:szCs w:val="24"/>
        </w:rPr>
        <w:t>Data collection from financial institutions may be further complicated where a platform makes changes to its payment processes mid reporting period. For example, changing the company originating the payments or the descriptive text sent with the payment.</w:t>
      </w:r>
    </w:p>
    <w:p w14:paraId="3BD948A3" w14:textId="6510579D" w:rsidR="00EF1485" w:rsidRDefault="006B5417" w:rsidP="003B7C51">
      <w:pPr>
        <w:rPr>
          <w:szCs w:val="24"/>
        </w:rPr>
      </w:pPr>
      <w:r>
        <w:rPr>
          <w:szCs w:val="24"/>
        </w:rPr>
        <w:t>Option 2 may only be preferable where the sharing economy platform is based overseas and unwilling to provide data to the ATO.</w:t>
      </w:r>
      <w:r w:rsidR="00966245">
        <w:rPr>
          <w:szCs w:val="24"/>
        </w:rPr>
        <w:t xml:space="preserve"> However, consideration should be given to the extent that the ATO’s existing access to AUSTRAC information could address this scenario.</w:t>
      </w:r>
      <w:r>
        <w:rPr>
          <w:szCs w:val="24"/>
        </w:rPr>
        <w:t xml:space="preserve"> </w:t>
      </w:r>
    </w:p>
    <w:p w14:paraId="19C46863" w14:textId="77777777" w:rsidR="00EF1485" w:rsidRPr="00212335" w:rsidRDefault="00EF1485" w:rsidP="002800A0">
      <w:pPr>
        <w:keepNext/>
        <w:rPr>
          <w:b/>
          <w:szCs w:val="24"/>
        </w:rPr>
      </w:pPr>
      <w:r w:rsidRPr="00212335">
        <w:rPr>
          <w:b/>
          <w:i/>
          <w:szCs w:val="24"/>
        </w:rPr>
        <w:lastRenderedPageBreak/>
        <w:t>Question 22:</w:t>
      </w:r>
      <w:r w:rsidRPr="00212335">
        <w:rPr>
          <w:b/>
          <w:szCs w:val="24"/>
        </w:rPr>
        <w:t xml:space="preserve"> </w:t>
      </w:r>
      <w:r w:rsidRPr="00212335">
        <w:rPr>
          <w:b/>
          <w:i/>
          <w:szCs w:val="24"/>
        </w:rPr>
        <w:t>What other reporting regime options could be utilised to input into the ATO’s data matching activities?</w:t>
      </w:r>
    </w:p>
    <w:p w14:paraId="0EE6DDD8" w14:textId="05140EF4" w:rsidR="00EA7C81" w:rsidRPr="0088537B" w:rsidRDefault="00EA7C81" w:rsidP="00EA7C81">
      <w:pPr>
        <w:rPr>
          <w:szCs w:val="24"/>
        </w:rPr>
      </w:pPr>
      <w:r w:rsidRPr="0088537B">
        <w:rPr>
          <w:szCs w:val="24"/>
        </w:rPr>
        <w:t>We believe that consideration and implementation of the reforms around transacti</w:t>
      </w:r>
      <w:r>
        <w:rPr>
          <w:szCs w:val="24"/>
        </w:rPr>
        <w:t>on reporting highlighted under C</w:t>
      </w:r>
      <w:r w:rsidRPr="0088537B">
        <w:rPr>
          <w:szCs w:val="24"/>
        </w:rPr>
        <w:t>hapter 6 of the Report of the Statutory Review, especially as it relates to the simplification, streamlining and closure of reporting gaps with IFTI reporting, will significantly assist and benefit the ATO in</w:t>
      </w:r>
      <w:r>
        <w:rPr>
          <w:szCs w:val="24"/>
        </w:rPr>
        <w:t xml:space="preserve"> its</w:t>
      </w:r>
      <w:r w:rsidRPr="0088537B">
        <w:rPr>
          <w:szCs w:val="24"/>
        </w:rPr>
        <w:t xml:space="preserve"> revenue protection role.   </w:t>
      </w:r>
    </w:p>
    <w:p w14:paraId="58C874D4" w14:textId="77777777" w:rsidR="00EA1DB1" w:rsidRPr="00C02494" w:rsidRDefault="00EA1DB1" w:rsidP="00C02494"/>
    <w:sectPr w:rsidR="00EA1DB1" w:rsidRPr="00C02494" w:rsidSect="003B7C51">
      <w:headerReference w:type="default"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D64B6" w14:textId="77777777" w:rsidR="00966245" w:rsidRDefault="00966245" w:rsidP="00792826">
      <w:pPr>
        <w:spacing w:before="0" w:after="0" w:line="240" w:lineRule="auto"/>
      </w:pPr>
      <w:r>
        <w:separator/>
      </w:r>
    </w:p>
  </w:endnote>
  <w:endnote w:type="continuationSeparator" w:id="0">
    <w:p w14:paraId="6F9A89B9" w14:textId="77777777" w:rsidR="00966245" w:rsidRDefault="00966245" w:rsidP="007928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00238" w14:textId="77777777" w:rsidR="00966245" w:rsidRDefault="00966245" w:rsidP="002B68D8">
    <w:pPr>
      <w:pStyle w:val="Footer"/>
      <w:jc w:val="left"/>
      <w:rPr>
        <w:noProof/>
        <w:sz w:val="20"/>
        <w:szCs w:val="20"/>
      </w:rPr>
    </w:pPr>
  </w:p>
  <w:p w14:paraId="67C2091D" w14:textId="6FD53328" w:rsidR="00966245" w:rsidRPr="00253ADF" w:rsidRDefault="00966245" w:rsidP="00212335">
    <w:pPr>
      <w:pStyle w:val="Footer"/>
      <w:pBdr>
        <w:top w:val="single" w:sz="4" w:space="1" w:color="auto"/>
      </w:pBdr>
      <w:jc w:val="left"/>
      <w:rPr>
        <w:sz w:val="20"/>
        <w:szCs w:val="20"/>
      </w:rPr>
    </w:pPr>
    <w:r>
      <w:rPr>
        <w:noProof/>
        <w:sz w:val="20"/>
        <w:szCs w:val="20"/>
      </w:rPr>
      <w:br/>
    </w:r>
    <w:r>
      <w:rPr>
        <w:noProof/>
        <w:lang w:eastAsia="en-AU"/>
      </w:rPr>
      <w:drawing>
        <wp:anchor distT="0" distB="0" distL="114300" distR="114300" simplePos="0" relativeHeight="251662336" behindDoc="1" locked="0" layoutInCell="1" allowOverlap="1" wp14:anchorId="4F573A33" wp14:editId="60608DE4">
          <wp:simplePos x="0" y="0"/>
          <wp:positionH relativeFrom="column">
            <wp:posOffset>5715000</wp:posOffset>
          </wp:positionH>
          <wp:positionV relativeFrom="paragraph">
            <wp:posOffset>-687070</wp:posOffset>
          </wp:positionV>
          <wp:extent cx="922655" cy="18275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lash_Bottom.png"/>
                  <pic:cNvPicPr/>
                </pic:nvPicPr>
                <pic:blipFill>
                  <a:blip r:embed="rId1">
                    <a:extLst>
                      <a:ext uri="{28A0092B-C50C-407E-A947-70E740481C1C}">
                        <a14:useLocalDpi xmlns:a14="http://schemas.microsoft.com/office/drawing/2010/main" val="0"/>
                      </a:ext>
                    </a:extLst>
                  </a:blip>
                  <a:stretch>
                    <a:fillRect/>
                  </a:stretch>
                </pic:blipFill>
                <pic:spPr>
                  <a:xfrm>
                    <a:off x="0" y="0"/>
                    <a:ext cx="922655" cy="18275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sz w:val="20"/>
        <w:szCs w:val="20"/>
      </w:rPr>
      <w:t>Tackling the Black Economy: A sharing economy reporting regime</w:t>
    </w:r>
    <w:r w:rsidRPr="00253ADF">
      <w:rPr>
        <w:sz w:val="20"/>
        <w:szCs w:val="20"/>
      </w:rPr>
      <w:tab/>
    </w:r>
    <w:r w:rsidRPr="00253ADF">
      <w:rPr>
        <w:sz w:val="20"/>
        <w:szCs w:val="20"/>
      </w:rPr>
      <w:tab/>
      <w:t xml:space="preserve">Page </w:t>
    </w:r>
    <w:r w:rsidRPr="00253ADF">
      <w:rPr>
        <w:sz w:val="20"/>
        <w:szCs w:val="20"/>
      </w:rPr>
      <w:fldChar w:fldCharType="begin"/>
    </w:r>
    <w:r w:rsidRPr="00253ADF">
      <w:rPr>
        <w:sz w:val="20"/>
        <w:szCs w:val="20"/>
      </w:rPr>
      <w:instrText xml:space="preserve"> PAGE  \* Arabic  \* MERGEFORMAT </w:instrText>
    </w:r>
    <w:r w:rsidRPr="00253ADF">
      <w:rPr>
        <w:sz w:val="20"/>
        <w:szCs w:val="20"/>
      </w:rPr>
      <w:fldChar w:fldCharType="separate"/>
    </w:r>
    <w:r w:rsidR="00813B9C">
      <w:rPr>
        <w:noProof/>
        <w:sz w:val="20"/>
        <w:szCs w:val="20"/>
      </w:rPr>
      <w:t>1</w:t>
    </w:r>
    <w:r w:rsidRPr="00253ADF">
      <w:rPr>
        <w:sz w:val="20"/>
        <w:szCs w:val="20"/>
      </w:rPr>
      <w:fldChar w:fldCharType="end"/>
    </w:r>
    <w:r w:rsidRPr="00253ADF">
      <w:rPr>
        <w:sz w:val="20"/>
        <w:szCs w:val="20"/>
      </w:rPr>
      <w:t xml:space="preserve"> of </w:t>
    </w:r>
    <w:r w:rsidRPr="00253ADF">
      <w:rPr>
        <w:noProof/>
        <w:sz w:val="20"/>
        <w:szCs w:val="20"/>
      </w:rPr>
      <w:fldChar w:fldCharType="begin"/>
    </w:r>
    <w:r w:rsidRPr="00253ADF">
      <w:rPr>
        <w:noProof/>
        <w:sz w:val="20"/>
        <w:szCs w:val="20"/>
      </w:rPr>
      <w:instrText xml:space="preserve"> NUMPAGES  \* Arabic  \* MERGEFORMAT </w:instrText>
    </w:r>
    <w:r w:rsidRPr="00253ADF">
      <w:rPr>
        <w:noProof/>
        <w:sz w:val="20"/>
        <w:szCs w:val="20"/>
      </w:rPr>
      <w:fldChar w:fldCharType="separate"/>
    </w:r>
    <w:r w:rsidR="00813B9C">
      <w:rPr>
        <w:noProof/>
        <w:sz w:val="20"/>
        <w:szCs w:val="20"/>
      </w:rPr>
      <w:t>5</w:t>
    </w:r>
    <w:r w:rsidRPr="00253ADF">
      <w:rPr>
        <w:noProof/>
        <w:sz w:val="20"/>
        <w:szCs w:val="20"/>
      </w:rPr>
      <w:fldChar w:fldCharType="end"/>
    </w:r>
  </w:p>
  <w:p w14:paraId="19E49799" w14:textId="77777777" w:rsidR="00966245" w:rsidRPr="00F1604A" w:rsidRDefault="00AB5C2D" w:rsidP="00F875FD">
    <w:pPr>
      <w:pStyle w:val="Classification"/>
    </w:pPr>
    <w:sdt>
      <w:sdtPr>
        <w:alias w:val="Security Classification"/>
        <w:tag w:val="SecurityClassification"/>
        <w:id w:val="1117416880"/>
        <w:text/>
      </w:sdtPr>
      <w:sdtEndPr/>
      <w:sdtContent>
        <w:r w:rsidR="00966245">
          <w:t>UNCLASSIFIED – For Official Use Only</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049C" w14:textId="77777777" w:rsidR="00966245" w:rsidRPr="00F1604A" w:rsidRDefault="00AB5C2D" w:rsidP="00F875FD">
    <w:pPr>
      <w:pStyle w:val="Classification"/>
    </w:pPr>
    <w:sdt>
      <w:sdtPr>
        <w:alias w:val="Security Classification"/>
        <w:tag w:val="SecurityClassification"/>
        <w:id w:val="1228425690"/>
        <w:text/>
      </w:sdtPr>
      <w:sdtEndPr/>
      <w:sdtContent/>
    </w:sdt>
    <w:r w:rsidR="00966245" w:rsidRPr="003C53EF">
      <w:t xml:space="preserve"> </w:t>
    </w:r>
    <w:sdt>
      <w:sdtPr>
        <w:alias w:val="Security Classification"/>
        <w:tag w:val="SecurityClassification"/>
        <w:id w:val="-1593781232"/>
        <w:text/>
      </w:sdtPr>
      <w:sdtEndPr/>
      <w:sdtContent>
        <w:r w:rsidR="00966245">
          <w:t>UNCLASSIFIED – For Official Use Only</w:t>
        </w:r>
      </w:sdtContent>
    </w:sdt>
  </w:p>
  <w:p w14:paraId="2AD3D001" w14:textId="77777777" w:rsidR="00966245" w:rsidRDefault="00966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228B4" w14:textId="77777777" w:rsidR="00966245" w:rsidRDefault="00966245" w:rsidP="00792826">
      <w:pPr>
        <w:spacing w:before="0" w:after="0" w:line="240" w:lineRule="auto"/>
      </w:pPr>
      <w:r>
        <w:separator/>
      </w:r>
    </w:p>
  </w:footnote>
  <w:footnote w:type="continuationSeparator" w:id="0">
    <w:p w14:paraId="321D5DFC" w14:textId="77777777" w:rsidR="00966245" w:rsidRDefault="00966245" w:rsidP="00792826">
      <w:pPr>
        <w:spacing w:before="0" w:after="0" w:line="240" w:lineRule="auto"/>
      </w:pPr>
      <w:r>
        <w:continuationSeparator/>
      </w:r>
    </w:p>
  </w:footnote>
  <w:footnote w:id="1">
    <w:p w14:paraId="1C7FFE66" w14:textId="40481EDB" w:rsidR="00CA3C72" w:rsidRDefault="00CA3C72" w:rsidP="00CA3C72">
      <w:pPr>
        <w:pStyle w:val="FootnoteText"/>
      </w:pPr>
      <w:r>
        <w:rPr>
          <w:rStyle w:val="FootnoteReference"/>
        </w:rPr>
        <w:footnoteRef/>
      </w:r>
      <w:r>
        <w:t xml:space="preserve"> Richet, J-L.  Tools and Resources for Anti-Corruption Knowledge – </w:t>
      </w:r>
      <w:proofErr w:type="gramStart"/>
      <w:r>
        <w:t>June,</w:t>
      </w:r>
      <w:proofErr w:type="gramEnd"/>
      <w:r>
        <w:t xml:space="preserve"> 01, 2013 - United Nations Office on Drugs and Crime (UNODC). </w:t>
      </w:r>
      <w:hyperlink r:id="rId1" w:history="1">
        <w:r w:rsidRPr="00964BBA">
          <w:rPr>
            <w:rStyle w:val="Hyperlink"/>
            <w:i/>
          </w:rPr>
          <w:t>Laundering Money Online: a review of cybercriminals’ methods</w:t>
        </w:r>
      </w:hyperlink>
      <w:r>
        <w:t xml:space="preserve">. </w:t>
      </w:r>
    </w:p>
  </w:footnote>
  <w:footnote w:id="2">
    <w:p w14:paraId="256E8339" w14:textId="71C2F5E8" w:rsidR="00085487" w:rsidRDefault="00085487">
      <w:pPr>
        <w:pStyle w:val="FootnoteText"/>
      </w:pPr>
      <w:r>
        <w:rPr>
          <w:rStyle w:val="FootnoteReference"/>
        </w:rPr>
        <w:footnoteRef/>
      </w:r>
      <w:r w:rsidR="00964BBA">
        <w:t xml:space="preserve"> </w:t>
      </w:r>
      <w:proofErr w:type="spellStart"/>
      <w:r w:rsidR="00964BBA">
        <w:t>Fazzini</w:t>
      </w:r>
      <w:proofErr w:type="spellEnd"/>
      <w:r w:rsidR="00964BBA">
        <w:t xml:space="preserve">, K. </w:t>
      </w:r>
      <w:hyperlink r:id="rId2" w:history="1">
        <w:r w:rsidR="00964BBA" w:rsidRPr="00964BBA">
          <w:rPr>
            <w:rStyle w:val="Hyperlink"/>
            <w:i/>
          </w:rPr>
          <w:t>How criminals use Uber and Airbnb to launder money stolen from your credit card</w:t>
        </w:r>
      </w:hyperlink>
      <w:r w:rsidR="00964BBA">
        <w:t xml:space="preserve">. </w:t>
      </w:r>
      <w:r w:rsidR="00964BBA" w:rsidRPr="00964BBA">
        <w:t>7 Feb 2019</w:t>
      </w:r>
      <w:r w:rsidR="00964BBA">
        <w:t>. CNBC</w:t>
      </w:r>
    </w:p>
  </w:footnote>
  <w:footnote w:id="3">
    <w:p w14:paraId="217D26BF" w14:textId="77777777" w:rsidR="00966245" w:rsidRDefault="00966245">
      <w:pPr>
        <w:pStyle w:val="FootnoteText"/>
      </w:pPr>
      <w:r>
        <w:rPr>
          <w:rStyle w:val="FootnoteReference"/>
        </w:rPr>
        <w:footnoteRef/>
      </w:r>
      <w:r>
        <w:t xml:space="preserve"> Recommendation 4.7: </w:t>
      </w:r>
      <w:r w:rsidRPr="00C47D2F">
        <w:t>AUSTRAC should closely monitor the ML/TF risks associated with new payment types and systems (including front-end applications), to ensure gaps do not develop in Australia’s AML/CTF regime.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50C9" w14:textId="77777777" w:rsidR="00966245" w:rsidRPr="001B1FDC" w:rsidRDefault="00966245" w:rsidP="00F875FD">
    <w:pPr>
      <w:pStyle w:val="Classification"/>
    </w:pPr>
    <w:r>
      <w:rPr>
        <w:noProof/>
        <w:lang w:eastAsia="en-AU"/>
      </w:rPr>
      <w:drawing>
        <wp:anchor distT="0" distB="0" distL="114300" distR="114300" simplePos="0" relativeHeight="251660288" behindDoc="1" locked="0" layoutInCell="1" allowOverlap="1" wp14:anchorId="256BDA94" wp14:editId="35AD2AFF">
          <wp:simplePos x="0" y="0"/>
          <wp:positionH relativeFrom="column">
            <wp:posOffset>-914400</wp:posOffset>
          </wp:positionH>
          <wp:positionV relativeFrom="paragraph">
            <wp:posOffset>-449580</wp:posOffset>
          </wp:positionV>
          <wp:extent cx="1186686" cy="2514600"/>
          <wp:effectExtent l="0" t="0" r="7620" b="0"/>
          <wp:wrapNone/>
          <wp:docPr id="7" name="Picture 7" descr="Macintosh HD:Users:emma:Desktop:Design Jobs:Austrac:02_Design Jobs:40_Revised Templates:03_Design Aids:New: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388" cy="2516087"/>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sdt>
      <w:sdtPr>
        <w:alias w:val="Security Classification"/>
        <w:tag w:val="SecurityClassification"/>
        <w:id w:val="-1910140902"/>
        <w:text/>
      </w:sdtPr>
      <w:sdtEndPr/>
      <w:sdtContent>
        <w:r>
          <w:t>UNCLASSIFIED – For Official Use Only</w:t>
        </w:r>
      </w:sdtContent>
    </w:sdt>
  </w:p>
  <w:p w14:paraId="46B11F90" w14:textId="77777777" w:rsidR="00966245" w:rsidRDefault="00966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E043D" w14:textId="77777777" w:rsidR="00966245" w:rsidRDefault="00966245">
    <w:pPr>
      <w:pStyle w:val="Header"/>
    </w:pPr>
    <w:r>
      <w:rPr>
        <w:noProof/>
        <w:lang w:eastAsia="en-AU"/>
      </w:rPr>
      <w:drawing>
        <wp:anchor distT="0" distB="0" distL="114300" distR="114300" simplePos="0" relativeHeight="251664384" behindDoc="1" locked="0" layoutInCell="1" allowOverlap="1" wp14:anchorId="73305C16" wp14:editId="2149A64A">
          <wp:simplePos x="0" y="0"/>
          <wp:positionH relativeFrom="column">
            <wp:posOffset>-914400</wp:posOffset>
          </wp:positionH>
          <wp:positionV relativeFrom="paragraph">
            <wp:posOffset>-449580</wp:posOffset>
          </wp:positionV>
          <wp:extent cx="7568573" cy="10705514"/>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AUSTRAC_rebrand_Letterhead3.jpg"/>
                  <pic:cNvPicPr/>
                </pic:nvPicPr>
                <pic:blipFill>
                  <a:blip r:embed="rId1"/>
                  <a:stretch>
                    <a:fillRect/>
                  </a:stretch>
                </pic:blipFill>
                <pic:spPr>
                  <a:xfrm>
                    <a:off x="0" y="0"/>
                    <a:ext cx="7582278" cy="107248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2404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C27A52"/>
    <w:multiLevelType w:val="multilevel"/>
    <w:tmpl w:val="5AB8B158"/>
    <w:styleLink w:val="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A874AF"/>
    <w:multiLevelType w:val="multilevel"/>
    <w:tmpl w:val="5AB8B15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92407A"/>
    <w:multiLevelType w:val="hybridMultilevel"/>
    <w:tmpl w:val="6FD4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BC7096"/>
    <w:multiLevelType w:val="hybridMultilevel"/>
    <w:tmpl w:val="000E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A72A8B"/>
    <w:multiLevelType w:val="hybridMultilevel"/>
    <w:tmpl w:val="81E8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13295C"/>
    <w:multiLevelType w:val="hybridMultilevel"/>
    <w:tmpl w:val="CBA4D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lvlOverride w:ilvl="1">
      <w:lvl w:ilvl="1">
        <w:start w:val="1"/>
        <w:numFmt w:val="decimal"/>
        <w:lvlText w:val="%1.%2."/>
        <w:lvlJc w:val="left"/>
        <w:pPr>
          <w:ind w:left="1134" w:hanging="1134"/>
        </w:pPr>
        <w:rPr>
          <w:rFonts w:ascii="Calibri" w:hAnsi="Calibri" w:hint="default"/>
        </w:rPr>
      </w:lvl>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B1"/>
    <w:rsid w:val="00020606"/>
    <w:rsid w:val="00024FE8"/>
    <w:rsid w:val="00085487"/>
    <w:rsid w:val="000916EC"/>
    <w:rsid w:val="000D09FA"/>
    <w:rsid w:val="000D4229"/>
    <w:rsid w:val="000E3B0D"/>
    <w:rsid w:val="000F0DFD"/>
    <w:rsid w:val="00102B9C"/>
    <w:rsid w:val="0012385F"/>
    <w:rsid w:val="00147070"/>
    <w:rsid w:val="0017231E"/>
    <w:rsid w:val="001B1FDC"/>
    <w:rsid w:val="001B5DC1"/>
    <w:rsid w:val="001D779F"/>
    <w:rsid w:val="001E0207"/>
    <w:rsid w:val="00212335"/>
    <w:rsid w:val="002800A0"/>
    <w:rsid w:val="002B68D8"/>
    <w:rsid w:val="00332BDF"/>
    <w:rsid w:val="00352283"/>
    <w:rsid w:val="003637CA"/>
    <w:rsid w:val="00364E2E"/>
    <w:rsid w:val="003B7C51"/>
    <w:rsid w:val="003C53EF"/>
    <w:rsid w:val="004561ED"/>
    <w:rsid w:val="004644EC"/>
    <w:rsid w:val="004D495B"/>
    <w:rsid w:val="0051580E"/>
    <w:rsid w:val="005211E1"/>
    <w:rsid w:val="005609D5"/>
    <w:rsid w:val="00582AE7"/>
    <w:rsid w:val="0059279B"/>
    <w:rsid w:val="005A2E0A"/>
    <w:rsid w:val="005C23DA"/>
    <w:rsid w:val="005D0EB6"/>
    <w:rsid w:val="00601F66"/>
    <w:rsid w:val="006417BF"/>
    <w:rsid w:val="006A6008"/>
    <w:rsid w:val="006B5417"/>
    <w:rsid w:val="006B73AB"/>
    <w:rsid w:val="006C13D2"/>
    <w:rsid w:val="006E04CD"/>
    <w:rsid w:val="006E6F95"/>
    <w:rsid w:val="007315D2"/>
    <w:rsid w:val="007454EB"/>
    <w:rsid w:val="00792826"/>
    <w:rsid w:val="00813B9C"/>
    <w:rsid w:val="0081697D"/>
    <w:rsid w:val="00822893"/>
    <w:rsid w:val="0085326D"/>
    <w:rsid w:val="0088537B"/>
    <w:rsid w:val="009328A0"/>
    <w:rsid w:val="00960532"/>
    <w:rsid w:val="00964BBA"/>
    <w:rsid w:val="00966245"/>
    <w:rsid w:val="00980B1A"/>
    <w:rsid w:val="00A44A0B"/>
    <w:rsid w:val="00A56ABF"/>
    <w:rsid w:val="00A85142"/>
    <w:rsid w:val="00AB297D"/>
    <w:rsid w:val="00AB5C2D"/>
    <w:rsid w:val="00AB6406"/>
    <w:rsid w:val="00AF582A"/>
    <w:rsid w:val="00B174B5"/>
    <w:rsid w:val="00B432F5"/>
    <w:rsid w:val="00B67EE6"/>
    <w:rsid w:val="00B74D0E"/>
    <w:rsid w:val="00B76230"/>
    <w:rsid w:val="00BF5ADA"/>
    <w:rsid w:val="00C02494"/>
    <w:rsid w:val="00C24790"/>
    <w:rsid w:val="00C47D2F"/>
    <w:rsid w:val="00C557E2"/>
    <w:rsid w:val="00C76EA2"/>
    <w:rsid w:val="00C915E2"/>
    <w:rsid w:val="00CA3C72"/>
    <w:rsid w:val="00D501BF"/>
    <w:rsid w:val="00D67A3C"/>
    <w:rsid w:val="00D806B7"/>
    <w:rsid w:val="00DC21F1"/>
    <w:rsid w:val="00E96EFE"/>
    <w:rsid w:val="00EA1DB1"/>
    <w:rsid w:val="00EA7C81"/>
    <w:rsid w:val="00EB4273"/>
    <w:rsid w:val="00EF1485"/>
    <w:rsid w:val="00EF6974"/>
    <w:rsid w:val="00F008AD"/>
    <w:rsid w:val="00F1604A"/>
    <w:rsid w:val="00F313C9"/>
    <w:rsid w:val="00F875FD"/>
    <w:rsid w:val="00F96CCC"/>
    <w:rsid w:val="00FD21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2A1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DC"/>
    <w:pPr>
      <w:spacing w:before="120"/>
    </w:pPr>
    <w:rPr>
      <w:rFonts w:ascii="Calibri" w:hAnsi="Calibri"/>
      <w:color w:val="5F5F5F"/>
      <w:sz w:val="24"/>
    </w:rPr>
  </w:style>
  <w:style w:type="paragraph" w:styleId="Heading1">
    <w:name w:val="heading 1"/>
    <w:basedOn w:val="Normal"/>
    <w:next w:val="Normal"/>
    <w:link w:val="Heading1Char"/>
    <w:uiPriority w:val="9"/>
    <w:qFormat/>
    <w:rsid w:val="00A44A0B"/>
    <w:pPr>
      <w:keepNext/>
      <w:keepLines/>
      <w:pageBreakBefore/>
      <w:pBdr>
        <w:bottom w:val="single" w:sz="4" w:space="1" w:color="auto"/>
      </w:pBdr>
      <w:spacing w:before="0" w:after="480"/>
      <w:outlineLvl w:val="0"/>
    </w:pPr>
    <w:rPr>
      <w:rFonts w:eastAsiaTheme="majorEastAsia" w:cstheme="majorBidi"/>
      <w:b/>
      <w:bCs/>
      <w:color w:val="01426A"/>
      <w:sz w:val="44"/>
      <w:szCs w:val="52"/>
    </w:rPr>
  </w:style>
  <w:style w:type="paragraph" w:styleId="Heading2">
    <w:name w:val="heading 2"/>
    <w:basedOn w:val="Normal"/>
    <w:next w:val="Normal"/>
    <w:link w:val="Heading2Char"/>
    <w:uiPriority w:val="9"/>
    <w:unhideWhenUsed/>
    <w:qFormat/>
    <w:rsid w:val="00A44A0B"/>
    <w:pPr>
      <w:keepNext/>
      <w:keepLines/>
      <w:spacing w:before="360" w:after="240"/>
      <w:outlineLvl w:val="1"/>
    </w:pPr>
    <w:rPr>
      <w:rFonts w:eastAsiaTheme="majorEastAsia" w:cstheme="majorBidi"/>
      <w:b/>
      <w:bCs/>
      <w:color w:val="516E73"/>
      <w:sz w:val="36"/>
      <w:szCs w:val="40"/>
    </w:rPr>
  </w:style>
  <w:style w:type="paragraph" w:styleId="Heading3">
    <w:name w:val="heading 3"/>
    <w:basedOn w:val="Normal"/>
    <w:next w:val="Normal"/>
    <w:link w:val="Heading3Char"/>
    <w:uiPriority w:val="9"/>
    <w:unhideWhenUsed/>
    <w:qFormat/>
    <w:rsid w:val="00A44A0B"/>
    <w:pPr>
      <w:keepNext/>
      <w:keepLines/>
      <w:spacing w:before="200" w:after="0"/>
      <w:outlineLvl w:val="2"/>
    </w:pPr>
    <w:rPr>
      <w:rFonts w:eastAsiaTheme="majorEastAsia" w:cstheme="majorBidi"/>
      <w:b/>
      <w:bCs/>
      <w:color w:val="6EC3B6"/>
      <w:sz w:val="28"/>
      <w:szCs w:val="32"/>
    </w:rPr>
  </w:style>
  <w:style w:type="paragraph" w:styleId="Heading4">
    <w:name w:val="heading 4"/>
    <w:basedOn w:val="Normal"/>
    <w:next w:val="Normal"/>
    <w:link w:val="Heading4Char"/>
    <w:uiPriority w:val="9"/>
    <w:unhideWhenUsed/>
    <w:qFormat/>
    <w:rsid w:val="00792826"/>
    <w:pPr>
      <w:keepNext/>
      <w:keepLines/>
      <w:outlineLvl w:val="3"/>
    </w:pPr>
    <w:rPr>
      <w:rFonts w:eastAsiaTheme="majorEastAsia" w:cstheme="majorBidi"/>
      <w:b/>
      <w:bCs/>
      <w:i/>
      <w:iCs/>
      <w:color w:val="007398"/>
    </w:rPr>
  </w:style>
  <w:style w:type="paragraph" w:styleId="Heading5">
    <w:name w:val="heading 5"/>
    <w:basedOn w:val="Normal"/>
    <w:next w:val="Normal"/>
    <w:link w:val="Heading5Char"/>
    <w:uiPriority w:val="9"/>
    <w:semiHidden/>
    <w:unhideWhenUsed/>
    <w:qFormat/>
    <w:rsid w:val="00F1604A"/>
    <w:pPr>
      <w:keepNext/>
      <w:keepLines/>
      <w:spacing w:before="200" w:after="0"/>
      <w:ind w:left="2268" w:hanging="2268"/>
      <w:outlineLvl w:val="4"/>
    </w:pPr>
    <w:rPr>
      <w:rFonts w:eastAsiaTheme="majorEastAsia" w:cstheme="majorBidi"/>
      <w:b/>
      <w:color w:val="0038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5D2"/>
    <w:rPr>
      <w:rFonts w:ascii="Tahoma" w:hAnsi="Tahoma" w:cs="Tahoma"/>
      <w:sz w:val="16"/>
      <w:szCs w:val="16"/>
    </w:rPr>
  </w:style>
  <w:style w:type="paragraph" w:styleId="Title">
    <w:name w:val="Title"/>
    <w:basedOn w:val="Normal"/>
    <w:next w:val="Normal"/>
    <w:link w:val="TitleChar"/>
    <w:uiPriority w:val="10"/>
    <w:qFormat/>
    <w:rsid w:val="001B1FDC"/>
    <w:pPr>
      <w:spacing w:line="240" w:lineRule="auto"/>
      <w:jc w:val="right"/>
    </w:pPr>
    <w:rPr>
      <w:rFonts w:cs="Arial"/>
      <w:color w:val="01426A"/>
      <w:sz w:val="84"/>
      <w:szCs w:val="84"/>
    </w:rPr>
  </w:style>
  <w:style w:type="character" w:customStyle="1" w:styleId="TitleChar">
    <w:name w:val="Title Char"/>
    <w:basedOn w:val="DefaultParagraphFont"/>
    <w:link w:val="Title"/>
    <w:uiPriority w:val="10"/>
    <w:rsid w:val="001B1FDC"/>
    <w:rPr>
      <w:rFonts w:ascii="Calibri" w:hAnsi="Calibri" w:cs="Arial"/>
      <w:color w:val="01426A"/>
      <w:sz w:val="84"/>
      <w:szCs w:val="84"/>
    </w:rPr>
  </w:style>
  <w:style w:type="paragraph" w:styleId="Subtitle">
    <w:name w:val="Subtitle"/>
    <w:basedOn w:val="Normal"/>
    <w:next w:val="Normal"/>
    <w:link w:val="SubtitleChar"/>
    <w:uiPriority w:val="11"/>
    <w:qFormat/>
    <w:rsid w:val="001B1FDC"/>
    <w:pPr>
      <w:jc w:val="right"/>
    </w:pPr>
    <w:rPr>
      <w:rFonts w:cs="Arial"/>
      <w:color w:val="638186"/>
      <w:sz w:val="44"/>
      <w:szCs w:val="44"/>
    </w:rPr>
  </w:style>
  <w:style w:type="character" w:customStyle="1" w:styleId="SubtitleChar">
    <w:name w:val="Subtitle Char"/>
    <w:basedOn w:val="DefaultParagraphFont"/>
    <w:link w:val="Subtitle"/>
    <w:uiPriority w:val="11"/>
    <w:rsid w:val="001B1FDC"/>
    <w:rPr>
      <w:rFonts w:ascii="Calibri" w:hAnsi="Calibri" w:cs="Arial"/>
      <w:color w:val="638186"/>
      <w:sz w:val="44"/>
      <w:szCs w:val="44"/>
    </w:rPr>
  </w:style>
  <w:style w:type="character" w:customStyle="1" w:styleId="Heading1Char">
    <w:name w:val="Heading 1 Char"/>
    <w:basedOn w:val="DefaultParagraphFont"/>
    <w:link w:val="Heading1"/>
    <w:uiPriority w:val="9"/>
    <w:rsid w:val="00A44A0B"/>
    <w:rPr>
      <w:rFonts w:ascii="Calibri" w:eastAsiaTheme="majorEastAsia" w:hAnsi="Calibri" w:cstheme="majorBidi"/>
      <w:b/>
      <w:bCs/>
      <w:color w:val="01426A"/>
      <w:sz w:val="44"/>
      <w:szCs w:val="52"/>
    </w:rPr>
  </w:style>
  <w:style w:type="paragraph" w:styleId="ListParagraph">
    <w:name w:val="List Paragraph"/>
    <w:basedOn w:val="Normal"/>
    <w:uiPriority w:val="34"/>
    <w:qFormat/>
    <w:rsid w:val="003B7C51"/>
    <w:pPr>
      <w:ind w:left="720"/>
      <w:contextualSpacing/>
    </w:pPr>
  </w:style>
  <w:style w:type="character" w:customStyle="1" w:styleId="Heading2Char">
    <w:name w:val="Heading 2 Char"/>
    <w:basedOn w:val="DefaultParagraphFont"/>
    <w:link w:val="Heading2"/>
    <w:uiPriority w:val="9"/>
    <w:rsid w:val="00A44A0B"/>
    <w:rPr>
      <w:rFonts w:ascii="Calibri" w:eastAsiaTheme="majorEastAsia" w:hAnsi="Calibri" w:cstheme="majorBidi"/>
      <w:b/>
      <w:bCs/>
      <w:color w:val="516E73"/>
      <w:sz w:val="36"/>
      <w:szCs w:val="40"/>
    </w:rPr>
  </w:style>
  <w:style w:type="character" w:customStyle="1" w:styleId="Heading3Char">
    <w:name w:val="Heading 3 Char"/>
    <w:basedOn w:val="DefaultParagraphFont"/>
    <w:link w:val="Heading3"/>
    <w:uiPriority w:val="9"/>
    <w:rsid w:val="00A44A0B"/>
    <w:rPr>
      <w:rFonts w:ascii="Calibri" w:eastAsiaTheme="majorEastAsia" w:hAnsi="Calibri" w:cstheme="majorBidi"/>
      <w:b/>
      <w:bCs/>
      <w:color w:val="6EC3B6"/>
      <w:sz w:val="28"/>
      <w:szCs w:val="32"/>
    </w:rPr>
  </w:style>
  <w:style w:type="paragraph" w:customStyle="1" w:styleId="Break-outbox">
    <w:name w:val="Break-out box"/>
    <w:basedOn w:val="Normal"/>
    <w:link w:val="Break-outboxChar"/>
    <w:qFormat/>
    <w:rsid w:val="00D67A3C"/>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paragraph" w:styleId="Header">
    <w:name w:val="header"/>
    <w:basedOn w:val="Normal"/>
    <w:link w:val="HeaderChar"/>
    <w:uiPriority w:val="99"/>
    <w:unhideWhenUsed/>
    <w:rsid w:val="00792826"/>
    <w:pPr>
      <w:tabs>
        <w:tab w:val="center" w:pos="4513"/>
        <w:tab w:val="right" w:pos="9026"/>
      </w:tabs>
      <w:spacing w:before="0" w:after="0" w:line="240" w:lineRule="auto"/>
      <w:jc w:val="right"/>
    </w:pPr>
    <w:rPr>
      <w:sz w:val="18"/>
    </w:rPr>
  </w:style>
  <w:style w:type="character" w:customStyle="1" w:styleId="Break-outboxChar">
    <w:name w:val="Break-out box Char"/>
    <w:basedOn w:val="DefaultParagraphFont"/>
    <w:link w:val="Break-outbox"/>
    <w:rsid w:val="00D67A3C"/>
    <w:rPr>
      <w:rFonts w:ascii="Arial" w:hAnsi="Arial"/>
      <w:color w:val="828282" w:themeColor="text1" w:themeTint="A6"/>
      <w:shd w:val="clear" w:color="auto" w:fill="F2F2F2" w:themeFill="background1" w:themeFillShade="F2"/>
    </w:rPr>
  </w:style>
  <w:style w:type="character" w:customStyle="1" w:styleId="HeaderChar">
    <w:name w:val="Header Char"/>
    <w:basedOn w:val="DefaultParagraphFont"/>
    <w:link w:val="Header"/>
    <w:uiPriority w:val="99"/>
    <w:rsid w:val="00792826"/>
    <w:rPr>
      <w:rFonts w:ascii="Arial" w:hAnsi="Arial"/>
      <w:color w:val="828282" w:themeColor="text1" w:themeTint="A6"/>
      <w:sz w:val="18"/>
    </w:rPr>
  </w:style>
  <w:style w:type="paragraph" w:styleId="Footer">
    <w:name w:val="footer"/>
    <w:basedOn w:val="Normal"/>
    <w:link w:val="FooterChar"/>
    <w:uiPriority w:val="99"/>
    <w:unhideWhenUsed/>
    <w:rsid w:val="00792826"/>
    <w:pPr>
      <w:tabs>
        <w:tab w:val="center" w:pos="4513"/>
        <w:tab w:val="right" w:pos="9026"/>
      </w:tabs>
      <w:spacing w:before="0" w:after="0" w:line="240" w:lineRule="auto"/>
      <w:jc w:val="right"/>
    </w:pPr>
    <w:rPr>
      <w:sz w:val="18"/>
    </w:rPr>
  </w:style>
  <w:style w:type="character" w:customStyle="1" w:styleId="FooterChar">
    <w:name w:val="Footer Char"/>
    <w:basedOn w:val="DefaultParagraphFont"/>
    <w:link w:val="Footer"/>
    <w:uiPriority w:val="99"/>
    <w:rsid w:val="00792826"/>
    <w:rPr>
      <w:rFonts w:ascii="Arial" w:hAnsi="Arial"/>
      <w:color w:val="828282" w:themeColor="text1" w:themeTint="A6"/>
      <w:sz w:val="18"/>
    </w:rPr>
  </w:style>
  <w:style w:type="character" w:customStyle="1" w:styleId="Heading4Char">
    <w:name w:val="Heading 4 Char"/>
    <w:basedOn w:val="DefaultParagraphFont"/>
    <w:link w:val="Heading4"/>
    <w:uiPriority w:val="9"/>
    <w:semiHidden/>
    <w:rsid w:val="00792826"/>
    <w:rPr>
      <w:rFonts w:ascii="Arial" w:eastAsiaTheme="majorEastAsia" w:hAnsi="Arial" w:cstheme="majorBidi"/>
      <w:b/>
      <w:bCs/>
      <w:i/>
      <w:iCs/>
      <w:color w:val="007398"/>
    </w:rPr>
  </w:style>
  <w:style w:type="character" w:styleId="SubtleEmphasis">
    <w:name w:val="Subtle Emphasis"/>
    <w:basedOn w:val="DefaultParagraphFont"/>
    <w:uiPriority w:val="19"/>
    <w:qFormat/>
    <w:rsid w:val="00792826"/>
    <w:rPr>
      <w:rFonts w:ascii="Arial" w:hAnsi="Arial"/>
      <w:i/>
      <w:iCs/>
      <w:color w:val="9F9F9F" w:themeColor="text1" w:themeTint="7F"/>
    </w:rPr>
  </w:style>
  <w:style w:type="character" w:styleId="Emphasis">
    <w:name w:val="Emphasis"/>
    <w:basedOn w:val="DefaultParagraphFont"/>
    <w:uiPriority w:val="20"/>
    <w:qFormat/>
    <w:rsid w:val="00792826"/>
    <w:rPr>
      <w:rFonts w:ascii="Arial" w:hAnsi="Arial"/>
      <w:i/>
      <w:iCs/>
    </w:rPr>
  </w:style>
  <w:style w:type="character" w:styleId="IntenseEmphasis">
    <w:name w:val="Intense Emphasis"/>
    <w:basedOn w:val="DefaultParagraphFont"/>
    <w:uiPriority w:val="21"/>
    <w:qFormat/>
    <w:rsid w:val="00792826"/>
    <w:rPr>
      <w:rFonts w:ascii="Arial" w:hAnsi="Arial"/>
      <w:b/>
      <w:bCs/>
      <w:i/>
      <w:iCs/>
      <w:color w:val="9ABFCE"/>
    </w:rPr>
  </w:style>
  <w:style w:type="paragraph" w:styleId="IntenseQuote">
    <w:name w:val="Intense Quote"/>
    <w:basedOn w:val="Normal"/>
    <w:next w:val="Normal"/>
    <w:link w:val="IntenseQuoteChar"/>
    <w:uiPriority w:val="30"/>
    <w:qFormat/>
    <w:rsid w:val="00792826"/>
    <w:pPr>
      <w:pBdr>
        <w:bottom w:val="single" w:sz="4" w:space="4" w:color="9ABFCE"/>
      </w:pBdr>
      <w:spacing w:before="200" w:after="280"/>
      <w:ind w:left="936" w:right="936"/>
    </w:pPr>
    <w:rPr>
      <w:b/>
      <w:bCs/>
      <w:i/>
      <w:iCs/>
      <w:color w:val="9ABFCE"/>
    </w:rPr>
  </w:style>
  <w:style w:type="character" w:customStyle="1" w:styleId="IntenseQuoteChar">
    <w:name w:val="Intense Quote Char"/>
    <w:basedOn w:val="DefaultParagraphFont"/>
    <w:link w:val="IntenseQuote"/>
    <w:uiPriority w:val="30"/>
    <w:rsid w:val="00792826"/>
    <w:rPr>
      <w:rFonts w:ascii="Arial" w:hAnsi="Arial"/>
      <w:b/>
      <w:bCs/>
      <w:i/>
      <w:iCs/>
      <w:color w:val="9ABFCE"/>
    </w:rPr>
  </w:style>
  <w:style w:type="character" w:styleId="SubtleReference">
    <w:name w:val="Subtle Reference"/>
    <w:basedOn w:val="DefaultParagraphFont"/>
    <w:uiPriority w:val="31"/>
    <w:qFormat/>
    <w:rsid w:val="00792826"/>
    <w:rPr>
      <w:rFonts w:ascii="Arial" w:hAnsi="Arial"/>
      <w:smallCaps/>
      <w:color w:val="1E384D" w:themeColor="accent2"/>
      <w:u w:val="single"/>
    </w:rPr>
  </w:style>
  <w:style w:type="character" w:styleId="IntenseReference">
    <w:name w:val="Intense Reference"/>
    <w:basedOn w:val="DefaultParagraphFont"/>
    <w:uiPriority w:val="32"/>
    <w:qFormat/>
    <w:rsid w:val="00792826"/>
    <w:rPr>
      <w:rFonts w:ascii="Arial" w:hAnsi="Arial"/>
      <w:b/>
      <w:bCs/>
      <w:smallCaps/>
      <w:color w:val="1E384D" w:themeColor="accent2"/>
      <w:spacing w:val="5"/>
      <w:u w:val="single"/>
    </w:rPr>
  </w:style>
  <w:style w:type="character" w:styleId="BookTitle">
    <w:name w:val="Book Title"/>
    <w:basedOn w:val="DefaultParagraphFont"/>
    <w:uiPriority w:val="33"/>
    <w:qFormat/>
    <w:rsid w:val="00792826"/>
    <w:rPr>
      <w:rFonts w:ascii="Arial" w:hAnsi="Arial"/>
      <w:b/>
      <w:bCs/>
      <w:smallCaps/>
      <w:spacing w:val="5"/>
    </w:rPr>
  </w:style>
  <w:style w:type="character" w:customStyle="1" w:styleId="Style2">
    <w:name w:val="Style2"/>
    <w:basedOn w:val="DefaultParagraphFont"/>
    <w:uiPriority w:val="1"/>
    <w:rsid w:val="00C76EA2"/>
    <w:rPr>
      <w:rFonts w:ascii="Arial" w:hAnsi="Arial"/>
      <w:b/>
      <w:color w:val="FF0000"/>
      <w:sz w:val="28"/>
    </w:rPr>
  </w:style>
  <w:style w:type="character" w:styleId="Hyperlink">
    <w:name w:val="Hyperlink"/>
    <w:basedOn w:val="DefaultParagraphFont"/>
    <w:uiPriority w:val="99"/>
    <w:unhideWhenUsed/>
    <w:rsid w:val="00DC21F1"/>
    <w:rPr>
      <w:color w:val="007398" w:themeColor="hyperlink"/>
      <w:u w:val="single"/>
    </w:rPr>
  </w:style>
  <w:style w:type="paragraph" w:styleId="NoSpacing">
    <w:name w:val="No Spacing"/>
    <w:autoRedefine/>
    <w:uiPriority w:val="1"/>
    <w:qFormat/>
    <w:rsid w:val="001B1FDC"/>
    <w:pPr>
      <w:spacing w:after="0" w:line="240" w:lineRule="auto"/>
    </w:pPr>
    <w:rPr>
      <w:rFonts w:ascii="Calibri" w:hAnsi="Calibri"/>
      <w:sz w:val="24"/>
    </w:rPr>
  </w:style>
  <w:style w:type="paragraph" w:customStyle="1" w:styleId="Classification">
    <w:name w:val="Classification"/>
    <w:basedOn w:val="Normal"/>
    <w:autoRedefine/>
    <w:qFormat/>
    <w:rsid w:val="00F875FD"/>
    <w:pPr>
      <w:spacing w:before="0" w:after="0" w:line="240" w:lineRule="auto"/>
      <w:jc w:val="center"/>
    </w:pPr>
    <w:rPr>
      <w:b/>
      <w:color w:val="FF0000"/>
      <w:sz w:val="28"/>
    </w:rPr>
  </w:style>
  <w:style w:type="character" w:customStyle="1" w:styleId="Heading5Char">
    <w:name w:val="Heading 5 Char"/>
    <w:basedOn w:val="DefaultParagraphFont"/>
    <w:link w:val="Heading5"/>
    <w:uiPriority w:val="9"/>
    <w:semiHidden/>
    <w:rsid w:val="00F1604A"/>
    <w:rPr>
      <w:rFonts w:ascii="Calibri" w:eastAsiaTheme="majorEastAsia" w:hAnsi="Calibri" w:cstheme="majorBidi"/>
      <w:b/>
      <w:color w:val="00384B" w:themeColor="accent1" w:themeShade="7F"/>
      <w:sz w:val="24"/>
    </w:rPr>
  </w:style>
  <w:style w:type="numbering" w:customStyle="1" w:styleId="Headings">
    <w:name w:val="Headings"/>
    <w:basedOn w:val="NoList"/>
    <w:uiPriority w:val="99"/>
    <w:rsid w:val="00F1604A"/>
    <w:pPr>
      <w:numPr>
        <w:numId w:val="4"/>
      </w:numPr>
    </w:pPr>
  </w:style>
  <w:style w:type="paragraph" w:customStyle="1" w:styleId="DLM">
    <w:name w:val="DLM"/>
    <w:link w:val="DLMChar"/>
    <w:rsid w:val="00F1604A"/>
    <w:pPr>
      <w:jc w:val="center"/>
    </w:pPr>
    <w:rPr>
      <w:rFonts w:ascii="Arial" w:hAnsi="Arial" w:cs="Arial"/>
      <w:color w:val="FF0000"/>
      <w:sz w:val="24"/>
      <w:szCs w:val="24"/>
    </w:rPr>
  </w:style>
  <w:style w:type="character" w:customStyle="1" w:styleId="DLMChar">
    <w:name w:val="DLM Char"/>
    <w:basedOn w:val="DefaultParagraphFont"/>
    <w:link w:val="DLM"/>
    <w:rsid w:val="00F1604A"/>
    <w:rPr>
      <w:rFonts w:ascii="Arial" w:hAnsi="Arial" w:cs="Arial"/>
      <w:color w:val="FF0000"/>
      <w:sz w:val="24"/>
      <w:szCs w:val="24"/>
    </w:rPr>
  </w:style>
  <w:style w:type="paragraph" w:styleId="FootnoteText">
    <w:name w:val="footnote text"/>
    <w:basedOn w:val="Normal"/>
    <w:link w:val="FootnoteTextChar"/>
    <w:uiPriority w:val="99"/>
    <w:semiHidden/>
    <w:unhideWhenUsed/>
    <w:rsid w:val="00C47D2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47D2F"/>
    <w:rPr>
      <w:rFonts w:ascii="Calibri" w:hAnsi="Calibri"/>
      <w:color w:val="5F5F5F"/>
      <w:sz w:val="20"/>
      <w:szCs w:val="20"/>
    </w:rPr>
  </w:style>
  <w:style w:type="character" w:styleId="FootnoteReference">
    <w:name w:val="footnote reference"/>
    <w:basedOn w:val="DefaultParagraphFont"/>
    <w:uiPriority w:val="99"/>
    <w:semiHidden/>
    <w:unhideWhenUsed/>
    <w:rsid w:val="00C47D2F"/>
    <w:rPr>
      <w:vertAlign w:val="superscript"/>
    </w:rPr>
  </w:style>
  <w:style w:type="character" w:styleId="CommentReference">
    <w:name w:val="annotation reference"/>
    <w:basedOn w:val="DefaultParagraphFont"/>
    <w:uiPriority w:val="99"/>
    <w:semiHidden/>
    <w:unhideWhenUsed/>
    <w:rsid w:val="0051580E"/>
    <w:rPr>
      <w:sz w:val="16"/>
      <w:szCs w:val="16"/>
    </w:rPr>
  </w:style>
  <w:style w:type="paragraph" w:styleId="CommentText">
    <w:name w:val="annotation text"/>
    <w:basedOn w:val="Normal"/>
    <w:link w:val="CommentTextChar"/>
    <w:uiPriority w:val="99"/>
    <w:semiHidden/>
    <w:unhideWhenUsed/>
    <w:rsid w:val="0051580E"/>
    <w:pPr>
      <w:spacing w:line="240" w:lineRule="auto"/>
    </w:pPr>
    <w:rPr>
      <w:sz w:val="20"/>
      <w:szCs w:val="20"/>
    </w:rPr>
  </w:style>
  <w:style w:type="character" w:customStyle="1" w:styleId="CommentTextChar">
    <w:name w:val="Comment Text Char"/>
    <w:basedOn w:val="DefaultParagraphFont"/>
    <w:link w:val="CommentText"/>
    <w:uiPriority w:val="99"/>
    <w:semiHidden/>
    <w:rsid w:val="0051580E"/>
    <w:rPr>
      <w:rFonts w:ascii="Calibri" w:hAnsi="Calibri"/>
      <w:color w:val="5F5F5F"/>
      <w:sz w:val="20"/>
      <w:szCs w:val="20"/>
    </w:rPr>
  </w:style>
  <w:style w:type="paragraph" w:styleId="CommentSubject">
    <w:name w:val="annotation subject"/>
    <w:basedOn w:val="CommentText"/>
    <w:next w:val="CommentText"/>
    <w:link w:val="CommentSubjectChar"/>
    <w:uiPriority w:val="99"/>
    <w:semiHidden/>
    <w:unhideWhenUsed/>
    <w:rsid w:val="0051580E"/>
    <w:rPr>
      <w:b/>
      <w:bCs/>
    </w:rPr>
  </w:style>
  <w:style w:type="character" w:customStyle="1" w:styleId="CommentSubjectChar">
    <w:name w:val="Comment Subject Char"/>
    <w:basedOn w:val="CommentTextChar"/>
    <w:link w:val="CommentSubject"/>
    <w:uiPriority w:val="99"/>
    <w:semiHidden/>
    <w:rsid w:val="0051580E"/>
    <w:rPr>
      <w:rFonts w:ascii="Calibri" w:hAnsi="Calibri"/>
      <w:b/>
      <w:bCs/>
      <w:color w:val="5F5F5F"/>
      <w:sz w:val="20"/>
      <w:szCs w:val="20"/>
    </w:rPr>
  </w:style>
  <w:style w:type="character" w:styleId="FollowedHyperlink">
    <w:name w:val="FollowedHyperlink"/>
    <w:basedOn w:val="DefaultParagraphFont"/>
    <w:uiPriority w:val="99"/>
    <w:semiHidden/>
    <w:unhideWhenUsed/>
    <w:rsid w:val="00EB4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0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vernment_relations@austra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nbc.com/2019/02/07/how-criminals-use-airbnb-uber-launder-stolen-credit-card-money.html" TargetMode="External"/><Relationship Id="rId1" Type="http://schemas.openxmlformats.org/officeDocument/2006/relationships/hyperlink" Target="https://arxiv.org/ftp/arxiv/papers/1310/1310.236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0B79-A794-49F9-A28B-ED747BAC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Implementing a reporting regime for sharing economy platform providers consultation submission</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a reporting regime for sharing economy platform providers consultation submission</dc:title>
  <dc:creator/>
  <cp:lastModifiedBy/>
  <cp:revision>1</cp:revision>
  <dcterms:created xsi:type="dcterms:W3CDTF">2021-04-30T01:06:00Z</dcterms:created>
  <dcterms:modified xsi:type="dcterms:W3CDTF">2021-04-30T01:06:00Z</dcterms:modified>
</cp:coreProperties>
</file>