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8B67B" w14:textId="77777777" w:rsidR="00891569" w:rsidRDefault="00891569" w:rsidP="00C3452B">
      <w:pPr>
        <w:pStyle w:val="Baseparagraphcentred"/>
      </w:pPr>
    </w:p>
    <w:p w14:paraId="465CFA1E" w14:textId="77777777" w:rsidR="00891569" w:rsidRDefault="00891569" w:rsidP="00C3452B">
      <w:pPr>
        <w:pStyle w:val="Baseparagraphcentred"/>
      </w:pPr>
    </w:p>
    <w:p w14:paraId="195E79B3" w14:textId="77777777" w:rsidR="00891569" w:rsidRDefault="00891569" w:rsidP="00C3452B">
      <w:pPr>
        <w:pStyle w:val="Baseparagraphcentred"/>
      </w:pPr>
    </w:p>
    <w:p w14:paraId="10518CCF" w14:textId="77777777" w:rsidR="00891569" w:rsidRDefault="00891569" w:rsidP="00C3452B">
      <w:pPr>
        <w:pStyle w:val="Baseparagraphcentred"/>
      </w:pPr>
    </w:p>
    <w:p w14:paraId="26C294EB" w14:textId="77777777" w:rsidR="00891569" w:rsidRDefault="00891569" w:rsidP="00C3452B">
      <w:pPr>
        <w:pStyle w:val="Baseparagraphcentred"/>
      </w:pPr>
    </w:p>
    <w:p w14:paraId="7921F46B" w14:textId="77777777" w:rsidR="00891569" w:rsidRDefault="00891569" w:rsidP="00C3452B">
      <w:pPr>
        <w:pStyle w:val="Baseparagraphcentred"/>
      </w:pPr>
    </w:p>
    <w:p w14:paraId="1CC8BE4E" w14:textId="77777777" w:rsidR="00891569" w:rsidRDefault="00891569" w:rsidP="00C3452B">
      <w:pPr>
        <w:pStyle w:val="Baseparagraphcentred"/>
      </w:pPr>
    </w:p>
    <w:p w14:paraId="0C92353D" w14:textId="77777777" w:rsidR="00891569" w:rsidRDefault="00891569" w:rsidP="00C3452B">
      <w:pPr>
        <w:pStyle w:val="Baseparagraphcentred"/>
      </w:pPr>
    </w:p>
    <w:p w14:paraId="6CCC9FAF" w14:textId="52F498AE" w:rsidR="00C3452B" w:rsidRDefault="00C3452B" w:rsidP="00C3452B">
      <w:pPr>
        <w:pStyle w:val="Baseparagraphcentred"/>
      </w:pPr>
    </w:p>
    <w:p w14:paraId="0116E447" w14:textId="77777777" w:rsidR="00C3452B" w:rsidRDefault="00C3452B" w:rsidP="00C3452B">
      <w:pPr>
        <w:pStyle w:val="Baseparagraphcentred"/>
      </w:pPr>
    </w:p>
    <w:p w14:paraId="66403A41" w14:textId="0BE6BD06" w:rsidR="00C3452B" w:rsidRDefault="004B7799" w:rsidP="00C3452B">
      <w:pPr>
        <w:pStyle w:val="BillName"/>
      </w:pPr>
      <w:bookmarkStart w:id="0" w:name="BillName"/>
      <w:bookmarkEnd w:id="0"/>
      <w:r>
        <w:t>T</w:t>
      </w:r>
      <w:r w:rsidR="007A72B9">
        <w:t xml:space="preserve">reasury </w:t>
      </w:r>
      <w:r>
        <w:t>L</w:t>
      </w:r>
      <w:r w:rsidR="007A72B9">
        <w:t xml:space="preserve">aws </w:t>
      </w:r>
      <w:r>
        <w:t>A</w:t>
      </w:r>
      <w:r w:rsidR="007A72B9">
        <w:t>mendment (</w:t>
      </w:r>
      <w:r>
        <w:t>C</w:t>
      </w:r>
      <w:r w:rsidR="007A72B9">
        <w:t xml:space="preserve">orporate </w:t>
      </w:r>
      <w:r>
        <w:t>I</w:t>
      </w:r>
      <w:r w:rsidR="007A72B9">
        <w:t xml:space="preserve">nsolvency </w:t>
      </w:r>
      <w:r>
        <w:t>R</w:t>
      </w:r>
      <w:r w:rsidR="007A72B9">
        <w:t xml:space="preserve">eforms </w:t>
      </w:r>
      <w:r>
        <w:t>C</w:t>
      </w:r>
      <w:r w:rsidR="007A72B9">
        <w:t xml:space="preserve">onsequentials) </w:t>
      </w:r>
      <w:r>
        <w:t>B</w:t>
      </w:r>
      <w:r w:rsidR="007A72B9">
        <w:t>ill 2021</w:t>
      </w:r>
    </w:p>
    <w:p w14:paraId="4907ADE0" w14:textId="77777777" w:rsidR="00C3452B" w:rsidRDefault="00C3452B" w:rsidP="00C3452B">
      <w:pPr>
        <w:pStyle w:val="Baseparagraphcentred"/>
      </w:pPr>
    </w:p>
    <w:p w14:paraId="46A63CA5" w14:textId="77777777" w:rsidR="00C3452B" w:rsidRDefault="00C3452B" w:rsidP="00C3452B">
      <w:pPr>
        <w:pStyle w:val="Baseparagraphcentred"/>
      </w:pPr>
    </w:p>
    <w:p w14:paraId="727170B6" w14:textId="77777777" w:rsidR="00C3452B" w:rsidRDefault="00C3452B" w:rsidP="00C3452B">
      <w:pPr>
        <w:pStyle w:val="Baseparagraphcentred"/>
      </w:pPr>
    </w:p>
    <w:p w14:paraId="04FDF01B" w14:textId="77777777" w:rsidR="00C3452B" w:rsidRDefault="00C3452B" w:rsidP="00C3452B">
      <w:pPr>
        <w:pStyle w:val="Baseparagraphcentred"/>
      </w:pPr>
    </w:p>
    <w:p w14:paraId="28628104" w14:textId="77777777" w:rsidR="00891569" w:rsidRDefault="00891569" w:rsidP="00C3452B">
      <w:pPr>
        <w:pStyle w:val="Baseparagraphcentred"/>
      </w:pPr>
      <w:r>
        <w:t>EXPOSURE DRAFT EXPLANATORY MATERIALS</w:t>
      </w:r>
    </w:p>
    <w:p w14:paraId="606F2854" w14:textId="3014C8A7" w:rsidR="00C3452B" w:rsidRDefault="00C3452B" w:rsidP="00C3452B">
      <w:pPr>
        <w:pStyle w:val="Baseparagraphcentred"/>
      </w:pPr>
    </w:p>
    <w:p w14:paraId="236B1A60" w14:textId="77777777" w:rsidR="00C3452B" w:rsidRDefault="00C3452B" w:rsidP="00C3452B">
      <w:pPr>
        <w:pStyle w:val="Baseparagraphcentred"/>
      </w:pPr>
    </w:p>
    <w:p w14:paraId="5EDF9204" w14:textId="77777777" w:rsidR="00C3452B" w:rsidRDefault="00C3452B" w:rsidP="00C3452B">
      <w:pPr>
        <w:pStyle w:val="Baseparagraphcentred"/>
      </w:pPr>
    </w:p>
    <w:p w14:paraId="281DEDEF" w14:textId="77777777" w:rsidR="00891569" w:rsidRDefault="00891569" w:rsidP="009E08C4">
      <w:pPr>
        <w:pStyle w:val="ParaCentredNoSpacing"/>
      </w:pPr>
    </w:p>
    <w:p w14:paraId="2964DA9B" w14:textId="77777777" w:rsidR="00891569" w:rsidRDefault="00891569" w:rsidP="00C3452B">
      <w:pPr>
        <w:pStyle w:val="ParaCentredNoSpacing"/>
      </w:pPr>
    </w:p>
    <w:p w14:paraId="16B39F85" w14:textId="414C5BA7" w:rsidR="00C3452B" w:rsidRDefault="00C3452B" w:rsidP="00C3452B">
      <w:pPr>
        <w:pStyle w:val="ParaCentredNoSpacing"/>
      </w:pPr>
    </w:p>
    <w:p w14:paraId="03FB5CC7" w14:textId="77777777" w:rsidR="00C3452B" w:rsidRDefault="00C3452B" w:rsidP="00C3452B"/>
    <w:p w14:paraId="5D22FF41" w14:textId="77777777" w:rsidR="00C3452B" w:rsidRDefault="00C3452B" w:rsidP="00C3452B">
      <w:pPr>
        <w:sectPr w:rsidR="00C3452B" w:rsidSect="00C10AAF">
          <w:headerReference w:type="even" r:id="rId8"/>
          <w:headerReference w:type="default" r:id="rId9"/>
          <w:footerReference w:type="even" r:id="rId10"/>
          <w:footerReference w:type="default" r:id="rId11"/>
          <w:headerReference w:type="first" r:id="rId12"/>
          <w:footerReference w:type="first" r:id="rId13"/>
          <w:type w:val="oddPage"/>
          <w:pgSz w:w="9979" w:h="14175" w:code="138"/>
          <w:pgMar w:top="567" w:right="1134" w:bottom="567" w:left="1134" w:header="709" w:footer="709" w:gutter="0"/>
          <w:cols w:space="708"/>
          <w:titlePg/>
          <w:docGrid w:linePitch="360"/>
        </w:sectPr>
      </w:pPr>
    </w:p>
    <w:p w14:paraId="22A74CF6" w14:textId="77777777" w:rsidR="00C3452B" w:rsidRPr="003E0794" w:rsidRDefault="00C3452B" w:rsidP="00C3452B">
      <w:pPr>
        <w:pStyle w:val="TOCHeading"/>
      </w:pPr>
      <w:r w:rsidRPr="003E0794">
        <w:lastRenderedPageBreak/>
        <w:t>Table of contents</w:t>
      </w:r>
    </w:p>
    <w:p w14:paraId="1B8F0EE0" w14:textId="09D86053" w:rsidR="00F65C79" w:rsidRDefault="00C3452B">
      <w:pPr>
        <w:pStyle w:val="TOC2"/>
        <w:rPr>
          <w:rFonts w:asciiTheme="minorHAnsi" w:eastAsiaTheme="minorEastAsia" w:hAnsiTheme="minorHAnsi" w:cstheme="minorBidi"/>
          <w:sz w:val="22"/>
          <w:szCs w:val="22"/>
        </w:rPr>
      </w:pPr>
      <w:r>
        <w:fldChar w:fldCharType="begin"/>
      </w:r>
      <w:r>
        <w:instrText xml:space="preserve"> TOC \t "Chapter Heading,1,Chapter heading subdocument,2" </w:instrText>
      </w:r>
      <w:r>
        <w:fldChar w:fldCharType="separate"/>
      </w:r>
      <w:r w:rsidR="00F65C79">
        <w:t>Glossary</w:t>
      </w:r>
      <w:r w:rsidR="00F65C79">
        <w:tab/>
      </w:r>
      <w:r w:rsidR="00F65C79">
        <w:fldChar w:fldCharType="begin"/>
      </w:r>
      <w:r w:rsidR="00F65C79">
        <w:instrText xml:space="preserve"> PAGEREF _Toc69138238 \h </w:instrText>
      </w:r>
      <w:r w:rsidR="00F65C79">
        <w:fldChar w:fldCharType="separate"/>
      </w:r>
      <w:r w:rsidR="00F65C79">
        <w:t>1</w:t>
      </w:r>
      <w:r w:rsidR="00F65C79">
        <w:fldChar w:fldCharType="end"/>
      </w:r>
    </w:p>
    <w:p w14:paraId="5A3A5F1F" w14:textId="6D8539F8" w:rsidR="00F65C79" w:rsidRDefault="00F65C79">
      <w:pPr>
        <w:pStyle w:val="TOC1"/>
        <w:rPr>
          <w:rFonts w:asciiTheme="minorHAnsi" w:eastAsiaTheme="minorEastAsia" w:hAnsiTheme="minorHAnsi" w:cstheme="minorBidi"/>
          <w:noProof/>
          <w:sz w:val="22"/>
          <w:szCs w:val="22"/>
        </w:rPr>
      </w:pPr>
      <w:r>
        <w:rPr>
          <w:noProof/>
        </w:rPr>
        <w:t>Overview and context for corporate insolvency reforms</w:t>
      </w:r>
      <w:r>
        <w:rPr>
          <w:noProof/>
        </w:rPr>
        <w:tab/>
      </w:r>
      <w:r>
        <w:rPr>
          <w:noProof/>
        </w:rPr>
        <w:fldChar w:fldCharType="begin"/>
      </w:r>
      <w:r>
        <w:rPr>
          <w:noProof/>
        </w:rPr>
        <w:instrText xml:space="preserve"> PAGEREF _Toc69138239 \h </w:instrText>
      </w:r>
      <w:r>
        <w:rPr>
          <w:noProof/>
        </w:rPr>
      </w:r>
      <w:r>
        <w:rPr>
          <w:noProof/>
        </w:rPr>
        <w:fldChar w:fldCharType="separate"/>
      </w:r>
      <w:r>
        <w:rPr>
          <w:noProof/>
        </w:rPr>
        <w:t>3</w:t>
      </w:r>
      <w:r>
        <w:rPr>
          <w:noProof/>
        </w:rPr>
        <w:fldChar w:fldCharType="end"/>
      </w:r>
    </w:p>
    <w:p w14:paraId="0C600780" w14:textId="0B26AFF0" w:rsidR="00F65C79" w:rsidRDefault="00F65C79">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Corporate insolvency reforms— consequential amendments</w:t>
      </w:r>
      <w:r>
        <w:rPr>
          <w:noProof/>
        </w:rPr>
        <w:tab/>
      </w:r>
      <w:r>
        <w:rPr>
          <w:noProof/>
        </w:rPr>
        <w:fldChar w:fldCharType="begin"/>
      </w:r>
      <w:r>
        <w:rPr>
          <w:noProof/>
        </w:rPr>
        <w:instrText xml:space="preserve"> PAGEREF _Toc69138240 \h </w:instrText>
      </w:r>
      <w:r>
        <w:rPr>
          <w:noProof/>
        </w:rPr>
      </w:r>
      <w:r>
        <w:rPr>
          <w:noProof/>
        </w:rPr>
        <w:fldChar w:fldCharType="separate"/>
      </w:r>
      <w:r>
        <w:rPr>
          <w:noProof/>
        </w:rPr>
        <w:t>5</w:t>
      </w:r>
      <w:r>
        <w:rPr>
          <w:noProof/>
        </w:rPr>
        <w:fldChar w:fldCharType="end"/>
      </w:r>
    </w:p>
    <w:p w14:paraId="5B0C67CE" w14:textId="1CE4AA41" w:rsidR="00F65C79" w:rsidRDefault="00F65C79">
      <w:pPr>
        <w:pStyle w:val="TOC1"/>
        <w:rPr>
          <w:rFonts w:asciiTheme="minorHAnsi" w:eastAsiaTheme="minorEastAsia" w:hAnsiTheme="minorHAnsi" w:cstheme="minorBidi"/>
          <w:noProof/>
          <w:sz w:val="22"/>
          <w:szCs w:val="22"/>
        </w:rPr>
      </w:pPr>
      <w:r>
        <w:rPr>
          <w:noProof/>
        </w:rPr>
        <w:t>Chapter 2</w:t>
      </w:r>
      <w:r>
        <w:rPr>
          <w:rFonts w:asciiTheme="minorHAnsi" w:eastAsiaTheme="minorEastAsia" w:hAnsiTheme="minorHAnsi" w:cstheme="minorBidi"/>
          <w:noProof/>
          <w:sz w:val="22"/>
          <w:szCs w:val="22"/>
        </w:rPr>
        <w:tab/>
      </w:r>
      <w:r>
        <w:rPr>
          <w:noProof/>
        </w:rPr>
        <w:t>Aboriginal and Torres Strait Islander corporations</w:t>
      </w:r>
      <w:r>
        <w:rPr>
          <w:noProof/>
        </w:rPr>
        <w:tab/>
      </w:r>
      <w:r>
        <w:rPr>
          <w:noProof/>
        </w:rPr>
        <w:fldChar w:fldCharType="begin"/>
      </w:r>
      <w:r>
        <w:rPr>
          <w:noProof/>
        </w:rPr>
        <w:instrText xml:space="preserve"> PAGEREF _Toc69138241 \h </w:instrText>
      </w:r>
      <w:r>
        <w:rPr>
          <w:noProof/>
        </w:rPr>
      </w:r>
      <w:r>
        <w:rPr>
          <w:noProof/>
        </w:rPr>
        <w:fldChar w:fldCharType="separate"/>
      </w:r>
      <w:r>
        <w:rPr>
          <w:noProof/>
        </w:rPr>
        <w:t>13</w:t>
      </w:r>
      <w:r>
        <w:rPr>
          <w:noProof/>
        </w:rPr>
        <w:fldChar w:fldCharType="end"/>
      </w:r>
    </w:p>
    <w:p w14:paraId="4A9CD070" w14:textId="05F72D6B" w:rsidR="00C3452B" w:rsidRDefault="00C3452B" w:rsidP="008C10BC">
      <w:r>
        <w:rPr>
          <w:rFonts w:ascii="Helvetica" w:hAnsi="Helvetica"/>
          <w:noProof/>
          <w:sz w:val="24"/>
        </w:rPr>
        <w:fldChar w:fldCharType="end"/>
      </w:r>
    </w:p>
    <w:p w14:paraId="7CF52377" w14:textId="77777777" w:rsidR="00C3452B" w:rsidRDefault="00C3452B" w:rsidP="00C3452B">
      <w:pPr>
        <w:pStyle w:val="base-text-paragraphnonumbers"/>
        <w:sectPr w:rsidR="00C3452B" w:rsidSect="00C10AAF">
          <w:headerReference w:type="even" r:id="rId14"/>
          <w:headerReference w:type="default" r:id="rId15"/>
          <w:footerReference w:type="even" r:id="rId16"/>
          <w:footerReference w:type="default" r:id="rId17"/>
          <w:headerReference w:type="first" r:id="rId18"/>
          <w:footerReference w:type="first" r:id="rId19"/>
          <w:type w:val="oddPage"/>
          <w:pgSz w:w="9979" w:h="14175" w:code="9"/>
          <w:pgMar w:top="567" w:right="1134" w:bottom="567" w:left="1134" w:header="709" w:footer="709" w:gutter="0"/>
          <w:cols w:space="708"/>
          <w:titlePg/>
          <w:docGrid w:linePitch="360"/>
        </w:sectPr>
      </w:pPr>
    </w:p>
    <w:p w14:paraId="635E7C2C" w14:textId="77777777" w:rsidR="00C3452B" w:rsidRPr="00567602" w:rsidRDefault="00C3452B" w:rsidP="00C3452B">
      <w:pPr>
        <w:pStyle w:val="Chapterheadingsubdocument"/>
      </w:pPr>
      <w:bookmarkStart w:id="25" w:name="_Toc68598887"/>
      <w:bookmarkStart w:id="26" w:name="_Toc68604617"/>
      <w:bookmarkStart w:id="27" w:name="_Toc68608156"/>
      <w:bookmarkStart w:id="28" w:name="_Toc68623409"/>
      <w:bookmarkStart w:id="29" w:name="_Toc68623426"/>
      <w:bookmarkStart w:id="30" w:name="_Toc68706323"/>
      <w:bookmarkStart w:id="31" w:name="_Toc68710208"/>
      <w:bookmarkStart w:id="32" w:name="_Toc68710587"/>
      <w:bookmarkStart w:id="33" w:name="_Toc69138238"/>
      <w:r w:rsidRPr="00567602">
        <w:rPr>
          <w:rStyle w:val="ChapterNameOnly"/>
        </w:rPr>
        <w:lastRenderedPageBreak/>
        <w:t>Glossary</w:t>
      </w:r>
      <w:bookmarkEnd w:id="25"/>
      <w:bookmarkEnd w:id="26"/>
      <w:bookmarkEnd w:id="27"/>
      <w:bookmarkEnd w:id="28"/>
      <w:bookmarkEnd w:id="29"/>
      <w:bookmarkEnd w:id="30"/>
      <w:bookmarkEnd w:id="31"/>
      <w:bookmarkEnd w:id="32"/>
      <w:bookmarkEnd w:id="33"/>
    </w:p>
    <w:p w14:paraId="3ACE8C36" w14:textId="77777777" w:rsidR="00C3452B" w:rsidRDefault="00C3452B" w:rsidP="00C3452B">
      <w:pPr>
        <w:pStyle w:val="BTPwithextraspacing"/>
      </w:pPr>
      <w:r>
        <w:t>The following abbreviations and acronyms are used throughout this explanatory memorandum.</w:t>
      </w:r>
    </w:p>
    <w:tbl>
      <w:tblPr>
        <w:tblW w:w="660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C3452B" w:rsidRPr="00123D96" w14:paraId="60A7AFA7" w14:textId="77777777" w:rsidTr="00B5082B">
        <w:tc>
          <w:tcPr>
            <w:tcW w:w="2721" w:type="dxa"/>
          </w:tcPr>
          <w:p w14:paraId="20E5C07F" w14:textId="77777777" w:rsidR="00C3452B" w:rsidRPr="00123D96" w:rsidRDefault="00C3452B" w:rsidP="00DE742D">
            <w:pPr>
              <w:pStyle w:val="tableheaderwithintable"/>
            </w:pPr>
            <w:r w:rsidRPr="00123D96">
              <w:t>Abbreviation</w:t>
            </w:r>
          </w:p>
        </w:tc>
        <w:tc>
          <w:tcPr>
            <w:tcW w:w="3885" w:type="dxa"/>
          </w:tcPr>
          <w:p w14:paraId="2916898D" w14:textId="77777777" w:rsidR="00C3452B" w:rsidRPr="00123D96" w:rsidRDefault="00C3452B" w:rsidP="00DE742D">
            <w:pPr>
              <w:pStyle w:val="tableheaderwithintable"/>
            </w:pPr>
            <w:r w:rsidRPr="00123D96">
              <w:t>Definition</w:t>
            </w:r>
          </w:p>
        </w:tc>
      </w:tr>
      <w:tr w:rsidR="000535C1" w:rsidRPr="002C43E8" w14:paraId="08862CA6" w14:textId="77777777" w:rsidTr="005048D1">
        <w:tc>
          <w:tcPr>
            <w:tcW w:w="2721" w:type="dxa"/>
          </w:tcPr>
          <w:p w14:paraId="2BCDE878" w14:textId="60FFABA1" w:rsidR="000535C1" w:rsidRDefault="000535C1" w:rsidP="005048D1">
            <w:pPr>
              <w:pStyle w:val="Glossarytabletext"/>
              <w:rPr>
                <w:lang w:val="en-US" w:eastAsia="en-US"/>
              </w:rPr>
            </w:pPr>
            <w:r>
              <w:rPr>
                <w:lang w:val="en-US" w:eastAsia="en-US"/>
              </w:rPr>
              <w:t>ADI</w:t>
            </w:r>
          </w:p>
        </w:tc>
        <w:tc>
          <w:tcPr>
            <w:tcW w:w="3885" w:type="dxa"/>
          </w:tcPr>
          <w:p w14:paraId="155C145F" w14:textId="22F66323" w:rsidR="000535C1" w:rsidRDefault="000535C1" w:rsidP="005048D1">
            <w:pPr>
              <w:pStyle w:val="Glossarytabletext"/>
              <w:rPr>
                <w:lang w:val="en-US" w:eastAsia="en-US"/>
              </w:rPr>
            </w:pPr>
            <w:r w:rsidRPr="000535C1">
              <w:rPr>
                <w:lang w:val="en-US" w:eastAsia="en-US"/>
              </w:rPr>
              <w:t>authorised deposit‑taking institution</w:t>
            </w:r>
          </w:p>
        </w:tc>
      </w:tr>
      <w:tr w:rsidR="005048D1" w:rsidRPr="002C43E8" w14:paraId="64F9ECF4" w14:textId="77777777" w:rsidTr="005048D1">
        <w:tc>
          <w:tcPr>
            <w:tcW w:w="2721" w:type="dxa"/>
          </w:tcPr>
          <w:p w14:paraId="08D12297" w14:textId="77777777" w:rsidR="005048D1" w:rsidRPr="002C43E8" w:rsidRDefault="005048D1" w:rsidP="005048D1">
            <w:pPr>
              <w:pStyle w:val="Glossarytabletext"/>
              <w:rPr>
                <w:lang w:val="en-US" w:eastAsia="en-US"/>
              </w:rPr>
            </w:pPr>
            <w:r>
              <w:rPr>
                <w:lang w:val="en-US" w:eastAsia="en-US"/>
              </w:rPr>
              <w:t>APRA</w:t>
            </w:r>
          </w:p>
        </w:tc>
        <w:tc>
          <w:tcPr>
            <w:tcW w:w="3885" w:type="dxa"/>
          </w:tcPr>
          <w:p w14:paraId="5A28A976" w14:textId="77777777" w:rsidR="005048D1" w:rsidRPr="002C43E8" w:rsidRDefault="005048D1" w:rsidP="005048D1">
            <w:pPr>
              <w:pStyle w:val="Glossarytabletext"/>
              <w:rPr>
                <w:lang w:val="en-US" w:eastAsia="en-US"/>
              </w:rPr>
            </w:pPr>
            <w:r>
              <w:rPr>
                <w:lang w:val="en-US" w:eastAsia="en-US"/>
              </w:rPr>
              <w:t>Australian Prudential Regulation Authority</w:t>
            </w:r>
          </w:p>
        </w:tc>
      </w:tr>
      <w:tr w:rsidR="005048D1" w:rsidRPr="002C43E8" w14:paraId="0B9EDEFC" w14:textId="77777777" w:rsidTr="005048D1">
        <w:tc>
          <w:tcPr>
            <w:tcW w:w="2721" w:type="dxa"/>
          </w:tcPr>
          <w:p w14:paraId="33B9A261" w14:textId="1B81F078" w:rsidR="005048D1" w:rsidRPr="002C43E8" w:rsidRDefault="005048D1" w:rsidP="005048D1">
            <w:pPr>
              <w:pStyle w:val="Glossarytabletext"/>
              <w:rPr>
                <w:lang w:val="en-US" w:eastAsia="en-US"/>
              </w:rPr>
            </w:pPr>
            <w:r>
              <w:rPr>
                <w:lang w:val="en-US" w:eastAsia="en-US"/>
              </w:rPr>
              <w:t>APRA Act</w:t>
            </w:r>
          </w:p>
        </w:tc>
        <w:tc>
          <w:tcPr>
            <w:tcW w:w="3885" w:type="dxa"/>
          </w:tcPr>
          <w:p w14:paraId="73973A27" w14:textId="3F27DF55" w:rsidR="005048D1" w:rsidRPr="005048D1" w:rsidRDefault="005048D1" w:rsidP="005048D1">
            <w:pPr>
              <w:pStyle w:val="Glossarytabletext"/>
              <w:rPr>
                <w:i/>
                <w:lang w:val="en-US" w:eastAsia="en-US"/>
              </w:rPr>
            </w:pPr>
            <w:r w:rsidRPr="005048D1">
              <w:rPr>
                <w:i/>
                <w:lang w:val="en-US" w:eastAsia="en-US"/>
              </w:rPr>
              <w:t>Australian Prudential Regulation Authority Act 1998</w:t>
            </w:r>
          </w:p>
        </w:tc>
      </w:tr>
      <w:tr w:rsidR="00C3452B" w:rsidRPr="002C43E8" w14:paraId="0267DF83" w14:textId="77777777" w:rsidTr="00B5082B">
        <w:tc>
          <w:tcPr>
            <w:tcW w:w="2721" w:type="dxa"/>
          </w:tcPr>
          <w:p w14:paraId="1C0A73CF" w14:textId="77777777" w:rsidR="00C3452B" w:rsidRPr="002C43E8" w:rsidRDefault="00B5082B" w:rsidP="00DE742D">
            <w:pPr>
              <w:pStyle w:val="Glossarytabletext"/>
              <w:rPr>
                <w:lang w:val="en-US" w:eastAsia="en-US"/>
              </w:rPr>
            </w:pPr>
            <w:bookmarkStart w:id="34" w:name="GlossaryTableStart"/>
            <w:bookmarkEnd w:id="34"/>
            <w:r>
              <w:rPr>
                <w:lang w:val="en-US" w:eastAsia="en-US"/>
              </w:rPr>
              <w:t>ASIC</w:t>
            </w:r>
          </w:p>
        </w:tc>
        <w:tc>
          <w:tcPr>
            <w:tcW w:w="3885" w:type="dxa"/>
          </w:tcPr>
          <w:p w14:paraId="58099361" w14:textId="77777777" w:rsidR="00C3452B" w:rsidRPr="002C43E8" w:rsidRDefault="00B5082B" w:rsidP="00DE742D">
            <w:pPr>
              <w:pStyle w:val="Glossarytabletext"/>
              <w:rPr>
                <w:lang w:val="en-US" w:eastAsia="en-US"/>
              </w:rPr>
            </w:pPr>
            <w:r>
              <w:rPr>
                <w:lang w:val="en-US" w:eastAsia="en-US"/>
              </w:rPr>
              <w:t>Australian Securities and Investments Commission</w:t>
            </w:r>
          </w:p>
        </w:tc>
      </w:tr>
      <w:tr w:rsidR="00C124B2" w:rsidRPr="002C43E8" w14:paraId="4462EF68" w14:textId="77777777" w:rsidTr="00B5082B">
        <w:tc>
          <w:tcPr>
            <w:tcW w:w="2721" w:type="dxa"/>
          </w:tcPr>
          <w:p w14:paraId="4C8D7C26" w14:textId="3963B4A4" w:rsidR="00C124B2" w:rsidRDefault="00C124B2" w:rsidP="00DE742D">
            <w:pPr>
              <w:pStyle w:val="Glossarytabletext"/>
              <w:rPr>
                <w:lang w:val="en-US" w:eastAsia="en-US"/>
              </w:rPr>
            </w:pPr>
            <w:r>
              <w:rPr>
                <w:lang w:val="en-US" w:eastAsia="en-US"/>
              </w:rPr>
              <w:t>ASIC Act</w:t>
            </w:r>
          </w:p>
        </w:tc>
        <w:tc>
          <w:tcPr>
            <w:tcW w:w="3885" w:type="dxa"/>
          </w:tcPr>
          <w:p w14:paraId="6AE0928C" w14:textId="020524FA" w:rsidR="00C124B2" w:rsidRPr="00C124B2" w:rsidRDefault="00C124B2" w:rsidP="00DE742D">
            <w:pPr>
              <w:pStyle w:val="Glossarytabletext"/>
              <w:rPr>
                <w:i/>
                <w:lang w:val="en-US" w:eastAsia="en-US"/>
              </w:rPr>
            </w:pPr>
            <w:r w:rsidRPr="00C124B2">
              <w:rPr>
                <w:i/>
                <w:lang w:val="en-US" w:eastAsia="en-US"/>
              </w:rPr>
              <w:t>Australian Securities and Investments Commission Act 2001</w:t>
            </w:r>
          </w:p>
        </w:tc>
      </w:tr>
      <w:tr w:rsidR="00C3452B" w:rsidRPr="002C43E8" w14:paraId="25D17EFD" w14:textId="77777777" w:rsidTr="00B5082B">
        <w:tc>
          <w:tcPr>
            <w:tcW w:w="2721" w:type="dxa"/>
          </w:tcPr>
          <w:p w14:paraId="65F64DF3" w14:textId="75729441" w:rsidR="00C3452B" w:rsidRPr="002C43E8" w:rsidRDefault="00747D33" w:rsidP="00DE742D">
            <w:pPr>
              <w:pStyle w:val="Glossarytabletext"/>
              <w:rPr>
                <w:lang w:val="en-US" w:eastAsia="en-US"/>
              </w:rPr>
            </w:pPr>
            <w:r>
              <w:rPr>
                <w:lang w:val="en-US" w:eastAsia="en-US"/>
              </w:rPr>
              <w:t>ATO</w:t>
            </w:r>
          </w:p>
        </w:tc>
        <w:tc>
          <w:tcPr>
            <w:tcW w:w="3885" w:type="dxa"/>
          </w:tcPr>
          <w:p w14:paraId="3519474F" w14:textId="7147AECE" w:rsidR="00C3452B" w:rsidRPr="002C43E8" w:rsidRDefault="00747D33" w:rsidP="00DE742D">
            <w:pPr>
              <w:pStyle w:val="Glossarytabletext"/>
              <w:rPr>
                <w:lang w:val="en-US" w:eastAsia="en-US"/>
              </w:rPr>
            </w:pPr>
            <w:r>
              <w:rPr>
                <w:lang w:val="en-US" w:eastAsia="en-US"/>
              </w:rPr>
              <w:t>Australian Taxation Office</w:t>
            </w:r>
          </w:p>
        </w:tc>
      </w:tr>
      <w:tr w:rsidR="001E46B5" w:rsidRPr="002C43E8" w14:paraId="27ECF054" w14:textId="77777777" w:rsidTr="00B5082B">
        <w:tc>
          <w:tcPr>
            <w:tcW w:w="2721" w:type="dxa"/>
          </w:tcPr>
          <w:p w14:paraId="77C49F42" w14:textId="4317CC67" w:rsidR="001E46B5" w:rsidRDefault="001E46B5" w:rsidP="00DE742D">
            <w:pPr>
              <w:pStyle w:val="Glossarytabletext"/>
              <w:rPr>
                <w:lang w:val="en-US" w:eastAsia="en-US"/>
              </w:rPr>
            </w:pPr>
            <w:r>
              <w:rPr>
                <w:lang w:val="en-US" w:eastAsia="en-US"/>
              </w:rPr>
              <w:t>Bill</w:t>
            </w:r>
          </w:p>
        </w:tc>
        <w:tc>
          <w:tcPr>
            <w:tcW w:w="3885" w:type="dxa"/>
          </w:tcPr>
          <w:p w14:paraId="4D1E8BFB" w14:textId="439EB505" w:rsidR="001E46B5" w:rsidRPr="00D75FF6" w:rsidRDefault="001E46B5" w:rsidP="001E46B5">
            <w:pPr>
              <w:pStyle w:val="Glossarytabletext"/>
              <w:rPr>
                <w:i/>
                <w:lang w:val="en-US" w:eastAsia="en-US"/>
              </w:rPr>
            </w:pPr>
            <w:r>
              <w:rPr>
                <w:i/>
                <w:lang w:val="en-US" w:eastAsia="en-US"/>
              </w:rPr>
              <w:t>Treasury Laws A</w:t>
            </w:r>
            <w:r w:rsidRPr="001E46B5">
              <w:rPr>
                <w:i/>
                <w:lang w:val="en-US" w:eastAsia="en-US"/>
              </w:rPr>
              <w:t>mendment (</w:t>
            </w:r>
            <w:r>
              <w:rPr>
                <w:i/>
                <w:lang w:val="en-US" w:eastAsia="en-US"/>
              </w:rPr>
              <w:t>C</w:t>
            </w:r>
            <w:r w:rsidRPr="001E46B5">
              <w:rPr>
                <w:i/>
                <w:lang w:val="en-US" w:eastAsia="en-US"/>
              </w:rPr>
              <w:t xml:space="preserve">orporate </w:t>
            </w:r>
            <w:r>
              <w:rPr>
                <w:i/>
                <w:lang w:val="en-US" w:eastAsia="en-US"/>
              </w:rPr>
              <w:t>I</w:t>
            </w:r>
            <w:r w:rsidRPr="001E46B5">
              <w:rPr>
                <w:i/>
                <w:lang w:val="en-US" w:eastAsia="en-US"/>
              </w:rPr>
              <w:t xml:space="preserve">nsolvency </w:t>
            </w:r>
            <w:r>
              <w:rPr>
                <w:i/>
                <w:lang w:val="en-US" w:eastAsia="en-US"/>
              </w:rPr>
              <w:t>Reforms C</w:t>
            </w:r>
            <w:r w:rsidRPr="001E46B5">
              <w:rPr>
                <w:i/>
                <w:lang w:val="en-US" w:eastAsia="en-US"/>
              </w:rPr>
              <w:t xml:space="preserve">onsequentials) </w:t>
            </w:r>
            <w:r>
              <w:rPr>
                <w:i/>
                <w:lang w:val="en-US" w:eastAsia="en-US"/>
              </w:rPr>
              <w:t>B</w:t>
            </w:r>
            <w:r w:rsidRPr="001E46B5">
              <w:rPr>
                <w:i/>
                <w:lang w:val="en-US" w:eastAsia="en-US"/>
              </w:rPr>
              <w:t>ill 2021</w:t>
            </w:r>
          </w:p>
        </w:tc>
      </w:tr>
      <w:tr w:rsidR="00C3452B" w:rsidRPr="002C43E8" w14:paraId="1E3CDEB3" w14:textId="77777777" w:rsidTr="00B5082B">
        <w:tc>
          <w:tcPr>
            <w:tcW w:w="2721" w:type="dxa"/>
          </w:tcPr>
          <w:p w14:paraId="710168DA" w14:textId="7EECC78D" w:rsidR="00C3452B" w:rsidRPr="002C43E8" w:rsidRDefault="0031723F" w:rsidP="00DE742D">
            <w:pPr>
              <w:pStyle w:val="Glossarytabletext"/>
              <w:rPr>
                <w:lang w:val="en-US" w:eastAsia="en-US"/>
              </w:rPr>
            </w:pPr>
            <w:r>
              <w:rPr>
                <w:lang w:val="en-US" w:eastAsia="en-US"/>
              </w:rPr>
              <w:t>CATSI Act</w:t>
            </w:r>
          </w:p>
        </w:tc>
        <w:tc>
          <w:tcPr>
            <w:tcW w:w="3885" w:type="dxa"/>
          </w:tcPr>
          <w:p w14:paraId="5E207532" w14:textId="662C9D42" w:rsidR="00C3452B" w:rsidRPr="005E4377" w:rsidRDefault="0031723F" w:rsidP="00DE742D">
            <w:pPr>
              <w:pStyle w:val="Glossarytabletext"/>
              <w:rPr>
                <w:i/>
                <w:lang w:val="en-US" w:eastAsia="en-US"/>
              </w:rPr>
            </w:pPr>
            <w:r w:rsidRPr="00D75FF6">
              <w:rPr>
                <w:i/>
                <w:lang w:val="en-US" w:eastAsia="en-US"/>
              </w:rPr>
              <w:t>Corporations (Aboriginal and Torres Strait Islander</w:t>
            </w:r>
            <w:r w:rsidR="003251C2" w:rsidRPr="005E4377">
              <w:rPr>
                <w:i/>
                <w:lang w:val="en-US" w:eastAsia="en-US"/>
              </w:rPr>
              <w:t>) Act 2006</w:t>
            </w:r>
          </w:p>
        </w:tc>
      </w:tr>
      <w:tr w:rsidR="009E665D" w:rsidRPr="002C43E8" w14:paraId="19C5489D" w14:textId="77777777" w:rsidTr="00B5082B">
        <w:tc>
          <w:tcPr>
            <w:tcW w:w="2721" w:type="dxa"/>
          </w:tcPr>
          <w:p w14:paraId="28E2F42F" w14:textId="3B43B096" w:rsidR="009E665D" w:rsidRDefault="009E665D" w:rsidP="00DE742D">
            <w:pPr>
              <w:pStyle w:val="Glossarytabletext"/>
              <w:rPr>
                <w:lang w:val="en-US" w:eastAsia="en-US"/>
              </w:rPr>
            </w:pPr>
            <w:r>
              <w:rPr>
                <w:lang w:val="en-US" w:eastAsia="en-US"/>
              </w:rPr>
              <w:t>CATSI Regulations</w:t>
            </w:r>
          </w:p>
        </w:tc>
        <w:tc>
          <w:tcPr>
            <w:tcW w:w="3885" w:type="dxa"/>
          </w:tcPr>
          <w:p w14:paraId="25BE8A1D" w14:textId="266CEB49" w:rsidR="009E665D" w:rsidRPr="00D75FF6" w:rsidRDefault="009E665D" w:rsidP="00DE742D">
            <w:pPr>
              <w:pStyle w:val="Glossarytabletext"/>
              <w:rPr>
                <w:i/>
                <w:lang w:val="en-US" w:eastAsia="en-US"/>
              </w:rPr>
            </w:pPr>
            <w:r>
              <w:rPr>
                <w:i/>
                <w:lang w:val="en-US" w:eastAsia="en-US"/>
              </w:rPr>
              <w:t>Corporations (Aboriginal and Torres Strait Islander) Regulations 2017</w:t>
            </w:r>
          </w:p>
        </w:tc>
      </w:tr>
      <w:tr w:rsidR="00C3452B" w:rsidRPr="002C43E8" w14:paraId="59611007" w14:textId="77777777" w:rsidTr="00B5082B">
        <w:tc>
          <w:tcPr>
            <w:tcW w:w="2721" w:type="dxa"/>
          </w:tcPr>
          <w:p w14:paraId="20384335" w14:textId="2D89BDC8" w:rsidR="00C3452B" w:rsidRPr="002C43E8" w:rsidRDefault="003251C2" w:rsidP="00DE742D">
            <w:pPr>
              <w:pStyle w:val="Glossarytabletext"/>
              <w:rPr>
                <w:lang w:val="en-US" w:eastAsia="en-US"/>
              </w:rPr>
            </w:pPr>
            <w:r>
              <w:rPr>
                <w:lang w:val="en-US" w:eastAsia="en-US"/>
              </w:rPr>
              <w:t>Corporations Act</w:t>
            </w:r>
          </w:p>
        </w:tc>
        <w:tc>
          <w:tcPr>
            <w:tcW w:w="3885" w:type="dxa"/>
          </w:tcPr>
          <w:p w14:paraId="29771B5A" w14:textId="75DDA1DF" w:rsidR="00C3452B" w:rsidRPr="005E4377" w:rsidRDefault="003251C2" w:rsidP="00DE742D">
            <w:pPr>
              <w:pStyle w:val="Glossarytabletext"/>
              <w:rPr>
                <w:i/>
                <w:lang w:val="en-US" w:eastAsia="en-US"/>
              </w:rPr>
            </w:pPr>
            <w:r w:rsidRPr="00D75FF6">
              <w:rPr>
                <w:i/>
                <w:lang w:val="en-US" w:eastAsia="en-US"/>
              </w:rPr>
              <w:t>Corporations</w:t>
            </w:r>
            <w:r w:rsidRPr="005E4377">
              <w:rPr>
                <w:i/>
                <w:lang w:val="en-US" w:eastAsia="en-US"/>
              </w:rPr>
              <w:t xml:space="preserve"> Act 2001</w:t>
            </w:r>
          </w:p>
        </w:tc>
      </w:tr>
      <w:tr w:rsidR="00C3452B" w:rsidRPr="002C43E8" w14:paraId="23C3153C" w14:textId="77777777" w:rsidTr="00B5082B">
        <w:tc>
          <w:tcPr>
            <w:tcW w:w="2721" w:type="dxa"/>
          </w:tcPr>
          <w:p w14:paraId="7BB0CF8E" w14:textId="413A8006" w:rsidR="00C3452B" w:rsidRPr="002C43E8" w:rsidRDefault="005E4377" w:rsidP="00DE742D">
            <w:pPr>
              <w:pStyle w:val="Glossarytabletext"/>
              <w:rPr>
                <w:lang w:val="en-US" w:eastAsia="en-US"/>
              </w:rPr>
            </w:pPr>
            <w:r>
              <w:rPr>
                <w:lang w:val="en-US" w:eastAsia="en-US"/>
              </w:rPr>
              <w:t>Corporations Regulations</w:t>
            </w:r>
          </w:p>
        </w:tc>
        <w:tc>
          <w:tcPr>
            <w:tcW w:w="3885" w:type="dxa"/>
          </w:tcPr>
          <w:p w14:paraId="491773D2" w14:textId="55664190" w:rsidR="00C3452B" w:rsidRPr="005E4377" w:rsidRDefault="005E4377" w:rsidP="00DE742D">
            <w:pPr>
              <w:pStyle w:val="Glossarytabletext"/>
              <w:rPr>
                <w:i/>
                <w:lang w:val="en-US" w:eastAsia="en-US"/>
              </w:rPr>
            </w:pPr>
            <w:r>
              <w:rPr>
                <w:i/>
                <w:lang w:val="en-US" w:eastAsia="en-US"/>
              </w:rPr>
              <w:t>Corporations Regulations 2001</w:t>
            </w:r>
          </w:p>
        </w:tc>
      </w:tr>
      <w:tr w:rsidR="00C3452B" w:rsidRPr="002C43E8" w14:paraId="0B5136B4" w14:textId="77777777" w:rsidTr="00B5082B">
        <w:tc>
          <w:tcPr>
            <w:tcW w:w="2721" w:type="dxa"/>
          </w:tcPr>
          <w:p w14:paraId="0E125F63" w14:textId="5C747B53" w:rsidR="00C3452B" w:rsidRPr="002C43E8" w:rsidRDefault="005E4377" w:rsidP="00DE742D">
            <w:pPr>
              <w:pStyle w:val="Glossarytabletext"/>
              <w:rPr>
                <w:lang w:val="en-US" w:eastAsia="en-US"/>
              </w:rPr>
            </w:pPr>
            <w:r>
              <w:rPr>
                <w:lang w:val="en-US" w:eastAsia="en-US"/>
              </w:rPr>
              <w:t>F</w:t>
            </w:r>
            <w:r w:rsidR="004513E5">
              <w:rPr>
                <w:lang w:val="en-US" w:eastAsia="en-US"/>
              </w:rPr>
              <w:t xml:space="preserve">air </w:t>
            </w:r>
            <w:r>
              <w:rPr>
                <w:lang w:val="en-US" w:eastAsia="en-US"/>
              </w:rPr>
              <w:t>E</w:t>
            </w:r>
            <w:r w:rsidR="005048D1">
              <w:rPr>
                <w:lang w:val="en-US" w:eastAsia="en-US"/>
              </w:rPr>
              <w:t xml:space="preserve">ntitlements </w:t>
            </w:r>
            <w:r>
              <w:rPr>
                <w:lang w:val="en-US" w:eastAsia="en-US"/>
              </w:rPr>
              <w:t>G</w:t>
            </w:r>
            <w:r w:rsidR="005048D1">
              <w:rPr>
                <w:lang w:val="en-US" w:eastAsia="en-US"/>
              </w:rPr>
              <w:t>uarantee</w:t>
            </w:r>
            <w:r>
              <w:rPr>
                <w:lang w:val="en-US" w:eastAsia="en-US"/>
              </w:rPr>
              <w:t xml:space="preserve"> Act</w:t>
            </w:r>
          </w:p>
        </w:tc>
        <w:tc>
          <w:tcPr>
            <w:tcW w:w="3885" w:type="dxa"/>
          </w:tcPr>
          <w:p w14:paraId="71E22277" w14:textId="66E7EE4C" w:rsidR="00C3452B" w:rsidRPr="002C43E8" w:rsidRDefault="005E4377" w:rsidP="00DE742D">
            <w:pPr>
              <w:pStyle w:val="Glossarytabletext"/>
              <w:rPr>
                <w:lang w:val="en-US" w:eastAsia="en-US"/>
              </w:rPr>
            </w:pPr>
            <w:r w:rsidRPr="00D75FF6">
              <w:rPr>
                <w:i/>
                <w:lang w:val="en-US" w:eastAsia="en-US"/>
              </w:rPr>
              <w:t>Fair Entitlements Guarantee Act 2012</w:t>
            </w:r>
          </w:p>
        </w:tc>
      </w:tr>
    </w:tbl>
    <w:p w14:paraId="2EFCB4AF" w14:textId="77777777" w:rsidR="00C3452B" w:rsidRDefault="00C3452B" w:rsidP="00C3452B"/>
    <w:p w14:paraId="2FAC7863" w14:textId="77777777" w:rsidR="00C3452B" w:rsidRDefault="00C3452B" w:rsidP="00C3452B">
      <w:pPr>
        <w:sectPr w:rsidR="00C3452B" w:rsidSect="00C10AAF">
          <w:headerReference w:type="even" r:id="rId20"/>
          <w:headerReference w:type="default" r:id="rId21"/>
          <w:footerReference w:type="even" r:id="rId22"/>
          <w:footerReference w:type="default" r:id="rId23"/>
          <w:footerReference w:type="first" r:id="rId24"/>
          <w:type w:val="oddPage"/>
          <w:pgSz w:w="9979" w:h="14175" w:code="9"/>
          <w:pgMar w:top="567" w:right="1134" w:bottom="567" w:left="1134" w:header="709" w:footer="709" w:gutter="0"/>
          <w:pgNumType w:start="1"/>
          <w:cols w:space="708"/>
          <w:titlePg/>
          <w:docGrid w:linePitch="360"/>
        </w:sectPr>
      </w:pPr>
    </w:p>
    <w:p w14:paraId="371AAD58" w14:textId="5471897E" w:rsidR="00C3452B" w:rsidRPr="007C2B20" w:rsidRDefault="000329A8" w:rsidP="000329A8">
      <w:pPr>
        <w:pStyle w:val="ChapterHeading"/>
      </w:pPr>
      <w:bookmarkStart w:id="43" w:name="_Toc54194043"/>
      <w:bookmarkStart w:id="44" w:name="_Toc68623411"/>
      <w:bookmarkStart w:id="45" w:name="_Toc68623428"/>
      <w:bookmarkStart w:id="46" w:name="_Toc68706325"/>
      <w:bookmarkStart w:id="47" w:name="_Toc68710210"/>
      <w:bookmarkStart w:id="48" w:name="_Toc68710589"/>
      <w:bookmarkStart w:id="49" w:name="_Toc69138239"/>
      <w:r w:rsidRPr="00F073D5">
        <w:rPr>
          <w:rStyle w:val="ChapterNameOnly"/>
        </w:rPr>
        <w:lastRenderedPageBreak/>
        <w:t>Overview and context for corporate insolvency reforms</w:t>
      </w:r>
      <w:bookmarkEnd w:id="43"/>
      <w:bookmarkEnd w:id="44"/>
      <w:bookmarkEnd w:id="45"/>
      <w:bookmarkEnd w:id="46"/>
      <w:bookmarkEnd w:id="47"/>
      <w:bookmarkEnd w:id="48"/>
      <w:bookmarkEnd w:id="49"/>
    </w:p>
    <w:p w14:paraId="7C6A6965" w14:textId="44F3F011" w:rsidR="00C3452B" w:rsidRDefault="00C3452B" w:rsidP="00575ACA">
      <w:pPr>
        <w:pStyle w:val="Heading2"/>
      </w:pPr>
      <w:r>
        <w:t xml:space="preserve">Context of </w:t>
      </w:r>
      <w:r w:rsidR="00E30CC8">
        <w:t>reforms</w:t>
      </w:r>
    </w:p>
    <w:p w14:paraId="2DDDF489" w14:textId="1371DA56" w:rsidR="00D57372" w:rsidRPr="00C15135" w:rsidRDefault="00834554" w:rsidP="00C15135">
      <w:pPr>
        <w:pStyle w:val="base-text-paragraphnonumbers"/>
      </w:pPr>
      <w:r>
        <w:t>On 1 January 2021</w:t>
      </w:r>
      <w:r w:rsidR="00575ACA" w:rsidRPr="00C15135">
        <w:t xml:space="preserve">, the </w:t>
      </w:r>
      <w:r>
        <w:t xml:space="preserve">Australian </w:t>
      </w:r>
      <w:r w:rsidR="00575ACA" w:rsidRPr="00C15135">
        <w:t>Government</w:t>
      </w:r>
      <w:r>
        <w:t>’s</w:t>
      </w:r>
      <w:r w:rsidR="00575ACA" w:rsidRPr="00C15135">
        <w:t xml:space="preserve"> </w:t>
      </w:r>
      <w:r w:rsidR="00D57372" w:rsidRPr="00C15135">
        <w:t>c</w:t>
      </w:r>
      <w:r w:rsidR="007C259B" w:rsidRPr="00C15135">
        <w:t xml:space="preserve">orporate </w:t>
      </w:r>
      <w:r w:rsidR="00D57372" w:rsidRPr="00C15135">
        <w:t>i</w:t>
      </w:r>
      <w:r w:rsidR="00575ACA" w:rsidRPr="00C15135">
        <w:t xml:space="preserve">nsolvency </w:t>
      </w:r>
      <w:r w:rsidR="00D57372" w:rsidRPr="00C15135">
        <w:t>r</w:t>
      </w:r>
      <w:r w:rsidR="00575ACA" w:rsidRPr="00C15135">
        <w:t>eforms</w:t>
      </w:r>
      <w:r w:rsidR="00AF3466" w:rsidRPr="00C15135">
        <w:t xml:space="preserve"> – </w:t>
      </w:r>
      <w:r w:rsidR="00AF3466" w:rsidRPr="00C15135">
        <w:rPr>
          <w:i/>
          <w:lang w:val="en-US" w:eastAsia="en-US"/>
        </w:rPr>
        <w:t>Corporations Amendment (Corporate Insolvency Reforms) Act 2020</w:t>
      </w:r>
      <w:r w:rsidR="00AF3466" w:rsidRPr="00C15135">
        <w:rPr>
          <w:lang w:val="en-US" w:eastAsia="en-US"/>
        </w:rPr>
        <w:t xml:space="preserve"> and </w:t>
      </w:r>
      <w:r w:rsidR="00AF3466" w:rsidRPr="00C15135">
        <w:rPr>
          <w:i/>
          <w:lang w:val="en-US" w:eastAsia="en-US"/>
        </w:rPr>
        <w:t>Corporations Amendment (Corporate Insolvency Reforms) Regulations 2020</w:t>
      </w:r>
      <w:r w:rsidR="00AF3466" w:rsidRPr="00C15135">
        <w:rPr>
          <w:lang w:val="en-US" w:eastAsia="en-US"/>
        </w:rPr>
        <w:t xml:space="preserve"> –</w:t>
      </w:r>
      <w:r w:rsidR="00575ACA" w:rsidRPr="00C15135">
        <w:rPr>
          <w:iCs/>
        </w:rPr>
        <w:t xml:space="preserve"> </w:t>
      </w:r>
      <w:r>
        <w:rPr>
          <w:iCs/>
        </w:rPr>
        <w:t>commenced</w:t>
      </w:r>
      <w:r w:rsidR="00621F2C">
        <w:rPr>
          <w:iCs/>
        </w:rPr>
        <w:t>. The corporate insolvency reforms</w:t>
      </w:r>
      <w:r w:rsidR="00575ACA" w:rsidRPr="00C15135">
        <w:t xml:space="preserve"> support small businesses by reducing the costs of external administration and the compliance burden for insolvency practitioners. </w:t>
      </w:r>
    </w:p>
    <w:p w14:paraId="430FEC02" w14:textId="455D4171" w:rsidR="00D57372" w:rsidRDefault="00D57372" w:rsidP="00C15135">
      <w:pPr>
        <w:pStyle w:val="base-text-paragraphnonumbers"/>
      </w:pPr>
      <w:r w:rsidRPr="00C15135">
        <w:t xml:space="preserve">Before these reforms came into effect, </w:t>
      </w:r>
      <w:r w:rsidR="00560436">
        <w:t>Australia’s corporate</w:t>
      </w:r>
      <w:r w:rsidRPr="00C15135">
        <w:t xml:space="preserve"> insolvency system</w:t>
      </w:r>
      <w:r>
        <w:t xml:space="preserve"> was </w:t>
      </w:r>
      <w:r w:rsidR="00560436">
        <w:t xml:space="preserve">based on </w:t>
      </w:r>
      <w:r>
        <w:t>a one</w:t>
      </w:r>
      <w:r w:rsidR="00C15135">
        <w:noBreakHyphen/>
      </w:r>
      <w:r>
        <w:t xml:space="preserve">size-fits-all </w:t>
      </w:r>
      <w:r w:rsidR="00560436">
        <w:t>model</w:t>
      </w:r>
      <w:r>
        <w:t xml:space="preserve"> that imposed the same duties and obligations, regardless of the size and complexity of the administration. </w:t>
      </w:r>
      <w:r w:rsidR="00560436">
        <w:t>High costs and rigid processes created barriers to access and depleted the limited resources held by distressed small businesses. In doing so, the system failed to account for the needs of small businesses. The impact of these issues risked becoming more acute because of the economic consequences of the COVID-19 pandemic, and a potential increase in numbers of businesses facing financial distress</w:t>
      </w:r>
      <w:r>
        <w:t xml:space="preserve">.  </w:t>
      </w:r>
    </w:p>
    <w:p w14:paraId="3508BA17" w14:textId="0BAE13B2" w:rsidR="00575ACA" w:rsidRDefault="00575ACA" w:rsidP="00C15135">
      <w:pPr>
        <w:pStyle w:val="base-text-paragraphnonumbers"/>
      </w:pPr>
      <w:r>
        <w:t>Th</w:t>
      </w:r>
      <w:r w:rsidR="00D57372">
        <w:t>e corporate insolvency reforms will</w:t>
      </w:r>
      <w:r>
        <w:t xml:space="preserve"> help businesses remain viable and improv</w:t>
      </w:r>
      <w:r w:rsidR="007A52D7">
        <w:t>e</w:t>
      </w:r>
      <w:r>
        <w:t xml:space="preserve"> the returns to creditors and employees when the business is unviable</w:t>
      </w:r>
      <w:r w:rsidR="00BB0137">
        <w:t>.</w:t>
      </w:r>
      <w:r w:rsidR="00737A02">
        <w:t xml:space="preserve"> Further, the reforms are aimed at achieving greater economic dynamism </w:t>
      </w:r>
      <w:r w:rsidR="00560436">
        <w:t>by</w:t>
      </w:r>
      <w:r w:rsidR="00737A02">
        <w:t xml:space="preserve"> helping more small businesses to survive</w:t>
      </w:r>
      <w:r w:rsidR="00560436">
        <w:t xml:space="preserve"> and increasing the efficient reallocation of capital where survival is not possible</w:t>
      </w:r>
      <w:r w:rsidR="00737A02">
        <w:t xml:space="preserve">. </w:t>
      </w:r>
    </w:p>
    <w:p w14:paraId="79DCB91F" w14:textId="40EB6EE6" w:rsidR="00C80BA4" w:rsidRPr="004F6973" w:rsidRDefault="00C80BA4" w:rsidP="00C15135">
      <w:pPr>
        <w:pStyle w:val="base-text-paragraphnonumbers"/>
      </w:pPr>
      <w:r w:rsidRPr="004F6973">
        <w:t xml:space="preserve">The </w:t>
      </w:r>
      <w:r w:rsidR="00D57372">
        <w:t>new</w:t>
      </w:r>
      <w:r w:rsidRPr="004F6973">
        <w:t xml:space="preserve"> debt restructuring process is a key aspect of the </w:t>
      </w:r>
      <w:r w:rsidR="00D57372">
        <w:t>c</w:t>
      </w:r>
      <w:r w:rsidR="007C259B">
        <w:t xml:space="preserve">orporate </w:t>
      </w:r>
      <w:r w:rsidR="00D57372">
        <w:t>i</w:t>
      </w:r>
      <w:r w:rsidRPr="000329A8">
        <w:t xml:space="preserve">nsolvency </w:t>
      </w:r>
      <w:r w:rsidR="00D57372">
        <w:t>r</w:t>
      </w:r>
      <w:r w:rsidRPr="000329A8">
        <w:t>eforms</w:t>
      </w:r>
      <w:r w:rsidRPr="004F6973">
        <w:t xml:space="preserve"> framework and allows eligible companies to restructure their debts and maximise their opportunity for survival with the assistance of a small business restructuring practitioner. </w:t>
      </w:r>
    </w:p>
    <w:p w14:paraId="07CE0119" w14:textId="402796BB" w:rsidR="00356BAD" w:rsidRPr="004F6973" w:rsidRDefault="00C80BA4" w:rsidP="00C15135">
      <w:pPr>
        <w:pStyle w:val="base-text-paragraphnonumbers"/>
      </w:pPr>
      <w:r w:rsidRPr="004F6973">
        <w:t xml:space="preserve">Another key aspect of the </w:t>
      </w:r>
      <w:r w:rsidR="00D57372">
        <w:t>c</w:t>
      </w:r>
      <w:r w:rsidR="007C259B">
        <w:t xml:space="preserve">orporate </w:t>
      </w:r>
      <w:r w:rsidR="00D57372">
        <w:t>i</w:t>
      </w:r>
      <w:r w:rsidRPr="000329A8">
        <w:t xml:space="preserve">nsolvency </w:t>
      </w:r>
      <w:r w:rsidR="00D57372">
        <w:t>r</w:t>
      </w:r>
      <w:r w:rsidRPr="000329A8">
        <w:t>eforms</w:t>
      </w:r>
      <w:r w:rsidRPr="004F6973">
        <w:t xml:space="preserve"> framework is the </w:t>
      </w:r>
      <w:r w:rsidR="00C15135">
        <w:t xml:space="preserve">new </w:t>
      </w:r>
      <w:r w:rsidRPr="004F6973">
        <w:t xml:space="preserve">simplified liquidation process which gives eligible companies in a voluntary winding up a faster and lower cost liquidation, increasing returns for both creditors and employees.  </w:t>
      </w:r>
    </w:p>
    <w:p w14:paraId="4C58A483" w14:textId="02F62EB1" w:rsidR="00EB4445" w:rsidRDefault="00EB4445" w:rsidP="00C15135">
      <w:pPr>
        <w:pStyle w:val="base-text-paragraphnonumbers"/>
      </w:pPr>
      <w:r>
        <w:t>Following introduction of the</w:t>
      </w:r>
      <w:r w:rsidR="002B08E6">
        <w:t xml:space="preserve"> </w:t>
      </w:r>
      <w:r w:rsidR="00737A02">
        <w:t>r</w:t>
      </w:r>
      <w:r>
        <w:t xml:space="preserve">eforms, consequential amendments are now needed to </w:t>
      </w:r>
      <w:r w:rsidR="00415443">
        <w:t xml:space="preserve">reflect the intended outcomes of </w:t>
      </w:r>
      <w:r>
        <w:t xml:space="preserve">the </w:t>
      </w:r>
      <w:r w:rsidR="00E70EEC">
        <w:t xml:space="preserve">new </w:t>
      </w:r>
      <w:r>
        <w:t xml:space="preserve">debt restructuring </w:t>
      </w:r>
      <w:r w:rsidR="00415443">
        <w:t xml:space="preserve">and </w:t>
      </w:r>
      <w:r>
        <w:t xml:space="preserve">simplified liquidation </w:t>
      </w:r>
      <w:r w:rsidR="0006571E">
        <w:t>process</w:t>
      </w:r>
      <w:r w:rsidR="00415443">
        <w:t>es</w:t>
      </w:r>
      <w:r w:rsidR="00DC3185">
        <w:t xml:space="preserve"> across the Commonwealth statute book. </w:t>
      </w:r>
    </w:p>
    <w:p w14:paraId="536EBAB6" w14:textId="3F1827EC" w:rsidR="000329A8" w:rsidRPr="00F073D5" w:rsidRDefault="000329A8" w:rsidP="000329A8">
      <w:pPr>
        <w:pStyle w:val="Heading2"/>
      </w:pPr>
      <w:r w:rsidRPr="00F073D5">
        <w:lastRenderedPageBreak/>
        <w:t xml:space="preserve">Overview of the </w:t>
      </w:r>
      <w:r w:rsidR="00C67B6B">
        <w:t xml:space="preserve">consequential </w:t>
      </w:r>
      <w:r w:rsidR="00312026">
        <w:t>amendments</w:t>
      </w:r>
    </w:p>
    <w:p w14:paraId="08D069A6" w14:textId="24D1D47E" w:rsidR="00312026" w:rsidRPr="0088600E" w:rsidRDefault="00805A3D" w:rsidP="0008409A">
      <w:pPr>
        <w:pStyle w:val="base-text-paragraphnonumbers"/>
        <w:keepNext/>
      </w:pPr>
      <w:r>
        <w:t>T</w:t>
      </w:r>
      <w:r w:rsidR="00312026">
        <w:t xml:space="preserve">he Bill makes consequential amendments to the </w:t>
      </w:r>
      <w:r w:rsidR="00BB4B4E">
        <w:t>following</w:t>
      </w:r>
      <w:r w:rsidR="00312026">
        <w:t xml:space="preserve"> Act</w:t>
      </w:r>
      <w:r w:rsidR="003B6ED7">
        <w:t>s</w:t>
      </w:r>
      <w:r w:rsidR="00312026">
        <w:t xml:space="preserve"> necessary to support implementation of the </w:t>
      </w:r>
      <w:r w:rsidR="00637F10" w:rsidRPr="00C15135">
        <w:t>corporate insolvency reforms</w:t>
      </w:r>
      <w:r w:rsidR="00BB4B4E">
        <w:t>:</w:t>
      </w:r>
      <w:r w:rsidR="00312026">
        <w:t xml:space="preserve"> </w:t>
      </w:r>
    </w:p>
    <w:p w14:paraId="1CE15AFE" w14:textId="77777777" w:rsidR="00BB4B4E" w:rsidRPr="003B6ED7" w:rsidRDefault="00BB4B4E" w:rsidP="00BB4B4E">
      <w:pPr>
        <w:pStyle w:val="dotpoint"/>
        <w:rPr>
          <w:rFonts w:eastAsiaTheme="minorEastAsia"/>
          <w:i/>
        </w:rPr>
      </w:pPr>
      <w:r w:rsidRPr="003B6ED7">
        <w:rPr>
          <w:i/>
        </w:rPr>
        <w:t>Australian Securities and Investments Commission Act 2001</w:t>
      </w:r>
    </w:p>
    <w:p w14:paraId="0C6C7EE5" w14:textId="77777777" w:rsidR="00BB4B4E" w:rsidRPr="003B6ED7" w:rsidRDefault="00BB4B4E" w:rsidP="00BB4B4E">
      <w:pPr>
        <w:pStyle w:val="dotpoint"/>
        <w:rPr>
          <w:rFonts w:eastAsiaTheme="minorEastAsia"/>
          <w:i/>
        </w:rPr>
      </w:pPr>
      <w:r w:rsidRPr="003B6ED7">
        <w:rPr>
          <w:i/>
        </w:rPr>
        <w:t>Banking Act 1959</w:t>
      </w:r>
    </w:p>
    <w:p w14:paraId="394CC8A5" w14:textId="77777777" w:rsidR="00BB4B4E" w:rsidRPr="003B6ED7" w:rsidRDefault="00BB4B4E" w:rsidP="00BB4B4E">
      <w:pPr>
        <w:pStyle w:val="dotpoint"/>
        <w:rPr>
          <w:rFonts w:eastAsiaTheme="minorEastAsia"/>
          <w:i/>
        </w:rPr>
      </w:pPr>
      <w:r w:rsidRPr="003B6ED7">
        <w:rPr>
          <w:i/>
        </w:rPr>
        <w:t>Corporations (Aboriginal and Torres Strait Islander) Act 2006</w:t>
      </w:r>
    </w:p>
    <w:p w14:paraId="51BA3749" w14:textId="77777777" w:rsidR="00BB4B4E" w:rsidRPr="003B6ED7" w:rsidRDefault="00BB4B4E" w:rsidP="00BB4B4E">
      <w:pPr>
        <w:pStyle w:val="dotpoint"/>
        <w:rPr>
          <w:rFonts w:eastAsiaTheme="minorEastAsia"/>
          <w:i/>
        </w:rPr>
      </w:pPr>
      <w:r w:rsidRPr="003B6ED7">
        <w:rPr>
          <w:i/>
        </w:rPr>
        <w:t>Corporations Act 2001</w:t>
      </w:r>
    </w:p>
    <w:p w14:paraId="6FE7C116" w14:textId="77777777" w:rsidR="00BB4B4E" w:rsidRPr="003B6ED7" w:rsidRDefault="00BB4B4E" w:rsidP="00BB4B4E">
      <w:pPr>
        <w:pStyle w:val="dotpoint"/>
        <w:rPr>
          <w:rFonts w:eastAsiaTheme="minorEastAsia"/>
          <w:i/>
        </w:rPr>
      </w:pPr>
      <w:r w:rsidRPr="003B6ED7">
        <w:rPr>
          <w:i/>
        </w:rPr>
        <w:t>Fair Entitlements Guarantee Act 2012</w:t>
      </w:r>
    </w:p>
    <w:p w14:paraId="28E75378" w14:textId="77777777" w:rsidR="00BB4B4E" w:rsidRPr="003B6ED7" w:rsidRDefault="00BB4B4E" w:rsidP="00BB4B4E">
      <w:pPr>
        <w:pStyle w:val="dotpoint"/>
        <w:rPr>
          <w:rFonts w:eastAsiaTheme="minorEastAsia"/>
          <w:i/>
        </w:rPr>
      </w:pPr>
      <w:r w:rsidRPr="003B6ED7">
        <w:rPr>
          <w:i/>
        </w:rPr>
        <w:t>Insurance Act 1973</w:t>
      </w:r>
    </w:p>
    <w:p w14:paraId="4D79DA6A" w14:textId="77777777" w:rsidR="00BB4B4E" w:rsidRPr="003B6ED7" w:rsidRDefault="00BB4B4E" w:rsidP="00BB4B4E">
      <w:pPr>
        <w:pStyle w:val="dotpoint"/>
        <w:rPr>
          <w:rFonts w:eastAsiaTheme="minorEastAsia"/>
          <w:i/>
        </w:rPr>
      </w:pPr>
      <w:r w:rsidRPr="003B6ED7">
        <w:rPr>
          <w:i/>
        </w:rPr>
        <w:t>Life Insurance Act 1995</w:t>
      </w:r>
    </w:p>
    <w:p w14:paraId="56BCFAB5" w14:textId="5DE76DC0" w:rsidR="00BB4B4E" w:rsidRPr="003B6ED7" w:rsidRDefault="00BB4B4E" w:rsidP="00BB4B4E">
      <w:pPr>
        <w:pStyle w:val="dotpoint"/>
        <w:rPr>
          <w:i/>
        </w:rPr>
      </w:pPr>
      <w:r w:rsidRPr="003B6ED7">
        <w:rPr>
          <w:i/>
        </w:rPr>
        <w:t>Superannuation Industry (Supervision) Act 1993</w:t>
      </w:r>
      <w:r w:rsidR="006F3BA9">
        <w:rPr>
          <w:i/>
        </w:rPr>
        <w:t>.</w:t>
      </w:r>
    </w:p>
    <w:p w14:paraId="0E730E8C" w14:textId="12023E9D" w:rsidR="00C67B6B" w:rsidRDefault="00312026" w:rsidP="00C15135">
      <w:pPr>
        <w:pStyle w:val="base-text-paragraphnonumbers"/>
      </w:pPr>
      <w:r>
        <w:t xml:space="preserve">The Fair Entitlements Guarantee Act </w:t>
      </w:r>
      <w:r w:rsidRPr="00496E2A">
        <w:t>provide</w:t>
      </w:r>
      <w:r>
        <w:t>s</w:t>
      </w:r>
      <w:r w:rsidRPr="00496E2A">
        <w:t xml:space="preserve"> for financial assistance for workers who have not been fully paid for work done for</w:t>
      </w:r>
      <w:r>
        <w:t xml:space="preserve"> an employer who becomes</w:t>
      </w:r>
      <w:r w:rsidRPr="00496E2A">
        <w:t xml:space="preserve"> insolvent or bankrupt</w:t>
      </w:r>
      <w:r>
        <w:t xml:space="preserve">. </w:t>
      </w:r>
      <w:r w:rsidR="00805A3D">
        <w:t>T</w:t>
      </w:r>
      <w:r w:rsidR="00C67B6B">
        <w:t xml:space="preserve">he Bill amends the Fair Entitlements Guarantee Act to ensure employees who are otherwise eligible to receive entitlements can access the Fair Entitlements Guarantee scheme where their employer had been under restructuring prior to being wound up. </w:t>
      </w:r>
      <w:r w:rsidR="00016968">
        <w:t>More information can be found in Chapter 1.</w:t>
      </w:r>
      <w:r w:rsidR="00C67B6B">
        <w:t xml:space="preserve">  </w:t>
      </w:r>
    </w:p>
    <w:p w14:paraId="410B4E30" w14:textId="1E3A069E" w:rsidR="00C67B6B" w:rsidRDefault="00805A3D" w:rsidP="00C15135">
      <w:pPr>
        <w:pStyle w:val="base-text-paragraphnonumbers"/>
      </w:pPr>
      <w:r>
        <w:t>T</w:t>
      </w:r>
      <w:r w:rsidR="001F4FBD">
        <w:t xml:space="preserve">he Bill amends the </w:t>
      </w:r>
      <w:r w:rsidR="001F4FBD" w:rsidRPr="00BA383E">
        <w:t>Corporations Act</w:t>
      </w:r>
      <w:r w:rsidR="001F4FBD">
        <w:t xml:space="preserve">, </w:t>
      </w:r>
      <w:r w:rsidR="001F4FBD" w:rsidRPr="003B6ED7">
        <w:rPr>
          <w:i/>
        </w:rPr>
        <w:t>Banking Act 1959</w:t>
      </w:r>
      <w:r w:rsidR="001F4FBD">
        <w:t xml:space="preserve">, </w:t>
      </w:r>
      <w:r w:rsidR="001F4FBD" w:rsidRPr="003B6ED7">
        <w:rPr>
          <w:i/>
        </w:rPr>
        <w:t>Insurance Act 1973</w:t>
      </w:r>
      <w:r w:rsidR="001F4FBD">
        <w:t xml:space="preserve">, and </w:t>
      </w:r>
      <w:r w:rsidR="001F4FBD" w:rsidRPr="003B6ED7">
        <w:rPr>
          <w:i/>
        </w:rPr>
        <w:t>Life Insurance Act 1995</w:t>
      </w:r>
      <w:r w:rsidR="001F4FBD">
        <w:t xml:space="preserve"> to clarify </w:t>
      </w:r>
      <w:r>
        <w:t xml:space="preserve">that entities </w:t>
      </w:r>
      <w:r w:rsidR="00BA383E">
        <w:t xml:space="preserve">subject to prudential </w:t>
      </w:r>
      <w:r>
        <w:t>regulat</w:t>
      </w:r>
      <w:r w:rsidR="00BA383E">
        <w:t>ion</w:t>
      </w:r>
      <w:r>
        <w:t xml:space="preserve"> by APRA are not eligible to access the new simplified insolvency processes. More information can be found in Chapter 1.</w:t>
      </w:r>
    </w:p>
    <w:p w14:paraId="02391931" w14:textId="00EF6AD2" w:rsidR="00113316" w:rsidRDefault="00805A3D" w:rsidP="00C15135">
      <w:pPr>
        <w:pStyle w:val="base-text-paragraphnonumbers"/>
      </w:pPr>
      <w:r>
        <w:t>T</w:t>
      </w:r>
      <w:r w:rsidR="00FE1969">
        <w:t xml:space="preserve">he Bill </w:t>
      </w:r>
      <w:r w:rsidR="00113316">
        <w:t>makes consequential amendments to</w:t>
      </w:r>
      <w:r w:rsidR="00FE1969">
        <w:t xml:space="preserve"> the </w:t>
      </w:r>
      <w:r w:rsidR="00FE1969" w:rsidRPr="00A726CD">
        <w:t>ASIC Act</w:t>
      </w:r>
      <w:r w:rsidR="00FE1969">
        <w:t xml:space="preserve">, the </w:t>
      </w:r>
      <w:r w:rsidR="00FE1969" w:rsidRPr="00A726CD">
        <w:t>Corporations Act</w:t>
      </w:r>
      <w:r w:rsidR="006F3BA9">
        <w:t xml:space="preserve"> </w:t>
      </w:r>
      <w:r w:rsidR="00FE1969">
        <w:t xml:space="preserve">and the </w:t>
      </w:r>
      <w:r w:rsidR="00FE1969" w:rsidRPr="00087B7A">
        <w:rPr>
          <w:i/>
        </w:rPr>
        <w:t>Superannuation Industry (Supervision) Act 1993</w:t>
      </w:r>
      <w:r w:rsidR="00113316" w:rsidRPr="00113316">
        <w:t xml:space="preserve"> </w:t>
      </w:r>
      <w:r w:rsidR="00113316">
        <w:t>to clarify the operation of the new debt restructuring and simplified liquidation processes and to ensure that such processes work as intended</w:t>
      </w:r>
      <w:r w:rsidR="0097315D">
        <w:t>.</w:t>
      </w:r>
      <w:r w:rsidR="00113316" w:rsidDel="00FE1969">
        <w:t xml:space="preserve"> </w:t>
      </w:r>
      <w:r w:rsidR="00BD00E9">
        <w:t>More information can be found in Chapter 1.</w:t>
      </w:r>
    </w:p>
    <w:p w14:paraId="344C1537" w14:textId="44AAF8F8" w:rsidR="00B96246" w:rsidRDefault="00BD00E9" w:rsidP="00C15135">
      <w:pPr>
        <w:pStyle w:val="base-text-paragraphnonumbers"/>
      </w:pPr>
      <w:r>
        <w:t>T</w:t>
      </w:r>
      <w:r w:rsidR="00B96246">
        <w:t xml:space="preserve">he Bill amends the CATSI Act to ensure that Aboriginal and Torres Strait Islander corporations may utilise the new debt restructuring and simplified liquidation processes, with some modifications to ensure consistency with the objectives and framework of the CATSI Act. </w:t>
      </w:r>
      <w:r w:rsidR="005E55B9">
        <w:t>More information can be found in Chapter 2.</w:t>
      </w:r>
    </w:p>
    <w:p w14:paraId="3D4A770B" w14:textId="34803BB5" w:rsidR="00C94785" w:rsidRDefault="00C94785" w:rsidP="00BD00E9">
      <w:pPr>
        <w:pStyle w:val="base-text-paragraphnonumbers"/>
        <w:sectPr w:rsidR="00C94785" w:rsidSect="00C10AAF">
          <w:footerReference w:type="even" r:id="rId25"/>
          <w:footerReference w:type="default" r:id="rId26"/>
          <w:footerReference w:type="first" r:id="rId27"/>
          <w:type w:val="oddPage"/>
          <w:pgSz w:w="9979" w:h="14175" w:code="9"/>
          <w:pgMar w:top="567" w:right="1134" w:bottom="567" w:left="1134" w:header="709" w:footer="709" w:gutter="0"/>
          <w:cols w:space="708"/>
          <w:titlePg/>
          <w:docGrid w:linePitch="360"/>
        </w:sectPr>
      </w:pPr>
      <w:r w:rsidRPr="006371A1">
        <w:t>Additional consequential amendments to other Acts may also be identified for inclusion in the final Bill</w:t>
      </w:r>
      <w:r>
        <w:t>.</w:t>
      </w:r>
    </w:p>
    <w:p w14:paraId="254585DF" w14:textId="56295717" w:rsidR="00F90A04" w:rsidRPr="007C2B20" w:rsidRDefault="00F90A04" w:rsidP="00891569">
      <w:pPr>
        <w:pStyle w:val="ChapterHeading"/>
        <w:numPr>
          <w:ilvl w:val="0"/>
          <w:numId w:val="4"/>
        </w:numPr>
      </w:pPr>
      <w:r w:rsidRPr="000C2A9D">
        <w:lastRenderedPageBreak/>
        <w:br/>
      </w:r>
      <w:bookmarkStart w:id="50" w:name="_Toc69138240"/>
      <w:r w:rsidR="00891569" w:rsidRPr="00891569">
        <w:rPr>
          <w:rStyle w:val="ChapterNameOnly"/>
        </w:rPr>
        <w:t xml:space="preserve">Corporate </w:t>
      </w:r>
      <w:r w:rsidR="00891569">
        <w:rPr>
          <w:rStyle w:val="ChapterNameOnly"/>
        </w:rPr>
        <w:t>i</w:t>
      </w:r>
      <w:r w:rsidR="00891569" w:rsidRPr="00891569">
        <w:rPr>
          <w:rStyle w:val="ChapterNameOnly"/>
        </w:rPr>
        <w:t xml:space="preserve">nsolvency </w:t>
      </w:r>
      <w:r w:rsidR="00891569">
        <w:rPr>
          <w:rStyle w:val="ChapterNameOnly"/>
        </w:rPr>
        <w:t>r</w:t>
      </w:r>
      <w:r w:rsidR="00891569" w:rsidRPr="00891569">
        <w:rPr>
          <w:rStyle w:val="ChapterNameOnly"/>
        </w:rPr>
        <w:t>eforms</w:t>
      </w:r>
      <w:r w:rsidR="00891569">
        <w:rPr>
          <w:rStyle w:val="ChapterNameOnly"/>
        </w:rPr>
        <w:t>—</w:t>
      </w:r>
      <w:r w:rsidR="00891569" w:rsidRPr="00891569">
        <w:rPr>
          <w:rStyle w:val="ChapterNameOnly"/>
        </w:rPr>
        <w:t xml:space="preserve"> </w:t>
      </w:r>
      <w:r w:rsidR="00891569">
        <w:rPr>
          <w:rStyle w:val="ChapterNameOnly"/>
        </w:rPr>
        <w:t>c</w:t>
      </w:r>
      <w:r w:rsidR="00891569" w:rsidRPr="00891569">
        <w:rPr>
          <w:rStyle w:val="ChapterNameOnly"/>
        </w:rPr>
        <w:t>onsequential</w:t>
      </w:r>
      <w:r w:rsidR="00891569">
        <w:rPr>
          <w:rStyle w:val="ChapterNameOnly"/>
        </w:rPr>
        <w:t xml:space="preserve"> amendment</w:t>
      </w:r>
      <w:r w:rsidR="00891569" w:rsidRPr="00891569">
        <w:rPr>
          <w:rStyle w:val="ChapterNameOnly"/>
        </w:rPr>
        <w:t>s</w:t>
      </w:r>
      <w:bookmarkEnd w:id="50"/>
    </w:p>
    <w:p w14:paraId="772D915A" w14:textId="77777777" w:rsidR="00F90A04" w:rsidRDefault="00F90A04" w:rsidP="00F90A04">
      <w:pPr>
        <w:pStyle w:val="Heading2"/>
      </w:pPr>
      <w:r>
        <w:t>Outline of chapter</w:t>
      </w:r>
    </w:p>
    <w:p w14:paraId="60803CA0" w14:textId="53B9262D" w:rsidR="00637F10" w:rsidRPr="0088600E" w:rsidRDefault="00637F10" w:rsidP="007F687D">
      <w:pPr>
        <w:pStyle w:val="base-text-paragraph"/>
        <w:numPr>
          <w:ilvl w:val="1"/>
          <w:numId w:val="4"/>
        </w:numPr>
      </w:pPr>
      <w:r>
        <w:t xml:space="preserve">The Bill makes consequential amendments necessary to support implementation of the </w:t>
      </w:r>
      <w:r w:rsidRPr="00C15135">
        <w:t>corporate insolvency reforms</w:t>
      </w:r>
      <w:r>
        <w:t xml:space="preserve"> as follows: </w:t>
      </w:r>
    </w:p>
    <w:p w14:paraId="1120098A" w14:textId="3B8B5580" w:rsidR="00637F10" w:rsidRPr="007F687D" w:rsidRDefault="007F687D" w:rsidP="007F687D">
      <w:pPr>
        <w:pStyle w:val="dotpoint"/>
        <w:rPr>
          <w:rFonts w:eastAsiaTheme="minorEastAsia"/>
        </w:rPr>
      </w:pPr>
      <w:r w:rsidRPr="007F687D">
        <w:rPr>
          <w:rFonts w:eastAsiaTheme="minorEastAsia"/>
        </w:rPr>
        <w:t>a</w:t>
      </w:r>
      <w:r w:rsidRPr="007F687D">
        <w:t>mend</w:t>
      </w:r>
      <w:r>
        <w:t>ments to</w:t>
      </w:r>
      <w:r w:rsidRPr="007F687D">
        <w:t xml:space="preserve"> the Fair Entitlements Guarantee Act to ensure employees who are otherwise eligible to receive entitlements can access the Fair Entitlements Guarantee scheme where their employer had been under restructuring prior to being wound up</w:t>
      </w:r>
      <w:r>
        <w:t>;</w:t>
      </w:r>
    </w:p>
    <w:p w14:paraId="19CEE5CD" w14:textId="41952BDA" w:rsidR="007F687D" w:rsidRPr="007F687D" w:rsidRDefault="007F687D" w:rsidP="00637F10">
      <w:pPr>
        <w:pStyle w:val="dotpoint"/>
        <w:rPr>
          <w:rFonts w:eastAsiaTheme="minorEastAsia"/>
        </w:rPr>
      </w:pPr>
      <w:r>
        <w:t xml:space="preserve">amendments to the </w:t>
      </w:r>
      <w:r w:rsidRPr="00777170">
        <w:t>Corporations Act</w:t>
      </w:r>
      <w:r>
        <w:t xml:space="preserve">, </w:t>
      </w:r>
      <w:r w:rsidRPr="003B6ED7">
        <w:rPr>
          <w:i/>
        </w:rPr>
        <w:t>Banking Act 1959</w:t>
      </w:r>
      <w:r>
        <w:t xml:space="preserve">, </w:t>
      </w:r>
      <w:r w:rsidRPr="003B6ED7">
        <w:rPr>
          <w:i/>
        </w:rPr>
        <w:t>Insurance Act 1973</w:t>
      </w:r>
      <w:r>
        <w:t xml:space="preserve">, and </w:t>
      </w:r>
      <w:r w:rsidRPr="003B6ED7">
        <w:rPr>
          <w:i/>
        </w:rPr>
        <w:t>Life Insurance Act 1995</w:t>
      </w:r>
      <w:r>
        <w:t xml:space="preserve"> to clarify that entities </w:t>
      </w:r>
      <w:r w:rsidR="00BA383E">
        <w:t xml:space="preserve">subject to prudential </w:t>
      </w:r>
      <w:r>
        <w:t>regulat</w:t>
      </w:r>
      <w:r w:rsidR="00BA383E">
        <w:t>ion</w:t>
      </w:r>
      <w:r>
        <w:t xml:space="preserve"> by APRA are not eligible to access the new simplified insolvency processes</w:t>
      </w:r>
      <w:r w:rsidR="004D0B36">
        <w:t>; and</w:t>
      </w:r>
    </w:p>
    <w:p w14:paraId="2C0DF90D" w14:textId="293D9E41" w:rsidR="00637F10" w:rsidRPr="007F687D" w:rsidRDefault="007F687D" w:rsidP="007F687D">
      <w:pPr>
        <w:pStyle w:val="dotpoint"/>
      </w:pPr>
      <w:r>
        <w:t xml:space="preserve">amendments to the </w:t>
      </w:r>
      <w:r w:rsidRPr="00A726CD">
        <w:t>ASIC Act</w:t>
      </w:r>
      <w:r>
        <w:t xml:space="preserve">, the </w:t>
      </w:r>
      <w:r w:rsidRPr="00A726CD">
        <w:t>Corporations Act</w:t>
      </w:r>
      <w:r w:rsidR="004414D8">
        <w:t xml:space="preserve"> </w:t>
      </w:r>
      <w:r>
        <w:t xml:space="preserve">and the </w:t>
      </w:r>
      <w:r w:rsidRPr="00087B7A">
        <w:rPr>
          <w:i/>
        </w:rPr>
        <w:t>Superannuation Industry (Supervision) Act 1993</w:t>
      </w:r>
      <w:r w:rsidRPr="00113316">
        <w:t xml:space="preserve"> </w:t>
      </w:r>
      <w:r>
        <w:t>to clarify the operation of the new debt restructuring and simplified liquidation processes and to ensure that such processes work as intended.</w:t>
      </w:r>
    </w:p>
    <w:p w14:paraId="0AFC2FD5" w14:textId="18EC6458" w:rsidR="00C67B6B" w:rsidRDefault="00C67B6B" w:rsidP="00C67B6B">
      <w:pPr>
        <w:pStyle w:val="Heading2"/>
      </w:pPr>
      <w:r>
        <w:t>Detailed explanation of new law</w:t>
      </w:r>
    </w:p>
    <w:p w14:paraId="07C3AD83" w14:textId="77777777" w:rsidR="00C67B6B" w:rsidRPr="009107D2" w:rsidRDefault="00C67B6B" w:rsidP="00C67B6B">
      <w:pPr>
        <w:pStyle w:val="Heading3"/>
      </w:pPr>
      <w:r w:rsidRPr="009107D2">
        <w:t>Fair Entitlements Guarantee Act</w:t>
      </w:r>
    </w:p>
    <w:p w14:paraId="216C6508" w14:textId="3F8A6EF9" w:rsidR="00B07060" w:rsidRDefault="00C67B6B" w:rsidP="00C67B6B">
      <w:pPr>
        <w:pStyle w:val="Heading4"/>
      </w:pPr>
      <w:r w:rsidRPr="007F687D">
        <w:t>What does the F</w:t>
      </w:r>
      <w:r w:rsidR="006B7630" w:rsidRPr="009107D2">
        <w:t xml:space="preserve">air Entitlements </w:t>
      </w:r>
      <w:r w:rsidR="006B7630" w:rsidRPr="007F687D">
        <w:t>Guarantee</w:t>
      </w:r>
      <w:r w:rsidRPr="007F687D">
        <w:t xml:space="preserve"> Act do?</w:t>
      </w:r>
    </w:p>
    <w:p w14:paraId="26493AC1" w14:textId="0C8880C3" w:rsidR="006F660C" w:rsidRDefault="006F660C" w:rsidP="00BC0989">
      <w:pPr>
        <w:pStyle w:val="base-text-paragraph"/>
        <w:numPr>
          <w:ilvl w:val="1"/>
          <w:numId w:val="21"/>
        </w:numPr>
      </w:pPr>
      <w:r>
        <w:t xml:space="preserve">Under the </w:t>
      </w:r>
      <w:r w:rsidR="003D12F8">
        <w:t>Fair Entitlements Guarantee</w:t>
      </w:r>
      <w:r>
        <w:t xml:space="preserve"> Act, an employee is eligible for financial assistance from the Commonwealth (called an advance) if:</w:t>
      </w:r>
    </w:p>
    <w:p w14:paraId="625FC212" w14:textId="7FBCB5F8" w:rsidR="006F660C" w:rsidRDefault="006F660C" w:rsidP="006F660C">
      <w:pPr>
        <w:pStyle w:val="dotpoint"/>
      </w:pPr>
      <w:r>
        <w:t>their employment by an employer has ended; and</w:t>
      </w:r>
    </w:p>
    <w:p w14:paraId="0EA52314" w14:textId="77777777" w:rsidR="006F660C" w:rsidRDefault="006F660C" w:rsidP="006F660C">
      <w:pPr>
        <w:pStyle w:val="dotpoint"/>
      </w:pPr>
      <w:r>
        <w:t>the employer is being wound up or bankrupt; and</w:t>
      </w:r>
    </w:p>
    <w:p w14:paraId="703F7760" w14:textId="77777777" w:rsidR="006F660C" w:rsidRDefault="006F660C" w:rsidP="006F660C">
      <w:pPr>
        <w:pStyle w:val="dotpoint"/>
      </w:pPr>
      <w:r>
        <w:t>the end of the employment is connected with the insolvency or bankruptcy of the employer; and</w:t>
      </w:r>
    </w:p>
    <w:p w14:paraId="4DD39828" w14:textId="77777777" w:rsidR="006F660C" w:rsidRDefault="006F660C" w:rsidP="006F660C">
      <w:pPr>
        <w:pStyle w:val="dotpoint"/>
      </w:pPr>
      <w:r>
        <w:lastRenderedPageBreak/>
        <w:t>the person has not been fully paid his or her entitlements relating to that employment; and</w:t>
      </w:r>
    </w:p>
    <w:p w14:paraId="49812127" w14:textId="77777777" w:rsidR="006F660C" w:rsidRDefault="006F660C" w:rsidP="006F660C">
      <w:pPr>
        <w:pStyle w:val="dotpoint"/>
      </w:pPr>
      <w:r>
        <w:t>the person has made a claim for the advance.</w:t>
      </w:r>
    </w:p>
    <w:p w14:paraId="79E1C136" w14:textId="50A095BF" w:rsidR="006F660C" w:rsidRDefault="006F660C" w:rsidP="00BC0989">
      <w:pPr>
        <w:pStyle w:val="base-text-paragraph"/>
        <w:numPr>
          <w:ilvl w:val="1"/>
          <w:numId w:val="21"/>
        </w:numPr>
      </w:pPr>
      <w:r>
        <w:t xml:space="preserve">If an employee submits a claim for an advance under the </w:t>
      </w:r>
      <w:r w:rsidR="003D12F8">
        <w:t>Fair Entitlements Guarantee</w:t>
      </w:r>
      <w:r>
        <w:t xml:space="preserve"> Act, t</w:t>
      </w:r>
      <w:r w:rsidRPr="00B07060">
        <w:t>he Secretary</w:t>
      </w:r>
      <w:r>
        <w:t xml:space="preserve"> of the Attorney-General’s Department </w:t>
      </w:r>
      <w:r w:rsidR="006C1733">
        <w:t xml:space="preserve">(or their delegate) </w:t>
      </w:r>
      <w:r>
        <w:t>determines if they are eligible and</w:t>
      </w:r>
      <w:r w:rsidRPr="00B07060">
        <w:t>,</w:t>
      </w:r>
      <w:r>
        <w:t xml:space="preserve"> if so, the amount</w:t>
      </w:r>
      <w:r w:rsidRPr="00B07060">
        <w:t xml:space="preserve"> </w:t>
      </w:r>
      <w:r>
        <w:t>they are</w:t>
      </w:r>
      <w:r w:rsidRPr="00B07060">
        <w:t xml:space="preserve"> eligible for</w:t>
      </w:r>
      <w:r>
        <w:t>.</w:t>
      </w:r>
      <w:r w:rsidR="006C1733">
        <w:t xml:space="preserve"> Any such decisions regarding a person’s eligibility or the amount of the advance may be subject to review.</w:t>
      </w:r>
    </w:p>
    <w:p w14:paraId="64BE31F8" w14:textId="39E3A392" w:rsidR="006F660C" w:rsidRDefault="006F660C" w:rsidP="00BC0989">
      <w:pPr>
        <w:pStyle w:val="base-text-paragraph"/>
        <w:numPr>
          <w:ilvl w:val="1"/>
          <w:numId w:val="21"/>
        </w:numPr>
      </w:pPr>
      <w:r>
        <w:t xml:space="preserve">The </w:t>
      </w:r>
      <w:r w:rsidR="003D12F8">
        <w:t>Fair Entitlements Guarantee</w:t>
      </w:r>
      <w:r>
        <w:t xml:space="preserve"> Act </w:t>
      </w:r>
      <w:r w:rsidR="00E55805">
        <w:t>sets out eligibility criteria for claimants where an insolvency practitioner has been appointed to their employer</w:t>
      </w:r>
      <w:r>
        <w:t>.</w:t>
      </w:r>
    </w:p>
    <w:p w14:paraId="32E54784" w14:textId="3B613BF8" w:rsidR="00C67B6B" w:rsidRDefault="00C67B6B" w:rsidP="00C67B6B">
      <w:pPr>
        <w:pStyle w:val="Heading4"/>
      </w:pPr>
      <w:r w:rsidRPr="006B7630">
        <w:t>C</w:t>
      </w:r>
      <w:r w:rsidR="008C10BC" w:rsidRPr="006B7630">
        <w:t>onsequential amendments to the F</w:t>
      </w:r>
      <w:r w:rsidR="006B7630" w:rsidRPr="006B7630">
        <w:t>air Entitlements Guarantee</w:t>
      </w:r>
      <w:r w:rsidR="008C10BC" w:rsidRPr="006B7630">
        <w:t xml:space="preserve"> Act</w:t>
      </w:r>
    </w:p>
    <w:p w14:paraId="6F8FF2F3" w14:textId="71A92C20" w:rsidR="006F660C" w:rsidRDefault="00E55805" w:rsidP="00BC0989">
      <w:pPr>
        <w:pStyle w:val="base-text-paragraph"/>
        <w:numPr>
          <w:ilvl w:val="1"/>
          <w:numId w:val="21"/>
        </w:numPr>
      </w:pPr>
      <w:r>
        <w:t>T</w:t>
      </w:r>
      <w:r w:rsidR="006F660C">
        <w:t xml:space="preserve">he Bill amends the </w:t>
      </w:r>
      <w:r w:rsidR="003D12F8">
        <w:t>Fair Entitlements Guarantee</w:t>
      </w:r>
      <w:r w:rsidR="006F660C">
        <w:t xml:space="preserve"> Act to ensure that these provisions also apply, as appropriate, where the employer had been under restructuring prior to being wound up.</w:t>
      </w:r>
    </w:p>
    <w:p w14:paraId="46BDBF3D" w14:textId="16F188F7" w:rsidR="00F90A04" w:rsidRPr="00D425A1" w:rsidRDefault="00D425A1" w:rsidP="00BC0989">
      <w:pPr>
        <w:pStyle w:val="base-text-paragraph"/>
        <w:numPr>
          <w:ilvl w:val="1"/>
          <w:numId w:val="4"/>
        </w:numPr>
        <w:rPr>
          <w:rStyle w:val="Referencingstyle"/>
          <w:b w:val="0"/>
          <w:i w:val="0"/>
          <w:sz w:val="22"/>
        </w:rPr>
      </w:pPr>
      <w:r>
        <w:t xml:space="preserve">The definition of insolvency practitioner in the </w:t>
      </w:r>
      <w:r w:rsidR="003D12F8">
        <w:t>Fair Entitlements Guarantee</w:t>
      </w:r>
      <w:r>
        <w:t xml:space="preserve"> Act is amended to include a restructuring practitioner for a company or for a restructuring plan.</w:t>
      </w:r>
      <w:r w:rsidR="000234CC">
        <w:t xml:space="preserve"> </w:t>
      </w:r>
      <w:r w:rsidR="000234CC">
        <w:rPr>
          <w:rStyle w:val="Referencingstyle"/>
        </w:rPr>
        <w:t>[</w:t>
      </w:r>
      <w:r w:rsidR="000234CC" w:rsidRPr="00FD6A9E">
        <w:rPr>
          <w:rStyle w:val="Referencingstyle"/>
        </w:rPr>
        <w:t xml:space="preserve">Schedule </w:t>
      </w:r>
      <w:r w:rsidR="00FC679E" w:rsidRPr="00FD6A9E">
        <w:rPr>
          <w:rStyle w:val="Referencingstyle"/>
        </w:rPr>
        <w:t>1</w:t>
      </w:r>
      <w:r w:rsidR="000234CC" w:rsidRPr="00FD6A9E">
        <w:rPr>
          <w:rStyle w:val="Referencingstyle"/>
        </w:rPr>
        <w:t xml:space="preserve">, item </w:t>
      </w:r>
      <w:r w:rsidR="00FC679E" w:rsidRPr="00FD6A9E">
        <w:rPr>
          <w:rStyle w:val="Referencingstyle"/>
        </w:rPr>
        <w:t>3</w:t>
      </w:r>
      <w:r w:rsidR="009B56B6">
        <w:rPr>
          <w:rStyle w:val="Referencingstyle"/>
        </w:rPr>
        <w:t>5</w:t>
      </w:r>
      <w:r w:rsidR="000234CC" w:rsidRPr="00FD6A9E">
        <w:rPr>
          <w:rStyle w:val="Referencingstyle"/>
        </w:rPr>
        <w:t xml:space="preserve">, section 5 of </w:t>
      </w:r>
      <w:r w:rsidR="00FD6A9E" w:rsidRPr="00FD6A9E">
        <w:rPr>
          <w:rStyle w:val="Referencingstyle"/>
        </w:rPr>
        <w:t xml:space="preserve">the Fair Entitlements Guarantee </w:t>
      </w:r>
      <w:r w:rsidR="000234CC" w:rsidRPr="00FD6A9E">
        <w:rPr>
          <w:rStyle w:val="Referencingstyle"/>
        </w:rPr>
        <w:t>Act</w:t>
      </w:r>
      <w:r w:rsidR="000234CC" w:rsidRPr="00375F1D">
        <w:rPr>
          <w:rStyle w:val="Referencingstyle"/>
        </w:rPr>
        <w:t>]</w:t>
      </w:r>
    </w:p>
    <w:p w14:paraId="08E4C3C8" w14:textId="0C7513AA" w:rsidR="00364728" w:rsidRDefault="00364728" w:rsidP="00BC0989">
      <w:pPr>
        <w:pStyle w:val="base-text-paragraph"/>
        <w:numPr>
          <w:ilvl w:val="1"/>
          <w:numId w:val="21"/>
        </w:numPr>
      </w:pPr>
      <w:r>
        <w:t xml:space="preserve">The timing </w:t>
      </w:r>
      <w:r w:rsidR="006C1733">
        <w:t xml:space="preserve">of the </w:t>
      </w:r>
      <w:r>
        <w:t>appointment of an insolvency practitioner</w:t>
      </w:r>
      <w:r w:rsidR="006C1733">
        <w:t xml:space="preserve"> is </w:t>
      </w:r>
      <w:r w:rsidR="00732BE7">
        <w:t xml:space="preserve">a </w:t>
      </w:r>
      <w:r w:rsidR="006C1733">
        <w:t>critical</w:t>
      </w:r>
      <w:r w:rsidR="00732BE7">
        <w:t xml:space="preserve"> factor</w:t>
      </w:r>
      <w:r w:rsidR="006C1733">
        <w:t xml:space="preserve"> in determining an employee’s eligibility for a </w:t>
      </w:r>
      <w:r w:rsidR="003D12F8">
        <w:t>Fair Entitlements Guarantee</w:t>
      </w:r>
      <w:r w:rsidR="006C1733">
        <w:t xml:space="preserve"> advance.</w:t>
      </w:r>
      <w:r>
        <w:t xml:space="preserve"> </w:t>
      </w:r>
      <w:r w:rsidR="000F4D83">
        <w:t>The eligibility criteria (s</w:t>
      </w:r>
      <w:r w:rsidR="00732BE7">
        <w:t xml:space="preserve">ection 10(1) of the </w:t>
      </w:r>
      <w:r w:rsidR="003D12F8">
        <w:t>Fair Entitlements Guarantee</w:t>
      </w:r>
      <w:r w:rsidR="00732BE7">
        <w:t xml:space="preserve"> Act</w:t>
      </w:r>
      <w:r w:rsidR="000F4D83">
        <w:t>)</w:t>
      </w:r>
      <w:r w:rsidR="00732BE7">
        <w:t xml:space="preserve"> provides that </w:t>
      </w:r>
      <w:r w:rsidR="000F4D83">
        <w:t xml:space="preserve">(among other things) </w:t>
      </w:r>
      <w:r w:rsidR="00732BE7">
        <w:t>the e</w:t>
      </w:r>
      <w:r w:rsidR="000F4D83">
        <w:t>nd of the employee’s employment must have occurred:</w:t>
      </w:r>
    </w:p>
    <w:p w14:paraId="0514D79A" w14:textId="02117200" w:rsidR="000F4D83" w:rsidRDefault="000F4D83" w:rsidP="000F4D83">
      <w:pPr>
        <w:pStyle w:val="dotpoint"/>
      </w:pPr>
      <w:r>
        <w:t>due to the insolvency of the employer; or</w:t>
      </w:r>
    </w:p>
    <w:p w14:paraId="724F09C4" w14:textId="2C6BFB78" w:rsidR="000F4D83" w:rsidRDefault="000F4D83" w:rsidP="000F4D83">
      <w:pPr>
        <w:pStyle w:val="dotpoint"/>
      </w:pPr>
      <w:r>
        <w:t>less than six months before the appointment of an insolvency practitioner; or</w:t>
      </w:r>
    </w:p>
    <w:p w14:paraId="21B5F957" w14:textId="08941282" w:rsidR="000F4D83" w:rsidRDefault="000F4D83" w:rsidP="000F4D83">
      <w:pPr>
        <w:pStyle w:val="dotpoint"/>
      </w:pPr>
      <w:r>
        <w:t>on or after the appointment of an insolvency practitioner.</w:t>
      </w:r>
    </w:p>
    <w:p w14:paraId="4C9DE8E6" w14:textId="130242D4" w:rsidR="00E70B8F" w:rsidRDefault="00DA132A" w:rsidP="00BC0989">
      <w:pPr>
        <w:pStyle w:val="base-text-paragraph"/>
        <w:numPr>
          <w:ilvl w:val="1"/>
          <w:numId w:val="21"/>
        </w:numPr>
      </w:pPr>
      <w:r>
        <w:t>Amending the definition of insolvency practitioner to include res</w:t>
      </w:r>
      <w:r w:rsidR="00E70B8F">
        <w:t xml:space="preserve">tructuring practitioners provides consistent treatment of employees’ eligibility for </w:t>
      </w:r>
      <w:r w:rsidR="003D12F8">
        <w:t>Fair Entitlements Guarantee</w:t>
      </w:r>
      <w:r w:rsidR="0033721C">
        <w:t xml:space="preserve"> advances, where there is sufficient nexus between the end of their employment and the commencement of any form of external administration</w:t>
      </w:r>
      <w:r w:rsidR="00F46A42">
        <w:t xml:space="preserve"> to </w:t>
      </w:r>
      <w:r w:rsidR="00910AFB">
        <w:t>deal with the employer’s financial difficulties.</w:t>
      </w:r>
      <w:r w:rsidR="0033721C">
        <w:t xml:space="preserve"> </w:t>
      </w:r>
    </w:p>
    <w:p w14:paraId="07C9759B" w14:textId="634AD853" w:rsidR="0075739E" w:rsidRDefault="00E55805" w:rsidP="00BC0989">
      <w:pPr>
        <w:pStyle w:val="base-text-paragraph"/>
        <w:numPr>
          <w:ilvl w:val="1"/>
          <w:numId w:val="4"/>
        </w:numPr>
      </w:pPr>
      <w:r>
        <w:t>Subject to one exception</w:t>
      </w:r>
      <w:r w:rsidR="00DE0C81">
        <w:t xml:space="preserve">, </w:t>
      </w:r>
      <w:r w:rsidR="005A25AB">
        <w:t>t</w:t>
      </w:r>
      <w:r w:rsidR="00D425A1">
        <w:t xml:space="preserve">he </w:t>
      </w:r>
      <w:r w:rsidR="00613CA8">
        <w:t xml:space="preserve">amended </w:t>
      </w:r>
      <w:r w:rsidR="00D425A1">
        <w:t xml:space="preserve">definition of insolvency practitioner </w:t>
      </w:r>
      <w:r w:rsidR="00DE0C81">
        <w:t>– to in</w:t>
      </w:r>
      <w:r w:rsidR="005A25AB">
        <w:t>cl</w:t>
      </w:r>
      <w:r w:rsidR="00D425A1">
        <w:t>ude a restructuring practitioner</w:t>
      </w:r>
      <w:r w:rsidR="00DE0C81">
        <w:t xml:space="preserve"> – flows through to all provisions</w:t>
      </w:r>
      <w:r w:rsidR="00D425A1">
        <w:t xml:space="preserve"> </w:t>
      </w:r>
      <w:r w:rsidR="00DE0C81">
        <w:t xml:space="preserve">referring to insolvency practitioners throughout the </w:t>
      </w:r>
      <w:r w:rsidR="003D12F8">
        <w:t>Fair Entitlements Guarantee</w:t>
      </w:r>
      <w:r w:rsidR="00DE0C81">
        <w:t xml:space="preserve"> Act. </w:t>
      </w:r>
    </w:p>
    <w:p w14:paraId="07F83CA4" w14:textId="46196AA7" w:rsidR="00D425A1" w:rsidRPr="008F726E" w:rsidRDefault="00BA493C" w:rsidP="00BC0989">
      <w:pPr>
        <w:pStyle w:val="base-text-paragraph"/>
        <w:numPr>
          <w:ilvl w:val="1"/>
          <w:numId w:val="4"/>
        </w:numPr>
      </w:pPr>
      <w:r>
        <w:t>The exception is that,</w:t>
      </w:r>
      <w:r w:rsidR="00D425A1">
        <w:t xml:space="preserve"> for </w:t>
      </w:r>
      <w:r w:rsidR="009A28BC">
        <w:t>the purposes of determining the wages entitlement period</w:t>
      </w:r>
      <w:r w:rsidR="00712F75">
        <w:t xml:space="preserve"> under the </w:t>
      </w:r>
      <w:r w:rsidR="003D12F8">
        <w:t>Fair Entitlements Guarantee</w:t>
      </w:r>
      <w:r w:rsidR="00712F75">
        <w:t xml:space="preserve"> Act</w:t>
      </w:r>
      <w:r w:rsidR="0075739E">
        <w:t xml:space="preserve">, insolvency </w:t>
      </w:r>
      <w:r w:rsidR="0075739E">
        <w:lastRenderedPageBreak/>
        <w:t>practitioner does not include a restructuring practitioner</w:t>
      </w:r>
      <w:r w:rsidR="00D425A1">
        <w:t xml:space="preserve">. </w:t>
      </w:r>
      <w:r w:rsidR="00D425A1">
        <w:rPr>
          <w:rStyle w:val="Referencingstyle"/>
        </w:rPr>
        <w:t>[</w:t>
      </w:r>
      <w:r w:rsidR="00D425A1" w:rsidRPr="00FD6A9E">
        <w:rPr>
          <w:rStyle w:val="Referencingstyle"/>
        </w:rPr>
        <w:t xml:space="preserve">Schedule </w:t>
      </w:r>
      <w:r w:rsidR="00FC679E" w:rsidRPr="00FD6A9E">
        <w:rPr>
          <w:rStyle w:val="Referencingstyle"/>
        </w:rPr>
        <w:t>1</w:t>
      </w:r>
      <w:r w:rsidR="00D425A1" w:rsidRPr="00FD6A9E">
        <w:rPr>
          <w:rStyle w:val="Referencingstyle"/>
        </w:rPr>
        <w:t xml:space="preserve">, item </w:t>
      </w:r>
      <w:r w:rsidR="00FC679E" w:rsidRPr="00FD6A9E">
        <w:rPr>
          <w:rStyle w:val="Referencingstyle"/>
        </w:rPr>
        <w:t>3</w:t>
      </w:r>
      <w:r w:rsidR="009B56B6">
        <w:rPr>
          <w:rStyle w:val="Referencingstyle"/>
        </w:rPr>
        <w:t>6</w:t>
      </w:r>
      <w:r w:rsidR="00D425A1" w:rsidRPr="00FD6A9E">
        <w:rPr>
          <w:rStyle w:val="Referencingstyle"/>
        </w:rPr>
        <w:t xml:space="preserve">, section 5 of </w:t>
      </w:r>
      <w:r w:rsidR="00FD6A9E" w:rsidRPr="00FD6A9E">
        <w:rPr>
          <w:rStyle w:val="Referencingstyle"/>
        </w:rPr>
        <w:t xml:space="preserve">the Fair Entitlements Guarantee </w:t>
      </w:r>
      <w:r w:rsidR="00D425A1" w:rsidRPr="00FD6A9E">
        <w:rPr>
          <w:rStyle w:val="Referencingstyle"/>
        </w:rPr>
        <w:t>Act</w:t>
      </w:r>
      <w:r w:rsidR="00D425A1" w:rsidRPr="00375F1D">
        <w:rPr>
          <w:rStyle w:val="Referencingstyle"/>
        </w:rPr>
        <w:t>]</w:t>
      </w:r>
    </w:p>
    <w:p w14:paraId="20C371C8" w14:textId="304F2FB7" w:rsidR="00D425A1" w:rsidRPr="008F726E" w:rsidRDefault="00FA073A" w:rsidP="00BC0989">
      <w:pPr>
        <w:pStyle w:val="base-text-paragraph"/>
        <w:numPr>
          <w:ilvl w:val="1"/>
          <w:numId w:val="4"/>
        </w:numPr>
      </w:pPr>
      <w:r>
        <w:t xml:space="preserve">When assessing a claim for a </w:t>
      </w:r>
      <w:r w:rsidR="003D12F8">
        <w:t>Fair Entitlements Guarantee</w:t>
      </w:r>
      <w:r>
        <w:t xml:space="preserve"> advance, the</w:t>
      </w:r>
      <w:r w:rsidR="00B4360D">
        <w:t xml:space="preserve"> employee</w:t>
      </w:r>
      <w:r w:rsidR="00045AFF" w:rsidRPr="00045AFF">
        <w:t xml:space="preserve">’s </w:t>
      </w:r>
      <w:r w:rsidR="00045AFF" w:rsidRPr="00C84852">
        <w:rPr>
          <w:b/>
          <w:i/>
        </w:rPr>
        <w:t>wages entitlement</w:t>
      </w:r>
      <w:r w:rsidR="00B4360D">
        <w:t xml:space="preserve"> is the amount of wages they are</w:t>
      </w:r>
      <w:r w:rsidR="00045AFF" w:rsidRPr="00045AFF">
        <w:t xml:space="preserve"> entitled to </w:t>
      </w:r>
      <w:r w:rsidR="005B242F">
        <w:t>receive</w:t>
      </w:r>
      <w:r w:rsidR="00045AFF" w:rsidRPr="00045AFF">
        <w:t xml:space="preserve"> from the employer for work done, or paid leave taken, </w:t>
      </w:r>
      <w:r w:rsidR="005B242F">
        <w:t>during</w:t>
      </w:r>
      <w:r w:rsidR="00045AFF" w:rsidRPr="00045AFF">
        <w:t xml:space="preserve"> the wages entitlement period</w:t>
      </w:r>
      <w:r w:rsidR="00B4360D">
        <w:t>.</w:t>
      </w:r>
    </w:p>
    <w:p w14:paraId="640139C5" w14:textId="70B9057B" w:rsidR="00B4360D" w:rsidRDefault="00B4360D" w:rsidP="00BC0989">
      <w:pPr>
        <w:pStyle w:val="base-text-paragraph"/>
        <w:numPr>
          <w:ilvl w:val="1"/>
          <w:numId w:val="4"/>
        </w:numPr>
      </w:pPr>
      <w:r>
        <w:t xml:space="preserve">The </w:t>
      </w:r>
      <w:r w:rsidRPr="00B4360D">
        <w:rPr>
          <w:b/>
          <w:i/>
        </w:rPr>
        <w:t>wages entitlement period</w:t>
      </w:r>
      <w:r>
        <w:t xml:space="preserve"> for a</w:t>
      </w:r>
      <w:r w:rsidR="00435E6E">
        <w:t>n employee</w:t>
      </w:r>
      <w:r>
        <w:t xml:space="preserve"> whose employment by an employer has ended means the 13 weeks ending at the earlier of the following times:</w:t>
      </w:r>
    </w:p>
    <w:p w14:paraId="3A126402" w14:textId="3EC4918A" w:rsidR="00B4360D" w:rsidRDefault="00B4360D" w:rsidP="00B4360D">
      <w:pPr>
        <w:pStyle w:val="dotpoint"/>
      </w:pPr>
      <w:r>
        <w:t>the time the person’s employment ended;</w:t>
      </w:r>
    </w:p>
    <w:p w14:paraId="07FE48CA" w14:textId="1302DA69" w:rsidR="00B4360D" w:rsidRDefault="00B4360D" w:rsidP="00B4360D">
      <w:pPr>
        <w:pStyle w:val="dotpoint"/>
      </w:pPr>
      <w:r>
        <w:t>the first time an insolvency practitioner has power (however expressed) to control or manage employment by the employer.</w:t>
      </w:r>
    </w:p>
    <w:p w14:paraId="6F81B7F2" w14:textId="0F54A85F" w:rsidR="00C84852" w:rsidRPr="008F726E" w:rsidRDefault="00435E6E" w:rsidP="00BC0989">
      <w:pPr>
        <w:pStyle w:val="base-text-paragraph"/>
        <w:numPr>
          <w:ilvl w:val="1"/>
          <w:numId w:val="4"/>
        </w:numPr>
      </w:pPr>
      <w:r>
        <w:t xml:space="preserve">The policy intent of the wages entitlement period is to </w:t>
      </w:r>
      <w:r w:rsidR="00DB4D2B">
        <w:t xml:space="preserve">enable the </w:t>
      </w:r>
      <w:r w:rsidR="003D12F8">
        <w:t>Fair Entitlements Guarantee</w:t>
      </w:r>
      <w:r w:rsidR="00DB4D2B">
        <w:t xml:space="preserve"> advance to cover the last 13 weeks of an employee’s employment where the employer was liable for any unpaid wages. As the directors remain in control of the company after the appointment of a</w:t>
      </w:r>
      <w:r w:rsidR="00EA517B">
        <w:t xml:space="preserve"> restructuring practitioner, they remain liable for paying employees’ wages.</w:t>
      </w:r>
      <w:r w:rsidR="0035008E">
        <w:t xml:space="preserve"> </w:t>
      </w:r>
      <w:r w:rsidR="006575ED">
        <w:t>Given that a company under restructuring is likely to continue to trade while developing a restructuring plan to put to creditors</w:t>
      </w:r>
      <w:r w:rsidR="00A060E3">
        <w:t>, and is responsible for paying its employees their entitlements throughout the process</w:t>
      </w:r>
      <w:r w:rsidR="0035008E">
        <w:t>, it would not be</w:t>
      </w:r>
      <w:r w:rsidR="00FA073A">
        <w:t xml:space="preserve"> appropriate</w:t>
      </w:r>
      <w:r w:rsidR="0035008E">
        <w:t xml:space="preserve"> to </w:t>
      </w:r>
      <w:r w:rsidR="00E55805">
        <w:t>anchor</w:t>
      </w:r>
      <w:r w:rsidR="0035008E">
        <w:t xml:space="preserve"> the </w:t>
      </w:r>
      <w:r w:rsidR="00137286">
        <w:t>employees’</w:t>
      </w:r>
      <w:r w:rsidR="00A060E3">
        <w:t xml:space="preserve"> </w:t>
      </w:r>
      <w:r w:rsidR="0035008E">
        <w:t xml:space="preserve">13 weeks wages entitlement period </w:t>
      </w:r>
      <w:r w:rsidR="00E55805">
        <w:t>to</w:t>
      </w:r>
      <w:r w:rsidR="006575ED">
        <w:t xml:space="preserve"> the appointment of a restructuring practitioner.</w:t>
      </w:r>
    </w:p>
    <w:p w14:paraId="50DB4108" w14:textId="77777777" w:rsidR="00F90A04" w:rsidRDefault="00F90A04" w:rsidP="00C92596">
      <w:pPr>
        <w:pStyle w:val="Heading4"/>
      </w:pPr>
      <w:r>
        <w:t>Application and transitional provisions</w:t>
      </w:r>
    </w:p>
    <w:p w14:paraId="22097B22" w14:textId="5EC7F8E6" w:rsidR="00802380" w:rsidRDefault="005A25AB" w:rsidP="00BC0989">
      <w:pPr>
        <w:pStyle w:val="base-text-paragraph"/>
        <w:numPr>
          <w:ilvl w:val="1"/>
          <w:numId w:val="21"/>
        </w:numPr>
      </w:pPr>
      <w:r>
        <w:t xml:space="preserve">The amendments to the </w:t>
      </w:r>
      <w:r w:rsidR="003D12F8">
        <w:t>Fair Entitlements Guarantee</w:t>
      </w:r>
      <w:r>
        <w:t xml:space="preserve"> Act apply in relation to an employer that appoints a restructuring practitioner before, on or after the commencement of this Schedule. </w:t>
      </w:r>
      <w:r w:rsidR="000234CC">
        <w:rPr>
          <w:rStyle w:val="Referencingstyle"/>
        </w:rPr>
        <w:t>[</w:t>
      </w:r>
      <w:r w:rsidR="000234CC" w:rsidRPr="00FD6A9E">
        <w:rPr>
          <w:rStyle w:val="Referencingstyle"/>
        </w:rPr>
        <w:t xml:space="preserve">Schedule </w:t>
      </w:r>
      <w:r w:rsidR="00FC679E" w:rsidRPr="00FD6A9E">
        <w:rPr>
          <w:rStyle w:val="Referencingstyle"/>
        </w:rPr>
        <w:t>1</w:t>
      </w:r>
      <w:r w:rsidR="000234CC" w:rsidRPr="00FD6A9E">
        <w:rPr>
          <w:rStyle w:val="Referencingstyle"/>
        </w:rPr>
        <w:t xml:space="preserve">, item </w:t>
      </w:r>
      <w:r w:rsidR="00FC679E" w:rsidRPr="00FD6A9E">
        <w:rPr>
          <w:rStyle w:val="Referencingstyle"/>
        </w:rPr>
        <w:t>3</w:t>
      </w:r>
      <w:r w:rsidR="009B56B6">
        <w:rPr>
          <w:rStyle w:val="Referencingstyle"/>
        </w:rPr>
        <w:t>7</w:t>
      </w:r>
      <w:r w:rsidR="000234CC" w:rsidRPr="00375F1D">
        <w:rPr>
          <w:rStyle w:val="Referencingstyle"/>
        </w:rPr>
        <w:t>]</w:t>
      </w:r>
    </w:p>
    <w:p w14:paraId="065AAE2B" w14:textId="4FE9EF51" w:rsidR="00F90A04" w:rsidRDefault="005A25AB" w:rsidP="00BC0989">
      <w:pPr>
        <w:pStyle w:val="base-text-paragraph"/>
        <w:numPr>
          <w:ilvl w:val="1"/>
          <w:numId w:val="4"/>
        </w:numPr>
      </w:pPr>
      <w:r>
        <w:t xml:space="preserve">The </w:t>
      </w:r>
      <w:r w:rsidR="00F06368">
        <w:t xml:space="preserve">Bill will also include </w:t>
      </w:r>
      <w:r w:rsidR="00460FAA">
        <w:t xml:space="preserve">[yet to be drafted] </w:t>
      </w:r>
      <w:r w:rsidR="00F06368">
        <w:t xml:space="preserve">transitional provisions to deal with </w:t>
      </w:r>
      <w:r w:rsidR="003D12F8">
        <w:t>Fair Entitlements Guarantee</w:t>
      </w:r>
      <w:r w:rsidR="00F06368">
        <w:t xml:space="preserve"> applications </w:t>
      </w:r>
      <w:r w:rsidR="0078143A">
        <w:t xml:space="preserve">submitted prior to </w:t>
      </w:r>
      <w:r w:rsidR="00460FAA">
        <w:t xml:space="preserve">commencement. </w:t>
      </w:r>
    </w:p>
    <w:p w14:paraId="7E5F18F8" w14:textId="0253386F" w:rsidR="00891569" w:rsidRDefault="0075739E" w:rsidP="00BC0989">
      <w:pPr>
        <w:pStyle w:val="base-text-paragraph"/>
        <w:numPr>
          <w:ilvl w:val="1"/>
          <w:numId w:val="4"/>
        </w:numPr>
      </w:pPr>
      <w:r>
        <w:t>T</w:t>
      </w:r>
      <w:r w:rsidR="008B6F76">
        <w:t>he application and t</w:t>
      </w:r>
      <w:r>
        <w:t xml:space="preserve">ransitional provisions will </w:t>
      </w:r>
      <w:r w:rsidR="008B6F76">
        <w:t>provide</w:t>
      </w:r>
      <w:r w:rsidR="00E7559F">
        <w:t xml:space="preserve"> that, when assessing an application for a </w:t>
      </w:r>
      <w:r w:rsidR="003D12F8">
        <w:t>Fair Entitlements Guarantee</w:t>
      </w:r>
      <w:r w:rsidR="00E7559F">
        <w:t xml:space="preserve"> advance or an application for review of a previous decision, </w:t>
      </w:r>
      <w:r w:rsidR="00E63E55">
        <w:t xml:space="preserve">the decision-maker will assess the person’s eligibility </w:t>
      </w:r>
      <w:r w:rsidR="00E7559F">
        <w:t>based on</w:t>
      </w:r>
      <w:r w:rsidR="00E63E55">
        <w:t xml:space="preserve"> the </w:t>
      </w:r>
      <w:r w:rsidR="003D12F8">
        <w:t>Fair Entitlements Guarantee</w:t>
      </w:r>
      <w:r w:rsidR="00E63E55">
        <w:t xml:space="preserve"> Act as amended by this Bill.</w:t>
      </w:r>
      <w:r w:rsidR="00E7559F">
        <w:t xml:space="preserve"> </w:t>
      </w:r>
      <w:r w:rsidR="008B6F76">
        <w:t xml:space="preserve">This will ensure that employees are not disadvantaged if their employer commences restructuring prior to commencement of the consequential amendments to the </w:t>
      </w:r>
      <w:r w:rsidR="003D12F8">
        <w:t>Fair Entitlements Guarantee</w:t>
      </w:r>
      <w:r w:rsidR="008B6F76">
        <w:t xml:space="preserve"> Act, and subsequently gets wound up. </w:t>
      </w:r>
      <w:r w:rsidR="00E7559F">
        <w:t xml:space="preserve"> </w:t>
      </w:r>
    </w:p>
    <w:p w14:paraId="27B5F076" w14:textId="30927CD8" w:rsidR="00D80D0B" w:rsidRDefault="00D80D0B" w:rsidP="00D80D0B">
      <w:pPr>
        <w:pStyle w:val="Heading3"/>
      </w:pPr>
      <w:r>
        <w:lastRenderedPageBreak/>
        <w:t>Entities regulated by APRA are not eligible to access the new simplified insolvency processes</w:t>
      </w:r>
    </w:p>
    <w:p w14:paraId="4D588748" w14:textId="2CADEEF0" w:rsidR="007F588E" w:rsidRDefault="005F1C9C" w:rsidP="00891569">
      <w:pPr>
        <w:pStyle w:val="base-text-paragraph"/>
        <w:numPr>
          <w:ilvl w:val="1"/>
          <w:numId w:val="4"/>
        </w:numPr>
      </w:pPr>
      <w:r>
        <w:t>The</w:t>
      </w:r>
      <w:r w:rsidRPr="005F1C9C">
        <w:t xml:space="preserve"> new simplified insolvency processes – </w:t>
      </w:r>
      <w:r w:rsidR="00D80D0B">
        <w:t xml:space="preserve">debt </w:t>
      </w:r>
      <w:r w:rsidRPr="005F1C9C">
        <w:t xml:space="preserve">restructuring and </w:t>
      </w:r>
      <w:r w:rsidR="00D80D0B">
        <w:t xml:space="preserve">simplified </w:t>
      </w:r>
      <w:r w:rsidRPr="005F1C9C">
        <w:t xml:space="preserve">liquidation – </w:t>
      </w:r>
      <w:r w:rsidR="00D80D0B">
        <w:t xml:space="preserve">implemented via the </w:t>
      </w:r>
      <w:r w:rsidR="00F42DA7">
        <w:t>c</w:t>
      </w:r>
      <w:r w:rsidR="00D80D0B">
        <w:t xml:space="preserve">orporate </w:t>
      </w:r>
      <w:r w:rsidR="00F42DA7">
        <w:t>i</w:t>
      </w:r>
      <w:r w:rsidR="00D80D0B">
        <w:t xml:space="preserve">nsolvency </w:t>
      </w:r>
      <w:r w:rsidR="00F42DA7">
        <w:t>r</w:t>
      </w:r>
      <w:r w:rsidR="00D80D0B">
        <w:t xml:space="preserve">eforms </w:t>
      </w:r>
      <w:r w:rsidRPr="005F1C9C">
        <w:t>are only intended for small businesses. This is primarily achieved through the eligibility criteria imposing a $1</w:t>
      </w:r>
      <w:r w:rsidR="007F588E">
        <w:t> </w:t>
      </w:r>
      <w:r w:rsidRPr="005F1C9C">
        <w:t>m</w:t>
      </w:r>
      <w:r w:rsidR="007F588E">
        <w:t>illion</w:t>
      </w:r>
      <w:r w:rsidRPr="005F1C9C">
        <w:t xml:space="preserve"> liabilities threshold.</w:t>
      </w:r>
      <w:r w:rsidR="007F588E">
        <w:t xml:space="preserve"> That is, a corporation cannot access debt restructuring or simplified liquidation if its total liabilities exceed $1 million. </w:t>
      </w:r>
      <w:r w:rsidRPr="005F1C9C">
        <w:t xml:space="preserve"> </w:t>
      </w:r>
    </w:p>
    <w:p w14:paraId="181CAED3" w14:textId="6CC3098B" w:rsidR="005F6D85" w:rsidRDefault="005F6D85" w:rsidP="00D64DF7">
      <w:pPr>
        <w:pStyle w:val="base-text-paragraph"/>
        <w:numPr>
          <w:ilvl w:val="1"/>
          <w:numId w:val="4"/>
        </w:numPr>
      </w:pPr>
      <w:r>
        <w:t xml:space="preserve">The new simplified insolvency processes are not appropriate for large corporations. Corporations which do not meet the eligibility criteria for </w:t>
      </w:r>
      <w:r w:rsidR="00414EFD">
        <w:t>debt restructuring or simplified liquidation can continue to access e</w:t>
      </w:r>
      <w:r>
        <w:t xml:space="preserve">xisting insolvency </w:t>
      </w:r>
      <w:r w:rsidR="009B6BB2">
        <w:t xml:space="preserve">processes </w:t>
      </w:r>
      <w:r>
        <w:t>– such as voluntary administration and</w:t>
      </w:r>
      <w:r w:rsidR="00414EFD">
        <w:t xml:space="preserve"> standard liquidation</w:t>
      </w:r>
      <w:r w:rsidR="00716EC8">
        <w:t xml:space="preserve"> – if they are </w:t>
      </w:r>
      <w:r w:rsidR="009B6BB2">
        <w:t>insolvent. These processes are more suited to the complexity and risk profile of a larger business</w:t>
      </w:r>
      <w:r w:rsidR="00414EFD">
        <w:t>.</w:t>
      </w:r>
      <w:r>
        <w:t xml:space="preserve"> </w:t>
      </w:r>
    </w:p>
    <w:p w14:paraId="4E3AAF94" w14:textId="5C716C1A" w:rsidR="00E13A76" w:rsidRDefault="00E13A76" w:rsidP="00D64DF7">
      <w:pPr>
        <w:pStyle w:val="base-text-paragraph"/>
        <w:numPr>
          <w:ilvl w:val="1"/>
          <w:numId w:val="4"/>
        </w:numPr>
      </w:pPr>
      <w:r>
        <w:t>Entities operat</w:t>
      </w:r>
      <w:r w:rsidR="00276A55">
        <w:t>ing</w:t>
      </w:r>
      <w:r>
        <w:t xml:space="preserve"> within the banking, insurance and </w:t>
      </w:r>
      <w:r w:rsidR="000563FE">
        <w:t>superannuation</w:t>
      </w:r>
      <w:r>
        <w:t xml:space="preserve"> industries are </w:t>
      </w:r>
      <w:r w:rsidR="00414EFD">
        <w:t>generally large corporations</w:t>
      </w:r>
      <w:r w:rsidR="000563FE">
        <w:t>,</w:t>
      </w:r>
      <w:r w:rsidR="00414EFD">
        <w:t xml:space="preserve"> </w:t>
      </w:r>
      <w:r w:rsidR="00670FAB">
        <w:t xml:space="preserve">and </w:t>
      </w:r>
      <w:r w:rsidR="00276A55">
        <w:t xml:space="preserve">subject to prudential regulation by APRA. These entities are </w:t>
      </w:r>
      <w:r w:rsidR="00414EFD">
        <w:t>not small businesses and are</w:t>
      </w:r>
      <w:r w:rsidR="007E5F64">
        <w:t xml:space="preserve"> </w:t>
      </w:r>
      <w:r>
        <w:t>not intended to</w:t>
      </w:r>
      <w:r w:rsidR="00276A55">
        <w:t xml:space="preserve"> </w:t>
      </w:r>
      <w:r w:rsidR="009B6BB2">
        <w:t>be eligible to</w:t>
      </w:r>
      <w:r w:rsidR="00276A55">
        <w:t xml:space="preserve"> access the</w:t>
      </w:r>
      <w:r w:rsidR="00414EFD">
        <w:t xml:space="preserve"> new simplified insolvency processes. </w:t>
      </w:r>
      <w:r w:rsidR="00D12B58">
        <w:t xml:space="preserve">The </w:t>
      </w:r>
      <w:r w:rsidR="00584370">
        <w:t xml:space="preserve">existing </w:t>
      </w:r>
      <w:r w:rsidR="00D12B58">
        <w:t xml:space="preserve">legislative framework </w:t>
      </w:r>
      <w:r w:rsidR="00584370">
        <w:t>imposes separate requirements on e</w:t>
      </w:r>
      <w:r w:rsidR="00670FAB">
        <w:t>ntities sub</w:t>
      </w:r>
      <w:r w:rsidR="00D12B58">
        <w:t xml:space="preserve">ject to prudential </w:t>
      </w:r>
      <w:r w:rsidR="00670FAB">
        <w:t>regulat</w:t>
      </w:r>
      <w:r w:rsidR="00D12B58">
        <w:t>ion</w:t>
      </w:r>
      <w:r w:rsidR="00670FAB">
        <w:t xml:space="preserve"> by APRA</w:t>
      </w:r>
      <w:r w:rsidR="00584370">
        <w:t xml:space="preserve"> in the event that such entities face financial difficulties.</w:t>
      </w:r>
      <w:r w:rsidR="00414EFD">
        <w:t xml:space="preserve"> </w:t>
      </w:r>
      <w:r w:rsidR="00276A55">
        <w:t xml:space="preserve"> </w:t>
      </w:r>
      <w:r>
        <w:t xml:space="preserve"> </w:t>
      </w:r>
    </w:p>
    <w:p w14:paraId="577839BA" w14:textId="0CFCD2D2" w:rsidR="005F1C9C" w:rsidRPr="005F1C9C" w:rsidRDefault="00670FAB" w:rsidP="00D64DF7">
      <w:pPr>
        <w:pStyle w:val="base-text-paragraph"/>
        <w:numPr>
          <w:ilvl w:val="1"/>
          <w:numId w:val="4"/>
        </w:numPr>
      </w:pPr>
      <w:r>
        <w:t>Given that the</w:t>
      </w:r>
      <w:r w:rsidR="007F588E">
        <w:t xml:space="preserve"> eligibility</w:t>
      </w:r>
      <w:r w:rsidR="005F1C9C" w:rsidRPr="005F1C9C">
        <w:t xml:space="preserve"> criteria </w:t>
      </w:r>
      <w:r>
        <w:t>for debt restructuring and simplified liquidation</w:t>
      </w:r>
      <w:r w:rsidR="00966D41">
        <w:t xml:space="preserve"> apply</w:t>
      </w:r>
      <w:r w:rsidR="005F1C9C" w:rsidRPr="005F1C9C">
        <w:t xml:space="preserve"> at the individual corporation level, this </w:t>
      </w:r>
      <w:r w:rsidR="00966D41">
        <w:t>c</w:t>
      </w:r>
      <w:r w:rsidR="005F1C9C" w:rsidRPr="005F1C9C">
        <w:t xml:space="preserve">ould </w:t>
      </w:r>
      <w:r w:rsidR="00966D41">
        <w:t xml:space="preserve">potentially </w:t>
      </w:r>
      <w:r w:rsidR="005F1C9C" w:rsidRPr="005F1C9C">
        <w:t xml:space="preserve">allow </w:t>
      </w:r>
      <w:r w:rsidR="00966D41">
        <w:t>an</w:t>
      </w:r>
      <w:r w:rsidR="005F1C9C" w:rsidRPr="005F1C9C">
        <w:t xml:space="preserve"> individual corporation within a large corporate group to access restructuring</w:t>
      </w:r>
      <w:r w:rsidR="00966D41">
        <w:t xml:space="preserve"> or simplified liquidation</w:t>
      </w:r>
      <w:r w:rsidR="005F1C9C" w:rsidRPr="005F1C9C">
        <w:t xml:space="preserve">. While this may be appropriate in </w:t>
      </w:r>
      <w:r w:rsidR="00DC5293">
        <w:t>some</w:t>
      </w:r>
      <w:r w:rsidR="005F1C9C" w:rsidRPr="005F1C9C">
        <w:t xml:space="preserve"> circumstances, it is not appropriate in the context of prudentially-regulated </w:t>
      </w:r>
      <w:r w:rsidR="00966D41">
        <w:t>bodies</w:t>
      </w:r>
      <w:r w:rsidR="005F1C9C" w:rsidRPr="005F1C9C">
        <w:t xml:space="preserve"> such as banks</w:t>
      </w:r>
      <w:r w:rsidR="00584370">
        <w:t>,</w:t>
      </w:r>
      <w:r w:rsidR="005F1C9C" w:rsidRPr="005F1C9C">
        <w:t xml:space="preserve"> insurance </w:t>
      </w:r>
      <w:r w:rsidR="00584370">
        <w:t>and superannuation entities</w:t>
      </w:r>
      <w:r w:rsidR="005F1C9C" w:rsidRPr="005F1C9C">
        <w:t>.</w:t>
      </w:r>
    </w:p>
    <w:p w14:paraId="18ABE458" w14:textId="1886DD83" w:rsidR="005D53E8" w:rsidRPr="00AA3A04" w:rsidRDefault="005D53E8" w:rsidP="005D53E8">
      <w:pPr>
        <w:pStyle w:val="Heading4"/>
      </w:pPr>
      <w:r>
        <w:t>Clarifying the eligibility criteria for</w:t>
      </w:r>
      <w:r w:rsidR="00D77FA5" w:rsidRPr="00D77FA5">
        <w:t xml:space="preserve"> </w:t>
      </w:r>
      <w:r w:rsidR="00D77FA5">
        <w:t>the new simplified insolvency processes</w:t>
      </w:r>
    </w:p>
    <w:p w14:paraId="7A519FA2" w14:textId="1D768D02" w:rsidR="00A1124E" w:rsidRPr="004747B9" w:rsidRDefault="00A1124E" w:rsidP="00D64DF7">
      <w:pPr>
        <w:pStyle w:val="base-text-paragraph"/>
        <w:numPr>
          <w:ilvl w:val="1"/>
          <w:numId w:val="4"/>
        </w:numPr>
        <w:rPr>
          <w:rStyle w:val="Referencingstyle"/>
          <w:b w:val="0"/>
          <w:i w:val="0"/>
          <w:sz w:val="22"/>
        </w:rPr>
      </w:pPr>
      <w:r>
        <w:t>The</w:t>
      </w:r>
      <w:r w:rsidR="00447C63">
        <w:t xml:space="preserve"> eligibility</w:t>
      </w:r>
      <w:r w:rsidR="00447C63" w:rsidRPr="005F1C9C">
        <w:t xml:space="preserve"> criteria</w:t>
      </w:r>
      <w:r w:rsidR="00447C63">
        <w:t xml:space="preserve"> for debt restructuring and</w:t>
      </w:r>
      <w:r w:rsidR="005F1C9C" w:rsidRPr="005F1C9C">
        <w:t xml:space="preserve"> simplified </w:t>
      </w:r>
      <w:r w:rsidR="00447C63">
        <w:t>liquidation are amended to clarify</w:t>
      </w:r>
      <w:r w:rsidR="005F1C9C" w:rsidRPr="005F1C9C">
        <w:t xml:space="preserve"> that these insolvency processes are not available to any corporation within the broader APRA-regulated corporate group. </w:t>
      </w:r>
      <w:r w:rsidR="004747B9">
        <w:rPr>
          <w:rStyle w:val="Referencingstyle"/>
        </w:rPr>
        <w:t>[</w:t>
      </w:r>
      <w:r w:rsidR="004747B9" w:rsidRPr="00FD6A9E">
        <w:rPr>
          <w:rStyle w:val="Referencingstyle"/>
        </w:rPr>
        <w:t xml:space="preserve">Schedule </w:t>
      </w:r>
      <w:r w:rsidR="002A3A7B" w:rsidRPr="00FD6A9E">
        <w:rPr>
          <w:rStyle w:val="Referencingstyle"/>
        </w:rPr>
        <w:t>1</w:t>
      </w:r>
      <w:r w:rsidRPr="00FD6A9E">
        <w:rPr>
          <w:rStyle w:val="Referencingstyle"/>
        </w:rPr>
        <w:t>,</w:t>
      </w:r>
      <w:r w:rsidR="004747B9" w:rsidRPr="00FD6A9E">
        <w:rPr>
          <w:rStyle w:val="Referencingstyle"/>
        </w:rPr>
        <w:t xml:space="preserve"> </w:t>
      </w:r>
      <w:r w:rsidRPr="00FD6A9E">
        <w:rPr>
          <w:rStyle w:val="Referencingstyle"/>
        </w:rPr>
        <w:t>item</w:t>
      </w:r>
      <w:r w:rsidR="00447C63" w:rsidRPr="00FD6A9E">
        <w:rPr>
          <w:rStyle w:val="Referencingstyle"/>
        </w:rPr>
        <w:t>s</w:t>
      </w:r>
      <w:r w:rsidR="004747B9" w:rsidRPr="00FD6A9E">
        <w:rPr>
          <w:rStyle w:val="Referencingstyle"/>
        </w:rPr>
        <w:t xml:space="preserve"> </w:t>
      </w:r>
      <w:r w:rsidR="002A3A7B" w:rsidRPr="00FD6A9E">
        <w:rPr>
          <w:rStyle w:val="Referencingstyle"/>
        </w:rPr>
        <w:t>28</w:t>
      </w:r>
      <w:r w:rsidR="00447C63" w:rsidRPr="00FD6A9E">
        <w:rPr>
          <w:rStyle w:val="Referencingstyle"/>
        </w:rPr>
        <w:t xml:space="preserve"> and 31</w:t>
      </w:r>
      <w:r w:rsidRPr="00FD6A9E">
        <w:rPr>
          <w:rStyle w:val="Referencingstyle"/>
        </w:rPr>
        <w:t>, section</w:t>
      </w:r>
      <w:r w:rsidR="00447C63" w:rsidRPr="00FD6A9E">
        <w:rPr>
          <w:rStyle w:val="Referencingstyle"/>
        </w:rPr>
        <w:t>s</w:t>
      </w:r>
      <w:r w:rsidR="004747B9" w:rsidRPr="00FD6A9E">
        <w:rPr>
          <w:rStyle w:val="Referencingstyle"/>
        </w:rPr>
        <w:t xml:space="preserve"> </w:t>
      </w:r>
      <w:r w:rsidRPr="00FD6A9E">
        <w:rPr>
          <w:rStyle w:val="Referencingstyle"/>
        </w:rPr>
        <w:t>453B(2)(aa</w:t>
      </w:r>
      <w:r w:rsidR="004747B9" w:rsidRPr="00FD6A9E">
        <w:rPr>
          <w:rStyle w:val="Referencingstyle"/>
        </w:rPr>
        <w:t xml:space="preserve">) </w:t>
      </w:r>
      <w:r w:rsidR="00447C63" w:rsidRPr="00FD6A9E">
        <w:rPr>
          <w:rStyle w:val="Referencingstyle"/>
        </w:rPr>
        <w:t xml:space="preserve">and 500A(2)(aa) </w:t>
      </w:r>
      <w:r w:rsidR="004747B9" w:rsidRPr="00FD6A9E">
        <w:rPr>
          <w:rStyle w:val="Referencingstyle"/>
        </w:rPr>
        <w:t xml:space="preserve">of the </w:t>
      </w:r>
      <w:r w:rsidRPr="00FD6A9E">
        <w:rPr>
          <w:rStyle w:val="Referencingstyle"/>
        </w:rPr>
        <w:t>Corporations</w:t>
      </w:r>
      <w:r w:rsidR="004747B9" w:rsidRPr="00FD6A9E">
        <w:rPr>
          <w:rStyle w:val="Referencingstyle"/>
        </w:rPr>
        <w:t xml:space="preserve"> Act</w:t>
      </w:r>
      <w:r w:rsidR="004747B9" w:rsidRPr="00375F1D">
        <w:rPr>
          <w:rStyle w:val="Referencingstyle"/>
        </w:rPr>
        <w:t>]</w:t>
      </w:r>
    </w:p>
    <w:p w14:paraId="7774A7C7" w14:textId="77777777" w:rsidR="00EF68EC" w:rsidRDefault="00DC5293" w:rsidP="00D64DF7">
      <w:pPr>
        <w:pStyle w:val="base-text-paragraph"/>
        <w:numPr>
          <w:ilvl w:val="1"/>
          <w:numId w:val="4"/>
        </w:numPr>
      </w:pPr>
      <w:r>
        <w:t>This carve-out applies to any company that is, or is a related body corporate of, a body regulated by APRA</w:t>
      </w:r>
      <w:r w:rsidR="00EF68EC">
        <w:t>, as defined in the APRA Act as follows:</w:t>
      </w:r>
    </w:p>
    <w:p w14:paraId="00EE29CC" w14:textId="47517AE4" w:rsidR="00EF68EC" w:rsidRDefault="00EF68EC" w:rsidP="00EF68EC">
      <w:pPr>
        <w:pStyle w:val="dotpoint"/>
      </w:pPr>
      <w:r>
        <w:t xml:space="preserve">an ADI, within the meaning of the </w:t>
      </w:r>
      <w:r w:rsidRPr="00EF68EC">
        <w:rPr>
          <w:i/>
        </w:rPr>
        <w:t>Banking Act 1959</w:t>
      </w:r>
      <w:r>
        <w:t>;</w:t>
      </w:r>
    </w:p>
    <w:p w14:paraId="0B0C3D4D" w14:textId="7D0AC4BE" w:rsidR="00EF68EC" w:rsidRDefault="00EF68EC" w:rsidP="00EF68EC">
      <w:pPr>
        <w:pStyle w:val="dotpoint"/>
      </w:pPr>
      <w:r>
        <w:t xml:space="preserve">an authorised </w:t>
      </w:r>
      <w:r w:rsidRPr="00EF68EC">
        <w:t>non‑operating holding company</w:t>
      </w:r>
      <w:r>
        <w:t xml:space="preserve">, within the meaning of the </w:t>
      </w:r>
      <w:r w:rsidRPr="00EF68EC">
        <w:rPr>
          <w:i/>
        </w:rPr>
        <w:t>Banking Act 1959</w:t>
      </w:r>
      <w:r>
        <w:t>;</w:t>
      </w:r>
    </w:p>
    <w:p w14:paraId="43CA6505" w14:textId="375BDE2C" w:rsidR="00EF68EC" w:rsidRDefault="00EF68EC" w:rsidP="00EF68EC">
      <w:pPr>
        <w:pStyle w:val="dotpoint"/>
      </w:pPr>
      <w:r>
        <w:lastRenderedPageBreak/>
        <w:t xml:space="preserve">a general insurer, authorised </w:t>
      </w:r>
      <w:r w:rsidRPr="00EF68EC">
        <w:t xml:space="preserve">non‑operating holding company </w:t>
      </w:r>
      <w:r>
        <w:t xml:space="preserve"> or subsidiary of a general insurer or authorised </w:t>
      </w:r>
      <w:r w:rsidRPr="00EF68EC">
        <w:t>non‑operating holding company</w:t>
      </w:r>
      <w:r>
        <w:t xml:space="preserve">, within the meaning of the </w:t>
      </w:r>
      <w:r w:rsidRPr="00EF68EC">
        <w:rPr>
          <w:i/>
        </w:rPr>
        <w:t>Insurance Act 1973</w:t>
      </w:r>
      <w:r>
        <w:t>;</w:t>
      </w:r>
    </w:p>
    <w:p w14:paraId="74EAE4D7" w14:textId="36194509" w:rsidR="00EF68EC" w:rsidRDefault="00EF68EC" w:rsidP="00EF68EC">
      <w:pPr>
        <w:pStyle w:val="dotpoint"/>
      </w:pPr>
      <w:r>
        <w:t xml:space="preserve">Lloyd’s, or a Lloyd’s underwriter, as defined in section 3 of the </w:t>
      </w:r>
      <w:r w:rsidRPr="00EF68EC">
        <w:rPr>
          <w:i/>
        </w:rPr>
        <w:t>Insurance Act 1973</w:t>
      </w:r>
      <w:r>
        <w:t>;</w:t>
      </w:r>
    </w:p>
    <w:p w14:paraId="0049EA79" w14:textId="5C58AE01" w:rsidR="00EF68EC" w:rsidRDefault="00EF68EC" w:rsidP="00EF68EC">
      <w:pPr>
        <w:pStyle w:val="dotpoint"/>
      </w:pPr>
      <w:r>
        <w:t xml:space="preserve">a life company that is registered under section 21 of the </w:t>
      </w:r>
      <w:r w:rsidRPr="00EF68EC">
        <w:rPr>
          <w:i/>
        </w:rPr>
        <w:t>Life Insurance Act 1995</w:t>
      </w:r>
      <w:r>
        <w:t xml:space="preserve"> or a registered </w:t>
      </w:r>
      <w:r w:rsidRPr="00EF68EC">
        <w:t xml:space="preserve">non‑operating holding company </w:t>
      </w:r>
      <w:r>
        <w:t>within the meaning of that Act;</w:t>
      </w:r>
    </w:p>
    <w:p w14:paraId="694F5F4A" w14:textId="2C2C117C" w:rsidR="00EF68EC" w:rsidRDefault="00EF68EC" w:rsidP="00EF68EC">
      <w:pPr>
        <w:pStyle w:val="dotpoint"/>
      </w:pPr>
      <w:r>
        <w:t xml:space="preserve">a private health insurer, within the meaning of the </w:t>
      </w:r>
      <w:r w:rsidRPr="00EF68EC">
        <w:rPr>
          <w:i/>
        </w:rPr>
        <w:t>Private Health Insurance (Prudential Supervision) Act 2015</w:t>
      </w:r>
      <w:r>
        <w:t>;</w:t>
      </w:r>
    </w:p>
    <w:p w14:paraId="2F199664" w14:textId="5BE73E9A" w:rsidR="00EF68EC" w:rsidRDefault="00EF68EC" w:rsidP="00EF68EC">
      <w:pPr>
        <w:pStyle w:val="dotpoint"/>
      </w:pPr>
      <w:r>
        <w:t xml:space="preserve">the trustee of a superannuation entity, within the meaning of the </w:t>
      </w:r>
      <w:r w:rsidRPr="00EF68EC">
        <w:rPr>
          <w:i/>
        </w:rPr>
        <w:t>Superannuation Industry (Supervision) Act 1993</w:t>
      </w:r>
      <w:r>
        <w:t>;</w:t>
      </w:r>
    </w:p>
    <w:p w14:paraId="756133C1" w14:textId="324095A6" w:rsidR="00EF68EC" w:rsidRDefault="00EF68EC" w:rsidP="00216C48">
      <w:pPr>
        <w:pStyle w:val="dotpoint"/>
      </w:pPr>
      <w:r>
        <w:t>a</w:t>
      </w:r>
      <w:r w:rsidR="00216C48">
        <w:t xml:space="preserve"> </w:t>
      </w:r>
      <w:r w:rsidR="00216C48" w:rsidRPr="00216C48">
        <w:t>retirement savings account</w:t>
      </w:r>
      <w:r w:rsidR="00216C48">
        <w:t xml:space="preserve"> </w:t>
      </w:r>
      <w:r>
        <w:t xml:space="preserve">provider, within the meaning of the </w:t>
      </w:r>
      <w:r w:rsidRPr="00EF68EC">
        <w:rPr>
          <w:i/>
        </w:rPr>
        <w:t>Retirement Savings Accounts Act 1997</w:t>
      </w:r>
      <w:r>
        <w:t>.</w:t>
      </w:r>
    </w:p>
    <w:p w14:paraId="7F94CAA2" w14:textId="4C603A6B" w:rsidR="004D21C9" w:rsidRDefault="004D21C9" w:rsidP="00D64DF7">
      <w:pPr>
        <w:pStyle w:val="base-text-paragraph"/>
        <w:numPr>
          <w:ilvl w:val="1"/>
          <w:numId w:val="4"/>
        </w:numPr>
      </w:pPr>
      <w:r>
        <w:t xml:space="preserve">Consequential amendments are made to reverse </w:t>
      </w:r>
      <w:r w:rsidR="00C56DBA">
        <w:t xml:space="preserve">previous </w:t>
      </w:r>
      <w:r>
        <w:t xml:space="preserve">amendments to the definition of external administrator </w:t>
      </w:r>
      <w:r w:rsidR="00D521C9">
        <w:t xml:space="preserve">in the </w:t>
      </w:r>
      <w:r w:rsidR="00D521C9" w:rsidRPr="00186F5A">
        <w:rPr>
          <w:i/>
          <w:szCs w:val="22"/>
        </w:rPr>
        <w:t>Banking Act 1959</w:t>
      </w:r>
      <w:r w:rsidR="00D521C9" w:rsidRPr="00186F5A">
        <w:rPr>
          <w:szCs w:val="22"/>
        </w:rPr>
        <w:t xml:space="preserve">, </w:t>
      </w:r>
      <w:r w:rsidR="00D521C9" w:rsidRPr="00D64DF7">
        <w:t>Insurance</w:t>
      </w:r>
      <w:r w:rsidR="00D521C9" w:rsidRPr="00186F5A">
        <w:rPr>
          <w:i/>
          <w:szCs w:val="22"/>
        </w:rPr>
        <w:t xml:space="preserve"> Act 1973</w:t>
      </w:r>
      <w:r w:rsidR="00D521C9" w:rsidRPr="00186F5A">
        <w:rPr>
          <w:szCs w:val="22"/>
        </w:rPr>
        <w:t xml:space="preserve"> and </w:t>
      </w:r>
      <w:r w:rsidR="00D521C9" w:rsidRPr="00186F5A">
        <w:rPr>
          <w:i/>
          <w:szCs w:val="22"/>
        </w:rPr>
        <w:t>Life Insurance Act 1995</w:t>
      </w:r>
      <w:r w:rsidR="00D521C9" w:rsidRPr="00186F5A">
        <w:rPr>
          <w:szCs w:val="22"/>
        </w:rPr>
        <w:t xml:space="preserve"> </w:t>
      </w:r>
      <w:r>
        <w:t xml:space="preserve">which were made </w:t>
      </w:r>
      <w:r w:rsidR="00C56DBA">
        <w:t>via</w:t>
      </w:r>
      <w:r>
        <w:t xml:space="preserve"> the </w:t>
      </w:r>
      <w:r w:rsidR="00F42DA7">
        <w:t>c</w:t>
      </w:r>
      <w:r>
        <w:t xml:space="preserve">orporate </w:t>
      </w:r>
      <w:r w:rsidR="00F42DA7">
        <w:t>i</w:t>
      </w:r>
      <w:r>
        <w:t xml:space="preserve">nsolvency </w:t>
      </w:r>
      <w:r w:rsidR="00F42DA7">
        <w:t>r</w:t>
      </w:r>
      <w:r>
        <w:t>eforms.</w:t>
      </w:r>
      <w:r w:rsidR="00D521C9">
        <w:t xml:space="preserve"> </w:t>
      </w:r>
      <w:r w:rsidR="00C56DBA">
        <w:t xml:space="preserve">The previous amendments – to include restructuring practitioners in the definition of external administrator – are </w:t>
      </w:r>
      <w:r w:rsidR="00C56DBA" w:rsidRPr="00FD6A9E">
        <w:t>no</w:t>
      </w:r>
      <w:r w:rsidR="00010D3F">
        <w:t>t</w:t>
      </w:r>
      <w:r w:rsidR="00C56DBA">
        <w:t xml:space="preserve"> </w:t>
      </w:r>
      <w:r w:rsidR="00232131">
        <w:t xml:space="preserve">necessary, as entities regulated under those Acts are not eligible to access debt restructuring. </w:t>
      </w:r>
      <w:r w:rsidR="00D521C9">
        <w:rPr>
          <w:rStyle w:val="Referencingstyle"/>
        </w:rPr>
        <w:t>[</w:t>
      </w:r>
      <w:r w:rsidR="00D521C9" w:rsidRPr="00FD6A9E">
        <w:rPr>
          <w:rStyle w:val="Referencingstyle"/>
        </w:rPr>
        <w:t xml:space="preserve">Schedule </w:t>
      </w:r>
      <w:r w:rsidR="002A3A7B" w:rsidRPr="00FD6A9E">
        <w:rPr>
          <w:rStyle w:val="Referencingstyle"/>
        </w:rPr>
        <w:t>1</w:t>
      </w:r>
      <w:r w:rsidR="00D521C9" w:rsidRPr="00FD6A9E">
        <w:rPr>
          <w:rStyle w:val="Referencingstyle"/>
        </w:rPr>
        <w:t xml:space="preserve">, items </w:t>
      </w:r>
      <w:r w:rsidR="002A3A7B" w:rsidRPr="00FD6A9E">
        <w:rPr>
          <w:rStyle w:val="Referencingstyle"/>
        </w:rPr>
        <w:t>2, 3</w:t>
      </w:r>
      <w:r w:rsidR="009B56B6">
        <w:rPr>
          <w:rStyle w:val="Referencingstyle"/>
        </w:rPr>
        <w:t>8</w:t>
      </w:r>
      <w:r w:rsidR="002A3A7B" w:rsidRPr="00FD6A9E">
        <w:rPr>
          <w:rStyle w:val="Referencingstyle"/>
        </w:rPr>
        <w:t xml:space="preserve"> and 3</w:t>
      </w:r>
      <w:r w:rsidR="009B56B6">
        <w:rPr>
          <w:rStyle w:val="Referencingstyle"/>
        </w:rPr>
        <w:t>9</w:t>
      </w:r>
      <w:r w:rsidR="00D521C9" w:rsidRPr="00FD6A9E">
        <w:rPr>
          <w:rStyle w:val="Referencingstyle"/>
        </w:rPr>
        <w:t>, section 5(1) of the Banking Act, section 3(1) of the Insurance Act and Schedule—Dictionary to the Life Insurance Act</w:t>
      </w:r>
      <w:r w:rsidR="00D521C9" w:rsidRPr="00375F1D">
        <w:rPr>
          <w:rStyle w:val="Referencingstyle"/>
        </w:rPr>
        <w:t>]</w:t>
      </w:r>
    </w:p>
    <w:p w14:paraId="1920CB5B" w14:textId="53913B6D" w:rsidR="00972871" w:rsidRDefault="00891569" w:rsidP="00891569">
      <w:pPr>
        <w:pStyle w:val="Heading3"/>
      </w:pPr>
      <w:r w:rsidRPr="00891569">
        <w:t>Corporate insolvency clarifications</w:t>
      </w:r>
    </w:p>
    <w:p w14:paraId="2C80E758" w14:textId="384AB9C8" w:rsidR="00D947B7" w:rsidRPr="00AA3A04" w:rsidRDefault="00D40893" w:rsidP="00891569">
      <w:pPr>
        <w:pStyle w:val="Heading4"/>
      </w:pPr>
      <w:r>
        <w:t>Role of the restructuring practitioner</w:t>
      </w:r>
    </w:p>
    <w:p w14:paraId="70A13BE9" w14:textId="77777777" w:rsidR="00066ECB" w:rsidRPr="00D40893" w:rsidRDefault="00066ECB" w:rsidP="00066ECB">
      <w:pPr>
        <w:pStyle w:val="base-text-paragraph"/>
        <w:numPr>
          <w:ilvl w:val="1"/>
          <w:numId w:val="4"/>
        </w:numPr>
        <w:rPr>
          <w:rStyle w:val="Referencingstyle"/>
          <w:b w:val="0"/>
          <w:i w:val="0"/>
          <w:sz w:val="22"/>
        </w:rPr>
      </w:pPr>
      <w:r w:rsidRPr="00CD150F">
        <w:rPr>
          <w:szCs w:val="22"/>
        </w:rPr>
        <w:t xml:space="preserve">The amendments clarify that </w:t>
      </w:r>
      <w:r w:rsidRPr="00CD150F">
        <w:rPr>
          <w:rFonts w:eastAsiaTheme="minorHAnsi"/>
          <w:szCs w:val="22"/>
          <w:lang w:eastAsia="en-US"/>
        </w:rPr>
        <w:t xml:space="preserve">the rules about declaring relevant relationships </w:t>
      </w:r>
      <w:r>
        <w:rPr>
          <w:rFonts w:eastAsiaTheme="minorHAnsi"/>
          <w:szCs w:val="22"/>
          <w:lang w:eastAsia="en-US"/>
        </w:rPr>
        <w:t xml:space="preserve">at </w:t>
      </w:r>
      <w:r w:rsidRPr="00D64DF7">
        <w:t>section</w:t>
      </w:r>
      <w:r>
        <w:rPr>
          <w:rFonts w:eastAsiaTheme="minorHAnsi"/>
          <w:szCs w:val="22"/>
          <w:lang w:eastAsia="en-US"/>
        </w:rPr>
        <w:t xml:space="preserve"> 453D of the Corporations Act </w:t>
      </w:r>
      <w:r w:rsidRPr="00CD150F">
        <w:rPr>
          <w:rFonts w:eastAsiaTheme="minorHAnsi"/>
          <w:szCs w:val="22"/>
          <w:lang w:eastAsia="en-US"/>
        </w:rPr>
        <w:t xml:space="preserve">only apply to a restructuring practitioner appointed to a company. </w:t>
      </w:r>
      <w:r>
        <w:rPr>
          <w:rFonts w:eastAsiaTheme="minorHAnsi"/>
          <w:szCs w:val="22"/>
          <w:lang w:eastAsia="en-US"/>
        </w:rPr>
        <w:t xml:space="preserve">Similar </w:t>
      </w:r>
      <w:r w:rsidRPr="00CD150F">
        <w:rPr>
          <w:rFonts w:eastAsiaTheme="minorHAnsi"/>
          <w:szCs w:val="22"/>
          <w:lang w:eastAsia="en-US"/>
        </w:rPr>
        <w:t xml:space="preserve">rules </w:t>
      </w:r>
      <w:r>
        <w:rPr>
          <w:rFonts w:eastAsiaTheme="minorHAnsi"/>
          <w:szCs w:val="22"/>
          <w:lang w:eastAsia="en-US"/>
        </w:rPr>
        <w:t>are outlined in the Corporations Regulations in relation</w:t>
      </w:r>
      <w:r w:rsidRPr="00CD150F">
        <w:rPr>
          <w:rFonts w:eastAsiaTheme="minorHAnsi"/>
          <w:szCs w:val="22"/>
          <w:lang w:eastAsia="en-US"/>
        </w:rPr>
        <w:t xml:space="preserve"> to a restructuring practitioner</w:t>
      </w:r>
      <w:r>
        <w:rPr>
          <w:rFonts w:eastAsiaTheme="minorHAnsi"/>
          <w:szCs w:val="22"/>
          <w:lang w:eastAsia="en-US"/>
        </w:rPr>
        <w:t xml:space="preserve"> appointed to administer a restructuring plan</w:t>
      </w:r>
      <w:r w:rsidRPr="00CD150F">
        <w:rPr>
          <w:rFonts w:eastAsiaTheme="minorHAnsi"/>
          <w:szCs w:val="22"/>
          <w:lang w:eastAsia="en-US"/>
        </w:rPr>
        <w:t>.</w:t>
      </w:r>
      <w:r>
        <w:rPr>
          <w:rFonts w:asciiTheme="minorHAnsi" w:hAnsiTheme="minorHAnsi" w:cstheme="minorBidi"/>
          <w:szCs w:val="22"/>
        </w:rPr>
        <w:t xml:space="preserve"> </w:t>
      </w:r>
      <w:r>
        <w:rPr>
          <w:rStyle w:val="Referencingstyle"/>
          <w:szCs w:val="18"/>
        </w:rPr>
        <w:t xml:space="preserve">[Schedule 1, item 29, section 453D of the Corporations Act] </w:t>
      </w:r>
    </w:p>
    <w:p w14:paraId="598D825E" w14:textId="4C3502F2" w:rsidR="00D40893" w:rsidRPr="00D40893" w:rsidRDefault="00D40893" w:rsidP="00D64DF7">
      <w:pPr>
        <w:pStyle w:val="base-text-paragraph"/>
        <w:numPr>
          <w:ilvl w:val="1"/>
          <w:numId w:val="4"/>
        </w:numPr>
        <w:rPr>
          <w:rStyle w:val="Referencingstyle"/>
          <w:b w:val="0"/>
          <w:i w:val="0"/>
          <w:sz w:val="22"/>
        </w:rPr>
      </w:pPr>
      <w:r w:rsidRPr="00CD150F">
        <w:rPr>
          <w:szCs w:val="22"/>
        </w:rPr>
        <w:t xml:space="preserve">The amendments </w:t>
      </w:r>
      <w:r w:rsidR="00EF4310">
        <w:rPr>
          <w:szCs w:val="22"/>
        </w:rPr>
        <w:t>clarify that</w:t>
      </w:r>
      <w:r w:rsidR="00EF4310" w:rsidRPr="00CD150F">
        <w:rPr>
          <w:szCs w:val="22"/>
        </w:rPr>
        <w:t xml:space="preserve"> </w:t>
      </w:r>
      <w:r w:rsidR="00821BDD">
        <w:rPr>
          <w:szCs w:val="22"/>
        </w:rPr>
        <w:t>a</w:t>
      </w:r>
      <w:r w:rsidR="00EF4310" w:rsidRPr="00CD150F">
        <w:rPr>
          <w:szCs w:val="22"/>
        </w:rPr>
        <w:t xml:space="preserve"> </w:t>
      </w:r>
      <w:r w:rsidRPr="00CD150F">
        <w:rPr>
          <w:szCs w:val="22"/>
        </w:rPr>
        <w:t>restructuring practitioner</w:t>
      </w:r>
      <w:r w:rsidR="00821BDD">
        <w:rPr>
          <w:szCs w:val="22"/>
        </w:rPr>
        <w:t xml:space="preserve"> for a company or for a restructuring plan has</w:t>
      </w:r>
      <w:r w:rsidR="00EF4310">
        <w:rPr>
          <w:szCs w:val="22"/>
        </w:rPr>
        <w:t xml:space="preserve"> </w:t>
      </w:r>
      <w:r w:rsidR="00EF4310" w:rsidRPr="00CD150F">
        <w:rPr>
          <w:szCs w:val="22"/>
        </w:rPr>
        <w:t xml:space="preserve">qualified privilege </w:t>
      </w:r>
      <w:r w:rsidRPr="00CD150F">
        <w:rPr>
          <w:szCs w:val="22"/>
        </w:rPr>
        <w:t xml:space="preserve">for statements they </w:t>
      </w:r>
      <w:r w:rsidR="00590CEE">
        <w:rPr>
          <w:szCs w:val="22"/>
        </w:rPr>
        <w:t>make</w:t>
      </w:r>
      <w:r w:rsidRPr="00CD150F">
        <w:rPr>
          <w:szCs w:val="22"/>
        </w:rPr>
        <w:t xml:space="preserve"> in </w:t>
      </w:r>
      <w:r w:rsidRPr="00D64DF7">
        <w:t>performing</w:t>
      </w:r>
      <w:r w:rsidRPr="00CD150F">
        <w:rPr>
          <w:szCs w:val="22"/>
        </w:rPr>
        <w:t xml:space="preserve"> their functions. Protection from liability is an important safeguard to ensure that practitioners are able to undertake their functions.</w:t>
      </w:r>
      <w:r w:rsidRPr="0065798B">
        <w:rPr>
          <w:rFonts w:asciiTheme="minorHAnsi" w:hAnsiTheme="minorHAnsi" w:cstheme="minorBidi"/>
          <w:szCs w:val="22"/>
        </w:rPr>
        <w:t xml:space="preserve"> </w:t>
      </w:r>
      <w:r>
        <w:rPr>
          <w:rStyle w:val="Referencingstyle"/>
          <w:szCs w:val="18"/>
        </w:rPr>
        <w:t xml:space="preserve">[Schedule </w:t>
      </w:r>
      <w:r w:rsidR="00910EAC">
        <w:rPr>
          <w:rStyle w:val="Referencingstyle"/>
          <w:szCs w:val="18"/>
        </w:rPr>
        <w:t>1</w:t>
      </w:r>
      <w:r>
        <w:rPr>
          <w:rStyle w:val="Referencingstyle"/>
          <w:szCs w:val="18"/>
        </w:rPr>
        <w:t xml:space="preserve">, item </w:t>
      </w:r>
      <w:r w:rsidR="0067693F">
        <w:rPr>
          <w:rStyle w:val="Referencingstyle"/>
          <w:szCs w:val="18"/>
        </w:rPr>
        <w:t>30</w:t>
      </w:r>
      <w:r>
        <w:rPr>
          <w:rStyle w:val="Referencingstyle"/>
          <w:szCs w:val="18"/>
        </w:rPr>
        <w:t>, section</w:t>
      </w:r>
      <w:r w:rsidR="00684878">
        <w:rPr>
          <w:rStyle w:val="Referencingstyle"/>
          <w:szCs w:val="18"/>
        </w:rPr>
        <w:t> </w:t>
      </w:r>
      <w:r>
        <w:rPr>
          <w:rStyle w:val="Referencingstyle"/>
          <w:szCs w:val="18"/>
        </w:rPr>
        <w:t xml:space="preserve">456LA of </w:t>
      </w:r>
      <w:r w:rsidR="004C381A">
        <w:rPr>
          <w:rStyle w:val="Referencingstyle"/>
          <w:szCs w:val="18"/>
        </w:rPr>
        <w:t>the Corporations Act</w:t>
      </w:r>
      <w:r>
        <w:rPr>
          <w:rStyle w:val="Referencingstyle"/>
          <w:szCs w:val="18"/>
        </w:rPr>
        <w:t>]</w:t>
      </w:r>
    </w:p>
    <w:p w14:paraId="620D5D7E" w14:textId="588B238D" w:rsidR="00D40893" w:rsidRPr="00D40893" w:rsidRDefault="00D40893" w:rsidP="00D64DF7">
      <w:pPr>
        <w:pStyle w:val="base-text-paragraph"/>
        <w:numPr>
          <w:ilvl w:val="1"/>
          <w:numId w:val="4"/>
        </w:numPr>
        <w:rPr>
          <w:rStyle w:val="Referencingstyle"/>
          <w:b w:val="0"/>
          <w:i w:val="0"/>
          <w:sz w:val="22"/>
        </w:rPr>
      </w:pPr>
      <w:r w:rsidRPr="00CD150F">
        <w:rPr>
          <w:rFonts w:eastAsiaTheme="minorHAnsi"/>
          <w:szCs w:val="22"/>
          <w:lang w:eastAsia="en-US"/>
        </w:rPr>
        <w:t xml:space="preserve">Where any person deals with </w:t>
      </w:r>
      <w:r w:rsidR="00590CEE">
        <w:rPr>
          <w:rFonts w:eastAsiaTheme="minorHAnsi"/>
          <w:szCs w:val="22"/>
          <w:lang w:eastAsia="en-US"/>
        </w:rPr>
        <w:t>a</w:t>
      </w:r>
      <w:r w:rsidRPr="00CD150F">
        <w:rPr>
          <w:rFonts w:eastAsiaTheme="minorHAnsi"/>
          <w:szCs w:val="22"/>
          <w:lang w:eastAsia="en-US"/>
        </w:rPr>
        <w:t xml:space="preserve"> restructuring practitioner who is acting as an </w:t>
      </w:r>
      <w:r w:rsidRPr="00D64DF7">
        <w:t>agent</w:t>
      </w:r>
      <w:r w:rsidRPr="00CD150F">
        <w:rPr>
          <w:rFonts w:eastAsiaTheme="minorHAnsi"/>
          <w:szCs w:val="22"/>
          <w:lang w:eastAsia="en-US"/>
        </w:rPr>
        <w:t xml:space="preserve"> of the company, they should be entitled to the same protections that arise if they were dealing with the company itself. The </w:t>
      </w:r>
      <w:r w:rsidRPr="00CD150F">
        <w:rPr>
          <w:rFonts w:eastAsiaTheme="minorHAnsi"/>
          <w:szCs w:val="22"/>
          <w:lang w:eastAsia="en-US"/>
        </w:rPr>
        <w:lastRenderedPageBreak/>
        <w:t xml:space="preserve">amendments provide for this. </w:t>
      </w:r>
      <w:r w:rsidR="008C7310">
        <w:rPr>
          <w:rFonts w:eastAsiaTheme="minorHAnsi"/>
          <w:szCs w:val="22"/>
          <w:lang w:eastAsia="en-US"/>
        </w:rPr>
        <w:t>These protections are consistent with the existing protections in relation to voluntary administration.</w:t>
      </w:r>
      <w:r w:rsidRPr="00CD150F">
        <w:rPr>
          <w:rFonts w:eastAsiaTheme="minorHAnsi"/>
          <w:szCs w:val="22"/>
          <w:lang w:eastAsia="en-US"/>
        </w:rPr>
        <w:t xml:space="preserve"> </w:t>
      </w:r>
      <w:r>
        <w:rPr>
          <w:rStyle w:val="Referencingstyle"/>
          <w:szCs w:val="18"/>
        </w:rPr>
        <w:t xml:space="preserve">[Schedule </w:t>
      </w:r>
      <w:r w:rsidR="00910EAC">
        <w:rPr>
          <w:rStyle w:val="Referencingstyle"/>
          <w:szCs w:val="18"/>
        </w:rPr>
        <w:t>1</w:t>
      </w:r>
      <w:r>
        <w:rPr>
          <w:rStyle w:val="Referencingstyle"/>
          <w:szCs w:val="18"/>
        </w:rPr>
        <w:t>, item</w:t>
      </w:r>
      <w:r w:rsidR="008C7310">
        <w:rPr>
          <w:rStyle w:val="Referencingstyle"/>
          <w:szCs w:val="18"/>
        </w:rPr>
        <w:t> </w:t>
      </w:r>
      <w:r w:rsidR="0067693F">
        <w:rPr>
          <w:rStyle w:val="Referencingstyle"/>
          <w:szCs w:val="18"/>
        </w:rPr>
        <w:t>30</w:t>
      </w:r>
      <w:r>
        <w:rPr>
          <w:rStyle w:val="Referencingstyle"/>
          <w:szCs w:val="18"/>
        </w:rPr>
        <w:t xml:space="preserve">, section 456LB of </w:t>
      </w:r>
      <w:r w:rsidR="004C381A">
        <w:rPr>
          <w:rStyle w:val="Referencingstyle"/>
          <w:szCs w:val="18"/>
        </w:rPr>
        <w:t>the Corporations Act</w:t>
      </w:r>
      <w:r>
        <w:rPr>
          <w:rStyle w:val="Referencingstyle"/>
          <w:szCs w:val="18"/>
        </w:rPr>
        <w:t>]</w:t>
      </w:r>
    </w:p>
    <w:p w14:paraId="47AFC658" w14:textId="116D21F4" w:rsidR="00E37BCD" w:rsidRPr="00AA3A04" w:rsidRDefault="00203A22" w:rsidP="00E37BCD">
      <w:pPr>
        <w:pStyle w:val="Heading4"/>
      </w:pPr>
      <w:r>
        <w:t>Other amen</w:t>
      </w:r>
      <w:r w:rsidR="00D458FE">
        <w:t>dments relating</w:t>
      </w:r>
      <w:r>
        <w:t xml:space="preserve"> to the </w:t>
      </w:r>
      <w:r w:rsidR="00D458FE">
        <w:t>appointment of a</w:t>
      </w:r>
      <w:r w:rsidR="00E37BCD">
        <w:t xml:space="preserve"> restructuring </w:t>
      </w:r>
      <w:r w:rsidR="00D458FE">
        <w:t>practitioner</w:t>
      </w:r>
      <w:r w:rsidR="00E37BCD">
        <w:t xml:space="preserve"> </w:t>
      </w:r>
    </w:p>
    <w:p w14:paraId="1BCC0D2D" w14:textId="7858BF7B" w:rsidR="00997BB0" w:rsidRPr="00997BB0" w:rsidRDefault="001E4770" w:rsidP="00D64DF7">
      <w:pPr>
        <w:pStyle w:val="base-text-paragraph"/>
        <w:numPr>
          <w:ilvl w:val="1"/>
          <w:numId w:val="4"/>
        </w:numPr>
        <w:rPr>
          <w:rStyle w:val="Referencingstyle"/>
          <w:b w:val="0"/>
          <w:i w:val="0"/>
          <w:sz w:val="22"/>
        </w:rPr>
      </w:pPr>
      <w:r>
        <w:rPr>
          <w:rFonts w:eastAsiaTheme="minorHAnsi"/>
          <w:szCs w:val="22"/>
          <w:lang w:eastAsia="en-US"/>
        </w:rPr>
        <w:t xml:space="preserve">The </w:t>
      </w:r>
      <w:r w:rsidR="00C92596" w:rsidRPr="00F93F72">
        <w:rPr>
          <w:rFonts w:eastAsiaTheme="minorHAnsi"/>
          <w:i/>
          <w:szCs w:val="22"/>
          <w:lang w:eastAsia="en-US"/>
        </w:rPr>
        <w:t>Superannuation Industry (Supervision) Act 1993</w:t>
      </w:r>
      <w:r>
        <w:rPr>
          <w:rFonts w:eastAsiaTheme="minorHAnsi"/>
          <w:szCs w:val="22"/>
          <w:lang w:eastAsia="en-US"/>
        </w:rPr>
        <w:t xml:space="preserve"> sets s</w:t>
      </w:r>
      <w:r w:rsidRPr="001C66FB">
        <w:rPr>
          <w:rFonts w:eastAsiaTheme="minorHAnsi"/>
          <w:szCs w:val="22"/>
          <w:lang w:eastAsia="en-US"/>
        </w:rPr>
        <w:t>tandards for trustees, custodians and investment managers of superannuation entities</w:t>
      </w:r>
      <w:r>
        <w:rPr>
          <w:rFonts w:eastAsiaTheme="minorHAnsi"/>
          <w:szCs w:val="22"/>
          <w:lang w:eastAsia="en-US"/>
        </w:rPr>
        <w:t xml:space="preserve">. Currently, section 120(2) of the </w:t>
      </w:r>
      <w:r w:rsidRPr="0026542B">
        <w:rPr>
          <w:rFonts w:eastAsiaTheme="minorHAnsi"/>
          <w:i/>
          <w:szCs w:val="22"/>
          <w:lang w:eastAsia="en-US"/>
        </w:rPr>
        <w:t>Superannuation Industry (Supervision) Act 1993</w:t>
      </w:r>
      <w:r>
        <w:rPr>
          <w:rFonts w:eastAsiaTheme="minorHAnsi"/>
          <w:szCs w:val="22"/>
          <w:lang w:eastAsia="en-US"/>
        </w:rPr>
        <w:t xml:space="preserve"> disqualifies a body corporate if the body has become insolvent and entered a specified insolvency process.  The amendments simply add the appointment of a restructuring practitioner to the list of insolvency events that trigger the disqualification of a </w:t>
      </w:r>
      <w:r w:rsidR="00E75C3E">
        <w:rPr>
          <w:rFonts w:eastAsiaTheme="minorHAnsi"/>
          <w:szCs w:val="22"/>
          <w:lang w:eastAsia="en-US"/>
        </w:rPr>
        <w:t xml:space="preserve">corporate </w:t>
      </w:r>
      <w:r>
        <w:rPr>
          <w:rFonts w:eastAsiaTheme="minorHAnsi"/>
          <w:szCs w:val="22"/>
          <w:lang w:eastAsia="en-US"/>
        </w:rPr>
        <w:t>trustee, custodian or</w:t>
      </w:r>
      <w:r w:rsidR="00E50464">
        <w:rPr>
          <w:rFonts w:eastAsiaTheme="minorHAnsi"/>
          <w:szCs w:val="22"/>
          <w:lang w:eastAsia="en-US"/>
        </w:rPr>
        <w:t xml:space="preserve"> investment manager of a</w:t>
      </w:r>
      <w:r>
        <w:rPr>
          <w:rFonts w:eastAsiaTheme="minorHAnsi"/>
          <w:szCs w:val="22"/>
          <w:lang w:eastAsia="en-US"/>
        </w:rPr>
        <w:t xml:space="preserve"> superannuation entity. </w:t>
      </w:r>
      <w:r>
        <w:rPr>
          <w:rStyle w:val="Referencingstyle"/>
          <w:szCs w:val="18"/>
        </w:rPr>
        <w:t xml:space="preserve">[Schedule 1, item </w:t>
      </w:r>
      <w:r w:rsidR="009B56B6">
        <w:rPr>
          <w:rStyle w:val="Referencingstyle"/>
          <w:szCs w:val="18"/>
        </w:rPr>
        <w:t>40</w:t>
      </w:r>
      <w:r>
        <w:rPr>
          <w:rStyle w:val="Referencingstyle"/>
          <w:szCs w:val="18"/>
        </w:rPr>
        <w:t>, section 120 of the Superannuation Industry (Supervision) Act 1993]</w:t>
      </w:r>
    </w:p>
    <w:p w14:paraId="258C289E" w14:textId="3CE87592" w:rsidR="00997BB0" w:rsidRDefault="003A300A" w:rsidP="00D64DF7">
      <w:pPr>
        <w:pStyle w:val="base-text-paragraph"/>
        <w:numPr>
          <w:ilvl w:val="1"/>
          <w:numId w:val="4"/>
        </w:numPr>
      </w:pPr>
      <w:r>
        <w:t xml:space="preserve">Section 652C of the Corporations Act </w:t>
      </w:r>
      <w:r w:rsidRPr="008138D1">
        <w:t xml:space="preserve">entitles a bidder to withdraw </w:t>
      </w:r>
      <w:r>
        <w:t xml:space="preserve">an unaccepted </w:t>
      </w:r>
      <w:r w:rsidRPr="008138D1">
        <w:t xml:space="preserve">takeover </w:t>
      </w:r>
      <w:r>
        <w:t>offer</w:t>
      </w:r>
      <w:r w:rsidRPr="008138D1">
        <w:t xml:space="preserve"> </w:t>
      </w:r>
      <w:r>
        <w:t>if the company that is the target of the offer becomes insolvent</w:t>
      </w:r>
      <w:r w:rsidRPr="005542B3">
        <w:rPr>
          <w:rFonts w:eastAsiaTheme="minorHAnsi"/>
          <w:szCs w:val="22"/>
          <w:lang w:eastAsia="en-US"/>
        </w:rPr>
        <w:t>.</w:t>
      </w:r>
      <w:r>
        <w:rPr>
          <w:rFonts w:eastAsiaTheme="minorHAnsi"/>
          <w:szCs w:val="22"/>
          <w:lang w:eastAsia="en-US"/>
        </w:rPr>
        <w:t xml:space="preserve"> The Bill amends section 652C to add the appointment of a restructuring practitioner and the making of a restructuring plan by a target company to the list of circumstances that entitle a bidder to withdraw an unaccepted takeover offer. </w:t>
      </w:r>
      <w:r w:rsidR="00997BB0">
        <w:rPr>
          <w:rStyle w:val="Referencingstyle"/>
          <w:szCs w:val="18"/>
        </w:rPr>
        <w:t xml:space="preserve">[Schedule </w:t>
      </w:r>
      <w:r w:rsidR="00910EAC">
        <w:rPr>
          <w:rStyle w:val="Referencingstyle"/>
          <w:szCs w:val="18"/>
        </w:rPr>
        <w:t>1</w:t>
      </w:r>
      <w:r w:rsidR="00997BB0">
        <w:rPr>
          <w:rStyle w:val="Referencingstyle"/>
          <w:szCs w:val="18"/>
        </w:rPr>
        <w:t>, item</w:t>
      </w:r>
      <w:r w:rsidR="00E641E1">
        <w:rPr>
          <w:rStyle w:val="Referencingstyle"/>
          <w:szCs w:val="18"/>
        </w:rPr>
        <w:t> </w:t>
      </w:r>
      <w:r w:rsidR="00EB566C">
        <w:rPr>
          <w:rStyle w:val="Referencingstyle"/>
          <w:szCs w:val="18"/>
        </w:rPr>
        <w:t>3</w:t>
      </w:r>
      <w:r w:rsidR="00E641E1">
        <w:rPr>
          <w:rStyle w:val="Referencingstyle"/>
          <w:szCs w:val="18"/>
        </w:rPr>
        <w:t>3</w:t>
      </w:r>
      <w:r w:rsidR="00997BB0">
        <w:rPr>
          <w:rStyle w:val="Referencingstyle"/>
          <w:szCs w:val="18"/>
        </w:rPr>
        <w:t>, section</w:t>
      </w:r>
      <w:r w:rsidR="00EB566C">
        <w:rPr>
          <w:rStyle w:val="Referencingstyle"/>
          <w:szCs w:val="18"/>
        </w:rPr>
        <w:t> </w:t>
      </w:r>
      <w:r w:rsidR="00997BB0">
        <w:rPr>
          <w:rStyle w:val="Referencingstyle"/>
          <w:szCs w:val="18"/>
        </w:rPr>
        <w:t xml:space="preserve">652C of </w:t>
      </w:r>
      <w:r w:rsidR="004C381A">
        <w:rPr>
          <w:rStyle w:val="Referencingstyle"/>
          <w:szCs w:val="18"/>
        </w:rPr>
        <w:t>the Corporations Act</w:t>
      </w:r>
      <w:r w:rsidR="00997BB0">
        <w:rPr>
          <w:rStyle w:val="Referencingstyle"/>
          <w:szCs w:val="18"/>
        </w:rPr>
        <w:t>]</w:t>
      </w:r>
    </w:p>
    <w:p w14:paraId="01294D90" w14:textId="02646124" w:rsidR="00117CE5" w:rsidRPr="00AA3A04" w:rsidRDefault="000E0ECD" w:rsidP="00117CE5">
      <w:pPr>
        <w:pStyle w:val="Heading4"/>
      </w:pPr>
      <w:r>
        <w:t>Liquidator requirements</w:t>
      </w:r>
      <w:r w:rsidR="00683248" w:rsidRPr="00AA3A04">
        <w:t xml:space="preserve"> under simplified liquidation</w:t>
      </w:r>
    </w:p>
    <w:p w14:paraId="43FBA56F" w14:textId="5D0A8F1E" w:rsidR="00586DEB" w:rsidRDefault="00F52B92" w:rsidP="00D64DF7">
      <w:pPr>
        <w:pStyle w:val="base-text-paragraph"/>
        <w:numPr>
          <w:ilvl w:val="1"/>
          <w:numId w:val="4"/>
        </w:numPr>
      </w:pPr>
      <w:r>
        <w:t xml:space="preserve">The purpose of the simplified liquidation process is to provide a </w:t>
      </w:r>
      <w:r w:rsidR="00103D0F">
        <w:t xml:space="preserve">quicker and cheaper </w:t>
      </w:r>
      <w:r>
        <w:t xml:space="preserve">pathway for less complex liquidations. </w:t>
      </w:r>
      <w:r w:rsidR="00557C86">
        <w:t xml:space="preserve">For this reason, the </w:t>
      </w:r>
      <w:r w:rsidR="00BE2175">
        <w:t>c</w:t>
      </w:r>
      <w:r w:rsidR="00557C86">
        <w:t xml:space="preserve">orporate </w:t>
      </w:r>
      <w:r w:rsidR="00BE2175">
        <w:t>i</w:t>
      </w:r>
      <w:r w:rsidR="00557C86">
        <w:t xml:space="preserve">nsolvency </w:t>
      </w:r>
      <w:r w:rsidR="00BE2175">
        <w:t>r</w:t>
      </w:r>
      <w:r w:rsidR="00557C86">
        <w:t>eforms replaced the section 533 report (an obligation under the full liquidation process) with a fit-for-purpose reporting</w:t>
      </w:r>
      <w:r w:rsidR="001242D0">
        <w:t xml:space="preserve"> process under section 5.5.05</w:t>
      </w:r>
      <w:r w:rsidR="00103D0F">
        <w:t xml:space="preserve"> </w:t>
      </w:r>
      <w:r w:rsidR="001242D0">
        <w:t>of the Corporations Regulations.</w:t>
      </w:r>
      <w:r>
        <w:t xml:space="preserve"> Th</w:t>
      </w:r>
      <w:r w:rsidR="00586DEB">
        <w:t>is</w:t>
      </w:r>
      <w:r>
        <w:t xml:space="preserve"> </w:t>
      </w:r>
      <w:r w:rsidR="00586DEB">
        <w:t>reporting</w:t>
      </w:r>
      <w:r>
        <w:t xml:space="preserve"> </w:t>
      </w:r>
      <w:r w:rsidR="00586DEB">
        <w:t xml:space="preserve">process requires a liquidator to </w:t>
      </w:r>
      <w:r>
        <w:t xml:space="preserve">submit a report to ASIC if </w:t>
      </w:r>
      <w:r w:rsidR="00590CEE">
        <w:t>the liquidator has</w:t>
      </w:r>
      <w:r>
        <w:t xml:space="preserve"> reasonable grounds to believe offences have been committed. </w:t>
      </w:r>
    </w:p>
    <w:p w14:paraId="07DA629C" w14:textId="6DFD82CD" w:rsidR="00F52B92" w:rsidRPr="00F52B92" w:rsidRDefault="00CF35E6" w:rsidP="00D64DF7">
      <w:pPr>
        <w:pStyle w:val="base-text-paragraph"/>
        <w:numPr>
          <w:ilvl w:val="1"/>
          <w:numId w:val="4"/>
        </w:numPr>
        <w:rPr>
          <w:rStyle w:val="Referencingstyle"/>
          <w:b w:val="0"/>
          <w:i w:val="0"/>
          <w:sz w:val="22"/>
        </w:rPr>
      </w:pPr>
      <w:r>
        <w:t>T</w:t>
      </w:r>
      <w:r w:rsidR="00586DEB">
        <w:t xml:space="preserve">he Bill clarifies that </w:t>
      </w:r>
      <w:r w:rsidR="00F52B92">
        <w:t xml:space="preserve">ASIC </w:t>
      </w:r>
      <w:r w:rsidR="00586DEB">
        <w:t xml:space="preserve">may </w:t>
      </w:r>
      <w:r w:rsidR="00F52B92">
        <w:t xml:space="preserve">investigate offences </w:t>
      </w:r>
      <w:r w:rsidR="00586DEB">
        <w:t>identified</w:t>
      </w:r>
      <w:r w:rsidR="00F52B92" w:rsidDel="00586DEB">
        <w:t xml:space="preserve"> </w:t>
      </w:r>
      <w:r w:rsidR="00F52B92">
        <w:t>in th</w:t>
      </w:r>
      <w:r w:rsidR="00586DEB">
        <w:t>is</w:t>
      </w:r>
      <w:r w:rsidR="00F52B92">
        <w:t xml:space="preserve"> report. </w:t>
      </w:r>
      <w:r w:rsidR="00F52B92">
        <w:rPr>
          <w:rStyle w:val="Referencingstyle"/>
          <w:szCs w:val="18"/>
        </w:rPr>
        <w:t xml:space="preserve">[Schedule </w:t>
      </w:r>
      <w:r w:rsidR="00910EAC">
        <w:rPr>
          <w:rStyle w:val="Referencingstyle"/>
          <w:szCs w:val="18"/>
        </w:rPr>
        <w:t>1</w:t>
      </w:r>
      <w:r w:rsidR="00F52B92">
        <w:rPr>
          <w:rStyle w:val="Referencingstyle"/>
          <w:szCs w:val="18"/>
        </w:rPr>
        <w:t xml:space="preserve">, item </w:t>
      </w:r>
      <w:r w:rsidR="0072290C">
        <w:rPr>
          <w:rStyle w:val="Referencingstyle"/>
          <w:szCs w:val="18"/>
        </w:rPr>
        <w:t>1</w:t>
      </w:r>
      <w:r w:rsidR="00F52B92">
        <w:rPr>
          <w:rStyle w:val="Referencingstyle"/>
          <w:szCs w:val="18"/>
        </w:rPr>
        <w:t xml:space="preserve">, section 15 of </w:t>
      </w:r>
      <w:r w:rsidR="00D50123">
        <w:rPr>
          <w:rStyle w:val="Referencingstyle"/>
          <w:szCs w:val="18"/>
        </w:rPr>
        <w:t xml:space="preserve">the </w:t>
      </w:r>
      <w:r w:rsidR="0029581A">
        <w:rPr>
          <w:rStyle w:val="Referencingstyle"/>
          <w:szCs w:val="18"/>
        </w:rPr>
        <w:t>ASIC</w:t>
      </w:r>
      <w:r w:rsidR="00CE32D9">
        <w:rPr>
          <w:rStyle w:val="Referencingstyle"/>
          <w:szCs w:val="18"/>
        </w:rPr>
        <w:t xml:space="preserve"> </w:t>
      </w:r>
      <w:r w:rsidR="00F52B92">
        <w:rPr>
          <w:rStyle w:val="Referencingstyle"/>
          <w:szCs w:val="18"/>
        </w:rPr>
        <w:t>Act]</w:t>
      </w:r>
    </w:p>
    <w:p w14:paraId="2913F388" w14:textId="403B1A24" w:rsidR="004D5F46" w:rsidRPr="004D5F46" w:rsidRDefault="00CF35E6" w:rsidP="004D5F46">
      <w:pPr>
        <w:pStyle w:val="base-text-paragraph"/>
        <w:numPr>
          <w:ilvl w:val="1"/>
          <w:numId w:val="4"/>
        </w:numPr>
        <w:rPr>
          <w:rStyle w:val="Referencingstyle"/>
          <w:b w:val="0"/>
          <w:i w:val="0"/>
          <w:sz w:val="22"/>
        </w:rPr>
      </w:pPr>
      <w:r>
        <w:t>T</w:t>
      </w:r>
      <w:r w:rsidR="004D5F46">
        <w:t xml:space="preserve">he Bill further </w:t>
      </w:r>
      <w:r w:rsidR="00A9437E">
        <w:t xml:space="preserve">enables </w:t>
      </w:r>
      <w:r w:rsidR="004D5F46">
        <w:t xml:space="preserve">this report </w:t>
      </w:r>
      <w:r w:rsidR="00A9437E">
        <w:t xml:space="preserve">to be </w:t>
      </w:r>
      <w:r w:rsidR="004D5F46" w:rsidRPr="00C925C4">
        <w:t>exempt from public disclosure</w:t>
      </w:r>
      <w:r w:rsidR="004D5F46">
        <w:t>. This exemption power is delegated to regulations because it is undesirable to list a reference to the regulations in primary legislation. The scope of the regulation-making power has been delegated narrowly to ensure it is used appropriately.</w:t>
      </w:r>
      <w:r w:rsidR="004D5F46" w:rsidRPr="00B11864">
        <w:rPr>
          <w:rStyle w:val="Heading1Char"/>
          <w:sz w:val="18"/>
          <w:szCs w:val="18"/>
        </w:rPr>
        <w:t xml:space="preserve"> </w:t>
      </w:r>
      <w:r w:rsidR="004D5F46">
        <w:rPr>
          <w:rStyle w:val="Referencingstyle"/>
          <w:szCs w:val="18"/>
        </w:rPr>
        <w:t>[Schedule 1, item 3</w:t>
      </w:r>
      <w:r w:rsidR="00E641E1">
        <w:rPr>
          <w:rStyle w:val="Referencingstyle"/>
          <w:szCs w:val="18"/>
        </w:rPr>
        <w:t>4</w:t>
      </w:r>
      <w:r w:rsidR="004D5F46">
        <w:rPr>
          <w:rStyle w:val="Referencingstyle"/>
          <w:szCs w:val="18"/>
        </w:rPr>
        <w:t>, section 1274 of the Corporations Act]</w:t>
      </w:r>
    </w:p>
    <w:p w14:paraId="38C86DE7" w14:textId="201AF0D2" w:rsidR="004D5F46" w:rsidRDefault="002F183C" w:rsidP="004D5F46">
      <w:pPr>
        <w:pStyle w:val="Heading4"/>
      </w:pPr>
      <w:r>
        <w:t>Powers</w:t>
      </w:r>
      <w:r w:rsidR="004D5F46">
        <w:t xml:space="preserve"> of the liquidator for a company under simplified liquidation</w:t>
      </w:r>
    </w:p>
    <w:p w14:paraId="488B866A" w14:textId="3E03F231" w:rsidR="005925C2" w:rsidRDefault="00646817" w:rsidP="002A0BDB">
      <w:pPr>
        <w:pStyle w:val="base-text-paragraph"/>
        <w:numPr>
          <w:ilvl w:val="1"/>
          <w:numId w:val="4"/>
        </w:numPr>
      </w:pPr>
      <w:r>
        <w:t>S</w:t>
      </w:r>
      <w:r w:rsidR="00792991">
        <w:t>ection 477 of the Corporations Act</w:t>
      </w:r>
      <w:r>
        <w:t xml:space="preserve"> allows</w:t>
      </w:r>
      <w:r w:rsidR="00792991">
        <w:t xml:space="preserve"> </w:t>
      </w:r>
      <w:r w:rsidR="003D5EA3">
        <w:t xml:space="preserve">a liquidator appointed to a company </w:t>
      </w:r>
      <w:r>
        <w:t>to</w:t>
      </w:r>
      <w:r w:rsidR="003D5EA3">
        <w:t xml:space="preserve"> compromise </w:t>
      </w:r>
      <w:r w:rsidR="00C81C08">
        <w:t xml:space="preserve">debts existing between a company </w:t>
      </w:r>
      <w:r w:rsidR="00C81C08">
        <w:lastRenderedPageBreak/>
        <w:t>and a contributory or other debtor. If a debt is over $100,000, the liquidator can</w:t>
      </w:r>
      <w:r w:rsidR="001068B3">
        <w:t>not</w:t>
      </w:r>
      <w:r w:rsidR="00C81C08">
        <w:t xml:space="preserve"> compromise the debt </w:t>
      </w:r>
      <w:r w:rsidR="001068B3">
        <w:t xml:space="preserve">unless they obtain approval of the Court, </w:t>
      </w:r>
      <w:r w:rsidR="001914B9">
        <w:t xml:space="preserve">or of </w:t>
      </w:r>
      <w:r w:rsidR="001068B3">
        <w:t>the committee of inspection, or a resolution of the creditors is passed</w:t>
      </w:r>
      <w:r w:rsidR="00734981">
        <w:t>, which all involve meetings</w:t>
      </w:r>
      <w:r w:rsidR="001068B3">
        <w:t xml:space="preserve">. </w:t>
      </w:r>
      <w:r w:rsidR="0070047A">
        <w:t>T</w:t>
      </w:r>
      <w:r w:rsidR="00CD746F">
        <w:t xml:space="preserve">hese methods are unsuitable in the case of a simplified liquidation process </w:t>
      </w:r>
      <w:r w:rsidR="00AF7743">
        <w:t>because</w:t>
      </w:r>
      <w:r w:rsidR="00734981" w:rsidRPr="00734981">
        <w:t xml:space="preserve"> </w:t>
      </w:r>
      <w:r w:rsidR="00734981">
        <w:t xml:space="preserve">the process removes the obligation for a liquidator to convene these meetings. </w:t>
      </w:r>
      <w:r w:rsidR="00CD746F">
        <w:t xml:space="preserve"> </w:t>
      </w:r>
    </w:p>
    <w:p w14:paraId="6169900B" w14:textId="31BE3AB1" w:rsidR="00646817" w:rsidRPr="00792991" w:rsidRDefault="00AF7743" w:rsidP="00D64DF7">
      <w:pPr>
        <w:pStyle w:val="base-text-paragraph"/>
        <w:numPr>
          <w:ilvl w:val="1"/>
          <w:numId w:val="4"/>
        </w:numPr>
      </w:pPr>
      <w:r>
        <w:t>T</w:t>
      </w:r>
      <w:r w:rsidR="00DD5347">
        <w:t xml:space="preserve">he Bill </w:t>
      </w:r>
      <w:r>
        <w:t xml:space="preserve">therefore </w:t>
      </w:r>
      <w:r w:rsidR="00C34E48">
        <w:t>enable</w:t>
      </w:r>
      <w:r w:rsidR="00734981">
        <w:t>s</w:t>
      </w:r>
      <w:r w:rsidR="00C34E48">
        <w:t xml:space="preserve"> a</w:t>
      </w:r>
      <w:r w:rsidR="00FA1404">
        <w:t xml:space="preserve"> </w:t>
      </w:r>
      <w:r w:rsidR="001068B3">
        <w:t xml:space="preserve">resolution </w:t>
      </w:r>
      <w:r w:rsidR="00B95C5F">
        <w:t xml:space="preserve">to be </w:t>
      </w:r>
      <w:r w:rsidR="001068B3">
        <w:t xml:space="preserve">passed </w:t>
      </w:r>
      <w:r w:rsidR="00C34E48" w:rsidRPr="00AF7743">
        <w:t>without</w:t>
      </w:r>
      <w:r w:rsidR="00C34E48">
        <w:t xml:space="preserve"> a meeting of creditors, by way of a proposal to creditors and contributories (in the circumstances prescribed in Schedule 2 of the Corporations Act), </w:t>
      </w:r>
      <w:r w:rsidR="001914B9">
        <w:t xml:space="preserve">in </w:t>
      </w:r>
      <w:r w:rsidR="00685695">
        <w:t xml:space="preserve">a </w:t>
      </w:r>
      <w:r w:rsidR="001914B9">
        <w:t>simplified liquidation</w:t>
      </w:r>
      <w:r w:rsidR="00C43C94">
        <w:t xml:space="preserve">. </w:t>
      </w:r>
      <w:r w:rsidR="001914B9">
        <w:rPr>
          <w:rStyle w:val="Referencingstyle"/>
        </w:rPr>
        <w:t xml:space="preserve">[Schedule </w:t>
      </w:r>
      <w:r w:rsidR="00506764">
        <w:rPr>
          <w:rStyle w:val="Referencingstyle"/>
        </w:rPr>
        <w:t>1</w:t>
      </w:r>
      <w:r w:rsidR="001914B9">
        <w:rPr>
          <w:rStyle w:val="Referencingstyle"/>
        </w:rPr>
        <w:t>, i</w:t>
      </w:r>
      <w:r w:rsidR="001914B9" w:rsidRPr="00375F1D">
        <w:rPr>
          <w:rStyle w:val="Referencingstyle"/>
        </w:rPr>
        <w:t xml:space="preserve">tem </w:t>
      </w:r>
      <w:r w:rsidR="00721DDC">
        <w:rPr>
          <w:rStyle w:val="Referencingstyle"/>
        </w:rPr>
        <w:t>32</w:t>
      </w:r>
      <w:r w:rsidR="001914B9" w:rsidRPr="00375F1D">
        <w:rPr>
          <w:rStyle w:val="Referencingstyle"/>
        </w:rPr>
        <w:t xml:space="preserve">, section </w:t>
      </w:r>
      <w:r w:rsidR="001914B9">
        <w:rPr>
          <w:rStyle w:val="Referencingstyle"/>
        </w:rPr>
        <w:t>506</w:t>
      </w:r>
      <w:r w:rsidR="00721DDC">
        <w:rPr>
          <w:rStyle w:val="Referencingstyle"/>
        </w:rPr>
        <w:t>(1A)(c)</w:t>
      </w:r>
      <w:r w:rsidR="001914B9" w:rsidRPr="00375F1D">
        <w:rPr>
          <w:rStyle w:val="Referencingstyle"/>
        </w:rPr>
        <w:t xml:space="preserve"> of </w:t>
      </w:r>
      <w:r w:rsidR="001914B9">
        <w:rPr>
          <w:rStyle w:val="Referencingstyle"/>
        </w:rPr>
        <w:t>the Corporations Act</w:t>
      </w:r>
      <w:r w:rsidR="001914B9" w:rsidRPr="00375F1D">
        <w:rPr>
          <w:rStyle w:val="Referencingstyle"/>
        </w:rPr>
        <w:t>]</w:t>
      </w:r>
    </w:p>
    <w:p w14:paraId="19BD49F9" w14:textId="77777777" w:rsidR="00A13A76" w:rsidRPr="00117CE5" w:rsidRDefault="00A13A76" w:rsidP="00F13624">
      <w:pPr>
        <w:pStyle w:val="Heading4"/>
        <w:rPr>
          <w:b w:val="0"/>
        </w:rPr>
      </w:pPr>
      <w:r>
        <w:t>Technical amendments</w:t>
      </w:r>
    </w:p>
    <w:p w14:paraId="74F30134" w14:textId="6777B695" w:rsidR="00F347F3" w:rsidRDefault="00950D7F" w:rsidP="00D64DF7">
      <w:pPr>
        <w:pStyle w:val="base-text-paragraph"/>
        <w:numPr>
          <w:ilvl w:val="1"/>
          <w:numId w:val="4"/>
        </w:numPr>
      </w:pPr>
      <w:r>
        <w:t xml:space="preserve">The </w:t>
      </w:r>
      <w:r w:rsidR="00BE2175">
        <w:t>c</w:t>
      </w:r>
      <w:r>
        <w:rPr>
          <w:szCs w:val="22"/>
        </w:rPr>
        <w:t xml:space="preserve">orporate </w:t>
      </w:r>
      <w:r w:rsidR="00BE2175">
        <w:rPr>
          <w:szCs w:val="22"/>
        </w:rPr>
        <w:t>i</w:t>
      </w:r>
      <w:r w:rsidRPr="00186F5A">
        <w:rPr>
          <w:szCs w:val="22"/>
        </w:rPr>
        <w:t xml:space="preserve">nsolvency </w:t>
      </w:r>
      <w:r w:rsidR="00BE2175">
        <w:rPr>
          <w:szCs w:val="22"/>
        </w:rPr>
        <w:t>r</w:t>
      </w:r>
      <w:r w:rsidRPr="00186F5A">
        <w:rPr>
          <w:szCs w:val="22"/>
        </w:rPr>
        <w:t>eforms</w:t>
      </w:r>
      <w:r>
        <w:t xml:space="preserve"> allow electronic communication to be used </w:t>
      </w:r>
      <w:r w:rsidR="00C45C71">
        <w:t>for</w:t>
      </w:r>
      <w:r>
        <w:t xml:space="preserve"> the </w:t>
      </w:r>
      <w:r w:rsidR="00C45C71">
        <w:t>purpose of providing</w:t>
      </w:r>
      <w:r>
        <w:t xml:space="preserve"> document</w:t>
      </w:r>
      <w:r w:rsidR="00C45C71">
        <w:t>s</w:t>
      </w:r>
      <w:r>
        <w:t xml:space="preserve"> under the insolvency framework. </w:t>
      </w:r>
      <w:r w:rsidR="006D1860">
        <w:t xml:space="preserve">The purpose of this change was to support changes in the industry towards virtual meetings. </w:t>
      </w:r>
      <w:r w:rsidR="00F347F3">
        <w:t xml:space="preserve">The amendments provide </w:t>
      </w:r>
      <w:r w:rsidR="00312E28">
        <w:t xml:space="preserve">further </w:t>
      </w:r>
      <w:r w:rsidR="0095237F">
        <w:t>clarif</w:t>
      </w:r>
      <w:r w:rsidR="00312E28">
        <w:t xml:space="preserve">ication </w:t>
      </w:r>
      <w:r w:rsidR="00F347F3">
        <w:t xml:space="preserve">for determining </w:t>
      </w:r>
      <w:r w:rsidR="00312E28">
        <w:t>the</w:t>
      </w:r>
      <w:r w:rsidR="00F347F3">
        <w:t xml:space="preserve"> place where electronic communication is taken to have been sent </w:t>
      </w:r>
      <w:r w:rsidR="00312E28">
        <w:t xml:space="preserve">from </w:t>
      </w:r>
      <w:r w:rsidR="00F347F3">
        <w:t>and received</w:t>
      </w:r>
      <w:r w:rsidR="00312E28">
        <w:t xml:space="preserve"> – where the originator or addressee has a principal place of business in Australia</w:t>
      </w:r>
      <w:r w:rsidR="00D2097B">
        <w:t xml:space="preserve"> but not a registered office or an address on a register of the company or registered scheme</w:t>
      </w:r>
      <w:r w:rsidR="00312E28">
        <w:t>,</w:t>
      </w:r>
      <w:r w:rsidR="00BC130A">
        <w:t xml:space="preserve"> t</w:t>
      </w:r>
      <w:r w:rsidR="00312E28">
        <w:t xml:space="preserve">hat address is taken to be the place where the electronic communication was sent </w:t>
      </w:r>
      <w:r w:rsidR="00160618">
        <w:t xml:space="preserve">from </w:t>
      </w:r>
      <w:r w:rsidR="00312E28">
        <w:t>or received</w:t>
      </w:r>
      <w:r w:rsidR="00F347F3">
        <w:t xml:space="preserve">. </w:t>
      </w:r>
      <w:r w:rsidR="00F347F3">
        <w:rPr>
          <w:rStyle w:val="Referencingstyle"/>
        </w:rPr>
        <w:t>[</w:t>
      </w:r>
      <w:r w:rsidR="00F347F3" w:rsidRPr="00910EAC">
        <w:rPr>
          <w:rStyle w:val="Referencingstyle"/>
        </w:rPr>
        <w:t xml:space="preserve">Schedule </w:t>
      </w:r>
      <w:r w:rsidR="00910EAC" w:rsidRPr="00910EAC">
        <w:rPr>
          <w:rStyle w:val="Referencingstyle"/>
        </w:rPr>
        <w:t>1</w:t>
      </w:r>
      <w:r w:rsidR="00F347F3" w:rsidRPr="00910EAC">
        <w:rPr>
          <w:rStyle w:val="Referencingstyle"/>
        </w:rPr>
        <w:t xml:space="preserve">, </w:t>
      </w:r>
      <w:r w:rsidR="00F347F3" w:rsidRPr="004C59F5">
        <w:rPr>
          <w:rStyle w:val="Referencingstyle"/>
        </w:rPr>
        <w:t xml:space="preserve">items </w:t>
      </w:r>
      <w:r w:rsidR="00E60B47">
        <w:rPr>
          <w:rStyle w:val="Referencingstyle"/>
        </w:rPr>
        <w:t>26 and 27</w:t>
      </w:r>
      <w:r w:rsidR="00F347F3">
        <w:rPr>
          <w:rStyle w:val="Referencingstyle"/>
        </w:rPr>
        <w:t>, section</w:t>
      </w:r>
      <w:r w:rsidR="00BC434F">
        <w:rPr>
          <w:rStyle w:val="Referencingstyle"/>
        </w:rPr>
        <w:t>s</w:t>
      </w:r>
      <w:r w:rsidR="00F347F3" w:rsidRPr="00375F1D">
        <w:rPr>
          <w:rStyle w:val="Referencingstyle"/>
        </w:rPr>
        <w:t xml:space="preserve"> </w:t>
      </w:r>
      <w:r w:rsidR="00F347F3">
        <w:rPr>
          <w:rStyle w:val="Referencingstyle"/>
        </w:rPr>
        <w:t>105B</w:t>
      </w:r>
      <w:r w:rsidR="000E5199">
        <w:rPr>
          <w:rStyle w:val="Referencingstyle"/>
        </w:rPr>
        <w:t>(2)(b) and 105B(3)(b)</w:t>
      </w:r>
      <w:r w:rsidR="00F347F3" w:rsidRPr="00375F1D">
        <w:rPr>
          <w:rStyle w:val="Referencingstyle"/>
        </w:rPr>
        <w:t xml:space="preserve"> of </w:t>
      </w:r>
      <w:r w:rsidR="00036131">
        <w:rPr>
          <w:rStyle w:val="Referencingstyle"/>
          <w:szCs w:val="18"/>
        </w:rPr>
        <w:t>the Corporations Act</w:t>
      </w:r>
      <w:r w:rsidR="00F347F3" w:rsidRPr="00375F1D">
        <w:rPr>
          <w:rStyle w:val="Referencingstyle"/>
        </w:rPr>
        <w:t>]</w:t>
      </w:r>
    </w:p>
    <w:p w14:paraId="26628E94" w14:textId="12E4B6D5" w:rsidR="00117CE5" w:rsidRPr="001E6BA7" w:rsidRDefault="0024366B" w:rsidP="00C5559E">
      <w:pPr>
        <w:pStyle w:val="base-text-paragraph"/>
        <w:numPr>
          <w:ilvl w:val="1"/>
          <w:numId w:val="4"/>
        </w:numPr>
        <w:rPr>
          <w:rStyle w:val="Referencingstyle"/>
          <w:b w:val="0"/>
          <w:i w:val="0"/>
          <w:sz w:val="22"/>
        </w:rPr>
      </w:pPr>
      <w:r>
        <w:t>Section 91 of the Corporations Act includes a</w:t>
      </w:r>
      <w:r w:rsidR="00117CE5">
        <w:t xml:space="preserve"> table</w:t>
      </w:r>
      <w:r w:rsidR="00D56FAB">
        <w:t xml:space="preserve"> </w:t>
      </w:r>
      <w:r w:rsidR="00D56FAB" w:rsidRPr="00D56FAB">
        <w:t>set</w:t>
      </w:r>
      <w:r w:rsidR="00D56FAB">
        <w:t>ting</w:t>
      </w:r>
      <w:r w:rsidR="00D56FAB" w:rsidRPr="00D56FAB">
        <w:t xml:space="preserve"> out the meaning of </w:t>
      </w:r>
      <w:r w:rsidR="00D56FAB" w:rsidRPr="00D56FAB">
        <w:rPr>
          <w:b/>
          <w:i/>
        </w:rPr>
        <w:t>relation-back day</w:t>
      </w:r>
      <w:r w:rsidR="00D56FAB" w:rsidRPr="00D56FAB">
        <w:t xml:space="preserve"> in relation to </w:t>
      </w:r>
      <w:r w:rsidR="00D56FAB">
        <w:t>the</w:t>
      </w:r>
      <w:r w:rsidR="00D56FAB" w:rsidRPr="00D56FAB">
        <w:t xml:space="preserve"> winding </w:t>
      </w:r>
      <w:r w:rsidR="00D56FAB">
        <w:t>up of a company.</w:t>
      </w:r>
      <w:r w:rsidR="00117CE5">
        <w:t xml:space="preserve"> </w:t>
      </w:r>
      <w:r w:rsidR="00C5559E" w:rsidRPr="00C5559E">
        <w:t>The relation back day is the day on which the liquidation is recognised to have commenced</w:t>
      </w:r>
      <w:r w:rsidR="00C5559E">
        <w:t>, depend</w:t>
      </w:r>
      <w:r w:rsidR="008A30C7">
        <w:t>ing</w:t>
      </w:r>
      <w:r w:rsidR="00C5559E">
        <w:t xml:space="preserve"> </w:t>
      </w:r>
      <w:r w:rsidR="008A30C7">
        <w:t>on the type of liquidation (</w:t>
      </w:r>
      <w:r w:rsidR="005434F8">
        <w:t>e.g.</w:t>
      </w:r>
      <w:r w:rsidR="00537A71">
        <w:t> </w:t>
      </w:r>
      <w:r w:rsidR="008A30C7">
        <w:t>Court-ordered or creditors’ voluntary winding up)</w:t>
      </w:r>
      <w:r w:rsidR="00C5559E">
        <w:t xml:space="preserve"> and whether the company commenced another form of external administration </w:t>
      </w:r>
      <w:r w:rsidR="00537A71">
        <w:t>(e</w:t>
      </w:r>
      <w:r w:rsidR="005434F8">
        <w:t>.</w:t>
      </w:r>
      <w:r w:rsidR="00537A71">
        <w:t>g</w:t>
      </w:r>
      <w:r w:rsidR="005434F8">
        <w:t>.</w:t>
      </w:r>
      <w:r w:rsidR="00537A71">
        <w:t> </w:t>
      </w:r>
      <w:r w:rsidR="008A30C7">
        <w:t xml:space="preserve">voluntary administration or debt restructuring) </w:t>
      </w:r>
      <w:r w:rsidR="00C5559E">
        <w:t>prior to liquidation</w:t>
      </w:r>
      <w:r w:rsidR="00C5559E" w:rsidRPr="00C5559E">
        <w:t xml:space="preserve">. </w:t>
      </w:r>
      <w:r w:rsidR="00117CE5">
        <w:t xml:space="preserve">The table </w:t>
      </w:r>
      <w:r w:rsidR="00D56FAB">
        <w:t xml:space="preserve">identifies the relevant relation-back day </w:t>
      </w:r>
      <w:r w:rsidR="00C45C71">
        <w:t>applicable to</w:t>
      </w:r>
      <w:r w:rsidR="00D56FAB">
        <w:t xml:space="preserve"> different circumstances. </w:t>
      </w:r>
      <w:r w:rsidR="00FA2399">
        <w:t>Items 15 and 23 in the table both refer to the circumstance</w:t>
      </w:r>
      <w:r w:rsidR="00117CE5">
        <w:t xml:space="preserve"> where ‘any other case applies’. The amendments repeal table item 15 </w:t>
      </w:r>
      <w:r w:rsidR="00FA2399">
        <w:t>to correct this error</w:t>
      </w:r>
      <w:r w:rsidR="00117CE5">
        <w:t xml:space="preserve">. </w:t>
      </w:r>
      <w:r w:rsidR="00117CE5">
        <w:rPr>
          <w:rStyle w:val="Referencingstyle"/>
        </w:rPr>
        <w:t>[</w:t>
      </w:r>
      <w:r w:rsidR="00117CE5" w:rsidRPr="00910EAC">
        <w:rPr>
          <w:rStyle w:val="Referencingstyle"/>
        </w:rPr>
        <w:t>Sch</w:t>
      </w:r>
      <w:r w:rsidR="00117CE5" w:rsidRPr="004C59F5">
        <w:rPr>
          <w:rStyle w:val="Referencingstyle"/>
        </w:rPr>
        <w:t xml:space="preserve">edule </w:t>
      </w:r>
      <w:r w:rsidR="00910EAC" w:rsidRPr="004C59F5">
        <w:rPr>
          <w:rStyle w:val="Referencingstyle"/>
        </w:rPr>
        <w:t>1</w:t>
      </w:r>
      <w:r w:rsidR="00117CE5" w:rsidRPr="004C59F5">
        <w:rPr>
          <w:rStyle w:val="Referencingstyle"/>
        </w:rPr>
        <w:t>, item</w:t>
      </w:r>
      <w:r w:rsidR="00684878">
        <w:rPr>
          <w:rStyle w:val="Referencingstyle"/>
        </w:rPr>
        <w:t> </w:t>
      </w:r>
      <w:r w:rsidR="004C59F5" w:rsidRPr="004C59F5">
        <w:rPr>
          <w:rStyle w:val="Referencingstyle"/>
        </w:rPr>
        <w:t>25</w:t>
      </w:r>
      <w:r w:rsidR="00117CE5" w:rsidRPr="004C59F5">
        <w:rPr>
          <w:rStyle w:val="Referencingstyle"/>
        </w:rPr>
        <w:t>,</w:t>
      </w:r>
      <w:r w:rsidR="00117CE5">
        <w:rPr>
          <w:rStyle w:val="Referencingstyle"/>
        </w:rPr>
        <w:t xml:space="preserve"> section</w:t>
      </w:r>
      <w:r w:rsidR="00117CE5" w:rsidRPr="00375F1D">
        <w:rPr>
          <w:rStyle w:val="Referencingstyle"/>
        </w:rPr>
        <w:t xml:space="preserve"> </w:t>
      </w:r>
      <w:r w:rsidR="00117CE5">
        <w:rPr>
          <w:rStyle w:val="Referencingstyle"/>
        </w:rPr>
        <w:t>91</w:t>
      </w:r>
      <w:r w:rsidR="00117CE5" w:rsidRPr="00375F1D">
        <w:rPr>
          <w:rStyle w:val="Referencingstyle"/>
        </w:rPr>
        <w:t xml:space="preserve"> of </w:t>
      </w:r>
      <w:r w:rsidR="00036131">
        <w:rPr>
          <w:rStyle w:val="Referencingstyle"/>
          <w:szCs w:val="18"/>
        </w:rPr>
        <w:t>the Corporations Act</w:t>
      </w:r>
      <w:r w:rsidR="00117CE5" w:rsidRPr="00375F1D">
        <w:rPr>
          <w:rStyle w:val="Referencingstyle"/>
        </w:rPr>
        <w:t>]</w:t>
      </w:r>
    </w:p>
    <w:p w14:paraId="736870FC" w14:textId="44DC253D" w:rsidR="00F90A04" w:rsidRDefault="00F90A04" w:rsidP="00AB512D">
      <w:pPr>
        <w:pStyle w:val="base-text-paragraph"/>
        <w:tabs>
          <w:tab w:val="clear" w:pos="1985"/>
        </w:tabs>
        <w:ind w:left="0"/>
      </w:pPr>
    </w:p>
    <w:p w14:paraId="38BE61B7" w14:textId="77777777" w:rsidR="00972871" w:rsidRDefault="00972871" w:rsidP="00E06030">
      <w:pPr>
        <w:sectPr w:rsidR="00972871" w:rsidSect="00E06030">
          <w:footerReference w:type="even" r:id="rId28"/>
          <w:footerReference w:type="default" r:id="rId29"/>
          <w:footerReference w:type="first" r:id="rId30"/>
          <w:type w:val="oddPage"/>
          <w:pgSz w:w="9979" w:h="14175" w:code="9"/>
          <w:pgMar w:top="567" w:right="1134" w:bottom="567" w:left="1134" w:header="709" w:footer="709" w:gutter="0"/>
          <w:cols w:space="708"/>
          <w:titlePg/>
          <w:docGrid w:linePitch="360"/>
        </w:sectPr>
      </w:pPr>
    </w:p>
    <w:p w14:paraId="7AB77E85" w14:textId="7526E2CA" w:rsidR="00972871" w:rsidRPr="007C2B20" w:rsidRDefault="00972871" w:rsidP="00C67B6B">
      <w:pPr>
        <w:pStyle w:val="ChapterHeading"/>
        <w:numPr>
          <w:ilvl w:val="0"/>
          <w:numId w:val="4"/>
        </w:numPr>
      </w:pPr>
      <w:bookmarkStart w:id="51" w:name="_Hlk68789382"/>
      <w:r w:rsidRPr="000C2A9D">
        <w:lastRenderedPageBreak/>
        <w:br/>
      </w:r>
      <w:bookmarkStart w:id="52" w:name="_Toc68604628"/>
      <w:bookmarkStart w:id="53" w:name="_Toc68608163"/>
      <w:bookmarkStart w:id="54" w:name="_Toc68623415"/>
      <w:bookmarkStart w:id="55" w:name="_Toc68623432"/>
      <w:bookmarkStart w:id="56" w:name="_Toc68706329"/>
      <w:bookmarkStart w:id="57" w:name="_Toc68710214"/>
      <w:bookmarkStart w:id="58" w:name="_Toc68710593"/>
      <w:bookmarkStart w:id="59" w:name="_Toc69138241"/>
      <w:r>
        <w:t>Aboriginal and Torres Strait Islander corporations</w:t>
      </w:r>
      <w:bookmarkEnd w:id="52"/>
      <w:bookmarkEnd w:id="53"/>
      <w:bookmarkEnd w:id="54"/>
      <w:bookmarkEnd w:id="55"/>
      <w:bookmarkEnd w:id="56"/>
      <w:bookmarkEnd w:id="57"/>
      <w:bookmarkEnd w:id="58"/>
      <w:bookmarkEnd w:id="59"/>
      <w:r>
        <w:t xml:space="preserve"> </w:t>
      </w:r>
    </w:p>
    <w:p w14:paraId="6C7DBABC" w14:textId="77777777" w:rsidR="00972871" w:rsidRDefault="00972871" w:rsidP="00E06030">
      <w:pPr>
        <w:pStyle w:val="Heading2"/>
      </w:pPr>
      <w:r>
        <w:t>Outline of chapter</w:t>
      </w:r>
    </w:p>
    <w:p w14:paraId="2E71B968" w14:textId="436D9333" w:rsidR="00972871" w:rsidRDefault="00777170" w:rsidP="00C67B6B">
      <w:pPr>
        <w:numPr>
          <w:ilvl w:val="1"/>
          <w:numId w:val="4"/>
        </w:numPr>
      </w:pPr>
      <w:r>
        <w:t>The Bill amends the CATSI Act to enable registered Aboriginal and Torres Strait Islander corporations to utilise the debt restructuring and simplified liquidation process</w:t>
      </w:r>
      <w:r w:rsidR="00C47072">
        <w:t>es</w:t>
      </w:r>
      <w:r>
        <w:t xml:space="preserve"> established under the Corporations Act. The </w:t>
      </w:r>
      <w:r w:rsidR="00DE4136">
        <w:t>Bill modifies</w:t>
      </w:r>
      <w:r w:rsidR="00C47072">
        <w:t xml:space="preserve"> the </w:t>
      </w:r>
      <w:r>
        <w:t xml:space="preserve">application of certain restructuring and simplified liquidation provisions to Aboriginal and Torres Strait Islander corporations to ensure the provisions are applied consistently with the CATSI Act’s objectives and legislative framework. </w:t>
      </w:r>
    </w:p>
    <w:p w14:paraId="2B06633D" w14:textId="61594277" w:rsidR="00972871" w:rsidRDefault="00972871" w:rsidP="00E06030">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4"/>
        <w:gridCol w:w="3213"/>
      </w:tblGrid>
      <w:tr w:rsidR="00972871" w:rsidRPr="004666B8" w14:paraId="29323599" w14:textId="77777777" w:rsidTr="00740EBE">
        <w:tc>
          <w:tcPr>
            <w:tcW w:w="3204" w:type="dxa"/>
          </w:tcPr>
          <w:p w14:paraId="2F19DB26" w14:textId="77777777" w:rsidR="00972871" w:rsidRPr="004666B8" w:rsidRDefault="00972871" w:rsidP="00E06030">
            <w:pPr>
              <w:pStyle w:val="tableheaderwithintable"/>
              <w:rPr>
                <w:lang w:val="en-US" w:eastAsia="en-US"/>
              </w:rPr>
            </w:pPr>
            <w:r w:rsidRPr="004666B8">
              <w:rPr>
                <w:lang w:val="en-US" w:eastAsia="en-US"/>
              </w:rPr>
              <w:t>New law</w:t>
            </w:r>
          </w:p>
        </w:tc>
        <w:tc>
          <w:tcPr>
            <w:tcW w:w="3213" w:type="dxa"/>
          </w:tcPr>
          <w:p w14:paraId="0DF91F4B" w14:textId="28133542" w:rsidR="00972871" w:rsidRPr="004666B8" w:rsidRDefault="00972871" w:rsidP="00E06030">
            <w:pPr>
              <w:pStyle w:val="tableheaderwithintable"/>
              <w:rPr>
                <w:lang w:val="en-US" w:eastAsia="en-US"/>
              </w:rPr>
            </w:pPr>
            <w:r w:rsidRPr="004666B8">
              <w:rPr>
                <w:lang w:val="en-US" w:eastAsia="en-US"/>
              </w:rPr>
              <w:t>Current law</w:t>
            </w:r>
          </w:p>
        </w:tc>
      </w:tr>
      <w:tr w:rsidR="00972871" w:rsidRPr="004666B8" w14:paraId="7C7F9B47" w14:textId="77777777" w:rsidTr="00740EBE">
        <w:tc>
          <w:tcPr>
            <w:tcW w:w="3204" w:type="dxa"/>
          </w:tcPr>
          <w:p w14:paraId="063EEEA6" w14:textId="189741C7" w:rsidR="00972871" w:rsidRPr="004666B8" w:rsidRDefault="00572C2B" w:rsidP="00E06030">
            <w:pPr>
              <w:pStyle w:val="tabletext"/>
              <w:rPr>
                <w:lang w:val="en-US" w:eastAsia="en-US"/>
              </w:rPr>
            </w:pPr>
            <w:r>
              <w:rPr>
                <w:lang w:val="en-US" w:eastAsia="en-US"/>
              </w:rPr>
              <w:t>If a special administrator is appointed</w:t>
            </w:r>
            <w:r w:rsidR="00FB1DFC">
              <w:rPr>
                <w:lang w:val="en-US" w:eastAsia="en-US"/>
              </w:rPr>
              <w:t xml:space="preserve"> while </w:t>
            </w:r>
            <w:r w:rsidR="005434F8">
              <w:rPr>
                <w:lang w:val="en-US" w:eastAsia="en-US"/>
              </w:rPr>
              <w:t>an</w:t>
            </w:r>
            <w:r w:rsidR="00C357E8">
              <w:rPr>
                <w:lang w:val="en-US" w:eastAsia="en-US"/>
              </w:rPr>
              <w:t xml:space="preserve"> A</w:t>
            </w:r>
            <w:r w:rsidR="009F3D25">
              <w:rPr>
                <w:lang w:val="en-US" w:eastAsia="en-US"/>
              </w:rPr>
              <w:t>boriginal and Torres Strait Island</w:t>
            </w:r>
            <w:r w:rsidR="00FB1DFC">
              <w:rPr>
                <w:lang w:val="en-US" w:eastAsia="en-US"/>
              </w:rPr>
              <w:t xml:space="preserve"> co</w:t>
            </w:r>
            <w:r w:rsidR="009F3D25">
              <w:rPr>
                <w:lang w:val="en-US" w:eastAsia="en-US"/>
              </w:rPr>
              <w:t>rporation</w:t>
            </w:r>
            <w:r w:rsidR="00FB1DFC">
              <w:rPr>
                <w:lang w:val="en-US" w:eastAsia="en-US"/>
              </w:rPr>
              <w:t xml:space="preserve"> is under restructuring</w:t>
            </w:r>
            <w:r w:rsidR="008F46AD">
              <w:rPr>
                <w:lang w:val="en-US" w:eastAsia="en-US"/>
              </w:rPr>
              <w:t>, the restructuring process ends</w:t>
            </w:r>
            <w:r w:rsidR="00FB1DFC">
              <w:rPr>
                <w:lang w:val="en-US" w:eastAsia="en-US"/>
              </w:rPr>
              <w:t xml:space="preserve"> when the special administrator is appointed</w:t>
            </w:r>
          </w:p>
        </w:tc>
        <w:tc>
          <w:tcPr>
            <w:tcW w:w="3213" w:type="dxa"/>
          </w:tcPr>
          <w:p w14:paraId="37561565" w14:textId="61FA16F6" w:rsidR="00972871" w:rsidRPr="004666B8" w:rsidRDefault="000B650D" w:rsidP="00E06030">
            <w:pPr>
              <w:pStyle w:val="tabletext"/>
              <w:rPr>
                <w:lang w:val="en-US" w:eastAsia="en-US"/>
              </w:rPr>
            </w:pPr>
            <w:r>
              <w:rPr>
                <w:lang w:val="en-US" w:eastAsia="en-US"/>
              </w:rPr>
              <w:t>No equivalent</w:t>
            </w:r>
            <w:r w:rsidR="00C357E8">
              <w:rPr>
                <w:lang w:val="en-US" w:eastAsia="en-US"/>
              </w:rPr>
              <w:t xml:space="preserve"> </w:t>
            </w:r>
          </w:p>
        </w:tc>
      </w:tr>
      <w:tr w:rsidR="00AA0C4A" w:rsidRPr="004666B8" w14:paraId="17049A95" w14:textId="77777777" w:rsidTr="00740EBE">
        <w:tc>
          <w:tcPr>
            <w:tcW w:w="3204" w:type="dxa"/>
          </w:tcPr>
          <w:p w14:paraId="247561E3" w14:textId="740CDA46" w:rsidR="00AA0C4A" w:rsidRDefault="00AA0C4A" w:rsidP="00E06030">
            <w:pPr>
              <w:pStyle w:val="tabletext"/>
              <w:rPr>
                <w:lang w:val="en-US" w:eastAsia="en-US"/>
              </w:rPr>
            </w:pPr>
            <w:r>
              <w:rPr>
                <w:lang w:val="en-US" w:eastAsia="en-US"/>
              </w:rPr>
              <w:t xml:space="preserve">A small business restructuring practitioner cannot be appointed while an </w:t>
            </w:r>
            <w:r w:rsidR="009F3D25">
              <w:rPr>
                <w:lang w:val="en-US" w:eastAsia="en-US"/>
              </w:rPr>
              <w:t>Aboriginal and Torres Strait Island</w:t>
            </w:r>
            <w:r>
              <w:rPr>
                <w:lang w:val="en-US" w:eastAsia="en-US"/>
              </w:rPr>
              <w:t xml:space="preserve"> corporation is under special administration</w:t>
            </w:r>
          </w:p>
        </w:tc>
        <w:tc>
          <w:tcPr>
            <w:tcW w:w="3213" w:type="dxa"/>
          </w:tcPr>
          <w:p w14:paraId="463915C2" w14:textId="49C35DA3" w:rsidR="00AA0C4A" w:rsidRDefault="007E778A" w:rsidP="00E06030">
            <w:pPr>
              <w:pStyle w:val="tabletext"/>
              <w:rPr>
                <w:lang w:val="en-US" w:eastAsia="en-US"/>
              </w:rPr>
            </w:pPr>
            <w:r>
              <w:rPr>
                <w:lang w:val="en-US" w:eastAsia="en-US"/>
              </w:rPr>
              <w:t xml:space="preserve">No equivalent </w:t>
            </w:r>
            <w:r w:rsidR="009E665D">
              <w:rPr>
                <w:lang w:val="en-US" w:eastAsia="en-US"/>
              </w:rPr>
              <w:t xml:space="preserve"> </w:t>
            </w:r>
          </w:p>
        </w:tc>
      </w:tr>
      <w:tr w:rsidR="00AA0C4A" w:rsidRPr="004666B8" w14:paraId="075CD320" w14:textId="77777777" w:rsidTr="00740EBE">
        <w:tc>
          <w:tcPr>
            <w:tcW w:w="3204" w:type="dxa"/>
          </w:tcPr>
          <w:p w14:paraId="08C9889E" w14:textId="4DA75F04" w:rsidR="00AA0C4A" w:rsidRDefault="00595A8D" w:rsidP="00E06030">
            <w:pPr>
              <w:pStyle w:val="tabletext"/>
              <w:rPr>
                <w:lang w:val="en-US" w:eastAsia="en-US"/>
              </w:rPr>
            </w:pPr>
            <w:r>
              <w:rPr>
                <w:lang w:val="en-US" w:eastAsia="en-US"/>
              </w:rPr>
              <w:t>If a</w:t>
            </w:r>
            <w:r w:rsidR="00C357E8">
              <w:rPr>
                <w:lang w:val="en-US" w:eastAsia="en-US"/>
              </w:rPr>
              <w:t xml:space="preserve">n </w:t>
            </w:r>
            <w:r w:rsidR="009F3D25">
              <w:rPr>
                <w:lang w:val="en-US" w:eastAsia="en-US"/>
              </w:rPr>
              <w:t>Aboriginal and Torres Strait Island corporation</w:t>
            </w:r>
            <w:r>
              <w:rPr>
                <w:lang w:val="en-US" w:eastAsia="en-US"/>
              </w:rPr>
              <w:t xml:space="preserve"> is under special administration, a small business restructuring practitioner cannot exercise any powers or functions unless they obtain approval from the special administrator</w:t>
            </w:r>
          </w:p>
        </w:tc>
        <w:tc>
          <w:tcPr>
            <w:tcW w:w="3213" w:type="dxa"/>
          </w:tcPr>
          <w:p w14:paraId="368AD6BD" w14:textId="185BCCFC" w:rsidR="00AA0C4A" w:rsidRDefault="007E778A" w:rsidP="00E06030">
            <w:pPr>
              <w:pStyle w:val="tabletext"/>
              <w:rPr>
                <w:lang w:val="en-US" w:eastAsia="en-US"/>
              </w:rPr>
            </w:pPr>
            <w:r>
              <w:rPr>
                <w:lang w:val="en-US" w:eastAsia="en-US"/>
              </w:rPr>
              <w:t>No equivalent</w:t>
            </w:r>
          </w:p>
        </w:tc>
      </w:tr>
      <w:tr w:rsidR="0085226C" w:rsidRPr="004666B8" w14:paraId="7F3976D5" w14:textId="77777777" w:rsidTr="00740EBE">
        <w:tc>
          <w:tcPr>
            <w:tcW w:w="3204" w:type="dxa"/>
          </w:tcPr>
          <w:p w14:paraId="32CF873B" w14:textId="647A17B8" w:rsidR="0085226C" w:rsidRDefault="0085226C" w:rsidP="00E06030">
            <w:pPr>
              <w:pStyle w:val="tabletext"/>
              <w:rPr>
                <w:lang w:val="en-US" w:eastAsia="en-US"/>
              </w:rPr>
            </w:pPr>
            <w:r>
              <w:rPr>
                <w:lang w:val="en-US" w:eastAsia="en-US"/>
              </w:rPr>
              <w:t>If a</w:t>
            </w:r>
            <w:r w:rsidR="00C357E8">
              <w:rPr>
                <w:lang w:val="en-US" w:eastAsia="en-US"/>
              </w:rPr>
              <w:t xml:space="preserve">n </w:t>
            </w:r>
            <w:r w:rsidR="009F3D25">
              <w:rPr>
                <w:lang w:val="en-US" w:eastAsia="en-US"/>
              </w:rPr>
              <w:t>Aboriginal and Torres Strait Island corporation</w:t>
            </w:r>
            <w:r>
              <w:rPr>
                <w:lang w:val="en-US" w:eastAsia="en-US"/>
              </w:rPr>
              <w:t xml:space="preserve"> is under special administration, a small business restructuring practitioner cannot deal with the company’s property unless </w:t>
            </w:r>
            <w:r>
              <w:rPr>
                <w:lang w:val="en-US" w:eastAsia="en-US"/>
              </w:rPr>
              <w:lastRenderedPageBreak/>
              <w:t>they obtain approval from the special administrator</w:t>
            </w:r>
          </w:p>
        </w:tc>
        <w:tc>
          <w:tcPr>
            <w:tcW w:w="3213" w:type="dxa"/>
          </w:tcPr>
          <w:p w14:paraId="5E83BEBE" w14:textId="57532909" w:rsidR="0085226C" w:rsidRDefault="0075027A" w:rsidP="00E06030">
            <w:pPr>
              <w:pStyle w:val="tabletext"/>
              <w:rPr>
                <w:lang w:val="en-US" w:eastAsia="en-US"/>
              </w:rPr>
            </w:pPr>
            <w:r>
              <w:rPr>
                <w:lang w:val="en-US" w:eastAsia="en-US"/>
              </w:rPr>
              <w:lastRenderedPageBreak/>
              <w:t>No equivalent</w:t>
            </w:r>
          </w:p>
        </w:tc>
      </w:tr>
      <w:tr w:rsidR="00197572" w:rsidRPr="004666B8" w14:paraId="04AA0489" w14:textId="77777777" w:rsidTr="00740EBE">
        <w:tc>
          <w:tcPr>
            <w:tcW w:w="3204" w:type="dxa"/>
          </w:tcPr>
          <w:p w14:paraId="6399961D" w14:textId="28770B12" w:rsidR="00197572" w:rsidRDefault="00197572" w:rsidP="00E06030">
            <w:pPr>
              <w:pStyle w:val="tabletext"/>
              <w:rPr>
                <w:lang w:val="en-US" w:eastAsia="en-US"/>
              </w:rPr>
            </w:pPr>
            <w:r>
              <w:rPr>
                <w:lang w:val="en-US" w:eastAsia="en-US"/>
              </w:rPr>
              <w:t xml:space="preserve">Eligible Aboriginal and Torres Strait Islander corporations </w:t>
            </w:r>
            <w:r w:rsidR="00474C0D">
              <w:rPr>
                <w:lang w:val="en-US" w:eastAsia="en-US"/>
              </w:rPr>
              <w:t>can enter the simplified liquidation process by passing a special resolution under section 526-20 of the CATSI Act</w:t>
            </w:r>
          </w:p>
        </w:tc>
        <w:tc>
          <w:tcPr>
            <w:tcW w:w="3213" w:type="dxa"/>
          </w:tcPr>
          <w:p w14:paraId="1620D577" w14:textId="65B3FA2C" w:rsidR="00197572" w:rsidRDefault="00474C0D" w:rsidP="00E06030">
            <w:pPr>
              <w:pStyle w:val="tabletext"/>
              <w:rPr>
                <w:lang w:val="en-US" w:eastAsia="en-US"/>
              </w:rPr>
            </w:pPr>
            <w:r>
              <w:rPr>
                <w:lang w:val="en-US" w:eastAsia="en-US"/>
              </w:rPr>
              <w:t>No equivalent</w:t>
            </w:r>
          </w:p>
        </w:tc>
      </w:tr>
    </w:tbl>
    <w:p w14:paraId="4674FFF5" w14:textId="77777777" w:rsidR="00740EBE" w:rsidRDefault="00740EBE" w:rsidP="00740EBE">
      <w:pPr>
        <w:pStyle w:val="Heading2"/>
      </w:pPr>
      <w:r>
        <w:t>Detailed explanation of new law</w:t>
      </w:r>
    </w:p>
    <w:p w14:paraId="2E4E87EA" w14:textId="1BA83DA6" w:rsidR="00740EBE" w:rsidRDefault="00740EBE" w:rsidP="00740EBE">
      <w:pPr>
        <w:pStyle w:val="Heading3"/>
      </w:pPr>
      <w:r>
        <w:t xml:space="preserve">Restructuring of an Aboriginal and Torres Strait Islander corporation </w:t>
      </w:r>
    </w:p>
    <w:p w14:paraId="03206CA0" w14:textId="090774A6" w:rsidR="005B2A94" w:rsidRDefault="005B2A94" w:rsidP="005B2A94">
      <w:pPr>
        <w:pStyle w:val="Heading4"/>
      </w:pPr>
      <w:r>
        <w:t>Current law</w:t>
      </w:r>
    </w:p>
    <w:p w14:paraId="26C6EEBA" w14:textId="342BABAC" w:rsidR="00F36193" w:rsidRPr="00ED06A6" w:rsidRDefault="00F36193" w:rsidP="00C67B6B">
      <w:pPr>
        <w:pStyle w:val="base-text-paragraph"/>
        <w:numPr>
          <w:ilvl w:val="1"/>
          <w:numId w:val="4"/>
        </w:numPr>
      </w:pPr>
      <w:r>
        <w:t xml:space="preserve">The </w:t>
      </w:r>
      <w:r w:rsidRPr="005B2A94">
        <w:rPr>
          <w:i/>
        </w:rPr>
        <w:t>Corporations (Aboriginal and Torres Strait Islander) Act 2006</w:t>
      </w:r>
      <w:r w:rsidRPr="00ED06A6">
        <w:t xml:space="preserve"> </w:t>
      </w:r>
      <w:r w:rsidRPr="00362F4E">
        <w:t>(CATSI Act)</w:t>
      </w:r>
      <w:r>
        <w:t xml:space="preserve"> is a special measure for the benefit of Aboriginal and Torres Strait Islander people. Corporat</w:t>
      </w:r>
      <w:r w:rsidR="00824FE6">
        <w:t>ions registered under the CATSI </w:t>
      </w:r>
      <w:r>
        <w:t>Act are regulated by the Registrar of Indigenous Corporations</w:t>
      </w:r>
      <w:r w:rsidR="00824FE6">
        <w:t xml:space="preserve"> (the Registrar)</w:t>
      </w:r>
      <w:r>
        <w:t xml:space="preserve">. </w:t>
      </w:r>
    </w:p>
    <w:p w14:paraId="38C10D2B" w14:textId="77777777" w:rsidR="00F36193" w:rsidRDefault="00F36193" w:rsidP="00C67B6B">
      <w:pPr>
        <w:pStyle w:val="base-text-paragraph"/>
        <w:numPr>
          <w:ilvl w:val="1"/>
          <w:numId w:val="4"/>
        </w:numPr>
      </w:pPr>
      <w:r>
        <w:t>The CATSI Act provisions are modelled on</w:t>
      </w:r>
      <w:r w:rsidDel="008A484D">
        <w:t xml:space="preserve"> </w:t>
      </w:r>
      <w:r>
        <w:t xml:space="preserve">Corporations Act provisions, but maintain special powers (including modification powers) to ensure the Corporations Act provisions are appropriate for Aboriginal and Torres Strait Islander people and take account of the special risks and requirements of the Indigenous corporate sector. </w:t>
      </w:r>
    </w:p>
    <w:p w14:paraId="6122FBEB" w14:textId="77C0A578" w:rsidR="00F36193" w:rsidRDefault="005B2A94" w:rsidP="00C67B6B">
      <w:pPr>
        <w:pStyle w:val="base-text-paragraph"/>
        <w:numPr>
          <w:ilvl w:val="1"/>
          <w:numId w:val="4"/>
        </w:numPr>
      </w:pPr>
      <w:r>
        <w:t xml:space="preserve"> </w:t>
      </w:r>
      <w:r w:rsidR="00F36193">
        <w:t xml:space="preserve">A core feature of the CATSI Act framework is the bespoke external management process tailored for the requirements of </w:t>
      </w:r>
      <w:r w:rsidR="00824FE6">
        <w:t xml:space="preserve">Aboriginal and Torres Strait Islander </w:t>
      </w:r>
      <w:r w:rsidR="00F36193">
        <w:t xml:space="preserve">corporations </w:t>
      </w:r>
      <w:r w:rsidR="00F93C96">
        <w:t>known as ‘</w:t>
      </w:r>
      <w:r w:rsidR="00F36193">
        <w:t>special administration</w:t>
      </w:r>
      <w:r w:rsidR="00F93C96">
        <w:t>’.</w:t>
      </w:r>
      <w:r w:rsidR="00F36193">
        <w:t xml:space="preserve"> Special administration </w:t>
      </w:r>
      <w:r w:rsidR="00F93C96">
        <w:t>involves</w:t>
      </w:r>
      <w:r w:rsidR="00F36193">
        <w:t xml:space="preserve"> the</w:t>
      </w:r>
      <w:r w:rsidR="00F36193" w:rsidRPr="00AF2A70">
        <w:t xml:space="preserve"> Registrar</w:t>
      </w:r>
      <w:r w:rsidR="00824FE6">
        <w:t xml:space="preserve"> </w:t>
      </w:r>
      <w:r w:rsidR="00F93C96">
        <w:t>placing</w:t>
      </w:r>
      <w:r w:rsidR="00F36193">
        <w:t xml:space="preserve"> an </w:t>
      </w:r>
      <w:r w:rsidR="00824FE6">
        <w:t xml:space="preserve">Aboriginal and Torres Strait Islander </w:t>
      </w:r>
      <w:r w:rsidR="00F36193">
        <w:t xml:space="preserve">corporation under special administration and </w:t>
      </w:r>
      <w:r w:rsidR="00F36193" w:rsidRPr="00AF2A70">
        <w:t>appoint</w:t>
      </w:r>
      <w:r w:rsidR="00F93C96">
        <w:t>ing</w:t>
      </w:r>
      <w:r w:rsidR="00F36193" w:rsidRPr="00AF2A70">
        <w:t xml:space="preserve"> an independent and suitably qualified person (a special administrator)</w:t>
      </w:r>
      <w:r w:rsidR="00F36193">
        <w:t xml:space="preserve"> to take control of and administer the corporation. Typically, a special administrator is appointed where governance failures are identified by the Registrar. More rarely, a special administrator may be appointed where a corporation has encountered financial difficulty and needs assistance dealing with their debts. </w:t>
      </w:r>
    </w:p>
    <w:p w14:paraId="15C0F94C" w14:textId="2AC2133A" w:rsidR="00740EBE" w:rsidRDefault="000950F7" w:rsidP="00740EBE">
      <w:pPr>
        <w:pStyle w:val="Heading4"/>
      </w:pPr>
      <w:r>
        <w:t>Applying Corporations Act restructuring provisions</w:t>
      </w:r>
      <w:r w:rsidR="00740EBE">
        <w:t xml:space="preserve"> to Aboriginal and Torres Strait Islander corporations</w:t>
      </w:r>
    </w:p>
    <w:p w14:paraId="232E3CD8" w14:textId="426E8E26" w:rsidR="00063098" w:rsidRDefault="00DD2B80" w:rsidP="00C67B6B">
      <w:pPr>
        <w:pStyle w:val="base-text-paragraph"/>
        <w:numPr>
          <w:ilvl w:val="1"/>
          <w:numId w:val="4"/>
        </w:numPr>
      </w:pPr>
      <w:r>
        <w:t>T</w:t>
      </w:r>
      <w:r w:rsidR="008B5007">
        <w:t xml:space="preserve">he Bill </w:t>
      </w:r>
      <w:r w:rsidR="00063098">
        <w:t xml:space="preserve">ensures that, in addition to special administration, voluntary administration, receivership, </w:t>
      </w:r>
      <w:r w:rsidR="00666053">
        <w:t>and</w:t>
      </w:r>
      <w:r w:rsidR="00063098">
        <w:t xml:space="preserve"> winding</w:t>
      </w:r>
      <w:r w:rsidR="00666053">
        <w:t xml:space="preserve"> </w:t>
      </w:r>
      <w:r w:rsidR="00063098">
        <w:t xml:space="preserve">up, an Aboriginal and Torres Strait Islander corporation may </w:t>
      </w:r>
      <w:r w:rsidR="00C10123">
        <w:t xml:space="preserve">utilise </w:t>
      </w:r>
      <w:r w:rsidR="00063098">
        <w:t xml:space="preserve">the </w:t>
      </w:r>
      <w:r w:rsidR="008B5007">
        <w:t xml:space="preserve">new </w:t>
      </w:r>
      <w:r w:rsidR="00063098">
        <w:t>debt restructuring process</w:t>
      </w:r>
      <w:r w:rsidR="00C63DA3">
        <w:t xml:space="preserve">. </w:t>
      </w:r>
      <w:r w:rsidR="00063098">
        <w:rPr>
          <w:rStyle w:val="Referencingstyle"/>
        </w:rPr>
        <w:t xml:space="preserve">[Schedule </w:t>
      </w:r>
      <w:r w:rsidR="006724ED">
        <w:rPr>
          <w:rStyle w:val="Referencingstyle"/>
        </w:rPr>
        <w:t>1</w:t>
      </w:r>
      <w:r w:rsidR="00063098">
        <w:rPr>
          <w:rStyle w:val="Referencingstyle"/>
        </w:rPr>
        <w:t>, i</w:t>
      </w:r>
      <w:r w:rsidR="00063098" w:rsidRPr="00375F1D">
        <w:rPr>
          <w:rStyle w:val="Referencingstyle"/>
        </w:rPr>
        <w:t>tem</w:t>
      </w:r>
      <w:r w:rsidR="0094342D">
        <w:rPr>
          <w:rStyle w:val="Referencingstyle"/>
        </w:rPr>
        <w:t>s</w:t>
      </w:r>
      <w:r w:rsidR="00063098" w:rsidRPr="00375F1D">
        <w:rPr>
          <w:rStyle w:val="Referencingstyle"/>
        </w:rPr>
        <w:t xml:space="preserve"> </w:t>
      </w:r>
      <w:r w:rsidR="0094342D">
        <w:rPr>
          <w:rStyle w:val="Referencingstyle"/>
        </w:rPr>
        <w:t>6 and 7, section</w:t>
      </w:r>
      <w:r w:rsidR="00063098" w:rsidRPr="00375F1D">
        <w:rPr>
          <w:rStyle w:val="Referencingstyle"/>
        </w:rPr>
        <w:t xml:space="preserve"> </w:t>
      </w:r>
      <w:r w:rsidR="00063098">
        <w:rPr>
          <w:rStyle w:val="Referencingstyle"/>
        </w:rPr>
        <w:t>482-1</w:t>
      </w:r>
      <w:r w:rsidR="00063098" w:rsidRPr="00375F1D">
        <w:rPr>
          <w:rStyle w:val="Referencingstyle"/>
        </w:rPr>
        <w:t xml:space="preserve"> of </w:t>
      </w:r>
      <w:r w:rsidR="00063098">
        <w:rPr>
          <w:rStyle w:val="Referencingstyle"/>
        </w:rPr>
        <w:t>the Corporations (Aboriginal and Torres Strait Islander) Act 2006</w:t>
      </w:r>
      <w:r w:rsidR="00063098" w:rsidRPr="00375F1D">
        <w:rPr>
          <w:rStyle w:val="Referencingstyle"/>
        </w:rPr>
        <w:t>]</w:t>
      </w:r>
    </w:p>
    <w:p w14:paraId="57B337C6" w14:textId="265018F4" w:rsidR="007E28D2" w:rsidRDefault="00063098" w:rsidP="00C67B6B">
      <w:pPr>
        <w:pStyle w:val="base-text-paragraph"/>
        <w:numPr>
          <w:ilvl w:val="1"/>
          <w:numId w:val="4"/>
        </w:numPr>
      </w:pPr>
      <w:r>
        <w:lastRenderedPageBreak/>
        <w:t>N</w:t>
      </w:r>
      <w:r w:rsidR="008B5007">
        <w:t>ew Part 11</w:t>
      </w:r>
      <w:r w:rsidR="00200965">
        <w:t>-</w:t>
      </w:r>
      <w:r w:rsidR="008B5007">
        <w:t>4A of the CATSI Act</w:t>
      </w:r>
      <w:r w:rsidR="004E4A72">
        <w:t xml:space="preserve"> </w:t>
      </w:r>
      <w:r>
        <w:t>is established</w:t>
      </w:r>
      <w:r w:rsidR="004E4A72">
        <w:t xml:space="preserve"> to enable the restructuring of a</w:t>
      </w:r>
      <w:r w:rsidR="003F6965">
        <w:t>n</w:t>
      </w:r>
      <w:r w:rsidR="004E4A72">
        <w:t xml:space="preserve"> </w:t>
      </w:r>
      <w:r w:rsidR="000950F7">
        <w:t xml:space="preserve">Aboriginal and Torres Strait Islander </w:t>
      </w:r>
      <w:r w:rsidR="004E4A72">
        <w:t>corporation</w:t>
      </w:r>
      <w:r w:rsidR="008B5007">
        <w:t xml:space="preserve">. </w:t>
      </w:r>
      <w:r w:rsidR="00200965">
        <w:t xml:space="preserve">New Part 11-4A is modelled on existing Part 11-4 of the CATSI Act, which enables the voluntary administration of </w:t>
      </w:r>
      <w:r w:rsidR="00C65024">
        <w:t>Aboriginal and Torres Strait Islander</w:t>
      </w:r>
      <w:r w:rsidR="00200965">
        <w:t xml:space="preserve"> corporation</w:t>
      </w:r>
      <w:r w:rsidR="00CE208D">
        <w:t xml:space="preserve">s. </w:t>
      </w:r>
      <w:r w:rsidR="007E28D2">
        <w:rPr>
          <w:rStyle w:val="Referencingstyle"/>
        </w:rPr>
        <w:t xml:space="preserve">[Schedule </w:t>
      </w:r>
      <w:r w:rsidR="006724ED">
        <w:rPr>
          <w:rStyle w:val="Referencingstyle"/>
        </w:rPr>
        <w:t>1</w:t>
      </w:r>
      <w:r w:rsidR="007E28D2">
        <w:rPr>
          <w:rStyle w:val="Referencingstyle"/>
        </w:rPr>
        <w:t xml:space="preserve">, item 15, Part 11-4A </w:t>
      </w:r>
      <w:r w:rsidR="007E28D2" w:rsidRPr="00375F1D">
        <w:rPr>
          <w:rStyle w:val="Referencingstyle"/>
        </w:rPr>
        <w:t xml:space="preserve">of </w:t>
      </w:r>
      <w:r w:rsidR="007E28D2">
        <w:rPr>
          <w:rStyle w:val="Referencingstyle"/>
        </w:rPr>
        <w:t>the Corporations (Aboriginal and Torres Strait Islander) Act 200</w:t>
      </w:r>
      <w:r w:rsidR="00BC2563">
        <w:rPr>
          <w:rStyle w:val="Referencingstyle"/>
        </w:rPr>
        <w:t>6</w:t>
      </w:r>
      <w:r w:rsidR="007E28D2" w:rsidRPr="00375F1D">
        <w:rPr>
          <w:rStyle w:val="Referencingstyle"/>
        </w:rPr>
        <w:t>]</w:t>
      </w:r>
    </w:p>
    <w:p w14:paraId="042451BE" w14:textId="5F47C16A" w:rsidR="00C27564" w:rsidRDefault="000950F7" w:rsidP="00C67B6B">
      <w:pPr>
        <w:pStyle w:val="base-text-paragraph"/>
        <w:numPr>
          <w:ilvl w:val="1"/>
          <w:numId w:val="4"/>
        </w:numPr>
      </w:pPr>
      <w:r>
        <w:t>Consistent with the CATSI Act legislative framework</w:t>
      </w:r>
      <w:r w:rsidR="00CE208D">
        <w:t xml:space="preserve">, the amendments </w:t>
      </w:r>
      <w:r w:rsidR="003D4F85">
        <w:t xml:space="preserve">apply the </w:t>
      </w:r>
      <w:r w:rsidR="00EA18D1">
        <w:t>Corporations Act</w:t>
      </w:r>
      <w:r w:rsidR="00953F8E">
        <w:t xml:space="preserve"> </w:t>
      </w:r>
      <w:r w:rsidR="00C65024" w:rsidRPr="00953F8E">
        <w:rPr>
          <w:b/>
          <w:i/>
        </w:rPr>
        <w:t>restructuring provisions</w:t>
      </w:r>
      <w:r w:rsidR="0066724C" w:rsidRPr="0066724C">
        <w:t xml:space="preserve"> </w:t>
      </w:r>
      <w:r w:rsidR="00953F8E">
        <w:t>(that is,</w:t>
      </w:r>
      <w:r w:rsidR="0066724C">
        <w:t xml:space="preserve"> Part 5.3B of, and Sche</w:t>
      </w:r>
      <w:r w:rsidR="00C27564">
        <w:t xml:space="preserve">dule 2 to, the Corporations Act </w:t>
      </w:r>
      <w:r w:rsidR="0066724C">
        <w:t>and other relevant provisions</w:t>
      </w:r>
      <w:r w:rsidR="00C27564">
        <w:t>)</w:t>
      </w:r>
      <w:r w:rsidR="00953F8E">
        <w:t xml:space="preserve"> to Aboriginal and Torres Strait Islander corporations</w:t>
      </w:r>
      <w:r>
        <w:t xml:space="preserve"> with certain modifications</w:t>
      </w:r>
      <w:r w:rsidR="00B31C13">
        <w:t xml:space="preserve">. </w:t>
      </w:r>
      <w:r w:rsidR="00953F8E">
        <w:rPr>
          <w:rStyle w:val="Referencingstyle"/>
        </w:rPr>
        <w:t xml:space="preserve">[Schedule </w:t>
      </w:r>
      <w:r w:rsidR="006724ED">
        <w:rPr>
          <w:rStyle w:val="Referencingstyle"/>
        </w:rPr>
        <w:t>1</w:t>
      </w:r>
      <w:r w:rsidR="00953F8E">
        <w:rPr>
          <w:rStyle w:val="Referencingstyle"/>
        </w:rPr>
        <w:t>, item</w:t>
      </w:r>
      <w:r w:rsidR="006724ED">
        <w:rPr>
          <w:rStyle w:val="Referencingstyle"/>
        </w:rPr>
        <w:t>s</w:t>
      </w:r>
      <w:r w:rsidR="00953F8E">
        <w:rPr>
          <w:rStyle w:val="Referencingstyle"/>
        </w:rPr>
        <w:t xml:space="preserve"> </w:t>
      </w:r>
      <w:r w:rsidR="00CD4816">
        <w:rPr>
          <w:rStyle w:val="Referencingstyle"/>
        </w:rPr>
        <w:t>15</w:t>
      </w:r>
      <w:r w:rsidR="006724ED">
        <w:rPr>
          <w:rStyle w:val="Referencingstyle"/>
        </w:rPr>
        <w:t xml:space="preserve"> and 20</w:t>
      </w:r>
      <w:r w:rsidR="00953F8E">
        <w:rPr>
          <w:rStyle w:val="Referencingstyle"/>
        </w:rPr>
        <w:t>, sections</w:t>
      </w:r>
      <w:r w:rsidR="006724ED">
        <w:rPr>
          <w:rStyle w:val="Referencingstyle"/>
        </w:rPr>
        <w:t> </w:t>
      </w:r>
      <w:r w:rsidR="00953F8E">
        <w:rPr>
          <w:rStyle w:val="Referencingstyle"/>
        </w:rPr>
        <w:t>522-</w:t>
      </w:r>
      <w:r w:rsidR="005F6B0C">
        <w:rPr>
          <w:rStyle w:val="Referencingstyle"/>
        </w:rPr>
        <w:t>1</w:t>
      </w:r>
      <w:r w:rsidR="00953F8E" w:rsidRPr="00375F1D">
        <w:rPr>
          <w:rStyle w:val="Referencingstyle"/>
        </w:rPr>
        <w:t xml:space="preserve"> </w:t>
      </w:r>
      <w:r w:rsidR="00953F8E">
        <w:rPr>
          <w:rStyle w:val="Referencingstyle"/>
        </w:rPr>
        <w:t xml:space="preserve">and 700-1 </w:t>
      </w:r>
      <w:r w:rsidR="00953F8E" w:rsidRPr="00375F1D">
        <w:rPr>
          <w:rStyle w:val="Referencingstyle"/>
        </w:rPr>
        <w:t xml:space="preserve">of </w:t>
      </w:r>
      <w:r w:rsidR="00953F8E">
        <w:rPr>
          <w:rStyle w:val="Referencingstyle"/>
        </w:rPr>
        <w:t>the Corporations (Aboriginal and Torres Strait Islander) Act 200</w:t>
      </w:r>
      <w:r w:rsidR="00BC2563">
        <w:rPr>
          <w:rStyle w:val="Referencingstyle"/>
        </w:rPr>
        <w:t>6</w:t>
      </w:r>
      <w:r w:rsidR="00953F8E" w:rsidRPr="00375F1D">
        <w:rPr>
          <w:rStyle w:val="Referencingstyle"/>
        </w:rPr>
        <w:t>]</w:t>
      </w:r>
    </w:p>
    <w:p w14:paraId="617DD8F5" w14:textId="6E9BB868" w:rsidR="00421CD7" w:rsidRDefault="00421CD7" w:rsidP="00C67B6B">
      <w:pPr>
        <w:pStyle w:val="base-text-paragraph"/>
        <w:numPr>
          <w:ilvl w:val="1"/>
          <w:numId w:val="4"/>
        </w:numPr>
      </w:pPr>
      <w:r>
        <w:t xml:space="preserve">The effect of these </w:t>
      </w:r>
      <w:r w:rsidR="00CA096F">
        <w:t>modifications</w:t>
      </w:r>
      <w:r>
        <w:t xml:space="preserve"> is that the specially designed powers of the CATSI Act are maintained to ensure that the Corporations Act restructuring provisions are tailored to the special risks and requirements of the Indigenous corporate sector. </w:t>
      </w:r>
    </w:p>
    <w:p w14:paraId="08E1BE1A" w14:textId="4698CDFB" w:rsidR="00EA46A9" w:rsidRDefault="00754AED" w:rsidP="00C67B6B">
      <w:pPr>
        <w:pStyle w:val="base-text-paragraph"/>
        <w:numPr>
          <w:ilvl w:val="1"/>
          <w:numId w:val="4"/>
        </w:numPr>
      </w:pPr>
      <w:r>
        <w:t>The amendments prohibit any m</w:t>
      </w:r>
      <w:r w:rsidR="00EA46A9">
        <w:t xml:space="preserve">odifications made by the CATSI Regulations </w:t>
      </w:r>
      <w:r>
        <w:t>from increasing</w:t>
      </w:r>
      <w:r w:rsidR="00EA46A9">
        <w:t xml:space="preserve"> the maximum penalty for or widen</w:t>
      </w:r>
      <w:r w:rsidR="001138E2">
        <w:t>ing</w:t>
      </w:r>
      <w:r w:rsidR="00EA46A9">
        <w:t xml:space="preserve"> the scope of any offence under the Corporations Act restructuring provisions </w:t>
      </w:r>
      <w:r w:rsidR="00EA46A9">
        <w:rPr>
          <w:rStyle w:val="Referencingstyle"/>
        </w:rPr>
        <w:t xml:space="preserve">[Schedule </w:t>
      </w:r>
      <w:r w:rsidR="00485E74">
        <w:rPr>
          <w:rStyle w:val="Referencingstyle"/>
        </w:rPr>
        <w:t>1</w:t>
      </w:r>
      <w:r w:rsidR="00EA46A9">
        <w:rPr>
          <w:rStyle w:val="Referencingstyle"/>
        </w:rPr>
        <w:t xml:space="preserve"> i</w:t>
      </w:r>
      <w:r w:rsidR="00EA46A9" w:rsidRPr="00375F1D">
        <w:rPr>
          <w:rStyle w:val="Referencingstyle"/>
        </w:rPr>
        <w:t xml:space="preserve">tem </w:t>
      </w:r>
      <w:r w:rsidR="00EA46A9">
        <w:rPr>
          <w:rStyle w:val="Referencingstyle"/>
        </w:rPr>
        <w:t>15, section 522-1</w:t>
      </w:r>
      <w:r w:rsidR="00EA46A9" w:rsidRPr="00375F1D">
        <w:rPr>
          <w:rStyle w:val="Referencingstyle"/>
        </w:rPr>
        <w:t xml:space="preserve"> of </w:t>
      </w:r>
      <w:r w:rsidR="00EA46A9">
        <w:rPr>
          <w:rStyle w:val="Referencingstyle"/>
        </w:rPr>
        <w:t>the Corporations (Aboriginal and Torres Strait Islander) Act 2006</w:t>
      </w:r>
      <w:r w:rsidR="00EA46A9" w:rsidRPr="00375F1D">
        <w:rPr>
          <w:rStyle w:val="Referencingstyle"/>
        </w:rPr>
        <w:t>]</w:t>
      </w:r>
    </w:p>
    <w:p w14:paraId="56E2E18A" w14:textId="72B3A09D" w:rsidR="00740EBE" w:rsidRDefault="006F6884" w:rsidP="003C0B14">
      <w:pPr>
        <w:pStyle w:val="Heading4"/>
      </w:pPr>
      <w:r>
        <w:t>Appointing a</w:t>
      </w:r>
      <w:r w:rsidR="00740EBE" w:rsidRPr="00E305D4">
        <w:t xml:space="preserve"> </w:t>
      </w:r>
      <w:r w:rsidR="006A6AE3">
        <w:t>s</w:t>
      </w:r>
      <w:r w:rsidR="00740EBE" w:rsidRPr="00E305D4">
        <w:t xml:space="preserve">pecial </w:t>
      </w:r>
      <w:r w:rsidR="006A6AE3">
        <w:t>a</w:t>
      </w:r>
      <w:r w:rsidR="00740EBE" w:rsidRPr="00E305D4">
        <w:t xml:space="preserve">dministrator </w:t>
      </w:r>
      <w:r>
        <w:t xml:space="preserve">or </w:t>
      </w:r>
      <w:r w:rsidR="006A6AE3">
        <w:t>s</w:t>
      </w:r>
      <w:r w:rsidR="00740EBE" w:rsidRPr="00E305D4">
        <w:t xml:space="preserve">mall </w:t>
      </w:r>
      <w:r w:rsidR="006A6AE3">
        <w:t>b</w:t>
      </w:r>
      <w:r w:rsidR="00740EBE" w:rsidRPr="00E305D4">
        <w:t>usiness</w:t>
      </w:r>
      <w:r w:rsidR="00740EBE">
        <w:t xml:space="preserve"> </w:t>
      </w:r>
      <w:r w:rsidR="006A6AE3">
        <w:t>r</w:t>
      </w:r>
      <w:r w:rsidR="00740EBE">
        <w:t xml:space="preserve">estructuring </w:t>
      </w:r>
      <w:r w:rsidR="006A6AE3">
        <w:t>p</w:t>
      </w:r>
      <w:r w:rsidR="00740EBE">
        <w:t xml:space="preserve">ractitioner  </w:t>
      </w:r>
    </w:p>
    <w:p w14:paraId="5074DB36" w14:textId="44B9802C" w:rsidR="0047154B" w:rsidRPr="00064712" w:rsidRDefault="00004BEF" w:rsidP="000E5199">
      <w:pPr>
        <w:pStyle w:val="base-text-paragraph"/>
        <w:numPr>
          <w:ilvl w:val="1"/>
          <w:numId w:val="4"/>
        </w:numPr>
      </w:pPr>
      <w:r>
        <w:t>For</w:t>
      </w:r>
      <w:r w:rsidR="008A1C2A">
        <w:t xml:space="preserve"> A</w:t>
      </w:r>
      <w:r w:rsidR="00E565C3">
        <w:t>boriginal and Torres Strait Islander</w:t>
      </w:r>
      <w:r w:rsidR="008A1C2A">
        <w:t xml:space="preserve"> corporations</w:t>
      </w:r>
      <w:r w:rsidR="00187DF3" w:rsidRPr="005E7704">
        <w:t>, the special administration regime takes priority over the debt restructuring process</w:t>
      </w:r>
      <w:r w:rsidR="00F65682" w:rsidRPr="005E7704">
        <w:t xml:space="preserve">. </w:t>
      </w:r>
      <w:r w:rsidR="00187DF3" w:rsidRPr="005E7704">
        <w:t>The amendments reflect this intention by</w:t>
      </w:r>
      <w:r w:rsidR="00805143">
        <w:t xml:space="preserve"> </w:t>
      </w:r>
      <w:r w:rsidR="0047154B" w:rsidRPr="00064712">
        <w:t>allowing the Registrar to make a determination that an Aboriginal and Torres Strait Islander corporation is to be put under special administration even if it is currently under restructuring</w:t>
      </w:r>
      <w:r w:rsidR="00805143">
        <w:t>.</w:t>
      </w:r>
      <w:r w:rsidR="00F76A98">
        <w:t xml:space="preserve"> </w:t>
      </w:r>
      <w:r w:rsidR="00F76A98">
        <w:rPr>
          <w:rStyle w:val="Referencingstyle"/>
        </w:rPr>
        <w:t>[Schedule 1, i</w:t>
      </w:r>
      <w:r w:rsidR="00F76A98" w:rsidRPr="00375F1D">
        <w:rPr>
          <w:rStyle w:val="Referencingstyle"/>
        </w:rPr>
        <w:t>tem</w:t>
      </w:r>
      <w:r w:rsidR="00F76A98">
        <w:rPr>
          <w:rStyle w:val="Referencingstyle"/>
        </w:rPr>
        <w:t>s 8 and 15</w:t>
      </w:r>
      <w:r w:rsidR="00F76A98" w:rsidRPr="00375F1D">
        <w:rPr>
          <w:rStyle w:val="Referencingstyle"/>
        </w:rPr>
        <w:t xml:space="preserve">, sections </w:t>
      </w:r>
      <w:r w:rsidR="00F76A98">
        <w:rPr>
          <w:rStyle w:val="Referencingstyle"/>
        </w:rPr>
        <w:t xml:space="preserve">487-1(3)(b), 522-3 </w:t>
      </w:r>
      <w:r w:rsidR="00F76A98" w:rsidRPr="00375F1D">
        <w:rPr>
          <w:rStyle w:val="Referencingstyle"/>
        </w:rPr>
        <w:t xml:space="preserve">of </w:t>
      </w:r>
      <w:r w:rsidR="00F76A98">
        <w:rPr>
          <w:rStyle w:val="Referencingstyle"/>
        </w:rPr>
        <w:t>the Corporations (Aboriginal and Torres Strait Islander) Act 2006</w:t>
      </w:r>
      <w:r w:rsidR="00F76A98" w:rsidRPr="00375F1D">
        <w:rPr>
          <w:rStyle w:val="Referencingstyle"/>
        </w:rPr>
        <w:t>]</w:t>
      </w:r>
    </w:p>
    <w:p w14:paraId="793825A1" w14:textId="77777777" w:rsidR="00805143" w:rsidRDefault="00853D3E" w:rsidP="00805143">
      <w:pPr>
        <w:pStyle w:val="base-text-paragraph"/>
        <w:numPr>
          <w:ilvl w:val="1"/>
          <w:numId w:val="4"/>
        </w:numPr>
      </w:pPr>
      <w:r>
        <w:t>Two options are currently under consideration for the treatment of a restructuring plan upon the appointment of a special administrator</w:t>
      </w:r>
      <w:r w:rsidR="00F76A98">
        <w:t xml:space="preserve"> to an Aboriginal and Torres Strait Islander corporation</w:t>
      </w:r>
      <w:r>
        <w:t xml:space="preserve">. </w:t>
      </w:r>
    </w:p>
    <w:p w14:paraId="68403CE9" w14:textId="77777777" w:rsidR="00853D3E" w:rsidRDefault="00853D3E" w:rsidP="00853D3E">
      <w:pPr>
        <w:pStyle w:val="base-text-paragraph"/>
        <w:numPr>
          <w:ilvl w:val="1"/>
          <w:numId w:val="4"/>
        </w:numPr>
      </w:pPr>
      <w:r>
        <w:t xml:space="preserve">Option one, </w:t>
      </w:r>
      <w:r w:rsidR="00805143" w:rsidRPr="00805143">
        <w:t xml:space="preserve">supported by </w:t>
      </w:r>
      <w:r>
        <w:t>the Office of the Registrar of Indigenous Corporations,</w:t>
      </w:r>
      <w:r w:rsidR="00805143" w:rsidRPr="00805143">
        <w:t xml:space="preserve"> is that the special administrator can choose whether to continue with the restructuring plan</w:t>
      </w:r>
      <w:r>
        <w:t xml:space="preserve"> or apply to the Court to terminate the plan. </w:t>
      </w:r>
    </w:p>
    <w:p w14:paraId="25B944E4" w14:textId="71E9A6AA" w:rsidR="00853D3E" w:rsidRDefault="00853D3E" w:rsidP="00853D3E">
      <w:pPr>
        <w:pStyle w:val="base-text-paragraph"/>
        <w:numPr>
          <w:ilvl w:val="1"/>
          <w:numId w:val="4"/>
        </w:numPr>
      </w:pPr>
      <w:r>
        <w:t xml:space="preserve">Option two is that </w:t>
      </w:r>
      <w:r w:rsidR="00F76A98">
        <w:t>a</w:t>
      </w:r>
      <w:r>
        <w:t xml:space="preserve"> restructuring </w:t>
      </w:r>
      <w:r w:rsidR="00805143" w:rsidRPr="00805143">
        <w:t xml:space="preserve">plan </w:t>
      </w:r>
      <w:r>
        <w:t xml:space="preserve">terminates automatically </w:t>
      </w:r>
      <w:r w:rsidR="00805143" w:rsidRPr="00805143">
        <w:t>upon the appointme</w:t>
      </w:r>
      <w:r>
        <w:t>nt of a special administrator</w:t>
      </w:r>
      <w:r w:rsidR="00F76A98">
        <w:t xml:space="preserve"> to an Aboriginal and Torres Strait Islander corporation</w:t>
      </w:r>
      <w:r>
        <w:t xml:space="preserve">. </w:t>
      </w:r>
    </w:p>
    <w:p w14:paraId="4204587F" w14:textId="7B5E2B0C" w:rsidR="00805143" w:rsidRPr="00064712" w:rsidRDefault="00F76A98" w:rsidP="00805143">
      <w:pPr>
        <w:pStyle w:val="base-text-paragraph"/>
        <w:numPr>
          <w:ilvl w:val="1"/>
          <w:numId w:val="4"/>
        </w:numPr>
      </w:pPr>
      <w:r>
        <w:t>Views are sought on both options during the public consultation period on the exposure draft Bill</w:t>
      </w:r>
      <w:r w:rsidR="00805143" w:rsidRPr="00805143">
        <w:t>.</w:t>
      </w:r>
    </w:p>
    <w:p w14:paraId="33C139F7" w14:textId="5366B52D" w:rsidR="0054268A" w:rsidRDefault="00F76A98" w:rsidP="00C67B6B">
      <w:pPr>
        <w:pStyle w:val="base-text-paragraph"/>
        <w:numPr>
          <w:ilvl w:val="1"/>
          <w:numId w:val="4"/>
        </w:numPr>
      </w:pPr>
      <w:r>
        <w:lastRenderedPageBreak/>
        <w:t>Further,</w:t>
      </w:r>
      <w:r w:rsidR="00187DF3" w:rsidRPr="008A30C7">
        <w:t xml:space="preserve"> the </w:t>
      </w:r>
      <w:r>
        <w:t>Bill</w:t>
      </w:r>
      <w:r w:rsidR="0054268A">
        <w:t xml:space="preserve"> </w:t>
      </w:r>
      <w:r w:rsidR="0047154B">
        <w:t>stipulate</w:t>
      </w:r>
      <w:r>
        <w:t>s</w:t>
      </w:r>
      <w:r w:rsidR="0054268A">
        <w:t xml:space="preserve"> that a small business restructuring practitioner cannot be appointed if: </w:t>
      </w:r>
    </w:p>
    <w:p w14:paraId="3054D552" w14:textId="75CF4284" w:rsidR="00CA414B" w:rsidRPr="00064712" w:rsidRDefault="00CA414B" w:rsidP="003B0BBF">
      <w:pPr>
        <w:pStyle w:val="dotpoint"/>
      </w:pPr>
      <w:r w:rsidRPr="00064712">
        <w:t xml:space="preserve">an Aboriginal and Torres Strait Islander corporation is under special administration; or </w:t>
      </w:r>
    </w:p>
    <w:p w14:paraId="2B37C022" w14:textId="61432A11" w:rsidR="00CA414B" w:rsidRPr="00DE11F2" w:rsidRDefault="00CA414B" w:rsidP="003B0BBF">
      <w:pPr>
        <w:pStyle w:val="dotpoint"/>
      </w:pPr>
      <w:r w:rsidRPr="008A30C7">
        <w:t xml:space="preserve">the Registrar has given the Aboriginal and Torres Strait Islander corporation a notice under subsection 487-10(1) of the CATSI Act but has not </w:t>
      </w:r>
      <w:r w:rsidR="00DD6216" w:rsidRPr="00DE11F2">
        <w:t xml:space="preserve">yet decided whether </w:t>
      </w:r>
      <w:r w:rsidRPr="00DE11F2">
        <w:t>to proceed with the special administration.</w:t>
      </w:r>
    </w:p>
    <w:p w14:paraId="44F2E249" w14:textId="7BFAF848" w:rsidR="0054268A" w:rsidRPr="006F6884" w:rsidRDefault="0054268A" w:rsidP="00C67B6B">
      <w:pPr>
        <w:pStyle w:val="base-text-paragraph"/>
        <w:numPr>
          <w:ilvl w:val="1"/>
          <w:numId w:val="4"/>
        </w:numPr>
        <w:rPr>
          <w:rStyle w:val="Referencingstyle"/>
          <w:b w:val="0"/>
          <w:i w:val="0"/>
          <w:sz w:val="22"/>
        </w:rPr>
      </w:pPr>
      <w:r>
        <w:t xml:space="preserve">However, </w:t>
      </w:r>
      <w:r w:rsidR="00CA414B">
        <w:t>if the Registrar has only provided a notice under subsection 487-10(1) of the CATSI Act, the Registrar is able to consent in writing to the appointment of the small business restructuring practitioner</w:t>
      </w:r>
      <w:r>
        <w:t xml:space="preserve"> (th</w:t>
      </w:r>
      <w:r w:rsidR="00CA414B">
        <w:t>e</w:t>
      </w:r>
      <w:r>
        <w:t xml:space="preserve"> </w:t>
      </w:r>
      <w:r w:rsidR="0099723E">
        <w:t xml:space="preserve">amendment requiring </w:t>
      </w:r>
      <w:r w:rsidR="00CA414B">
        <w:t>consent</w:t>
      </w:r>
      <w:r>
        <w:t xml:space="preserve"> </w:t>
      </w:r>
      <w:r w:rsidR="00CA414B">
        <w:t xml:space="preserve">is </w:t>
      </w:r>
      <w:r>
        <w:t xml:space="preserve">not a legislative instrument within the meaning of subsection 8(1) of the </w:t>
      </w:r>
      <w:r>
        <w:rPr>
          <w:i/>
          <w:iCs/>
        </w:rPr>
        <w:t>Legislation Act 2003</w:t>
      </w:r>
      <w:r>
        <w:t xml:space="preserve">). </w:t>
      </w:r>
      <w:r w:rsidR="00CA414B">
        <w:rPr>
          <w:rStyle w:val="Referencingstyle"/>
        </w:rPr>
        <w:t xml:space="preserve">[Schedule </w:t>
      </w:r>
      <w:r w:rsidR="00506764">
        <w:rPr>
          <w:rStyle w:val="Referencingstyle"/>
        </w:rPr>
        <w:t>1</w:t>
      </w:r>
      <w:r w:rsidR="00CA414B">
        <w:rPr>
          <w:rStyle w:val="Referencingstyle"/>
        </w:rPr>
        <w:t>, i</w:t>
      </w:r>
      <w:r w:rsidR="00CA414B" w:rsidRPr="00375F1D">
        <w:rPr>
          <w:rStyle w:val="Referencingstyle"/>
        </w:rPr>
        <w:t xml:space="preserve">tem </w:t>
      </w:r>
      <w:r w:rsidR="003074FD">
        <w:rPr>
          <w:rStyle w:val="Referencingstyle"/>
        </w:rPr>
        <w:t>15</w:t>
      </w:r>
      <w:r w:rsidR="00CA414B" w:rsidRPr="00375F1D">
        <w:rPr>
          <w:rStyle w:val="Referencingstyle"/>
        </w:rPr>
        <w:t xml:space="preserve">, section </w:t>
      </w:r>
      <w:r w:rsidR="00CA414B">
        <w:rPr>
          <w:rStyle w:val="Referencingstyle"/>
        </w:rPr>
        <w:t xml:space="preserve">522-2 of </w:t>
      </w:r>
      <w:r w:rsidR="00C60C0C">
        <w:rPr>
          <w:rStyle w:val="Referencingstyle"/>
        </w:rPr>
        <w:t>the Corporations (Aboriginal and Torres Strait Islander)</w:t>
      </w:r>
      <w:r w:rsidR="00CA414B">
        <w:rPr>
          <w:rStyle w:val="Referencingstyle"/>
        </w:rPr>
        <w:t xml:space="preserve"> </w:t>
      </w:r>
      <w:r w:rsidR="00CA414B" w:rsidRPr="00375F1D">
        <w:rPr>
          <w:rStyle w:val="Referencingstyle"/>
        </w:rPr>
        <w:t>Act</w:t>
      </w:r>
      <w:r w:rsidR="00C60C0C">
        <w:rPr>
          <w:rStyle w:val="Referencingstyle"/>
        </w:rPr>
        <w:t xml:space="preserve"> 200</w:t>
      </w:r>
      <w:r w:rsidR="00E2365A">
        <w:rPr>
          <w:rStyle w:val="Referencingstyle"/>
        </w:rPr>
        <w:t>6</w:t>
      </w:r>
      <w:r w:rsidR="00CA414B" w:rsidRPr="00375F1D">
        <w:rPr>
          <w:rStyle w:val="Referencingstyle"/>
        </w:rPr>
        <w:t>]</w:t>
      </w:r>
    </w:p>
    <w:p w14:paraId="77B135D6" w14:textId="5C2BDC68" w:rsidR="006F6884" w:rsidRPr="006F6884" w:rsidRDefault="006F6884" w:rsidP="006F6884">
      <w:pPr>
        <w:pStyle w:val="Heading4"/>
      </w:pPr>
      <w:r>
        <w:t xml:space="preserve">Interaction between </w:t>
      </w:r>
      <w:r w:rsidR="00B158FE">
        <w:t>the</w:t>
      </w:r>
      <w:r>
        <w:t xml:space="preserve"> </w:t>
      </w:r>
      <w:r w:rsidR="002D66B4">
        <w:t>role</w:t>
      </w:r>
      <w:r>
        <w:t xml:space="preserve"> </w:t>
      </w:r>
      <w:r w:rsidR="00B158FE">
        <w:t xml:space="preserve">of </w:t>
      </w:r>
      <w:r>
        <w:t xml:space="preserve">a </w:t>
      </w:r>
      <w:r w:rsidR="003C30E7">
        <w:t>s</w:t>
      </w:r>
      <w:r>
        <w:t xml:space="preserve">pecial </w:t>
      </w:r>
      <w:r w:rsidR="003C30E7">
        <w:t>a</w:t>
      </w:r>
      <w:r>
        <w:t xml:space="preserve">dministrator and a </w:t>
      </w:r>
      <w:r w:rsidR="003C30E7">
        <w:t>s</w:t>
      </w:r>
      <w:r>
        <w:t xml:space="preserve">mall </w:t>
      </w:r>
      <w:r w:rsidR="003C30E7">
        <w:t>b</w:t>
      </w:r>
      <w:r>
        <w:t xml:space="preserve">usiness </w:t>
      </w:r>
      <w:r w:rsidR="003C30E7">
        <w:t>r</w:t>
      </w:r>
      <w:r>
        <w:t xml:space="preserve">estructuring </w:t>
      </w:r>
      <w:r w:rsidR="003C30E7">
        <w:t>p</w:t>
      </w:r>
      <w:r>
        <w:t>ractitioner</w:t>
      </w:r>
    </w:p>
    <w:p w14:paraId="28AF5769" w14:textId="0BC1D7A2" w:rsidR="005E22FB" w:rsidRDefault="00F979A6" w:rsidP="00C67B6B">
      <w:pPr>
        <w:pStyle w:val="base-text-paragraph"/>
        <w:numPr>
          <w:ilvl w:val="1"/>
          <w:numId w:val="4"/>
        </w:numPr>
      </w:pPr>
      <w:r>
        <w:t xml:space="preserve">Division 499 </w:t>
      </w:r>
      <w:r w:rsidR="00AA0C4A">
        <w:t xml:space="preserve">of the CATSI Act </w:t>
      </w:r>
      <w:r>
        <w:t>gives the special administrator functions and powers in relation to an A</w:t>
      </w:r>
      <w:r w:rsidR="00E565C3">
        <w:t>boriginal and Torres Strait Islander</w:t>
      </w:r>
      <w:r>
        <w:t xml:space="preserve"> corporation’s business, property and affairs. </w:t>
      </w:r>
      <w:r w:rsidR="00FA06FE">
        <w:t xml:space="preserve">A </w:t>
      </w:r>
      <w:r w:rsidR="005E22FB">
        <w:t xml:space="preserve">special administrator can </w:t>
      </w:r>
      <w:r w:rsidR="00FA06FE">
        <w:t xml:space="preserve">also </w:t>
      </w:r>
      <w:r w:rsidR="005E22FB">
        <w:t>deal with transactions concerning the property of the A</w:t>
      </w:r>
      <w:r w:rsidR="00E565C3">
        <w:t>boriginal and Torres Strait Islander</w:t>
      </w:r>
      <w:r w:rsidR="005E22FB">
        <w:t xml:space="preserve"> corporation.</w:t>
      </w:r>
    </w:p>
    <w:p w14:paraId="35C540D0" w14:textId="41537E2B" w:rsidR="00F979A6" w:rsidRPr="00CF5B4B" w:rsidRDefault="00C116CE" w:rsidP="00C67B6B">
      <w:pPr>
        <w:pStyle w:val="base-text-paragraph"/>
        <w:numPr>
          <w:ilvl w:val="1"/>
          <w:numId w:val="4"/>
        </w:numPr>
      </w:pPr>
      <w:r>
        <w:t xml:space="preserve">To ensure that special administrators can </w:t>
      </w:r>
      <w:r w:rsidR="001362C4">
        <w:t>utilise</w:t>
      </w:r>
      <w:r>
        <w:t xml:space="preserve"> their</w:t>
      </w:r>
      <w:r w:rsidR="001362C4">
        <w:t xml:space="preserve"> functions and</w:t>
      </w:r>
      <w:r>
        <w:t xml:space="preserve"> powers without interference, </w:t>
      </w:r>
      <w:r w:rsidR="00F979A6">
        <w:t xml:space="preserve">the </w:t>
      </w:r>
      <w:r w:rsidR="004B1861">
        <w:t>Bill specifies</w:t>
      </w:r>
      <w:r w:rsidR="00F979A6">
        <w:t xml:space="preserve"> that a small business restructuring practitioner cannot exercise any powers </w:t>
      </w:r>
      <w:r w:rsidR="004B1861">
        <w:t>without</w:t>
      </w:r>
      <w:r w:rsidR="00F979A6">
        <w:t xml:space="preserve"> approval from the special administrator. </w:t>
      </w:r>
      <w:r w:rsidR="00F979A6">
        <w:rPr>
          <w:rStyle w:val="Referencingstyle"/>
        </w:rPr>
        <w:t xml:space="preserve">[Schedule </w:t>
      </w:r>
      <w:r w:rsidR="00195AF8">
        <w:rPr>
          <w:rStyle w:val="Referencingstyle"/>
        </w:rPr>
        <w:t>1</w:t>
      </w:r>
      <w:r w:rsidR="00F979A6">
        <w:rPr>
          <w:rStyle w:val="Referencingstyle"/>
        </w:rPr>
        <w:t>, i</w:t>
      </w:r>
      <w:r w:rsidR="00F979A6" w:rsidRPr="00375F1D">
        <w:rPr>
          <w:rStyle w:val="Referencingstyle"/>
        </w:rPr>
        <w:t>tem</w:t>
      </w:r>
      <w:r w:rsidR="003074FD">
        <w:rPr>
          <w:rStyle w:val="Referencingstyle"/>
        </w:rPr>
        <w:t xml:space="preserve">s </w:t>
      </w:r>
      <w:r w:rsidR="008702B9">
        <w:rPr>
          <w:rStyle w:val="Referencingstyle"/>
        </w:rPr>
        <w:t>9, 10, 12</w:t>
      </w:r>
      <w:r w:rsidR="003074FD">
        <w:rPr>
          <w:rStyle w:val="Referencingstyle"/>
        </w:rPr>
        <w:t xml:space="preserve"> </w:t>
      </w:r>
      <w:r w:rsidR="008702B9">
        <w:rPr>
          <w:rStyle w:val="Referencingstyle"/>
        </w:rPr>
        <w:t>and</w:t>
      </w:r>
      <w:r w:rsidR="003074FD">
        <w:rPr>
          <w:rStyle w:val="Referencingstyle"/>
        </w:rPr>
        <w:t xml:space="preserve"> 13</w:t>
      </w:r>
      <w:r w:rsidR="00F979A6" w:rsidRPr="00375F1D">
        <w:rPr>
          <w:rStyle w:val="Referencingstyle"/>
        </w:rPr>
        <w:t xml:space="preserve">, sections </w:t>
      </w:r>
      <w:r w:rsidR="00FA06FE">
        <w:rPr>
          <w:rStyle w:val="Referencingstyle"/>
        </w:rPr>
        <w:t>496</w:t>
      </w:r>
      <w:r w:rsidR="0076668F">
        <w:rPr>
          <w:rStyle w:val="Referencingstyle"/>
        </w:rPr>
        <w:noBreakHyphen/>
      </w:r>
      <w:r w:rsidR="00FA06FE">
        <w:rPr>
          <w:rStyle w:val="Referencingstyle"/>
        </w:rPr>
        <w:t>10</w:t>
      </w:r>
      <w:r w:rsidR="003074FD">
        <w:rPr>
          <w:rStyle w:val="Referencingstyle"/>
        </w:rPr>
        <w:t>(</w:t>
      </w:r>
      <w:r w:rsidR="008702B9">
        <w:rPr>
          <w:rStyle w:val="Referencingstyle"/>
        </w:rPr>
        <w:t>6)</w:t>
      </w:r>
      <w:r w:rsidR="00FA06FE">
        <w:rPr>
          <w:rStyle w:val="Referencingstyle"/>
        </w:rPr>
        <w:t xml:space="preserve"> and </w:t>
      </w:r>
      <w:r w:rsidR="0076668F">
        <w:rPr>
          <w:rStyle w:val="Referencingstyle"/>
        </w:rPr>
        <w:t>(7)</w:t>
      </w:r>
      <w:r w:rsidR="00FA06FE">
        <w:rPr>
          <w:rStyle w:val="Referencingstyle"/>
        </w:rPr>
        <w:t xml:space="preserve"> and 496-15</w:t>
      </w:r>
      <w:r w:rsidR="003074FD">
        <w:rPr>
          <w:rStyle w:val="Referencingstyle"/>
        </w:rPr>
        <w:t>(6)</w:t>
      </w:r>
      <w:r w:rsidR="00F979A6" w:rsidRPr="00375F1D">
        <w:rPr>
          <w:rStyle w:val="Referencingstyle"/>
        </w:rPr>
        <w:t xml:space="preserve"> of </w:t>
      </w:r>
      <w:r w:rsidR="00C60C0C">
        <w:rPr>
          <w:rStyle w:val="Referencingstyle"/>
        </w:rPr>
        <w:t>the Corporations (Aboriginal and Torres Strait Islander)</w:t>
      </w:r>
      <w:r w:rsidR="008D53D5">
        <w:rPr>
          <w:rStyle w:val="Referencingstyle"/>
        </w:rPr>
        <w:t xml:space="preserve"> </w:t>
      </w:r>
      <w:r w:rsidR="00F979A6" w:rsidRPr="00375F1D">
        <w:rPr>
          <w:rStyle w:val="Referencingstyle"/>
        </w:rPr>
        <w:t>Act</w:t>
      </w:r>
      <w:r w:rsidR="00C60C0C">
        <w:rPr>
          <w:rStyle w:val="Referencingstyle"/>
        </w:rPr>
        <w:t xml:space="preserve"> 200</w:t>
      </w:r>
      <w:r w:rsidR="00E2365A">
        <w:rPr>
          <w:rStyle w:val="Referencingstyle"/>
        </w:rPr>
        <w:t>6</w:t>
      </w:r>
      <w:r w:rsidR="00F979A6" w:rsidRPr="00375F1D">
        <w:rPr>
          <w:rStyle w:val="Referencingstyle"/>
        </w:rPr>
        <w:t>]</w:t>
      </w:r>
    </w:p>
    <w:p w14:paraId="010B4574" w14:textId="63C10806" w:rsidR="00205A11" w:rsidRDefault="00FA3B58" w:rsidP="00C67B6B">
      <w:pPr>
        <w:pStyle w:val="base-text-paragraph"/>
        <w:numPr>
          <w:ilvl w:val="1"/>
          <w:numId w:val="4"/>
        </w:numPr>
      </w:pPr>
      <w:r>
        <w:t xml:space="preserve">Despite needing </w:t>
      </w:r>
      <w:r w:rsidR="00A3458B">
        <w:t>the special administrator’s consent</w:t>
      </w:r>
      <w:r>
        <w:t xml:space="preserve"> before exercising any power</w:t>
      </w:r>
      <w:r w:rsidR="00A3458B">
        <w:t>s</w:t>
      </w:r>
      <w:r w:rsidR="000F3448">
        <w:t xml:space="preserve">, </w:t>
      </w:r>
      <w:r>
        <w:t>the amendments</w:t>
      </w:r>
      <w:r w:rsidR="000F3448">
        <w:t xml:space="preserve"> </w:t>
      </w:r>
      <w:r w:rsidR="00CE5F8B">
        <w:t>specify</w:t>
      </w:r>
      <w:r w:rsidR="000F3448">
        <w:t xml:space="preserve"> that anything the small business restructuring practitioner does after special administration commences</w:t>
      </w:r>
      <w:r w:rsidR="00F46EB4">
        <w:t xml:space="preserve"> (and before notice is given by the Registrar)</w:t>
      </w:r>
      <w:r w:rsidR="000F3448">
        <w:t xml:space="preserve"> </w:t>
      </w:r>
      <w:r w:rsidR="00A3458B">
        <w:t xml:space="preserve">is still valid. </w:t>
      </w:r>
      <w:r w:rsidR="00F46EB4">
        <w:t xml:space="preserve">This is to ensure certainty </w:t>
      </w:r>
      <w:r w:rsidR="00CE5F8B">
        <w:t>for actions taken by small business restructuring practitioners before notice is given of the special administration.</w:t>
      </w:r>
      <w:r w:rsidR="000F3448">
        <w:t xml:space="preserve"> </w:t>
      </w:r>
      <w:r w:rsidR="00205A11">
        <w:rPr>
          <w:rStyle w:val="Referencingstyle"/>
        </w:rPr>
        <w:t>[Schedule</w:t>
      </w:r>
      <w:r w:rsidR="0076668F">
        <w:rPr>
          <w:rStyle w:val="Referencingstyle"/>
        </w:rPr>
        <w:t> 1</w:t>
      </w:r>
      <w:r w:rsidR="00205A11">
        <w:rPr>
          <w:rStyle w:val="Referencingstyle"/>
        </w:rPr>
        <w:t>, i</w:t>
      </w:r>
      <w:r w:rsidR="00205A11" w:rsidRPr="00375F1D">
        <w:rPr>
          <w:rStyle w:val="Referencingstyle"/>
        </w:rPr>
        <w:t>tem</w:t>
      </w:r>
      <w:r w:rsidR="008702B9">
        <w:rPr>
          <w:rStyle w:val="Referencingstyle"/>
        </w:rPr>
        <w:t>s 11 and 14</w:t>
      </w:r>
      <w:r w:rsidR="00205A11" w:rsidRPr="00375F1D">
        <w:rPr>
          <w:rStyle w:val="Referencingstyle"/>
        </w:rPr>
        <w:t xml:space="preserve">, sections </w:t>
      </w:r>
      <w:r w:rsidR="00205A11">
        <w:rPr>
          <w:rStyle w:val="Referencingstyle"/>
        </w:rPr>
        <w:t>496-10</w:t>
      </w:r>
      <w:r w:rsidR="008702B9">
        <w:rPr>
          <w:rStyle w:val="Referencingstyle"/>
        </w:rPr>
        <w:t>(7)(c)</w:t>
      </w:r>
      <w:r w:rsidR="00205A11">
        <w:rPr>
          <w:rStyle w:val="Referencingstyle"/>
        </w:rPr>
        <w:t xml:space="preserve"> and 496-15</w:t>
      </w:r>
      <w:r w:rsidR="008702B9">
        <w:rPr>
          <w:rStyle w:val="Referencingstyle"/>
        </w:rPr>
        <w:t>(7)(c)</w:t>
      </w:r>
      <w:r w:rsidR="00205A11" w:rsidRPr="00375F1D">
        <w:rPr>
          <w:rStyle w:val="Referencingstyle"/>
        </w:rPr>
        <w:t xml:space="preserve"> of </w:t>
      </w:r>
      <w:r w:rsidR="00205A11">
        <w:rPr>
          <w:rStyle w:val="Referencingstyle"/>
        </w:rPr>
        <w:t>the Corporations (Aboriginal and Torres Strait Islander) Act 2006</w:t>
      </w:r>
      <w:r w:rsidR="00205A11" w:rsidRPr="00375F1D">
        <w:rPr>
          <w:rStyle w:val="Referencingstyle"/>
        </w:rPr>
        <w:t>]</w:t>
      </w:r>
    </w:p>
    <w:p w14:paraId="56875338" w14:textId="516642C4" w:rsidR="001E696A" w:rsidRDefault="001E696A" w:rsidP="00740EBE">
      <w:pPr>
        <w:pStyle w:val="Heading4"/>
      </w:pPr>
      <w:r>
        <w:t>Appeals from decisions of a small business restructuring practitioner</w:t>
      </w:r>
    </w:p>
    <w:p w14:paraId="030D49E4" w14:textId="1EB08192" w:rsidR="000079CD" w:rsidRDefault="001E696A" w:rsidP="00C67B6B">
      <w:pPr>
        <w:pStyle w:val="base-text-paragraph"/>
        <w:numPr>
          <w:ilvl w:val="1"/>
          <w:numId w:val="4"/>
        </w:numPr>
      </w:pPr>
      <w:r>
        <w:t xml:space="preserve">Section 576-10 of the CATSI Act enables a person who is aggrieved by </w:t>
      </w:r>
      <w:r w:rsidR="00003836">
        <w:t>acts, omissions or decisions made by</w:t>
      </w:r>
      <w:r>
        <w:t xml:space="preserve"> a special administrator, receiver, a Corporations Act administrator or liquidator to appeal to the Court. </w:t>
      </w:r>
    </w:p>
    <w:p w14:paraId="741021F0" w14:textId="7900B7F8" w:rsidR="001E696A" w:rsidRDefault="000079CD" w:rsidP="00C67B6B">
      <w:pPr>
        <w:pStyle w:val="base-text-paragraph"/>
        <w:numPr>
          <w:ilvl w:val="1"/>
          <w:numId w:val="4"/>
        </w:numPr>
      </w:pPr>
      <w:r>
        <w:lastRenderedPageBreak/>
        <w:t xml:space="preserve">The amendments extend this provision to include a small business restructuring practitioner. In effect, a person </w:t>
      </w:r>
      <w:r w:rsidR="00326E3F">
        <w:t xml:space="preserve">can appeal to the Court if they </w:t>
      </w:r>
      <w:r w:rsidR="009F122F">
        <w:t>are</w:t>
      </w:r>
      <w:r w:rsidR="00326E3F">
        <w:t xml:space="preserve"> </w:t>
      </w:r>
      <w:r>
        <w:t>aggrie</w:t>
      </w:r>
      <w:r w:rsidR="00003836">
        <w:t xml:space="preserve">ved by </w:t>
      </w:r>
      <w:r w:rsidR="00326E3F">
        <w:t xml:space="preserve">any </w:t>
      </w:r>
      <w:r w:rsidR="00003836">
        <w:t xml:space="preserve">acts, omissions or decisions made by a small business restructuring practitioner </w:t>
      </w:r>
      <w:r w:rsidR="008C68A2">
        <w:t xml:space="preserve">either during restructuring or while a restructuring plan is </w:t>
      </w:r>
      <w:r w:rsidR="00003836">
        <w:t xml:space="preserve">in </w:t>
      </w:r>
      <w:r w:rsidR="008C68A2">
        <w:t>place</w:t>
      </w:r>
      <w:r w:rsidR="00003836">
        <w:t xml:space="preserve">. </w:t>
      </w:r>
      <w:r w:rsidR="00003836">
        <w:rPr>
          <w:rStyle w:val="Referencingstyle"/>
        </w:rPr>
        <w:t xml:space="preserve">[Schedule </w:t>
      </w:r>
      <w:r w:rsidR="008D435B">
        <w:rPr>
          <w:rStyle w:val="Referencingstyle"/>
        </w:rPr>
        <w:t>1</w:t>
      </w:r>
      <w:r w:rsidR="00003836">
        <w:rPr>
          <w:rStyle w:val="Referencingstyle"/>
        </w:rPr>
        <w:t>, i</w:t>
      </w:r>
      <w:r w:rsidR="00003836" w:rsidRPr="00375F1D">
        <w:rPr>
          <w:rStyle w:val="Referencingstyle"/>
        </w:rPr>
        <w:t xml:space="preserve">tem </w:t>
      </w:r>
      <w:r w:rsidR="00003836">
        <w:rPr>
          <w:rStyle w:val="Referencingstyle"/>
        </w:rPr>
        <w:t>16</w:t>
      </w:r>
      <w:r w:rsidR="00003836" w:rsidRPr="00375F1D">
        <w:rPr>
          <w:rStyle w:val="Referencingstyle"/>
        </w:rPr>
        <w:t>, section</w:t>
      </w:r>
      <w:r w:rsidR="00003836">
        <w:rPr>
          <w:rStyle w:val="Referencingstyle"/>
        </w:rPr>
        <w:t xml:space="preserve"> 576-10(1)</w:t>
      </w:r>
      <w:r w:rsidR="00003836" w:rsidRPr="00375F1D">
        <w:rPr>
          <w:rStyle w:val="Referencingstyle"/>
        </w:rPr>
        <w:t xml:space="preserve"> of</w:t>
      </w:r>
      <w:r w:rsidR="00003836">
        <w:rPr>
          <w:rStyle w:val="Referencingstyle"/>
        </w:rPr>
        <w:t xml:space="preserve"> Corporations (Aboriginal and Torres Strait Islander) Act 2006</w:t>
      </w:r>
      <w:r w:rsidR="00003836" w:rsidRPr="00375F1D">
        <w:rPr>
          <w:rStyle w:val="Referencingstyle"/>
        </w:rPr>
        <w:t>]</w:t>
      </w:r>
    </w:p>
    <w:p w14:paraId="4875C4B1" w14:textId="2D228151" w:rsidR="00740EBE" w:rsidRDefault="0072522B" w:rsidP="00740EBE">
      <w:pPr>
        <w:pStyle w:val="Heading4"/>
      </w:pPr>
      <w:r>
        <w:t xml:space="preserve">Relief from liability </w:t>
      </w:r>
      <w:r w:rsidR="003A6AA9">
        <w:t>for</w:t>
      </w:r>
      <w:r w:rsidR="00936D72">
        <w:t xml:space="preserve"> directors of Aboriginal and Torres Strait Islander corporations</w:t>
      </w:r>
    </w:p>
    <w:p w14:paraId="69078FCB" w14:textId="5C58250C" w:rsidR="00740EBE" w:rsidRDefault="00D64567" w:rsidP="00C67B6B">
      <w:pPr>
        <w:pStyle w:val="base-text-paragraph"/>
        <w:numPr>
          <w:ilvl w:val="1"/>
          <w:numId w:val="4"/>
        </w:numPr>
      </w:pPr>
      <w:r>
        <w:t xml:space="preserve">Section 588G of the Corporations Act </w:t>
      </w:r>
      <w:r w:rsidR="00687D62">
        <w:t xml:space="preserve">states that a director commits an offence if they fail to prevent </w:t>
      </w:r>
      <w:r w:rsidR="00B322CC">
        <w:t xml:space="preserve">a company from trading while the company is insolvent. </w:t>
      </w:r>
      <w:r>
        <w:t>However, s</w:t>
      </w:r>
      <w:r w:rsidR="0072522B">
        <w:t xml:space="preserve">ection 386-60 of the CATSI Act </w:t>
      </w:r>
      <w:r w:rsidR="00401988">
        <w:t>allows</w:t>
      </w:r>
      <w:r w:rsidR="0072522B">
        <w:t xml:space="preserve"> the court </w:t>
      </w:r>
      <w:r w:rsidR="00401988">
        <w:t>to provide relief</w:t>
      </w:r>
      <w:r w:rsidR="0072522B">
        <w:t xml:space="preserve"> </w:t>
      </w:r>
      <w:r w:rsidR="006D7CA6">
        <w:t xml:space="preserve">from liability </w:t>
      </w:r>
      <w:r w:rsidR="00012BE6">
        <w:t xml:space="preserve">for </w:t>
      </w:r>
      <w:r w:rsidR="0072522B">
        <w:t xml:space="preserve">a </w:t>
      </w:r>
      <w:r w:rsidR="00C87FC6">
        <w:t xml:space="preserve">director </w:t>
      </w:r>
      <w:r w:rsidR="00A26792">
        <w:t xml:space="preserve">of an Aboriginal and Torres Strait Islander corporation </w:t>
      </w:r>
      <w:r w:rsidR="00B322CC">
        <w:t>who contravenes section 588G of the Corporations Act</w:t>
      </w:r>
      <w:r>
        <w:t xml:space="preserve"> </w:t>
      </w:r>
      <w:r w:rsidR="00131742">
        <w:t xml:space="preserve">if </w:t>
      </w:r>
      <w:r w:rsidR="0072522B">
        <w:t xml:space="preserve">they had acted honestly and </w:t>
      </w:r>
      <w:r w:rsidR="00FC3A0A">
        <w:t xml:space="preserve">should </w:t>
      </w:r>
      <w:r w:rsidR="00012BE6">
        <w:t>be fairly excused for the contravention.</w:t>
      </w:r>
    </w:p>
    <w:p w14:paraId="4BD702B1" w14:textId="251BD017" w:rsidR="006E3955" w:rsidRDefault="001129E8" w:rsidP="00C67B6B">
      <w:pPr>
        <w:pStyle w:val="base-text-paragraph"/>
        <w:numPr>
          <w:ilvl w:val="1"/>
          <w:numId w:val="4"/>
        </w:numPr>
      </w:pPr>
      <w:r>
        <w:t xml:space="preserve">When </w:t>
      </w:r>
      <w:r w:rsidR="006E3955">
        <w:t>determining whether a director should be fairly excused for contravening section 588G of the Corporations Act</w:t>
      </w:r>
      <w:r w:rsidR="00F23B3E">
        <w:t>, the Court is to have regard to a list of matters</w:t>
      </w:r>
      <w:r w:rsidR="00F04DE0">
        <w:t xml:space="preserve"> set out in section 386-60</w:t>
      </w:r>
      <w:r w:rsidR="00401988">
        <w:t xml:space="preserve">. </w:t>
      </w:r>
      <w:r w:rsidR="00765064">
        <w:t>T</w:t>
      </w:r>
      <w:r w:rsidR="00401988">
        <w:t>he</w:t>
      </w:r>
      <w:r w:rsidR="00401988" w:rsidDel="00F04DE0">
        <w:t xml:space="preserve"> </w:t>
      </w:r>
      <w:r w:rsidR="00F04DE0">
        <w:t xml:space="preserve">Bill </w:t>
      </w:r>
      <w:r w:rsidR="00281209">
        <w:t>add</w:t>
      </w:r>
      <w:r w:rsidR="00F04DE0">
        <w:t>s</w:t>
      </w:r>
      <w:r w:rsidR="00281209">
        <w:t xml:space="preserve"> </w:t>
      </w:r>
      <w:r w:rsidR="008A565D">
        <w:t xml:space="preserve">that regard should be had for any action the director </w:t>
      </w:r>
      <w:r w:rsidR="00F04DE0">
        <w:t xml:space="preserve">of an Aboriginal and Torres Strait Islander corporation </w:t>
      </w:r>
      <w:r w:rsidR="008A565D">
        <w:t xml:space="preserve">took </w:t>
      </w:r>
      <w:r w:rsidR="00BE4756">
        <w:t xml:space="preserve">concerning the appointment of </w:t>
      </w:r>
      <w:r w:rsidR="008A565D">
        <w:t>a small business restructuring practitioner.</w:t>
      </w:r>
      <w:r w:rsidR="00332DF4">
        <w:t xml:space="preserve"> </w:t>
      </w:r>
      <w:r w:rsidR="00026CCB">
        <w:t xml:space="preserve">This ensures </w:t>
      </w:r>
      <w:r w:rsidR="004C1FBD">
        <w:t>that</w:t>
      </w:r>
      <w:r w:rsidR="00975979">
        <w:t xml:space="preserve"> the Court gives similar consideration </w:t>
      </w:r>
      <w:r w:rsidR="000F49B1">
        <w:t>for</w:t>
      </w:r>
      <w:r w:rsidR="00975979">
        <w:t xml:space="preserve"> </w:t>
      </w:r>
      <w:r w:rsidR="00302266">
        <w:t>directors who</w:t>
      </w:r>
      <w:r w:rsidR="00686A53">
        <w:t xml:space="preserve">, in </w:t>
      </w:r>
      <w:r w:rsidR="00302266">
        <w:t>contraven</w:t>
      </w:r>
      <w:r w:rsidR="00686A53">
        <w:t>ing</w:t>
      </w:r>
      <w:r w:rsidR="00302266">
        <w:t xml:space="preserve"> section 588G</w:t>
      </w:r>
      <w:r w:rsidR="00686A53">
        <w:t>,</w:t>
      </w:r>
      <w:r w:rsidR="00302266">
        <w:t xml:space="preserve"> </w:t>
      </w:r>
      <w:r w:rsidR="00686A53">
        <w:t>intended</w:t>
      </w:r>
      <w:r w:rsidR="00302266">
        <w:t xml:space="preserve"> to appoint </w:t>
      </w:r>
      <w:r w:rsidR="004C1FBD">
        <w:t>small business restructuring practitioners</w:t>
      </w:r>
      <w:r w:rsidR="00302266">
        <w:t xml:space="preserve"> </w:t>
      </w:r>
      <w:r w:rsidR="003C140E">
        <w:t>alongside</w:t>
      </w:r>
      <w:r w:rsidR="004C1FBD">
        <w:t xml:space="preserve"> </w:t>
      </w:r>
      <w:r w:rsidR="003C140E">
        <w:t>directors</w:t>
      </w:r>
      <w:r w:rsidR="004C1FBD">
        <w:t xml:space="preserve"> who </w:t>
      </w:r>
      <w:r w:rsidR="00686A53">
        <w:t>took the view</w:t>
      </w:r>
      <w:r w:rsidR="004C1FBD">
        <w:t xml:space="preserve"> to appoint special administrators or Corporations Act administrators.</w:t>
      </w:r>
      <w:r w:rsidR="00332DF4">
        <w:t xml:space="preserve"> </w:t>
      </w:r>
      <w:r w:rsidR="00FB19A9">
        <w:rPr>
          <w:rStyle w:val="Referencingstyle"/>
        </w:rPr>
        <w:t xml:space="preserve">[Schedule </w:t>
      </w:r>
      <w:r w:rsidR="006F4127">
        <w:rPr>
          <w:rStyle w:val="Referencingstyle"/>
        </w:rPr>
        <w:t>1</w:t>
      </w:r>
      <w:r w:rsidR="00FB19A9">
        <w:rPr>
          <w:rStyle w:val="Referencingstyle"/>
        </w:rPr>
        <w:t>, i</w:t>
      </w:r>
      <w:r w:rsidR="00FB19A9" w:rsidRPr="00375F1D">
        <w:rPr>
          <w:rStyle w:val="Referencingstyle"/>
        </w:rPr>
        <w:t xml:space="preserve">tem </w:t>
      </w:r>
      <w:r w:rsidR="002F4742">
        <w:rPr>
          <w:rStyle w:val="Referencingstyle"/>
        </w:rPr>
        <w:t>4</w:t>
      </w:r>
      <w:r w:rsidR="00FB19A9" w:rsidRPr="00375F1D">
        <w:rPr>
          <w:rStyle w:val="Referencingstyle"/>
        </w:rPr>
        <w:t>, section</w:t>
      </w:r>
      <w:r w:rsidR="00FB19A9">
        <w:rPr>
          <w:rStyle w:val="Referencingstyle"/>
        </w:rPr>
        <w:t xml:space="preserve"> 386-60</w:t>
      </w:r>
      <w:r w:rsidR="002F4742">
        <w:rPr>
          <w:rStyle w:val="Referencingstyle"/>
        </w:rPr>
        <w:t>(3)(a)(ia)</w:t>
      </w:r>
      <w:r w:rsidR="00FB19A9" w:rsidRPr="00375F1D">
        <w:rPr>
          <w:rStyle w:val="Referencingstyle"/>
        </w:rPr>
        <w:t xml:space="preserve"> of </w:t>
      </w:r>
      <w:r w:rsidR="00FB19A9">
        <w:rPr>
          <w:rStyle w:val="Referencingstyle"/>
        </w:rPr>
        <w:t>the Corporations (Aboriginal and Torres Strait Islander) Act 2006</w:t>
      </w:r>
      <w:r w:rsidR="00FB19A9" w:rsidRPr="00375F1D">
        <w:rPr>
          <w:rStyle w:val="Referencingstyle"/>
        </w:rPr>
        <w:t>]</w:t>
      </w:r>
    </w:p>
    <w:p w14:paraId="62244240" w14:textId="661DF77B" w:rsidR="00740EBE" w:rsidRDefault="002E1EDD" w:rsidP="00740EBE">
      <w:pPr>
        <w:pStyle w:val="Heading4"/>
      </w:pPr>
      <w:r>
        <w:t>Other</w:t>
      </w:r>
      <w:r w:rsidR="006F6884">
        <w:t xml:space="preserve"> amendments</w:t>
      </w:r>
    </w:p>
    <w:p w14:paraId="2AA181D5" w14:textId="55A38C12" w:rsidR="006F6884" w:rsidRDefault="006F6884" w:rsidP="00C67B6B">
      <w:pPr>
        <w:pStyle w:val="base-text-paragraph"/>
        <w:numPr>
          <w:ilvl w:val="1"/>
          <w:numId w:val="4"/>
        </w:numPr>
      </w:pPr>
      <w:r>
        <w:t>To fully integrate the debt restructuring process into the CATSI</w:t>
      </w:r>
      <w:r w:rsidR="00944C51">
        <w:t> </w:t>
      </w:r>
      <w:r>
        <w:t>Act, the following definitions have been inserted or amended:</w:t>
      </w:r>
    </w:p>
    <w:p w14:paraId="10FE8B85" w14:textId="77777777" w:rsidR="006F6884" w:rsidRPr="00064712" w:rsidRDefault="006F6884" w:rsidP="003B0BBF">
      <w:pPr>
        <w:pStyle w:val="dotpoint"/>
      </w:pPr>
      <w:r w:rsidRPr="00064712">
        <w:t xml:space="preserve">affairs; </w:t>
      </w:r>
    </w:p>
    <w:p w14:paraId="103B1734" w14:textId="77777777" w:rsidR="006F6884" w:rsidRPr="00064712" w:rsidRDefault="006F6884" w:rsidP="003B0BBF">
      <w:pPr>
        <w:pStyle w:val="dotpoint"/>
      </w:pPr>
      <w:r w:rsidRPr="00064712">
        <w:t>examinable affairs;</w:t>
      </w:r>
    </w:p>
    <w:p w14:paraId="45F5EDF9" w14:textId="77777777" w:rsidR="006F6884" w:rsidRPr="008A30C7" w:rsidRDefault="006F6884" w:rsidP="003B0BBF">
      <w:pPr>
        <w:pStyle w:val="dotpoint"/>
      </w:pPr>
      <w:r w:rsidRPr="008A30C7">
        <w:t>officer;</w:t>
      </w:r>
    </w:p>
    <w:p w14:paraId="6E308060" w14:textId="77777777" w:rsidR="00BE484F" w:rsidRPr="00DE11F2" w:rsidRDefault="006F6884" w:rsidP="003B0BBF">
      <w:pPr>
        <w:pStyle w:val="dotpoint"/>
      </w:pPr>
      <w:r w:rsidRPr="00DE11F2">
        <w:t xml:space="preserve">remuneration; </w:t>
      </w:r>
    </w:p>
    <w:p w14:paraId="06B73942" w14:textId="72207356" w:rsidR="006F6884" w:rsidRPr="00064712" w:rsidRDefault="00BE484F" w:rsidP="003B0BBF">
      <w:pPr>
        <w:pStyle w:val="dotpoint"/>
      </w:pPr>
      <w:r w:rsidRPr="00064712">
        <w:t>restructuring plan; and</w:t>
      </w:r>
      <w:r w:rsidR="006F6884" w:rsidRPr="00064712">
        <w:t xml:space="preserve"> </w:t>
      </w:r>
    </w:p>
    <w:p w14:paraId="529099A7" w14:textId="77777777" w:rsidR="006F6884" w:rsidRPr="00064712" w:rsidRDefault="006F6884" w:rsidP="003B0BBF">
      <w:pPr>
        <w:pStyle w:val="dotpoint"/>
      </w:pPr>
      <w:r w:rsidRPr="00064712">
        <w:t>restructuring practitioner.</w:t>
      </w:r>
    </w:p>
    <w:p w14:paraId="240E737C" w14:textId="4F2FCF1C" w:rsidR="00740EBE" w:rsidRDefault="006F6884" w:rsidP="003B0BBF">
      <w:pPr>
        <w:pStyle w:val="base-text-paragraph"/>
        <w:tabs>
          <w:tab w:val="clear" w:pos="1985"/>
        </w:tabs>
        <w:ind w:left="2268"/>
      </w:pPr>
      <w:r>
        <w:rPr>
          <w:rStyle w:val="Referencingstyle"/>
        </w:rPr>
        <w:t xml:space="preserve">[Schedule </w:t>
      </w:r>
      <w:r w:rsidR="006F4127">
        <w:rPr>
          <w:rStyle w:val="Referencingstyle"/>
        </w:rPr>
        <w:t>1</w:t>
      </w:r>
      <w:r>
        <w:rPr>
          <w:rStyle w:val="Referencingstyle"/>
        </w:rPr>
        <w:t>, i</w:t>
      </w:r>
      <w:r w:rsidRPr="00375F1D">
        <w:rPr>
          <w:rStyle w:val="Referencingstyle"/>
        </w:rPr>
        <w:t>tem</w:t>
      </w:r>
      <w:r w:rsidR="00D04920">
        <w:rPr>
          <w:rStyle w:val="Referencingstyle"/>
        </w:rPr>
        <w:t>s 17 to 19</w:t>
      </w:r>
      <w:r w:rsidR="00DE4136">
        <w:rPr>
          <w:rStyle w:val="Referencingstyle"/>
        </w:rPr>
        <w:t xml:space="preserve"> and</w:t>
      </w:r>
      <w:r w:rsidR="00D04920">
        <w:rPr>
          <w:rStyle w:val="Referencingstyle"/>
        </w:rPr>
        <w:t xml:space="preserve"> 21 to 23</w:t>
      </w:r>
      <w:r w:rsidRPr="00375F1D">
        <w:rPr>
          <w:rStyle w:val="Referencingstyle"/>
        </w:rPr>
        <w:t>, section</w:t>
      </w:r>
      <w:r>
        <w:rPr>
          <w:rStyle w:val="Referencingstyle"/>
        </w:rPr>
        <w:t>s 683-1</w:t>
      </w:r>
      <w:r w:rsidR="002F4742">
        <w:rPr>
          <w:rStyle w:val="Referencingstyle"/>
        </w:rPr>
        <w:t>(3)(d)(iiia)</w:t>
      </w:r>
      <w:r>
        <w:rPr>
          <w:rStyle w:val="Referencingstyle"/>
        </w:rPr>
        <w:t xml:space="preserve"> and</w:t>
      </w:r>
      <w:r w:rsidRPr="00375F1D">
        <w:rPr>
          <w:rStyle w:val="Referencingstyle"/>
        </w:rPr>
        <w:t xml:space="preserve"> </w:t>
      </w:r>
      <w:r>
        <w:rPr>
          <w:rStyle w:val="Referencingstyle"/>
        </w:rPr>
        <w:t>700-1</w:t>
      </w:r>
      <w:r w:rsidRPr="00375F1D">
        <w:rPr>
          <w:rStyle w:val="Referencingstyle"/>
        </w:rPr>
        <w:t xml:space="preserve"> of </w:t>
      </w:r>
      <w:r>
        <w:rPr>
          <w:rStyle w:val="Referencingstyle"/>
        </w:rPr>
        <w:t>the Corporations (Aboriginal and Torres Strait Islander) Act 2006</w:t>
      </w:r>
      <w:r w:rsidRPr="00375F1D">
        <w:rPr>
          <w:rStyle w:val="Referencingstyle"/>
        </w:rPr>
        <w:t>]</w:t>
      </w:r>
    </w:p>
    <w:p w14:paraId="177761C3" w14:textId="2B16FC0E" w:rsidR="00740EBE" w:rsidRDefault="002E1EDD" w:rsidP="00C67B6B">
      <w:pPr>
        <w:pStyle w:val="base-text-paragraph"/>
        <w:numPr>
          <w:ilvl w:val="1"/>
          <w:numId w:val="4"/>
        </w:numPr>
      </w:pPr>
      <w:r>
        <w:t xml:space="preserve">Additionally, minor amendments have been made to specify </w:t>
      </w:r>
      <w:r w:rsidR="00B3271A">
        <w:t xml:space="preserve">how a notice, demand, summons, writ or other document or process may </w:t>
      </w:r>
      <w:r w:rsidR="00B3271A">
        <w:lastRenderedPageBreak/>
        <w:t xml:space="preserve">be served on an Aboriginal and Torres Strait Islander corporation if a small business restructuring practitioner is appointed. </w:t>
      </w:r>
      <w:r w:rsidR="00B3271A">
        <w:rPr>
          <w:rStyle w:val="Referencingstyle"/>
        </w:rPr>
        <w:t xml:space="preserve">[Schedule </w:t>
      </w:r>
      <w:r w:rsidR="0094652D">
        <w:rPr>
          <w:rStyle w:val="Referencingstyle"/>
        </w:rPr>
        <w:t>1</w:t>
      </w:r>
      <w:r w:rsidR="00B3271A">
        <w:rPr>
          <w:rStyle w:val="Referencingstyle"/>
        </w:rPr>
        <w:t>, i</w:t>
      </w:r>
      <w:r w:rsidR="00B3271A" w:rsidRPr="00375F1D">
        <w:rPr>
          <w:rStyle w:val="Referencingstyle"/>
        </w:rPr>
        <w:t xml:space="preserve">tem </w:t>
      </w:r>
      <w:r w:rsidR="008A4349">
        <w:rPr>
          <w:rStyle w:val="Referencingstyle"/>
        </w:rPr>
        <w:t>3</w:t>
      </w:r>
      <w:r w:rsidR="00B3271A" w:rsidRPr="00375F1D">
        <w:rPr>
          <w:rStyle w:val="Referencingstyle"/>
        </w:rPr>
        <w:t>, section</w:t>
      </w:r>
      <w:r w:rsidR="00B3271A">
        <w:rPr>
          <w:rStyle w:val="Referencingstyle"/>
        </w:rPr>
        <w:t xml:space="preserve"> 120-1</w:t>
      </w:r>
      <w:r w:rsidR="008A4349">
        <w:rPr>
          <w:rStyle w:val="Referencingstyle"/>
        </w:rPr>
        <w:t>(1)(fa)</w:t>
      </w:r>
      <w:r w:rsidR="00B3271A" w:rsidRPr="00375F1D">
        <w:rPr>
          <w:rStyle w:val="Referencingstyle"/>
        </w:rPr>
        <w:t xml:space="preserve"> of </w:t>
      </w:r>
      <w:r w:rsidR="00B3271A">
        <w:rPr>
          <w:rStyle w:val="Referencingstyle"/>
        </w:rPr>
        <w:t>the Corporations (Aboriginal and Torres Strait Islander) Act 2006</w:t>
      </w:r>
      <w:r w:rsidR="00B3271A" w:rsidRPr="00375F1D">
        <w:rPr>
          <w:rStyle w:val="Referencingstyle"/>
        </w:rPr>
        <w:t>]</w:t>
      </w:r>
    </w:p>
    <w:p w14:paraId="38453ECB" w14:textId="2E05D10E" w:rsidR="00740EBE" w:rsidRDefault="00740EBE" w:rsidP="008D53D5">
      <w:pPr>
        <w:pStyle w:val="Heading3"/>
      </w:pPr>
      <w:r>
        <w:t>Simplified liquidation</w:t>
      </w:r>
      <w:r w:rsidR="008D53D5">
        <w:t xml:space="preserve"> for an Aboriginal and Torres Strait Islander corporation</w:t>
      </w:r>
    </w:p>
    <w:p w14:paraId="12E009DE" w14:textId="77777777" w:rsidR="00140634" w:rsidRDefault="00140634" w:rsidP="00140634">
      <w:pPr>
        <w:pStyle w:val="Heading4"/>
      </w:pPr>
      <w:r>
        <w:t>Records exempt from inspection and production</w:t>
      </w:r>
    </w:p>
    <w:p w14:paraId="37E75660" w14:textId="19EABBBA" w:rsidR="00140634" w:rsidRDefault="00140634" w:rsidP="00C67B6B">
      <w:pPr>
        <w:pStyle w:val="base-text-paragraph"/>
        <w:numPr>
          <w:ilvl w:val="1"/>
          <w:numId w:val="4"/>
        </w:numPr>
      </w:pPr>
      <w:r>
        <w:t>Under section 421-1 of the CATSI Act, a person may inspect any document lodged with the Registrar, unless it is an exempt document. Exempt documents include documents made by a liquidator under section 533 of the Corporations Act that contain information about offences</w:t>
      </w:r>
      <w:r w:rsidR="00D17616">
        <w:t xml:space="preserve"> or breaches</w:t>
      </w:r>
      <w:r>
        <w:t xml:space="preserve"> committed by officers of </w:t>
      </w:r>
      <w:r w:rsidR="00D17616">
        <w:t>a</w:t>
      </w:r>
      <w:r>
        <w:t xml:space="preserve"> co</w:t>
      </w:r>
      <w:r w:rsidR="006D523C">
        <w:t>rporation</w:t>
      </w:r>
      <w:r>
        <w:t xml:space="preserve">. </w:t>
      </w:r>
    </w:p>
    <w:p w14:paraId="40E97AB7" w14:textId="656B80FA" w:rsidR="00140634" w:rsidRDefault="00140634" w:rsidP="00C67B6B">
      <w:pPr>
        <w:pStyle w:val="base-text-paragraph"/>
        <w:numPr>
          <w:ilvl w:val="1"/>
          <w:numId w:val="4"/>
        </w:numPr>
      </w:pPr>
      <w:r>
        <w:t xml:space="preserve">The amendments extend the definition of ‘exempt document’ to include reports made by a liquidator under regulation 5.5.05 of the Corporations Regulations, as these reports are essentially the same as those made under section 533 of the Corporations Act. The effect of this is that </w:t>
      </w:r>
      <w:r w:rsidR="006D523C">
        <w:t xml:space="preserve">a person cannot inspect a document made by a liquidator </w:t>
      </w:r>
      <w:r w:rsidR="0086503A">
        <w:t>(</w:t>
      </w:r>
      <w:r w:rsidR="006D523C">
        <w:t>of a</w:t>
      </w:r>
      <w:r w:rsidR="00D17616">
        <w:t>n Aboriginal and Torres Strait Islander</w:t>
      </w:r>
      <w:r w:rsidR="006D523C">
        <w:t xml:space="preserve"> co</w:t>
      </w:r>
      <w:r w:rsidR="00D17616">
        <w:t>rporation</w:t>
      </w:r>
      <w:r w:rsidR="006D523C">
        <w:t xml:space="preserve"> </w:t>
      </w:r>
      <w:r w:rsidR="00D17616">
        <w:t xml:space="preserve">that is </w:t>
      </w:r>
      <w:r w:rsidR="006D523C">
        <w:t>subject to the simplified liquidation process</w:t>
      </w:r>
      <w:r w:rsidR="0086503A">
        <w:t>)</w:t>
      </w:r>
      <w:r w:rsidR="003F2444">
        <w:t>, if the</w:t>
      </w:r>
      <w:r w:rsidR="006D523C">
        <w:t xml:space="preserve"> </w:t>
      </w:r>
      <w:r w:rsidR="003F2444">
        <w:t xml:space="preserve">document </w:t>
      </w:r>
      <w:r w:rsidR="006D523C">
        <w:t>contains information about</w:t>
      </w:r>
      <w:r w:rsidR="003F2444">
        <w:t xml:space="preserve"> </w:t>
      </w:r>
      <w:r w:rsidR="00D17616">
        <w:t xml:space="preserve">offences or breaches related to the corporation. </w:t>
      </w:r>
      <w:r w:rsidR="006A1BF6">
        <w:rPr>
          <w:rStyle w:val="Referencingstyle"/>
        </w:rPr>
        <w:t xml:space="preserve">[Schedule </w:t>
      </w:r>
      <w:r w:rsidR="0094652D">
        <w:rPr>
          <w:rStyle w:val="Referencingstyle"/>
        </w:rPr>
        <w:t>1</w:t>
      </w:r>
      <w:r w:rsidR="006A1BF6">
        <w:rPr>
          <w:rStyle w:val="Referencingstyle"/>
        </w:rPr>
        <w:t>, i</w:t>
      </w:r>
      <w:r w:rsidR="006A1BF6" w:rsidRPr="00375F1D">
        <w:rPr>
          <w:rStyle w:val="Referencingstyle"/>
        </w:rPr>
        <w:t xml:space="preserve">tem </w:t>
      </w:r>
      <w:r w:rsidR="00046C86">
        <w:rPr>
          <w:rStyle w:val="Referencingstyle"/>
        </w:rPr>
        <w:t>5</w:t>
      </w:r>
      <w:r w:rsidR="006A1BF6" w:rsidRPr="00375F1D">
        <w:rPr>
          <w:rStyle w:val="Referencingstyle"/>
        </w:rPr>
        <w:t xml:space="preserve">, section </w:t>
      </w:r>
      <w:r w:rsidR="006A1BF6">
        <w:rPr>
          <w:rStyle w:val="Referencingstyle"/>
        </w:rPr>
        <w:t>421-1</w:t>
      </w:r>
      <w:r w:rsidR="00046C86">
        <w:rPr>
          <w:rStyle w:val="Referencingstyle"/>
        </w:rPr>
        <w:t>(4)</w:t>
      </w:r>
      <w:r w:rsidR="006A1BF6" w:rsidRPr="00375F1D">
        <w:rPr>
          <w:rStyle w:val="Referencingstyle"/>
        </w:rPr>
        <w:t xml:space="preserve"> of </w:t>
      </w:r>
      <w:r w:rsidR="006A1BF6">
        <w:rPr>
          <w:rStyle w:val="Referencingstyle"/>
        </w:rPr>
        <w:t>the Corporations (Aboriginal and Torres Strait Islander) Act 2006</w:t>
      </w:r>
      <w:r w:rsidR="006A1BF6" w:rsidRPr="00375F1D">
        <w:rPr>
          <w:rStyle w:val="Referencingstyle"/>
        </w:rPr>
        <w:t>]</w:t>
      </w:r>
    </w:p>
    <w:bookmarkEnd w:id="51"/>
    <w:p w14:paraId="0B90B6B2" w14:textId="24942ACC" w:rsidR="006F11E9" w:rsidRDefault="006F11E9" w:rsidP="006F11E9"/>
    <w:p w14:paraId="4C8D6748" w14:textId="710EF107" w:rsidR="00972871" w:rsidRPr="001C2F9C" w:rsidRDefault="00972871" w:rsidP="00CB5ED9">
      <w:pPr>
        <w:pStyle w:val="Heading3"/>
      </w:pPr>
    </w:p>
    <w:sectPr w:rsidR="00972871" w:rsidRPr="001C2F9C" w:rsidSect="00C10AAF">
      <w:footerReference w:type="even" r:id="rId31"/>
      <w:footerReference w:type="default" r:id="rId32"/>
      <w:footerReference w:type="first" r:id="rId33"/>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6F7D7" w14:textId="77777777" w:rsidR="000649AE" w:rsidRDefault="000649AE" w:rsidP="00C3452B">
      <w:pPr>
        <w:spacing w:before="0" w:after="0"/>
      </w:pPr>
      <w:r>
        <w:separator/>
      </w:r>
    </w:p>
  </w:endnote>
  <w:endnote w:type="continuationSeparator" w:id="0">
    <w:p w14:paraId="12116FC7" w14:textId="77777777" w:rsidR="000649AE" w:rsidRDefault="000649AE" w:rsidP="00C3452B">
      <w:pPr>
        <w:spacing w:before="0" w:after="0"/>
      </w:pPr>
      <w:r>
        <w:continuationSeparator/>
      </w:r>
    </w:p>
  </w:endnote>
  <w:endnote w:type="continuationNotice" w:id="1">
    <w:p w14:paraId="2BC6AF2B" w14:textId="77777777" w:rsidR="000649AE" w:rsidRDefault="000649A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A3C87" w14:textId="77777777" w:rsidR="0050103E" w:rsidRDefault="0050103E" w:rsidP="00DE742D">
    <w:pPr>
      <w:pStyle w:val="leftfoote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CE094" w14:textId="28267742" w:rsidR="0050103E" w:rsidRDefault="0050103E" w:rsidP="00DE742D">
    <w:pPr>
      <w:pStyle w:val="leftfooter"/>
    </w:pPr>
    <w:r>
      <w:fldChar w:fldCharType="begin"/>
    </w:r>
    <w:r>
      <w:instrText xml:space="preserve"> PAGE   \* MERGEFORMAT </w:instrText>
    </w:r>
    <w:r>
      <w:fldChar w:fldCharType="separate"/>
    </w:r>
    <w:r w:rsidR="0084054B">
      <w:rPr>
        <w:noProof/>
      </w:rPr>
      <w:t>4</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DCC0B" w14:textId="69F81D00" w:rsidR="0050103E" w:rsidRDefault="0050103E" w:rsidP="00DE742D">
    <w:pPr>
      <w:pStyle w:val="rightfooter"/>
    </w:pPr>
    <w:r>
      <w:fldChar w:fldCharType="begin"/>
    </w:r>
    <w:r>
      <w:instrText xml:space="preserve"> PAGE   \* MERGEFORMAT </w:instrText>
    </w:r>
    <w:r>
      <w:fldChar w:fldCharType="separate"/>
    </w:r>
    <w:r w:rsidR="00C94785">
      <w:rPr>
        <w:noProof/>
      </w:rPr>
      <w:t>5</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95CF2" w14:textId="3EB23F89" w:rsidR="0050103E" w:rsidRDefault="0050103E" w:rsidP="00DE742D">
    <w:pPr>
      <w:pStyle w:val="rightfooter"/>
    </w:pPr>
    <w:r>
      <w:fldChar w:fldCharType="begin"/>
    </w:r>
    <w:r>
      <w:instrText xml:space="preserve"> PAGE  \* Arabic  \* MERGEFORMAT </w:instrText>
    </w:r>
    <w:r>
      <w:fldChar w:fldCharType="separate"/>
    </w:r>
    <w:r w:rsidR="0084054B">
      <w:rPr>
        <w:noProof/>
      </w:rPr>
      <w:t>3</w:t>
    </w:r>
    <w:r>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ECDF2" w14:textId="00BD8585" w:rsidR="0050103E" w:rsidRDefault="0050103E" w:rsidP="00E06030">
    <w:pPr>
      <w:pStyle w:val="leftfooter"/>
    </w:pPr>
    <w:r>
      <w:fldChar w:fldCharType="begin"/>
    </w:r>
    <w:r>
      <w:instrText xml:space="preserve"> PAGE   \* MERGEFORMAT </w:instrText>
    </w:r>
    <w:r>
      <w:fldChar w:fldCharType="separate"/>
    </w:r>
    <w:r w:rsidR="000E7AD1">
      <w:rPr>
        <w:noProof/>
      </w:rPr>
      <w:t>10</w:t>
    </w:r>
    <w:r>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373B6" w14:textId="54B7894D" w:rsidR="0050103E" w:rsidRDefault="0050103E" w:rsidP="00E06030">
    <w:pPr>
      <w:pStyle w:val="rightfooter"/>
    </w:pPr>
    <w:r>
      <w:fldChar w:fldCharType="begin"/>
    </w:r>
    <w:r>
      <w:instrText xml:space="preserve"> PAGE   \* MERGEFORMAT </w:instrText>
    </w:r>
    <w:r>
      <w:fldChar w:fldCharType="separate"/>
    </w:r>
    <w:r w:rsidR="000E7AD1">
      <w:rPr>
        <w:noProof/>
      </w:rPr>
      <w:t>11</w:t>
    </w:r>
    <w:r>
      <w:rPr>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EFFDB" w14:textId="070BF62A" w:rsidR="0050103E" w:rsidRDefault="0050103E" w:rsidP="00E06030">
    <w:pPr>
      <w:pStyle w:val="rightfooter"/>
    </w:pPr>
    <w:r>
      <w:fldChar w:fldCharType="begin"/>
    </w:r>
    <w:r>
      <w:instrText xml:space="preserve"> PAGE  \* Arabic  \* MERGEFORMAT </w:instrText>
    </w:r>
    <w:r>
      <w:fldChar w:fldCharType="separate"/>
    </w:r>
    <w:r w:rsidR="0084054B">
      <w:rPr>
        <w:noProof/>
      </w:rPr>
      <w:t>5</w:t>
    </w:r>
    <w:r>
      <w:rPr>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8E2D2" w14:textId="6E72111C" w:rsidR="0050103E" w:rsidRDefault="0050103E" w:rsidP="00DE742D">
    <w:pPr>
      <w:pStyle w:val="leftfooter"/>
    </w:pPr>
    <w:r>
      <w:fldChar w:fldCharType="begin"/>
    </w:r>
    <w:r>
      <w:instrText xml:space="preserve"> PAGE   \* MERGEFORMAT </w:instrText>
    </w:r>
    <w:r>
      <w:fldChar w:fldCharType="separate"/>
    </w:r>
    <w:r w:rsidR="000E7AD1">
      <w:rPr>
        <w:noProof/>
      </w:rPr>
      <w:t>14</w:t>
    </w:r>
    <w:r>
      <w:rPr>
        <w:noProof/>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60" w:name="_Hlk26336195"/>
  <w:bookmarkStart w:id="61" w:name="_Hlk26336196"/>
  <w:bookmarkStart w:id="62" w:name="_Hlk26336199"/>
  <w:bookmarkStart w:id="63" w:name="_Hlk26336200"/>
  <w:p w14:paraId="74AA1774" w14:textId="190D9695" w:rsidR="0050103E" w:rsidRDefault="0050103E" w:rsidP="00DE742D">
    <w:pPr>
      <w:pStyle w:val="rightfooter"/>
    </w:pPr>
    <w:r>
      <w:fldChar w:fldCharType="begin"/>
    </w:r>
    <w:r>
      <w:instrText xml:space="preserve"> PAGE   \* MERGEFORMAT </w:instrText>
    </w:r>
    <w:r>
      <w:fldChar w:fldCharType="separate"/>
    </w:r>
    <w:r w:rsidR="000E7AD1">
      <w:rPr>
        <w:noProof/>
      </w:rPr>
      <w:t>15</w:t>
    </w:r>
    <w:r>
      <w:rPr>
        <w:noProof/>
      </w:rPr>
      <w:fldChar w:fldCharType="end"/>
    </w:r>
    <w:bookmarkEnd w:id="60"/>
    <w:bookmarkEnd w:id="61"/>
    <w:bookmarkEnd w:id="62"/>
    <w:bookmarkEnd w:id="63"/>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64" w:name="_Hlk26336197"/>
  <w:bookmarkStart w:id="65" w:name="_Hlk26336198"/>
  <w:p w14:paraId="4BCC7B03" w14:textId="69739FE9" w:rsidR="0050103E" w:rsidRDefault="0050103E" w:rsidP="00DE742D">
    <w:pPr>
      <w:pStyle w:val="rightfooter"/>
    </w:pPr>
    <w:r>
      <w:fldChar w:fldCharType="begin"/>
    </w:r>
    <w:r>
      <w:instrText xml:space="preserve"> PAGE  \* Arabic  \* MERGEFORMAT </w:instrText>
    </w:r>
    <w:r>
      <w:fldChar w:fldCharType="separate"/>
    </w:r>
    <w:r w:rsidR="000E7AD1">
      <w:rPr>
        <w:noProof/>
      </w:rPr>
      <w:t>13</w:t>
    </w:r>
    <w:r>
      <w:rPr>
        <w:noProof/>
      </w:rPr>
      <w:fldChar w:fldCharType="end"/>
    </w:r>
    <w:bookmarkEnd w:id="64"/>
    <w:bookmarkEnd w:id="6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5" w:name="_Hlk26336147"/>
  <w:bookmarkStart w:id="6" w:name="_Hlk26336148"/>
  <w:bookmarkStart w:id="7" w:name="_Hlk26336151"/>
  <w:bookmarkStart w:id="8" w:name="_Hlk26336152"/>
  <w:p w14:paraId="59644592" w14:textId="77777777" w:rsidR="0050103E" w:rsidRDefault="0050103E" w:rsidP="00DE742D">
    <w:pPr>
      <w:pStyle w:val="rightfooter"/>
    </w:pPr>
    <w:r>
      <w:fldChar w:fldCharType="begin"/>
    </w:r>
    <w:r>
      <w:instrText xml:space="preserve"> PAGE   \* MERGEFORMAT </w:instrText>
    </w:r>
    <w:r>
      <w:fldChar w:fldCharType="separate"/>
    </w:r>
    <w:r>
      <w:rPr>
        <w:noProof/>
      </w:rPr>
      <w:t>5</w:t>
    </w:r>
    <w:r>
      <w:rPr>
        <w:noProof/>
      </w:rPr>
      <w:fldChar w:fldCharType="end"/>
    </w:r>
    <w:bookmarkEnd w:id="5"/>
    <w:bookmarkEnd w:id="6"/>
    <w:bookmarkEnd w:id="7"/>
    <w:bookmarkEnd w:id="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FC54E" w14:textId="77777777" w:rsidR="0050103E" w:rsidRDefault="0050103E">
    <w:pPr>
      <w:pStyle w:val="Footer"/>
    </w:pPr>
    <w:bookmarkStart w:id="11" w:name="_Hlk26336149"/>
    <w:bookmarkStart w:id="12" w:name="_Hlk26336150"/>
    <w:bookmarkEnd w:id="11"/>
    <w:bookmarkEnd w:id="12"/>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05CC4" w14:textId="77777777" w:rsidR="0050103E" w:rsidRDefault="0050103E" w:rsidP="00DE742D">
    <w:pPr>
      <w:pStyle w:val="leftfooter"/>
    </w:pPr>
    <w:r>
      <w:fldChar w:fldCharType="begin"/>
    </w:r>
    <w:r>
      <w:instrText xml:space="preserve"> PAGE   \* MERGEFORMAT </w:instrText>
    </w:r>
    <w:r>
      <w:fldChar w:fldCharType="separate"/>
    </w:r>
    <w:r>
      <w:rPr>
        <w:noProof/>
      </w:rPr>
      <w:t>4</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7" w:name="_Hlk26336159"/>
  <w:bookmarkStart w:id="18" w:name="_Hlk26336160"/>
  <w:bookmarkStart w:id="19" w:name="_Hlk26336163"/>
  <w:bookmarkStart w:id="20" w:name="_Hlk26336164"/>
  <w:p w14:paraId="6E05F78E" w14:textId="77777777" w:rsidR="0050103E" w:rsidRDefault="0050103E" w:rsidP="00DE742D">
    <w:pPr>
      <w:pStyle w:val="rightfooter"/>
    </w:pPr>
    <w:r>
      <w:fldChar w:fldCharType="begin"/>
    </w:r>
    <w:r>
      <w:instrText xml:space="preserve"> PAGE   \* MERGEFORMAT </w:instrText>
    </w:r>
    <w:r>
      <w:fldChar w:fldCharType="separate"/>
    </w:r>
    <w:r>
      <w:rPr>
        <w:noProof/>
      </w:rPr>
      <w:t>5</w:t>
    </w:r>
    <w:r>
      <w:rPr>
        <w:noProof/>
      </w:rPr>
      <w:fldChar w:fldCharType="end"/>
    </w:r>
    <w:bookmarkEnd w:id="17"/>
    <w:bookmarkEnd w:id="18"/>
    <w:bookmarkEnd w:id="19"/>
    <w:bookmarkEnd w:id="20"/>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3D7F4" w14:textId="77777777" w:rsidR="0050103E" w:rsidRPr="00B2068E" w:rsidRDefault="0050103E" w:rsidP="00DE742D">
    <w:pPr>
      <w:pStyle w:val="Footer"/>
    </w:pPr>
    <w:bookmarkStart w:id="23" w:name="_Hlk26336161"/>
    <w:bookmarkStart w:id="24" w:name="_Hlk26336162"/>
    <w:bookmarkEnd w:id="23"/>
    <w:bookmarkEnd w:id="24"/>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87968" w14:textId="77777777" w:rsidR="0050103E" w:rsidRDefault="0050103E" w:rsidP="00DE742D">
    <w:pPr>
      <w:pStyle w:val="leftfooter"/>
    </w:pPr>
    <w:r>
      <w:fldChar w:fldCharType="begin"/>
    </w:r>
    <w:r>
      <w:instrText xml:space="preserve"> PAGE   \* MERGEFORMAT </w:instrText>
    </w:r>
    <w:r>
      <w:fldChar w:fldCharType="separate"/>
    </w:r>
    <w:r>
      <w:rPr>
        <w:noProof/>
      </w:rPr>
      <w:t>2</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37" w:name="_Hlk26336171"/>
  <w:bookmarkStart w:id="38" w:name="_Hlk26336172"/>
  <w:bookmarkStart w:id="39" w:name="_Hlk26336175"/>
  <w:bookmarkStart w:id="40" w:name="_Hlk26336176"/>
  <w:p w14:paraId="5841F442" w14:textId="77777777" w:rsidR="0050103E" w:rsidRDefault="0050103E" w:rsidP="00DE742D">
    <w:pPr>
      <w:pStyle w:val="rightfooter"/>
    </w:pPr>
    <w:r>
      <w:fldChar w:fldCharType="begin"/>
    </w:r>
    <w:r>
      <w:instrText xml:space="preserve"> PAGE   \* MERGEFORMAT </w:instrText>
    </w:r>
    <w:r>
      <w:fldChar w:fldCharType="separate"/>
    </w:r>
    <w:r>
      <w:rPr>
        <w:noProof/>
      </w:rPr>
      <w:t>3</w:t>
    </w:r>
    <w:r>
      <w:rPr>
        <w:noProof/>
      </w:rPr>
      <w:fldChar w:fldCharType="end"/>
    </w:r>
    <w:bookmarkEnd w:id="37"/>
    <w:bookmarkEnd w:id="38"/>
    <w:bookmarkEnd w:id="39"/>
    <w:bookmarkEnd w:id="40"/>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41" w:name="_Hlk26336173"/>
  <w:bookmarkStart w:id="42" w:name="_Hlk26336174"/>
  <w:p w14:paraId="5F68B28E" w14:textId="1B11FC08" w:rsidR="0050103E" w:rsidRDefault="0050103E" w:rsidP="00DE742D">
    <w:pPr>
      <w:pStyle w:val="rightfooter"/>
    </w:pPr>
    <w:r>
      <w:fldChar w:fldCharType="begin"/>
    </w:r>
    <w:r>
      <w:instrText xml:space="preserve"> PAGE  \* Arabic  \* MERGEFORMAT </w:instrText>
    </w:r>
    <w:r>
      <w:fldChar w:fldCharType="separate"/>
    </w:r>
    <w:r w:rsidR="0084054B">
      <w:rPr>
        <w:noProof/>
      </w:rPr>
      <w:t>1</w:t>
    </w:r>
    <w:r>
      <w:rPr>
        <w:noProof/>
      </w:rPr>
      <w:fldChar w:fldCharType="end"/>
    </w:r>
    <w:bookmarkEnd w:id="41"/>
    <w:bookmarkEnd w:id="4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E2EF4" w14:textId="77777777" w:rsidR="000649AE" w:rsidRDefault="000649AE" w:rsidP="00C3452B">
      <w:pPr>
        <w:spacing w:before="0" w:after="0"/>
      </w:pPr>
      <w:r>
        <w:separator/>
      </w:r>
    </w:p>
  </w:footnote>
  <w:footnote w:type="continuationSeparator" w:id="0">
    <w:p w14:paraId="4BA4007C" w14:textId="77777777" w:rsidR="000649AE" w:rsidRDefault="000649AE" w:rsidP="00C3452B">
      <w:pPr>
        <w:spacing w:before="0" w:after="0"/>
      </w:pPr>
      <w:r>
        <w:continuationSeparator/>
      </w:r>
    </w:p>
  </w:footnote>
  <w:footnote w:type="continuationNotice" w:id="1">
    <w:p w14:paraId="183EA5CD" w14:textId="77777777" w:rsidR="000649AE" w:rsidRDefault="000649A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99A72" w14:textId="77777777" w:rsidR="0050103E" w:rsidRDefault="0050103E" w:rsidP="00DE742D">
    <w:pPr>
      <w:pStyle w:val="leftheader"/>
    </w:pPr>
    <w:r>
      <w:fldChar w:fldCharType="begin"/>
    </w:r>
    <w:r>
      <w:instrText xml:space="preserve"> macrobutton nomacro [Click here and insert the name of the Bill]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26336141"/>
  <w:bookmarkStart w:id="2" w:name="_Hlk26336142"/>
  <w:bookmarkStart w:id="3" w:name="_Hlk26336145"/>
  <w:bookmarkStart w:id="4" w:name="_Hlk26336146"/>
  <w:p w14:paraId="4B54C063" w14:textId="77777777" w:rsidR="0050103E" w:rsidRDefault="0050103E" w:rsidP="00DE742D">
    <w:pPr>
      <w:pStyle w:val="rightheader"/>
    </w:pPr>
    <w:r>
      <w:fldChar w:fldCharType="begin"/>
    </w:r>
    <w:r>
      <w:instrText xml:space="preserve"> macrobutton nomacro [Click here and enter the name of the Chapter </w:instrText>
    </w:r>
    <w:r>
      <w:fldChar w:fldCharType="end"/>
    </w:r>
    <w:bookmarkEnd w:id="1"/>
    <w:bookmarkEnd w:id="2"/>
    <w:bookmarkEnd w:id="3"/>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9" w:name="_Hlk26336144" w:displacedByCustomXml="next"/>
  <w:bookmarkStart w:id="10" w:name="_Hlk26336143" w:displacedByCustomXml="next"/>
  <w:sdt>
    <w:sdtPr>
      <w:id w:val="-1403914990"/>
      <w:docPartObj>
        <w:docPartGallery w:val="Watermarks"/>
        <w:docPartUnique/>
      </w:docPartObj>
    </w:sdtPr>
    <w:sdtEndPr/>
    <w:sdtContent>
      <w:p w14:paraId="53FB9B67" w14:textId="77777777" w:rsidR="0050103E" w:rsidRDefault="000649AE">
        <w:pPr>
          <w:pStyle w:val="Header"/>
        </w:pPr>
        <w:r>
          <w:rPr>
            <w:noProof/>
            <w:lang w:val="en-US" w:eastAsia="en-US"/>
          </w:rPr>
          <w:pict w14:anchorId="01319B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bookmarkEnd w:id="9" w:displacedByCustomXml="prev"/>
  <w:bookmarkEnd w:id="10" w:displacedByCustomXml="prev"/>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A43E6" w14:textId="77777777" w:rsidR="0050103E" w:rsidRDefault="0050103E" w:rsidP="00DE742D">
    <w:pPr>
      <w:pStyle w:val="left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3059E" w14:textId="77777777" w:rsidR="0050103E" w:rsidRDefault="0050103E" w:rsidP="00DE742D">
    <w:pPr>
      <w:pStyle w:val="rightheader"/>
    </w:pPr>
    <w:bookmarkStart w:id="13" w:name="_Hlk26336153"/>
    <w:bookmarkStart w:id="14" w:name="_Hlk26336154"/>
    <w:bookmarkStart w:id="15" w:name="_Hlk26336157"/>
    <w:bookmarkStart w:id="16" w:name="_Hlk26336158"/>
    <w:bookmarkEnd w:id="13"/>
    <w:bookmarkEnd w:id="14"/>
    <w:bookmarkEnd w:id="15"/>
    <w:bookmarkEnd w:id="16"/>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1D860" w14:textId="77777777" w:rsidR="0050103E" w:rsidRDefault="0050103E">
    <w:pPr>
      <w:pStyle w:val="Header"/>
    </w:pPr>
    <w:bookmarkStart w:id="21" w:name="_Hlk26336191"/>
    <w:bookmarkStart w:id="22" w:name="_Hlk26336192"/>
    <w:bookmarkEnd w:id="21"/>
    <w:bookmarkEnd w:id="22"/>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066D2" w14:textId="21718E02" w:rsidR="0050103E" w:rsidRPr="00422FA2" w:rsidRDefault="000649AE" w:rsidP="00DE742D">
    <w:pPr>
      <w:pStyle w:val="leftheader"/>
    </w:pPr>
    <w:r>
      <w:fldChar w:fldCharType="begin"/>
    </w:r>
    <w:r>
      <w:instrText xml:space="preserve"> STYLEREF  "Bill Name"  \* MERGEFORMAT </w:instrText>
    </w:r>
    <w:r>
      <w:fldChar w:fldCharType="separate"/>
    </w:r>
    <w:r w:rsidR="000356E8">
      <w:rPr>
        <w:noProof/>
      </w:rPr>
      <w:t>Treasury Laws Amendment (Corporate Insolvency Reforms Consequentials) Bill 2021</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35" w:name="_Hlk26336193"/>
  <w:bookmarkStart w:id="36" w:name="_Hlk26336194"/>
  <w:p w14:paraId="581CED58" w14:textId="77B9ABC1" w:rsidR="0050103E" w:rsidRDefault="0050103E" w:rsidP="00DE742D">
    <w:pPr>
      <w:pStyle w:val="rightheader"/>
    </w:pPr>
    <w:r>
      <w:fldChar w:fldCharType="begin"/>
    </w:r>
    <w:r>
      <w:instrText xml:space="preserve"> STYLEREF  "ChapterNameOnly"  \* MERGEFORMAT </w:instrText>
    </w:r>
    <w:r>
      <w:fldChar w:fldCharType="separate"/>
    </w:r>
    <w:r w:rsidR="000356E8">
      <w:rPr>
        <w:noProof/>
      </w:rPr>
      <w:t>Corporate insolvency reforms— consequential amendments</w:t>
    </w:r>
    <w:r>
      <w:rPr>
        <w:noProof/>
      </w:rPr>
      <w:fldChar w:fldCharType="end"/>
    </w:r>
    <w:bookmarkEnd w:id="35"/>
    <w:bookmarkEnd w:id="3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7A4CE4"/>
    <w:multiLevelType w:val="hybridMultilevel"/>
    <w:tmpl w:val="0226AC6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09261FF6"/>
    <w:multiLevelType w:val="hybridMultilevel"/>
    <w:tmpl w:val="909A00C6"/>
    <w:lvl w:ilvl="0" w:tplc="0C090001">
      <w:start w:val="1"/>
      <w:numFmt w:val="bullet"/>
      <w:lvlText w:val=""/>
      <w:lvlJc w:val="left"/>
      <w:pPr>
        <w:ind w:left="1905" w:hanging="360"/>
      </w:pPr>
      <w:rPr>
        <w:rFonts w:ascii="Symbol" w:hAnsi="Symbol" w:hint="default"/>
      </w:rPr>
    </w:lvl>
    <w:lvl w:ilvl="1" w:tplc="0C090003" w:tentative="1">
      <w:start w:val="1"/>
      <w:numFmt w:val="bullet"/>
      <w:lvlText w:val="o"/>
      <w:lvlJc w:val="left"/>
      <w:pPr>
        <w:ind w:left="2625" w:hanging="360"/>
      </w:pPr>
      <w:rPr>
        <w:rFonts w:ascii="Courier New" w:hAnsi="Courier New" w:cs="Courier New" w:hint="default"/>
      </w:rPr>
    </w:lvl>
    <w:lvl w:ilvl="2" w:tplc="0C090005" w:tentative="1">
      <w:start w:val="1"/>
      <w:numFmt w:val="bullet"/>
      <w:lvlText w:val=""/>
      <w:lvlJc w:val="left"/>
      <w:pPr>
        <w:ind w:left="3345" w:hanging="360"/>
      </w:pPr>
      <w:rPr>
        <w:rFonts w:ascii="Wingdings" w:hAnsi="Wingdings" w:hint="default"/>
      </w:rPr>
    </w:lvl>
    <w:lvl w:ilvl="3" w:tplc="0C090001" w:tentative="1">
      <w:start w:val="1"/>
      <w:numFmt w:val="bullet"/>
      <w:lvlText w:val=""/>
      <w:lvlJc w:val="left"/>
      <w:pPr>
        <w:ind w:left="4065" w:hanging="360"/>
      </w:pPr>
      <w:rPr>
        <w:rFonts w:ascii="Symbol" w:hAnsi="Symbol" w:hint="default"/>
      </w:rPr>
    </w:lvl>
    <w:lvl w:ilvl="4" w:tplc="0C090003" w:tentative="1">
      <w:start w:val="1"/>
      <w:numFmt w:val="bullet"/>
      <w:lvlText w:val="o"/>
      <w:lvlJc w:val="left"/>
      <w:pPr>
        <w:ind w:left="4785" w:hanging="360"/>
      </w:pPr>
      <w:rPr>
        <w:rFonts w:ascii="Courier New" w:hAnsi="Courier New" w:cs="Courier New" w:hint="default"/>
      </w:rPr>
    </w:lvl>
    <w:lvl w:ilvl="5" w:tplc="0C090005" w:tentative="1">
      <w:start w:val="1"/>
      <w:numFmt w:val="bullet"/>
      <w:lvlText w:val=""/>
      <w:lvlJc w:val="left"/>
      <w:pPr>
        <w:ind w:left="5505" w:hanging="360"/>
      </w:pPr>
      <w:rPr>
        <w:rFonts w:ascii="Wingdings" w:hAnsi="Wingdings" w:hint="default"/>
      </w:rPr>
    </w:lvl>
    <w:lvl w:ilvl="6" w:tplc="0C090001" w:tentative="1">
      <w:start w:val="1"/>
      <w:numFmt w:val="bullet"/>
      <w:lvlText w:val=""/>
      <w:lvlJc w:val="left"/>
      <w:pPr>
        <w:ind w:left="6225" w:hanging="360"/>
      </w:pPr>
      <w:rPr>
        <w:rFonts w:ascii="Symbol" w:hAnsi="Symbol" w:hint="default"/>
      </w:rPr>
    </w:lvl>
    <w:lvl w:ilvl="7" w:tplc="0C090003" w:tentative="1">
      <w:start w:val="1"/>
      <w:numFmt w:val="bullet"/>
      <w:lvlText w:val="o"/>
      <w:lvlJc w:val="left"/>
      <w:pPr>
        <w:ind w:left="6945" w:hanging="360"/>
      </w:pPr>
      <w:rPr>
        <w:rFonts w:ascii="Courier New" w:hAnsi="Courier New" w:cs="Courier New" w:hint="default"/>
      </w:rPr>
    </w:lvl>
    <w:lvl w:ilvl="8" w:tplc="0C090005" w:tentative="1">
      <w:start w:val="1"/>
      <w:numFmt w:val="bullet"/>
      <w:lvlText w:val=""/>
      <w:lvlJc w:val="left"/>
      <w:pPr>
        <w:ind w:left="7665" w:hanging="360"/>
      </w:pPr>
      <w:rPr>
        <w:rFonts w:ascii="Wingdings" w:hAnsi="Wingdings" w:hint="default"/>
      </w:rPr>
    </w:lvl>
  </w:abstractNum>
  <w:abstractNum w:abstractNumId="12" w15:restartNumberingAfterBreak="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9516F0E"/>
    <w:multiLevelType w:val="multilevel"/>
    <w:tmpl w:val="A316FE50"/>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9E4048D"/>
    <w:multiLevelType w:val="hybridMultilevel"/>
    <w:tmpl w:val="9028B1D2"/>
    <w:lvl w:ilvl="0" w:tplc="ED88346C">
      <w:numFmt w:val="bullet"/>
      <w:lvlText w:val="-"/>
      <w:lvlJc w:val="left"/>
      <w:pPr>
        <w:ind w:left="1494" w:hanging="360"/>
      </w:pPr>
      <w:rPr>
        <w:rFonts w:ascii="Times New Roman" w:eastAsia="Times New Roman" w:hAnsi="Times New Roman" w:cs="Times New Roman"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5" w15:restartNumberingAfterBreak="0">
    <w:nsid w:val="1AD33FC2"/>
    <w:multiLevelType w:val="multilevel"/>
    <w:tmpl w:val="A316FE50"/>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 w15:restartNumberingAfterBreak="0">
    <w:nsid w:val="247D0610"/>
    <w:multiLevelType w:val="hybridMultilevel"/>
    <w:tmpl w:val="737E346E"/>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8" w15:restartNumberingAfterBreak="0">
    <w:nsid w:val="24FA5633"/>
    <w:multiLevelType w:val="hybridMultilevel"/>
    <w:tmpl w:val="32822FFE"/>
    <w:lvl w:ilvl="0" w:tplc="0C090001">
      <w:start w:val="1"/>
      <w:numFmt w:val="bullet"/>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9" w15:restartNumberingAfterBreak="0">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A836E0D"/>
    <w:multiLevelType w:val="multilevel"/>
    <w:tmpl w:val="60D8A17C"/>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625"/>
        </w:tabs>
        <w:ind w:left="2625" w:hanging="35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1" w15:restartNumberingAfterBreak="0">
    <w:nsid w:val="3D714D4B"/>
    <w:multiLevelType w:val="multilevel"/>
    <w:tmpl w:val="A316FE50"/>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ED10DFD"/>
    <w:multiLevelType w:val="hybridMultilevel"/>
    <w:tmpl w:val="99D02B0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3" w15:restartNumberingAfterBreak="0">
    <w:nsid w:val="3EE1115E"/>
    <w:multiLevelType w:val="hybridMultilevel"/>
    <w:tmpl w:val="D7AEBF0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4" w15:restartNumberingAfterBreak="0">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5" w15:restartNumberingAfterBreak="0">
    <w:nsid w:val="478D416D"/>
    <w:multiLevelType w:val="multilevel"/>
    <w:tmpl w:val="34AAEAB6"/>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D795738"/>
    <w:multiLevelType w:val="multilevel"/>
    <w:tmpl w:val="0C09001D"/>
    <w:styleLink w:val="ChapterLis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25E2552"/>
    <w:multiLevelType w:val="multilevel"/>
    <w:tmpl w:val="7DD4D458"/>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49E6AD5"/>
    <w:multiLevelType w:val="multilevel"/>
    <w:tmpl w:val="A316FE50"/>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69E3F44"/>
    <w:multiLevelType w:val="hybridMultilevel"/>
    <w:tmpl w:val="8B14099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0" w15:restartNumberingAfterBreak="0">
    <w:nsid w:val="5D8D2546"/>
    <w:multiLevelType w:val="singleLevel"/>
    <w:tmpl w:val="E9E809D2"/>
    <w:lvl w:ilvl="0">
      <w:start w:val="1"/>
      <w:numFmt w:val="decimal"/>
      <w:lvlRestart w:val="0"/>
      <w:lvlText w:val="%1"/>
      <w:lvlJc w:val="left"/>
      <w:pPr>
        <w:tabs>
          <w:tab w:val="num" w:pos="567"/>
        </w:tabs>
        <w:ind w:left="567" w:hanging="567"/>
      </w:pPr>
      <w:rPr>
        <w:rFonts w:ascii="9999999" w:hAnsi="9999999"/>
        <w:b w:val="0"/>
        <w:i w:val="0"/>
        <w:color w:val="008000"/>
      </w:rPr>
    </w:lvl>
  </w:abstractNum>
  <w:abstractNum w:abstractNumId="31" w15:restartNumberingAfterBreak="0">
    <w:nsid w:val="5EF53485"/>
    <w:multiLevelType w:val="multilevel"/>
    <w:tmpl w:val="148465C2"/>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FBC7E8D"/>
    <w:multiLevelType w:val="singleLevel"/>
    <w:tmpl w:val="2974954C"/>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33" w15:restartNumberingAfterBreak="0">
    <w:nsid w:val="627B61B7"/>
    <w:multiLevelType w:val="hybridMultilevel"/>
    <w:tmpl w:val="F7A07BA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4" w15:restartNumberingAfterBreak="0">
    <w:nsid w:val="65DF6494"/>
    <w:multiLevelType w:val="multilevel"/>
    <w:tmpl w:val="A316FE50"/>
    <w:styleLink w:val="ExampleDotPointList"/>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8AE3369"/>
    <w:multiLevelType w:val="multilevel"/>
    <w:tmpl w:val="09C428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CF54D73"/>
    <w:multiLevelType w:val="multilevel"/>
    <w:tmpl w:val="A316FE50"/>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5FC0FE8"/>
    <w:multiLevelType w:val="multilevel"/>
    <w:tmpl w:val="0C09001F"/>
    <w:styleLink w:val="1ai"/>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77B07E65"/>
    <w:multiLevelType w:val="hybridMultilevel"/>
    <w:tmpl w:val="88B6169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9" w15:restartNumberingAfterBreak="0">
    <w:nsid w:val="78790594"/>
    <w:multiLevelType w:val="hybridMultilevel"/>
    <w:tmpl w:val="744E2EA8"/>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0" w15:restartNumberingAfterBreak="0">
    <w:nsid w:val="7C8C5E81"/>
    <w:multiLevelType w:val="multilevel"/>
    <w:tmpl w:val="0C09001D"/>
    <w:styleLink w:val="ArticleSection"/>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9"/>
  </w:num>
  <w:num w:numId="2">
    <w:abstractNumId w:val="37"/>
  </w:num>
  <w:num w:numId="3">
    <w:abstractNumId w:val="40"/>
  </w:num>
  <w:num w:numId="4">
    <w:abstractNumId w:val="34"/>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b w:val="0"/>
          <w:bCs/>
          <w:i w:val="0"/>
          <w:iCs/>
          <w:sz w:val="22"/>
          <w:szCs w:val="22"/>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abstractNumId w:val="21"/>
  </w:num>
  <w:num w:numId="6">
    <w:abstractNumId w:val="24"/>
  </w:num>
  <w:num w:numId="7">
    <w:abstractNumId w:val="25"/>
  </w:num>
  <w:num w:numId="8">
    <w:abstractNumId w:val="3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num>
  <w:num w:numId="20">
    <w:abstractNumId w:val="34"/>
  </w:num>
  <w:num w:numId="21">
    <w:abstractNumId w:val="34"/>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abstractNumId w:val="27"/>
  </w:num>
  <w:num w:numId="23">
    <w:abstractNumId w:val="34"/>
    <w:lvlOverride w:ilvl="0">
      <w:startOverride w:val="1"/>
      <w:lvl w:ilvl="0">
        <w:start w:val="1"/>
        <w:numFmt w:val="decimal"/>
        <w:lvlText w:val="Chapter %1"/>
        <w:lvlJc w:val="left"/>
        <w:pPr>
          <w:tabs>
            <w:tab w:val="num" w:pos="1134"/>
          </w:tabs>
          <w:ind w:left="0" w:firstLine="0"/>
        </w:pPr>
        <w:rPr>
          <w:rFonts w:hint="default"/>
        </w:rPr>
      </w:lvl>
    </w:lvlOverride>
    <w:lvlOverride w:ilvl="1">
      <w:startOverride w:val="1"/>
      <w:lvl w:ilvl="1">
        <w:start w:val="1"/>
        <w:numFmt w:val="decimal"/>
        <w:lvlText w:val="%1.%2"/>
        <w:lvlJc w:val="left"/>
        <w:pPr>
          <w:tabs>
            <w:tab w:val="num" w:pos="1985"/>
          </w:tabs>
          <w:ind w:left="1134" w:firstLine="0"/>
        </w:pPr>
        <w:rPr>
          <w:rFonts w:hint="default"/>
        </w:rPr>
      </w:lvl>
    </w:lvlOverride>
    <w:lvlOverride w:ilvl="2">
      <w:startOverride w:val="1"/>
      <w:lvl w:ilvl="2">
        <w:start w:val="1"/>
        <w:numFmt w:val="decimal"/>
        <w:lvlRestart w:val="1"/>
        <w:suff w:val="nothing"/>
        <w:lvlText w:val="Diagram %1.%3"/>
        <w:lvlJc w:val="left"/>
        <w:pPr>
          <w:ind w:left="1134" w:firstLine="0"/>
        </w:pPr>
        <w:rPr>
          <w:rFonts w:hint="default"/>
        </w:rPr>
      </w:lvl>
    </w:lvlOverride>
    <w:lvlOverride w:ilvl="3">
      <w:startOverride w:val="1"/>
      <w:lvl w:ilvl="3">
        <w:start w:val="1"/>
        <w:numFmt w:val="decimal"/>
        <w:lvlRestart w:val="1"/>
        <w:suff w:val="nothing"/>
        <w:lvlText w:val="Example %1.%4"/>
        <w:lvlJc w:val="left"/>
        <w:pPr>
          <w:ind w:left="1134" w:firstLine="0"/>
        </w:pPr>
        <w:rPr>
          <w:rFonts w:hint="default"/>
        </w:rPr>
      </w:lvl>
    </w:lvlOverride>
    <w:lvlOverride w:ilvl="4">
      <w:startOverride w:val="1"/>
      <w:lvl w:ilvl="4">
        <w:start w:val="1"/>
        <w:numFmt w:val="decimal"/>
        <w:lvlRestart w:val="1"/>
        <w:suff w:val="nothing"/>
        <w:lvlText w:val="Table %1.%5"/>
        <w:lvlJc w:val="left"/>
        <w:pPr>
          <w:ind w:left="1134" w:firstLine="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4">
    <w:abstractNumId w:val="34"/>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abstractNumId w:val="38"/>
  </w:num>
  <w:num w:numId="26">
    <w:abstractNumId w:val="18"/>
  </w:num>
  <w:num w:numId="27">
    <w:abstractNumId w:val="14"/>
  </w:num>
  <w:num w:numId="28">
    <w:abstractNumId w:val="23"/>
  </w:num>
  <w:num w:numId="29">
    <w:abstractNumId w:val="34"/>
    <w:lvlOverride w:ilvl="2">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0">
    <w:abstractNumId w:val="36"/>
  </w:num>
  <w:num w:numId="31">
    <w:abstractNumId w:val="26"/>
  </w:num>
  <w:num w:numId="32">
    <w:abstractNumId w:val="35"/>
  </w:num>
  <w:num w:numId="33">
    <w:abstractNumId w:val="30"/>
  </w:num>
  <w:num w:numId="34">
    <w:abstractNumId w:val="32"/>
  </w:num>
  <w:num w:numId="35">
    <w:abstractNumId w:val="20"/>
  </w:num>
  <w:num w:numId="36">
    <w:abstractNumId w:val="13"/>
  </w:num>
  <w:num w:numId="37">
    <w:abstractNumId w:val="28"/>
  </w:num>
  <w:num w:numId="38">
    <w:abstractNumId w:val="15"/>
  </w:num>
  <w:num w:numId="39">
    <w:abstractNumId w:val="10"/>
  </w:num>
  <w:num w:numId="40">
    <w:abstractNumId w:val="22"/>
  </w:num>
  <w:num w:numId="41">
    <w:abstractNumId w:val="11"/>
  </w:num>
  <w:num w:numId="42">
    <w:abstractNumId w:val="39"/>
  </w:num>
  <w:num w:numId="43">
    <w:abstractNumId w:val="17"/>
  </w:num>
  <w:num w:numId="44">
    <w:abstractNumId w:val="29"/>
  </w:num>
  <w:num w:numId="45">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defaultTabStop w:val="720"/>
  <w:evenAndOddHeaders/>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82B"/>
    <w:rsid w:val="00001864"/>
    <w:rsid w:val="00002298"/>
    <w:rsid w:val="00003478"/>
    <w:rsid w:val="00003836"/>
    <w:rsid w:val="00004BEF"/>
    <w:rsid w:val="000072AC"/>
    <w:rsid w:val="00007610"/>
    <w:rsid w:val="000079CD"/>
    <w:rsid w:val="00007AD4"/>
    <w:rsid w:val="00007F6C"/>
    <w:rsid w:val="00010D3F"/>
    <w:rsid w:val="0001144B"/>
    <w:rsid w:val="0001285F"/>
    <w:rsid w:val="00012BE6"/>
    <w:rsid w:val="000132B1"/>
    <w:rsid w:val="00013F68"/>
    <w:rsid w:val="000161E0"/>
    <w:rsid w:val="00016968"/>
    <w:rsid w:val="000203A4"/>
    <w:rsid w:val="00021B58"/>
    <w:rsid w:val="00021FA2"/>
    <w:rsid w:val="000234CC"/>
    <w:rsid w:val="000239CB"/>
    <w:rsid w:val="000240E0"/>
    <w:rsid w:val="00024727"/>
    <w:rsid w:val="00025277"/>
    <w:rsid w:val="000252B6"/>
    <w:rsid w:val="000257E1"/>
    <w:rsid w:val="00026CCB"/>
    <w:rsid w:val="00026FB9"/>
    <w:rsid w:val="00030D81"/>
    <w:rsid w:val="000329A8"/>
    <w:rsid w:val="0003319F"/>
    <w:rsid w:val="000335DF"/>
    <w:rsid w:val="00033BFD"/>
    <w:rsid w:val="00034348"/>
    <w:rsid w:val="00034BA8"/>
    <w:rsid w:val="000356E8"/>
    <w:rsid w:val="00036131"/>
    <w:rsid w:val="00037251"/>
    <w:rsid w:val="00037C2F"/>
    <w:rsid w:val="00041E46"/>
    <w:rsid w:val="00042FEE"/>
    <w:rsid w:val="00043F92"/>
    <w:rsid w:val="0004402F"/>
    <w:rsid w:val="000448B4"/>
    <w:rsid w:val="00044C9B"/>
    <w:rsid w:val="000457D2"/>
    <w:rsid w:val="000459E8"/>
    <w:rsid w:val="00045AFF"/>
    <w:rsid w:val="00045BEB"/>
    <w:rsid w:val="00046C86"/>
    <w:rsid w:val="00046EBD"/>
    <w:rsid w:val="00047BF9"/>
    <w:rsid w:val="00052575"/>
    <w:rsid w:val="000535C1"/>
    <w:rsid w:val="00053719"/>
    <w:rsid w:val="00053BFC"/>
    <w:rsid w:val="000547DF"/>
    <w:rsid w:val="00054E9F"/>
    <w:rsid w:val="00055374"/>
    <w:rsid w:val="000563FE"/>
    <w:rsid w:val="00061B97"/>
    <w:rsid w:val="00062A58"/>
    <w:rsid w:val="00063098"/>
    <w:rsid w:val="0006331C"/>
    <w:rsid w:val="00063418"/>
    <w:rsid w:val="00064712"/>
    <w:rsid w:val="000649AE"/>
    <w:rsid w:val="00064F35"/>
    <w:rsid w:val="000653C8"/>
    <w:rsid w:val="0006571E"/>
    <w:rsid w:val="00065A23"/>
    <w:rsid w:val="00066ECB"/>
    <w:rsid w:val="000673C7"/>
    <w:rsid w:val="00067A59"/>
    <w:rsid w:val="00067E07"/>
    <w:rsid w:val="00070668"/>
    <w:rsid w:val="0007308A"/>
    <w:rsid w:val="000733C1"/>
    <w:rsid w:val="000740CF"/>
    <w:rsid w:val="000747F2"/>
    <w:rsid w:val="0007574F"/>
    <w:rsid w:val="000765CE"/>
    <w:rsid w:val="0008409A"/>
    <w:rsid w:val="00084622"/>
    <w:rsid w:val="000861DA"/>
    <w:rsid w:val="00086555"/>
    <w:rsid w:val="00086908"/>
    <w:rsid w:val="00086C8C"/>
    <w:rsid w:val="00087B7A"/>
    <w:rsid w:val="000902F2"/>
    <w:rsid w:val="00092838"/>
    <w:rsid w:val="00092D74"/>
    <w:rsid w:val="00094561"/>
    <w:rsid w:val="000946BB"/>
    <w:rsid w:val="00094CBD"/>
    <w:rsid w:val="000950F7"/>
    <w:rsid w:val="00095EE1"/>
    <w:rsid w:val="000A0F3E"/>
    <w:rsid w:val="000A2D7A"/>
    <w:rsid w:val="000A3FD5"/>
    <w:rsid w:val="000A4800"/>
    <w:rsid w:val="000A4C1C"/>
    <w:rsid w:val="000A5F58"/>
    <w:rsid w:val="000A64E6"/>
    <w:rsid w:val="000B0AEA"/>
    <w:rsid w:val="000B1E76"/>
    <w:rsid w:val="000B254F"/>
    <w:rsid w:val="000B2CD0"/>
    <w:rsid w:val="000B5377"/>
    <w:rsid w:val="000B545A"/>
    <w:rsid w:val="000B650D"/>
    <w:rsid w:val="000B72A5"/>
    <w:rsid w:val="000B792B"/>
    <w:rsid w:val="000C0F95"/>
    <w:rsid w:val="000C2A73"/>
    <w:rsid w:val="000C4AAD"/>
    <w:rsid w:val="000D00C1"/>
    <w:rsid w:val="000D1C44"/>
    <w:rsid w:val="000D33F8"/>
    <w:rsid w:val="000D450A"/>
    <w:rsid w:val="000D4913"/>
    <w:rsid w:val="000D4FC9"/>
    <w:rsid w:val="000D6500"/>
    <w:rsid w:val="000D6696"/>
    <w:rsid w:val="000D66AA"/>
    <w:rsid w:val="000E030A"/>
    <w:rsid w:val="000E0A6B"/>
    <w:rsid w:val="000E0ECD"/>
    <w:rsid w:val="000E2205"/>
    <w:rsid w:val="000E5199"/>
    <w:rsid w:val="000E6F21"/>
    <w:rsid w:val="000E7592"/>
    <w:rsid w:val="000E7A92"/>
    <w:rsid w:val="000E7AD1"/>
    <w:rsid w:val="000F10F9"/>
    <w:rsid w:val="000F16AA"/>
    <w:rsid w:val="000F21B3"/>
    <w:rsid w:val="000F3448"/>
    <w:rsid w:val="000F49B1"/>
    <w:rsid w:val="000F4D83"/>
    <w:rsid w:val="000F7C86"/>
    <w:rsid w:val="00100710"/>
    <w:rsid w:val="00102CEF"/>
    <w:rsid w:val="0010380E"/>
    <w:rsid w:val="00103BDA"/>
    <w:rsid w:val="00103D0F"/>
    <w:rsid w:val="001068B3"/>
    <w:rsid w:val="00106DB5"/>
    <w:rsid w:val="001075B6"/>
    <w:rsid w:val="001105AF"/>
    <w:rsid w:val="00110690"/>
    <w:rsid w:val="001129E8"/>
    <w:rsid w:val="00113316"/>
    <w:rsid w:val="001138E2"/>
    <w:rsid w:val="00114C0B"/>
    <w:rsid w:val="001160F8"/>
    <w:rsid w:val="00117CE5"/>
    <w:rsid w:val="00120628"/>
    <w:rsid w:val="00121E47"/>
    <w:rsid w:val="00123076"/>
    <w:rsid w:val="00123963"/>
    <w:rsid w:val="001242D0"/>
    <w:rsid w:val="001248B0"/>
    <w:rsid w:val="00125238"/>
    <w:rsid w:val="0013049C"/>
    <w:rsid w:val="001310DD"/>
    <w:rsid w:val="001315D6"/>
    <w:rsid w:val="00131742"/>
    <w:rsid w:val="0013420C"/>
    <w:rsid w:val="00134CC6"/>
    <w:rsid w:val="001362C4"/>
    <w:rsid w:val="00136836"/>
    <w:rsid w:val="00137286"/>
    <w:rsid w:val="00137EC8"/>
    <w:rsid w:val="00137FB5"/>
    <w:rsid w:val="0014007E"/>
    <w:rsid w:val="00140283"/>
    <w:rsid w:val="00140634"/>
    <w:rsid w:val="001428C6"/>
    <w:rsid w:val="00143B04"/>
    <w:rsid w:val="00143B96"/>
    <w:rsid w:val="00144144"/>
    <w:rsid w:val="001451F5"/>
    <w:rsid w:val="00147348"/>
    <w:rsid w:val="001507BD"/>
    <w:rsid w:val="001508C2"/>
    <w:rsid w:val="00152D6A"/>
    <w:rsid w:val="00152EB5"/>
    <w:rsid w:val="001561B4"/>
    <w:rsid w:val="00156771"/>
    <w:rsid w:val="0015711D"/>
    <w:rsid w:val="00160618"/>
    <w:rsid w:val="001643AD"/>
    <w:rsid w:val="0016529A"/>
    <w:rsid w:val="001653BB"/>
    <w:rsid w:val="00165F9E"/>
    <w:rsid w:val="00170DF3"/>
    <w:rsid w:val="00171A9A"/>
    <w:rsid w:val="00172415"/>
    <w:rsid w:val="00173FC5"/>
    <w:rsid w:val="00175AB6"/>
    <w:rsid w:val="0017675C"/>
    <w:rsid w:val="001775FE"/>
    <w:rsid w:val="0018092E"/>
    <w:rsid w:val="001813C4"/>
    <w:rsid w:val="00181A39"/>
    <w:rsid w:val="00183C1D"/>
    <w:rsid w:val="001857F7"/>
    <w:rsid w:val="00186F5A"/>
    <w:rsid w:val="00187A26"/>
    <w:rsid w:val="00187DF3"/>
    <w:rsid w:val="00190D8F"/>
    <w:rsid w:val="001914B9"/>
    <w:rsid w:val="001917F4"/>
    <w:rsid w:val="00192868"/>
    <w:rsid w:val="00193485"/>
    <w:rsid w:val="001946FA"/>
    <w:rsid w:val="00195AF8"/>
    <w:rsid w:val="00196416"/>
    <w:rsid w:val="00196A09"/>
    <w:rsid w:val="00197250"/>
    <w:rsid w:val="00197572"/>
    <w:rsid w:val="001A14E7"/>
    <w:rsid w:val="001A1BDD"/>
    <w:rsid w:val="001A1F6F"/>
    <w:rsid w:val="001A4296"/>
    <w:rsid w:val="001A478E"/>
    <w:rsid w:val="001A49AC"/>
    <w:rsid w:val="001A55A1"/>
    <w:rsid w:val="001A5BB8"/>
    <w:rsid w:val="001B23E3"/>
    <w:rsid w:val="001B4FA2"/>
    <w:rsid w:val="001B6172"/>
    <w:rsid w:val="001B6AF0"/>
    <w:rsid w:val="001B6B82"/>
    <w:rsid w:val="001B6B97"/>
    <w:rsid w:val="001B714A"/>
    <w:rsid w:val="001C2F9C"/>
    <w:rsid w:val="001C6B24"/>
    <w:rsid w:val="001C6B8B"/>
    <w:rsid w:val="001C6D4E"/>
    <w:rsid w:val="001C6EA7"/>
    <w:rsid w:val="001C767C"/>
    <w:rsid w:val="001D0AD6"/>
    <w:rsid w:val="001D21A0"/>
    <w:rsid w:val="001D266E"/>
    <w:rsid w:val="001D2D96"/>
    <w:rsid w:val="001D2E11"/>
    <w:rsid w:val="001D3678"/>
    <w:rsid w:val="001D3B31"/>
    <w:rsid w:val="001D4F21"/>
    <w:rsid w:val="001D7351"/>
    <w:rsid w:val="001E0775"/>
    <w:rsid w:val="001E2670"/>
    <w:rsid w:val="001E2E0E"/>
    <w:rsid w:val="001E2EF0"/>
    <w:rsid w:val="001E41B7"/>
    <w:rsid w:val="001E46B5"/>
    <w:rsid w:val="001E4770"/>
    <w:rsid w:val="001E5ACC"/>
    <w:rsid w:val="001E5C86"/>
    <w:rsid w:val="001E60C5"/>
    <w:rsid w:val="001E696A"/>
    <w:rsid w:val="001E6BA7"/>
    <w:rsid w:val="001E7A15"/>
    <w:rsid w:val="001F18F2"/>
    <w:rsid w:val="001F4FBD"/>
    <w:rsid w:val="001F6193"/>
    <w:rsid w:val="00200965"/>
    <w:rsid w:val="002023E1"/>
    <w:rsid w:val="0020240D"/>
    <w:rsid w:val="00203A22"/>
    <w:rsid w:val="00205A11"/>
    <w:rsid w:val="00206E42"/>
    <w:rsid w:val="00207929"/>
    <w:rsid w:val="00210312"/>
    <w:rsid w:val="00212E09"/>
    <w:rsid w:val="00213A35"/>
    <w:rsid w:val="00214E22"/>
    <w:rsid w:val="002156FA"/>
    <w:rsid w:val="00215C5A"/>
    <w:rsid w:val="00216C48"/>
    <w:rsid w:val="00217A64"/>
    <w:rsid w:val="00217C43"/>
    <w:rsid w:val="002206D7"/>
    <w:rsid w:val="0022081A"/>
    <w:rsid w:val="002221E8"/>
    <w:rsid w:val="00222D36"/>
    <w:rsid w:val="002235FC"/>
    <w:rsid w:val="002255CC"/>
    <w:rsid w:val="00225944"/>
    <w:rsid w:val="002278CD"/>
    <w:rsid w:val="002303FF"/>
    <w:rsid w:val="00231822"/>
    <w:rsid w:val="00232131"/>
    <w:rsid w:val="002328F7"/>
    <w:rsid w:val="00235491"/>
    <w:rsid w:val="00235492"/>
    <w:rsid w:val="0023564A"/>
    <w:rsid w:val="00235812"/>
    <w:rsid w:val="00235830"/>
    <w:rsid w:val="00236BD5"/>
    <w:rsid w:val="00236CC0"/>
    <w:rsid w:val="002373A0"/>
    <w:rsid w:val="002407F2"/>
    <w:rsid w:val="0024366B"/>
    <w:rsid w:val="00244283"/>
    <w:rsid w:val="0024442B"/>
    <w:rsid w:val="00247E26"/>
    <w:rsid w:val="00250E1B"/>
    <w:rsid w:val="00251F9A"/>
    <w:rsid w:val="00255E24"/>
    <w:rsid w:val="002604BB"/>
    <w:rsid w:val="002637C1"/>
    <w:rsid w:val="00264431"/>
    <w:rsid w:val="002644DD"/>
    <w:rsid w:val="00265221"/>
    <w:rsid w:val="002664AD"/>
    <w:rsid w:val="00271FA6"/>
    <w:rsid w:val="0027261E"/>
    <w:rsid w:val="00273E14"/>
    <w:rsid w:val="00276A55"/>
    <w:rsid w:val="00280536"/>
    <w:rsid w:val="00281209"/>
    <w:rsid w:val="002853F6"/>
    <w:rsid w:val="00286F94"/>
    <w:rsid w:val="0029090E"/>
    <w:rsid w:val="00291082"/>
    <w:rsid w:val="002912EC"/>
    <w:rsid w:val="00294967"/>
    <w:rsid w:val="002955B2"/>
    <w:rsid w:val="00295686"/>
    <w:rsid w:val="0029581A"/>
    <w:rsid w:val="00295A82"/>
    <w:rsid w:val="00297139"/>
    <w:rsid w:val="00297F59"/>
    <w:rsid w:val="002A0BDB"/>
    <w:rsid w:val="002A3A7B"/>
    <w:rsid w:val="002A3F04"/>
    <w:rsid w:val="002A3F91"/>
    <w:rsid w:val="002A44EB"/>
    <w:rsid w:val="002A4E46"/>
    <w:rsid w:val="002B08E6"/>
    <w:rsid w:val="002B34E6"/>
    <w:rsid w:val="002B615E"/>
    <w:rsid w:val="002B6331"/>
    <w:rsid w:val="002B7B90"/>
    <w:rsid w:val="002C02CB"/>
    <w:rsid w:val="002C07CD"/>
    <w:rsid w:val="002C0831"/>
    <w:rsid w:val="002C46DA"/>
    <w:rsid w:val="002C5FF5"/>
    <w:rsid w:val="002C7BE3"/>
    <w:rsid w:val="002D6594"/>
    <w:rsid w:val="002D66B4"/>
    <w:rsid w:val="002E0812"/>
    <w:rsid w:val="002E0F17"/>
    <w:rsid w:val="002E1EDD"/>
    <w:rsid w:val="002E40BF"/>
    <w:rsid w:val="002E5CF5"/>
    <w:rsid w:val="002E6387"/>
    <w:rsid w:val="002E6409"/>
    <w:rsid w:val="002E6A29"/>
    <w:rsid w:val="002E762D"/>
    <w:rsid w:val="002F0747"/>
    <w:rsid w:val="002F183C"/>
    <w:rsid w:val="002F1BC8"/>
    <w:rsid w:val="002F3BC8"/>
    <w:rsid w:val="002F4742"/>
    <w:rsid w:val="002F7072"/>
    <w:rsid w:val="00302266"/>
    <w:rsid w:val="003022C5"/>
    <w:rsid w:val="003037F6"/>
    <w:rsid w:val="00305989"/>
    <w:rsid w:val="003063D3"/>
    <w:rsid w:val="00306A15"/>
    <w:rsid w:val="003074FD"/>
    <w:rsid w:val="00307F7C"/>
    <w:rsid w:val="00310204"/>
    <w:rsid w:val="00310356"/>
    <w:rsid w:val="00311C20"/>
    <w:rsid w:val="00312026"/>
    <w:rsid w:val="00312960"/>
    <w:rsid w:val="00312E28"/>
    <w:rsid w:val="003141CD"/>
    <w:rsid w:val="00315A63"/>
    <w:rsid w:val="00315B5B"/>
    <w:rsid w:val="00315F4B"/>
    <w:rsid w:val="0031723F"/>
    <w:rsid w:val="00317565"/>
    <w:rsid w:val="00317D29"/>
    <w:rsid w:val="00320341"/>
    <w:rsid w:val="003203C1"/>
    <w:rsid w:val="00322575"/>
    <w:rsid w:val="00323431"/>
    <w:rsid w:val="00323570"/>
    <w:rsid w:val="00323C4A"/>
    <w:rsid w:val="003251C2"/>
    <w:rsid w:val="0032588E"/>
    <w:rsid w:val="00326E3F"/>
    <w:rsid w:val="003325AC"/>
    <w:rsid w:val="00332DF4"/>
    <w:rsid w:val="00335257"/>
    <w:rsid w:val="00335263"/>
    <w:rsid w:val="0033721C"/>
    <w:rsid w:val="00337B99"/>
    <w:rsid w:val="00340646"/>
    <w:rsid w:val="00341B2B"/>
    <w:rsid w:val="00341B88"/>
    <w:rsid w:val="00342E66"/>
    <w:rsid w:val="00343DE6"/>
    <w:rsid w:val="00347BC0"/>
    <w:rsid w:val="0035008E"/>
    <w:rsid w:val="00350B4E"/>
    <w:rsid w:val="00351B5C"/>
    <w:rsid w:val="0035489D"/>
    <w:rsid w:val="00354E9C"/>
    <w:rsid w:val="00354F00"/>
    <w:rsid w:val="00355B8B"/>
    <w:rsid w:val="00356723"/>
    <w:rsid w:val="00356BAD"/>
    <w:rsid w:val="00357AEE"/>
    <w:rsid w:val="0036073C"/>
    <w:rsid w:val="00361DF8"/>
    <w:rsid w:val="00362271"/>
    <w:rsid w:val="00362F4E"/>
    <w:rsid w:val="0036455E"/>
    <w:rsid w:val="00364728"/>
    <w:rsid w:val="0036475C"/>
    <w:rsid w:val="0036496F"/>
    <w:rsid w:val="003663B0"/>
    <w:rsid w:val="00367F12"/>
    <w:rsid w:val="0037075E"/>
    <w:rsid w:val="003709FE"/>
    <w:rsid w:val="00376D62"/>
    <w:rsid w:val="00382718"/>
    <w:rsid w:val="003838CE"/>
    <w:rsid w:val="00384A60"/>
    <w:rsid w:val="003919A4"/>
    <w:rsid w:val="0039289D"/>
    <w:rsid w:val="00392EC4"/>
    <w:rsid w:val="00394CF2"/>
    <w:rsid w:val="0039731B"/>
    <w:rsid w:val="003A300A"/>
    <w:rsid w:val="003A317B"/>
    <w:rsid w:val="003A5DCA"/>
    <w:rsid w:val="003A6AA9"/>
    <w:rsid w:val="003B0BBF"/>
    <w:rsid w:val="003B111E"/>
    <w:rsid w:val="003B139C"/>
    <w:rsid w:val="003B28A0"/>
    <w:rsid w:val="003B4580"/>
    <w:rsid w:val="003B5613"/>
    <w:rsid w:val="003B6C85"/>
    <w:rsid w:val="003B6ED7"/>
    <w:rsid w:val="003C0B14"/>
    <w:rsid w:val="003C140E"/>
    <w:rsid w:val="003C16D9"/>
    <w:rsid w:val="003C261E"/>
    <w:rsid w:val="003C30E7"/>
    <w:rsid w:val="003C3D11"/>
    <w:rsid w:val="003C56D9"/>
    <w:rsid w:val="003C5B2A"/>
    <w:rsid w:val="003C5F8B"/>
    <w:rsid w:val="003C71DC"/>
    <w:rsid w:val="003C798A"/>
    <w:rsid w:val="003D017A"/>
    <w:rsid w:val="003D0360"/>
    <w:rsid w:val="003D12F8"/>
    <w:rsid w:val="003D30C9"/>
    <w:rsid w:val="003D4F85"/>
    <w:rsid w:val="003D5EA3"/>
    <w:rsid w:val="003E0868"/>
    <w:rsid w:val="003E14D0"/>
    <w:rsid w:val="003E1E75"/>
    <w:rsid w:val="003E27FF"/>
    <w:rsid w:val="003E3F35"/>
    <w:rsid w:val="003E49F5"/>
    <w:rsid w:val="003E4D95"/>
    <w:rsid w:val="003E5875"/>
    <w:rsid w:val="003E5A01"/>
    <w:rsid w:val="003E5BB5"/>
    <w:rsid w:val="003E61DC"/>
    <w:rsid w:val="003F1513"/>
    <w:rsid w:val="003F2444"/>
    <w:rsid w:val="003F3D1C"/>
    <w:rsid w:val="003F4EC0"/>
    <w:rsid w:val="003F58CD"/>
    <w:rsid w:val="003F5A2F"/>
    <w:rsid w:val="003F62E8"/>
    <w:rsid w:val="003F6965"/>
    <w:rsid w:val="003F6B6C"/>
    <w:rsid w:val="003F6D7A"/>
    <w:rsid w:val="003F7035"/>
    <w:rsid w:val="003F7186"/>
    <w:rsid w:val="003F758C"/>
    <w:rsid w:val="003F7BF2"/>
    <w:rsid w:val="00401988"/>
    <w:rsid w:val="00402379"/>
    <w:rsid w:val="00402692"/>
    <w:rsid w:val="00402786"/>
    <w:rsid w:val="0040527D"/>
    <w:rsid w:val="00412ACD"/>
    <w:rsid w:val="00413005"/>
    <w:rsid w:val="00414042"/>
    <w:rsid w:val="00414EFD"/>
    <w:rsid w:val="00415443"/>
    <w:rsid w:val="00416EAA"/>
    <w:rsid w:val="00420F3C"/>
    <w:rsid w:val="00421CD7"/>
    <w:rsid w:val="00423C29"/>
    <w:rsid w:val="004313D3"/>
    <w:rsid w:val="00432C3A"/>
    <w:rsid w:val="00433BA2"/>
    <w:rsid w:val="0043477E"/>
    <w:rsid w:val="00435E6E"/>
    <w:rsid w:val="00437E44"/>
    <w:rsid w:val="004414D8"/>
    <w:rsid w:val="00443563"/>
    <w:rsid w:val="00447C63"/>
    <w:rsid w:val="004502B3"/>
    <w:rsid w:val="004513E5"/>
    <w:rsid w:val="00453329"/>
    <w:rsid w:val="004547A1"/>
    <w:rsid w:val="0045503F"/>
    <w:rsid w:val="0045508C"/>
    <w:rsid w:val="004554CD"/>
    <w:rsid w:val="00457E0F"/>
    <w:rsid w:val="0046031A"/>
    <w:rsid w:val="00460B98"/>
    <w:rsid w:val="00460FAA"/>
    <w:rsid w:val="004639CF"/>
    <w:rsid w:val="00464523"/>
    <w:rsid w:val="00465F3B"/>
    <w:rsid w:val="00470775"/>
    <w:rsid w:val="0047152C"/>
    <w:rsid w:val="0047154B"/>
    <w:rsid w:val="00471C28"/>
    <w:rsid w:val="004723C8"/>
    <w:rsid w:val="00472547"/>
    <w:rsid w:val="004740BE"/>
    <w:rsid w:val="004747B9"/>
    <w:rsid w:val="00474C0D"/>
    <w:rsid w:val="00475B21"/>
    <w:rsid w:val="00475B32"/>
    <w:rsid w:val="0047616A"/>
    <w:rsid w:val="004810C8"/>
    <w:rsid w:val="00481F06"/>
    <w:rsid w:val="0048254F"/>
    <w:rsid w:val="00484FE1"/>
    <w:rsid w:val="0048571F"/>
    <w:rsid w:val="00485E74"/>
    <w:rsid w:val="00485F7F"/>
    <w:rsid w:val="0049004A"/>
    <w:rsid w:val="004910C6"/>
    <w:rsid w:val="00495B4F"/>
    <w:rsid w:val="00496E2A"/>
    <w:rsid w:val="00496F6D"/>
    <w:rsid w:val="0049718C"/>
    <w:rsid w:val="00497BEA"/>
    <w:rsid w:val="004A051B"/>
    <w:rsid w:val="004A1CDF"/>
    <w:rsid w:val="004A3A1F"/>
    <w:rsid w:val="004A3E2A"/>
    <w:rsid w:val="004A4893"/>
    <w:rsid w:val="004A4F68"/>
    <w:rsid w:val="004A680B"/>
    <w:rsid w:val="004A6D5B"/>
    <w:rsid w:val="004B089C"/>
    <w:rsid w:val="004B0D10"/>
    <w:rsid w:val="004B1861"/>
    <w:rsid w:val="004B1ACF"/>
    <w:rsid w:val="004B1B51"/>
    <w:rsid w:val="004B1FF1"/>
    <w:rsid w:val="004B201D"/>
    <w:rsid w:val="004B3B49"/>
    <w:rsid w:val="004B7799"/>
    <w:rsid w:val="004C1FBD"/>
    <w:rsid w:val="004C381A"/>
    <w:rsid w:val="004C59F5"/>
    <w:rsid w:val="004C5E46"/>
    <w:rsid w:val="004C70EA"/>
    <w:rsid w:val="004D0B36"/>
    <w:rsid w:val="004D0CD1"/>
    <w:rsid w:val="004D21C9"/>
    <w:rsid w:val="004D54FF"/>
    <w:rsid w:val="004D5F46"/>
    <w:rsid w:val="004D6414"/>
    <w:rsid w:val="004D6A22"/>
    <w:rsid w:val="004D7ECE"/>
    <w:rsid w:val="004E0162"/>
    <w:rsid w:val="004E3981"/>
    <w:rsid w:val="004E3C12"/>
    <w:rsid w:val="004E4A72"/>
    <w:rsid w:val="004E51CD"/>
    <w:rsid w:val="004E63F0"/>
    <w:rsid w:val="004E6529"/>
    <w:rsid w:val="004E66AE"/>
    <w:rsid w:val="004E7419"/>
    <w:rsid w:val="004E7A73"/>
    <w:rsid w:val="004F09B2"/>
    <w:rsid w:val="004F0B9D"/>
    <w:rsid w:val="004F1266"/>
    <w:rsid w:val="004F6516"/>
    <w:rsid w:val="004F6973"/>
    <w:rsid w:val="004F75BE"/>
    <w:rsid w:val="0050103E"/>
    <w:rsid w:val="005035B0"/>
    <w:rsid w:val="00503815"/>
    <w:rsid w:val="00504026"/>
    <w:rsid w:val="005048D1"/>
    <w:rsid w:val="0050495A"/>
    <w:rsid w:val="00506764"/>
    <w:rsid w:val="00512BAD"/>
    <w:rsid w:val="00513EBD"/>
    <w:rsid w:val="00515113"/>
    <w:rsid w:val="00515409"/>
    <w:rsid w:val="00515E2E"/>
    <w:rsid w:val="00516812"/>
    <w:rsid w:val="00520952"/>
    <w:rsid w:val="00520A48"/>
    <w:rsid w:val="00520C25"/>
    <w:rsid w:val="00521A02"/>
    <w:rsid w:val="005222F2"/>
    <w:rsid w:val="005228F5"/>
    <w:rsid w:val="00522B83"/>
    <w:rsid w:val="00522FF0"/>
    <w:rsid w:val="00523738"/>
    <w:rsid w:val="00523C0D"/>
    <w:rsid w:val="00523E23"/>
    <w:rsid w:val="00530420"/>
    <w:rsid w:val="0053228F"/>
    <w:rsid w:val="005333EA"/>
    <w:rsid w:val="005341AD"/>
    <w:rsid w:val="005351C7"/>
    <w:rsid w:val="00535F24"/>
    <w:rsid w:val="0053728D"/>
    <w:rsid w:val="00537A71"/>
    <w:rsid w:val="0054071F"/>
    <w:rsid w:val="0054073E"/>
    <w:rsid w:val="00540CB4"/>
    <w:rsid w:val="0054268A"/>
    <w:rsid w:val="005426B9"/>
    <w:rsid w:val="005434F8"/>
    <w:rsid w:val="00543D81"/>
    <w:rsid w:val="00543E45"/>
    <w:rsid w:val="005473C4"/>
    <w:rsid w:val="00551DC6"/>
    <w:rsid w:val="00553365"/>
    <w:rsid w:val="00554620"/>
    <w:rsid w:val="0055547C"/>
    <w:rsid w:val="0055637B"/>
    <w:rsid w:val="005569BC"/>
    <w:rsid w:val="00556AE9"/>
    <w:rsid w:val="005574AE"/>
    <w:rsid w:val="00557C86"/>
    <w:rsid w:val="005601C1"/>
    <w:rsid w:val="00560436"/>
    <w:rsid w:val="00565BFC"/>
    <w:rsid w:val="005662C4"/>
    <w:rsid w:val="005668CB"/>
    <w:rsid w:val="00567CB3"/>
    <w:rsid w:val="00570A9C"/>
    <w:rsid w:val="00571100"/>
    <w:rsid w:val="00572681"/>
    <w:rsid w:val="00572C2B"/>
    <w:rsid w:val="00575ACA"/>
    <w:rsid w:val="005813DB"/>
    <w:rsid w:val="00581754"/>
    <w:rsid w:val="00581A3A"/>
    <w:rsid w:val="00581B79"/>
    <w:rsid w:val="00584370"/>
    <w:rsid w:val="00584B82"/>
    <w:rsid w:val="005868E3"/>
    <w:rsid w:val="00586ACC"/>
    <w:rsid w:val="00586DEB"/>
    <w:rsid w:val="00587715"/>
    <w:rsid w:val="00587889"/>
    <w:rsid w:val="00590019"/>
    <w:rsid w:val="0059021B"/>
    <w:rsid w:val="005907DB"/>
    <w:rsid w:val="00590CEE"/>
    <w:rsid w:val="00590ED5"/>
    <w:rsid w:val="005925C2"/>
    <w:rsid w:val="00593167"/>
    <w:rsid w:val="0059571B"/>
    <w:rsid w:val="00595A8D"/>
    <w:rsid w:val="005A140E"/>
    <w:rsid w:val="005A251F"/>
    <w:rsid w:val="005A25AB"/>
    <w:rsid w:val="005A25F2"/>
    <w:rsid w:val="005A3045"/>
    <w:rsid w:val="005A406C"/>
    <w:rsid w:val="005A4A89"/>
    <w:rsid w:val="005A4C8B"/>
    <w:rsid w:val="005A5500"/>
    <w:rsid w:val="005A6C88"/>
    <w:rsid w:val="005A7AC5"/>
    <w:rsid w:val="005B10C2"/>
    <w:rsid w:val="005B16D2"/>
    <w:rsid w:val="005B1C37"/>
    <w:rsid w:val="005B242F"/>
    <w:rsid w:val="005B2A94"/>
    <w:rsid w:val="005B36E7"/>
    <w:rsid w:val="005B37D2"/>
    <w:rsid w:val="005B6422"/>
    <w:rsid w:val="005B7082"/>
    <w:rsid w:val="005C16FA"/>
    <w:rsid w:val="005C186B"/>
    <w:rsid w:val="005C23A5"/>
    <w:rsid w:val="005C23B0"/>
    <w:rsid w:val="005C24CF"/>
    <w:rsid w:val="005C27B5"/>
    <w:rsid w:val="005C36B2"/>
    <w:rsid w:val="005C465A"/>
    <w:rsid w:val="005C5EBE"/>
    <w:rsid w:val="005C6FAD"/>
    <w:rsid w:val="005C700E"/>
    <w:rsid w:val="005C71D1"/>
    <w:rsid w:val="005C7E16"/>
    <w:rsid w:val="005C7E1A"/>
    <w:rsid w:val="005D1C19"/>
    <w:rsid w:val="005D242A"/>
    <w:rsid w:val="005D383A"/>
    <w:rsid w:val="005D4C12"/>
    <w:rsid w:val="005D53E8"/>
    <w:rsid w:val="005D5656"/>
    <w:rsid w:val="005D59B6"/>
    <w:rsid w:val="005D5A03"/>
    <w:rsid w:val="005D6A3D"/>
    <w:rsid w:val="005D7FD6"/>
    <w:rsid w:val="005E008B"/>
    <w:rsid w:val="005E1CF2"/>
    <w:rsid w:val="005E22FB"/>
    <w:rsid w:val="005E2B0C"/>
    <w:rsid w:val="005E326B"/>
    <w:rsid w:val="005E370B"/>
    <w:rsid w:val="005E4377"/>
    <w:rsid w:val="005E55B9"/>
    <w:rsid w:val="005E5F58"/>
    <w:rsid w:val="005E68BA"/>
    <w:rsid w:val="005E6992"/>
    <w:rsid w:val="005E6DE6"/>
    <w:rsid w:val="005E7704"/>
    <w:rsid w:val="005F1C9C"/>
    <w:rsid w:val="005F34BE"/>
    <w:rsid w:val="005F45A7"/>
    <w:rsid w:val="005F4BE7"/>
    <w:rsid w:val="005F5D22"/>
    <w:rsid w:val="005F6B0C"/>
    <w:rsid w:val="005F6D85"/>
    <w:rsid w:val="005F76EE"/>
    <w:rsid w:val="005F7CD3"/>
    <w:rsid w:val="006011A3"/>
    <w:rsid w:val="00601762"/>
    <w:rsid w:val="0060403B"/>
    <w:rsid w:val="00604238"/>
    <w:rsid w:val="00606C01"/>
    <w:rsid w:val="00607EBC"/>
    <w:rsid w:val="0061038A"/>
    <w:rsid w:val="00610EE5"/>
    <w:rsid w:val="00613CA8"/>
    <w:rsid w:val="00613E19"/>
    <w:rsid w:val="00614001"/>
    <w:rsid w:val="006157B1"/>
    <w:rsid w:val="0061620D"/>
    <w:rsid w:val="00617880"/>
    <w:rsid w:val="00617B82"/>
    <w:rsid w:val="00617E00"/>
    <w:rsid w:val="00621F2C"/>
    <w:rsid w:val="006254B5"/>
    <w:rsid w:val="00626A11"/>
    <w:rsid w:val="0063095C"/>
    <w:rsid w:val="00632A8A"/>
    <w:rsid w:val="00633A50"/>
    <w:rsid w:val="006360D2"/>
    <w:rsid w:val="00636872"/>
    <w:rsid w:val="006371A1"/>
    <w:rsid w:val="00637F10"/>
    <w:rsid w:val="00641734"/>
    <w:rsid w:val="0064255F"/>
    <w:rsid w:val="00642D6B"/>
    <w:rsid w:val="00643616"/>
    <w:rsid w:val="00646817"/>
    <w:rsid w:val="00646BBF"/>
    <w:rsid w:val="00647900"/>
    <w:rsid w:val="00647BA4"/>
    <w:rsid w:val="00647F19"/>
    <w:rsid w:val="0065089B"/>
    <w:rsid w:val="00651322"/>
    <w:rsid w:val="006526B0"/>
    <w:rsid w:val="0065331A"/>
    <w:rsid w:val="00654DE5"/>
    <w:rsid w:val="00655CBE"/>
    <w:rsid w:val="00655DCF"/>
    <w:rsid w:val="006561F8"/>
    <w:rsid w:val="006575ED"/>
    <w:rsid w:val="00661073"/>
    <w:rsid w:val="0066151D"/>
    <w:rsid w:val="006621B0"/>
    <w:rsid w:val="00665C69"/>
    <w:rsid w:val="00666053"/>
    <w:rsid w:val="0066724C"/>
    <w:rsid w:val="00667800"/>
    <w:rsid w:val="0067035A"/>
    <w:rsid w:val="00670509"/>
    <w:rsid w:val="00670860"/>
    <w:rsid w:val="00670FAB"/>
    <w:rsid w:val="00671C99"/>
    <w:rsid w:val="006724ED"/>
    <w:rsid w:val="00674D15"/>
    <w:rsid w:val="0067693F"/>
    <w:rsid w:val="00680CD6"/>
    <w:rsid w:val="00683248"/>
    <w:rsid w:val="00683D10"/>
    <w:rsid w:val="00684190"/>
    <w:rsid w:val="00684878"/>
    <w:rsid w:val="00684C6D"/>
    <w:rsid w:val="006855B6"/>
    <w:rsid w:val="00685695"/>
    <w:rsid w:val="00685B98"/>
    <w:rsid w:val="00686A53"/>
    <w:rsid w:val="00687BE9"/>
    <w:rsid w:val="00687D62"/>
    <w:rsid w:val="006912A7"/>
    <w:rsid w:val="00692879"/>
    <w:rsid w:val="00693E22"/>
    <w:rsid w:val="00694CFD"/>
    <w:rsid w:val="006950C9"/>
    <w:rsid w:val="00697186"/>
    <w:rsid w:val="00697676"/>
    <w:rsid w:val="00697D16"/>
    <w:rsid w:val="006A1BF6"/>
    <w:rsid w:val="006A23D8"/>
    <w:rsid w:val="006A4A5A"/>
    <w:rsid w:val="006A6AE3"/>
    <w:rsid w:val="006A70F9"/>
    <w:rsid w:val="006A7544"/>
    <w:rsid w:val="006A7A3C"/>
    <w:rsid w:val="006B03D5"/>
    <w:rsid w:val="006B12A7"/>
    <w:rsid w:val="006B1B50"/>
    <w:rsid w:val="006B1B9A"/>
    <w:rsid w:val="006B2424"/>
    <w:rsid w:val="006B454E"/>
    <w:rsid w:val="006B62A9"/>
    <w:rsid w:val="006B65B4"/>
    <w:rsid w:val="006B6790"/>
    <w:rsid w:val="006B6C47"/>
    <w:rsid w:val="006B7630"/>
    <w:rsid w:val="006B7989"/>
    <w:rsid w:val="006B7A2F"/>
    <w:rsid w:val="006B7E6B"/>
    <w:rsid w:val="006C0C01"/>
    <w:rsid w:val="006C1733"/>
    <w:rsid w:val="006C2352"/>
    <w:rsid w:val="006C5FF2"/>
    <w:rsid w:val="006D0E79"/>
    <w:rsid w:val="006D1860"/>
    <w:rsid w:val="006D3453"/>
    <w:rsid w:val="006D45B5"/>
    <w:rsid w:val="006D4C87"/>
    <w:rsid w:val="006D50DF"/>
    <w:rsid w:val="006D523C"/>
    <w:rsid w:val="006D5FFB"/>
    <w:rsid w:val="006D7CA6"/>
    <w:rsid w:val="006E3955"/>
    <w:rsid w:val="006E3D7F"/>
    <w:rsid w:val="006E454D"/>
    <w:rsid w:val="006E4FE9"/>
    <w:rsid w:val="006E5C2B"/>
    <w:rsid w:val="006E72C5"/>
    <w:rsid w:val="006E75F7"/>
    <w:rsid w:val="006E765C"/>
    <w:rsid w:val="006F0090"/>
    <w:rsid w:val="006F02E5"/>
    <w:rsid w:val="006F11E9"/>
    <w:rsid w:val="006F129E"/>
    <w:rsid w:val="006F316A"/>
    <w:rsid w:val="006F38AA"/>
    <w:rsid w:val="006F3BA9"/>
    <w:rsid w:val="006F3EE1"/>
    <w:rsid w:val="006F4127"/>
    <w:rsid w:val="006F61E4"/>
    <w:rsid w:val="006F660C"/>
    <w:rsid w:val="006F6884"/>
    <w:rsid w:val="007000DF"/>
    <w:rsid w:val="0070047A"/>
    <w:rsid w:val="00700F55"/>
    <w:rsid w:val="007026ED"/>
    <w:rsid w:val="007045B4"/>
    <w:rsid w:val="00704782"/>
    <w:rsid w:val="00706E4C"/>
    <w:rsid w:val="0070767A"/>
    <w:rsid w:val="00707B46"/>
    <w:rsid w:val="00711F7C"/>
    <w:rsid w:val="0071228F"/>
    <w:rsid w:val="00712F75"/>
    <w:rsid w:val="00713B1C"/>
    <w:rsid w:val="007144D4"/>
    <w:rsid w:val="00714757"/>
    <w:rsid w:val="00714A76"/>
    <w:rsid w:val="00715AAA"/>
    <w:rsid w:val="00716EC8"/>
    <w:rsid w:val="007170B6"/>
    <w:rsid w:val="007174D0"/>
    <w:rsid w:val="00717662"/>
    <w:rsid w:val="00720A7B"/>
    <w:rsid w:val="00721DDC"/>
    <w:rsid w:val="0072290C"/>
    <w:rsid w:val="0072522B"/>
    <w:rsid w:val="00727A6C"/>
    <w:rsid w:val="00730C69"/>
    <w:rsid w:val="00732BE7"/>
    <w:rsid w:val="007335A3"/>
    <w:rsid w:val="007342EF"/>
    <w:rsid w:val="00734981"/>
    <w:rsid w:val="0073530A"/>
    <w:rsid w:val="0073561E"/>
    <w:rsid w:val="0073663D"/>
    <w:rsid w:val="00737A02"/>
    <w:rsid w:val="00740EBE"/>
    <w:rsid w:val="00741ADF"/>
    <w:rsid w:val="00741D2E"/>
    <w:rsid w:val="00742C94"/>
    <w:rsid w:val="007431BA"/>
    <w:rsid w:val="00744DE8"/>
    <w:rsid w:val="00746892"/>
    <w:rsid w:val="00747D33"/>
    <w:rsid w:val="0075027A"/>
    <w:rsid w:val="00751A83"/>
    <w:rsid w:val="00751E08"/>
    <w:rsid w:val="00753803"/>
    <w:rsid w:val="00754AED"/>
    <w:rsid w:val="00755698"/>
    <w:rsid w:val="00755AEE"/>
    <w:rsid w:val="00756CB5"/>
    <w:rsid w:val="0075726C"/>
    <w:rsid w:val="0075739E"/>
    <w:rsid w:val="00757B6E"/>
    <w:rsid w:val="0076276C"/>
    <w:rsid w:val="0076329B"/>
    <w:rsid w:val="007633B9"/>
    <w:rsid w:val="00764AAB"/>
    <w:rsid w:val="00765064"/>
    <w:rsid w:val="007656FC"/>
    <w:rsid w:val="0076668F"/>
    <w:rsid w:val="00770CFC"/>
    <w:rsid w:val="007713BD"/>
    <w:rsid w:val="00771B40"/>
    <w:rsid w:val="00774403"/>
    <w:rsid w:val="00776945"/>
    <w:rsid w:val="00776BEB"/>
    <w:rsid w:val="00776F88"/>
    <w:rsid w:val="00777170"/>
    <w:rsid w:val="00777393"/>
    <w:rsid w:val="00777D34"/>
    <w:rsid w:val="0078143A"/>
    <w:rsid w:val="007867BA"/>
    <w:rsid w:val="00786B7F"/>
    <w:rsid w:val="00787376"/>
    <w:rsid w:val="00787B7A"/>
    <w:rsid w:val="00787DD6"/>
    <w:rsid w:val="007913D3"/>
    <w:rsid w:val="007920D8"/>
    <w:rsid w:val="00792991"/>
    <w:rsid w:val="00793C3E"/>
    <w:rsid w:val="00795140"/>
    <w:rsid w:val="00795A31"/>
    <w:rsid w:val="007962F5"/>
    <w:rsid w:val="00797A4A"/>
    <w:rsid w:val="007A06E8"/>
    <w:rsid w:val="007A2653"/>
    <w:rsid w:val="007A3FF3"/>
    <w:rsid w:val="007A52D7"/>
    <w:rsid w:val="007A5B14"/>
    <w:rsid w:val="007A72B9"/>
    <w:rsid w:val="007B45AD"/>
    <w:rsid w:val="007B5ACD"/>
    <w:rsid w:val="007B5C96"/>
    <w:rsid w:val="007B6A13"/>
    <w:rsid w:val="007B7135"/>
    <w:rsid w:val="007B7C7D"/>
    <w:rsid w:val="007C1A73"/>
    <w:rsid w:val="007C2473"/>
    <w:rsid w:val="007C259B"/>
    <w:rsid w:val="007C3B04"/>
    <w:rsid w:val="007C3F2B"/>
    <w:rsid w:val="007C4F46"/>
    <w:rsid w:val="007C5C21"/>
    <w:rsid w:val="007D1A70"/>
    <w:rsid w:val="007D316D"/>
    <w:rsid w:val="007D3199"/>
    <w:rsid w:val="007D545F"/>
    <w:rsid w:val="007D5E73"/>
    <w:rsid w:val="007D7EAD"/>
    <w:rsid w:val="007E28CA"/>
    <w:rsid w:val="007E28D2"/>
    <w:rsid w:val="007E2FE2"/>
    <w:rsid w:val="007E37D6"/>
    <w:rsid w:val="007E3820"/>
    <w:rsid w:val="007E3D35"/>
    <w:rsid w:val="007E4F32"/>
    <w:rsid w:val="007E505D"/>
    <w:rsid w:val="007E5ACA"/>
    <w:rsid w:val="007E5F64"/>
    <w:rsid w:val="007E68D1"/>
    <w:rsid w:val="007E778A"/>
    <w:rsid w:val="007F09FB"/>
    <w:rsid w:val="007F1654"/>
    <w:rsid w:val="007F1A5D"/>
    <w:rsid w:val="007F27BD"/>
    <w:rsid w:val="007F4F8D"/>
    <w:rsid w:val="007F588E"/>
    <w:rsid w:val="007F687D"/>
    <w:rsid w:val="0080077C"/>
    <w:rsid w:val="008009E9"/>
    <w:rsid w:val="00800CBC"/>
    <w:rsid w:val="00802380"/>
    <w:rsid w:val="00803125"/>
    <w:rsid w:val="00804211"/>
    <w:rsid w:val="00805143"/>
    <w:rsid w:val="00805A3D"/>
    <w:rsid w:val="008060D6"/>
    <w:rsid w:val="008063D6"/>
    <w:rsid w:val="0080769D"/>
    <w:rsid w:val="008100CD"/>
    <w:rsid w:val="00814723"/>
    <w:rsid w:val="00814924"/>
    <w:rsid w:val="00815B54"/>
    <w:rsid w:val="00816949"/>
    <w:rsid w:val="00817472"/>
    <w:rsid w:val="008176E6"/>
    <w:rsid w:val="00820FDB"/>
    <w:rsid w:val="0082186B"/>
    <w:rsid w:val="00821BDD"/>
    <w:rsid w:val="008223EB"/>
    <w:rsid w:val="00824FE6"/>
    <w:rsid w:val="0082582B"/>
    <w:rsid w:val="008267FA"/>
    <w:rsid w:val="008275D8"/>
    <w:rsid w:val="00833348"/>
    <w:rsid w:val="00834554"/>
    <w:rsid w:val="00834C02"/>
    <w:rsid w:val="00834D75"/>
    <w:rsid w:val="00835505"/>
    <w:rsid w:val="00835699"/>
    <w:rsid w:val="008360E3"/>
    <w:rsid w:val="0084054B"/>
    <w:rsid w:val="00841905"/>
    <w:rsid w:val="008444F7"/>
    <w:rsid w:val="008447C0"/>
    <w:rsid w:val="0084652B"/>
    <w:rsid w:val="00846901"/>
    <w:rsid w:val="00846BFF"/>
    <w:rsid w:val="0085010B"/>
    <w:rsid w:val="0085226C"/>
    <w:rsid w:val="00853D3E"/>
    <w:rsid w:val="00855BDD"/>
    <w:rsid w:val="00855F5F"/>
    <w:rsid w:val="00856A72"/>
    <w:rsid w:val="00857BEC"/>
    <w:rsid w:val="00857EE2"/>
    <w:rsid w:val="008601F8"/>
    <w:rsid w:val="008620D5"/>
    <w:rsid w:val="00863302"/>
    <w:rsid w:val="00863F78"/>
    <w:rsid w:val="0086503A"/>
    <w:rsid w:val="0086560D"/>
    <w:rsid w:val="00866ABD"/>
    <w:rsid w:val="008702B9"/>
    <w:rsid w:val="008706BD"/>
    <w:rsid w:val="00870894"/>
    <w:rsid w:val="00870EEF"/>
    <w:rsid w:val="00871291"/>
    <w:rsid w:val="0087148C"/>
    <w:rsid w:val="00872355"/>
    <w:rsid w:val="00872FA3"/>
    <w:rsid w:val="00873C33"/>
    <w:rsid w:val="00873E3B"/>
    <w:rsid w:val="00874211"/>
    <w:rsid w:val="00876E5B"/>
    <w:rsid w:val="00880586"/>
    <w:rsid w:val="00881D70"/>
    <w:rsid w:val="008834E2"/>
    <w:rsid w:val="00884505"/>
    <w:rsid w:val="00884536"/>
    <w:rsid w:val="00884E1E"/>
    <w:rsid w:val="0088556F"/>
    <w:rsid w:val="0088600E"/>
    <w:rsid w:val="00887F6F"/>
    <w:rsid w:val="008902BE"/>
    <w:rsid w:val="00890A81"/>
    <w:rsid w:val="00891569"/>
    <w:rsid w:val="00893102"/>
    <w:rsid w:val="00893B18"/>
    <w:rsid w:val="00893E6A"/>
    <w:rsid w:val="00894C67"/>
    <w:rsid w:val="008A0D5F"/>
    <w:rsid w:val="008A0F1C"/>
    <w:rsid w:val="008A1556"/>
    <w:rsid w:val="008A1C2A"/>
    <w:rsid w:val="008A2D32"/>
    <w:rsid w:val="008A30C7"/>
    <w:rsid w:val="008A3479"/>
    <w:rsid w:val="008A3BDE"/>
    <w:rsid w:val="008A4349"/>
    <w:rsid w:val="008A4F71"/>
    <w:rsid w:val="008A50A2"/>
    <w:rsid w:val="008A565D"/>
    <w:rsid w:val="008A636D"/>
    <w:rsid w:val="008A6B89"/>
    <w:rsid w:val="008B0457"/>
    <w:rsid w:val="008B0EB2"/>
    <w:rsid w:val="008B0FE3"/>
    <w:rsid w:val="008B40E4"/>
    <w:rsid w:val="008B4573"/>
    <w:rsid w:val="008B470F"/>
    <w:rsid w:val="008B49E3"/>
    <w:rsid w:val="008B5007"/>
    <w:rsid w:val="008B59B3"/>
    <w:rsid w:val="008B6F76"/>
    <w:rsid w:val="008C0A6D"/>
    <w:rsid w:val="008C10BC"/>
    <w:rsid w:val="008C2C2D"/>
    <w:rsid w:val="008C3FA3"/>
    <w:rsid w:val="008C59C7"/>
    <w:rsid w:val="008C68A2"/>
    <w:rsid w:val="008C7310"/>
    <w:rsid w:val="008C7870"/>
    <w:rsid w:val="008D06C1"/>
    <w:rsid w:val="008D0BD4"/>
    <w:rsid w:val="008D258F"/>
    <w:rsid w:val="008D3E67"/>
    <w:rsid w:val="008D435B"/>
    <w:rsid w:val="008D4A68"/>
    <w:rsid w:val="008D53D5"/>
    <w:rsid w:val="008D698C"/>
    <w:rsid w:val="008D720E"/>
    <w:rsid w:val="008E05D9"/>
    <w:rsid w:val="008E250D"/>
    <w:rsid w:val="008E3143"/>
    <w:rsid w:val="008E573B"/>
    <w:rsid w:val="008E5C46"/>
    <w:rsid w:val="008F15D3"/>
    <w:rsid w:val="008F17EE"/>
    <w:rsid w:val="008F1A99"/>
    <w:rsid w:val="008F1BA2"/>
    <w:rsid w:val="008F4494"/>
    <w:rsid w:val="008F46AD"/>
    <w:rsid w:val="008F50C9"/>
    <w:rsid w:val="008F5295"/>
    <w:rsid w:val="008F73F2"/>
    <w:rsid w:val="00905A6F"/>
    <w:rsid w:val="00905F0B"/>
    <w:rsid w:val="00907D30"/>
    <w:rsid w:val="009107D2"/>
    <w:rsid w:val="00910AFB"/>
    <w:rsid w:val="00910EAC"/>
    <w:rsid w:val="009114A5"/>
    <w:rsid w:val="00912590"/>
    <w:rsid w:val="00913257"/>
    <w:rsid w:val="0091365B"/>
    <w:rsid w:val="0091407A"/>
    <w:rsid w:val="00914753"/>
    <w:rsid w:val="00915028"/>
    <w:rsid w:val="00915234"/>
    <w:rsid w:val="00916B47"/>
    <w:rsid w:val="00917869"/>
    <w:rsid w:val="009179CC"/>
    <w:rsid w:val="00921C91"/>
    <w:rsid w:val="0092418D"/>
    <w:rsid w:val="0092506A"/>
    <w:rsid w:val="00925FDD"/>
    <w:rsid w:val="009262E3"/>
    <w:rsid w:val="009302D1"/>
    <w:rsid w:val="0093127A"/>
    <w:rsid w:val="0093619E"/>
    <w:rsid w:val="00936D72"/>
    <w:rsid w:val="00937629"/>
    <w:rsid w:val="00941423"/>
    <w:rsid w:val="00941FF7"/>
    <w:rsid w:val="0094342D"/>
    <w:rsid w:val="009444DB"/>
    <w:rsid w:val="00944C51"/>
    <w:rsid w:val="00946414"/>
    <w:rsid w:val="0094652D"/>
    <w:rsid w:val="009505A2"/>
    <w:rsid w:val="00950CEB"/>
    <w:rsid w:val="00950D7F"/>
    <w:rsid w:val="009512E1"/>
    <w:rsid w:val="00951E15"/>
    <w:rsid w:val="0095237F"/>
    <w:rsid w:val="00953F8E"/>
    <w:rsid w:val="00956FF1"/>
    <w:rsid w:val="00960282"/>
    <w:rsid w:val="00961462"/>
    <w:rsid w:val="00962F71"/>
    <w:rsid w:val="0096338D"/>
    <w:rsid w:val="00964B40"/>
    <w:rsid w:val="00966D41"/>
    <w:rsid w:val="00967046"/>
    <w:rsid w:val="00971082"/>
    <w:rsid w:val="00971F68"/>
    <w:rsid w:val="00972871"/>
    <w:rsid w:val="00972DE0"/>
    <w:rsid w:val="0097315D"/>
    <w:rsid w:val="009751ED"/>
    <w:rsid w:val="00975979"/>
    <w:rsid w:val="00975FFC"/>
    <w:rsid w:val="0098061F"/>
    <w:rsid w:val="009825B2"/>
    <w:rsid w:val="0098590E"/>
    <w:rsid w:val="00986443"/>
    <w:rsid w:val="00987033"/>
    <w:rsid w:val="00987035"/>
    <w:rsid w:val="009873C6"/>
    <w:rsid w:val="0099064A"/>
    <w:rsid w:val="00990CE6"/>
    <w:rsid w:val="00993573"/>
    <w:rsid w:val="00996180"/>
    <w:rsid w:val="009970A2"/>
    <w:rsid w:val="0099723E"/>
    <w:rsid w:val="00997BB0"/>
    <w:rsid w:val="009A05F3"/>
    <w:rsid w:val="009A1C9D"/>
    <w:rsid w:val="009A28BC"/>
    <w:rsid w:val="009B07C6"/>
    <w:rsid w:val="009B0F03"/>
    <w:rsid w:val="009B22E1"/>
    <w:rsid w:val="009B3F8B"/>
    <w:rsid w:val="009B56B6"/>
    <w:rsid w:val="009B6BB2"/>
    <w:rsid w:val="009B7212"/>
    <w:rsid w:val="009C085E"/>
    <w:rsid w:val="009C201A"/>
    <w:rsid w:val="009C2ED1"/>
    <w:rsid w:val="009C598A"/>
    <w:rsid w:val="009D06CD"/>
    <w:rsid w:val="009D1B86"/>
    <w:rsid w:val="009D2C7B"/>
    <w:rsid w:val="009D3035"/>
    <w:rsid w:val="009D35C8"/>
    <w:rsid w:val="009D542C"/>
    <w:rsid w:val="009D56D6"/>
    <w:rsid w:val="009D7542"/>
    <w:rsid w:val="009D79F1"/>
    <w:rsid w:val="009E061D"/>
    <w:rsid w:val="009E08C4"/>
    <w:rsid w:val="009E14BB"/>
    <w:rsid w:val="009E1667"/>
    <w:rsid w:val="009E4CA8"/>
    <w:rsid w:val="009E606A"/>
    <w:rsid w:val="009E63BC"/>
    <w:rsid w:val="009E665D"/>
    <w:rsid w:val="009E676D"/>
    <w:rsid w:val="009E6787"/>
    <w:rsid w:val="009F122F"/>
    <w:rsid w:val="009F152B"/>
    <w:rsid w:val="009F385C"/>
    <w:rsid w:val="009F3D25"/>
    <w:rsid w:val="009F5004"/>
    <w:rsid w:val="009F570E"/>
    <w:rsid w:val="009F69D7"/>
    <w:rsid w:val="009F7470"/>
    <w:rsid w:val="009F7B81"/>
    <w:rsid w:val="00A001A4"/>
    <w:rsid w:val="00A00F70"/>
    <w:rsid w:val="00A0164F"/>
    <w:rsid w:val="00A026E5"/>
    <w:rsid w:val="00A02D11"/>
    <w:rsid w:val="00A03A18"/>
    <w:rsid w:val="00A060E3"/>
    <w:rsid w:val="00A10AA7"/>
    <w:rsid w:val="00A1124E"/>
    <w:rsid w:val="00A11AC0"/>
    <w:rsid w:val="00A11F4A"/>
    <w:rsid w:val="00A13A76"/>
    <w:rsid w:val="00A1557E"/>
    <w:rsid w:val="00A20C55"/>
    <w:rsid w:val="00A212F0"/>
    <w:rsid w:val="00A2191E"/>
    <w:rsid w:val="00A21BFD"/>
    <w:rsid w:val="00A225BE"/>
    <w:rsid w:val="00A226DC"/>
    <w:rsid w:val="00A26792"/>
    <w:rsid w:val="00A2789B"/>
    <w:rsid w:val="00A27DF5"/>
    <w:rsid w:val="00A30BA0"/>
    <w:rsid w:val="00A32380"/>
    <w:rsid w:val="00A3458B"/>
    <w:rsid w:val="00A3564A"/>
    <w:rsid w:val="00A3610C"/>
    <w:rsid w:val="00A41930"/>
    <w:rsid w:val="00A433BC"/>
    <w:rsid w:val="00A444C2"/>
    <w:rsid w:val="00A44B4F"/>
    <w:rsid w:val="00A461F1"/>
    <w:rsid w:val="00A468A2"/>
    <w:rsid w:val="00A46E91"/>
    <w:rsid w:val="00A5162D"/>
    <w:rsid w:val="00A524C0"/>
    <w:rsid w:val="00A52CF4"/>
    <w:rsid w:val="00A53525"/>
    <w:rsid w:val="00A550F9"/>
    <w:rsid w:val="00A55457"/>
    <w:rsid w:val="00A56856"/>
    <w:rsid w:val="00A5693E"/>
    <w:rsid w:val="00A60050"/>
    <w:rsid w:val="00A60241"/>
    <w:rsid w:val="00A62651"/>
    <w:rsid w:val="00A63483"/>
    <w:rsid w:val="00A642A6"/>
    <w:rsid w:val="00A64E1F"/>
    <w:rsid w:val="00A65490"/>
    <w:rsid w:val="00A672DE"/>
    <w:rsid w:val="00A70121"/>
    <w:rsid w:val="00A706AA"/>
    <w:rsid w:val="00A71FEA"/>
    <w:rsid w:val="00A726CD"/>
    <w:rsid w:val="00A73BE8"/>
    <w:rsid w:val="00A75446"/>
    <w:rsid w:val="00A75DC3"/>
    <w:rsid w:val="00A779DE"/>
    <w:rsid w:val="00A80375"/>
    <w:rsid w:val="00A80A11"/>
    <w:rsid w:val="00A81102"/>
    <w:rsid w:val="00A834F9"/>
    <w:rsid w:val="00A83688"/>
    <w:rsid w:val="00A85264"/>
    <w:rsid w:val="00A85E5B"/>
    <w:rsid w:val="00A86B6A"/>
    <w:rsid w:val="00A87C59"/>
    <w:rsid w:val="00A90371"/>
    <w:rsid w:val="00A904A4"/>
    <w:rsid w:val="00A9161A"/>
    <w:rsid w:val="00A9166B"/>
    <w:rsid w:val="00A9410F"/>
    <w:rsid w:val="00A9437E"/>
    <w:rsid w:val="00A952F8"/>
    <w:rsid w:val="00A95FE8"/>
    <w:rsid w:val="00AA0C4A"/>
    <w:rsid w:val="00AA1232"/>
    <w:rsid w:val="00AA1BEA"/>
    <w:rsid w:val="00AA3233"/>
    <w:rsid w:val="00AA3A04"/>
    <w:rsid w:val="00AA436F"/>
    <w:rsid w:val="00AA4E68"/>
    <w:rsid w:val="00AA67AA"/>
    <w:rsid w:val="00AA6D85"/>
    <w:rsid w:val="00AB1014"/>
    <w:rsid w:val="00AB1DD0"/>
    <w:rsid w:val="00AB1E97"/>
    <w:rsid w:val="00AB2CF0"/>
    <w:rsid w:val="00AB3413"/>
    <w:rsid w:val="00AB3AA6"/>
    <w:rsid w:val="00AB3C42"/>
    <w:rsid w:val="00AB3E90"/>
    <w:rsid w:val="00AB470E"/>
    <w:rsid w:val="00AB512D"/>
    <w:rsid w:val="00AB57AE"/>
    <w:rsid w:val="00AC03E1"/>
    <w:rsid w:val="00AC0A26"/>
    <w:rsid w:val="00AC2DCD"/>
    <w:rsid w:val="00AC3E8F"/>
    <w:rsid w:val="00AC48B7"/>
    <w:rsid w:val="00AC70D1"/>
    <w:rsid w:val="00AC76F2"/>
    <w:rsid w:val="00AC799E"/>
    <w:rsid w:val="00AD0A55"/>
    <w:rsid w:val="00AD1C56"/>
    <w:rsid w:val="00AD1C7E"/>
    <w:rsid w:val="00AD438D"/>
    <w:rsid w:val="00AD46F2"/>
    <w:rsid w:val="00AD4755"/>
    <w:rsid w:val="00AD4818"/>
    <w:rsid w:val="00AD52C5"/>
    <w:rsid w:val="00AD64D8"/>
    <w:rsid w:val="00AD7E48"/>
    <w:rsid w:val="00AE043F"/>
    <w:rsid w:val="00AE1E3D"/>
    <w:rsid w:val="00AE4323"/>
    <w:rsid w:val="00AE4B5D"/>
    <w:rsid w:val="00AE6A65"/>
    <w:rsid w:val="00AE6AE7"/>
    <w:rsid w:val="00AF3466"/>
    <w:rsid w:val="00AF57B9"/>
    <w:rsid w:val="00AF5851"/>
    <w:rsid w:val="00AF60CA"/>
    <w:rsid w:val="00AF63F2"/>
    <w:rsid w:val="00AF70E6"/>
    <w:rsid w:val="00AF75EA"/>
    <w:rsid w:val="00AF7743"/>
    <w:rsid w:val="00B02186"/>
    <w:rsid w:val="00B03439"/>
    <w:rsid w:val="00B03DD5"/>
    <w:rsid w:val="00B06DF9"/>
    <w:rsid w:val="00B07060"/>
    <w:rsid w:val="00B07824"/>
    <w:rsid w:val="00B10E47"/>
    <w:rsid w:val="00B123F2"/>
    <w:rsid w:val="00B12A70"/>
    <w:rsid w:val="00B14CC4"/>
    <w:rsid w:val="00B158FE"/>
    <w:rsid w:val="00B1684F"/>
    <w:rsid w:val="00B16D3B"/>
    <w:rsid w:val="00B17FD4"/>
    <w:rsid w:val="00B20D97"/>
    <w:rsid w:val="00B22CA2"/>
    <w:rsid w:val="00B23CA6"/>
    <w:rsid w:val="00B24592"/>
    <w:rsid w:val="00B2502A"/>
    <w:rsid w:val="00B25116"/>
    <w:rsid w:val="00B25381"/>
    <w:rsid w:val="00B266B4"/>
    <w:rsid w:val="00B26DA1"/>
    <w:rsid w:val="00B278A1"/>
    <w:rsid w:val="00B27C4D"/>
    <w:rsid w:val="00B30C82"/>
    <w:rsid w:val="00B31C13"/>
    <w:rsid w:val="00B322CC"/>
    <w:rsid w:val="00B3271A"/>
    <w:rsid w:val="00B33291"/>
    <w:rsid w:val="00B3548A"/>
    <w:rsid w:val="00B36B2E"/>
    <w:rsid w:val="00B37A6E"/>
    <w:rsid w:val="00B40BD3"/>
    <w:rsid w:val="00B41D96"/>
    <w:rsid w:val="00B42767"/>
    <w:rsid w:val="00B431E1"/>
    <w:rsid w:val="00B43250"/>
    <w:rsid w:val="00B4360D"/>
    <w:rsid w:val="00B44D34"/>
    <w:rsid w:val="00B457B3"/>
    <w:rsid w:val="00B45EBB"/>
    <w:rsid w:val="00B5082B"/>
    <w:rsid w:val="00B50B39"/>
    <w:rsid w:val="00B50D79"/>
    <w:rsid w:val="00B5325F"/>
    <w:rsid w:val="00B53FA8"/>
    <w:rsid w:val="00B54056"/>
    <w:rsid w:val="00B543C2"/>
    <w:rsid w:val="00B54C15"/>
    <w:rsid w:val="00B56D7A"/>
    <w:rsid w:val="00B56FB1"/>
    <w:rsid w:val="00B57CFC"/>
    <w:rsid w:val="00B57D53"/>
    <w:rsid w:val="00B57D64"/>
    <w:rsid w:val="00B611FD"/>
    <w:rsid w:val="00B61ECA"/>
    <w:rsid w:val="00B63698"/>
    <w:rsid w:val="00B63844"/>
    <w:rsid w:val="00B64F93"/>
    <w:rsid w:val="00B66C65"/>
    <w:rsid w:val="00B70AED"/>
    <w:rsid w:val="00B720F5"/>
    <w:rsid w:val="00B732FA"/>
    <w:rsid w:val="00B74C16"/>
    <w:rsid w:val="00B74FDA"/>
    <w:rsid w:val="00B7512D"/>
    <w:rsid w:val="00B764A9"/>
    <w:rsid w:val="00B7708F"/>
    <w:rsid w:val="00B77357"/>
    <w:rsid w:val="00B77E5E"/>
    <w:rsid w:val="00B77F12"/>
    <w:rsid w:val="00B81F33"/>
    <w:rsid w:val="00B86B00"/>
    <w:rsid w:val="00B9047F"/>
    <w:rsid w:val="00B90F6C"/>
    <w:rsid w:val="00B91696"/>
    <w:rsid w:val="00B91F0A"/>
    <w:rsid w:val="00B9306C"/>
    <w:rsid w:val="00B942CE"/>
    <w:rsid w:val="00B94D82"/>
    <w:rsid w:val="00B95A9D"/>
    <w:rsid w:val="00B95C5F"/>
    <w:rsid w:val="00B95EF6"/>
    <w:rsid w:val="00B96246"/>
    <w:rsid w:val="00B96294"/>
    <w:rsid w:val="00BA1C49"/>
    <w:rsid w:val="00BA2AF5"/>
    <w:rsid w:val="00BA383E"/>
    <w:rsid w:val="00BA393B"/>
    <w:rsid w:val="00BA3BD3"/>
    <w:rsid w:val="00BA4515"/>
    <w:rsid w:val="00BA493C"/>
    <w:rsid w:val="00BA4963"/>
    <w:rsid w:val="00BA6ABA"/>
    <w:rsid w:val="00BB0137"/>
    <w:rsid w:val="00BB15CB"/>
    <w:rsid w:val="00BB1E47"/>
    <w:rsid w:val="00BB212C"/>
    <w:rsid w:val="00BB39E5"/>
    <w:rsid w:val="00BB4525"/>
    <w:rsid w:val="00BB4B4E"/>
    <w:rsid w:val="00BB51C2"/>
    <w:rsid w:val="00BB666C"/>
    <w:rsid w:val="00BB686B"/>
    <w:rsid w:val="00BB7761"/>
    <w:rsid w:val="00BC0989"/>
    <w:rsid w:val="00BC130A"/>
    <w:rsid w:val="00BC2563"/>
    <w:rsid w:val="00BC291D"/>
    <w:rsid w:val="00BC434F"/>
    <w:rsid w:val="00BC586D"/>
    <w:rsid w:val="00BC6392"/>
    <w:rsid w:val="00BC780D"/>
    <w:rsid w:val="00BD00E9"/>
    <w:rsid w:val="00BD2477"/>
    <w:rsid w:val="00BD2C25"/>
    <w:rsid w:val="00BD4BB1"/>
    <w:rsid w:val="00BD5904"/>
    <w:rsid w:val="00BD6B77"/>
    <w:rsid w:val="00BD6E78"/>
    <w:rsid w:val="00BE2175"/>
    <w:rsid w:val="00BE2D8B"/>
    <w:rsid w:val="00BE44F6"/>
    <w:rsid w:val="00BE4756"/>
    <w:rsid w:val="00BE484F"/>
    <w:rsid w:val="00BE4955"/>
    <w:rsid w:val="00BE5DCA"/>
    <w:rsid w:val="00BE5E8A"/>
    <w:rsid w:val="00BE6CBE"/>
    <w:rsid w:val="00BF05EC"/>
    <w:rsid w:val="00BF0FF0"/>
    <w:rsid w:val="00BF162F"/>
    <w:rsid w:val="00BF20E8"/>
    <w:rsid w:val="00BF366C"/>
    <w:rsid w:val="00BF47CF"/>
    <w:rsid w:val="00BF4C0D"/>
    <w:rsid w:val="00C02F0E"/>
    <w:rsid w:val="00C02F19"/>
    <w:rsid w:val="00C03AEC"/>
    <w:rsid w:val="00C04690"/>
    <w:rsid w:val="00C050A5"/>
    <w:rsid w:val="00C06114"/>
    <w:rsid w:val="00C10123"/>
    <w:rsid w:val="00C10AAF"/>
    <w:rsid w:val="00C10E78"/>
    <w:rsid w:val="00C116CE"/>
    <w:rsid w:val="00C124B2"/>
    <w:rsid w:val="00C12522"/>
    <w:rsid w:val="00C12A21"/>
    <w:rsid w:val="00C12BFE"/>
    <w:rsid w:val="00C15135"/>
    <w:rsid w:val="00C1585C"/>
    <w:rsid w:val="00C174B2"/>
    <w:rsid w:val="00C201A3"/>
    <w:rsid w:val="00C20DEF"/>
    <w:rsid w:val="00C2115D"/>
    <w:rsid w:val="00C21AAE"/>
    <w:rsid w:val="00C23D28"/>
    <w:rsid w:val="00C26232"/>
    <w:rsid w:val="00C26CCF"/>
    <w:rsid w:val="00C27564"/>
    <w:rsid w:val="00C30F4E"/>
    <w:rsid w:val="00C30FAD"/>
    <w:rsid w:val="00C33695"/>
    <w:rsid w:val="00C3452B"/>
    <w:rsid w:val="00C34E48"/>
    <w:rsid w:val="00C352B6"/>
    <w:rsid w:val="00C3538B"/>
    <w:rsid w:val="00C357E8"/>
    <w:rsid w:val="00C37FA9"/>
    <w:rsid w:val="00C40326"/>
    <w:rsid w:val="00C43C94"/>
    <w:rsid w:val="00C449DD"/>
    <w:rsid w:val="00C45C71"/>
    <w:rsid w:val="00C463AB"/>
    <w:rsid w:val="00C463C5"/>
    <w:rsid w:val="00C47072"/>
    <w:rsid w:val="00C47741"/>
    <w:rsid w:val="00C532AD"/>
    <w:rsid w:val="00C53C90"/>
    <w:rsid w:val="00C54E3F"/>
    <w:rsid w:val="00C5559E"/>
    <w:rsid w:val="00C56DBA"/>
    <w:rsid w:val="00C56F9F"/>
    <w:rsid w:val="00C57265"/>
    <w:rsid w:val="00C60258"/>
    <w:rsid w:val="00C60C0C"/>
    <w:rsid w:val="00C614AD"/>
    <w:rsid w:val="00C61BBA"/>
    <w:rsid w:val="00C62E7F"/>
    <w:rsid w:val="00C63214"/>
    <w:rsid w:val="00C632F4"/>
    <w:rsid w:val="00C63DA3"/>
    <w:rsid w:val="00C64888"/>
    <w:rsid w:val="00C65024"/>
    <w:rsid w:val="00C65652"/>
    <w:rsid w:val="00C67B6B"/>
    <w:rsid w:val="00C70490"/>
    <w:rsid w:val="00C70EB0"/>
    <w:rsid w:val="00C70F8C"/>
    <w:rsid w:val="00C740E1"/>
    <w:rsid w:val="00C75E36"/>
    <w:rsid w:val="00C773BF"/>
    <w:rsid w:val="00C7787F"/>
    <w:rsid w:val="00C80BA4"/>
    <w:rsid w:val="00C817EC"/>
    <w:rsid w:val="00C81B85"/>
    <w:rsid w:val="00C81C08"/>
    <w:rsid w:val="00C821ED"/>
    <w:rsid w:val="00C82374"/>
    <w:rsid w:val="00C82C50"/>
    <w:rsid w:val="00C838A1"/>
    <w:rsid w:val="00C83DB4"/>
    <w:rsid w:val="00C84852"/>
    <w:rsid w:val="00C8540C"/>
    <w:rsid w:val="00C86C6F"/>
    <w:rsid w:val="00C87A30"/>
    <w:rsid w:val="00C87FC6"/>
    <w:rsid w:val="00C91E93"/>
    <w:rsid w:val="00C9209D"/>
    <w:rsid w:val="00C92596"/>
    <w:rsid w:val="00C925C4"/>
    <w:rsid w:val="00C93083"/>
    <w:rsid w:val="00C9398E"/>
    <w:rsid w:val="00C94785"/>
    <w:rsid w:val="00C9500F"/>
    <w:rsid w:val="00C9669C"/>
    <w:rsid w:val="00CA096F"/>
    <w:rsid w:val="00CA30E6"/>
    <w:rsid w:val="00CA38F0"/>
    <w:rsid w:val="00CA3BCC"/>
    <w:rsid w:val="00CA3E24"/>
    <w:rsid w:val="00CA414B"/>
    <w:rsid w:val="00CA57F3"/>
    <w:rsid w:val="00CB0018"/>
    <w:rsid w:val="00CB12A9"/>
    <w:rsid w:val="00CB1ADB"/>
    <w:rsid w:val="00CB1DF3"/>
    <w:rsid w:val="00CB2AAB"/>
    <w:rsid w:val="00CB5ED9"/>
    <w:rsid w:val="00CB6669"/>
    <w:rsid w:val="00CB795B"/>
    <w:rsid w:val="00CC013F"/>
    <w:rsid w:val="00CD2A38"/>
    <w:rsid w:val="00CD3ADA"/>
    <w:rsid w:val="00CD4816"/>
    <w:rsid w:val="00CD6005"/>
    <w:rsid w:val="00CD746F"/>
    <w:rsid w:val="00CD77E6"/>
    <w:rsid w:val="00CE0415"/>
    <w:rsid w:val="00CE1E75"/>
    <w:rsid w:val="00CE208D"/>
    <w:rsid w:val="00CE3246"/>
    <w:rsid w:val="00CE32D9"/>
    <w:rsid w:val="00CE3539"/>
    <w:rsid w:val="00CE3A90"/>
    <w:rsid w:val="00CE3E4B"/>
    <w:rsid w:val="00CE5F8B"/>
    <w:rsid w:val="00CF1156"/>
    <w:rsid w:val="00CF226A"/>
    <w:rsid w:val="00CF31E4"/>
    <w:rsid w:val="00CF35E6"/>
    <w:rsid w:val="00CF5B4B"/>
    <w:rsid w:val="00CF6DDB"/>
    <w:rsid w:val="00D0075A"/>
    <w:rsid w:val="00D01504"/>
    <w:rsid w:val="00D01C77"/>
    <w:rsid w:val="00D025E3"/>
    <w:rsid w:val="00D029E0"/>
    <w:rsid w:val="00D02EF8"/>
    <w:rsid w:val="00D030E6"/>
    <w:rsid w:val="00D04920"/>
    <w:rsid w:val="00D0651F"/>
    <w:rsid w:val="00D06B68"/>
    <w:rsid w:val="00D112A8"/>
    <w:rsid w:val="00D11695"/>
    <w:rsid w:val="00D12448"/>
    <w:rsid w:val="00D12B58"/>
    <w:rsid w:val="00D14B65"/>
    <w:rsid w:val="00D14C11"/>
    <w:rsid w:val="00D14DC9"/>
    <w:rsid w:val="00D17616"/>
    <w:rsid w:val="00D1786E"/>
    <w:rsid w:val="00D2097B"/>
    <w:rsid w:val="00D21597"/>
    <w:rsid w:val="00D2184C"/>
    <w:rsid w:val="00D22DDA"/>
    <w:rsid w:val="00D23057"/>
    <w:rsid w:val="00D2393B"/>
    <w:rsid w:val="00D23CCD"/>
    <w:rsid w:val="00D25E32"/>
    <w:rsid w:val="00D32603"/>
    <w:rsid w:val="00D32BF3"/>
    <w:rsid w:val="00D35602"/>
    <w:rsid w:val="00D36295"/>
    <w:rsid w:val="00D40893"/>
    <w:rsid w:val="00D4142F"/>
    <w:rsid w:val="00D41BD6"/>
    <w:rsid w:val="00D425A1"/>
    <w:rsid w:val="00D436D2"/>
    <w:rsid w:val="00D458FE"/>
    <w:rsid w:val="00D46CBD"/>
    <w:rsid w:val="00D47AE1"/>
    <w:rsid w:val="00D47EF1"/>
    <w:rsid w:val="00D50123"/>
    <w:rsid w:val="00D51DED"/>
    <w:rsid w:val="00D521C9"/>
    <w:rsid w:val="00D52850"/>
    <w:rsid w:val="00D5351B"/>
    <w:rsid w:val="00D548AA"/>
    <w:rsid w:val="00D55A86"/>
    <w:rsid w:val="00D566EB"/>
    <w:rsid w:val="00D56828"/>
    <w:rsid w:val="00D56FAB"/>
    <w:rsid w:val="00D57346"/>
    <w:rsid w:val="00D57372"/>
    <w:rsid w:val="00D57C36"/>
    <w:rsid w:val="00D606E3"/>
    <w:rsid w:val="00D62431"/>
    <w:rsid w:val="00D63BD8"/>
    <w:rsid w:val="00D64567"/>
    <w:rsid w:val="00D64652"/>
    <w:rsid w:val="00D64DF7"/>
    <w:rsid w:val="00D657FE"/>
    <w:rsid w:val="00D71DB9"/>
    <w:rsid w:val="00D72CCF"/>
    <w:rsid w:val="00D74DE2"/>
    <w:rsid w:val="00D75D65"/>
    <w:rsid w:val="00D75FF6"/>
    <w:rsid w:val="00D763CF"/>
    <w:rsid w:val="00D77FA5"/>
    <w:rsid w:val="00D803B7"/>
    <w:rsid w:val="00D80610"/>
    <w:rsid w:val="00D809DA"/>
    <w:rsid w:val="00D80D0B"/>
    <w:rsid w:val="00D81C5D"/>
    <w:rsid w:val="00D8367B"/>
    <w:rsid w:val="00D84DF9"/>
    <w:rsid w:val="00D852FB"/>
    <w:rsid w:val="00D8542A"/>
    <w:rsid w:val="00D85822"/>
    <w:rsid w:val="00D86450"/>
    <w:rsid w:val="00D8650E"/>
    <w:rsid w:val="00D92580"/>
    <w:rsid w:val="00D93D41"/>
    <w:rsid w:val="00D94763"/>
    <w:rsid w:val="00D947B7"/>
    <w:rsid w:val="00D966FD"/>
    <w:rsid w:val="00D966FF"/>
    <w:rsid w:val="00D96BC3"/>
    <w:rsid w:val="00D9731E"/>
    <w:rsid w:val="00DA01F9"/>
    <w:rsid w:val="00DA1224"/>
    <w:rsid w:val="00DA132A"/>
    <w:rsid w:val="00DA1526"/>
    <w:rsid w:val="00DA4ACC"/>
    <w:rsid w:val="00DA5398"/>
    <w:rsid w:val="00DA6A1D"/>
    <w:rsid w:val="00DA745C"/>
    <w:rsid w:val="00DA75F3"/>
    <w:rsid w:val="00DB1055"/>
    <w:rsid w:val="00DB1848"/>
    <w:rsid w:val="00DB1B33"/>
    <w:rsid w:val="00DB4D2B"/>
    <w:rsid w:val="00DB7061"/>
    <w:rsid w:val="00DB7340"/>
    <w:rsid w:val="00DC1F21"/>
    <w:rsid w:val="00DC3185"/>
    <w:rsid w:val="00DC3F74"/>
    <w:rsid w:val="00DC44C7"/>
    <w:rsid w:val="00DC5126"/>
    <w:rsid w:val="00DC5293"/>
    <w:rsid w:val="00DD02FC"/>
    <w:rsid w:val="00DD1758"/>
    <w:rsid w:val="00DD2B80"/>
    <w:rsid w:val="00DD476F"/>
    <w:rsid w:val="00DD5347"/>
    <w:rsid w:val="00DD6216"/>
    <w:rsid w:val="00DE0C81"/>
    <w:rsid w:val="00DE11F2"/>
    <w:rsid w:val="00DE19B2"/>
    <w:rsid w:val="00DE1D13"/>
    <w:rsid w:val="00DE2A1D"/>
    <w:rsid w:val="00DE4136"/>
    <w:rsid w:val="00DE48C1"/>
    <w:rsid w:val="00DE4F90"/>
    <w:rsid w:val="00DE501C"/>
    <w:rsid w:val="00DE742D"/>
    <w:rsid w:val="00DF11FA"/>
    <w:rsid w:val="00DF1769"/>
    <w:rsid w:val="00DF1DAB"/>
    <w:rsid w:val="00DF243C"/>
    <w:rsid w:val="00DF5F48"/>
    <w:rsid w:val="00DF69B7"/>
    <w:rsid w:val="00DF7BF3"/>
    <w:rsid w:val="00E01DE6"/>
    <w:rsid w:val="00E0229C"/>
    <w:rsid w:val="00E0304B"/>
    <w:rsid w:val="00E03C50"/>
    <w:rsid w:val="00E053F0"/>
    <w:rsid w:val="00E055B1"/>
    <w:rsid w:val="00E06030"/>
    <w:rsid w:val="00E068AB"/>
    <w:rsid w:val="00E0701F"/>
    <w:rsid w:val="00E079CC"/>
    <w:rsid w:val="00E124BE"/>
    <w:rsid w:val="00E125C4"/>
    <w:rsid w:val="00E12874"/>
    <w:rsid w:val="00E135FB"/>
    <w:rsid w:val="00E13A76"/>
    <w:rsid w:val="00E149D5"/>
    <w:rsid w:val="00E159BF"/>
    <w:rsid w:val="00E164C3"/>
    <w:rsid w:val="00E171E1"/>
    <w:rsid w:val="00E1797C"/>
    <w:rsid w:val="00E220EF"/>
    <w:rsid w:val="00E2232A"/>
    <w:rsid w:val="00E2288B"/>
    <w:rsid w:val="00E2365A"/>
    <w:rsid w:val="00E23C1F"/>
    <w:rsid w:val="00E23E86"/>
    <w:rsid w:val="00E24CF8"/>
    <w:rsid w:val="00E25BCA"/>
    <w:rsid w:val="00E305D4"/>
    <w:rsid w:val="00E307AE"/>
    <w:rsid w:val="00E30CC8"/>
    <w:rsid w:val="00E32D6B"/>
    <w:rsid w:val="00E32F91"/>
    <w:rsid w:val="00E33E4C"/>
    <w:rsid w:val="00E35044"/>
    <w:rsid w:val="00E35C52"/>
    <w:rsid w:val="00E35DAD"/>
    <w:rsid w:val="00E37BCD"/>
    <w:rsid w:val="00E403AC"/>
    <w:rsid w:val="00E40831"/>
    <w:rsid w:val="00E41C62"/>
    <w:rsid w:val="00E42ACD"/>
    <w:rsid w:val="00E43875"/>
    <w:rsid w:val="00E44E17"/>
    <w:rsid w:val="00E44EC5"/>
    <w:rsid w:val="00E45E1D"/>
    <w:rsid w:val="00E47C7B"/>
    <w:rsid w:val="00E50464"/>
    <w:rsid w:val="00E50D50"/>
    <w:rsid w:val="00E513C1"/>
    <w:rsid w:val="00E51D52"/>
    <w:rsid w:val="00E52ABA"/>
    <w:rsid w:val="00E537F6"/>
    <w:rsid w:val="00E537FA"/>
    <w:rsid w:val="00E53A4F"/>
    <w:rsid w:val="00E55006"/>
    <w:rsid w:val="00E5565C"/>
    <w:rsid w:val="00E55805"/>
    <w:rsid w:val="00E56064"/>
    <w:rsid w:val="00E565C3"/>
    <w:rsid w:val="00E60B47"/>
    <w:rsid w:val="00E6184B"/>
    <w:rsid w:val="00E62487"/>
    <w:rsid w:val="00E62AA3"/>
    <w:rsid w:val="00E6353E"/>
    <w:rsid w:val="00E63DF0"/>
    <w:rsid w:val="00E63E55"/>
    <w:rsid w:val="00E641E1"/>
    <w:rsid w:val="00E67877"/>
    <w:rsid w:val="00E709A1"/>
    <w:rsid w:val="00E70B8F"/>
    <w:rsid w:val="00E70C37"/>
    <w:rsid w:val="00E70EEC"/>
    <w:rsid w:val="00E74A0F"/>
    <w:rsid w:val="00E74EF7"/>
    <w:rsid w:val="00E7511B"/>
    <w:rsid w:val="00E7559F"/>
    <w:rsid w:val="00E75786"/>
    <w:rsid w:val="00E75C3E"/>
    <w:rsid w:val="00E77282"/>
    <w:rsid w:val="00E77C76"/>
    <w:rsid w:val="00E82494"/>
    <w:rsid w:val="00E82530"/>
    <w:rsid w:val="00E82C04"/>
    <w:rsid w:val="00E840AD"/>
    <w:rsid w:val="00E84DBD"/>
    <w:rsid w:val="00E84FFF"/>
    <w:rsid w:val="00E8553F"/>
    <w:rsid w:val="00E85885"/>
    <w:rsid w:val="00E900CA"/>
    <w:rsid w:val="00E91227"/>
    <w:rsid w:val="00E92FFF"/>
    <w:rsid w:val="00E9396B"/>
    <w:rsid w:val="00E946B9"/>
    <w:rsid w:val="00E950C8"/>
    <w:rsid w:val="00E95C72"/>
    <w:rsid w:val="00E96638"/>
    <w:rsid w:val="00E96ED7"/>
    <w:rsid w:val="00E9787E"/>
    <w:rsid w:val="00E97BA9"/>
    <w:rsid w:val="00EA137F"/>
    <w:rsid w:val="00EA18D1"/>
    <w:rsid w:val="00EA46A9"/>
    <w:rsid w:val="00EA4920"/>
    <w:rsid w:val="00EA517B"/>
    <w:rsid w:val="00EA57D9"/>
    <w:rsid w:val="00EA5A1B"/>
    <w:rsid w:val="00EA7F47"/>
    <w:rsid w:val="00EB1497"/>
    <w:rsid w:val="00EB1F96"/>
    <w:rsid w:val="00EB2B22"/>
    <w:rsid w:val="00EB4445"/>
    <w:rsid w:val="00EB549F"/>
    <w:rsid w:val="00EB566C"/>
    <w:rsid w:val="00EB6A55"/>
    <w:rsid w:val="00EB6FA0"/>
    <w:rsid w:val="00EB7171"/>
    <w:rsid w:val="00EB7F0E"/>
    <w:rsid w:val="00EC0166"/>
    <w:rsid w:val="00EC1B2F"/>
    <w:rsid w:val="00EC485A"/>
    <w:rsid w:val="00EC4CCE"/>
    <w:rsid w:val="00EC62CB"/>
    <w:rsid w:val="00EC667F"/>
    <w:rsid w:val="00EC6A76"/>
    <w:rsid w:val="00ED00B9"/>
    <w:rsid w:val="00ED06A6"/>
    <w:rsid w:val="00ED16FC"/>
    <w:rsid w:val="00ED20C6"/>
    <w:rsid w:val="00ED41AE"/>
    <w:rsid w:val="00ED47BD"/>
    <w:rsid w:val="00EE4A60"/>
    <w:rsid w:val="00EE4B9A"/>
    <w:rsid w:val="00EE6EC7"/>
    <w:rsid w:val="00EF047B"/>
    <w:rsid w:val="00EF2F5E"/>
    <w:rsid w:val="00EF4310"/>
    <w:rsid w:val="00EF5D85"/>
    <w:rsid w:val="00EF68EC"/>
    <w:rsid w:val="00F001FF"/>
    <w:rsid w:val="00F0063F"/>
    <w:rsid w:val="00F01200"/>
    <w:rsid w:val="00F02AA2"/>
    <w:rsid w:val="00F04DE0"/>
    <w:rsid w:val="00F055FC"/>
    <w:rsid w:val="00F06368"/>
    <w:rsid w:val="00F06C57"/>
    <w:rsid w:val="00F06DF0"/>
    <w:rsid w:val="00F0718B"/>
    <w:rsid w:val="00F07373"/>
    <w:rsid w:val="00F10B8A"/>
    <w:rsid w:val="00F11B22"/>
    <w:rsid w:val="00F11C71"/>
    <w:rsid w:val="00F12267"/>
    <w:rsid w:val="00F13331"/>
    <w:rsid w:val="00F13624"/>
    <w:rsid w:val="00F15163"/>
    <w:rsid w:val="00F157CA"/>
    <w:rsid w:val="00F15BD3"/>
    <w:rsid w:val="00F15E99"/>
    <w:rsid w:val="00F166C9"/>
    <w:rsid w:val="00F16F69"/>
    <w:rsid w:val="00F2193F"/>
    <w:rsid w:val="00F238E9"/>
    <w:rsid w:val="00F23B3E"/>
    <w:rsid w:val="00F23F78"/>
    <w:rsid w:val="00F24CC2"/>
    <w:rsid w:val="00F25104"/>
    <w:rsid w:val="00F25519"/>
    <w:rsid w:val="00F256DF"/>
    <w:rsid w:val="00F25EDB"/>
    <w:rsid w:val="00F25F10"/>
    <w:rsid w:val="00F2647B"/>
    <w:rsid w:val="00F26C69"/>
    <w:rsid w:val="00F34220"/>
    <w:rsid w:val="00F347F3"/>
    <w:rsid w:val="00F3513A"/>
    <w:rsid w:val="00F36193"/>
    <w:rsid w:val="00F372FF"/>
    <w:rsid w:val="00F414B8"/>
    <w:rsid w:val="00F41714"/>
    <w:rsid w:val="00F41AFA"/>
    <w:rsid w:val="00F41E1D"/>
    <w:rsid w:val="00F42DA7"/>
    <w:rsid w:val="00F45302"/>
    <w:rsid w:val="00F4588F"/>
    <w:rsid w:val="00F46A42"/>
    <w:rsid w:val="00F46EB4"/>
    <w:rsid w:val="00F47456"/>
    <w:rsid w:val="00F52647"/>
    <w:rsid w:val="00F52B92"/>
    <w:rsid w:val="00F5352A"/>
    <w:rsid w:val="00F55BF1"/>
    <w:rsid w:val="00F55E4B"/>
    <w:rsid w:val="00F5612A"/>
    <w:rsid w:val="00F6030F"/>
    <w:rsid w:val="00F60478"/>
    <w:rsid w:val="00F60EE1"/>
    <w:rsid w:val="00F633E4"/>
    <w:rsid w:val="00F65682"/>
    <w:rsid w:val="00F65C79"/>
    <w:rsid w:val="00F66242"/>
    <w:rsid w:val="00F6662E"/>
    <w:rsid w:val="00F70898"/>
    <w:rsid w:val="00F712A3"/>
    <w:rsid w:val="00F716CF"/>
    <w:rsid w:val="00F71EC0"/>
    <w:rsid w:val="00F761C4"/>
    <w:rsid w:val="00F76276"/>
    <w:rsid w:val="00F76A98"/>
    <w:rsid w:val="00F8267D"/>
    <w:rsid w:val="00F82B9D"/>
    <w:rsid w:val="00F857A7"/>
    <w:rsid w:val="00F859C0"/>
    <w:rsid w:val="00F85CBC"/>
    <w:rsid w:val="00F86F29"/>
    <w:rsid w:val="00F8744E"/>
    <w:rsid w:val="00F87726"/>
    <w:rsid w:val="00F87C26"/>
    <w:rsid w:val="00F87CCE"/>
    <w:rsid w:val="00F90A04"/>
    <w:rsid w:val="00F93C96"/>
    <w:rsid w:val="00F93F72"/>
    <w:rsid w:val="00F965A1"/>
    <w:rsid w:val="00F969C8"/>
    <w:rsid w:val="00F979A6"/>
    <w:rsid w:val="00FA06FE"/>
    <w:rsid w:val="00FA073A"/>
    <w:rsid w:val="00FA1404"/>
    <w:rsid w:val="00FA2399"/>
    <w:rsid w:val="00FA2EEE"/>
    <w:rsid w:val="00FA34A3"/>
    <w:rsid w:val="00FA3B58"/>
    <w:rsid w:val="00FA45EB"/>
    <w:rsid w:val="00FA46A6"/>
    <w:rsid w:val="00FA7788"/>
    <w:rsid w:val="00FA7E25"/>
    <w:rsid w:val="00FB19A9"/>
    <w:rsid w:val="00FB1DFC"/>
    <w:rsid w:val="00FB2D2C"/>
    <w:rsid w:val="00FB3284"/>
    <w:rsid w:val="00FB4AF6"/>
    <w:rsid w:val="00FB525A"/>
    <w:rsid w:val="00FC0E1E"/>
    <w:rsid w:val="00FC1F79"/>
    <w:rsid w:val="00FC3A0A"/>
    <w:rsid w:val="00FC3C2D"/>
    <w:rsid w:val="00FC3F2E"/>
    <w:rsid w:val="00FC679E"/>
    <w:rsid w:val="00FD0D90"/>
    <w:rsid w:val="00FD1F03"/>
    <w:rsid w:val="00FD1F77"/>
    <w:rsid w:val="00FD5658"/>
    <w:rsid w:val="00FD6047"/>
    <w:rsid w:val="00FD6A9E"/>
    <w:rsid w:val="00FD6B89"/>
    <w:rsid w:val="00FE1969"/>
    <w:rsid w:val="00FE1BAD"/>
    <w:rsid w:val="00FE1D35"/>
    <w:rsid w:val="00FE4152"/>
    <w:rsid w:val="00FF1E1C"/>
    <w:rsid w:val="00FF302B"/>
    <w:rsid w:val="00FF73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AED1F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52B"/>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C3452B"/>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C3452B"/>
    <w:pPr>
      <w:spacing w:before="480" w:after="200"/>
      <w:outlineLvl w:val="1"/>
    </w:pPr>
    <w:rPr>
      <w:caps w:val="0"/>
      <w:sz w:val="26"/>
    </w:rPr>
  </w:style>
  <w:style w:type="paragraph" w:styleId="Heading3">
    <w:name w:val="heading 3"/>
    <w:basedOn w:val="Heading2"/>
    <w:next w:val="base-text-paragraph"/>
    <w:link w:val="Heading3Char"/>
    <w:qFormat/>
    <w:rsid w:val="00C3452B"/>
    <w:pPr>
      <w:spacing w:before="240"/>
      <w:outlineLvl w:val="2"/>
    </w:pPr>
    <w:rPr>
      <w:sz w:val="22"/>
    </w:rPr>
  </w:style>
  <w:style w:type="paragraph" w:styleId="Heading4">
    <w:name w:val="heading 4"/>
    <w:basedOn w:val="Heading3"/>
    <w:next w:val="base-text-paragraph"/>
    <w:link w:val="Heading4Char"/>
    <w:qFormat/>
    <w:rsid w:val="00C3452B"/>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C3452B"/>
    <w:pPr>
      <w:spacing w:after="60"/>
      <w:outlineLvl w:val="4"/>
    </w:pPr>
    <w:rPr>
      <w:b w:val="0"/>
      <w:bCs/>
      <w:iCs/>
      <w:szCs w:val="26"/>
    </w:rPr>
  </w:style>
  <w:style w:type="paragraph" w:styleId="Heading6">
    <w:name w:val="heading 6"/>
    <w:basedOn w:val="Heading5"/>
    <w:next w:val="base-text-paragraph"/>
    <w:link w:val="Heading6Char"/>
    <w:qFormat/>
    <w:rsid w:val="00C3452B"/>
    <w:pPr>
      <w:outlineLvl w:val="5"/>
    </w:pPr>
    <w:rPr>
      <w:bCs w:val="0"/>
      <w:i w:val="0"/>
      <w:szCs w:val="22"/>
      <w:u w:val="single"/>
    </w:rPr>
  </w:style>
  <w:style w:type="paragraph" w:styleId="Heading7">
    <w:name w:val="heading 7"/>
    <w:basedOn w:val="Normal"/>
    <w:next w:val="Normal"/>
    <w:link w:val="Heading7Char"/>
    <w:qFormat/>
    <w:rsid w:val="00C3452B"/>
    <w:pPr>
      <w:spacing w:before="240" w:after="60"/>
      <w:outlineLvl w:val="6"/>
    </w:pPr>
    <w:rPr>
      <w:sz w:val="24"/>
      <w:szCs w:val="24"/>
    </w:rPr>
  </w:style>
  <w:style w:type="paragraph" w:styleId="Heading8">
    <w:name w:val="heading 8"/>
    <w:basedOn w:val="Normal"/>
    <w:next w:val="Normal"/>
    <w:link w:val="Heading8Char"/>
    <w:qFormat/>
    <w:rsid w:val="00C3452B"/>
    <w:pPr>
      <w:spacing w:before="240" w:after="60"/>
      <w:outlineLvl w:val="7"/>
    </w:pPr>
    <w:rPr>
      <w:i/>
      <w:iCs/>
      <w:sz w:val="24"/>
      <w:szCs w:val="24"/>
    </w:rPr>
  </w:style>
  <w:style w:type="paragraph" w:styleId="Heading9">
    <w:name w:val="heading 9"/>
    <w:basedOn w:val="Normal"/>
    <w:next w:val="Normal"/>
    <w:link w:val="Heading9Char"/>
    <w:qFormat/>
    <w:rsid w:val="00C3452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452B"/>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C3452B"/>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C3452B"/>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C3452B"/>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C3452B"/>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C3452B"/>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C3452B"/>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C3452B"/>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C3452B"/>
    <w:rPr>
      <w:rFonts w:ascii="Arial" w:eastAsia="Times New Roman" w:hAnsi="Arial" w:cs="Arial"/>
      <w:lang w:eastAsia="en-AU"/>
    </w:rPr>
  </w:style>
  <w:style w:type="numbering" w:styleId="111111">
    <w:name w:val="Outline List 2"/>
    <w:basedOn w:val="NoList"/>
    <w:semiHidden/>
    <w:rsid w:val="00C3452B"/>
    <w:pPr>
      <w:numPr>
        <w:numId w:val="1"/>
      </w:numPr>
    </w:pPr>
  </w:style>
  <w:style w:type="numbering" w:styleId="1ai">
    <w:name w:val="Outline List 1"/>
    <w:basedOn w:val="NoList"/>
    <w:semiHidden/>
    <w:rsid w:val="00C3452B"/>
    <w:pPr>
      <w:numPr>
        <w:numId w:val="2"/>
      </w:numPr>
    </w:pPr>
  </w:style>
  <w:style w:type="numbering" w:styleId="ArticleSection">
    <w:name w:val="Outline List 3"/>
    <w:basedOn w:val="NoList"/>
    <w:semiHidden/>
    <w:rsid w:val="00C3452B"/>
    <w:pPr>
      <w:numPr>
        <w:numId w:val="3"/>
      </w:numPr>
    </w:pPr>
  </w:style>
  <w:style w:type="paragraph" w:customStyle="1" w:styleId="Baseparagraphcentred">
    <w:name w:val="Base paragraph centred"/>
    <w:basedOn w:val="Normal"/>
    <w:rsid w:val="00C3452B"/>
    <w:pPr>
      <w:spacing w:before="200" w:after="200"/>
      <w:jc w:val="center"/>
    </w:pPr>
  </w:style>
  <w:style w:type="paragraph" w:customStyle="1" w:styleId="base-text-paragraph">
    <w:name w:val="base-text-paragraph"/>
    <w:basedOn w:val="Normal"/>
    <w:link w:val="base-text-paragraphChar"/>
    <w:qFormat/>
    <w:rsid w:val="00C3452B"/>
    <w:pPr>
      <w:tabs>
        <w:tab w:val="num" w:pos="1985"/>
      </w:tabs>
      <w:ind w:left="1134"/>
    </w:pPr>
  </w:style>
  <w:style w:type="character" w:customStyle="1" w:styleId="base-text-paragraphChar">
    <w:name w:val="base-text-paragraph Char"/>
    <w:basedOn w:val="DefaultParagraphFont"/>
    <w:link w:val="base-text-paragraph"/>
    <w:rsid w:val="00C3452B"/>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C3452B"/>
    <w:pPr>
      <w:ind w:left="1134"/>
    </w:pPr>
  </w:style>
  <w:style w:type="paragraph" w:customStyle="1" w:styleId="BillName">
    <w:name w:val="Bill Name"/>
    <w:basedOn w:val="Normal"/>
    <w:next w:val="Baseparagraphcentred"/>
    <w:rsid w:val="00C3452B"/>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C3452B"/>
    <w:pPr>
      <w:ind w:left="1440" w:right="1440"/>
    </w:pPr>
  </w:style>
  <w:style w:type="paragraph" w:styleId="BodyText">
    <w:name w:val="Body Text"/>
    <w:basedOn w:val="Normal"/>
    <w:link w:val="BodyTextChar"/>
    <w:semiHidden/>
    <w:rsid w:val="00C3452B"/>
  </w:style>
  <w:style w:type="character" w:customStyle="1" w:styleId="BodyTextChar">
    <w:name w:val="Body Text Char"/>
    <w:basedOn w:val="DefaultParagraphFont"/>
    <w:link w:val="BodyText"/>
    <w:semiHidden/>
    <w:rsid w:val="00C3452B"/>
    <w:rPr>
      <w:rFonts w:ascii="Times New Roman" w:eastAsia="Times New Roman" w:hAnsi="Times New Roman" w:cs="Times New Roman"/>
      <w:szCs w:val="20"/>
      <w:lang w:eastAsia="en-AU"/>
    </w:rPr>
  </w:style>
  <w:style w:type="paragraph" w:styleId="BodyText2">
    <w:name w:val="Body Text 2"/>
    <w:basedOn w:val="Normal"/>
    <w:link w:val="BodyText2Char"/>
    <w:semiHidden/>
    <w:rsid w:val="00C3452B"/>
    <w:pPr>
      <w:spacing w:line="480" w:lineRule="auto"/>
    </w:pPr>
  </w:style>
  <w:style w:type="character" w:customStyle="1" w:styleId="BodyText2Char">
    <w:name w:val="Body Text 2 Char"/>
    <w:basedOn w:val="DefaultParagraphFont"/>
    <w:link w:val="BodyText2"/>
    <w:semiHidden/>
    <w:rsid w:val="00C3452B"/>
    <w:rPr>
      <w:rFonts w:ascii="Times New Roman" w:eastAsia="Times New Roman" w:hAnsi="Times New Roman" w:cs="Times New Roman"/>
      <w:szCs w:val="20"/>
      <w:lang w:eastAsia="en-AU"/>
    </w:rPr>
  </w:style>
  <w:style w:type="paragraph" w:styleId="BodyText3">
    <w:name w:val="Body Text 3"/>
    <w:basedOn w:val="Normal"/>
    <w:link w:val="BodyText3Char"/>
    <w:semiHidden/>
    <w:rsid w:val="00C3452B"/>
    <w:rPr>
      <w:sz w:val="16"/>
      <w:szCs w:val="16"/>
    </w:rPr>
  </w:style>
  <w:style w:type="character" w:customStyle="1" w:styleId="BodyText3Char">
    <w:name w:val="Body Text 3 Char"/>
    <w:basedOn w:val="DefaultParagraphFont"/>
    <w:link w:val="BodyText3"/>
    <w:semiHidden/>
    <w:rsid w:val="00C3452B"/>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C3452B"/>
    <w:pPr>
      <w:ind w:firstLine="210"/>
    </w:pPr>
  </w:style>
  <w:style w:type="character" w:customStyle="1" w:styleId="BodyTextFirstIndentChar">
    <w:name w:val="Body Text First Indent Char"/>
    <w:basedOn w:val="BodyTextChar"/>
    <w:link w:val="BodyTextFirstIndent"/>
    <w:semiHidden/>
    <w:rsid w:val="00C3452B"/>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C3452B"/>
    <w:pPr>
      <w:ind w:left="283"/>
    </w:pPr>
  </w:style>
  <w:style w:type="character" w:customStyle="1" w:styleId="BodyTextIndentChar">
    <w:name w:val="Body Text Indent Char"/>
    <w:basedOn w:val="DefaultParagraphFont"/>
    <w:link w:val="BodyTextIndent"/>
    <w:semiHidden/>
    <w:rsid w:val="00C3452B"/>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C3452B"/>
    <w:pPr>
      <w:ind w:firstLine="210"/>
    </w:pPr>
  </w:style>
  <w:style w:type="character" w:customStyle="1" w:styleId="BodyTextFirstIndent2Char">
    <w:name w:val="Body Text First Indent 2 Char"/>
    <w:basedOn w:val="BodyTextIndentChar"/>
    <w:link w:val="BodyTextFirstIndent2"/>
    <w:semiHidden/>
    <w:rsid w:val="00C3452B"/>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C3452B"/>
    <w:pPr>
      <w:spacing w:line="480" w:lineRule="auto"/>
      <w:ind w:left="283"/>
    </w:pPr>
  </w:style>
  <w:style w:type="character" w:customStyle="1" w:styleId="BodyTextIndent2Char">
    <w:name w:val="Body Text Indent 2 Char"/>
    <w:basedOn w:val="DefaultParagraphFont"/>
    <w:link w:val="BodyTextIndent2"/>
    <w:semiHidden/>
    <w:rsid w:val="00C3452B"/>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C3452B"/>
    <w:pPr>
      <w:ind w:left="283"/>
    </w:pPr>
    <w:rPr>
      <w:sz w:val="16"/>
      <w:szCs w:val="16"/>
    </w:rPr>
  </w:style>
  <w:style w:type="character" w:customStyle="1" w:styleId="BodyTextIndent3Char">
    <w:name w:val="Body Text Indent 3 Char"/>
    <w:basedOn w:val="DefaultParagraphFont"/>
    <w:link w:val="BodyTextIndent3"/>
    <w:semiHidden/>
    <w:rsid w:val="00C3452B"/>
    <w:rPr>
      <w:rFonts w:ascii="Times New Roman" w:eastAsia="Times New Roman" w:hAnsi="Times New Roman" w:cs="Times New Roman"/>
      <w:sz w:val="16"/>
      <w:szCs w:val="16"/>
      <w:lang w:eastAsia="en-AU"/>
    </w:rPr>
  </w:style>
  <w:style w:type="character" w:customStyle="1" w:styleId="Bold">
    <w:name w:val="Bold"/>
    <w:basedOn w:val="DefaultParagraphFont"/>
    <w:rsid w:val="00C3452B"/>
    <w:rPr>
      <w:b/>
    </w:rPr>
  </w:style>
  <w:style w:type="character" w:customStyle="1" w:styleId="BoldItalic">
    <w:name w:val="BoldItalic"/>
    <w:basedOn w:val="DefaultParagraphFont"/>
    <w:rsid w:val="00C3452B"/>
    <w:rPr>
      <w:b/>
      <w:i/>
    </w:rPr>
  </w:style>
  <w:style w:type="paragraph" w:customStyle="1" w:styleId="BTPwithextraspacing">
    <w:name w:val="BTP with extra spacing"/>
    <w:basedOn w:val="Normal"/>
    <w:rsid w:val="00C3452B"/>
    <w:pPr>
      <w:spacing w:before="360" w:after="360"/>
      <w:ind w:left="1134"/>
    </w:pPr>
  </w:style>
  <w:style w:type="paragraph" w:customStyle="1" w:styleId="ChapterHeading">
    <w:name w:val="Chapter Heading"/>
    <w:next w:val="Heading2"/>
    <w:rsid w:val="00C3452B"/>
    <w:pPr>
      <w:pBdr>
        <w:top w:val="single" w:sz="4" w:space="1" w:color="auto"/>
        <w:bottom w:val="single" w:sz="4" w:space="1" w:color="auto"/>
      </w:pBdr>
      <w:tabs>
        <w:tab w:val="num" w:pos="1134"/>
      </w:tabs>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C3452B"/>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C3452B"/>
    <w:pPr>
      <w:numPr>
        <w:numId w:val="31"/>
      </w:numPr>
    </w:pPr>
  </w:style>
  <w:style w:type="paragraph" w:styleId="Closing">
    <w:name w:val="Closing"/>
    <w:basedOn w:val="Normal"/>
    <w:link w:val="ClosingChar"/>
    <w:semiHidden/>
    <w:rsid w:val="00C3452B"/>
    <w:pPr>
      <w:ind w:left="4252"/>
    </w:pPr>
  </w:style>
  <w:style w:type="character" w:customStyle="1" w:styleId="ClosingChar">
    <w:name w:val="Closing Char"/>
    <w:basedOn w:val="DefaultParagraphFont"/>
    <w:link w:val="Closing"/>
    <w:semiHidden/>
    <w:rsid w:val="00C3452B"/>
    <w:rPr>
      <w:rFonts w:ascii="Times New Roman" w:eastAsia="Times New Roman" w:hAnsi="Times New Roman" w:cs="Times New Roman"/>
      <w:szCs w:val="20"/>
      <w:lang w:eastAsia="en-AU"/>
    </w:rPr>
  </w:style>
  <w:style w:type="paragraph" w:styleId="Date">
    <w:name w:val="Date"/>
    <w:basedOn w:val="Normal"/>
    <w:next w:val="Normal"/>
    <w:link w:val="DateChar"/>
    <w:semiHidden/>
    <w:rsid w:val="00C3452B"/>
  </w:style>
  <w:style w:type="character" w:customStyle="1" w:styleId="DateChar">
    <w:name w:val="Date Char"/>
    <w:basedOn w:val="DefaultParagraphFont"/>
    <w:link w:val="Date"/>
    <w:semiHidden/>
    <w:rsid w:val="00C3452B"/>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C3452B"/>
    <w:pPr>
      <w:keepNext/>
      <w:tabs>
        <w:tab w:val="num" w:pos="720"/>
      </w:tabs>
      <w:spacing w:before="0" w:after="0"/>
      <w:ind w:left="720" w:hanging="432"/>
    </w:pPr>
    <w:rPr>
      <w:b/>
    </w:rPr>
  </w:style>
  <w:style w:type="paragraph" w:customStyle="1" w:styleId="dotpoint">
    <w:name w:val="dot point"/>
    <w:basedOn w:val="Normal"/>
    <w:rsid w:val="00C3452B"/>
    <w:pPr>
      <w:numPr>
        <w:numId w:val="6"/>
      </w:numPr>
    </w:pPr>
  </w:style>
  <w:style w:type="paragraph" w:customStyle="1" w:styleId="dotpoint2">
    <w:name w:val="dot point 2"/>
    <w:basedOn w:val="Normal"/>
    <w:rsid w:val="00C3452B"/>
    <w:pPr>
      <w:numPr>
        <w:ilvl w:val="1"/>
        <w:numId w:val="7"/>
      </w:numPr>
      <w:tabs>
        <w:tab w:val="num" w:pos="1080"/>
      </w:tabs>
    </w:pPr>
  </w:style>
  <w:style w:type="numbering" w:customStyle="1" w:styleId="DotPointList">
    <w:name w:val="Dot Point List"/>
    <w:uiPriority w:val="99"/>
    <w:rsid w:val="00C3452B"/>
  </w:style>
  <w:style w:type="paragraph" w:styleId="E-mailSignature">
    <w:name w:val="E-mail Signature"/>
    <w:basedOn w:val="Normal"/>
    <w:link w:val="E-mailSignatureChar"/>
    <w:semiHidden/>
    <w:rsid w:val="00C3452B"/>
  </w:style>
  <w:style w:type="character" w:customStyle="1" w:styleId="E-mailSignatureChar">
    <w:name w:val="E-mail Signature Char"/>
    <w:basedOn w:val="DefaultParagraphFont"/>
    <w:link w:val="E-mailSignature"/>
    <w:semiHidden/>
    <w:rsid w:val="00C3452B"/>
    <w:rPr>
      <w:rFonts w:ascii="Times New Roman" w:eastAsia="Times New Roman" w:hAnsi="Times New Roman" w:cs="Times New Roman"/>
      <w:szCs w:val="20"/>
      <w:lang w:eastAsia="en-AU"/>
    </w:rPr>
  </w:style>
  <w:style w:type="character" w:styleId="Emphasis">
    <w:name w:val="Emphasis"/>
    <w:basedOn w:val="DefaultParagraphFont"/>
    <w:qFormat/>
    <w:rsid w:val="00C3452B"/>
    <w:rPr>
      <w:i/>
      <w:iCs/>
    </w:rPr>
  </w:style>
  <w:style w:type="paragraph" w:styleId="EnvelopeAddress">
    <w:name w:val="envelope address"/>
    <w:basedOn w:val="Normal"/>
    <w:semiHidden/>
    <w:rsid w:val="00C3452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C3452B"/>
    <w:rPr>
      <w:rFonts w:ascii="Arial" w:hAnsi="Arial" w:cs="Arial"/>
      <w:sz w:val="20"/>
    </w:rPr>
  </w:style>
  <w:style w:type="paragraph" w:customStyle="1" w:styleId="exampletext">
    <w:name w:val="example text"/>
    <w:basedOn w:val="Normal"/>
    <w:rsid w:val="00C3452B"/>
    <w:pPr>
      <w:ind w:left="1985"/>
    </w:pPr>
    <w:rPr>
      <w:sz w:val="20"/>
    </w:rPr>
  </w:style>
  <w:style w:type="paragraph" w:customStyle="1" w:styleId="exampledotpoint1">
    <w:name w:val="example dot point 1"/>
    <w:basedOn w:val="exampletext"/>
    <w:rsid w:val="00C3452B"/>
    <w:pPr>
      <w:numPr>
        <w:numId w:val="8"/>
      </w:numPr>
      <w:spacing w:before="200" w:after="200"/>
    </w:pPr>
  </w:style>
  <w:style w:type="paragraph" w:customStyle="1" w:styleId="exampledotpoint2">
    <w:name w:val="example dot point 2"/>
    <w:basedOn w:val="exampletext"/>
    <w:rsid w:val="00C3452B"/>
    <w:pPr>
      <w:numPr>
        <w:ilvl w:val="1"/>
        <w:numId w:val="8"/>
      </w:numPr>
      <w:spacing w:before="200" w:after="200"/>
    </w:pPr>
  </w:style>
  <w:style w:type="numbering" w:customStyle="1" w:styleId="ExampleDotPointList">
    <w:name w:val="Example Dot Point List"/>
    <w:uiPriority w:val="99"/>
    <w:rsid w:val="00C3452B"/>
    <w:pPr>
      <w:numPr>
        <w:numId w:val="20"/>
      </w:numPr>
    </w:pPr>
  </w:style>
  <w:style w:type="paragraph" w:customStyle="1" w:styleId="ExampleHeading">
    <w:name w:val="Example Heading"/>
    <w:basedOn w:val="Normal"/>
    <w:next w:val="exampletext"/>
    <w:rsid w:val="00C3452B"/>
    <w:pPr>
      <w:keepNext/>
      <w:tabs>
        <w:tab w:val="num" w:pos="864"/>
      </w:tabs>
      <w:ind w:left="864" w:hanging="144"/>
    </w:pPr>
    <w:rPr>
      <w:b/>
    </w:rPr>
  </w:style>
  <w:style w:type="paragraph" w:customStyle="1" w:styleId="exampleindent">
    <w:name w:val="example indent"/>
    <w:basedOn w:val="exampletext"/>
    <w:rsid w:val="00C3452B"/>
    <w:pPr>
      <w:ind w:left="2268"/>
    </w:pPr>
  </w:style>
  <w:style w:type="character" w:styleId="FollowedHyperlink">
    <w:name w:val="FollowedHyperlink"/>
    <w:basedOn w:val="DefaultParagraphFont"/>
    <w:rsid w:val="00C3452B"/>
    <w:rPr>
      <w:color w:val="954F72" w:themeColor="followedHyperlink"/>
      <w:u w:val="single"/>
    </w:rPr>
  </w:style>
  <w:style w:type="character" w:customStyle="1" w:styleId="Font15point">
    <w:name w:val="Font 15 point"/>
    <w:basedOn w:val="DefaultParagraphFont"/>
    <w:rsid w:val="00C3452B"/>
    <w:rPr>
      <w:sz w:val="30"/>
    </w:rPr>
  </w:style>
  <w:style w:type="character" w:customStyle="1" w:styleId="Font19point">
    <w:name w:val="Font 19 point"/>
    <w:basedOn w:val="DefaultParagraphFont"/>
    <w:rsid w:val="00C3452B"/>
    <w:rPr>
      <w:sz w:val="38"/>
    </w:rPr>
  </w:style>
  <w:style w:type="character" w:customStyle="1" w:styleId="Font30point">
    <w:name w:val="Font 30 point"/>
    <w:basedOn w:val="DefaultParagraphFont"/>
    <w:rsid w:val="00C3452B"/>
    <w:rPr>
      <w:sz w:val="60"/>
    </w:rPr>
  </w:style>
  <w:style w:type="paragraph" w:styleId="Footer">
    <w:name w:val="footer"/>
    <w:basedOn w:val="Normal"/>
    <w:link w:val="FooterChar"/>
    <w:semiHidden/>
    <w:rsid w:val="00C3452B"/>
    <w:pPr>
      <w:tabs>
        <w:tab w:val="center" w:pos="4153"/>
        <w:tab w:val="right" w:pos="8306"/>
      </w:tabs>
    </w:pPr>
  </w:style>
  <w:style w:type="character" w:customStyle="1" w:styleId="FooterChar">
    <w:name w:val="Footer Char"/>
    <w:basedOn w:val="DefaultParagraphFont"/>
    <w:link w:val="Footer"/>
    <w:semiHidden/>
    <w:rsid w:val="00C3452B"/>
    <w:rPr>
      <w:rFonts w:ascii="Times New Roman" w:eastAsia="Times New Roman" w:hAnsi="Times New Roman" w:cs="Times New Roman"/>
      <w:szCs w:val="20"/>
      <w:lang w:eastAsia="en-AU"/>
    </w:rPr>
  </w:style>
  <w:style w:type="paragraph" w:styleId="FootnoteText">
    <w:name w:val="footnote text"/>
    <w:basedOn w:val="Normal"/>
    <w:link w:val="FootnoteTextChar"/>
    <w:rsid w:val="00C3452B"/>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C3452B"/>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C3452B"/>
    <w:pPr>
      <w:spacing w:before="60" w:after="60"/>
    </w:pPr>
    <w:rPr>
      <w:sz w:val="20"/>
    </w:rPr>
  </w:style>
  <w:style w:type="paragraph" w:styleId="Header">
    <w:name w:val="header"/>
    <w:basedOn w:val="Normal"/>
    <w:link w:val="HeaderChar"/>
    <w:semiHidden/>
    <w:rsid w:val="00C3452B"/>
    <w:pPr>
      <w:tabs>
        <w:tab w:val="center" w:pos="4153"/>
        <w:tab w:val="right" w:pos="8306"/>
      </w:tabs>
    </w:pPr>
  </w:style>
  <w:style w:type="character" w:customStyle="1" w:styleId="HeaderChar">
    <w:name w:val="Header Char"/>
    <w:basedOn w:val="DefaultParagraphFont"/>
    <w:link w:val="Header"/>
    <w:semiHidden/>
    <w:rsid w:val="00C3452B"/>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C3452B"/>
    <w:pPr>
      <w:spacing w:after="360"/>
    </w:pPr>
  </w:style>
  <w:style w:type="paragraph" w:customStyle="1" w:styleId="Hiddentext">
    <w:name w:val="Hiddentext"/>
    <w:basedOn w:val="Normal"/>
    <w:rsid w:val="00C3452B"/>
    <w:rPr>
      <w:vanish/>
    </w:rPr>
  </w:style>
  <w:style w:type="character" w:styleId="HTMLAcronym">
    <w:name w:val="HTML Acronym"/>
    <w:basedOn w:val="DefaultParagraphFont"/>
    <w:semiHidden/>
    <w:rsid w:val="00C3452B"/>
  </w:style>
  <w:style w:type="paragraph" w:styleId="HTMLAddress">
    <w:name w:val="HTML Address"/>
    <w:basedOn w:val="Normal"/>
    <w:link w:val="HTMLAddressChar"/>
    <w:semiHidden/>
    <w:rsid w:val="00C3452B"/>
    <w:rPr>
      <w:i/>
      <w:iCs/>
    </w:rPr>
  </w:style>
  <w:style w:type="character" w:customStyle="1" w:styleId="HTMLAddressChar">
    <w:name w:val="HTML Address Char"/>
    <w:basedOn w:val="DefaultParagraphFont"/>
    <w:link w:val="HTMLAddress"/>
    <w:semiHidden/>
    <w:rsid w:val="00C3452B"/>
    <w:rPr>
      <w:rFonts w:ascii="Times New Roman" w:eastAsia="Times New Roman" w:hAnsi="Times New Roman" w:cs="Times New Roman"/>
      <w:i/>
      <w:iCs/>
      <w:szCs w:val="20"/>
      <w:lang w:eastAsia="en-AU"/>
    </w:rPr>
  </w:style>
  <w:style w:type="character" w:styleId="HTMLCite">
    <w:name w:val="HTML Cite"/>
    <w:basedOn w:val="DefaultParagraphFont"/>
    <w:semiHidden/>
    <w:rsid w:val="00C3452B"/>
    <w:rPr>
      <w:i/>
      <w:iCs/>
    </w:rPr>
  </w:style>
  <w:style w:type="character" w:styleId="HTMLCode">
    <w:name w:val="HTML Code"/>
    <w:basedOn w:val="DefaultParagraphFont"/>
    <w:semiHidden/>
    <w:rsid w:val="00C3452B"/>
    <w:rPr>
      <w:rFonts w:ascii="Courier New" w:hAnsi="Courier New" w:cs="Courier New"/>
      <w:sz w:val="20"/>
      <w:szCs w:val="20"/>
    </w:rPr>
  </w:style>
  <w:style w:type="character" w:styleId="HTMLDefinition">
    <w:name w:val="HTML Definition"/>
    <w:basedOn w:val="DefaultParagraphFont"/>
    <w:semiHidden/>
    <w:rsid w:val="00C3452B"/>
    <w:rPr>
      <w:i/>
      <w:iCs/>
    </w:rPr>
  </w:style>
  <w:style w:type="character" w:styleId="HTMLKeyboard">
    <w:name w:val="HTML Keyboard"/>
    <w:basedOn w:val="DefaultParagraphFont"/>
    <w:semiHidden/>
    <w:rsid w:val="00C3452B"/>
    <w:rPr>
      <w:rFonts w:ascii="Courier New" w:hAnsi="Courier New" w:cs="Courier New"/>
      <w:sz w:val="20"/>
      <w:szCs w:val="20"/>
    </w:rPr>
  </w:style>
  <w:style w:type="paragraph" w:styleId="HTMLPreformatted">
    <w:name w:val="HTML Preformatted"/>
    <w:basedOn w:val="Normal"/>
    <w:link w:val="HTMLPreformattedChar"/>
    <w:semiHidden/>
    <w:rsid w:val="00C3452B"/>
    <w:rPr>
      <w:rFonts w:ascii="Courier New" w:hAnsi="Courier New" w:cs="Courier New"/>
      <w:sz w:val="20"/>
    </w:rPr>
  </w:style>
  <w:style w:type="character" w:customStyle="1" w:styleId="HTMLPreformattedChar">
    <w:name w:val="HTML Preformatted Char"/>
    <w:basedOn w:val="DefaultParagraphFont"/>
    <w:link w:val="HTMLPreformatted"/>
    <w:semiHidden/>
    <w:rsid w:val="00C3452B"/>
    <w:rPr>
      <w:rFonts w:ascii="Courier New" w:eastAsia="Times New Roman" w:hAnsi="Courier New" w:cs="Courier New"/>
      <w:sz w:val="20"/>
      <w:szCs w:val="20"/>
      <w:lang w:eastAsia="en-AU"/>
    </w:rPr>
  </w:style>
  <w:style w:type="character" w:styleId="HTMLSample">
    <w:name w:val="HTML Sample"/>
    <w:basedOn w:val="DefaultParagraphFont"/>
    <w:semiHidden/>
    <w:rsid w:val="00C3452B"/>
    <w:rPr>
      <w:rFonts w:ascii="Courier New" w:hAnsi="Courier New" w:cs="Courier New"/>
    </w:rPr>
  </w:style>
  <w:style w:type="character" w:styleId="HTMLTypewriter">
    <w:name w:val="HTML Typewriter"/>
    <w:basedOn w:val="DefaultParagraphFont"/>
    <w:semiHidden/>
    <w:rsid w:val="00C3452B"/>
    <w:rPr>
      <w:rFonts w:ascii="Courier New" w:hAnsi="Courier New" w:cs="Courier New"/>
      <w:sz w:val="20"/>
      <w:szCs w:val="20"/>
    </w:rPr>
  </w:style>
  <w:style w:type="character" w:styleId="HTMLVariable">
    <w:name w:val="HTML Variable"/>
    <w:basedOn w:val="DefaultParagraphFont"/>
    <w:semiHidden/>
    <w:rsid w:val="00C3452B"/>
    <w:rPr>
      <w:i/>
      <w:iCs/>
    </w:rPr>
  </w:style>
  <w:style w:type="character" w:styleId="Hyperlink">
    <w:name w:val="Hyperlink"/>
    <w:basedOn w:val="DefaultParagraphFont"/>
    <w:uiPriority w:val="99"/>
    <w:rsid w:val="00C3452B"/>
    <w:rPr>
      <w:color w:val="0563C1" w:themeColor="hyperlink"/>
      <w:u w:val="single"/>
    </w:rPr>
  </w:style>
  <w:style w:type="character" w:customStyle="1" w:styleId="Italic">
    <w:name w:val="Italic"/>
    <w:basedOn w:val="DefaultParagraphFont"/>
    <w:rsid w:val="00C3452B"/>
    <w:rPr>
      <w:i/>
    </w:rPr>
  </w:style>
  <w:style w:type="paragraph" w:customStyle="1" w:styleId="leftfooter">
    <w:name w:val="left footer"/>
    <w:basedOn w:val="Normal"/>
    <w:rsid w:val="00C3452B"/>
    <w:pPr>
      <w:pBdr>
        <w:top w:val="single" w:sz="4" w:space="1" w:color="auto"/>
      </w:pBdr>
      <w:spacing w:before="240" w:after="0"/>
    </w:pPr>
    <w:rPr>
      <w:i/>
      <w:sz w:val="20"/>
    </w:rPr>
  </w:style>
  <w:style w:type="paragraph" w:customStyle="1" w:styleId="leftheader">
    <w:name w:val="left header"/>
    <w:basedOn w:val="Normal"/>
    <w:rsid w:val="00C3452B"/>
    <w:pPr>
      <w:pBdr>
        <w:bottom w:val="single" w:sz="4" w:space="1" w:color="auto"/>
      </w:pBdr>
    </w:pPr>
    <w:rPr>
      <w:i/>
      <w:sz w:val="20"/>
    </w:rPr>
  </w:style>
  <w:style w:type="character" w:styleId="LineNumber">
    <w:name w:val="line number"/>
    <w:basedOn w:val="DefaultParagraphFont"/>
    <w:semiHidden/>
    <w:rsid w:val="00C3452B"/>
  </w:style>
  <w:style w:type="paragraph" w:styleId="List">
    <w:name w:val="List"/>
    <w:basedOn w:val="Normal"/>
    <w:semiHidden/>
    <w:rsid w:val="00C3452B"/>
    <w:pPr>
      <w:ind w:left="283" w:hanging="283"/>
    </w:pPr>
  </w:style>
  <w:style w:type="paragraph" w:styleId="List2">
    <w:name w:val="List 2"/>
    <w:basedOn w:val="Normal"/>
    <w:semiHidden/>
    <w:rsid w:val="00C3452B"/>
    <w:pPr>
      <w:ind w:left="566" w:hanging="283"/>
    </w:pPr>
  </w:style>
  <w:style w:type="paragraph" w:styleId="List3">
    <w:name w:val="List 3"/>
    <w:basedOn w:val="Normal"/>
    <w:semiHidden/>
    <w:rsid w:val="00C3452B"/>
    <w:pPr>
      <w:ind w:left="849" w:hanging="283"/>
    </w:pPr>
  </w:style>
  <w:style w:type="paragraph" w:styleId="List4">
    <w:name w:val="List 4"/>
    <w:basedOn w:val="Normal"/>
    <w:semiHidden/>
    <w:rsid w:val="00C3452B"/>
    <w:pPr>
      <w:ind w:left="1132" w:hanging="283"/>
    </w:pPr>
  </w:style>
  <w:style w:type="paragraph" w:styleId="List5">
    <w:name w:val="List 5"/>
    <w:basedOn w:val="Normal"/>
    <w:semiHidden/>
    <w:rsid w:val="00C3452B"/>
    <w:pPr>
      <w:ind w:left="1415" w:hanging="283"/>
    </w:pPr>
  </w:style>
  <w:style w:type="paragraph" w:styleId="ListBullet">
    <w:name w:val="List Bullet"/>
    <w:basedOn w:val="Normal"/>
    <w:semiHidden/>
    <w:rsid w:val="00C3452B"/>
    <w:pPr>
      <w:numPr>
        <w:numId w:val="9"/>
      </w:numPr>
    </w:pPr>
  </w:style>
  <w:style w:type="paragraph" w:styleId="ListBullet2">
    <w:name w:val="List Bullet 2"/>
    <w:basedOn w:val="Normal"/>
    <w:semiHidden/>
    <w:rsid w:val="00C3452B"/>
    <w:pPr>
      <w:numPr>
        <w:numId w:val="10"/>
      </w:numPr>
    </w:pPr>
  </w:style>
  <w:style w:type="paragraph" w:styleId="ListBullet3">
    <w:name w:val="List Bullet 3"/>
    <w:basedOn w:val="Normal"/>
    <w:semiHidden/>
    <w:rsid w:val="00C3452B"/>
    <w:pPr>
      <w:numPr>
        <w:numId w:val="11"/>
      </w:numPr>
    </w:pPr>
  </w:style>
  <w:style w:type="paragraph" w:styleId="ListBullet4">
    <w:name w:val="List Bullet 4"/>
    <w:basedOn w:val="Normal"/>
    <w:semiHidden/>
    <w:rsid w:val="00C3452B"/>
    <w:pPr>
      <w:numPr>
        <w:numId w:val="12"/>
      </w:numPr>
    </w:pPr>
  </w:style>
  <w:style w:type="paragraph" w:styleId="ListBullet5">
    <w:name w:val="List Bullet 5"/>
    <w:basedOn w:val="Normal"/>
    <w:semiHidden/>
    <w:rsid w:val="00C3452B"/>
    <w:pPr>
      <w:numPr>
        <w:numId w:val="13"/>
      </w:numPr>
    </w:pPr>
  </w:style>
  <w:style w:type="paragraph" w:styleId="ListContinue">
    <w:name w:val="List Continue"/>
    <w:basedOn w:val="Normal"/>
    <w:semiHidden/>
    <w:rsid w:val="00C3452B"/>
    <w:pPr>
      <w:ind w:left="283"/>
    </w:pPr>
  </w:style>
  <w:style w:type="paragraph" w:styleId="ListContinue2">
    <w:name w:val="List Continue 2"/>
    <w:basedOn w:val="Normal"/>
    <w:semiHidden/>
    <w:rsid w:val="00C3452B"/>
    <w:pPr>
      <w:ind w:left="566"/>
    </w:pPr>
  </w:style>
  <w:style w:type="paragraph" w:styleId="ListContinue3">
    <w:name w:val="List Continue 3"/>
    <w:basedOn w:val="Normal"/>
    <w:semiHidden/>
    <w:rsid w:val="00C3452B"/>
    <w:pPr>
      <w:ind w:left="849"/>
    </w:pPr>
  </w:style>
  <w:style w:type="paragraph" w:styleId="ListContinue4">
    <w:name w:val="List Continue 4"/>
    <w:basedOn w:val="Normal"/>
    <w:semiHidden/>
    <w:rsid w:val="00C3452B"/>
    <w:pPr>
      <w:ind w:left="1132"/>
    </w:pPr>
  </w:style>
  <w:style w:type="paragraph" w:styleId="ListContinue5">
    <w:name w:val="List Continue 5"/>
    <w:basedOn w:val="Normal"/>
    <w:semiHidden/>
    <w:rsid w:val="00C3452B"/>
    <w:pPr>
      <w:ind w:left="1415"/>
    </w:pPr>
  </w:style>
  <w:style w:type="paragraph" w:styleId="ListNumber">
    <w:name w:val="List Number"/>
    <w:basedOn w:val="Normal"/>
    <w:semiHidden/>
    <w:rsid w:val="00C3452B"/>
    <w:pPr>
      <w:numPr>
        <w:numId w:val="14"/>
      </w:numPr>
    </w:pPr>
  </w:style>
  <w:style w:type="paragraph" w:styleId="ListNumber2">
    <w:name w:val="List Number 2"/>
    <w:basedOn w:val="Normal"/>
    <w:semiHidden/>
    <w:rsid w:val="00C3452B"/>
    <w:pPr>
      <w:numPr>
        <w:numId w:val="15"/>
      </w:numPr>
    </w:pPr>
  </w:style>
  <w:style w:type="paragraph" w:styleId="ListNumber3">
    <w:name w:val="List Number 3"/>
    <w:basedOn w:val="Normal"/>
    <w:semiHidden/>
    <w:rsid w:val="00C3452B"/>
    <w:pPr>
      <w:numPr>
        <w:numId w:val="16"/>
      </w:numPr>
    </w:pPr>
  </w:style>
  <w:style w:type="paragraph" w:styleId="ListNumber4">
    <w:name w:val="List Number 4"/>
    <w:basedOn w:val="Normal"/>
    <w:semiHidden/>
    <w:rsid w:val="00C3452B"/>
    <w:pPr>
      <w:numPr>
        <w:numId w:val="17"/>
      </w:numPr>
    </w:pPr>
  </w:style>
  <w:style w:type="paragraph" w:styleId="ListNumber5">
    <w:name w:val="List Number 5"/>
    <w:basedOn w:val="Normal"/>
    <w:semiHidden/>
    <w:rsid w:val="00C3452B"/>
    <w:pPr>
      <w:numPr>
        <w:numId w:val="18"/>
      </w:numPr>
    </w:pPr>
  </w:style>
  <w:style w:type="paragraph" w:styleId="ListParagraph">
    <w:name w:val="List Paragraph"/>
    <w:basedOn w:val="Normal"/>
    <w:uiPriority w:val="34"/>
    <w:qFormat/>
    <w:rsid w:val="00C3452B"/>
    <w:pPr>
      <w:ind w:left="720"/>
      <w:contextualSpacing/>
    </w:pPr>
  </w:style>
  <w:style w:type="paragraph" w:styleId="MessageHeader">
    <w:name w:val="Message Header"/>
    <w:basedOn w:val="Normal"/>
    <w:link w:val="MessageHeaderChar"/>
    <w:semiHidden/>
    <w:rsid w:val="00C3452B"/>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C3452B"/>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C3452B"/>
    <w:rPr>
      <w:sz w:val="24"/>
      <w:szCs w:val="24"/>
    </w:rPr>
  </w:style>
  <w:style w:type="paragraph" w:styleId="NormalIndent">
    <w:name w:val="Normal Indent"/>
    <w:basedOn w:val="Normal"/>
    <w:semiHidden/>
    <w:rsid w:val="00C3452B"/>
    <w:pPr>
      <w:ind w:left="720"/>
    </w:pPr>
  </w:style>
  <w:style w:type="paragraph" w:styleId="NoteHeading">
    <w:name w:val="Note Heading"/>
    <w:basedOn w:val="Normal"/>
    <w:next w:val="Normal"/>
    <w:link w:val="NoteHeadingChar"/>
    <w:semiHidden/>
    <w:rsid w:val="00C3452B"/>
  </w:style>
  <w:style w:type="character" w:customStyle="1" w:styleId="NoteHeadingChar">
    <w:name w:val="Note Heading Char"/>
    <w:basedOn w:val="DefaultParagraphFont"/>
    <w:link w:val="NoteHeading"/>
    <w:semiHidden/>
    <w:rsid w:val="00C3452B"/>
    <w:rPr>
      <w:rFonts w:ascii="Times New Roman" w:eastAsia="Times New Roman" w:hAnsi="Times New Roman" w:cs="Times New Roman"/>
      <w:szCs w:val="20"/>
      <w:lang w:eastAsia="en-AU"/>
    </w:rPr>
  </w:style>
  <w:style w:type="character" w:styleId="PageNumber">
    <w:name w:val="page number"/>
    <w:basedOn w:val="DefaultParagraphFont"/>
    <w:semiHidden/>
    <w:rsid w:val="00C3452B"/>
  </w:style>
  <w:style w:type="paragraph" w:styleId="PlainText">
    <w:name w:val="Plain Text"/>
    <w:basedOn w:val="Normal"/>
    <w:link w:val="PlainTextChar"/>
    <w:semiHidden/>
    <w:rsid w:val="00C3452B"/>
    <w:rPr>
      <w:rFonts w:ascii="Courier New" w:hAnsi="Courier New" w:cs="Courier New"/>
      <w:sz w:val="20"/>
    </w:rPr>
  </w:style>
  <w:style w:type="character" w:customStyle="1" w:styleId="PlainTextChar">
    <w:name w:val="Plain Text Char"/>
    <w:basedOn w:val="DefaultParagraphFont"/>
    <w:link w:val="PlainText"/>
    <w:semiHidden/>
    <w:rsid w:val="00C3452B"/>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C3452B"/>
    <w:rPr>
      <w:b/>
      <w:i/>
      <w:sz w:val="18"/>
    </w:rPr>
  </w:style>
  <w:style w:type="paragraph" w:customStyle="1" w:styleId="rightfooter">
    <w:name w:val="right footer"/>
    <w:basedOn w:val="Normal"/>
    <w:rsid w:val="00C3452B"/>
    <w:pPr>
      <w:pBdr>
        <w:top w:val="single" w:sz="4" w:space="1" w:color="auto"/>
      </w:pBdr>
      <w:spacing w:before="240" w:after="0"/>
      <w:jc w:val="right"/>
    </w:pPr>
    <w:rPr>
      <w:i/>
      <w:sz w:val="20"/>
    </w:rPr>
  </w:style>
  <w:style w:type="paragraph" w:customStyle="1" w:styleId="rightheader">
    <w:name w:val="right header"/>
    <w:basedOn w:val="Normal"/>
    <w:rsid w:val="00C3452B"/>
    <w:pPr>
      <w:pBdr>
        <w:bottom w:val="single" w:sz="4" w:space="1" w:color="auto"/>
      </w:pBdr>
      <w:jc w:val="right"/>
    </w:pPr>
    <w:rPr>
      <w:i/>
      <w:sz w:val="20"/>
    </w:rPr>
  </w:style>
  <w:style w:type="paragraph" w:styleId="Salutation">
    <w:name w:val="Salutation"/>
    <w:basedOn w:val="Normal"/>
    <w:next w:val="Normal"/>
    <w:link w:val="SalutationChar"/>
    <w:semiHidden/>
    <w:rsid w:val="00C3452B"/>
  </w:style>
  <w:style w:type="character" w:customStyle="1" w:styleId="SalutationChar">
    <w:name w:val="Salutation Char"/>
    <w:basedOn w:val="DefaultParagraphFont"/>
    <w:link w:val="Salutation"/>
    <w:semiHidden/>
    <w:rsid w:val="00C3452B"/>
    <w:rPr>
      <w:rFonts w:ascii="Times New Roman" w:eastAsia="Times New Roman" w:hAnsi="Times New Roman" w:cs="Times New Roman"/>
      <w:szCs w:val="20"/>
      <w:lang w:eastAsia="en-AU"/>
    </w:rPr>
  </w:style>
  <w:style w:type="paragraph" w:styleId="Signature">
    <w:name w:val="Signature"/>
    <w:basedOn w:val="Normal"/>
    <w:link w:val="SignatureChar"/>
    <w:semiHidden/>
    <w:rsid w:val="00C3452B"/>
    <w:pPr>
      <w:ind w:left="4252"/>
    </w:pPr>
  </w:style>
  <w:style w:type="character" w:customStyle="1" w:styleId="SignatureChar">
    <w:name w:val="Signature Char"/>
    <w:basedOn w:val="DefaultParagraphFont"/>
    <w:link w:val="Signature"/>
    <w:semiHidden/>
    <w:rsid w:val="00C3452B"/>
    <w:rPr>
      <w:rFonts w:ascii="Times New Roman" w:eastAsia="Times New Roman" w:hAnsi="Times New Roman" w:cs="Times New Roman"/>
      <w:szCs w:val="20"/>
      <w:lang w:eastAsia="en-AU"/>
    </w:rPr>
  </w:style>
  <w:style w:type="paragraph" w:customStyle="1" w:styleId="SingleParagraph">
    <w:name w:val="Single Paragraph"/>
    <w:basedOn w:val="Normal"/>
    <w:rsid w:val="00C3452B"/>
    <w:pPr>
      <w:spacing w:after="0"/>
    </w:pPr>
  </w:style>
  <w:style w:type="character" w:styleId="Strong">
    <w:name w:val="Strong"/>
    <w:basedOn w:val="DefaultParagraphFont"/>
    <w:qFormat/>
    <w:rsid w:val="00C3452B"/>
    <w:rPr>
      <w:b/>
      <w:bCs/>
    </w:rPr>
  </w:style>
  <w:style w:type="paragraph" w:styleId="Subtitle">
    <w:name w:val="Subtitle"/>
    <w:basedOn w:val="Normal"/>
    <w:link w:val="SubtitleChar"/>
    <w:qFormat/>
    <w:rsid w:val="00C3452B"/>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C3452B"/>
    <w:rPr>
      <w:rFonts w:ascii="Arial" w:eastAsia="Times New Roman" w:hAnsi="Arial" w:cs="Arial"/>
      <w:sz w:val="24"/>
      <w:szCs w:val="24"/>
      <w:lang w:eastAsia="en-AU"/>
    </w:rPr>
  </w:style>
  <w:style w:type="table" w:styleId="Table3Deffects1">
    <w:name w:val="Table 3D effects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3452B"/>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3452B"/>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C3452B"/>
    <w:pPr>
      <w:spacing w:before="40" w:after="40"/>
    </w:pPr>
    <w:rPr>
      <w:sz w:val="20"/>
    </w:rPr>
  </w:style>
  <w:style w:type="paragraph" w:customStyle="1" w:styleId="tabledotpoint">
    <w:name w:val="table dot point"/>
    <w:basedOn w:val="tabletext"/>
    <w:rsid w:val="00C3452B"/>
    <w:pPr>
      <w:numPr>
        <w:numId w:val="19"/>
      </w:numPr>
    </w:pPr>
  </w:style>
  <w:style w:type="paragraph" w:customStyle="1" w:styleId="tabledotpoint2">
    <w:name w:val="table dot point 2"/>
    <w:basedOn w:val="tabletext"/>
    <w:rsid w:val="00C3452B"/>
    <w:pPr>
      <w:numPr>
        <w:ilvl w:val="1"/>
        <w:numId w:val="19"/>
      </w:numPr>
    </w:pPr>
  </w:style>
  <w:style w:type="numbering" w:customStyle="1" w:styleId="TableDotPointList">
    <w:name w:val="Table Dot Point List"/>
    <w:uiPriority w:val="99"/>
    <w:rsid w:val="00C3452B"/>
    <w:pPr>
      <w:numPr>
        <w:numId w:val="19"/>
      </w:numPr>
    </w:pPr>
  </w:style>
  <w:style w:type="table" w:styleId="TableElegant">
    <w:name w:val="Table Elegant"/>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C3452B"/>
    <w:pPr>
      <w:spacing w:before="60" w:after="60"/>
      <w:ind w:left="0"/>
      <w:jc w:val="center"/>
    </w:pPr>
    <w:rPr>
      <w:iCs/>
      <w:sz w:val="20"/>
    </w:rPr>
  </w:style>
  <w:style w:type="paragraph" w:customStyle="1" w:styleId="TableHeadingoutsidetable">
    <w:name w:val="Table Heading (outside table)"/>
    <w:basedOn w:val="Heading4"/>
    <w:rsid w:val="00C3452B"/>
    <w:pPr>
      <w:tabs>
        <w:tab w:val="num" w:pos="360"/>
        <w:tab w:val="num" w:pos="1008"/>
      </w:tabs>
      <w:ind w:left="1008" w:hanging="432"/>
    </w:pPr>
    <w:rPr>
      <w:b w:val="0"/>
      <w:i w:val="0"/>
      <w:iCs/>
    </w:rPr>
  </w:style>
  <w:style w:type="table" w:styleId="TableList1">
    <w:name w:val="Table List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3452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3452B"/>
    <w:rPr>
      <w:rFonts w:ascii="Arial" w:eastAsia="Times New Roman" w:hAnsi="Arial" w:cs="Arial"/>
      <w:b/>
      <w:bCs/>
      <w:kern w:val="28"/>
      <w:sz w:val="32"/>
      <w:szCs w:val="32"/>
      <w:lang w:eastAsia="en-AU"/>
    </w:rPr>
  </w:style>
  <w:style w:type="paragraph" w:styleId="TOC1">
    <w:name w:val="toc 1"/>
    <w:basedOn w:val="Heading2"/>
    <w:next w:val="TOC2"/>
    <w:uiPriority w:val="39"/>
    <w:rsid w:val="00C3452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C3452B"/>
    <w:pPr>
      <w:ind w:left="0" w:firstLine="0"/>
    </w:pPr>
    <w:rPr>
      <w:noProof/>
    </w:rPr>
  </w:style>
  <w:style w:type="paragraph" w:styleId="TOCHeading">
    <w:name w:val="TOC Heading"/>
    <w:basedOn w:val="Normal"/>
    <w:next w:val="base-text-paragraphnonumbers"/>
    <w:qFormat/>
    <w:rsid w:val="00C3452B"/>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C3452B"/>
    <w:rPr>
      <w:color w:val="808080"/>
    </w:rPr>
  </w:style>
  <w:style w:type="paragraph" w:customStyle="1" w:styleId="ParaCentredNoSpacing">
    <w:name w:val="ParaCentredNoSpacing"/>
    <w:basedOn w:val="Baseparagraphcentred"/>
    <w:qFormat/>
    <w:rsid w:val="00C3452B"/>
    <w:pPr>
      <w:spacing w:before="0" w:after="0"/>
    </w:pPr>
  </w:style>
  <w:style w:type="character" w:customStyle="1" w:styleId="ChapterNameOnly">
    <w:name w:val="ChapterNameOnly"/>
    <w:basedOn w:val="DefaultParagraphFont"/>
    <w:uiPriority w:val="1"/>
    <w:qFormat/>
    <w:rsid w:val="00C3452B"/>
  </w:style>
  <w:style w:type="paragraph" w:styleId="TOC3">
    <w:name w:val="toc 3"/>
    <w:basedOn w:val="Normal"/>
    <w:next w:val="Normal"/>
    <w:autoRedefine/>
    <w:uiPriority w:val="39"/>
    <w:unhideWhenUsed/>
    <w:rsid w:val="00C3452B"/>
    <w:pPr>
      <w:tabs>
        <w:tab w:val="right" w:leader="dot" w:pos="7655"/>
      </w:tabs>
      <w:spacing w:after="100"/>
      <w:ind w:left="442"/>
    </w:pPr>
  </w:style>
  <w:style w:type="table" w:customStyle="1" w:styleId="EMTable">
    <w:name w:val="EMTable"/>
    <w:basedOn w:val="TableNormal"/>
    <w:uiPriority w:val="99"/>
    <w:rsid w:val="00C3452B"/>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paragraph" w:customStyle="1" w:styleId="Bullet">
    <w:name w:val="Bullet"/>
    <w:basedOn w:val="Normal"/>
    <w:link w:val="BulletChar"/>
    <w:rsid w:val="008B40E4"/>
    <w:pPr>
      <w:numPr>
        <w:numId w:val="22"/>
      </w:numPr>
    </w:pPr>
  </w:style>
  <w:style w:type="character" w:customStyle="1" w:styleId="BulletChar">
    <w:name w:val="Bullet Char"/>
    <w:basedOn w:val="base-text-paragraphChar"/>
    <w:link w:val="Bullet"/>
    <w:rsid w:val="008B40E4"/>
    <w:rPr>
      <w:rFonts w:ascii="Times New Roman" w:eastAsia="Times New Roman" w:hAnsi="Times New Roman" w:cs="Times New Roman"/>
      <w:szCs w:val="20"/>
      <w:lang w:eastAsia="en-AU"/>
    </w:rPr>
  </w:style>
  <w:style w:type="paragraph" w:customStyle="1" w:styleId="Dash">
    <w:name w:val="Dash"/>
    <w:basedOn w:val="Normal"/>
    <w:link w:val="DashChar"/>
    <w:rsid w:val="008B40E4"/>
    <w:pPr>
      <w:numPr>
        <w:ilvl w:val="1"/>
        <w:numId w:val="22"/>
      </w:numPr>
    </w:pPr>
  </w:style>
  <w:style w:type="character" w:customStyle="1" w:styleId="DashChar">
    <w:name w:val="Dash Char"/>
    <w:basedOn w:val="base-text-paragraphChar"/>
    <w:link w:val="Dash"/>
    <w:rsid w:val="008B40E4"/>
    <w:rPr>
      <w:rFonts w:ascii="Times New Roman" w:eastAsia="Times New Roman" w:hAnsi="Times New Roman" w:cs="Times New Roman"/>
      <w:szCs w:val="20"/>
      <w:lang w:eastAsia="en-AU"/>
    </w:rPr>
  </w:style>
  <w:style w:type="paragraph" w:customStyle="1" w:styleId="DoubleDot">
    <w:name w:val="Double Dot"/>
    <w:basedOn w:val="Normal"/>
    <w:link w:val="DoubleDotChar"/>
    <w:rsid w:val="008B40E4"/>
    <w:pPr>
      <w:numPr>
        <w:ilvl w:val="2"/>
        <w:numId w:val="22"/>
      </w:numPr>
    </w:pPr>
  </w:style>
  <w:style w:type="character" w:customStyle="1" w:styleId="DoubleDotChar">
    <w:name w:val="Double Dot Char"/>
    <w:basedOn w:val="base-text-paragraphChar"/>
    <w:link w:val="DoubleDot"/>
    <w:rsid w:val="008B40E4"/>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0161E0"/>
    <w:rPr>
      <w:sz w:val="16"/>
      <w:szCs w:val="16"/>
    </w:rPr>
  </w:style>
  <w:style w:type="paragraph" w:styleId="CommentText">
    <w:name w:val="annotation text"/>
    <w:basedOn w:val="Normal"/>
    <w:link w:val="CommentTextChar"/>
    <w:uiPriority w:val="99"/>
    <w:semiHidden/>
    <w:unhideWhenUsed/>
    <w:rsid w:val="000161E0"/>
    <w:rPr>
      <w:sz w:val="20"/>
    </w:rPr>
  </w:style>
  <w:style w:type="character" w:customStyle="1" w:styleId="CommentTextChar">
    <w:name w:val="Comment Text Char"/>
    <w:basedOn w:val="DefaultParagraphFont"/>
    <w:link w:val="CommentText"/>
    <w:uiPriority w:val="99"/>
    <w:semiHidden/>
    <w:rsid w:val="000161E0"/>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161E0"/>
    <w:rPr>
      <w:b/>
      <w:bCs/>
    </w:rPr>
  </w:style>
  <w:style w:type="character" w:customStyle="1" w:styleId="CommentSubjectChar">
    <w:name w:val="Comment Subject Char"/>
    <w:basedOn w:val="CommentTextChar"/>
    <w:link w:val="CommentSubject"/>
    <w:uiPriority w:val="99"/>
    <w:semiHidden/>
    <w:rsid w:val="000161E0"/>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0161E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1E0"/>
    <w:rPr>
      <w:rFonts w:ascii="Segoe UI" w:eastAsia="Times New Roman" w:hAnsi="Segoe UI" w:cs="Segoe UI"/>
      <w:sz w:val="18"/>
      <w:szCs w:val="18"/>
      <w:lang w:eastAsia="en-AU"/>
    </w:rPr>
  </w:style>
  <w:style w:type="paragraph" w:styleId="Revision">
    <w:name w:val="Revision"/>
    <w:hidden/>
    <w:uiPriority w:val="99"/>
    <w:semiHidden/>
    <w:rsid w:val="00D80610"/>
    <w:pPr>
      <w:spacing w:after="0" w:line="240" w:lineRule="auto"/>
    </w:pPr>
    <w:rPr>
      <w:rFonts w:ascii="Times New Roman" w:eastAsia="Times New Roman" w:hAnsi="Times New Roman" w:cs="Times New Roman"/>
      <w:szCs w:val="20"/>
      <w:lang w:eastAsia="en-AU"/>
    </w:rPr>
  </w:style>
  <w:style w:type="paragraph" w:styleId="TOC9">
    <w:name w:val="toc 9"/>
    <w:basedOn w:val="Normal"/>
    <w:next w:val="Normal"/>
    <w:autoRedefine/>
    <w:uiPriority w:val="39"/>
    <w:unhideWhenUsed/>
    <w:rsid w:val="00642D6B"/>
    <w:pPr>
      <w:spacing w:after="100"/>
      <w:ind w:left="1760"/>
    </w:pPr>
  </w:style>
  <w:style w:type="paragraph" w:customStyle="1" w:styleId="BoxHeadBold">
    <w:name w:val="BoxHeadBold"/>
    <w:aliases w:val="bhb"/>
    <w:basedOn w:val="Normal"/>
    <w:next w:val="Normal"/>
    <w:qFormat/>
    <w:rsid w:val="00642D6B"/>
    <w:pPr>
      <w:pBdr>
        <w:top w:val="single" w:sz="6" w:space="5" w:color="auto"/>
        <w:left w:val="single" w:sz="6" w:space="5" w:color="auto"/>
        <w:bottom w:val="single" w:sz="6" w:space="5" w:color="auto"/>
        <w:right w:val="single" w:sz="6" w:space="5" w:color="auto"/>
      </w:pBdr>
      <w:spacing w:before="240" w:after="0"/>
      <w:ind w:left="1134"/>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837470">
      <w:bodyDiv w:val="1"/>
      <w:marLeft w:val="0"/>
      <w:marRight w:val="0"/>
      <w:marTop w:val="0"/>
      <w:marBottom w:val="0"/>
      <w:divBdr>
        <w:top w:val="none" w:sz="0" w:space="0" w:color="auto"/>
        <w:left w:val="none" w:sz="0" w:space="0" w:color="auto"/>
        <w:bottom w:val="none" w:sz="0" w:space="0" w:color="auto"/>
        <w:right w:val="none" w:sz="0" w:space="0" w:color="auto"/>
      </w:divBdr>
    </w:div>
    <w:div w:id="1606577955">
      <w:bodyDiv w:val="1"/>
      <w:marLeft w:val="0"/>
      <w:marRight w:val="0"/>
      <w:marTop w:val="0"/>
      <w:marBottom w:val="0"/>
      <w:divBdr>
        <w:top w:val="none" w:sz="0" w:space="0" w:color="auto"/>
        <w:left w:val="none" w:sz="0" w:space="0" w:color="auto"/>
        <w:bottom w:val="none" w:sz="0" w:space="0" w:color="auto"/>
        <w:right w:val="none" w:sz="0" w:space="0" w:color="auto"/>
      </w:divBdr>
      <w:divsChild>
        <w:div w:id="1005597158">
          <w:marLeft w:val="0"/>
          <w:marRight w:val="0"/>
          <w:marTop w:val="0"/>
          <w:marBottom w:val="0"/>
          <w:divBdr>
            <w:top w:val="none" w:sz="0" w:space="0" w:color="auto"/>
            <w:left w:val="none" w:sz="0" w:space="0" w:color="auto"/>
            <w:bottom w:val="none" w:sz="0" w:space="0" w:color="auto"/>
            <w:right w:val="none" w:sz="0" w:space="0" w:color="auto"/>
          </w:divBdr>
          <w:divsChild>
            <w:div w:id="1630015320">
              <w:marLeft w:val="0"/>
              <w:marRight w:val="0"/>
              <w:marTop w:val="0"/>
              <w:marBottom w:val="0"/>
              <w:divBdr>
                <w:top w:val="none" w:sz="0" w:space="0" w:color="auto"/>
                <w:left w:val="none" w:sz="0" w:space="0" w:color="auto"/>
                <w:bottom w:val="none" w:sz="0" w:space="0" w:color="auto"/>
                <w:right w:val="none" w:sz="0" w:space="0" w:color="auto"/>
              </w:divBdr>
              <w:divsChild>
                <w:div w:id="1727533547">
                  <w:marLeft w:val="0"/>
                  <w:marRight w:val="0"/>
                  <w:marTop w:val="0"/>
                  <w:marBottom w:val="0"/>
                  <w:divBdr>
                    <w:top w:val="none" w:sz="0" w:space="0" w:color="auto"/>
                    <w:left w:val="none" w:sz="0" w:space="0" w:color="auto"/>
                    <w:bottom w:val="none" w:sz="0" w:space="0" w:color="auto"/>
                    <w:right w:val="none" w:sz="0" w:space="0" w:color="auto"/>
                  </w:divBdr>
                  <w:divsChild>
                    <w:div w:id="210266325">
                      <w:marLeft w:val="0"/>
                      <w:marRight w:val="0"/>
                      <w:marTop w:val="0"/>
                      <w:marBottom w:val="0"/>
                      <w:divBdr>
                        <w:top w:val="none" w:sz="0" w:space="0" w:color="auto"/>
                        <w:left w:val="none" w:sz="0" w:space="0" w:color="auto"/>
                        <w:bottom w:val="none" w:sz="0" w:space="0" w:color="auto"/>
                        <w:right w:val="none" w:sz="0" w:space="0" w:color="auto"/>
                      </w:divBdr>
                      <w:divsChild>
                        <w:div w:id="1246064768">
                          <w:marLeft w:val="0"/>
                          <w:marRight w:val="0"/>
                          <w:marTop w:val="0"/>
                          <w:marBottom w:val="0"/>
                          <w:divBdr>
                            <w:top w:val="none" w:sz="0" w:space="0" w:color="auto"/>
                            <w:left w:val="none" w:sz="0" w:space="0" w:color="auto"/>
                            <w:bottom w:val="none" w:sz="0" w:space="0" w:color="auto"/>
                            <w:right w:val="none" w:sz="0" w:space="0" w:color="auto"/>
                          </w:divBdr>
                          <w:divsChild>
                            <w:div w:id="234512726">
                              <w:marLeft w:val="0"/>
                              <w:marRight w:val="0"/>
                              <w:marTop w:val="0"/>
                              <w:marBottom w:val="0"/>
                              <w:divBdr>
                                <w:top w:val="none" w:sz="0" w:space="0" w:color="auto"/>
                                <w:left w:val="none" w:sz="0" w:space="0" w:color="auto"/>
                                <w:bottom w:val="none" w:sz="0" w:space="0" w:color="auto"/>
                                <w:right w:val="none" w:sz="0" w:space="0" w:color="auto"/>
                              </w:divBdr>
                              <w:divsChild>
                                <w:div w:id="418066459">
                                  <w:marLeft w:val="0"/>
                                  <w:marRight w:val="0"/>
                                  <w:marTop w:val="0"/>
                                  <w:marBottom w:val="0"/>
                                  <w:divBdr>
                                    <w:top w:val="none" w:sz="0" w:space="0" w:color="auto"/>
                                    <w:left w:val="none" w:sz="0" w:space="0" w:color="auto"/>
                                    <w:bottom w:val="none" w:sz="0" w:space="0" w:color="auto"/>
                                    <w:right w:val="none" w:sz="0" w:space="0" w:color="auto"/>
                                  </w:divBdr>
                                  <w:divsChild>
                                    <w:div w:id="1691249795">
                                      <w:marLeft w:val="0"/>
                                      <w:marRight w:val="0"/>
                                      <w:marTop w:val="0"/>
                                      <w:marBottom w:val="0"/>
                                      <w:divBdr>
                                        <w:top w:val="none" w:sz="0" w:space="0" w:color="auto"/>
                                        <w:left w:val="none" w:sz="0" w:space="0" w:color="auto"/>
                                        <w:bottom w:val="none" w:sz="0" w:space="0" w:color="auto"/>
                                        <w:right w:val="none" w:sz="0" w:space="0" w:color="auto"/>
                                      </w:divBdr>
                                      <w:divsChild>
                                        <w:div w:id="397367628">
                                          <w:marLeft w:val="0"/>
                                          <w:marRight w:val="0"/>
                                          <w:marTop w:val="0"/>
                                          <w:marBottom w:val="0"/>
                                          <w:divBdr>
                                            <w:top w:val="none" w:sz="0" w:space="0" w:color="auto"/>
                                            <w:left w:val="none" w:sz="0" w:space="0" w:color="auto"/>
                                            <w:bottom w:val="none" w:sz="0" w:space="0" w:color="auto"/>
                                            <w:right w:val="none" w:sz="0" w:space="0" w:color="auto"/>
                                          </w:divBdr>
                                          <w:divsChild>
                                            <w:div w:id="552739666">
                                              <w:marLeft w:val="0"/>
                                              <w:marRight w:val="0"/>
                                              <w:marTop w:val="0"/>
                                              <w:marBottom w:val="0"/>
                                              <w:divBdr>
                                                <w:top w:val="none" w:sz="0" w:space="0" w:color="auto"/>
                                                <w:left w:val="none" w:sz="0" w:space="0" w:color="auto"/>
                                                <w:bottom w:val="none" w:sz="0" w:space="0" w:color="auto"/>
                                                <w:right w:val="none" w:sz="0" w:space="0" w:color="auto"/>
                                              </w:divBdr>
                                              <w:divsChild>
                                                <w:div w:id="524365361">
                                                  <w:marLeft w:val="0"/>
                                                  <w:marRight w:val="0"/>
                                                  <w:marTop w:val="0"/>
                                                  <w:marBottom w:val="0"/>
                                                  <w:divBdr>
                                                    <w:top w:val="none" w:sz="0" w:space="0" w:color="auto"/>
                                                    <w:left w:val="none" w:sz="0" w:space="0" w:color="auto"/>
                                                    <w:bottom w:val="none" w:sz="0" w:space="0" w:color="auto"/>
                                                    <w:right w:val="none" w:sz="0" w:space="0" w:color="auto"/>
                                                  </w:divBdr>
                                                  <w:divsChild>
                                                    <w:div w:id="1403017383">
                                                      <w:marLeft w:val="0"/>
                                                      <w:marRight w:val="0"/>
                                                      <w:marTop w:val="0"/>
                                                      <w:marBottom w:val="0"/>
                                                      <w:divBdr>
                                                        <w:top w:val="none" w:sz="0" w:space="0" w:color="auto"/>
                                                        <w:left w:val="none" w:sz="0" w:space="0" w:color="auto"/>
                                                        <w:bottom w:val="none" w:sz="0" w:space="0" w:color="auto"/>
                                                        <w:right w:val="none" w:sz="0" w:space="0" w:color="auto"/>
                                                      </w:divBdr>
                                                      <w:divsChild>
                                                        <w:div w:id="183429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989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0.xml"/><Relationship Id="rId33"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3.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04E69-E72F-4220-BA19-9B4439526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5050</Words>
  <Characters>28785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Consequential amendments to small business insolvency reforms - Explanatory Memorandum</vt:lpstr>
    </vt:vector>
  </TitlesOfParts>
  <Company/>
  <LinksUpToDate>false</LinksUpToDate>
  <CharactersWithSpaces>33768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Consequential amendments to small business insolvency reforms - Explanatory Memorandum</dc:title>
  <dc:subject/>
  <dc:creator/>
  <cp:keywords/>
  <dc:description/>
  <cp:lastModifiedBy/>
  <cp:revision>1</cp:revision>
  <dcterms:created xsi:type="dcterms:W3CDTF">2021-04-22T01:46:00Z</dcterms:created>
  <dcterms:modified xsi:type="dcterms:W3CDTF">2021-04-22T01:46:00Z</dcterms:modified>
</cp:coreProperties>
</file>