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5BE5" w14:textId="5A0FBE43" w:rsidR="00F109D4" w:rsidRPr="00731FEA" w:rsidRDefault="00CC7781"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0A760C54" w14:textId="69ACA18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3760A041F174BE3ACA821B854FDB2D6"/>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9A65CE">
            <w:rPr>
              <w:sz w:val="24"/>
              <w:szCs w:val="24"/>
            </w:rPr>
            <w:t>Treasurer</w:t>
          </w:r>
        </w:sdtContent>
      </w:sdt>
    </w:p>
    <w:p w14:paraId="6DC3A577" w14:textId="77777777" w:rsidR="00742D62" w:rsidRDefault="00742D62" w:rsidP="00742D62">
      <w:pPr>
        <w:spacing w:before="240" w:after="0"/>
        <w:jc w:val="center"/>
        <w:rPr>
          <w:i/>
        </w:rPr>
      </w:pPr>
      <w:r>
        <w:rPr>
          <w:i/>
        </w:rPr>
        <w:t>Corporations Act 2001</w:t>
      </w:r>
    </w:p>
    <w:p w14:paraId="05AFB3DB" w14:textId="77777777" w:rsidR="00742D62" w:rsidRDefault="00742D62" w:rsidP="00742D62">
      <w:pPr>
        <w:spacing w:before="0" w:after="240"/>
        <w:jc w:val="center"/>
        <w:rPr>
          <w:i/>
        </w:rPr>
      </w:pPr>
      <w:r>
        <w:rPr>
          <w:i/>
        </w:rPr>
        <w:t>Superannuation Industry (Supervision) Act 1993</w:t>
      </w:r>
    </w:p>
    <w:p w14:paraId="40938225" w14:textId="77777777" w:rsidR="00F109D4" w:rsidRPr="00503E44" w:rsidRDefault="00742D62" w:rsidP="00AA1689">
      <w:pPr>
        <w:tabs>
          <w:tab w:val="left" w:pos="1418"/>
        </w:tabs>
        <w:spacing w:before="0" w:after="240"/>
        <w:jc w:val="center"/>
        <w:rPr>
          <w:i/>
        </w:rPr>
      </w:pPr>
      <w:r>
        <w:rPr>
          <w:i/>
        </w:rPr>
        <w:t xml:space="preserve">Treasury Laws Amendment </w:t>
      </w:r>
      <w:r w:rsidR="00486284">
        <w:rPr>
          <w:i/>
        </w:rPr>
        <w:t>(Your Future, Your Super</w:t>
      </w:r>
      <w:r w:rsidR="007A786F">
        <w:rPr>
          <w:i/>
        </w:rPr>
        <w:t xml:space="preserve">- </w:t>
      </w:r>
      <w:r>
        <w:rPr>
          <w:i/>
        </w:rPr>
        <w:t xml:space="preserve">Improving </w:t>
      </w:r>
      <w:r w:rsidR="00F94A32">
        <w:rPr>
          <w:i/>
        </w:rPr>
        <w:t xml:space="preserve">accountability </w:t>
      </w:r>
      <w:r>
        <w:rPr>
          <w:i/>
        </w:rPr>
        <w:t xml:space="preserve">and </w:t>
      </w:r>
      <w:r w:rsidR="00F94A32">
        <w:rPr>
          <w:i/>
        </w:rPr>
        <w:t xml:space="preserve">member outcomes) </w:t>
      </w:r>
      <w:r>
        <w:rPr>
          <w:i/>
        </w:rPr>
        <w:t>Regulations 2021</w:t>
      </w:r>
    </w:p>
    <w:p w14:paraId="75F49802" w14:textId="77777777" w:rsidR="00F109D4" w:rsidRDefault="00742D62" w:rsidP="00647BB7">
      <w:pPr>
        <w:spacing w:before="240"/>
      </w:pPr>
      <w:r w:rsidRPr="00503E44">
        <w:t>S</w:t>
      </w:r>
      <w:r>
        <w:t>ubs</w:t>
      </w:r>
      <w:r w:rsidRPr="00503E44">
        <w:t xml:space="preserve">ection </w:t>
      </w:r>
      <w:r>
        <w:t xml:space="preserve">1364(1) </w:t>
      </w:r>
      <w:r w:rsidRPr="00503E44">
        <w:t xml:space="preserve">of the </w:t>
      </w:r>
      <w:r>
        <w:rPr>
          <w:i/>
        </w:rPr>
        <w:t>Corporations Act 2001</w:t>
      </w:r>
      <w:r w:rsidRPr="00503E44">
        <w:t xml:space="preserve"> </w:t>
      </w:r>
      <w:r>
        <w:t xml:space="preserve">and subsection 353(1) </w:t>
      </w:r>
      <w:r w:rsidRPr="00503E44">
        <w:t xml:space="preserve">of the </w:t>
      </w:r>
      <w:r>
        <w:rPr>
          <w:i/>
        </w:rPr>
        <w:t>Superannuation Industry (Supervision) Act 1993</w:t>
      </w:r>
      <w:r w:rsidRPr="00503E44">
        <w:t xml:space="preserve"> </w:t>
      </w:r>
      <w:r>
        <w:t>provide</w:t>
      </w:r>
      <w:r w:rsidRPr="00503E44">
        <w:t xml:space="preserve"> that the Governor-General may make regulations prescribing matters required or permitted by the Act</w:t>
      </w:r>
      <w:r>
        <w:t>s</w:t>
      </w:r>
      <w:r w:rsidRPr="00503E44">
        <w:t xml:space="preserve"> to be prescribed, or necessary or convenient to be prescribed for carrying out or giving effect to the Act</w:t>
      </w:r>
      <w:r>
        <w:t>s</w:t>
      </w:r>
      <w:r w:rsidRPr="00503E44">
        <w:t>.</w:t>
      </w:r>
    </w:p>
    <w:p w14:paraId="43788B5F" w14:textId="77777777" w:rsidR="00A95466" w:rsidRDefault="00742D62" w:rsidP="00742D62">
      <w:pPr>
        <w:spacing w:before="240"/>
        <w:rPr>
          <w:szCs w:val="23"/>
        </w:rPr>
      </w:pPr>
      <w:r w:rsidRPr="00E97547">
        <w:rPr>
          <w:szCs w:val="23"/>
        </w:rPr>
        <w:t xml:space="preserve">The </w:t>
      </w:r>
      <w:r w:rsidRPr="0025185B">
        <w:rPr>
          <w:i/>
          <w:szCs w:val="23"/>
        </w:rPr>
        <w:t xml:space="preserve">Treasury Laws Amendment (Improving Accountability and Member Outcomes in Superannuation Measures No. 1) </w:t>
      </w:r>
      <w:r>
        <w:rPr>
          <w:i/>
          <w:szCs w:val="23"/>
        </w:rPr>
        <w:t>Act</w:t>
      </w:r>
      <w:r w:rsidRPr="0025185B">
        <w:rPr>
          <w:i/>
          <w:szCs w:val="23"/>
        </w:rPr>
        <w:t xml:space="preserve"> 201</w:t>
      </w:r>
      <w:r>
        <w:rPr>
          <w:i/>
          <w:szCs w:val="23"/>
        </w:rPr>
        <w:t>9</w:t>
      </w:r>
      <w:r w:rsidRPr="0025185B">
        <w:rPr>
          <w:i/>
          <w:szCs w:val="23"/>
        </w:rPr>
        <w:t xml:space="preserve"> </w:t>
      </w:r>
      <w:r w:rsidR="00CC191E">
        <w:rPr>
          <w:szCs w:val="23"/>
        </w:rPr>
        <w:t xml:space="preserve">(the Act) </w:t>
      </w:r>
      <w:r w:rsidR="00F20BE6">
        <w:rPr>
          <w:szCs w:val="23"/>
        </w:rPr>
        <w:t xml:space="preserve">introduced measures </w:t>
      </w:r>
      <w:r>
        <w:rPr>
          <w:szCs w:val="23"/>
        </w:rPr>
        <w:t>to increase</w:t>
      </w:r>
      <w:r w:rsidRPr="00E97547">
        <w:rPr>
          <w:szCs w:val="23"/>
        </w:rPr>
        <w:t xml:space="preserve"> the </w:t>
      </w:r>
      <w:r>
        <w:rPr>
          <w:szCs w:val="23"/>
        </w:rPr>
        <w:t xml:space="preserve">amount and </w:t>
      </w:r>
      <w:r w:rsidRPr="00E97547">
        <w:rPr>
          <w:szCs w:val="23"/>
        </w:rPr>
        <w:t>quality of information available to superannuation fund members</w:t>
      </w:r>
      <w:r w:rsidR="00847553">
        <w:rPr>
          <w:szCs w:val="23"/>
        </w:rPr>
        <w:t xml:space="preserve"> </w:t>
      </w:r>
      <w:r>
        <w:rPr>
          <w:szCs w:val="23"/>
        </w:rPr>
        <w:t>and other stakeholders.</w:t>
      </w:r>
      <w:r w:rsidR="00A95466">
        <w:rPr>
          <w:szCs w:val="23"/>
        </w:rPr>
        <w:t xml:space="preserve"> </w:t>
      </w:r>
    </w:p>
    <w:p w14:paraId="0287A517" w14:textId="22FD3B75" w:rsidR="00CC191E" w:rsidRDefault="00A95466" w:rsidP="00CC191E">
      <w:r>
        <w:rPr>
          <w:szCs w:val="23"/>
        </w:rPr>
        <w:t xml:space="preserve">These included amendments to the </w:t>
      </w:r>
      <w:r w:rsidR="00CC191E">
        <w:rPr>
          <w:szCs w:val="23"/>
        </w:rPr>
        <w:t>‘</w:t>
      </w:r>
      <w:r w:rsidRPr="00C572F0">
        <w:rPr>
          <w:szCs w:val="23"/>
        </w:rPr>
        <w:t>port</w:t>
      </w:r>
      <w:r>
        <w:rPr>
          <w:szCs w:val="23"/>
        </w:rPr>
        <w:t>folio holdings disclosure</w:t>
      </w:r>
      <w:r w:rsidR="00CC191E">
        <w:rPr>
          <w:szCs w:val="23"/>
        </w:rPr>
        <w:t>’</w:t>
      </w:r>
      <w:r>
        <w:rPr>
          <w:szCs w:val="23"/>
        </w:rPr>
        <w:t xml:space="preserve"> regime to ensure that information is available to members about </w:t>
      </w:r>
      <w:r w:rsidRPr="001424C2">
        <w:rPr>
          <w:szCs w:val="23"/>
        </w:rPr>
        <w:t>the portfolio h</w:t>
      </w:r>
      <w:r>
        <w:rPr>
          <w:szCs w:val="23"/>
        </w:rPr>
        <w:t xml:space="preserve">oldings of superannuation funds. </w:t>
      </w:r>
      <w:r w:rsidR="00CC191E">
        <w:rPr>
          <w:szCs w:val="23"/>
        </w:rPr>
        <w:t xml:space="preserve">The Act also introduced the requirement for superannuation funds to hold ‘annual members’ meetings’, which provide </w:t>
      </w:r>
      <w:r w:rsidRPr="00D05B92">
        <w:rPr>
          <w:szCs w:val="23"/>
        </w:rPr>
        <w:t xml:space="preserve">a forum where the key aspects of the fund </w:t>
      </w:r>
      <w:r>
        <w:rPr>
          <w:szCs w:val="23"/>
        </w:rPr>
        <w:t>are</w:t>
      </w:r>
      <w:r w:rsidRPr="00D05B92">
        <w:rPr>
          <w:szCs w:val="23"/>
        </w:rPr>
        <w:t xml:space="preserve"> discussed and where members </w:t>
      </w:r>
      <w:r>
        <w:rPr>
          <w:szCs w:val="23"/>
        </w:rPr>
        <w:t>may</w:t>
      </w:r>
      <w:r w:rsidRPr="00D05B92">
        <w:rPr>
          <w:szCs w:val="23"/>
        </w:rPr>
        <w:t xml:space="preserve"> ask questions about the fund’s performance and operations</w:t>
      </w:r>
      <w:r>
        <w:rPr>
          <w:szCs w:val="23"/>
        </w:rPr>
        <w:t>.</w:t>
      </w:r>
      <w:r w:rsidR="00CC191E">
        <w:rPr>
          <w:szCs w:val="23"/>
        </w:rPr>
        <w:t xml:space="preserve"> Other amendments in the Act strengthened the </w:t>
      </w:r>
      <w:r w:rsidR="00CC191E" w:rsidRPr="00F015EE">
        <w:t xml:space="preserve">rules </w:t>
      </w:r>
      <w:r w:rsidR="00CC191E">
        <w:t xml:space="preserve">prohibiting the use of </w:t>
      </w:r>
      <w:r w:rsidR="00CC191E" w:rsidRPr="00F015EE">
        <w:t xml:space="preserve">goods or services </w:t>
      </w:r>
      <w:r w:rsidR="00CC191E">
        <w:t xml:space="preserve">by a trustee </w:t>
      </w:r>
      <w:r w:rsidR="00CC191E" w:rsidRPr="00F015EE">
        <w:t xml:space="preserve">to influence </w:t>
      </w:r>
      <w:r w:rsidR="00CC191E">
        <w:t xml:space="preserve">an employer’s decision to nominate a </w:t>
      </w:r>
      <w:r w:rsidR="00CC191E" w:rsidRPr="00F015EE">
        <w:t>superannuation fund as the</w:t>
      </w:r>
      <w:r w:rsidR="00CC191E">
        <w:t>ir</w:t>
      </w:r>
      <w:r w:rsidR="00CC191E" w:rsidRPr="00F015EE">
        <w:t xml:space="preserve"> default fund</w:t>
      </w:r>
      <w:r w:rsidR="00CC191E">
        <w:t>,</w:t>
      </w:r>
      <w:r w:rsidR="00CC191E" w:rsidRPr="00F015EE">
        <w:t xml:space="preserve"> or </w:t>
      </w:r>
      <w:r w:rsidR="00CC191E">
        <w:t xml:space="preserve">to </w:t>
      </w:r>
      <w:r w:rsidR="00CC191E" w:rsidRPr="00F015EE">
        <w:t>encourage their employees to n</w:t>
      </w:r>
      <w:r w:rsidR="00CC191E">
        <w:t>ominate the fund as their chosen</w:t>
      </w:r>
      <w:r w:rsidR="00CC191E" w:rsidRPr="00F015EE">
        <w:t xml:space="preserve"> of fund.</w:t>
      </w:r>
      <w:r w:rsidR="00CC191E">
        <w:t xml:space="preserve"> </w:t>
      </w:r>
    </w:p>
    <w:p w14:paraId="28D51436" w14:textId="77777777" w:rsidR="00CC191E" w:rsidRDefault="00F015EE" w:rsidP="00CC191E">
      <w:pPr>
        <w:rPr>
          <w:i/>
          <w:szCs w:val="23"/>
        </w:rPr>
      </w:pPr>
      <w:r w:rsidRPr="00A036E1">
        <w:rPr>
          <w:szCs w:val="23"/>
        </w:rPr>
        <w:t xml:space="preserve">The </w:t>
      </w:r>
      <w:r w:rsidR="009D0186" w:rsidRPr="009D0186">
        <w:rPr>
          <w:i/>
          <w:szCs w:val="23"/>
        </w:rPr>
        <w:t>Treasury Laws Amend</w:t>
      </w:r>
      <w:r w:rsidR="007A786F">
        <w:rPr>
          <w:i/>
          <w:szCs w:val="23"/>
        </w:rPr>
        <w:t xml:space="preserve">ment (Your Future, Your Super - </w:t>
      </w:r>
      <w:r w:rsidR="009D0186" w:rsidRPr="009D0186">
        <w:rPr>
          <w:i/>
          <w:szCs w:val="23"/>
        </w:rPr>
        <w:t>Improving accountability and member outcomes) Regulations 2021</w:t>
      </w:r>
      <w:r w:rsidR="009D0186" w:rsidRPr="009D0186" w:rsidDel="009D0186">
        <w:rPr>
          <w:i/>
          <w:szCs w:val="23"/>
        </w:rPr>
        <w:t xml:space="preserve"> </w:t>
      </w:r>
      <w:r w:rsidRPr="00A036E1">
        <w:rPr>
          <w:szCs w:val="23"/>
        </w:rPr>
        <w:t xml:space="preserve">(the Regulations) </w:t>
      </w:r>
      <w:r w:rsidR="00CC191E">
        <w:rPr>
          <w:szCs w:val="23"/>
        </w:rPr>
        <w:t>support the above amendments</w:t>
      </w:r>
      <w:r w:rsidR="00847553">
        <w:rPr>
          <w:szCs w:val="23"/>
        </w:rPr>
        <w:t xml:space="preserve">. </w:t>
      </w:r>
    </w:p>
    <w:p w14:paraId="11751F95" w14:textId="77777777" w:rsidR="00F015EE" w:rsidRPr="001424C2" w:rsidRDefault="00F015EE" w:rsidP="00F015EE">
      <w:pPr>
        <w:rPr>
          <w:szCs w:val="23"/>
        </w:rPr>
      </w:pPr>
      <w:r w:rsidRPr="001424C2">
        <w:rPr>
          <w:szCs w:val="23"/>
        </w:rPr>
        <w:t>Schedule 1 to the Regulations prescribe</w:t>
      </w:r>
      <w:r>
        <w:rPr>
          <w:szCs w:val="23"/>
        </w:rPr>
        <w:t>s</w:t>
      </w:r>
      <w:r w:rsidRPr="001424C2">
        <w:rPr>
          <w:szCs w:val="23"/>
        </w:rPr>
        <w:t xml:space="preserve"> the manner in which </w:t>
      </w:r>
      <w:r w:rsidR="008107D7">
        <w:rPr>
          <w:szCs w:val="23"/>
        </w:rPr>
        <w:t xml:space="preserve">information provided under the </w:t>
      </w:r>
      <w:r w:rsidRPr="001424C2">
        <w:rPr>
          <w:szCs w:val="23"/>
        </w:rPr>
        <w:t xml:space="preserve">portfolio holdings </w:t>
      </w:r>
      <w:r w:rsidR="008107D7">
        <w:rPr>
          <w:szCs w:val="23"/>
        </w:rPr>
        <w:t xml:space="preserve">disclosure regime must </w:t>
      </w:r>
      <w:r w:rsidRPr="001424C2">
        <w:rPr>
          <w:szCs w:val="23"/>
        </w:rPr>
        <w:t>be organised.</w:t>
      </w:r>
    </w:p>
    <w:p w14:paraId="554957F1" w14:textId="77777777" w:rsidR="00F015EE" w:rsidRDefault="00F015EE" w:rsidP="00F015EE">
      <w:pPr>
        <w:rPr>
          <w:szCs w:val="23"/>
        </w:rPr>
      </w:pPr>
      <w:r w:rsidRPr="00D05B92">
        <w:rPr>
          <w:szCs w:val="23"/>
        </w:rPr>
        <w:t>Schedule 2 to the Regulations prescribe</w:t>
      </w:r>
      <w:r>
        <w:rPr>
          <w:szCs w:val="23"/>
        </w:rPr>
        <w:t>s</w:t>
      </w:r>
      <w:r w:rsidRPr="00D05B92">
        <w:rPr>
          <w:szCs w:val="23"/>
        </w:rPr>
        <w:t xml:space="preserve"> </w:t>
      </w:r>
      <w:r>
        <w:rPr>
          <w:szCs w:val="23"/>
        </w:rPr>
        <w:t xml:space="preserve">the information that </w:t>
      </w:r>
      <w:r w:rsidRPr="00D05B92">
        <w:rPr>
          <w:szCs w:val="23"/>
        </w:rPr>
        <w:t xml:space="preserve">must be provided with a notice for an </w:t>
      </w:r>
      <w:r w:rsidR="008107D7">
        <w:rPr>
          <w:szCs w:val="23"/>
        </w:rPr>
        <w:t>annual members meeting</w:t>
      </w:r>
      <w:r w:rsidRPr="006A623C">
        <w:rPr>
          <w:szCs w:val="23"/>
        </w:rPr>
        <w:t>.</w:t>
      </w:r>
    </w:p>
    <w:p w14:paraId="79BF96F5" w14:textId="77777777" w:rsidR="00F015EE" w:rsidRDefault="00F015EE" w:rsidP="00F015EE">
      <w:pPr>
        <w:rPr>
          <w:szCs w:val="23"/>
        </w:rPr>
      </w:pPr>
      <w:r w:rsidRPr="00D05B92">
        <w:rPr>
          <w:szCs w:val="23"/>
        </w:rPr>
        <w:t xml:space="preserve">Schedule </w:t>
      </w:r>
      <w:r>
        <w:rPr>
          <w:szCs w:val="23"/>
        </w:rPr>
        <w:t>3</w:t>
      </w:r>
      <w:r w:rsidRPr="00D05B92">
        <w:rPr>
          <w:szCs w:val="23"/>
        </w:rPr>
        <w:t xml:space="preserve"> to the Regulations </w:t>
      </w:r>
      <w:r>
        <w:rPr>
          <w:szCs w:val="23"/>
        </w:rPr>
        <w:t xml:space="preserve">removes an </w:t>
      </w:r>
      <w:r w:rsidR="008107D7">
        <w:rPr>
          <w:szCs w:val="23"/>
        </w:rPr>
        <w:t>exception</w:t>
      </w:r>
      <w:r>
        <w:rPr>
          <w:szCs w:val="23"/>
        </w:rPr>
        <w:t xml:space="preserve"> </w:t>
      </w:r>
      <w:r w:rsidR="008107D7">
        <w:rPr>
          <w:szCs w:val="23"/>
        </w:rPr>
        <w:t xml:space="preserve">to the revised prohibition </w:t>
      </w:r>
      <w:r>
        <w:rPr>
          <w:szCs w:val="23"/>
        </w:rPr>
        <w:t>i</w:t>
      </w:r>
      <w:r w:rsidR="008107D7">
        <w:rPr>
          <w:szCs w:val="23"/>
        </w:rPr>
        <w:t>nfluencing</w:t>
      </w:r>
      <w:r w:rsidRPr="005962F8">
        <w:t xml:space="preserve"> </w:t>
      </w:r>
      <w:r>
        <w:t>employers</w:t>
      </w:r>
      <w:r w:rsidRPr="006A623C">
        <w:rPr>
          <w:szCs w:val="23"/>
        </w:rPr>
        <w:t>.</w:t>
      </w:r>
    </w:p>
    <w:p w14:paraId="460F301C" w14:textId="77777777" w:rsidR="00F015EE" w:rsidRDefault="00F015EE" w:rsidP="00F015EE">
      <w:pPr>
        <w:rPr>
          <w:szCs w:val="23"/>
          <w:u w:val="single"/>
        </w:rPr>
      </w:pPr>
      <w:r>
        <w:rPr>
          <w:szCs w:val="23"/>
        </w:rPr>
        <w:t xml:space="preserve">Details of the Regulations are set out in </w:t>
      </w:r>
      <w:r w:rsidRPr="0080074E">
        <w:rPr>
          <w:szCs w:val="23"/>
          <w:u w:val="single"/>
        </w:rPr>
        <w:t>Attachment A</w:t>
      </w:r>
      <w:r w:rsidRPr="00DC7B24">
        <w:rPr>
          <w:szCs w:val="23"/>
        </w:rPr>
        <w:t>.</w:t>
      </w:r>
    </w:p>
    <w:p w14:paraId="4FB58CCB" w14:textId="6C6A9C21" w:rsidR="00F015EE" w:rsidRDefault="00F015EE" w:rsidP="00F015EE">
      <w:pPr>
        <w:rPr>
          <w:szCs w:val="23"/>
        </w:rPr>
      </w:pPr>
      <w:r>
        <w:rPr>
          <w:szCs w:val="23"/>
        </w:rPr>
        <w:t xml:space="preserve">The Regulation is a legislative instrument for the purposes of the </w:t>
      </w:r>
      <w:r w:rsidRPr="0080074E">
        <w:rPr>
          <w:i/>
          <w:szCs w:val="23"/>
        </w:rPr>
        <w:t>Legislati</w:t>
      </w:r>
      <w:r>
        <w:rPr>
          <w:i/>
          <w:szCs w:val="23"/>
        </w:rPr>
        <w:t>on</w:t>
      </w:r>
      <w:r w:rsidRPr="0080074E">
        <w:rPr>
          <w:i/>
          <w:szCs w:val="23"/>
        </w:rPr>
        <w:t xml:space="preserve"> Act</w:t>
      </w:r>
      <w:r w:rsidR="00060642">
        <w:rPr>
          <w:i/>
          <w:szCs w:val="23"/>
        </w:rPr>
        <w:t> </w:t>
      </w:r>
      <w:r w:rsidRPr="0080074E">
        <w:rPr>
          <w:i/>
          <w:szCs w:val="23"/>
        </w:rPr>
        <w:t>2003</w:t>
      </w:r>
      <w:r>
        <w:rPr>
          <w:szCs w:val="23"/>
        </w:rPr>
        <w:t>.</w:t>
      </w:r>
    </w:p>
    <w:p w14:paraId="02E733CC" w14:textId="77777777" w:rsidR="00F015EE" w:rsidRDefault="00F015EE" w:rsidP="00F015EE">
      <w:pPr>
        <w:rPr>
          <w:szCs w:val="23"/>
        </w:rPr>
      </w:pPr>
      <w:r w:rsidRPr="009837E7">
        <w:rPr>
          <w:szCs w:val="23"/>
        </w:rPr>
        <w:t>The Regulations</w:t>
      </w:r>
      <w:r>
        <w:rPr>
          <w:szCs w:val="23"/>
        </w:rPr>
        <w:t xml:space="preserve"> </w:t>
      </w:r>
      <w:r w:rsidRPr="00F015EE">
        <w:rPr>
          <w:szCs w:val="23"/>
        </w:rPr>
        <w:t>commence the day after the instrument is registered.</w:t>
      </w:r>
      <w:r>
        <w:rPr>
          <w:szCs w:val="23"/>
        </w:rPr>
        <w:t xml:space="preserve"> </w:t>
      </w:r>
    </w:p>
    <w:p w14:paraId="4CF5CF82" w14:textId="77777777" w:rsidR="000F7D6F" w:rsidRDefault="000F7D6F" w:rsidP="00F015EE">
      <w:pPr>
        <w:rPr>
          <w:b/>
          <w:szCs w:val="23"/>
          <w:u w:val="single"/>
        </w:rPr>
      </w:pPr>
    </w:p>
    <w:p w14:paraId="3FA78870" w14:textId="77777777" w:rsidR="000F7D6F" w:rsidRDefault="000F7D6F">
      <w:pPr>
        <w:spacing w:before="0" w:after="0"/>
        <w:rPr>
          <w:b/>
          <w:szCs w:val="23"/>
          <w:u w:val="single"/>
        </w:rPr>
      </w:pPr>
      <w:r>
        <w:rPr>
          <w:b/>
          <w:szCs w:val="23"/>
          <w:u w:val="single"/>
        </w:rPr>
        <w:br w:type="page"/>
      </w:r>
    </w:p>
    <w:p w14:paraId="6ADA2D14" w14:textId="1EC9D2C5" w:rsidR="009A65CE" w:rsidRDefault="00DA32DB" w:rsidP="00F015EE">
      <w:pPr>
        <w:rPr>
          <w:b/>
          <w:szCs w:val="23"/>
          <w:u w:val="single"/>
        </w:rPr>
      </w:pPr>
      <w:r>
        <w:rPr>
          <w:b/>
          <w:szCs w:val="23"/>
          <w:u w:val="single"/>
        </w:rPr>
        <w:lastRenderedPageBreak/>
        <w:t xml:space="preserve">Draft </w:t>
      </w:r>
      <w:r w:rsidR="009A65CE">
        <w:rPr>
          <w:b/>
          <w:szCs w:val="23"/>
          <w:u w:val="single"/>
        </w:rPr>
        <w:t>Regulation Impact Statement</w:t>
      </w:r>
    </w:p>
    <w:p w14:paraId="4F004BE1" w14:textId="6B697748" w:rsidR="00306CB4" w:rsidRDefault="00306CB4" w:rsidP="009A65CE">
      <w:pPr>
        <w:pStyle w:val="Heading1numbered"/>
        <w:numPr>
          <w:ilvl w:val="0"/>
          <w:numId w:val="0"/>
        </w:numP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This Draft Regulation Impact Statement relates to the amendments in </w:t>
      </w:r>
      <w:r w:rsidR="000F7D6F">
        <w:rPr>
          <w:rFonts w:ascii="Times New Roman" w:hAnsi="Times New Roman" w:cs="Times New Roman"/>
          <w:b w:val="0"/>
          <w:color w:val="000000" w:themeColor="text1"/>
          <w:sz w:val="24"/>
          <w:szCs w:val="24"/>
        </w:rPr>
        <w:t>S</w:t>
      </w:r>
      <w:r>
        <w:rPr>
          <w:rFonts w:ascii="Times New Roman" w:hAnsi="Times New Roman" w:cs="Times New Roman"/>
          <w:b w:val="0"/>
          <w:color w:val="000000" w:themeColor="text1"/>
          <w:sz w:val="24"/>
          <w:szCs w:val="24"/>
        </w:rPr>
        <w:t xml:space="preserve">chedule 1 to the regulations. </w:t>
      </w:r>
    </w:p>
    <w:p w14:paraId="596BDB11" w14:textId="77777777" w:rsidR="009A65CE" w:rsidRPr="001D1E50" w:rsidRDefault="009A65CE" w:rsidP="009A65CE">
      <w:pPr>
        <w:pStyle w:val="Heading1numbered"/>
        <w:numPr>
          <w:ilvl w:val="0"/>
          <w:numId w:val="0"/>
        </w:numPr>
        <w:rPr>
          <w:rFonts w:ascii="Times New Roman" w:hAnsi="Times New Roman" w:cs="Times New Roman"/>
          <w:b w:val="0"/>
          <w:color w:val="000000" w:themeColor="text1"/>
          <w:sz w:val="24"/>
          <w:szCs w:val="24"/>
        </w:rPr>
      </w:pPr>
      <w:r w:rsidRPr="001D1E50">
        <w:rPr>
          <w:rFonts w:ascii="Times New Roman" w:hAnsi="Times New Roman" w:cs="Times New Roman"/>
          <w:b w:val="0"/>
          <w:color w:val="000000" w:themeColor="text1"/>
          <w:sz w:val="24"/>
          <w:szCs w:val="24"/>
        </w:rPr>
        <w:t xml:space="preserve">The purpose of this document is to consult on the approach in the regulations and to seek feedback on anticipated costs of the proposed options to inform a calculation of total regulatory cost. </w:t>
      </w:r>
    </w:p>
    <w:p w14:paraId="19BFFD56" w14:textId="77777777" w:rsidR="009A65CE" w:rsidRPr="001D1E50" w:rsidRDefault="009A65CE" w:rsidP="009A65CE">
      <w:pPr>
        <w:pStyle w:val="Heading1numbered"/>
        <w:numPr>
          <w:ilvl w:val="0"/>
          <w:numId w:val="0"/>
        </w:numPr>
        <w:rPr>
          <w:rFonts w:ascii="Times New Roman" w:hAnsi="Times New Roman" w:cs="Times New Roman"/>
          <w:b w:val="0"/>
          <w:i/>
          <w:color w:val="000000" w:themeColor="text1"/>
          <w:sz w:val="24"/>
          <w:szCs w:val="24"/>
          <w:u w:val="single"/>
        </w:rPr>
      </w:pPr>
      <w:r w:rsidRPr="001D1E50">
        <w:rPr>
          <w:rFonts w:ascii="Times New Roman" w:hAnsi="Times New Roman" w:cs="Times New Roman"/>
          <w:b w:val="0"/>
          <w:i/>
          <w:color w:val="000000" w:themeColor="text1"/>
          <w:sz w:val="24"/>
          <w:szCs w:val="24"/>
          <w:u w:val="single"/>
        </w:rPr>
        <w:t>What is the problem?</w:t>
      </w:r>
    </w:p>
    <w:p w14:paraId="75667DC4" w14:textId="77777777" w:rsidR="009A65CE" w:rsidRPr="001D1E50" w:rsidRDefault="009A65CE" w:rsidP="009A65CE">
      <w:pPr>
        <w:pStyle w:val="CABParaSub"/>
        <w:rPr>
          <w:color w:val="000000" w:themeColor="text1"/>
        </w:rPr>
      </w:pPr>
      <w:r w:rsidRPr="001D1E50">
        <w:rPr>
          <w:color w:val="000000" w:themeColor="text1"/>
        </w:rPr>
        <w:t xml:space="preserve">A more transparent superannuation system will help people see how their contributions are invested with all market participants having access to adequate information about the overall investment market. Reforms, such as improved superannuation portfolio holdings disclosure (PHD), are needed in Australia to improve our systemic transparency. </w:t>
      </w:r>
    </w:p>
    <w:p w14:paraId="77F3CAE0" w14:textId="77777777" w:rsidR="009A65CE" w:rsidRPr="001D1E50" w:rsidRDefault="009A65CE" w:rsidP="009A65CE">
      <w:pPr>
        <w:pStyle w:val="Heading1numbered"/>
        <w:numPr>
          <w:ilvl w:val="0"/>
          <w:numId w:val="0"/>
        </w:numPr>
        <w:rPr>
          <w:rFonts w:ascii="Times New Roman" w:hAnsi="Times New Roman" w:cs="Times New Roman"/>
          <w:b w:val="0"/>
          <w:i/>
          <w:color w:val="000000" w:themeColor="text1"/>
          <w:sz w:val="24"/>
          <w:szCs w:val="24"/>
          <w:u w:val="single"/>
        </w:rPr>
      </w:pPr>
      <w:bookmarkStart w:id="0" w:name="_Toc67382161"/>
      <w:r w:rsidRPr="001D1E50">
        <w:rPr>
          <w:rFonts w:ascii="Times New Roman" w:hAnsi="Times New Roman" w:cs="Times New Roman"/>
          <w:b w:val="0"/>
          <w:i/>
          <w:color w:val="000000" w:themeColor="text1"/>
          <w:sz w:val="24"/>
          <w:szCs w:val="24"/>
          <w:u w:val="single"/>
        </w:rPr>
        <w:t>Why is government action needed?</w:t>
      </w:r>
      <w:bookmarkEnd w:id="0"/>
      <w:r w:rsidRPr="001D1E50">
        <w:rPr>
          <w:rFonts w:ascii="Times New Roman" w:hAnsi="Times New Roman" w:cs="Times New Roman"/>
          <w:b w:val="0"/>
          <w:i/>
          <w:color w:val="000000" w:themeColor="text1"/>
          <w:sz w:val="24"/>
          <w:szCs w:val="24"/>
          <w:u w:val="single"/>
        </w:rPr>
        <w:t xml:space="preserve"> </w:t>
      </w:r>
    </w:p>
    <w:p w14:paraId="5EBAEB2F" w14:textId="77777777" w:rsidR="009A65CE" w:rsidRPr="001D1E50" w:rsidRDefault="009A65CE" w:rsidP="009A65CE">
      <w:pPr>
        <w:pStyle w:val="CABParaSub"/>
        <w:rPr>
          <w:color w:val="000000" w:themeColor="text1"/>
        </w:rPr>
      </w:pPr>
      <w:r w:rsidRPr="001D1E50">
        <w:rPr>
          <w:color w:val="000000" w:themeColor="text1"/>
        </w:rPr>
        <w:t xml:space="preserve">Transparency supports the efficiency and operation of a compulsory, market-based savings system. It improves understanding, awareness and engagement at various levels. Government intervention to secure a high level of transparency will allow more informed decision making and enhance confidence and competition in the superannuation system. </w:t>
      </w:r>
    </w:p>
    <w:p w14:paraId="43DD54FF" w14:textId="77777777" w:rsidR="009A65CE" w:rsidRPr="001D1E50" w:rsidRDefault="009A65CE" w:rsidP="009A65CE">
      <w:pPr>
        <w:rPr>
          <w:color w:val="000000" w:themeColor="text1"/>
          <w:szCs w:val="24"/>
        </w:rPr>
      </w:pPr>
      <w:r w:rsidRPr="001D1E50">
        <w:rPr>
          <w:color w:val="000000" w:themeColor="text1"/>
          <w:szCs w:val="24"/>
        </w:rPr>
        <w:t xml:space="preserve">The Government passed legislation to establish the framework for superannuation funds to disclose portfolio holdings information via the </w:t>
      </w:r>
      <w:r w:rsidRPr="001D1E50">
        <w:rPr>
          <w:i/>
          <w:color w:val="000000" w:themeColor="text1"/>
          <w:szCs w:val="24"/>
        </w:rPr>
        <w:t>Superannuation Legislation Amendment (Further MySuper and Transparency Measures) Act 2012</w:t>
      </w:r>
      <w:r w:rsidRPr="001D1E50">
        <w:rPr>
          <w:color w:val="000000" w:themeColor="text1"/>
          <w:szCs w:val="24"/>
        </w:rPr>
        <w:t xml:space="preserve">. This framework was subsequently amended by the </w:t>
      </w:r>
      <w:r w:rsidRPr="001D1E50">
        <w:rPr>
          <w:i/>
          <w:color w:val="000000" w:themeColor="text1"/>
          <w:szCs w:val="24"/>
        </w:rPr>
        <w:t>Treasury Laws Amendment (Improving Accountability and Member Outcomes in Superannuation) Act 2019</w:t>
      </w:r>
      <w:r w:rsidRPr="001D1E50">
        <w:rPr>
          <w:color w:val="000000" w:themeColor="text1"/>
          <w:szCs w:val="24"/>
        </w:rPr>
        <w:t xml:space="preserve"> and further amendments are proposed through the </w:t>
      </w:r>
      <w:r w:rsidRPr="001D1E50">
        <w:rPr>
          <w:i/>
          <w:iCs/>
          <w:color w:val="000000" w:themeColor="text1"/>
          <w:szCs w:val="24"/>
        </w:rPr>
        <w:t>Treasury Laws Amendment (Your Future, Your Super) Bill 2021</w:t>
      </w:r>
      <w:r w:rsidRPr="001D1E50">
        <w:rPr>
          <w:color w:val="000000" w:themeColor="text1"/>
          <w:szCs w:val="24"/>
        </w:rPr>
        <w:t xml:space="preserve">. </w:t>
      </w:r>
    </w:p>
    <w:p w14:paraId="1D129C32" w14:textId="77777777" w:rsidR="009A65CE" w:rsidRPr="001D1E50" w:rsidRDefault="009A65CE" w:rsidP="009A65CE">
      <w:pPr>
        <w:rPr>
          <w:color w:val="000000" w:themeColor="text1"/>
          <w:szCs w:val="24"/>
        </w:rPr>
      </w:pPr>
      <w:r w:rsidRPr="001D1E50">
        <w:rPr>
          <w:color w:val="000000" w:themeColor="text1"/>
          <w:szCs w:val="24"/>
        </w:rPr>
        <w:t xml:space="preserve">Regulations are required to specify the </w:t>
      </w:r>
      <w:r w:rsidR="00847553">
        <w:rPr>
          <w:color w:val="000000" w:themeColor="text1"/>
          <w:szCs w:val="24"/>
        </w:rPr>
        <w:t>way</w:t>
      </w:r>
      <w:r w:rsidRPr="001D1E50">
        <w:rPr>
          <w:color w:val="000000" w:themeColor="text1"/>
          <w:szCs w:val="24"/>
        </w:rPr>
        <w:t xml:space="preserve"> in which portfolio holdings must be disclosed. Because the regulations had not been made, ASIC provided relief </w:t>
      </w:r>
      <w:r w:rsidR="00847553">
        <w:rPr>
          <w:color w:val="000000" w:themeColor="text1"/>
          <w:szCs w:val="24"/>
        </w:rPr>
        <w:t xml:space="preserve">deferring the first reporting day for the purposes of the regime to 31 December 2021 in </w:t>
      </w:r>
      <w:r w:rsidRPr="001D1E50">
        <w:rPr>
          <w:color w:val="000000" w:themeColor="text1"/>
          <w:szCs w:val="24"/>
        </w:rPr>
        <w:t>ASIC Class Order [CO 14/443]</w:t>
      </w:r>
      <w:r w:rsidR="00847553">
        <w:rPr>
          <w:color w:val="000000" w:themeColor="text1"/>
          <w:szCs w:val="24"/>
        </w:rPr>
        <w:t xml:space="preserve">. </w:t>
      </w:r>
    </w:p>
    <w:p w14:paraId="6DFEF0AB" w14:textId="77777777" w:rsidR="009A65CE" w:rsidRPr="001D1E50" w:rsidRDefault="009A65CE" w:rsidP="009A65CE">
      <w:pPr>
        <w:rPr>
          <w:color w:val="000000" w:themeColor="text1"/>
          <w:szCs w:val="24"/>
        </w:rPr>
      </w:pPr>
      <w:r w:rsidRPr="001D1E50">
        <w:rPr>
          <w:color w:val="000000" w:themeColor="text1"/>
          <w:szCs w:val="24"/>
        </w:rPr>
        <w:t xml:space="preserve">The Government is now consulting on the approach in the regulations. </w:t>
      </w:r>
    </w:p>
    <w:p w14:paraId="6863CD66" w14:textId="77777777" w:rsidR="009A65CE" w:rsidRPr="001D1E50" w:rsidRDefault="009A65CE" w:rsidP="009A65CE">
      <w:pPr>
        <w:pStyle w:val="Heading1numbered"/>
        <w:numPr>
          <w:ilvl w:val="0"/>
          <w:numId w:val="0"/>
        </w:numPr>
        <w:rPr>
          <w:rFonts w:ascii="Times New Roman" w:hAnsi="Times New Roman" w:cs="Times New Roman"/>
          <w:b w:val="0"/>
          <w:i/>
          <w:color w:val="000000" w:themeColor="text1"/>
          <w:sz w:val="24"/>
          <w:szCs w:val="24"/>
          <w:u w:val="single"/>
        </w:rPr>
      </w:pPr>
      <w:bookmarkStart w:id="1" w:name="_Toc67382162"/>
      <w:r w:rsidRPr="001D1E50">
        <w:rPr>
          <w:rFonts w:ascii="Times New Roman" w:hAnsi="Times New Roman" w:cs="Times New Roman"/>
          <w:b w:val="0"/>
          <w:i/>
          <w:color w:val="000000" w:themeColor="text1"/>
          <w:sz w:val="24"/>
          <w:szCs w:val="24"/>
          <w:u w:val="single"/>
        </w:rPr>
        <w:t>What are the policy options?</w:t>
      </w:r>
      <w:bookmarkEnd w:id="1"/>
    </w:p>
    <w:p w14:paraId="57CBB6DE" w14:textId="77777777" w:rsidR="009A65CE" w:rsidRPr="001D1E50" w:rsidRDefault="009A65CE" w:rsidP="009A65CE">
      <w:pPr>
        <w:rPr>
          <w:color w:val="000000" w:themeColor="text1"/>
          <w:szCs w:val="24"/>
        </w:rPr>
      </w:pPr>
      <w:r w:rsidRPr="001D1E50">
        <w:rPr>
          <w:color w:val="000000" w:themeColor="text1"/>
          <w:szCs w:val="24"/>
        </w:rPr>
        <w:t>Both options involve reporting of all assets directly held and also those held in associated entities. Under the framework in the legislation, funds are required to report on assets held directly and by associated entities and reporting the holdings of the first non</w:t>
      </w:r>
      <w:r w:rsidRPr="001D1E50">
        <w:rPr>
          <w:color w:val="000000" w:themeColor="text1"/>
          <w:szCs w:val="24"/>
        </w:rPr>
        <w:noBreakHyphen/>
        <w:t xml:space="preserve">associated entity. </w:t>
      </w:r>
    </w:p>
    <w:p w14:paraId="3D33434E" w14:textId="77777777" w:rsidR="009A65CE" w:rsidRPr="001D1E50" w:rsidRDefault="009A65CE" w:rsidP="009A65CE">
      <w:pPr>
        <w:pStyle w:val="CABParaSub"/>
        <w:rPr>
          <w:i/>
          <w:color w:val="000000" w:themeColor="text1"/>
          <w:u w:val="single"/>
        </w:rPr>
      </w:pPr>
      <w:r w:rsidRPr="001D1E50">
        <w:rPr>
          <w:i/>
          <w:color w:val="000000" w:themeColor="text1"/>
          <w:u w:val="single"/>
        </w:rPr>
        <w:t>Option 1: Uniform information disclosed across asset classes</w:t>
      </w:r>
    </w:p>
    <w:p w14:paraId="72A9ED50" w14:textId="77777777" w:rsidR="009A65CE" w:rsidRPr="001D1E50" w:rsidRDefault="009A65CE" w:rsidP="009A65CE">
      <w:pPr>
        <w:rPr>
          <w:color w:val="000000" w:themeColor="text1"/>
          <w:szCs w:val="24"/>
        </w:rPr>
      </w:pPr>
      <w:r w:rsidRPr="001D1E50">
        <w:rPr>
          <w:color w:val="000000" w:themeColor="text1"/>
          <w:szCs w:val="24"/>
        </w:rPr>
        <w:t xml:space="preserve">Under this option, the information prescribed for disclosure specified in the regulations would be uniform across all asset classes: name/kind of asset, security identifier of the asset, the number of assets held, the value of the asset and the weighing of that asset in the context of the total portfolio. </w:t>
      </w:r>
    </w:p>
    <w:p w14:paraId="7C01F811" w14:textId="77777777" w:rsidR="009A65CE" w:rsidRPr="001D1E50" w:rsidRDefault="009A65CE" w:rsidP="009A65CE">
      <w:pPr>
        <w:pStyle w:val="CABParaSub"/>
        <w:rPr>
          <w:color w:val="000000" w:themeColor="text1"/>
        </w:rPr>
      </w:pPr>
      <w:r w:rsidRPr="001D1E50">
        <w:rPr>
          <w:color w:val="000000" w:themeColor="text1"/>
        </w:rPr>
        <w:lastRenderedPageBreak/>
        <w:t xml:space="preserve">The impact of this option will be primarily on businesses. It will require public disclosure of data which superannuation funds will be responsible for compiling. </w:t>
      </w:r>
    </w:p>
    <w:p w14:paraId="7296947E" w14:textId="77777777" w:rsidR="009A65CE" w:rsidRPr="001D1E50" w:rsidRDefault="009A65CE" w:rsidP="009A65CE">
      <w:pPr>
        <w:pStyle w:val="CABParaSub"/>
        <w:rPr>
          <w:color w:val="000000" w:themeColor="text1"/>
        </w:rPr>
      </w:pPr>
      <w:r w:rsidRPr="001D1E50">
        <w:rPr>
          <w:color w:val="000000" w:themeColor="text1"/>
        </w:rPr>
        <w:t xml:space="preserve">The impact on individuals will be positive through improved transparency facilitating more information for members about investment decisions of superannuation funds, noting that most members will rely on professional advisers, reports by professional investors and analysts. However, as the requirements for disclosure are not tailored to individual asset classes, this limits the ability of individuals and professional advisers to make conclusions based on the information provided. </w:t>
      </w:r>
    </w:p>
    <w:p w14:paraId="15CB8A68" w14:textId="77777777" w:rsidR="009A65CE" w:rsidRPr="001D1E50" w:rsidRDefault="009A65CE" w:rsidP="009A65CE">
      <w:pPr>
        <w:pStyle w:val="CABParaSub"/>
        <w:rPr>
          <w:color w:val="000000" w:themeColor="text1"/>
        </w:rPr>
      </w:pPr>
      <w:r w:rsidRPr="001D1E50">
        <w:rPr>
          <w:color w:val="000000" w:themeColor="text1"/>
        </w:rPr>
        <w:t>No specific community group will be impacted by this option.</w:t>
      </w:r>
    </w:p>
    <w:p w14:paraId="3C896929" w14:textId="77777777" w:rsidR="009A65CE" w:rsidRPr="001D1E50" w:rsidRDefault="009A65CE" w:rsidP="009A65CE">
      <w:pPr>
        <w:pStyle w:val="CABParaSub"/>
        <w:keepNext/>
        <w:rPr>
          <w:i/>
          <w:color w:val="000000" w:themeColor="text1"/>
          <w:u w:val="single"/>
        </w:rPr>
      </w:pPr>
      <w:r w:rsidRPr="001D1E50">
        <w:rPr>
          <w:i/>
          <w:color w:val="000000" w:themeColor="text1"/>
          <w:u w:val="single"/>
        </w:rPr>
        <w:t>Option 2: Tailored information disclosed for particular asset classes</w:t>
      </w:r>
      <w:r w:rsidR="00DA32DB">
        <w:rPr>
          <w:i/>
          <w:color w:val="000000" w:themeColor="text1"/>
          <w:u w:val="single"/>
        </w:rPr>
        <w:t xml:space="preserve"> (reflected in the exposure draft regulations)</w:t>
      </w:r>
    </w:p>
    <w:p w14:paraId="7E941844" w14:textId="77777777" w:rsidR="009A65CE" w:rsidRPr="001D1E50" w:rsidRDefault="009A65CE" w:rsidP="009A65CE">
      <w:pPr>
        <w:pStyle w:val="CABParaSub"/>
        <w:rPr>
          <w:color w:val="000000" w:themeColor="text1"/>
        </w:rPr>
      </w:pPr>
      <w:r w:rsidRPr="001D1E50">
        <w:rPr>
          <w:color w:val="000000" w:themeColor="text1"/>
        </w:rPr>
        <w:t xml:space="preserve">This option would be the same as described in option 1 above, however the information funds are required to disclose under the regulations would be more granular and tailored to reflect the most relevant information for the particular asset class. </w:t>
      </w:r>
    </w:p>
    <w:p w14:paraId="1273E8C2" w14:textId="77777777" w:rsidR="009A65CE" w:rsidRPr="001D1E50" w:rsidRDefault="009A65CE" w:rsidP="009A65CE">
      <w:pPr>
        <w:pStyle w:val="CABParaSub"/>
        <w:rPr>
          <w:color w:val="000000" w:themeColor="text1"/>
        </w:rPr>
      </w:pPr>
      <w:r w:rsidRPr="001D1E50">
        <w:rPr>
          <w:color w:val="000000" w:themeColor="text1"/>
        </w:rPr>
        <w:t xml:space="preserve">For most investment assets, the information required to be disclosed will be similar to option 1. However, funds will be required to disclose more tailored information in relation to derivative assets to provide a better understanding of the nature of the </w:t>
      </w:r>
      <w:r w:rsidR="00D9441E">
        <w:rPr>
          <w:color w:val="000000" w:themeColor="text1"/>
        </w:rPr>
        <w:t>investment</w:t>
      </w:r>
      <w:r w:rsidRPr="001D1E50">
        <w:rPr>
          <w:color w:val="000000" w:themeColor="text1"/>
        </w:rPr>
        <w:t xml:space="preserve">. The precise details on what is required to be disclosed is outlined in the draft regulations. </w:t>
      </w:r>
    </w:p>
    <w:p w14:paraId="03B51E4A" w14:textId="77777777" w:rsidR="009A65CE" w:rsidRPr="001D1E50" w:rsidRDefault="009A65CE" w:rsidP="009A65CE">
      <w:pPr>
        <w:pStyle w:val="CABParaSub"/>
        <w:rPr>
          <w:color w:val="000000" w:themeColor="text1"/>
        </w:rPr>
      </w:pPr>
      <w:r w:rsidRPr="001D1E50">
        <w:rPr>
          <w:color w:val="000000" w:themeColor="text1"/>
        </w:rPr>
        <w:t>The impact of this option will be primarily on businesses. The range of assets disclosed under this option is the same as option 1; however funds may face some additional compliance burden in providing all the necessary information. Internal processes put in place by superannuation funds to comply with the requirements would be a matter for individual funds.</w:t>
      </w:r>
    </w:p>
    <w:p w14:paraId="5657BF1E" w14:textId="77777777" w:rsidR="009A65CE" w:rsidRPr="001D1E50" w:rsidRDefault="009A65CE" w:rsidP="009A65CE">
      <w:pPr>
        <w:pStyle w:val="CABParaSub"/>
        <w:rPr>
          <w:color w:val="000000" w:themeColor="text1"/>
        </w:rPr>
      </w:pPr>
      <w:r w:rsidRPr="001D1E50">
        <w:rPr>
          <w:color w:val="000000" w:themeColor="text1"/>
        </w:rPr>
        <w:t xml:space="preserve">The impact on individuals will be positive through systemic transparency facilitating more information for members about investment decisions of superannuation funds. Most members will rely on professional advisers or reports by professional investors and analysts, which are expected to make use of data being disclosed through interpretation and communication of it more generally to the market. </w:t>
      </w:r>
    </w:p>
    <w:p w14:paraId="7F4BD19D" w14:textId="77777777" w:rsidR="009A65CE" w:rsidRPr="001D1E50" w:rsidRDefault="009A65CE" w:rsidP="009A65CE">
      <w:pPr>
        <w:pStyle w:val="CABParaSub"/>
        <w:rPr>
          <w:color w:val="000000" w:themeColor="text1"/>
        </w:rPr>
      </w:pPr>
      <w:r w:rsidRPr="001D1E50">
        <w:rPr>
          <w:color w:val="000000" w:themeColor="text1"/>
        </w:rPr>
        <w:t>No specific community group will be impacted by this option.</w:t>
      </w:r>
    </w:p>
    <w:p w14:paraId="1AB56D92" w14:textId="77777777" w:rsidR="009A65CE" w:rsidRPr="001D1E50" w:rsidRDefault="009A65CE" w:rsidP="009A65CE">
      <w:pPr>
        <w:pStyle w:val="Heading1numbered"/>
        <w:numPr>
          <w:ilvl w:val="0"/>
          <w:numId w:val="0"/>
        </w:numPr>
        <w:rPr>
          <w:rFonts w:ascii="Times New Roman" w:hAnsi="Times New Roman" w:cs="Times New Roman"/>
          <w:b w:val="0"/>
          <w:color w:val="000000" w:themeColor="text1"/>
          <w:sz w:val="24"/>
          <w:szCs w:val="24"/>
          <w:u w:val="single"/>
        </w:rPr>
      </w:pPr>
      <w:bookmarkStart w:id="2" w:name="_Toc67382165"/>
      <w:r w:rsidRPr="001D1E50">
        <w:rPr>
          <w:rFonts w:ascii="Times New Roman" w:hAnsi="Times New Roman" w:cs="Times New Roman"/>
          <w:b w:val="0"/>
          <w:color w:val="000000" w:themeColor="text1"/>
          <w:sz w:val="24"/>
          <w:szCs w:val="24"/>
          <w:u w:val="single"/>
        </w:rPr>
        <w:t>What is the likely net benefit of each option?</w:t>
      </w:r>
      <w:bookmarkEnd w:id="2"/>
    </w:p>
    <w:p w14:paraId="3D39457E" w14:textId="77777777" w:rsidR="009A65CE" w:rsidRPr="001D1E50" w:rsidRDefault="009A65CE" w:rsidP="009A65CE">
      <w:pPr>
        <w:pStyle w:val="CABParaSub"/>
        <w:rPr>
          <w:color w:val="000000" w:themeColor="text1"/>
        </w:rPr>
      </w:pPr>
      <w:r w:rsidRPr="001D1E50">
        <w:rPr>
          <w:color w:val="000000" w:themeColor="text1"/>
        </w:rPr>
        <w:t xml:space="preserve">The Government seeks your feedback on the proposed methodology to quantify the costs of the reform, including the estimated quantified costs for each item, the extent to which the cost varies between option 1 and 2 and whether there are any other costs (whether ongoing or upfront) that have not been covered by the </w:t>
      </w:r>
      <w:r w:rsidR="00D9441E">
        <w:rPr>
          <w:color w:val="000000" w:themeColor="text1"/>
        </w:rPr>
        <w:t xml:space="preserve">following </w:t>
      </w:r>
      <w:r w:rsidRPr="001D1E50">
        <w:rPr>
          <w:color w:val="000000" w:themeColor="text1"/>
        </w:rPr>
        <w:t>analysis. The information obtained through this process will inform the Government’s approach to implementation and assist in meeting the requirements of the Office of Best Practice Regulation.</w:t>
      </w:r>
    </w:p>
    <w:p w14:paraId="7273DAA3" w14:textId="77777777" w:rsidR="00CC7781" w:rsidRDefault="00CC7781">
      <w:pPr>
        <w:spacing w:before="0" w:after="0"/>
        <w:rPr>
          <w:b/>
          <w:color w:val="000000" w:themeColor="text1"/>
          <w:szCs w:val="24"/>
          <w:u w:val="single"/>
        </w:rPr>
      </w:pPr>
      <w:r>
        <w:rPr>
          <w:b/>
          <w:color w:val="000000" w:themeColor="text1"/>
          <w:szCs w:val="24"/>
          <w:u w:val="single"/>
        </w:rPr>
        <w:br w:type="page"/>
      </w:r>
    </w:p>
    <w:p w14:paraId="592BC93D" w14:textId="2902FB6A" w:rsidR="009A65CE" w:rsidRPr="001D1E50" w:rsidRDefault="009A65CE" w:rsidP="009A65CE">
      <w:pPr>
        <w:rPr>
          <w:b/>
          <w:color w:val="000000" w:themeColor="text1"/>
          <w:szCs w:val="24"/>
          <w:u w:val="single"/>
        </w:rPr>
      </w:pPr>
      <w:r w:rsidRPr="001D1E50">
        <w:rPr>
          <w:b/>
          <w:color w:val="000000" w:themeColor="text1"/>
          <w:szCs w:val="24"/>
          <w:u w:val="single"/>
        </w:rPr>
        <w:lastRenderedPageBreak/>
        <w:t>Methodology</w:t>
      </w:r>
    </w:p>
    <w:p w14:paraId="7FD41A86" w14:textId="77777777" w:rsidR="009A65CE" w:rsidRPr="001D1E50" w:rsidRDefault="009A65CE" w:rsidP="009A65CE">
      <w:pPr>
        <w:rPr>
          <w:rFonts w:eastAsia="Calibri"/>
          <w:bCs/>
          <w:color w:val="000000" w:themeColor="text1"/>
          <w:szCs w:val="24"/>
          <w:u w:val="single"/>
        </w:rPr>
      </w:pPr>
      <w:r w:rsidRPr="001D1E50">
        <w:rPr>
          <w:rFonts w:eastAsia="Calibri"/>
          <w:bCs/>
          <w:color w:val="000000" w:themeColor="text1"/>
          <w:szCs w:val="24"/>
          <w:u w:val="single"/>
        </w:rPr>
        <w:t>Upfront costs</w:t>
      </w:r>
    </w:p>
    <w:p w14:paraId="070A8011" w14:textId="77777777" w:rsidR="009A65CE" w:rsidRPr="001D1E50" w:rsidRDefault="009A65CE" w:rsidP="009A65CE">
      <w:pPr>
        <w:pStyle w:val="Bullet"/>
        <w:numPr>
          <w:ilvl w:val="0"/>
          <w:numId w:val="0"/>
        </w:numPr>
        <w:ind w:left="520" w:hanging="520"/>
        <w:rPr>
          <w:rFonts w:eastAsia="Calibri"/>
          <w:i/>
          <w:color w:val="000000" w:themeColor="text1"/>
          <w:szCs w:val="24"/>
          <w:u w:val="single"/>
        </w:rPr>
      </w:pPr>
      <w:r w:rsidRPr="001D1E50">
        <w:rPr>
          <w:rFonts w:eastAsia="Calibri"/>
          <w:i/>
          <w:color w:val="000000" w:themeColor="text1"/>
          <w:szCs w:val="24"/>
          <w:u w:val="single"/>
        </w:rPr>
        <w:t>Legal Advice</w:t>
      </w:r>
    </w:p>
    <w:p w14:paraId="38DFC98B"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Upfront legal advice will be required. This advice relates to how the fund can properly follow the new regulations.</w:t>
      </w:r>
    </w:p>
    <w:p w14:paraId="7C43AA44"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Assume $500 per hour, 10 hours, for each fund. We expect funds will need to obtain this advice regardless of which option is adopted for the regulations. </w:t>
      </w:r>
    </w:p>
    <w:p w14:paraId="4AE7EB90" w14:textId="358EA0AB" w:rsidR="009A65CE" w:rsidRPr="001D1E50" w:rsidRDefault="003247CC" w:rsidP="009A65CE">
      <w:pPr>
        <w:pStyle w:val="Bullet"/>
        <w:numPr>
          <w:ilvl w:val="0"/>
          <w:numId w:val="0"/>
        </w:numPr>
        <w:rPr>
          <w:rFonts w:eastAsia="Calibri"/>
          <w:i/>
          <w:color w:val="000000" w:themeColor="text1"/>
          <w:szCs w:val="24"/>
          <w:u w:val="single"/>
        </w:rPr>
      </w:pPr>
      <w:r>
        <w:rPr>
          <w:rFonts w:eastAsia="Calibri"/>
          <w:i/>
          <w:color w:val="000000" w:themeColor="text1"/>
          <w:szCs w:val="24"/>
          <w:u w:val="single"/>
        </w:rPr>
        <w:t>Investment in business practices</w:t>
      </w:r>
      <w:r w:rsidR="009A65CE" w:rsidRPr="001D1E50">
        <w:rPr>
          <w:rFonts w:eastAsia="Calibri"/>
          <w:i/>
          <w:color w:val="000000" w:themeColor="text1"/>
          <w:szCs w:val="24"/>
          <w:u w:val="single"/>
        </w:rPr>
        <w:t xml:space="preserve"> by </w:t>
      </w:r>
      <w:r w:rsidR="00D9441E">
        <w:rPr>
          <w:rFonts w:eastAsia="Calibri"/>
          <w:i/>
          <w:color w:val="000000" w:themeColor="text1"/>
          <w:szCs w:val="24"/>
          <w:u w:val="single"/>
        </w:rPr>
        <w:t xml:space="preserve">relevant trustees of registrable superannuation entities. </w:t>
      </w:r>
    </w:p>
    <w:p w14:paraId="3E44CCB4" w14:textId="3BB68CA0"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Establishing internal </w:t>
      </w:r>
      <w:r w:rsidR="003247CC">
        <w:rPr>
          <w:rFonts w:eastAsia="Calibri"/>
          <w:color w:val="000000" w:themeColor="text1"/>
          <w:szCs w:val="24"/>
        </w:rPr>
        <w:t>practices to</w:t>
      </w:r>
      <w:r w:rsidRPr="001D1E50">
        <w:rPr>
          <w:rFonts w:eastAsia="Calibri"/>
          <w:color w:val="000000" w:themeColor="text1"/>
          <w:szCs w:val="24"/>
        </w:rPr>
        <w:t xml:space="preserve"> process and collect the required data.</w:t>
      </w:r>
    </w:p>
    <w:p w14:paraId="706DE39D"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Compiling the data into a format required by regulations through funds’ IT systems and further due diligence in ensuring compliance.</w:t>
      </w:r>
    </w:p>
    <w:p w14:paraId="42C1F027"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Feedback is sought on estimates of costs of this investment and whether they would vary between option 1 and option 2. </w:t>
      </w:r>
    </w:p>
    <w:p w14:paraId="2526D439" w14:textId="77777777" w:rsidR="009A65CE" w:rsidRPr="001D1E50" w:rsidRDefault="009A65CE" w:rsidP="009A65CE">
      <w:pPr>
        <w:spacing w:after="0"/>
        <w:rPr>
          <w:rFonts w:eastAsia="Calibri"/>
          <w:i/>
          <w:color w:val="000000" w:themeColor="text1"/>
          <w:szCs w:val="24"/>
          <w:u w:val="single"/>
        </w:rPr>
      </w:pPr>
      <w:r w:rsidRPr="001D1E50">
        <w:rPr>
          <w:rFonts w:eastAsia="Calibri"/>
          <w:i/>
          <w:color w:val="000000" w:themeColor="text1"/>
          <w:szCs w:val="24"/>
          <w:u w:val="single"/>
        </w:rPr>
        <w:t>Training</w:t>
      </w:r>
    </w:p>
    <w:p w14:paraId="5DA85031" w14:textId="4BB8A950"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Assume executive team and trustee directors and staff who will be compiling the reports will each need </w:t>
      </w:r>
      <w:r w:rsidR="003247CC">
        <w:rPr>
          <w:rFonts w:eastAsia="Calibri"/>
          <w:color w:val="000000" w:themeColor="text1"/>
          <w:szCs w:val="24"/>
        </w:rPr>
        <w:t xml:space="preserve">1 </w:t>
      </w:r>
      <w:r w:rsidRPr="001D1E50">
        <w:rPr>
          <w:rFonts w:eastAsia="Calibri"/>
          <w:color w:val="000000" w:themeColor="text1"/>
          <w:szCs w:val="24"/>
        </w:rPr>
        <w:t>hour to learn/understand their new obligations. Feedback is sought on the number of staff involved in this training and whether the assumed hours is appropriate. We expect funds will need to undergo this training regardless of which option is adopted for the regulations.</w:t>
      </w:r>
    </w:p>
    <w:p w14:paraId="1D195E91" w14:textId="77777777" w:rsidR="009A65CE" w:rsidRPr="001D1E50" w:rsidRDefault="009A65CE" w:rsidP="009A65CE">
      <w:pPr>
        <w:spacing w:after="0"/>
        <w:rPr>
          <w:rFonts w:eastAsia="Calibri"/>
          <w:bCs/>
          <w:color w:val="000000" w:themeColor="text1"/>
          <w:szCs w:val="24"/>
          <w:u w:val="single"/>
        </w:rPr>
      </w:pPr>
      <w:r w:rsidRPr="001D1E50">
        <w:rPr>
          <w:rFonts w:eastAsia="Calibri"/>
          <w:bCs/>
          <w:color w:val="000000" w:themeColor="text1"/>
          <w:szCs w:val="24"/>
          <w:u w:val="single"/>
        </w:rPr>
        <w:t>Ongoing costs</w:t>
      </w:r>
    </w:p>
    <w:p w14:paraId="714D9054"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Collation and publication of the data, consistent with the regulations, on a fund’s website, further updates twice annually.</w:t>
      </w:r>
    </w:p>
    <w:p w14:paraId="47A6D46F"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Feedback is sought on estimates of costs of this investment and whether they would vary between option 1 and option 2. </w:t>
      </w:r>
    </w:p>
    <w:p w14:paraId="66309225" w14:textId="77777777" w:rsidR="009A65CE" w:rsidRPr="001D1E50" w:rsidRDefault="009A65CE" w:rsidP="009A65CE">
      <w:pPr>
        <w:spacing w:after="0"/>
        <w:rPr>
          <w:rFonts w:eastAsia="Calibri"/>
          <w:i/>
          <w:iCs/>
          <w:color w:val="000000" w:themeColor="text1"/>
          <w:szCs w:val="24"/>
          <w:u w:val="single"/>
        </w:rPr>
      </w:pPr>
      <w:r w:rsidRPr="001D1E50">
        <w:rPr>
          <w:rFonts w:eastAsia="Calibri"/>
          <w:i/>
          <w:iCs/>
          <w:color w:val="000000" w:themeColor="text1"/>
          <w:szCs w:val="24"/>
          <w:u w:val="single"/>
        </w:rPr>
        <w:t>Third party costs</w:t>
      </w:r>
    </w:p>
    <w:p w14:paraId="70637DE4"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Costs paid to third parties for access and collation of data to ensure the data is obtained consistent with the requirements under the regulations. This covers custodian fees and fees paid to fund managers. </w:t>
      </w:r>
    </w:p>
    <w:p w14:paraId="33E1759C" w14:textId="77777777" w:rsidR="009A65CE" w:rsidRPr="001D1E50" w:rsidRDefault="009A65CE" w:rsidP="009A65CE">
      <w:pPr>
        <w:pStyle w:val="Bullet"/>
        <w:numPr>
          <w:ilvl w:val="0"/>
          <w:numId w:val="10"/>
        </w:numPr>
        <w:spacing w:before="120"/>
        <w:rPr>
          <w:rFonts w:eastAsia="Calibri"/>
          <w:color w:val="000000" w:themeColor="text1"/>
          <w:szCs w:val="24"/>
        </w:rPr>
      </w:pPr>
      <w:r w:rsidRPr="001D1E50">
        <w:rPr>
          <w:rFonts w:eastAsia="Calibri"/>
          <w:color w:val="000000" w:themeColor="text1"/>
          <w:szCs w:val="24"/>
        </w:rPr>
        <w:t xml:space="preserve">Feedback is sought on estimates of costs of this investment and whether they would vary between option 1 and option 2. </w:t>
      </w:r>
    </w:p>
    <w:p w14:paraId="034421A0" w14:textId="6F7A0C26" w:rsidR="009A65CE" w:rsidRPr="001D1E50" w:rsidRDefault="009A65CE" w:rsidP="009A65CE">
      <w:pPr>
        <w:spacing w:after="0"/>
        <w:rPr>
          <w:rFonts w:eastAsia="Calibri"/>
          <w:bCs/>
          <w:color w:val="000000" w:themeColor="text1"/>
          <w:szCs w:val="24"/>
          <w:u w:val="single"/>
        </w:rPr>
      </w:pPr>
      <w:r w:rsidRPr="001D1E50">
        <w:rPr>
          <w:rFonts w:eastAsia="Calibri"/>
          <w:bCs/>
          <w:color w:val="000000" w:themeColor="text1"/>
          <w:szCs w:val="24"/>
          <w:u w:val="single"/>
        </w:rPr>
        <w:t>Individual costs</w:t>
      </w:r>
    </w:p>
    <w:p w14:paraId="67CA9BC3" w14:textId="77777777" w:rsidR="009A65CE" w:rsidRPr="001D1E50" w:rsidRDefault="009A65CE" w:rsidP="009A65CE">
      <w:pPr>
        <w:pStyle w:val="Bullet"/>
        <w:numPr>
          <w:ilvl w:val="0"/>
          <w:numId w:val="0"/>
        </w:numPr>
        <w:ind w:left="520" w:hanging="520"/>
        <w:rPr>
          <w:color w:val="000000" w:themeColor="text1"/>
          <w:szCs w:val="24"/>
        </w:rPr>
      </w:pPr>
      <w:r w:rsidRPr="001D1E50">
        <w:rPr>
          <w:color w:val="000000" w:themeColor="text1"/>
          <w:szCs w:val="24"/>
        </w:rPr>
        <w:t xml:space="preserve">Nil - </w:t>
      </w:r>
      <w:r w:rsidRPr="001D1E50">
        <w:rPr>
          <w:rFonts w:eastAsia="Calibri"/>
          <w:color w:val="000000" w:themeColor="text1"/>
          <w:szCs w:val="24"/>
        </w:rPr>
        <w:t>This</w:t>
      </w:r>
      <w:r w:rsidRPr="001D1E50">
        <w:rPr>
          <w:color w:val="000000" w:themeColor="text1"/>
          <w:szCs w:val="24"/>
        </w:rPr>
        <w:t xml:space="preserve"> measure is directed only at superannuation funds, and as such individuals are not affected. </w:t>
      </w:r>
    </w:p>
    <w:p w14:paraId="62C68139" w14:textId="77777777" w:rsidR="009A65CE" w:rsidRPr="0080074E" w:rsidRDefault="009A65CE" w:rsidP="00F015EE">
      <w:pPr>
        <w:rPr>
          <w:szCs w:val="23"/>
        </w:rPr>
      </w:pPr>
    </w:p>
    <w:p w14:paraId="74586270" w14:textId="77777777" w:rsidR="00EA4DD8" w:rsidRDefault="00EA4DD8" w:rsidP="00A46C6F">
      <w:pPr>
        <w:pageBreakBefore/>
        <w:spacing w:before="240"/>
        <w:ind w:left="5040" w:firstLine="720"/>
        <w:jc w:val="center"/>
        <w:rPr>
          <w:b/>
          <w:u w:val="single"/>
        </w:rPr>
      </w:pPr>
      <w:r w:rsidRPr="007B335E">
        <w:rPr>
          <w:b/>
          <w:u w:val="single"/>
        </w:rPr>
        <w:lastRenderedPageBreak/>
        <w:t xml:space="preserve">ATTACHMENT </w:t>
      </w:r>
      <w:r w:rsidR="00F015EE">
        <w:rPr>
          <w:b/>
          <w:u w:val="single"/>
        </w:rPr>
        <w:t>A</w:t>
      </w:r>
    </w:p>
    <w:p w14:paraId="7DC550C1" w14:textId="77777777" w:rsidR="00EA4DD8" w:rsidRDefault="00EA4DD8" w:rsidP="00EA4DD8">
      <w:pPr>
        <w:spacing w:before="240"/>
        <w:ind w:right="91"/>
        <w:rPr>
          <w:b/>
          <w:bCs/>
          <w:szCs w:val="24"/>
          <w:u w:val="single"/>
        </w:rPr>
      </w:pPr>
      <w:r>
        <w:rPr>
          <w:b/>
          <w:bCs/>
          <w:u w:val="single"/>
        </w:rPr>
        <w:t xml:space="preserve">Details of the </w:t>
      </w:r>
      <w:r w:rsidR="00487383" w:rsidRPr="00487383">
        <w:rPr>
          <w:b/>
          <w:i/>
          <w:u w:val="single"/>
        </w:rPr>
        <w:t>Treasury Laws Amend</w:t>
      </w:r>
      <w:r w:rsidR="007A786F">
        <w:rPr>
          <w:b/>
          <w:i/>
          <w:u w:val="single"/>
        </w:rPr>
        <w:t xml:space="preserve">ment (Your Future, Your Super - </w:t>
      </w:r>
      <w:r w:rsidR="00487383" w:rsidRPr="00487383">
        <w:rPr>
          <w:b/>
          <w:i/>
          <w:u w:val="single"/>
        </w:rPr>
        <w:t xml:space="preserve">Improving </w:t>
      </w:r>
      <w:r w:rsidR="00D9441E">
        <w:rPr>
          <w:b/>
          <w:i/>
          <w:u w:val="single"/>
        </w:rPr>
        <w:t>A</w:t>
      </w:r>
      <w:r w:rsidR="00487383" w:rsidRPr="00487383">
        <w:rPr>
          <w:b/>
          <w:i/>
          <w:u w:val="single"/>
        </w:rPr>
        <w:t xml:space="preserve">ccountability and </w:t>
      </w:r>
      <w:r w:rsidR="00D9441E">
        <w:rPr>
          <w:b/>
          <w:i/>
          <w:u w:val="single"/>
        </w:rPr>
        <w:t>M</w:t>
      </w:r>
      <w:r w:rsidR="00487383" w:rsidRPr="00487383">
        <w:rPr>
          <w:b/>
          <w:i/>
          <w:u w:val="single"/>
        </w:rPr>
        <w:t xml:space="preserve">ember </w:t>
      </w:r>
      <w:r w:rsidR="00D9441E">
        <w:rPr>
          <w:b/>
          <w:i/>
          <w:u w:val="single"/>
        </w:rPr>
        <w:t>O</w:t>
      </w:r>
      <w:r w:rsidR="00487383" w:rsidRPr="00487383">
        <w:rPr>
          <w:b/>
          <w:i/>
          <w:u w:val="single"/>
        </w:rPr>
        <w:t>utcomes) Regulations 2021</w:t>
      </w:r>
    </w:p>
    <w:p w14:paraId="15B7F5E0"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D604C4B" w14:textId="77777777" w:rsidR="00EA4DD8" w:rsidRDefault="00EA4DD8" w:rsidP="00EA4DD8">
      <w:pPr>
        <w:spacing w:before="240"/>
      </w:pPr>
      <w:r>
        <w:t xml:space="preserve">This section provides that the name of the Regulations is the </w:t>
      </w:r>
      <w:r w:rsidR="00167405" w:rsidRPr="00167405">
        <w:rPr>
          <w:i/>
        </w:rPr>
        <w:t>Treasury Laws Amendment (Your Future, Your S</w:t>
      </w:r>
      <w:r w:rsidR="007A786F">
        <w:rPr>
          <w:i/>
        </w:rPr>
        <w:t xml:space="preserve">uper - </w:t>
      </w:r>
      <w:r w:rsidR="00167405" w:rsidRPr="00167405">
        <w:rPr>
          <w:i/>
        </w:rPr>
        <w:t xml:space="preserve">Improving </w:t>
      </w:r>
      <w:r w:rsidR="00D9441E">
        <w:rPr>
          <w:i/>
        </w:rPr>
        <w:t>A</w:t>
      </w:r>
      <w:r w:rsidR="00167405" w:rsidRPr="00167405">
        <w:rPr>
          <w:i/>
        </w:rPr>
        <w:t xml:space="preserve">ccountability and </w:t>
      </w:r>
      <w:r w:rsidR="00D9441E">
        <w:rPr>
          <w:i/>
        </w:rPr>
        <w:t>M</w:t>
      </w:r>
      <w:r w:rsidR="00167405" w:rsidRPr="00167405">
        <w:rPr>
          <w:i/>
        </w:rPr>
        <w:t xml:space="preserve">ember </w:t>
      </w:r>
      <w:r w:rsidR="00D9441E">
        <w:rPr>
          <w:i/>
        </w:rPr>
        <w:t>O</w:t>
      </w:r>
      <w:r w:rsidR="00167405" w:rsidRPr="00167405">
        <w:rPr>
          <w:i/>
        </w:rPr>
        <w:t>utcomes) Regulations 2021</w:t>
      </w:r>
      <w:r w:rsidR="00F015EE" w:rsidRPr="00242492">
        <w:rPr>
          <w:i/>
        </w:rPr>
        <w:t xml:space="preserve"> </w:t>
      </w:r>
      <w:r w:rsidR="00F015EE">
        <w:t>(the Regulations).</w:t>
      </w:r>
      <w:r>
        <w:t xml:space="preserve">  </w:t>
      </w:r>
    </w:p>
    <w:p w14:paraId="025BC2C0" w14:textId="77777777" w:rsidR="00EA4DD8" w:rsidRDefault="00EA4DD8" w:rsidP="00EA4DD8">
      <w:pPr>
        <w:spacing w:before="240"/>
        <w:ind w:right="91"/>
        <w:rPr>
          <w:u w:val="single"/>
        </w:rPr>
      </w:pPr>
      <w:r>
        <w:rPr>
          <w:u w:val="single"/>
        </w:rPr>
        <w:t>Section 2 – Commencement</w:t>
      </w:r>
    </w:p>
    <w:p w14:paraId="154AE9A3" w14:textId="77777777" w:rsidR="00EA4DD8" w:rsidRDefault="000C533D" w:rsidP="00EA4DD8">
      <w:pPr>
        <w:spacing w:before="240"/>
        <w:ind w:right="91"/>
      </w:pPr>
      <w:r w:rsidRPr="000C533D">
        <w:t>T</w:t>
      </w:r>
      <w:r w:rsidR="00EA4DD8" w:rsidRPr="000C533D">
        <w:t xml:space="preserve">he Regulations commence on </w:t>
      </w:r>
      <w:r w:rsidRPr="000C533D">
        <w:t xml:space="preserve">the day after the instrument </w:t>
      </w:r>
      <w:r w:rsidR="00EA4DD8" w:rsidRPr="000C533D">
        <w:t>is registered on the Federal Register of Legislation.</w:t>
      </w:r>
    </w:p>
    <w:p w14:paraId="75F1DA4C" w14:textId="77777777" w:rsidR="00EA4DD8" w:rsidRDefault="00EA4DD8" w:rsidP="00EA4DD8">
      <w:pPr>
        <w:spacing w:before="240"/>
        <w:ind w:right="91"/>
        <w:rPr>
          <w:u w:val="single"/>
        </w:rPr>
      </w:pPr>
      <w:r>
        <w:rPr>
          <w:u w:val="single"/>
        </w:rPr>
        <w:t>Section 3 – Authority</w:t>
      </w:r>
    </w:p>
    <w:p w14:paraId="5A507C69" w14:textId="77777777" w:rsidR="00EA4DD8" w:rsidRDefault="00EA4DD8" w:rsidP="00EA4DD8">
      <w:pPr>
        <w:spacing w:before="240"/>
        <w:ind w:right="91"/>
      </w:pPr>
      <w:r>
        <w:t xml:space="preserve">The Regulations are made under the </w:t>
      </w:r>
      <w:r w:rsidR="008E616A">
        <w:rPr>
          <w:i/>
        </w:rPr>
        <w:t>Corporations Act 2001</w:t>
      </w:r>
      <w:r w:rsidR="008E616A">
        <w:t xml:space="preserve"> and the </w:t>
      </w:r>
      <w:r w:rsidR="008E616A">
        <w:rPr>
          <w:i/>
        </w:rPr>
        <w:t>Supervision Industry (Supervision) Act 1993</w:t>
      </w:r>
      <w:r w:rsidR="00D9441E">
        <w:rPr>
          <w:i/>
        </w:rPr>
        <w:t xml:space="preserve"> </w:t>
      </w:r>
      <w:r w:rsidR="00D9441E">
        <w:t>(SIS Act)</w:t>
      </w:r>
      <w:r>
        <w:t>.</w:t>
      </w:r>
    </w:p>
    <w:p w14:paraId="5CC1AA13" w14:textId="77777777" w:rsidR="00EA4DD8" w:rsidRDefault="00EA4DD8" w:rsidP="00EA4DD8">
      <w:pPr>
        <w:spacing w:before="240"/>
        <w:ind w:right="91"/>
        <w:rPr>
          <w:u w:val="single"/>
        </w:rPr>
      </w:pPr>
      <w:r>
        <w:rPr>
          <w:u w:val="single"/>
        </w:rPr>
        <w:t>Section 4 – Schedule</w:t>
      </w:r>
      <w:r w:rsidR="004C6543" w:rsidRPr="00766819">
        <w:rPr>
          <w:u w:val="single"/>
        </w:rPr>
        <w:t>s</w:t>
      </w:r>
    </w:p>
    <w:p w14:paraId="0CA68441" w14:textId="77777777" w:rsidR="003A3008" w:rsidRDefault="00EA4DD8" w:rsidP="003A300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B2C73EC" w14:textId="77777777" w:rsidR="00EA4DD8" w:rsidRPr="00E16C4B" w:rsidRDefault="00EA4DD8" w:rsidP="003A3008">
      <w:pPr>
        <w:spacing w:before="240" w:after="200"/>
        <w:ind w:right="91"/>
        <w:rPr>
          <w:b/>
          <w:color w:val="FF0000"/>
        </w:rPr>
      </w:pPr>
      <w:r w:rsidRPr="004C2A06">
        <w:rPr>
          <w:b/>
        </w:rPr>
        <w:t>Schedule</w:t>
      </w:r>
      <w:r w:rsidRPr="00E16C4B">
        <w:rPr>
          <w:b/>
        </w:rPr>
        <w:t xml:space="preserve"> 1 – </w:t>
      </w:r>
      <w:r w:rsidR="00E16C4B" w:rsidRPr="00E16C4B">
        <w:rPr>
          <w:b/>
        </w:rPr>
        <w:t xml:space="preserve">Portfolio holdings disclosure </w:t>
      </w:r>
    </w:p>
    <w:p w14:paraId="23681B6C" w14:textId="77777777" w:rsidR="00E16C4B" w:rsidRDefault="00E16C4B" w:rsidP="00765B0F">
      <w:pPr>
        <w:spacing w:before="240"/>
        <w:ind w:right="91"/>
      </w:pPr>
      <w:r>
        <w:t xml:space="preserve">Schedule 1 to the Regulations amends the </w:t>
      </w:r>
      <w:r>
        <w:rPr>
          <w:i/>
        </w:rPr>
        <w:t>Corporations Regulations 2001</w:t>
      </w:r>
      <w:r>
        <w:t xml:space="preserve"> to prescribe the </w:t>
      </w:r>
      <w:r w:rsidR="00D9441E">
        <w:t>way</w:t>
      </w:r>
      <w:r>
        <w:t xml:space="preserve"> in which</w:t>
      </w:r>
      <w:r w:rsidR="00D9441E">
        <w:t xml:space="preserve"> portfolio holdings of a reg</w:t>
      </w:r>
      <w:r w:rsidR="00646FDD">
        <w:t>i</w:t>
      </w:r>
      <w:r w:rsidR="00D9441E">
        <w:t>strable superannuation entity (RSE)</w:t>
      </w:r>
      <w:r>
        <w:t xml:space="preserve"> are to be disclosed for purposes of section 1017BB of the </w:t>
      </w:r>
      <w:r w:rsidRPr="0031046E">
        <w:rPr>
          <w:i/>
        </w:rPr>
        <w:t>Corporations Act</w:t>
      </w:r>
      <w:r w:rsidR="004114C5" w:rsidRPr="0031046E">
        <w:rPr>
          <w:i/>
        </w:rPr>
        <w:t xml:space="preserve"> 2001</w:t>
      </w:r>
      <w:r>
        <w:t>.</w:t>
      </w:r>
    </w:p>
    <w:p w14:paraId="6BF0CD48" w14:textId="77777777" w:rsidR="00E16C4B" w:rsidRPr="00C317DA" w:rsidRDefault="00E16C4B" w:rsidP="00765B0F">
      <w:pPr>
        <w:spacing w:before="240"/>
        <w:ind w:right="91"/>
      </w:pPr>
      <w:r w:rsidRPr="00C317DA">
        <w:t xml:space="preserve">Subsection 1017BB(1) </w:t>
      </w:r>
      <w:r w:rsidRPr="00B7300B">
        <w:t xml:space="preserve">in the </w:t>
      </w:r>
      <w:r w:rsidRPr="0031046E">
        <w:rPr>
          <w:i/>
        </w:rPr>
        <w:t>Corporations Act</w:t>
      </w:r>
      <w:r w:rsidRPr="00C317DA">
        <w:t xml:space="preserve"> </w:t>
      </w:r>
      <w:r w:rsidR="004114C5">
        <w:rPr>
          <w:i/>
        </w:rPr>
        <w:t xml:space="preserve">2001 </w:t>
      </w:r>
      <w:r w:rsidRPr="00C317DA">
        <w:t xml:space="preserve">sets out the required information that is to be collected and disclosed in respect of an investment item allocated to an investment option. </w:t>
      </w:r>
      <w:r w:rsidRPr="00CC466D">
        <w:t>An investment item is an asset or a derivative.</w:t>
      </w:r>
      <w:r>
        <w:t xml:space="preserve"> </w:t>
      </w:r>
    </w:p>
    <w:p w14:paraId="10003533" w14:textId="77777777" w:rsidR="00E16C4B" w:rsidRPr="00C317DA" w:rsidRDefault="00E16C4B" w:rsidP="00765B0F">
      <w:pPr>
        <w:spacing w:before="240"/>
        <w:ind w:right="91"/>
      </w:pPr>
      <w:r w:rsidRPr="00C317DA">
        <w:t xml:space="preserve">Subsection 1017BB(3) in the </w:t>
      </w:r>
      <w:r w:rsidRPr="0031046E">
        <w:rPr>
          <w:i/>
        </w:rPr>
        <w:t xml:space="preserve">Corporations Act </w:t>
      </w:r>
      <w:r w:rsidR="00E94847" w:rsidRPr="0031046E">
        <w:rPr>
          <w:i/>
        </w:rPr>
        <w:t>2001</w:t>
      </w:r>
      <w:r w:rsidR="00E94847">
        <w:t xml:space="preserve"> </w:t>
      </w:r>
      <w:r w:rsidRPr="00C317DA">
        <w:t>requires the trustee of an RSE</w:t>
      </w:r>
      <w:r w:rsidR="00D9441E">
        <w:t>, with the exception of trustees exempted under 1017BB(4),</w:t>
      </w:r>
      <w:r w:rsidRPr="00C317DA">
        <w:t xml:space="preserve"> to make </w:t>
      </w:r>
      <w:r w:rsidR="00B24DA6" w:rsidRPr="00C317DA">
        <w:t>publicly</w:t>
      </w:r>
      <w:r w:rsidRPr="00C317DA">
        <w:t xml:space="preserve"> available information regarding the RSE’s portfolio holdings in accordance with regulations if regulations are made for that purpose. As such, </w:t>
      </w:r>
      <w:r w:rsidR="0093770A">
        <w:t xml:space="preserve">trustees of affected </w:t>
      </w:r>
      <w:r w:rsidRPr="00C317DA">
        <w:t xml:space="preserve">RSEs are required to publish information relating to investment items </w:t>
      </w:r>
      <w:r w:rsidRPr="00A7278C">
        <w:t>on the</w:t>
      </w:r>
      <w:r w:rsidR="0093770A">
        <w:t xml:space="preserve"> RSE </w:t>
      </w:r>
      <w:r w:rsidRPr="00A7278C">
        <w:t>website in an area that is accessible to the public at all times.</w:t>
      </w:r>
    </w:p>
    <w:p w14:paraId="7305AAAF" w14:textId="77777777" w:rsidR="00385B48" w:rsidRDefault="00E16C4B" w:rsidP="00765B0F">
      <w:pPr>
        <w:spacing w:before="240"/>
        <w:ind w:right="91"/>
      </w:pPr>
      <w:r w:rsidRPr="003179F1">
        <w:t xml:space="preserve">Item 1 of Schedule 1 inserts Subdivision 2E.2 into Part 7.9 of the </w:t>
      </w:r>
      <w:r w:rsidRPr="0031046E">
        <w:rPr>
          <w:i/>
        </w:rPr>
        <w:t>Corporations Regulations</w:t>
      </w:r>
      <w:r w:rsidR="00876344">
        <w:rPr>
          <w:i/>
        </w:rPr>
        <w:t xml:space="preserve"> 2001</w:t>
      </w:r>
      <w:r w:rsidRPr="003179F1">
        <w:t xml:space="preserve">. Regulation 7.9.07Z </w:t>
      </w:r>
      <w:r w:rsidR="0093770A">
        <w:t>provides</w:t>
      </w:r>
      <w:r w:rsidR="0093770A" w:rsidRPr="003179F1">
        <w:t xml:space="preserve"> </w:t>
      </w:r>
      <w:r w:rsidRPr="003179F1">
        <w:t xml:space="preserve">that the regulations contained in the new Subdivision are made for purposes of </w:t>
      </w:r>
      <w:r w:rsidR="00385B48">
        <w:t>sub-</w:t>
      </w:r>
      <w:r w:rsidRPr="003179F1">
        <w:t>section 1017BB</w:t>
      </w:r>
      <w:r w:rsidR="00385B48">
        <w:t>(3)</w:t>
      </w:r>
      <w:r w:rsidRPr="003179F1">
        <w:t xml:space="preserve"> of the </w:t>
      </w:r>
      <w:r w:rsidRPr="0031046E">
        <w:rPr>
          <w:i/>
        </w:rPr>
        <w:t>Corporations Act</w:t>
      </w:r>
      <w:r w:rsidR="008073CC" w:rsidRPr="0031046E">
        <w:rPr>
          <w:i/>
        </w:rPr>
        <w:t xml:space="preserve"> 2001</w:t>
      </w:r>
      <w:r w:rsidR="00385B48">
        <w:t xml:space="preserve"> and provides for rules around how the information must be organised. </w:t>
      </w:r>
    </w:p>
    <w:p w14:paraId="3B71EE84" w14:textId="77777777" w:rsidR="00E16C4B" w:rsidRDefault="00385B48" w:rsidP="00765B0F">
      <w:pPr>
        <w:spacing w:before="240"/>
        <w:ind w:right="91"/>
      </w:pPr>
      <w:r>
        <w:lastRenderedPageBreak/>
        <w:t xml:space="preserve">In general, information about an investment option must be organised consistent with the tables contained in Schedule 8D to the </w:t>
      </w:r>
      <w:r w:rsidR="0093770A">
        <w:t>R</w:t>
      </w:r>
      <w:r>
        <w:t>egulations.</w:t>
      </w:r>
      <w:r w:rsidR="00C9302B">
        <w:t xml:space="preserve"> The tables </w:t>
      </w:r>
      <w:r w:rsidR="00F93194">
        <w:t>provide for</w:t>
      </w:r>
      <w:r w:rsidR="00C9302B">
        <w:t xml:space="preserve"> di</w:t>
      </w:r>
      <w:r w:rsidR="00936FD7">
        <w:t xml:space="preserve">fferent methods for </w:t>
      </w:r>
      <w:r w:rsidR="00F93194">
        <w:t>organis</w:t>
      </w:r>
      <w:r w:rsidR="0093770A">
        <w:t>ing</w:t>
      </w:r>
      <w:r w:rsidR="00C9302B">
        <w:t xml:space="preserve"> information depending on if the investment options are derivatives or not. </w:t>
      </w:r>
      <w:r>
        <w:t xml:space="preserve"> Sub-regulations 7.9.07Z(2) and (3) </w:t>
      </w:r>
      <w:r w:rsidR="00936FD7">
        <w:t>provide</w:t>
      </w:r>
      <w:r>
        <w:t xml:space="preserve"> that information may be displayed using a different number of columns or rows, </w:t>
      </w:r>
      <w:r w:rsidR="00F729EC">
        <w:t xml:space="preserve">or with the use of </w:t>
      </w:r>
      <w:r>
        <w:t>subsidiary table</w:t>
      </w:r>
      <w:r w:rsidR="00F729EC">
        <w:t>s</w:t>
      </w:r>
      <w:r>
        <w:t>,</w:t>
      </w:r>
      <w:r w:rsidR="00F729EC">
        <w:t xml:space="preserve"> </w:t>
      </w:r>
      <w:r>
        <w:t xml:space="preserve">but at a minimum </w:t>
      </w:r>
      <w:r w:rsidR="00936FD7">
        <w:t xml:space="preserve">information </w:t>
      </w:r>
      <w:r>
        <w:t xml:space="preserve">must be </w:t>
      </w:r>
      <w:r w:rsidR="00936FD7">
        <w:t>displayed consistently</w:t>
      </w:r>
      <w:r>
        <w:t xml:space="preserve"> with the tables in Schedule 8D. </w:t>
      </w:r>
    </w:p>
    <w:p w14:paraId="1CD80A02" w14:textId="77777777" w:rsidR="00C9302B" w:rsidRPr="00B33E8C" w:rsidRDefault="00C9302B" w:rsidP="00C9302B">
      <w:pPr>
        <w:spacing w:before="240"/>
        <w:ind w:right="91"/>
      </w:pPr>
      <w:r w:rsidRPr="00B33E8C">
        <w:t xml:space="preserve">Recognising the interactive nature of websites, the required information may be dispersed and disclosed in multiple subsidiary tables as opposed to one single table, </w:t>
      </w:r>
      <w:r>
        <w:t>particularly when large amounts of information are required,</w:t>
      </w:r>
      <w:r w:rsidRPr="00B33E8C">
        <w:t xml:space="preserve"> as long as the information relates to that investment option and is easily accessible from those subsidiar</w:t>
      </w:r>
      <w:r w:rsidR="0093770A">
        <w:t>y</w:t>
      </w:r>
      <w:r w:rsidRPr="00B33E8C">
        <w:t xml:space="preserve"> tables.</w:t>
      </w:r>
      <w:r>
        <w:t xml:space="preserve"> </w:t>
      </w:r>
    </w:p>
    <w:p w14:paraId="2704B037" w14:textId="77777777" w:rsidR="00C9302B" w:rsidRDefault="00C9302B" w:rsidP="00C9302B">
      <w:pPr>
        <w:spacing w:before="240"/>
        <w:ind w:right="91"/>
      </w:pPr>
      <w:r w:rsidRPr="00B33E8C">
        <w:t xml:space="preserve">An example of subsidiary tables is where each kind of investment item is disclosed in a separate tab of a table, so that the viewer can access the information about a specific kind of investment item by clicking the tab containing that information rather than </w:t>
      </w:r>
      <w:r w:rsidRPr="00563087">
        <w:t>scrolling down a screen.</w:t>
      </w:r>
    </w:p>
    <w:p w14:paraId="79E8FE60" w14:textId="77777777" w:rsidR="00F93194" w:rsidRPr="003179F1" w:rsidRDefault="00F93194" w:rsidP="00C9302B">
      <w:pPr>
        <w:spacing w:before="240"/>
        <w:ind w:right="91"/>
      </w:pPr>
      <w:r>
        <w:t xml:space="preserve">Example tables for organising information for derivatives and investment options that are not derivatives </w:t>
      </w:r>
      <w:r w:rsidRPr="00F70582">
        <w:t xml:space="preserve">are included in </w:t>
      </w:r>
      <w:r w:rsidRPr="00F70582">
        <w:rPr>
          <w:b/>
          <w:u w:val="single"/>
        </w:rPr>
        <w:t xml:space="preserve">Attachment B. </w:t>
      </w:r>
    </w:p>
    <w:p w14:paraId="7A73A541" w14:textId="77777777" w:rsidR="00E16C4B" w:rsidRPr="004C2A06" w:rsidRDefault="00E16C4B" w:rsidP="00765B0F">
      <w:pPr>
        <w:spacing w:before="240"/>
        <w:ind w:right="91"/>
        <w:rPr>
          <w:i/>
        </w:rPr>
      </w:pPr>
      <w:r w:rsidRPr="004C2A06">
        <w:rPr>
          <w:i/>
        </w:rPr>
        <w:t>Organising information for investment items that are not derivatives</w:t>
      </w:r>
    </w:p>
    <w:p w14:paraId="41979C89" w14:textId="77777777" w:rsidR="00990D07" w:rsidRDefault="00E16C4B" w:rsidP="00765B0F">
      <w:pPr>
        <w:spacing w:before="240"/>
        <w:ind w:right="91"/>
      </w:pPr>
      <w:r w:rsidRPr="00B32215">
        <w:t xml:space="preserve">The </w:t>
      </w:r>
      <w:r w:rsidR="00F93194">
        <w:t xml:space="preserve">first </w:t>
      </w:r>
      <w:r w:rsidR="003F2097">
        <w:t xml:space="preserve">table </w:t>
      </w:r>
      <w:r w:rsidR="00F729EC">
        <w:t>in Schedule 8D provide</w:t>
      </w:r>
      <w:r w:rsidR="00F93194">
        <w:t>s</w:t>
      </w:r>
      <w:r w:rsidR="00F729EC">
        <w:t xml:space="preserve"> for the way information is to be organised and displayed</w:t>
      </w:r>
      <w:r w:rsidR="00F93194">
        <w:t xml:space="preserve"> for non-derivative investment items</w:t>
      </w:r>
      <w:r w:rsidR="00F729EC">
        <w:t xml:space="preserve">, subject to the organisation rules in regulation 7.9.07Z. </w:t>
      </w:r>
    </w:p>
    <w:p w14:paraId="705CF93A" w14:textId="77777777" w:rsidR="00F729EC" w:rsidRDefault="00646DBB" w:rsidP="00765B0F">
      <w:pPr>
        <w:spacing w:before="240"/>
        <w:ind w:right="91"/>
      </w:pPr>
      <w:r>
        <w:t>Figures expressed in the</w:t>
      </w:r>
      <w:r w:rsidR="0093770A">
        <w:t xml:space="preserve"> example</w:t>
      </w:r>
      <w:r>
        <w:t xml:space="preserve"> table</w:t>
      </w:r>
      <w:r w:rsidR="0093770A">
        <w:t>s in Attachment B</w:t>
      </w:r>
      <w:r>
        <w:t xml:space="preserve"> are purely included for example purposes and are not intended to reflect a realistic portfolio of a superannuation fund. </w:t>
      </w:r>
      <w:r w:rsidR="00B90876">
        <w:t>Under section</w:t>
      </w:r>
      <w:r w:rsidR="003F6EC5">
        <w:t> </w:t>
      </w:r>
      <w:r w:rsidR="00B90876">
        <w:t xml:space="preserve">1017BB of the </w:t>
      </w:r>
      <w:r w:rsidR="00B90876" w:rsidRPr="00DA1AC6">
        <w:rPr>
          <w:i/>
        </w:rPr>
        <w:t>Corporations Act 2001</w:t>
      </w:r>
      <w:r w:rsidR="00B90876">
        <w:t xml:space="preserve">, trustees are only required to disclose investment items held by the RSE, an associate of the RSE or a pooled superannuation trust. It is not a full look-through model to the underlying asset. </w:t>
      </w:r>
    </w:p>
    <w:p w14:paraId="39D20E85" w14:textId="77777777" w:rsidR="00625F12" w:rsidRDefault="00625F12" w:rsidP="00765B0F">
      <w:pPr>
        <w:spacing w:before="240"/>
        <w:ind w:right="91"/>
      </w:pPr>
      <w:r>
        <w:t xml:space="preserve">The rows contain </w:t>
      </w:r>
      <w:r w:rsidR="004A32ED">
        <w:t xml:space="preserve">particular </w:t>
      </w:r>
      <w:r>
        <w:t>investment items and columns contain headings that provide details of</w:t>
      </w:r>
      <w:r w:rsidR="0093770A">
        <w:t>:</w:t>
      </w:r>
      <w:r>
        <w:t xml:space="preserve"> </w:t>
      </w:r>
      <w:r w:rsidR="00367C7A">
        <w:t>n</w:t>
      </w:r>
      <w:r w:rsidRPr="00681B1D">
        <w:t>ame</w:t>
      </w:r>
      <w:r>
        <w:t>/kind of investment item</w:t>
      </w:r>
      <w:r w:rsidRPr="002B635B">
        <w:t xml:space="preserve">, </w:t>
      </w:r>
      <w:r w:rsidR="00367C7A">
        <w:t>s</w:t>
      </w:r>
      <w:r w:rsidRPr="002B635B">
        <w:t xml:space="preserve">ecurity identifier, </w:t>
      </w:r>
      <w:r w:rsidR="00367C7A">
        <w:t>u</w:t>
      </w:r>
      <w:r w:rsidRPr="002B635B">
        <w:t xml:space="preserve">nits held, </w:t>
      </w:r>
      <w:r w:rsidR="004A32ED">
        <w:t xml:space="preserve">and a summary column containing the </w:t>
      </w:r>
      <w:r w:rsidR="00367C7A">
        <w:t>v</w:t>
      </w:r>
      <w:r w:rsidRPr="002B635B">
        <w:t>alue</w:t>
      </w:r>
      <w:r>
        <w:t xml:space="preserve"> or current price</w:t>
      </w:r>
      <w:r w:rsidRPr="00203ACB">
        <w:t xml:space="preserve"> and </w:t>
      </w:r>
      <w:r w:rsidR="00367C7A">
        <w:t>w</w:t>
      </w:r>
      <w:r w:rsidRPr="00203ACB">
        <w:t>eighting</w:t>
      </w:r>
      <w:r w:rsidR="004A32ED">
        <w:t xml:space="preserve">. </w:t>
      </w:r>
      <w:r>
        <w:t xml:space="preserve"> </w:t>
      </w:r>
      <w:r w:rsidR="004A32ED">
        <w:t>F</w:t>
      </w:r>
      <w:r>
        <w:t>or fixed income</w:t>
      </w:r>
      <w:r w:rsidR="004A32ED">
        <w:t xml:space="preserve"> investment options</w:t>
      </w:r>
      <w:r>
        <w:t xml:space="preserve">, </w:t>
      </w:r>
      <w:r w:rsidR="004A32ED">
        <w:t>there are</w:t>
      </w:r>
      <w:r>
        <w:t xml:space="preserve"> additional columns being: </w:t>
      </w:r>
      <w:r w:rsidR="00367C7A">
        <w:t>m</w:t>
      </w:r>
      <w:r>
        <w:t xml:space="preserve">aturity, </w:t>
      </w:r>
      <w:r w:rsidR="00367C7A">
        <w:t>f</w:t>
      </w:r>
      <w:r>
        <w:t xml:space="preserve">ace value, and </w:t>
      </w:r>
      <w:r w:rsidR="00367C7A">
        <w:t>c</w:t>
      </w:r>
      <w:r>
        <w:t>oupon</w:t>
      </w:r>
      <w:r w:rsidRPr="00203ACB">
        <w:t>.</w:t>
      </w:r>
    </w:p>
    <w:p w14:paraId="4A83E63F" w14:textId="77777777" w:rsidR="003E2DE3" w:rsidRDefault="00E16C4B" w:rsidP="00765B0F">
      <w:pPr>
        <w:spacing w:before="240"/>
        <w:ind w:right="91"/>
      </w:pPr>
      <w:r w:rsidRPr="002B635B">
        <w:t xml:space="preserve">The investment items of the same kind are to be </w:t>
      </w:r>
      <w:r w:rsidRPr="00A80942">
        <w:t xml:space="preserve">listed next to each other (i.e. grouped together) with the total </w:t>
      </w:r>
      <w:r w:rsidRPr="00F815E6">
        <w:t>amounts and percentages for that kind of investment item shown</w:t>
      </w:r>
      <w:r w:rsidR="00BC2C8C">
        <w:t xml:space="preserve">. </w:t>
      </w:r>
      <w:r w:rsidR="006A3262" w:rsidRPr="002B635B">
        <w:t>Different currency holdings are to be listed</w:t>
      </w:r>
      <w:r w:rsidR="006A3262">
        <w:t xml:space="preserve"> separately</w:t>
      </w:r>
      <w:r w:rsidR="006A3262" w:rsidRPr="002B635B">
        <w:t xml:space="preserve"> in the table.</w:t>
      </w:r>
      <w:r w:rsidR="006A3262">
        <w:t xml:space="preserve"> </w:t>
      </w:r>
    </w:p>
    <w:p w14:paraId="4124E83C" w14:textId="77777777" w:rsidR="00E16C4B" w:rsidRDefault="00E16C4B" w:rsidP="00765B0F">
      <w:pPr>
        <w:spacing w:before="240"/>
        <w:ind w:right="91"/>
      </w:pPr>
      <w:r w:rsidRPr="00DA4668">
        <w:t>The last row of the table is to show the aggregate of the totals of each kind of investment item disclosed in the table.</w:t>
      </w:r>
    </w:p>
    <w:p w14:paraId="3FEE2E79" w14:textId="77777777" w:rsidR="005C5B61" w:rsidRDefault="005C5B61" w:rsidP="00765B0F">
      <w:pPr>
        <w:spacing w:before="240"/>
        <w:ind w:right="91"/>
      </w:pPr>
      <w:r>
        <w:t xml:space="preserve">Weightings for each investment item </w:t>
      </w:r>
      <w:r w:rsidR="00DA1AC6">
        <w:t>can</w:t>
      </w:r>
      <w:r>
        <w:t xml:space="preserve"> be calculated on the basis of the value of that investment item divided by the total value of all investment items (including derivatives). </w:t>
      </w:r>
    </w:p>
    <w:p w14:paraId="2F79A848" w14:textId="619783D8" w:rsidR="0093770A" w:rsidRDefault="0029739B" w:rsidP="00765B0F">
      <w:pPr>
        <w:spacing w:before="240"/>
        <w:ind w:right="91"/>
      </w:pPr>
      <w:r>
        <w:lastRenderedPageBreak/>
        <w:t>Trustees are able to use a</w:t>
      </w:r>
      <w:r w:rsidR="00630CD9">
        <w:t xml:space="preserve"> valuation</w:t>
      </w:r>
      <w:r>
        <w:t xml:space="preserve"> methodology that is consistent with how investment items are valued for other purposes (for example, taxation or financial reporting). </w:t>
      </w:r>
      <w:r w:rsidR="00646DBB">
        <w:t>To ensure consistency across the table, a</w:t>
      </w:r>
      <w:r>
        <w:t xml:space="preserve">ll values in the table should be expressed in Australian dollars. </w:t>
      </w:r>
    </w:p>
    <w:p w14:paraId="6939A134" w14:textId="77777777" w:rsidR="00E16C4B" w:rsidRPr="004C2A06" w:rsidRDefault="00E16C4B" w:rsidP="00765B0F">
      <w:pPr>
        <w:spacing w:before="240"/>
        <w:ind w:right="91"/>
        <w:rPr>
          <w:i/>
        </w:rPr>
      </w:pPr>
      <w:r w:rsidRPr="004C2A06">
        <w:rPr>
          <w:i/>
        </w:rPr>
        <w:t>Organising information for derivatives</w:t>
      </w:r>
    </w:p>
    <w:p w14:paraId="62EA39EE" w14:textId="77777777" w:rsidR="00174840" w:rsidRDefault="00174840" w:rsidP="00765B0F">
      <w:pPr>
        <w:spacing w:before="240"/>
        <w:ind w:right="91"/>
      </w:pPr>
      <w:r>
        <w:t xml:space="preserve">The method of displaying information on investment options that are </w:t>
      </w:r>
      <w:r w:rsidR="00936FD7">
        <w:t>derivatives</w:t>
      </w:r>
      <w:r>
        <w:t xml:space="preserve"> is contained in the second table in Schedule 8D. </w:t>
      </w:r>
      <w:r w:rsidR="007501A2">
        <w:t xml:space="preserve">Similar to </w:t>
      </w:r>
      <w:r w:rsidR="00AD2DDA">
        <w:t xml:space="preserve">the </w:t>
      </w:r>
      <w:r w:rsidR="007501A2">
        <w:t xml:space="preserve">investments table, figures expressed in </w:t>
      </w:r>
      <w:r w:rsidR="0093770A">
        <w:t>the example table in Attachment B is</w:t>
      </w:r>
      <w:r w:rsidR="007501A2">
        <w:t xml:space="preserve"> purely included for example purposes and are not intended to reflect a realistic portfolio of a superannuation fund.</w:t>
      </w:r>
      <w:r w:rsidR="005748DC">
        <w:t xml:space="preserve"> It is recognised that </w:t>
      </w:r>
      <w:r w:rsidR="00DB3EAF">
        <w:t>some</w:t>
      </w:r>
      <w:r w:rsidR="005748DC">
        <w:t xml:space="preserve"> superannuation funds may not engage in all </w:t>
      </w:r>
      <w:r w:rsidR="00DB3EAF">
        <w:t xml:space="preserve">(or any) </w:t>
      </w:r>
      <w:r w:rsidR="005748DC">
        <w:t xml:space="preserve">the derivative transactions outlined in the table. </w:t>
      </w:r>
    </w:p>
    <w:p w14:paraId="4EBD4AD5" w14:textId="77777777" w:rsidR="007501A2" w:rsidRDefault="007501A2" w:rsidP="00765B0F">
      <w:pPr>
        <w:spacing w:before="240"/>
        <w:ind w:right="91"/>
      </w:pPr>
      <w:r>
        <w:t xml:space="preserve">Additional information is required to be disclosed for derivatives to enable users of the table to obtain an increased understanding of these, more complex, derivative instruments. To the extent that the information in a particular column heading is not applicable to a particular instrument, the table </w:t>
      </w:r>
      <w:r w:rsidR="00DA1AC6">
        <w:t xml:space="preserve">can </w:t>
      </w:r>
      <w:r>
        <w:t xml:space="preserve">be filled in with an ‘NA’. </w:t>
      </w:r>
    </w:p>
    <w:p w14:paraId="4EECB262" w14:textId="455AF04F" w:rsidR="002F1B8B" w:rsidRDefault="003F6EC5" w:rsidP="005748DC">
      <w:pPr>
        <w:spacing w:before="240"/>
        <w:ind w:right="91"/>
      </w:pPr>
      <w:r>
        <w:t xml:space="preserve">Similar to </w:t>
      </w:r>
      <w:r w:rsidR="006D2E40">
        <w:t xml:space="preserve">the </w:t>
      </w:r>
      <w:r>
        <w:t>investments table, w</w:t>
      </w:r>
      <w:r w:rsidR="005748DC">
        <w:t xml:space="preserve">eightings for each derivative </w:t>
      </w:r>
      <w:r w:rsidR="00DA1AC6">
        <w:t>can</w:t>
      </w:r>
      <w:r w:rsidR="005748DC">
        <w:t xml:space="preserve"> be calculated on the basis of the value of that de</w:t>
      </w:r>
      <w:r w:rsidR="0093770A">
        <w:t>rivative</w:t>
      </w:r>
      <w:r w:rsidR="005748DC">
        <w:t xml:space="preserve"> divided by the total value of all investment items (including derivatives</w:t>
      </w:r>
      <w:r w:rsidR="00A151E6">
        <w:t>).</w:t>
      </w:r>
      <w:r w:rsidR="005748DC">
        <w:t xml:space="preserve"> Trustees are</w:t>
      </w:r>
      <w:r w:rsidR="00630CD9">
        <w:t xml:space="preserve"> able</w:t>
      </w:r>
      <w:r w:rsidR="005748DC">
        <w:t xml:space="preserve"> to use a</w:t>
      </w:r>
      <w:r w:rsidR="00630CD9">
        <w:t xml:space="preserve"> valuation</w:t>
      </w:r>
      <w:r w:rsidR="005748DC">
        <w:t xml:space="preserve"> methodology that is consistent with how derivative items are valued for other purposes (for example, taxation or financial reporting). To ensure consistency across the table, all values in the table should be expressed in Australian dollars.</w:t>
      </w:r>
    </w:p>
    <w:p w14:paraId="69842DBE" w14:textId="643686B4" w:rsidR="00832578" w:rsidRPr="00832578" w:rsidRDefault="00FF47EF" w:rsidP="00765B0F">
      <w:pPr>
        <w:spacing w:before="240"/>
        <w:ind w:right="91"/>
      </w:pPr>
      <w:r>
        <w:t>The</w:t>
      </w:r>
      <w:r w:rsidR="00945E80" w:rsidRPr="00F70582">
        <w:t xml:space="preserve"> amendments in Schedule 1 apply to </w:t>
      </w:r>
      <w:r>
        <w:t xml:space="preserve">the first </w:t>
      </w:r>
      <w:r w:rsidR="00945E80" w:rsidRPr="00F70582">
        <w:t xml:space="preserve">reporting </w:t>
      </w:r>
      <w:r>
        <w:t xml:space="preserve">day either </w:t>
      </w:r>
      <w:r w:rsidR="003C03C5">
        <w:t xml:space="preserve">on or </w:t>
      </w:r>
      <w:r>
        <w:t xml:space="preserve">after 31 December </w:t>
      </w:r>
      <w:r w:rsidR="005748DC">
        <w:t xml:space="preserve">2021 </w:t>
      </w:r>
      <w:r>
        <w:t xml:space="preserve">or the first reporting day after the commencement of the </w:t>
      </w:r>
      <w:r w:rsidR="00292AE1">
        <w:t>Regulations</w:t>
      </w:r>
      <w:r>
        <w:t xml:space="preserve">, whichever occurs later. </w:t>
      </w:r>
      <w:r w:rsidR="00832578" w:rsidRPr="00F70582">
        <w:t xml:space="preserve">ASIC has </w:t>
      </w:r>
      <w:r w:rsidR="00AC3C51" w:rsidRPr="00F70582">
        <w:t>deferred</w:t>
      </w:r>
      <w:r w:rsidR="00832578" w:rsidRPr="00F70582">
        <w:t xml:space="preserve"> the first reporting day for portfolio holding disclosures</w:t>
      </w:r>
      <w:r w:rsidR="003C03C5">
        <w:t xml:space="preserve"> in relation to reporting days that occur before</w:t>
      </w:r>
      <w:r w:rsidR="00832578" w:rsidRPr="00F70582">
        <w:t xml:space="preserve"> 31</w:t>
      </w:r>
      <w:r w:rsidR="00BD47C0">
        <w:t> </w:t>
      </w:r>
      <w:r w:rsidR="00832578" w:rsidRPr="00F70582">
        <w:t xml:space="preserve">December 2021 </w:t>
      </w:r>
      <w:r w:rsidR="00292AE1">
        <w:t>in</w:t>
      </w:r>
      <w:r w:rsidR="00832578" w:rsidRPr="00F70582">
        <w:t xml:space="preserve"> ASIC Class Order [CO14/433]. </w:t>
      </w:r>
    </w:p>
    <w:p w14:paraId="0EDBD18E" w14:textId="77777777" w:rsidR="00EA4DD8" w:rsidRDefault="00EA4DD8" w:rsidP="00EA4DD8">
      <w:pPr>
        <w:spacing w:before="0" w:after="0"/>
      </w:pPr>
    </w:p>
    <w:p w14:paraId="2202EDE9" w14:textId="77777777" w:rsidR="006B6086" w:rsidRDefault="006B6086">
      <w:pPr>
        <w:spacing w:before="0" w:after="0"/>
        <w:rPr>
          <w:b/>
          <w:iCs/>
        </w:rPr>
      </w:pPr>
      <w:r>
        <w:rPr>
          <w:b/>
          <w:iCs/>
        </w:rPr>
        <w:br w:type="page"/>
      </w:r>
    </w:p>
    <w:p w14:paraId="656DB565" w14:textId="77777777" w:rsidR="00DB13D1" w:rsidRPr="00634E82" w:rsidRDefault="00DB13D1" w:rsidP="00765B0F">
      <w:pPr>
        <w:spacing w:before="240"/>
        <w:ind w:right="91"/>
        <w:rPr>
          <w:b/>
          <w:iCs/>
        </w:rPr>
      </w:pPr>
      <w:r w:rsidRPr="004C2A06">
        <w:rPr>
          <w:b/>
        </w:rPr>
        <w:lastRenderedPageBreak/>
        <w:t>Schedule</w:t>
      </w:r>
      <w:r w:rsidRPr="00634E82">
        <w:rPr>
          <w:b/>
          <w:iCs/>
        </w:rPr>
        <w:t xml:space="preserve"> 2</w:t>
      </w:r>
      <w:r w:rsidRPr="00634E82">
        <w:rPr>
          <w:rFonts w:ascii="Calibri" w:hAnsi="Calibri"/>
          <w:b/>
          <w:iCs/>
        </w:rPr>
        <w:t>—</w:t>
      </w:r>
      <w:r w:rsidR="00E37955" w:rsidRPr="00634E82">
        <w:rPr>
          <w:b/>
          <w:iCs/>
        </w:rPr>
        <w:t xml:space="preserve">Annual Members Meeting Notice Requirements </w:t>
      </w:r>
      <w:r w:rsidRPr="00634E82">
        <w:rPr>
          <w:b/>
          <w:iCs/>
        </w:rPr>
        <w:t xml:space="preserve"> </w:t>
      </w:r>
    </w:p>
    <w:p w14:paraId="3CD4D4E9" w14:textId="77777777" w:rsidR="006C61C4" w:rsidRDefault="0073421C" w:rsidP="00765B0F">
      <w:pPr>
        <w:spacing w:before="240"/>
        <w:ind w:right="91"/>
        <w:rPr>
          <w:szCs w:val="23"/>
        </w:rPr>
      </w:pPr>
      <w:r>
        <w:rPr>
          <w:szCs w:val="23"/>
        </w:rPr>
        <w:t xml:space="preserve">Section 29P of the SIS Act </w:t>
      </w:r>
      <w:r w:rsidR="0094660F">
        <w:rPr>
          <w:szCs w:val="23"/>
        </w:rPr>
        <w:t>requires that</w:t>
      </w:r>
      <w:r>
        <w:rPr>
          <w:szCs w:val="23"/>
        </w:rPr>
        <w:t xml:space="preserve"> </w:t>
      </w:r>
      <w:r w:rsidR="006C61C4">
        <w:rPr>
          <w:szCs w:val="23"/>
        </w:rPr>
        <w:t xml:space="preserve">the </w:t>
      </w:r>
      <w:r>
        <w:rPr>
          <w:szCs w:val="23"/>
        </w:rPr>
        <w:t xml:space="preserve">RSE licensee of </w:t>
      </w:r>
      <w:r w:rsidR="006C61C4">
        <w:rPr>
          <w:szCs w:val="23"/>
        </w:rPr>
        <w:t>a</w:t>
      </w:r>
      <w:r>
        <w:rPr>
          <w:szCs w:val="23"/>
        </w:rPr>
        <w:t xml:space="preserve"> registerable </w:t>
      </w:r>
      <w:r w:rsidRPr="00765B0F">
        <w:t>superannuation</w:t>
      </w:r>
      <w:r w:rsidR="0094660F">
        <w:rPr>
          <w:szCs w:val="23"/>
        </w:rPr>
        <w:t xml:space="preserve"> entity</w:t>
      </w:r>
      <w:r>
        <w:rPr>
          <w:szCs w:val="23"/>
        </w:rPr>
        <w:t xml:space="preserve"> hold an annual meeting of members </w:t>
      </w:r>
      <w:r w:rsidR="0094660F">
        <w:rPr>
          <w:szCs w:val="23"/>
        </w:rPr>
        <w:t xml:space="preserve">for each year of income of the entity. RSE licensees are also required to give notice of the meeting to all members of the registerable superannuation entity, and provide any information prescribed in regulations </w:t>
      </w:r>
      <w:r w:rsidR="00366562">
        <w:rPr>
          <w:szCs w:val="23"/>
        </w:rPr>
        <w:t xml:space="preserve">with the notice of the meeting. </w:t>
      </w:r>
    </w:p>
    <w:p w14:paraId="4BF8B3BA" w14:textId="77777777" w:rsidR="00DD44F1" w:rsidRDefault="00DD44F1" w:rsidP="00765B0F">
      <w:pPr>
        <w:spacing w:before="240"/>
        <w:ind w:right="91"/>
        <w:rPr>
          <w:szCs w:val="23"/>
        </w:rPr>
      </w:pPr>
      <w:r w:rsidRPr="00DD44F1">
        <w:rPr>
          <w:szCs w:val="23"/>
        </w:rPr>
        <w:t xml:space="preserve">Annual Members’ Meetings </w:t>
      </w:r>
      <w:r w:rsidR="00A0425E">
        <w:rPr>
          <w:szCs w:val="23"/>
        </w:rPr>
        <w:t xml:space="preserve">allow discussion of the key aspects of the fund and provide members with a forum to ask questions about all areas of the fund’s performance and operations. </w:t>
      </w:r>
    </w:p>
    <w:p w14:paraId="1F13D28B" w14:textId="77777777" w:rsidR="0073421C" w:rsidRDefault="006C61C4" w:rsidP="00765B0F">
      <w:pPr>
        <w:spacing w:before="240"/>
        <w:ind w:right="91"/>
        <w:rPr>
          <w:szCs w:val="23"/>
        </w:rPr>
      </w:pPr>
      <w:r>
        <w:rPr>
          <w:szCs w:val="23"/>
        </w:rPr>
        <w:t xml:space="preserve">These </w:t>
      </w:r>
      <w:r w:rsidRPr="00765B0F">
        <w:t>requirements</w:t>
      </w:r>
      <w:r>
        <w:rPr>
          <w:szCs w:val="23"/>
        </w:rPr>
        <w:t xml:space="preserve"> do not apply to </w:t>
      </w:r>
      <w:r>
        <w:t>a superannuation fund with less than five members, an excluded approved deposit fund, a pooled superannuation trust, or an eligible rollover fund.</w:t>
      </w:r>
    </w:p>
    <w:p w14:paraId="5680EE85" w14:textId="77777777" w:rsidR="00234C79" w:rsidRDefault="00E37955" w:rsidP="00765B0F">
      <w:pPr>
        <w:spacing w:before="240"/>
        <w:ind w:right="91"/>
      </w:pPr>
      <w:r>
        <w:t xml:space="preserve">Part </w:t>
      </w:r>
      <w:r w:rsidR="00FC39D8">
        <w:t>1</w:t>
      </w:r>
      <w:r>
        <w:t xml:space="preserve"> of </w:t>
      </w:r>
      <w:r w:rsidR="00DB13D1">
        <w:t>Schedule 2 to the Regulations amend</w:t>
      </w:r>
      <w:r>
        <w:t>s</w:t>
      </w:r>
      <w:r w:rsidR="00DB13D1">
        <w:t xml:space="preserve"> the </w:t>
      </w:r>
      <w:r w:rsidR="00DB13D1">
        <w:rPr>
          <w:i/>
        </w:rPr>
        <w:t>Superannuation Industry (Supervision) Regulations 1994</w:t>
      </w:r>
      <w:r w:rsidR="00292AE1">
        <w:rPr>
          <w:i/>
        </w:rPr>
        <w:t xml:space="preserve"> </w:t>
      </w:r>
      <w:r w:rsidR="00292AE1">
        <w:t>(SIS Regulations)</w:t>
      </w:r>
      <w:r w:rsidR="00DB13D1">
        <w:rPr>
          <w:i/>
        </w:rPr>
        <w:t xml:space="preserve"> </w:t>
      </w:r>
      <w:r w:rsidR="00DB13D1">
        <w:t xml:space="preserve">to prescribe </w:t>
      </w:r>
      <w:r w:rsidR="00B70EBB">
        <w:t>the</w:t>
      </w:r>
      <w:r w:rsidR="00333341">
        <w:t xml:space="preserve"> information</w:t>
      </w:r>
      <w:r w:rsidR="00B70EBB">
        <w:t xml:space="preserve"> that must be included with the notice of the meeting</w:t>
      </w:r>
      <w:r w:rsidR="004737E6">
        <w:t>.</w:t>
      </w:r>
      <w:r w:rsidR="00234C79">
        <w:t xml:space="preserve"> This information must be provided by </w:t>
      </w:r>
      <w:r w:rsidR="00292AE1">
        <w:t xml:space="preserve">the RSE licensees for </w:t>
      </w:r>
      <w:r w:rsidR="00234C79">
        <w:t xml:space="preserve">all </w:t>
      </w:r>
      <w:r w:rsidR="00292AE1">
        <w:t>RSEs</w:t>
      </w:r>
      <w:r w:rsidR="006C61C4">
        <w:t xml:space="preserve"> that are required to hold an annual members’ meeting.</w:t>
      </w:r>
    </w:p>
    <w:p w14:paraId="2B4B3DDB" w14:textId="77777777" w:rsidR="00B70EBB" w:rsidRDefault="002F5559" w:rsidP="00765B0F">
      <w:pPr>
        <w:spacing w:before="240"/>
        <w:ind w:right="91"/>
      </w:pPr>
      <w:r>
        <w:t xml:space="preserve">The amendments apply prospectively to any </w:t>
      </w:r>
      <w:r w:rsidR="003B0137">
        <w:t xml:space="preserve">notices </w:t>
      </w:r>
      <w:r>
        <w:t xml:space="preserve">that </w:t>
      </w:r>
      <w:r w:rsidR="003B0137">
        <w:t>relat</w:t>
      </w:r>
      <w:r>
        <w:t xml:space="preserve">e to a </w:t>
      </w:r>
      <w:r w:rsidR="003B0137">
        <w:t xml:space="preserve">year of income that ends on or after the amendments commence (being the day after the </w:t>
      </w:r>
      <w:r w:rsidR="00292AE1">
        <w:t xml:space="preserve">Regulations are </w:t>
      </w:r>
      <w:r w:rsidR="003B0137">
        <w:t>registered).</w:t>
      </w:r>
    </w:p>
    <w:p w14:paraId="0090D6B9" w14:textId="77777777" w:rsidR="00DB13D1" w:rsidRPr="00F8047C" w:rsidRDefault="00234C79" w:rsidP="00765B0F">
      <w:pPr>
        <w:spacing w:before="240"/>
        <w:ind w:right="91"/>
      </w:pPr>
      <w:r w:rsidRPr="004C2A06">
        <w:rPr>
          <w:i/>
        </w:rPr>
        <w:t>Information</w:t>
      </w:r>
      <w:r w:rsidRPr="00F8047C">
        <w:rPr>
          <w:i/>
          <w:szCs w:val="23"/>
        </w:rPr>
        <w:t xml:space="preserve"> that must be provided with notice of annual members’ meetings</w:t>
      </w:r>
    </w:p>
    <w:p w14:paraId="4F8A3AB8" w14:textId="77777777" w:rsidR="00D47B1A" w:rsidRDefault="00234C79" w:rsidP="00765B0F">
      <w:pPr>
        <w:spacing w:before="240"/>
        <w:ind w:right="91"/>
      </w:pPr>
      <w:r>
        <w:t xml:space="preserve">The amendments insert </w:t>
      </w:r>
      <w:r w:rsidR="00DB13D1">
        <w:t>Division 2</w:t>
      </w:r>
      <w:r w:rsidR="00DB13D1" w:rsidRPr="003179F1">
        <w:t xml:space="preserve">.2 into Part </w:t>
      </w:r>
      <w:r w:rsidR="00DB13D1">
        <w:t>2</w:t>
      </w:r>
      <w:r w:rsidR="00DB13D1" w:rsidRPr="003179F1">
        <w:t xml:space="preserve"> of the </w:t>
      </w:r>
      <w:r w:rsidR="00DB13D1">
        <w:t>SIS</w:t>
      </w:r>
      <w:r w:rsidR="00A02F8D">
        <w:t xml:space="preserve"> Regulations, which sets out the requirements for information that must be provided with a notice of an annual members’ meeting. </w:t>
      </w:r>
      <w:r w:rsidR="007F0840">
        <w:t xml:space="preserve">Providing this </w:t>
      </w:r>
      <w:r w:rsidR="00D47B1A">
        <w:t xml:space="preserve">information </w:t>
      </w:r>
      <w:r w:rsidR="007F0840">
        <w:t xml:space="preserve">with the notice of an annual members’ meeting </w:t>
      </w:r>
      <w:r w:rsidR="00D47B1A">
        <w:t xml:space="preserve">empowers members by ensuring they are sufficiently informed and equipped to ask questions about all areas of the fund’s performance and operations at the annual members’ meeting. </w:t>
      </w:r>
      <w:r w:rsidR="00E5184A">
        <w:t>This is consistent with the Government’s broader objective of increasing transparency and accountability across the superannuation system, to ensure better member outcomes for all Australians.</w:t>
      </w:r>
    </w:p>
    <w:p w14:paraId="04FB7193" w14:textId="77777777" w:rsidR="00FB58D4" w:rsidRDefault="00FB58D4" w:rsidP="00765B0F">
      <w:pPr>
        <w:spacing w:before="240"/>
        <w:ind w:right="91"/>
      </w:pPr>
      <w:r>
        <w:t xml:space="preserve">The information that </w:t>
      </w:r>
      <w:r w:rsidR="00E5184A">
        <w:t xml:space="preserve">trustees </w:t>
      </w:r>
      <w:r>
        <w:t>must provide to</w:t>
      </w:r>
      <w:r w:rsidR="00D47B1A">
        <w:t xml:space="preserve"> each</w:t>
      </w:r>
      <w:r>
        <w:t xml:space="preserve"> member includes</w:t>
      </w:r>
      <w:r w:rsidR="00D47B1A">
        <w:t xml:space="preserve"> the periodic statements that are already required to be given to the member,</w:t>
      </w:r>
      <w:r>
        <w:t xml:space="preserve"> details of certain information that is already required to be made </w:t>
      </w:r>
      <w:r w:rsidR="0065371C">
        <w:t>publicly</w:t>
      </w:r>
      <w:r>
        <w:t xml:space="preserve"> available</w:t>
      </w:r>
      <w:r w:rsidR="00292AE1">
        <w:t xml:space="preserve"> under the SIS Regulations</w:t>
      </w:r>
      <w:r w:rsidR="00D47B1A">
        <w:t xml:space="preserve">, and </w:t>
      </w:r>
      <w:r>
        <w:t>other information relat</w:t>
      </w:r>
      <w:r w:rsidR="0065371C">
        <w:t>ing to expenditure by the fund.</w:t>
      </w:r>
    </w:p>
    <w:p w14:paraId="3D40D358" w14:textId="77777777" w:rsidR="00934795" w:rsidRDefault="00934795" w:rsidP="00765B0F">
      <w:pPr>
        <w:spacing w:before="240"/>
        <w:ind w:right="91"/>
      </w:pPr>
      <w:r>
        <w:t xml:space="preserve">The amendments also allow for details to be provided about where information can be </w:t>
      </w:r>
      <w:r w:rsidR="00CB6304">
        <w:t>accessed by members</w:t>
      </w:r>
      <w:r>
        <w:t xml:space="preserve"> </w:t>
      </w:r>
      <w:r w:rsidR="001F3ED3">
        <w:t>as an alternative to</w:t>
      </w:r>
      <w:r>
        <w:t xml:space="preserve"> sepa</w:t>
      </w:r>
      <w:r w:rsidR="00CB6304">
        <w:t>rately providing the information</w:t>
      </w:r>
      <w:r w:rsidR="00937282">
        <w:t>.</w:t>
      </w:r>
    </w:p>
    <w:p w14:paraId="7AF8A09F" w14:textId="77777777" w:rsidR="002506B3" w:rsidRDefault="00B46B25" w:rsidP="00765B0F">
      <w:pPr>
        <w:spacing w:before="240"/>
        <w:ind w:right="91"/>
      </w:pPr>
      <w:r>
        <w:t xml:space="preserve">The information that must </w:t>
      </w:r>
      <w:r w:rsidR="00292AE1">
        <w:t xml:space="preserve">be included with the annual members’ meeting notice and is </w:t>
      </w:r>
      <w:r>
        <w:t>already</w:t>
      </w:r>
      <w:r w:rsidR="00292AE1">
        <w:t xml:space="preserve"> required to</w:t>
      </w:r>
      <w:r>
        <w:t xml:space="preserve"> be made </w:t>
      </w:r>
      <w:r w:rsidR="0065371C">
        <w:t>publicly</w:t>
      </w:r>
      <w:r>
        <w:t xml:space="preserve"> available</w:t>
      </w:r>
      <w:r w:rsidR="00292AE1">
        <w:t xml:space="preserve"> under the SIS Regulations</w:t>
      </w:r>
      <w:r>
        <w:t xml:space="preserve"> </w:t>
      </w:r>
      <w:r w:rsidR="00D47B1A">
        <w:t>is:</w:t>
      </w:r>
    </w:p>
    <w:p w14:paraId="2F36E2CF" w14:textId="77777777" w:rsidR="00D47B1A" w:rsidRDefault="00FE4423" w:rsidP="00D47B1A">
      <w:pPr>
        <w:pStyle w:val="Bullet"/>
      </w:pPr>
      <w:r>
        <w:t>a</w:t>
      </w:r>
      <w:r w:rsidR="00D47B1A">
        <w:t xml:space="preserve"> summary of each significant event or material change notice</w:t>
      </w:r>
      <w:r w:rsidR="00292AE1">
        <w:t xml:space="preserve"> (if any) given within the previous 2 years</w:t>
      </w:r>
      <w:r w:rsidR="00D47B1A">
        <w:t>;</w:t>
      </w:r>
    </w:p>
    <w:p w14:paraId="67A7DA2A" w14:textId="77777777" w:rsidR="00D47B1A" w:rsidRDefault="00FE4423" w:rsidP="00D47B1A">
      <w:pPr>
        <w:pStyle w:val="Bullet"/>
      </w:pPr>
      <w:r>
        <w:t>r</w:t>
      </w:r>
      <w:r w:rsidR="00D47B1A">
        <w:t>emuneration details of executive officers;</w:t>
      </w:r>
    </w:p>
    <w:p w14:paraId="2D697B97" w14:textId="77777777" w:rsidR="00D47B1A" w:rsidRDefault="00FE4423" w:rsidP="00D47B1A">
      <w:pPr>
        <w:pStyle w:val="Bullet"/>
      </w:pPr>
      <w:r>
        <w:lastRenderedPageBreak/>
        <w:t>t</w:t>
      </w:r>
      <w:r w:rsidR="00D47B1A">
        <w:t>he annual report of the superannuation entity (where such a repo</w:t>
      </w:r>
      <w:r>
        <w:t>rt is required to be produced);</w:t>
      </w:r>
    </w:p>
    <w:p w14:paraId="42B70CC6" w14:textId="77777777" w:rsidR="00FE4423" w:rsidRDefault="00FE4423" w:rsidP="00D47B1A">
      <w:pPr>
        <w:pStyle w:val="Bullet"/>
      </w:pPr>
      <w:r>
        <w:t xml:space="preserve">the most recent annual outcomes determination for the superannuation entity. </w:t>
      </w:r>
    </w:p>
    <w:p w14:paraId="0371D542" w14:textId="77777777" w:rsidR="002506B3" w:rsidRDefault="00D47B1A" w:rsidP="00765B0F">
      <w:pPr>
        <w:spacing w:before="240"/>
        <w:ind w:right="91"/>
      </w:pPr>
      <w:r>
        <w:t xml:space="preserve">The </w:t>
      </w:r>
      <w:r w:rsidR="00046F98">
        <w:t xml:space="preserve">other </w:t>
      </w:r>
      <w:r>
        <w:t xml:space="preserve">information relating to the expenditure of the fund </w:t>
      </w:r>
      <w:r w:rsidR="00292AE1">
        <w:t xml:space="preserve">that must be included with the annual members meeting notice </w:t>
      </w:r>
      <w:r w:rsidR="004D4CA0">
        <w:t>relates to</w:t>
      </w:r>
      <w:r>
        <w:t xml:space="preserve">: </w:t>
      </w:r>
    </w:p>
    <w:p w14:paraId="410F09D6" w14:textId="77777777" w:rsidR="004D4CA0" w:rsidRPr="004D4CA0" w:rsidRDefault="004D4CA0" w:rsidP="004D4CA0">
      <w:pPr>
        <w:pStyle w:val="Bullet"/>
      </w:pPr>
      <w:r>
        <w:t>marketing expenses;</w:t>
      </w:r>
    </w:p>
    <w:p w14:paraId="78F92DCE" w14:textId="77777777" w:rsidR="004D4CA0" w:rsidRPr="004D4CA0" w:rsidRDefault="004D4CA0" w:rsidP="004D4CA0">
      <w:pPr>
        <w:pStyle w:val="Bullet"/>
      </w:pPr>
      <w:r>
        <w:t>political donations;</w:t>
      </w:r>
    </w:p>
    <w:p w14:paraId="0A5F3A97" w14:textId="77777777" w:rsidR="004D4CA0" w:rsidRPr="004D4CA0" w:rsidRDefault="004D4CA0" w:rsidP="004D4CA0">
      <w:pPr>
        <w:pStyle w:val="Bullet"/>
      </w:pPr>
      <w:r w:rsidRPr="004D4CA0">
        <w:t>payments to industry bodies or trade associations</w:t>
      </w:r>
      <w:r>
        <w:t>;</w:t>
      </w:r>
      <w:r w:rsidRPr="004D4CA0">
        <w:t xml:space="preserve"> </w:t>
      </w:r>
      <w:r>
        <w:t>and</w:t>
      </w:r>
    </w:p>
    <w:p w14:paraId="025764FD" w14:textId="77777777" w:rsidR="004D4CA0" w:rsidRPr="004D4CA0" w:rsidRDefault="004D4CA0" w:rsidP="004D4CA0">
      <w:pPr>
        <w:pStyle w:val="Bullet"/>
      </w:pPr>
      <w:r w:rsidRPr="004D4CA0">
        <w:t>payments to related parties</w:t>
      </w:r>
      <w:r>
        <w:t>.</w:t>
      </w:r>
    </w:p>
    <w:p w14:paraId="6DC9DEE0" w14:textId="77777777" w:rsidR="00F8047C" w:rsidRDefault="00F8047C" w:rsidP="00765B0F">
      <w:pPr>
        <w:spacing w:before="240"/>
        <w:ind w:right="91"/>
      </w:pPr>
      <w:r>
        <w:t>Further details about the types of information that must be provided are provided below.</w:t>
      </w:r>
    </w:p>
    <w:p w14:paraId="74783494" w14:textId="77777777" w:rsidR="00F8047C" w:rsidRPr="00F8047C" w:rsidRDefault="00F8047C" w:rsidP="00765B0F">
      <w:pPr>
        <w:spacing w:before="240"/>
        <w:ind w:right="91"/>
        <w:rPr>
          <w:u w:val="single"/>
        </w:rPr>
      </w:pPr>
      <w:r w:rsidRPr="004C2A06">
        <w:rPr>
          <w:u w:val="single"/>
        </w:rPr>
        <w:t>Providing</w:t>
      </w:r>
      <w:r w:rsidRPr="00F8047C">
        <w:rPr>
          <w:u w:val="single"/>
        </w:rPr>
        <w:t xml:space="preserve"> details about </w:t>
      </w:r>
      <w:r w:rsidR="0065371C">
        <w:rPr>
          <w:u w:val="single"/>
        </w:rPr>
        <w:t>publicly</w:t>
      </w:r>
      <w:r w:rsidRPr="00F8047C">
        <w:rPr>
          <w:u w:val="single"/>
        </w:rPr>
        <w:t xml:space="preserve"> available expenditure information</w:t>
      </w:r>
    </w:p>
    <w:p w14:paraId="4286169D" w14:textId="77777777" w:rsidR="00F02313" w:rsidRDefault="00F02313" w:rsidP="00F02313">
      <w:pPr>
        <w:spacing w:before="240"/>
        <w:ind w:right="91"/>
      </w:pPr>
      <w:r>
        <w:t>The amendments allow for details to be provided about where information can be accessed by members as an alternative to separately providing the information.</w:t>
      </w:r>
    </w:p>
    <w:p w14:paraId="2D1E60D3" w14:textId="77777777" w:rsidR="00DF6D0D" w:rsidRDefault="00F02313" w:rsidP="00765B0F">
      <w:pPr>
        <w:spacing w:before="240"/>
        <w:ind w:right="91"/>
      </w:pPr>
      <w:r>
        <w:t xml:space="preserve">This would include information that is already </w:t>
      </w:r>
      <w:r w:rsidR="00A71483">
        <w:t>publicly</w:t>
      </w:r>
      <w:r>
        <w:t xml:space="preserve"> available (either because it is required to be published under another provision, or is voluntarily published by the RSE licensee)</w:t>
      </w:r>
      <w:r w:rsidR="00DF6D0D">
        <w:t xml:space="preserve">, as well as information that is only accessible by members (for example through a member portal where the information can be accessed). </w:t>
      </w:r>
    </w:p>
    <w:p w14:paraId="017545B0" w14:textId="77777777" w:rsidR="00F02313" w:rsidRDefault="005131BB" w:rsidP="00765B0F">
      <w:pPr>
        <w:spacing w:before="240"/>
        <w:ind w:right="91"/>
      </w:pPr>
      <w:r>
        <w:t xml:space="preserve">Allowing RSE licensees to provide these details instead of providing the information in full with a notice of an annual members’ </w:t>
      </w:r>
      <w:r w:rsidR="00292AE1">
        <w:t xml:space="preserve">meeting </w:t>
      </w:r>
      <w:r w:rsidR="00254A6C">
        <w:t>ensures that RSE licensees have appropriate flexibility in providing information to members</w:t>
      </w:r>
      <w:r w:rsidR="00A71483">
        <w:t xml:space="preserve"> in a user-friendly and cost effective manner</w:t>
      </w:r>
      <w:r w:rsidR="00254A6C">
        <w:t>.</w:t>
      </w:r>
      <w:r w:rsidR="00123237">
        <w:t xml:space="preserve"> </w:t>
      </w:r>
    </w:p>
    <w:p w14:paraId="0AFF2BE9" w14:textId="77777777" w:rsidR="00BE6D72" w:rsidRPr="00BE6D72" w:rsidRDefault="00BE6D72" w:rsidP="00765B0F">
      <w:pPr>
        <w:spacing w:before="240"/>
        <w:ind w:right="91"/>
        <w:rPr>
          <w:u w:val="single"/>
        </w:rPr>
      </w:pPr>
      <w:r w:rsidRPr="004C2A06">
        <w:rPr>
          <w:u w:val="single"/>
        </w:rPr>
        <w:t>Short</w:t>
      </w:r>
      <w:r w:rsidRPr="00BE6D72">
        <w:rPr>
          <w:u w:val="single"/>
        </w:rPr>
        <w:t>-form summary</w:t>
      </w:r>
      <w:r w:rsidR="006E39A8">
        <w:rPr>
          <w:u w:val="single"/>
        </w:rPr>
        <w:t xml:space="preserve"> of certain aggregate amounts</w:t>
      </w:r>
    </w:p>
    <w:p w14:paraId="7A443B3F" w14:textId="77777777" w:rsidR="005B5AD4" w:rsidRDefault="002506B3" w:rsidP="00765B0F">
      <w:pPr>
        <w:spacing w:before="240"/>
        <w:ind w:right="91"/>
      </w:pPr>
      <w:r>
        <w:t xml:space="preserve">To assist members in understanding the information that is provided to them, RSE licensees must also provide members with a </w:t>
      </w:r>
      <w:r w:rsidR="003E1752">
        <w:t xml:space="preserve">short-form summary of certain information that is to be included with the notice. </w:t>
      </w:r>
    </w:p>
    <w:p w14:paraId="26A1CEAC" w14:textId="77777777" w:rsidR="005B5AD4" w:rsidRDefault="003E1752" w:rsidP="00765B0F">
      <w:pPr>
        <w:spacing w:before="240"/>
        <w:ind w:right="91"/>
      </w:pPr>
      <w:r>
        <w:t xml:space="preserve">This </w:t>
      </w:r>
      <w:r w:rsidR="002506B3">
        <w:t>summary</w:t>
      </w:r>
      <w:r>
        <w:t xml:space="preserve"> </w:t>
      </w:r>
      <w:r w:rsidR="005B5AD4">
        <w:t>is to include the aggregate amounts of certain categories of information that are to be disclosed to members</w:t>
      </w:r>
      <w:r w:rsidR="006E39A8">
        <w:t xml:space="preserve"> with the notice</w:t>
      </w:r>
      <w:r w:rsidR="005B5AD4">
        <w:t xml:space="preserve">. </w:t>
      </w:r>
      <w:r w:rsidR="006A48E0">
        <w:t>Th</w:t>
      </w:r>
      <w:r w:rsidR="006E39A8">
        <w:t xml:space="preserve">ese categories cover the remuneration details of executive officers, as well as the other categories of expenditure of the fund. </w:t>
      </w:r>
      <w:r w:rsidR="006E39A8" w:rsidRPr="00E95534">
        <w:t xml:space="preserve">Each amount is the aggregate amount </w:t>
      </w:r>
      <w:r w:rsidR="006E39A8">
        <w:t xml:space="preserve">relating to that disclosure item </w:t>
      </w:r>
      <w:r w:rsidR="006E39A8" w:rsidRPr="00E95534">
        <w:t>for the income year to which the annual members meeting relates.</w:t>
      </w:r>
    </w:p>
    <w:p w14:paraId="28825236" w14:textId="77777777" w:rsidR="003E1752" w:rsidRDefault="006E39A8" w:rsidP="00765B0F">
      <w:pPr>
        <w:spacing w:before="240"/>
        <w:ind w:right="91"/>
      </w:pPr>
      <w:r>
        <w:t>To assist with readability, t</w:t>
      </w:r>
      <w:r w:rsidR="005B5AD4">
        <w:t xml:space="preserve">he summary </w:t>
      </w:r>
      <w:r w:rsidR="003E1752">
        <w:t xml:space="preserve">must be presented on a single page and be the only information </w:t>
      </w:r>
      <w:r w:rsidR="00A5650B">
        <w:t>that is presented on that page.</w:t>
      </w:r>
    </w:p>
    <w:p w14:paraId="69325EFD" w14:textId="77777777" w:rsidR="00CC7781" w:rsidRDefault="00CC7781">
      <w:pPr>
        <w:spacing w:before="0" w:after="0"/>
        <w:rPr>
          <w:u w:val="single"/>
        </w:rPr>
      </w:pPr>
      <w:r>
        <w:rPr>
          <w:u w:val="single"/>
        </w:rPr>
        <w:br w:type="page"/>
      </w:r>
    </w:p>
    <w:p w14:paraId="2A989E29" w14:textId="0CA9CD37" w:rsidR="00A24677" w:rsidRPr="009E1BA3" w:rsidRDefault="00A24677" w:rsidP="00765B0F">
      <w:pPr>
        <w:spacing w:before="240"/>
        <w:ind w:right="91"/>
        <w:rPr>
          <w:u w:val="single"/>
        </w:rPr>
      </w:pPr>
      <w:r w:rsidRPr="004C2A06">
        <w:rPr>
          <w:u w:val="single"/>
        </w:rPr>
        <w:lastRenderedPageBreak/>
        <w:t>Notices</w:t>
      </w:r>
      <w:r w:rsidRPr="009E1BA3">
        <w:rPr>
          <w:u w:val="single"/>
        </w:rPr>
        <w:t xml:space="preserve"> of significant events or material changes</w:t>
      </w:r>
    </w:p>
    <w:p w14:paraId="3BF85BBE" w14:textId="77777777" w:rsidR="00A24677" w:rsidRDefault="00A24677" w:rsidP="00765B0F">
      <w:pPr>
        <w:spacing w:before="240"/>
        <w:ind w:right="91"/>
      </w:pPr>
      <w:r w:rsidRPr="00761CD9">
        <w:t xml:space="preserve">Subsection 1017B(1A) in the </w:t>
      </w:r>
      <w:r w:rsidRPr="002A268B">
        <w:rPr>
          <w:i/>
        </w:rPr>
        <w:t>Corporations Act 2001</w:t>
      </w:r>
      <w:r>
        <w:t xml:space="preserve"> </w:t>
      </w:r>
      <w:r w:rsidRPr="00761CD9">
        <w:t>requires issuers of a financial product to notify</w:t>
      </w:r>
      <w:r>
        <w:t xml:space="preserve"> the holder of the financial product of </w:t>
      </w:r>
      <w:r w:rsidRPr="00761CD9">
        <w:t>any significant event or a material change to the matters specified in a Product Disclosure Statement</w:t>
      </w:r>
      <w:r>
        <w:t xml:space="preserve"> for the product. A summary of each significant event or material change notice that is given to product holders</w:t>
      </w:r>
      <w:r w:rsidR="00292AE1">
        <w:t xml:space="preserve"> within the previous 2 years</w:t>
      </w:r>
      <w:r>
        <w:t xml:space="preserve"> must be made </w:t>
      </w:r>
      <w:r w:rsidR="0065371C">
        <w:t>publicly</w:t>
      </w:r>
      <w:r>
        <w:t xml:space="preserve"> available </w:t>
      </w:r>
      <w:r w:rsidR="001C2C22">
        <w:t xml:space="preserve">on the website of the relevant RSE pursuant to regulations made under subsection 29QB(1) of the SIS Act. </w:t>
      </w:r>
    </w:p>
    <w:p w14:paraId="41E4617D" w14:textId="77777777" w:rsidR="00A24677" w:rsidRDefault="00A24677" w:rsidP="00765B0F">
      <w:pPr>
        <w:spacing w:before="240"/>
        <w:ind w:right="91"/>
      </w:pPr>
      <w:r>
        <w:t xml:space="preserve">The details of where such summaries are made </w:t>
      </w:r>
      <w:r w:rsidR="0065371C">
        <w:t>publicly</w:t>
      </w:r>
      <w:r>
        <w:t xml:space="preserve"> available must be</w:t>
      </w:r>
      <w:r w:rsidR="001C2C22">
        <w:t xml:space="preserve"> included with the annual members’ meeting notice</w:t>
      </w:r>
      <w:r>
        <w:t xml:space="preserve"> provided to members</w:t>
      </w:r>
      <w:r w:rsidR="001C2C22">
        <w:t xml:space="preserve">. </w:t>
      </w:r>
    </w:p>
    <w:p w14:paraId="717CCD9A" w14:textId="77777777" w:rsidR="00A24677" w:rsidRPr="00634E82" w:rsidRDefault="00A24677" w:rsidP="00765B0F">
      <w:pPr>
        <w:spacing w:before="240"/>
        <w:ind w:right="91"/>
        <w:rPr>
          <w:u w:val="single"/>
        </w:rPr>
      </w:pPr>
      <w:r w:rsidRPr="004C2A06">
        <w:rPr>
          <w:u w:val="single"/>
        </w:rPr>
        <w:t>Remuneration</w:t>
      </w:r>
      <w:r w:rsidRPr="00634E82">
        <w:rPr>
          <w:u w:val="single"/>
        </w:rPr>
        <w:t xml:space="preserve"> details for executive officers of an RSE trustee</w:t>
      </w:r>
    </w:p>
    <w:p w14:paraId="5BE87AF0" w14:textId="77777777" w:rsidR="00A24677" w:rsidRDefault="00A24677" w:rsidP="00765B0F">
      <w:pPr>
        <w:spacing w:before="240"/>
        <w:ind w:right="91"/>
      </w:pPr>
      <w:r w:rsidRPr="00761CD9">
        <w:t xml:space="preserve">The information </w:t>
      </w:r>
      <w:r>
        <w:t>provided with a</w:t>
      </w:r>
      <w:r w:rsidR="001C2C22">
        <w:t>n annual members’ meeting</w:t>
      </w:r>
      <w:r>
        <w:t xml:space="preserve"> notice </w:t>
      </w:r>
      <w:r w:rsidRPr="00761CD9">
        <w:t xml:space="preserve">must specify where </w:t>
      </w:r>
      <w:r>
        <w:t xml:space="preserve">the </w:t>
      </w:r>
      <w:r w:rsidRPr="00761CD9">
        <w:t xml:space="preserve">remuneration details for </w:t>
      </w:r>
      <w:r w:rsidR="001C2C22">
        <w:t>the</w:t>
      </w:r>
      <w:r w:rsidRPr="00761CD9">
        <w:t xml:space="preserve"> RSE </w:t>
      </w:r>
      <w:r w:rsidR="001C2C22">
        <w:t>licensee’s executives</w:t>
      </w:r>
      <w:r w:rsidRPr="00761CD9">
        <w:t xml:space="preserve"> are made publicly available as at the time of the notice </w:t>
      </w:r>
      <w:r>
        <w:t>is given</w:t>
      </w:r>
      <w:r w:rsidRPr="00761CD9">
        <w:t xml:space="preserve">. </w:t>
      </w:r>
    </w:p>
    <w:p w14:paraId="00C13BE8" w14:textId="77777777" w:rsidR="00A24677" w:rsidRDefault="00A24677" w:rsidP="00765B0F">
      <w:pPr>
        <w:spacing w:before="240"/>
        <w:ind w:right="91"/>
      </w:pPr>
      <w:r w:rsidRPr="00E3504B">
        <w:t>Regulation 2.37</w:t>
      </w:r>
      <w:r w:rsidRPr="00761CD9">
        <w:t xml:space="preserve"> of the SIS Regulations sets out the requirements for reporting remuneration details for </w:t>
      </w:r>
      <w:r w:rsidR="00E3504B">
        <w:t>RSE licensee</w:t>
      </w:r>
      <w:r w:rsidR="00E3504B" w:rsidRPr="00761CD9">
        <w:t xml:space="preserve"> </w:t>
      </w:r>
      <w:r w:rsidRPr="00761CD9">
        <w:t xml:space="preserve">executive officers and </w:t>
      </w:r>
      <w:r w:rsidR="00E3504B">
        <w:t xml:space="preserve">individual </w:t>
      </w:r>
      <w:r w:rsidRPr="00761CD9">
        <w:t>trustees</w:t>
      </w:r>
      <w:r w:rsidR="00E3504B">
        <w:t xml:space="preserve"> on RSE websites</w:t>
      </w:r>
      <w:r w:rsidRPr="00761CD9">
        <w:t>, including salary, bonuses, non</w:t>
      </w:r>
      <w:r>
        <w:noBreakHyphen/>
      </w:r>
      <w:r w:rsidRPr="00761CD9">
        <w:t>monetary benefits, superannuation benefits, termination payments and other non</w:t>
      </w:r>
      <w:r>
        <w:noBreakHyphen/>
      </w:r>
      <w:r w:rsidRPr="00761CD9">
        <w:t>monetary benefits as required under paragraph 29QB(1)(a) of the SIS Act.</w:t>
      </w:r>
      <w:r>
        <w:t xml:space="preserve"> </w:t>
      </w:r>
    </w:p>
    <w:p w14:paraId="1023EA48" w14:textId="77777777" w:rsidR="00A24677" w:rsidRDefault="00A24677" w:rsidP="00765B0F">
      <w:pPr>
        <w:spacing w:before="240"/>
        <w:ind w:right="91"/>
      </w:pPr>
      <w:r>
        <w:t>This information is consistent with the remuneration details that must be published in relation to the key management personnel of an ASX listed company. However, in contrast to key management person</w:t>
      </w:r>
      <w:r w:rsidR="00E3504B">
        <w:t>ne</w:t>
      </w:r>
      <w:r>
        <w:t>l the remuneration details in regulation 2.37 apply to all executive officers.</w:t>
      </w:r>
    </w:p>
    <w:p w14:paraId="4CDF8C12" w14:textId="77777777" w:rsidR="00A24677" w:rsidRPr="00761CD9" w:rsidRDefault="00A24677" w:rsidP="00765B0F">
      <w:pPr>
        <w:spacing w:before="240"/>
        <w:ind w:right="91"/>
      </w:pPr>
      <w:r>
        <w:t xml:space="preserve">This information must also be provided as an aggregate figure in the short-form summary document explained above. </w:t>
      </w:r>
    </w:p>
    <w:p w14:paraId="370D718F" w14:textId="77777777" w:rsidR="00A24677" w:rsidRDefault="00A24677" w:rsidP="00765B0F">
      <w:pPr>
        <w:spacing w:before="240"/>
        <w:ind w:right="91"/>
        <w:rPr>
          <w:u w:val="single"/>
        </w:rPr>
      </w:pPr>
      <w:r w:rsidRPr="004C2A06">
        <w:rPr>
          <w:u w:val="single"/>
        </w:rPr>
        <w:t>Annual</w:t>
      </w:r>
      <w:r>
        <w:rPr>
          <w:u w:val="single"/>
        </w:rPr>
        <w:t xml:space="preserve"> Report </w:t>
      </w:r>
    </w:p>
    <w:p w14:paraId="19CA4308" w14:textId="77777777" w:rsidR="00A24677" w:rsidRDefault="00A24677" w:rsidP="00765B0F">
      <w:pPr>
        <w:spacing w:before="240"/>
        <w:ind w:right="91"/>
      </w:pPr>
      <w:r w:rsidRPr="00634E82">
        <w:t xml:space="preserve">If the </w:t>
      </w:r>
      <w:r>
        <w:t xml:space="preserve">trustee or trustees of a </w:t>
      </w:r>
      <w:r w:rsidR="00E3504B">
        <w:t>RSE</w:t>
      </w:r>
      <w:r>
        <w:t xml:space="preserve"> </w:t>
      </w:r>
      <w:r w:rsidRPr="00634E82">
        <w:t xml:space="preserve">produces an annual report for the entity, the RSE </w:t>
      </w:r>
      <w:r>
        <w:t xml:space="preserve">licensee </w:t>
      </w:r>
      <w:r w:rsidRPr="00634E82">
        <w:t>must provide</w:t>
      </w:r>
      <w:r>
        <w:t xml:space="preserve"> the details of where the report is made </w:t>
      </w:r>
      <w:r w:rsidR="0065371C">
        <w:t>publicly</w:t>
      </w:r>
      <w:r>
        <w:t xml:space="preserve"> available.</w:t>
      </w:r>
    </w:p>
    <w:p w14:paraId="7F7A59B4" w14:textId="77777777" w:rsidR="00A24677" w:rsidRDefault="00A24677" w:rsidP="00765B0F">
      <w:pPr>
        <w:spacing w:before="240"/>
        <w:ind w:right="91"/>
      </w:pPr>
      <w:r>
        <w:t xml:space="preserve">This requirement reflects the fact that the production of annual reports is not mandatory for </w:t>
      </w:r>
      <w:r w:rsidR="00E3504B">
        <w:t>all RSEs</w:t>
      </w:r>
      <w:r>
        <w:t xml:space="preserve">. However, to the extent they are produced, annual reports are </w:t>
      </w:r>
      <w:r w:rsidR="0065371C">
        <w:t>publicly</w:t>
      </w:r>
      <w:r>
        <w:t xml:space="preserve"> accessible.</w:t>
      </w:r>
    </w:p>
    <w:p w14:paraId="13D03964" w14:textId="77777777" w:rsidR="00A24677" w:rsidRDefault="00A24677" w:rsidP="00765B0F">
      <w:pPr>
        <w:spacing w:before="240"/>
        <w:ind w:right="91"/>
        <w:rPr>
          <w:u w:val="single"/>
        </w:rPr>
      </w:pPr>
      <w:bookmarkStart w:id="3" w:name="_Hlk69466627"/>
      <w:r w:rsidRPr="004C2A06">
        <w:rPr>
          <w:u w:val="single"/>
        </w:rPr>
        <w:t>Annual</w:t>
      </w:r>
      <w:r>
        <w:rPr>
          <w:u w:val="single"/>
        </w:rPr>
        <w:t xml:space="preserve"> outcomes assessments</w:t>
      </w:r>
    </w:p>
    <w:p w14:paraId="3636737E" w14:textId="77777777" w:rsidR="00A24677" w:rsidRDefault="00A24677" w:rsidP="00765B0F">
      <w:pPr>
        <w:spacing w:before="240"/>
        <w:ind w:right="91"/>
        <w:rPr>
          <w:szCs w:val="23"/>
        </w:rPr>
      </w:pPr>
      <w:r>
        <w:t xml:space="preserve">The </w:t>
      </w:r>
      <w:r w:rsidRPr="0025185B">
        <w:rPr>
          <w:i/>
          <w:szCs w:val="23"/>
        </w:rPr>
        <w:t xml:space="preserve">Treasury Laws Amendment (Improving Accountability and Member Outcomes in Superannuation Measures No. 1) </w:t>
      </w:r>
      <w:r>
        <w:rPr>
          <w:i/>
          <w:szCs w:val="23"/>
        </w:rPr>
        <w:t>Act</w:t>
      </w:r>
      <w:r w:rsidRPr="0025185B">
        <w:rPr>
          <w:i/>
          <w:szCs w:val="23"/>
        </w:rPr>
        <w:t xml:space="preserve"> 201</w:t>
      </w:r>
      <w:r>
        <w:rPr>
          <w:i/>
          <w:szCs w:val="23"/>
        </w:rPr>
        <w:t>9</w:t>
      </w:r>
      <w:r>
        <w:rPr>
          <w:szCs w:val="23"/>
        </w:rPr>
        <w:t xml:space="preserve"> imposed a requirement,</w:t>
      </w:r>
      <w:r w:rsidRPr="00C262F3">
        <w:rPr>
          <w:szCs w:val="23"/>
        </w:rPr>
        <w:t xml:space="preserve"> </w:t>
      </w:r>
      <w:r>
        <w:rPr>
          <w:szCs w:val="23"/>
        </w:rPr>
        <w:t xml:space="preserve">through the covenants in section 52 of the SIS Act, on the trustees of a regulated superannuation fund to make annual determinations for each MySuper product and choice product offered by a regulated superannuation fund. </w:t>
      </w:r>
    </w:p>
    <w:p w14:paraId="61F96B28" w14:textId="77777777" w:rsidR="00A24677" w:rsidRDefault="00A24677" w:rsidP="00765B0F">
      <w:pPr>
        <w:spacing w:before="240"/>
        <w:ind w:right="91"/>
      </w:pPr>
      <w:r>
        <w:t xml:space="preserve">Such determinations must </w:t>
      </w:r>
      <w:r w:rsidRPr="00046D20">
        <w:t xml:space="preserve">be published on </w:t>
      </w:r>
      <w:r>
        <w:t xml:space="preserve">the fund’s </w:t>
      </w:r>
      <w:r w:rsidRPr="00046D20">
        <w:t>website</w:t>
      </w:r>
      <w:r>
        <w:t xml:space="preserve"> within 28 days of the time they are made.</w:t>
      </w:r>
    </w:p>
    <w:p w14:paraId="3890DB30" w14:textId="77777777" w:rsidR="00EE7F6E" w:rsidRDefault="00A24677" w:rsidP="00765B0F">
      <w:pPr>
        <w:spacing w:before="240"/>
        <w:ind w:right="91"/>
      </w:pPr>
      <w:r>
        <w:lastRenderedPageBreak/>
        <w:t xml:space="preserve">The Regulations require details of where such determinations are or will be published to be provided to members. </w:t>
      </w:r>
    </w:p>
    <w:p w14:paraId="28358B5E" w14:textId="77777777" w:rsidR="00EE7F6E" w:rsidRDefault="00EE7F6E" w:rsidP="00765B0F">
      <w:pPr>
        <w:spacing w:before="240"/>
        <w:ind w:right="91"/>
      </w:pPr>
      <w:r>
        <w:t xml:space="preserve">If a </w:t>
      </w:r>
      <w:r w:rsidR="00A24677">
        <w:t xml:space="preserve">determination </w:t>
      </w:r>
      <w:r>
        <w:t>has</w:t>
      </w:r>
      <w:r w:rsidR="00A24677">
        <w:t xml:space="preserve"> been made</w:t>
      </w:r>
      <w:r>
        <w:t xml:space="preserve"> but not yet published</w:t>
      </w:r>
      <w:r w:rsidRPr="00EE7F6E">
        <w:t xml:space="preserve"> </w:t>
      </w:r>
      <w:r>
        <w:t>when the notice</w:t>
      </w:r>
      <w:r w:rsidR="00646FDD">
        <w:t xml:space="preserve"> is</w:t>
      </w:r>
      <w:r>
        <w:t xml:space="preserve"> issued, but is</w:t>
      </w:r>
      <w:r w:rsidR="00A24677">
        <w:t xml:space="preserve"> </w:t>
      </w:r>
      <w:r>
        <w:t>to be published before the meeting,</w:t>
      </w:r>
      <w:r w:rsidR="00A24677">
        <w:t xml:space="preserve"> </w:t>
      </w:r>
      <w:r>
        <w:t xml:space="preserve">the </w:t>
      </w:r>
      <w:r w:rsidR="00A24677">
        <w:t xml:space="preserve">RSE licensee must provide information about where the determination will be made </w:t>
      </w:r>
      <w:r w:rsidR="0065371C">
        <w:t>publicly</w:t>
      </w:r>
      <w:r w:rsidR="00A24677">
        <w:t xml:space="preserve"> available</w:t>
      </w:r>
      <w:r w:rsidR="00A24677" w:rsidRPr="00A227ED">
        <w:t xml:space="preserve">. </w:t>
      </w:r>
      <w:r>
        <w:t xml:space="preserve">This takes into account that the determination may be published in the time between the notice being issued and the meeting itself. </w:t>
      </w:r>
    </w:p>
    <w:p w14:paraId="29306134" w14:textId="77777777" w:rsidR="00136A2E" w:rsidRDefault="00A227ED" w:rsidP="00765B0F">
      <w:pPr>
        <w:spacing w:before="240"/>
        <w:ind w:right="91"/>
      </w:pPr>
      <w:r w:rsidRPr="0031046E">
        <w:t>If</w:t>
      </w:r>
      <w:r w:rsidR="003140CB">
        <w:t xml:space="preserve"> the most recent </w:t>
      </w:r>
      <w:r w:rsidR="008E200C">
        <w:t>determination</w:t>
      </w:r>
      <w:r w:rsidRPr="0031046E">
        <w:t xml:space="preserve"> will not be published before the meeting is held, </w:t>
      </w:r>
      <w:r w:rsidR="003140CB">
        <w:t xml:space="preserve">RSE licensees are required to provide members with details of how to access </w:t>
      </w:r>
      <w:r w:rsidRPr="0031046E">
        <w:t xml:space="preserve">the previous </w:t>
      </w:r>
      <w:r w:rsidR="00136A2E">
        <w:t xml:space="preserve">annual </w:t>
      </w:r>
      <w:r w:rsidR="008E200C">
        <w:t>determination.</w:t>
      </w:r>
      <w:r w:rsidR="000130BD">
        <w:t xml:space="preserve"> </w:t>
      </w:r>
      <w:r w:rsidR="00136A2E">
        <w:t xml:space="preserve">This takes into account that the timing of the meeting may not align with the timing of the annual determination. </w:t>
      </w:r>
    </w:p>
    <w:p w14:paraId="400DC961" w14:textId="77777777" w:rsidR="00A24677" w:rsidRPr="008202D5" w:rsidRDefault="00136A2E" w:rsidP="00765B0F">
      <w:pPr>
        <w:spacing w:before="240"/>
        <w:ind w:right="91"/>
      </w:pPr>
      <w:r>
        <w:t>T</w:t>
      </w:r>
      <w:r w:rsidR="000130BD">
        <w:t xml:space="preserve">rustees </w:t>
      </w:r>
      <w:r>
        <w:t>may</w:t>
      </w:r>
      <w:r w:rsidR="000130BD">
        <w:t xml:space="preserve"> </w:t>
      </w:r>
      <w:r>
        <w:t xml:space="preserve">choose </w:t>
      </w:r>
      <w:r w:rsidR="000130BD">
        <w:t>to align the publication of their determinations so that they can be discussed at an annual members’ meeting</w:t>
      </w:r>
      <w:r>
        <w:t xml:space="preserve">. </w:t>
      </w:r>
      <w:r w:rsidR="000130BD">
        <w:t xml:space="preserve"> </w:t>
      </w:r>
    </w:p>
    <w:bookmarkEnd w:id="3"/>
    <w:p w14:paraId="6BF35EA2" w14:textId="77777777" w:rsidR="00A24677" w:rsidRDefault="00A24677" w:rsidP="00765B0F">
      <w:pPr>
        <w:spacing w:before="240"/>
        <w:ind w:right="91"/>
        <w:rPr>
          <w:u w:val="single"/>
        </w:rPr>
      </w:pPr>
      <w:r w:rsidRPr="004C2A06">
        <w:rPr>
          <w:u w:val="single"/>
        </w:rPr>
        <w:t>Periodic</w:t>
      </w:r>
      <w:r>
        <w:rPr>
          <w:u w:val="single"/>
        </w:rPr>
        <w:t xml:space="preserve"> statements</w:t>
      </w:r>
    </w:p>
    <w:p w14:paraId="7282693B" w14:textId="77777777" w:rsidR="00A24677" w:rsidRDefault="00A24677" w:rsidP="00765B0F">
      <w:pPr>
        <w:spacing w:before="240"/>
        <w:ind w:right="91"/>
      </w:pPr>
      <w:r w:rsidRPr="00C95209">
        <w:t xml:space="preserve">Section </w:t>
      </w:r>
      <w:r>
        <w:t xml:space="preserve">1017D of the </w:t>
      </w:r>
      <w:r w:rsidRPr="00C95209">
        <w:rPr>
          <w:i/>
        </w:rPr>
        <w:t>Corporations Act 2001</w:t>
      </w:r>
      <w:r>
        <w:t xml:space="preserve"> require</w:t>
      </w:r>
      <w:r w:rsidR="00B80860">
        <w:t>s</w:t>
      </w:r>
      <w:r>
        <w:t xml:space="preserve"> the issuer of a certain financial products, including superannuation products, to provide periodic statements </w:t>
      </w:r>
      <w:r w:rsidR="00B80860">
        <w:t xml:space="preserve">to </w:t>
      </w:r>
      <w:r>
        <w:t xml:space="preserve">the holders of those products. Section 1017DA of the </w:t>
      </w:r>
      <w:r w:rsidRPr="008F57FF">
        <w:rPr>
          <w:i/>
        </w:rPr>
        <w:t>Corporations Act 2001</w:t>
      </w:r>
      <w:r>
        <w:t xml:space="preserve"> allows for further requirements about providing information to the holders of a superannuation product through periodic statements.</w:t>
      </w:r>
    </w:p>
    <w:p w14:paraId="100BEA5B" w14:textId="77777777" w:rsidR="00A24677" w:rsidRDefault="00A24677" w:rsidP="00765B0F">
      <w:pPr>
        <w:spacing w:before="240"/>
        <w:ind w:right="91"/>
      </w:pPr>
      <w:r>
        <w:t xml:space="preserve">The information provided with a notice must include either a copy of the most recent periodic statements </w:t>
      </w:r>
      <w:r w:rsidR="00E3504B">
        <w:t xml:space="preserve">given to the member </w:t>
      </w:r>
      <w:r>
        <w:t>under these provisions, or details about where those statements can be accessed by the member.</w:t>
      </w:r>
    </w:p>
    <w:p w14:paraId="342A6A85" w14:textId="77777777" w:rsidR="00205C8E" w:rsidRDefault="00205C8E" w:rsidP="00205C8E">
      <w:pPr>
        <w:spacing w:before="240"/>
        <w:ind w:right="91"/>
        <w:rPr>
          <w:szCs w:val="24"/>
          <w:u w:val="single"/>
        </w:rPr>
      </w:pPr>
      <w:r>
        <w:rPr>
          <w:u w:val="single"/>
        </w:rPr>
        <w:t>Marketing and sponsorship expenses</w:t>
      </w:r>
    </w:p>
    <w:p w14:paraId="5A453267" w14:textId="489FBA23" w:rsidR="00AD3310" w:rsidRDefault="00205C8E" w:rsidP="00AD3310">
      <w:pPr>
        <w:spacing w:before="240"/>
        <w:ind w:right="91"/>
        <w:rPr>
          <w:rFonts w:ascii="Calibri" w:hAnsi="Calibri" w:cs="Calibri"/>
          <w:sz w:val="22"/>
          <w:szCs w:val="22"/>
          <w:lang w:eastAsia="en-US"/>
        </w:rPr>
      </w:pPr>
      <w:r>
        <w:t xml:space="preserve">The information provided with a notice must include an itemised list of all payments made in relation to </w:t>
      </w:r>
      <w:r w:rsidR="00433D0F">
        <w:t xml:space="preserve">promotion, </w:t>
      </w:r>
      <w:r>
        <w:t>marketing and sponsorship expenditure</w:t>
      </w:r>
      <w:r w:rsidR="00CD08DA">
        <w:t xml:space="preserve">. </w:t>
      </w:r>
    </w:p>
    <w:p w14:paraId="2BAB7B33" w14:textId="2678A8BF" w:rsidR="00205C8E" w:rsidRDefault="00AD3310" w:rsidP="00205C8E">
      <w:pPr>
        <w:spacing w:before="240"/>
        <w:ind w:right="91"/>
        <w:rPr>
          <w:rFonts w:ascii="Calibri" w:hAnsi="Calibri" w:cs="Calibri"/>
          <w:sz w:val="22"/>
          <w:szCs w:val="22"/>
          <w:lang w:eastAsia="en-US"/>
        </w:rPr>
      </w:pPr>
      <w:r>
        <w:t>Marketing</w:t>
      </w:r>
      <w:r w:rsidR="00205C8E">
        <w:t xml:space="preserve"> expenditure </w:t>
      </w:r>
      <w:r>
        <w:t>can include</w:t>
      </w:r>
      <w:r w:rsidR="00205C8E">
        <w:t xml:space="preserve"> sponsorships</w:t>
      </w:r>
      <w:r>
        <w:t xml:space="preserve">, expenditure on public facing materials to </w:t>
      </w:r>
      <w:r w:rsidR="00205C8E">
        <w:t>promote the entity or promote a particular view on behalf of the entity</w:t>
      </w:r>
      <w:r>
        <w:t xml:space="preserve">, promotions to attract new members to the entity and advertisements on the investment options a fund offers or the investment strategy of a fund.  </w:t>
      </w:r>
    </w:p>
    <w:p w14:paraId="24EF9E1B" w14:textId="1727ADCA" w:rsidR="00205C8E" w:rsidRPr="00486284" w:rsidRDefault="00205C8E" w:rsidP="00205C8E">
      <w:pPr>
        <w:spacing w:after="240"/>
        <w:rPr>
          <w:color w:val="000000" w:themeColor="text1"/>
        </w:rPr>
      </w:pPr>
      <w:r w:rsidRPr="00486284">
        <w:rPr>
          <w:color w:val="000000" w:themeColor="text1"/>
        </w:rPr>
        <w:t>Disclosure will enable members to ask questions about the purpose and value of this expenditure.</w:t>
      </w:r>
    </w:p>
    <w:p w14:paraId="17914176" w14:textId="77777777" w:rsidR="00A24677" w:rsidRPr="00634E82" w:rsidRDefault="004C2A06" w:rsidP="00765B0F">
      <w:pPr>
        <w:spacing w:before="240"/>
        <w:ind w:right="91"/>
        <w:rPr>
          <w:u w:val="single"/>
        </w:rPr>
      </w:pPr>
      <w:r>
        <w:rPr>
          <w:u w:val="single"/>
        </w:rPr>
        <w:t>P</w:t>
      </w:r>
      <w:r w:rsidR="00A24677">
        <w:rPr>
          <w:u w:val="single"/>
        </w:rPr>
        <w:t>olitical donations</w:t>
      </w:r>
    </w:p>
    <w:p w14:paraId="3A890291" w14:textId="77777777" w:rsidR="00A24677" w:rsidRDefault="00A24677" w:rsidP="00765B0F">
      <w:pPr>
        <w:spacing w:before="240"/>
        <w:ind w:right="91"/>
      </w:pPr>
      <w:r>
        <w:t xml:space="preserve">The information provided with a notice must include an </w:t>
      </w:r>
      <w:r w:rsidRPr="00D74E0B">
        <w:t xml:space="preserve">itemised list of all gifts (within the meaning of the </w:t>
      </w:r>
      <w:r w:rsidRPr="00634E82">
        <w:rPr>
          <w:i/>
        </w:rPr>
        <w:t>Commonwealth Electoral Act</w:t>
      </w:r>
      <w:r>
        <w:rPr>
          <w:i/>
        </w:rPr>
        <w:t xml:space="preserve"> 1918</w:t>
      </w:r>
      <w:r w:rsidR="00E3504B">
        <w:t>)</w:t>
      </w:r>
      <w:r w:rsidRPr="00D74E0B">
        <w:t xml:space="preserve"> made by the trustee to political entities and/or those registered under s 287L</w:t>
      </w:r>
      <w:r>
        <w:t xml:space="preserve"> of that Act.</w:t>
      </w:r>
      <w:r w:rsidRPr="00D74E0B">
        <w:t xml:space="preserve"> </w:t>
      </w:r>
    </w:p>
    <w:p w14:paraId="35343F15" w14:textId="77777777" w:rsidR="00E3504B" w:rsidRDefault="00A24677" w:rsidP="00765B0F">
      <w:pPr>
        <w:spacing w:before="240"/>
        <w:ind w:right="91"/>
        <w:rPr>
          <w:u w:val="single"/>
        </w:rPr>
      </w:pPr>
      <w:r w:rsidRPr="00D74E0B">
        <w:t xml:space="preserve">This information </w:t>
      </w:r>
      <w:r>
        <w:t>must also be provided as an aggregate figure in the</w:t>
      </w:r>
      <w:r w:rsidRPr="00C4152E">
        <w:t xml:space="preserve"> </w:t>
      </w:r>
      <w:r>
        <w:t xml:space="preserve">short-form summary document explained above. </w:t>
      </w:r>
    </w:p>
    <w:p w14:paraId="3064CA44" w14:textId="77777777" w:rsidR="00A24677" w:rsidRPr="00634E82" w:rsidRDefault="004C2A06" w:rsidP="00765B0F">
      <w:pPr>
        <w:spacing w:before="240"/>
        <w:ind w:right="91"/>
        <w:rPr>
          <w:u w:val="single"/>
        </w:rPr>
      </w:pPr>
      <w:r>
        <w:rPr>
          <w:u w:val="single"/>
        </w:rPr>
        <w:t>P</w:t>
      </w:r>
      <w:r w:rsidR="00A24677">
        <w:rPr>
          <w:u w:val="single"/>
        </w:rPr>
        <w:t xml:space="preserve">ayments to industry bodies or trade associations </w:t>
      </w:r>
    </w:p>
    <w:p w14:paraId="25B0710A" w14:textId="77777777" w:rsidR="00A24677" w:rsidRDefault="00A24677" w:rsidP="00765B0F">
      <w:pPr>
        <w:spacing w:before="240"/>
        <w:ind w:right="91"/>
      </w:pPr>
      <w:r>
        <w:lastRenderedPageBreak/>
        <w:t xml:space="preserve">The information provided with a notice must include </w:t>
      </w:r>
      <w:r w:rsidRPr="00CB793B">
        <w:t>an itemised list of all payments made to industr</w:t>
      </w:r>
      <w:r>
        <w:t xml:space="preserve">y bodies or trade associations, which are required to be </w:t>
      </w:r>
      <w:r w:rsidRPr="00CB793B">
        <w:t>registered under section</w:t>
      </w:r>
      <w:r>
        <w:t> </w:t>
      </w:r>
      <w:r w:rsidRPr="00CB793B">
        <w:t xml:space="preserve">26 of the </w:t>
      </w:r>
      <w:r w:rsidRPr="00634E82">
        <w:rPr>
          <w:i/>
        </w:rPr>
        <w:t>Fair Work (Registered Organisations) Act 2009</w:t>
      </w:r>
      <w:r>
        <w:t>.</w:t>
      </w:r>
    </w:p>
    <w:p w14:paraId="7CED5A68" w14:textId="77777777" w:rsidR="00A24677" w:rsidRDefault="00A24677" w:rsidP="00765B0F">
      <w:pPr>
        <w:spacing w:before="240"/>
        <w:ind w:right="91"/>
      </w:pPr>
      <w:r>
        <w:t>This information must also be provided as an aggregate figure in the short-form summary document explained above.</w:t>
      </w:r>
    </w:p>
    <w:p w14:paraId="38B23673" w14:textId="77777777" w:rsidR="00A24677" w:rsidRDefault="004C2A06" w:rsidP="00765B0F">
      <w:pPr>
        <w:spacing w:before="240"/>
        <w:ind w:right="91"/>
        <w:rPr>
          <w:u w:val="single"/>
        </w:rPr>
      </w:pPr>
      <w:r>
        <w:rPr>
          <w:u w:val="single"/>
        </w:rPr>
        <w:t>P</w:t>
      </w:r>
      <w:r w:rsidR="00A24677">
        <w:rPr>
          <w:u w:val="single"/>
        </w:rPr>
        <w:t>ayments to related parties</w:t>
      </w:r>
    </w:p>
    <w:p w14:paraId="27DFBE8F" w14:textId="77777777" w:rsidR="00A24677" w:rsidRDefault="00A24677" w:rsidP="00765B0F">
      <w:pPr>
        <w:spacing w:before="240"/>
        <w:ind w:right="91"/>
      </w:pPr>
      <w:r>
        <w:t>The information provided with a notice must include</w:t>
      </w:r>
      <w:r w:rsidRPr="001A15BB">
        <w:t xml:space="preserve"> an itemised list of all payments made to </w:t>
      </w:r>
      <w:r>
        <w:t>certain related</w:t>
      </w:r>
      <w:r w:rsidRPr="001A15BB">
        <w:t xml:space="preserve"> parties</w:t>
      </w:r>
      <w:r>
        <w:t xml:space="preserve">. </w:t>
      </w:r>
    </w:p>
    <w:p w14:paraId="4D9E3330" w14:textId="77777777" w:rsidR="00A24677" w:rsidRDefault="00A24677" w:rsidP="00765B0F">
      <w:pPr>
        <w:spacing w:before="240"/>
        <w:ind w:right="91"/>
      </w:pPr>
      <w:r>
        <w:t xml:space="preserve">This information must also be provided as an aggregate figure in the summary document explained above. </w:t>
      </w:r>
    </w:p>
    <w:p w14:paraId="491E9DF7" w14:textId="77777777" w:rsidR="00A24677" w:rsidRPr="00053000" w:rsidRDefault="00A24677" w:rsidP="00765B0F">
      <w:pPr>
        <w:spacing w:before="240"/>
        <w:ind w:right="91"/>
      </w:pPr>
      <w:r w:rsidRPr="004C2A06">
        <w:rPr>
          <w:i/>
        </w:rPr>
        <w:t>Requirement</w:t>
      </w:r>
      <w:r w:rsidRPr="00053000">
        <w:rPr>
          <w:i/>
        </w:rPr>
        <w:t xml:space="preserve"> </w:t>
      </w:r>
      <w:r>
        <w:rPr>
          <w:i/>
        </w:rPr>
        <w:t>for</w:t>
      </w:r>
      <w:r w:rsidRPr="00053000">
        <w:rPr>
          <w:i/>
        </w:rPr>
        <w:t xml:space="preserve"> giving notice </w:t>
      </w:r>
      <w:r>
        <w:rPr>
          <w:i/>
        </w:rPr>
        <w:t>of annual members’ meetings</w:t>
      </w:r>
    </w:p>
    <w:p w14:paraId="369EEB4A" w14:textId="77777777" w:rsidR="00A24677" w:rsidRDefault="00A24677" w:rsidP="00765B0F">
      <w:pPr>
        <w:spacing w:before="240"/>
        <w:ind w:right="91"/>
        <w:rPr>
          <w:szCs w:val="23"/>
        </w:rPr>
      </w:pPr>
      <w:r>
        <w:t xml:space="preserve">Paragraph 29P(3)(c) of the SIS Act </w:t>
      </w:r>
      <w:r>
        <w:rPr>
          <w:szCs w:val="23"/>
        </w:rPr>
        <w:t xml:space="preserve">allows the regulations to prescribe the manner in which an RSE licensee should provide a notice of an annual members’ meeting and other accompanying information to members. </w:t>
      </w:r>
    </w:p>
    <w:p w14:paraId="0D136E9F" w14:textId="07887DCC" w:rsidR="00A24677" w:rsidRDefault="00A24677" w:rsidP="00765B0F">
      <w:pPr>
        <w:spacing w:before="240"/>
        <w:ind w:right="91"/>
        <w:rPr>
          <w:szCs w:val="23"/>
        </w:rPr>
      </w:pPr>
      <w:r w:rsidRPr="00765B0F">
        <w:t>RSE</w:t>
      </w:r>
      <w:r>
        <w:rPr>
          <w:szCs w:val="23"/>
        </w:rPr>
        <w:t xml:space="preserve"> licensees are generally required to provide information to members about the </w:t>
      </w:r>
      <w:r w:rsidRPr="00BB7B80">
        <w:rPr>
          <w:szCs w:val="23"/>
        </w:rPr>
        <w:t>management, financial condition and investment performance of the fund</w:t>
      </w:r>
      <w:r>
        <w:rPr>
          <w:szCs w:val="23"/>
        </w:rPr>
        <w:t xml:space="preserve"> under paragraph 1017DA(1)(a) of the </w:t>
      </w:r>
      <w:r w:rsidRPr="00E64FC1">
        <w:rPr>
          <w:i/>
          <w:szCs w:val="23"/>
        </w:rPr>
        <w:t>Corporations Act 2001</w:t>
      </w:r>
      <w:r>
        <w:rPr>
          <w:szCs w:val="23"/>
        </w:rPr>
        <w:t>.</w:t>
      </w:r>
      <w:r w:rsidR="00FD7DA3">
        <w:rPr>
          <w:szCs w:val="23"/>
        </w:rPr>
        <w:t xml:space="preserve"> </w:t>
      </w:r>
      <w:r w:rsidR="00FD7DA3" w:rsidRPr="00765B0F">
        <w:t>Regulation</w:t>
      </w:r>
      <w:r w:rsidR="00FD7DA3">
        <w:rPr>
          <w:szCs w:val="23"/>
        </w:rPr>
        <w:t xml:space="preserve"> 7.9.75A of the </w:t>
      </w:r>
      <w:r w:rsidR="00FD7DA3" w:rsidRPr="00E64FC1">
        <w:rPr>
          <w:i/>
          <w:szCs w:val="23"/>
        </w:rPr>
        <w:t>Corporation</w:t>
      </w:r>
      <w:r w:rsidR="00FD7DA3">
        <w:rPr>
          <w:i/>
          <w:szCs w:val="23"/>
        </w:rPr>
        <w:t>s</w:t>
      </w:r>
      <w:r w:rsidR="00FD7DA3" w:rsidRPr="00E64FC1">
        <w:rPr>
          <w:i/>
          <w:szCs w:val="23"/>
        </w:rPr>
        <w:t xml:space="preserve"> Regulations</w:t>
      </w:r>
      <w:r w:rsidR="00FD7DA3">
        <w:rPr>
          <w:i/>
          <w:szCs w:val="23"/>
        </w:rPr>
        <w:t xml:space="preserve"> 2001</w:t>
      </w:r>
      <w:r w:rsidR="00FD7DA3">
        <w:rPr>
          <w:szCs w:val="23"/>
        </w:rPr>
        <w:t xml:space="preserve"> requires that the information provided under paragraph 1017DA(1)(a) be provided in writing, electronically or in a manner agreed by the member or member’s agent. This could include, for example, information being published on a funds’ website. </w:t>
      </w:r>
    </w:p>
    <w:p w14:paraId="3D87893A" w14:textId="1A4EA42C" w:rsidR="002006F0" w:rsidRDefault="00A24677" w:rsidP="00765B0F">
      <w:pPr>
        <w:spacing w:before="240"/>
        <w:ind w:right="91"/>
        <w:rPr>
          <w:szCs w:val="23"/>
        </w:rPr>
      </w:pPr>
      <w:r>
        <w:rPr>
          <w:szCs w:val="23"/>
        </w:rPr>
        <w:t xml:space="preserve">If an RSE licensee is required to provide information under paragraph 1017DA(1)(a) in a particular manner to members, they must also provide notice of an annual members’ meeting and the accompanying information in the same way. </w:t>
      </w:r>
      <w:r w:rsidR="00FD7DA3">
        <w:rPr>
          <w:szCs w:val="23"/>
        </w:rPr>
        <w:t xml:space="preserve">For example, if the RSE provides this information via email, they must also provide the </w:t>
      </w:r>
      <w:r w:rsidR="00CC6D3B">
        <w:rPr>
          <w:szCs w:val="23"/>
        </w:rPr>
        <w:t>a</w:t>
      </w:r>
      <w:r w:rsidR="00FD7DA3">
        <w:rPr>
          <w:szCs w:val="23"/>
        </w:rPr>
        <w:t xml:space="preserve">nnual </w:t>
      </w:r>
      <w:r w:rsidR="00CC6D3B">
        <w:rPr>
          <w:szCs w:val="23"/>
        </w:rPr>
        <w:t>m</w:t>
      </w:r>
      <w:r w:rsidR="00FD7DA3">
        <w:rPr>
          <w:szCs w:val="23"/>
        </w:rPr>
        <w:t xml:space="preserve">embers’ </w:t>
      </w:r>
      <w:r w:rsidR="00CC6D3B">
        <w:rPr>
          <w:szCs w:val="23"/>
        </w:rPr>
        <w:t>m</w:t>
      </w:r>
      <w:r w:rsidR="00FD7DA3">
        <w:rPr>
          <w:szCs w:val="23"/>
        </w:rPr>
        <w:t xml:space="preserve">eeting </w:t>
      </w:r>
      <w:r w:rsidR="00CC6D3B">
        <w:rPr>
          <w:szCs w:val="23"/>
        </w:rPr>
        <w:t>n</w:t>
      </w:r>
      <w:r w:rsidR="00FD7DA3">
        <w:rPr>
          <w:szCs w:val="23"/>
        </w:rPr>
        <w:t xml:space="preserve">otice via email. If the member has agreed a specific method of receiving information provided under </w:t>
      </w:r>
      <w:r w:rsidR="00CC6D3B">
        <w:rPr>
          <w:szCs w:val="23"/>
        </w:rPr>
        <w:t xml:space="preserve">paragraph </w:t>
      </w:r>
      <w:r w:rsidR="00FD7DA3">
        <w:rPr>
          <w:szCs w:val="23"/>
        </w:rPr>
        <w:t xml:space="preserve">1017DA(1)(a), the </w:t>
      </w:r>
      <w:r w:rsidR="00CC6D3B">
        <w:rPr>
          <w:szCs w:val="23"/>
        </w:rPr>
        <w:t>a</w:t>
      </w:r>
      <w:r w:rsidR="00FD7DA3">
        <w:rPr>
          <w:szCs w:val="23"/>
        </w:rPr>
        <w:t xml:space="preserve">nnual </w:t>
      </w:r>
      <w:r w:rsidR="00CC6D3B">
        <w:rPr>
          <w:szCs w:val="23"/>
        </w:rPr>
        <w:t>m</w:t>
      </w:r>
      <w:r w:rsidR="00FD7DA3">
        <w:rPr>
          <w:szCs w:val="23"/>
        </w:rPr>
        <w:t xml:space="preserve">embers’ </w:t>
      </w:r>
      <w:r w:rsidR="00CC6D3B">
        <w:rPr>
          <w:szCs w:val="23"/>
        </w:rPr>
        <w:t>m</w:t>
      </w:r>
      <w:r w:rsidR="00FD7DA3">
        <w:rPr>
          <w:szCs w:val="23"/>
        </w:rPr>
        <w:t xml:space="preserve">eeting </w:t>
      </w:r>
      <w:r w:rsidR="00CC6D3B">
        <w:rPr>
          <w:szCs w:val="23"/>
        </w:rPr>
        <w:t>n</w:t>
      </w:r>
      <w:r w:rsidR="00FD7DA3">
        <w:rPr>
          <w:szCs w:val="23"/>
        </w:rPr>
        <w:t xml:space="preserve">otice </w:t>
      </w:r>
      <w:r w:rsidR="00CC6D3B">
        <w:rPr>
          <w:szCs w:val="23"/>
        </w:rPr>
        <w:t xml:space="preserve">and accompanying information </w:t>
      </w:r>
      <w:r w:rsidR="00FD7DA3">
        <w:rPr>
          <w:szCs w:val="23"/>
        </w:rPr>
        <w:t xml:space="preserve">must also be provided in that manner. </w:t>
      </w:r>
    </w:p>
    <w:p w14:paraId="13A84A25" w14:textId="77777777" w:rsidR="00A24677" w:rsidRDefault="00A24677" w:rsidP="00765B0F">
      <w:pPr>
        <w:spacing w:before="240"/>
        <w:ind w:right="91"/>
        <w:rPr>
          <w:szCs w:val="23"/>
        </w:rPr>
      </w:pPr>
      <w:r>
        <w:rPr>
          <w:szCs w:val="23"/>
        </w:rPr>
        <w:t>This ensures that RSE licensees have consistent obligations for providing information to members, and members do not need to enter into separate arrangements for</w:t>
      </w:r>
      <w:r w:rsidR="00E3504B">
        <w:rPr>
          <w:szCs w:val="23"/>
        </w:rPr>
        <w:t xml:space="preserve"> providing</w:t>
      </w:r>
      <w:r>
        <w:rPr>
          <w:szCs w:val="23"/>
        </w:rPr>
        <w:t xml:space="preserve"> such information. </w:t>
      </w:r>
    </w:p>
    <w:p w14:paraId="3A311946" w14:textId="77777777" w:rsidR="002006F0" w:rsidRDefault="002006F0" w:rsidP="00765B0F">
      <w:pPr>
        <w:spacing w:before="240"/>
        <w:ind w:right="91"/>
        <w:rPr>
          <w:szCs w:val="23"/>
        </w:rPr>
      </w:pPr>
      <w:r>
        <w:rPr>
          <w:szCs w:val="23"/>
        </w:rPr>
        <w:t xml:space="preserve">Where information provided under 1017DA(1)(a) is made available on a website, regulation 7.9.75BA of the </w:t>
      </w:r>
      <w:r>
        <w:rPr>
          <w:i/>
          <w:szCs w:val="23"/>
        </w:rPr>
        <w:t xml:space="preserve">Corporations Regulations 2001 </w:t>
      </w:r>
      <w:r>
        <w:rPr>
          <w:szCs w:val="23"/>
        </w:rPr>
        <w:t xml:space="preserve">provide that the trustee must ensure the information is readily accessible on that website and explain to the member how to access the information. </w:t>
      </w:r>
    </w:p>
    <w:p w14:paraId="01FBB38B" w14:textId="77777777" w:rsidR="00A24677" w:rsidRDefault="00A24677" w:rsidP="00765B0F">
      <w:pPr>
        <w:spacing w:before="240"/>
        <w:ind w:right="91"/>
        <w:rPr>
          <w:szCs w:val="23"/>
        </w:rPr>
      </w:pPr>
      <w:r w:rsidRPr="00765B0F">
        <w:t>Where</w:t>
      </w:r>
      <w:r>
        <w:rPr>
          <w:szCs w:val="23"/>
        </w:rPr>
        <w:t xml:space="preserve"> an RSE licensee does not have to provide information under paragraph 1017DA(1)(a), then the notice of an annual members’ meeting and the accompanying information must be provided in writing. </w:t>
      </w:r>
    </w:p>
    <w:p w14:paraId="30238382" w14:textId="578E1C74" w:rsidR="00A24677" w:rsidRDefault="00A24677" w:rsidP="00765B0F">
      <w:pPr>
        <w:spacing w:before="240"/>
        <w:ind w:right="91"/>
        <w:rPr>
          <w:szCs w:val="23"/>
        </w:rPr>
      </w:pPr>
      <w:r>
        <w:rPr>
          <w:szCs w:val="23"/>
        </w:rPr>
        <w:t xml:space="preserve">In addition to providing information to members directly, the Regulations also require RSE licensees to make the notice of the </w:t>
      </w:r>
      <w:r w:rsidR="0065371C">
        <w:rPr>
          <w:szCs w:val="23"/>
        </w:rPr>
        <w:t>annual members meeting</w:t>
      </w:r>
      <w:r>
        <w:rPr>
          <w:szCs w:val="23"/>
        </w:rPr>
        <w:t xml:space="preserve"> </w:t>
      </w:r>
      <w:r w:rsidR="0065371C">
        <w:rPr>
          <w:szCs w:val="23"/>
        </w:rPr>
        <w:t>publicly</w:t>
      </w:r>
      <w:r>
        <w:rPr>
          <w:szCs w:val="23"/>
        </w:rPr>
        <w:t xml:space="preserve"> </w:t>
      </w:r>
      <w:r>
        <w:rPr>
          <w:szCs w:val="23"/>
        </w:rPr>
        <w:lastRenderedPageBreak/>
        <w:t>available, and readily accessible by members, on the registerable superannuation entity’s website.</w:t>
      </w:r>
      <w:r w:rsidR="00123237">
        <w:rPr>
          <w:szCs w:val="23"/>
        </w:rPr>
        <w:t xml:space="preserve"> Where the RSE chooses to provide the required informati</w:t>
      </w:r>
      <w:r w:rsidR="004A66EE">
        <w:rPr>
          <w:szCs w:val="23"/>
        </w:rPr>
        <w:t xml:space="preserve">on </w:t>
      </w:r>
      <w:r w:rsidR="0093487F">
        <w:rPr>
          <w:szCs w:val="23"/>
        </w:rPr>
        <w:t xml:space="preserve">to members </w:t>
      </w:r>
      <w:r w:rsidR="004A66EE">
        <w:rPr>
          <w:szCs w:val="23"/>
        </w:rPr>
        <w:t>via linking to a webpage</w:t>
      </w:r>
      <w:r w:rsidR="00123237">
        <w:rPr>
          <w:szCs w:val="23"/>
        </w:rPr>
        <w:t xml:space="preserve">, </w:t>
      </w:r>
      <w:r w:rsidR="004A66EE">
        <w:rPr>
          <w:szCs w:val="23"/>
        </w:rPr>
        <w:t>that webpage</w:t>
      </w:r>
      <w:r w:rsidR="00123237">
        <w:rPr>
          <w:szCs w:val="23"/>
        </w:rPr>
        <w:t xml:space="preserve"> must be active and viewable at and from the time the </w:t>
      </w:r>
      <w:r w:rsidR="0093487F">
        <w:rPr>
          <w:szCs w:val="23"/>
        </w:rPr>
        <w:t>a</w:t>
      </w:r>
      <w:r w:rsidR="00123237">
        <w:rPr>
          <w:szCs w:val="23"/>
        </w:rPr>
        <w:t xml:space="preserve">nnual </w:t>
      </w:r>
      <w:r w:rsidR="0093487F">
        <w:rPr>
          <w:szCs w:val="23"/>
        </w:rPr>
        <w:t>members’ m</w:t>
      </w:r>
      <w:r w:rsidR="00123237">
        <w:rPr>
          <w:szCs w:val="23"/>
        </w:rPr>
        <w:t xml:space="preserve">eeting </w:t>
      </w:r>
      <w:r w:rsidR="0093487F">
        <w:rPr>
          <w:szCs w:val="23"/>
        </w:rPr>
        <w:t>n</w:t>
      </w:r>
      <w:r w:rsidR="00123237">
        <w:rPr>
          <w:szCs w:val="23"/>
        </w:rPr>
        <w:t xml:space="preserve">otice is sent to members. </w:t>
      </w:r>
    </w:p>
    <w:p w14:paraId="5D78EBEB" w14:textId="77777777" w:rsidR="00732D8F" w:rsidRDefault="00732D8F" w:rsidP="00765B0F">
      <w:pPr>
        <w:spacing w:before="240"/>
        <w:ind w:right="91"/>
        <w:rPr>
          <w:i/>
          <w:szCs w:val="23"/>
        </w:rPr>
      </w:pPr>
      <w:r>
        <w:rPr>
          <w:i/>
          <w:szCs w:val="23"/>
        </w:rPr>
        <w:t>Consequential amendments</w:t>
      </w:r>
    </w:p>
    <w:p w14:paraId="02FF711D" w14:textId="77777777" w:rsidR="007A4CF8" w:rsidRDefault="00AF313B" w:rsidP="00AF313B">
      <w:pPr>
        <w:spacing w:before="240"/>
        <w:ind w:right="91"/>
      </w:pPr>
      <w:r>
        <w:t>The amendments expand existing regulation 2.04 of the</w:t>
      </w:r>
      <w:r w:rsidRPr="00AF313B">
        <w:rPr>
          <w:i/>
        </w:rPr>
        <w:t xml:space="preserve"> </w:t>
      </w:r>
      <w:r w:rsidR="00E3504B" w:rsidRPr="00486284">
        <w:t>SIS Regulations</w:t>
      </w:r>
      <w:r w:rsidRPr="00E3504B">
        <w:t xml:space="preserve"> </w:t>
      </w:r>
      <w:r>
        <w:t xml:space="preserve">to include new Division 2.2. This ensures that RSE licensees are taken to have satisfied the requirements to provide information with notice of an annual members’ meeting </w:t>
      </w:r>
      <w:r w:rsidR="00732D8F">
        <w:t>if they</w:t>
      </w:r>
      <w:r>
        <w:t xml:space="preserve"> have </w:t>
      </w:r>
      <w:r w:rsidR="00732D8F">
        <w:t>made reasonable s</w:t>
      </w:r>
      <w:r>
        <w:t xml:space="preserve">teps to provide the information to members. </w:t>
      </w:r>
    </w:p>
    <w:p w14:paraId="1CA317BD" w14:textId="77777777" w:rsidR="00732D8F" w:rsidRDefault="00AF313B" w:rsidP="00AF313B">
      <w:pPr>
        <w:spacing w:before="240"/>
        <w:ind w:right="91"/>
        <w:rPr>
          <w:szCs w:val="23"/>
        </w:rPr>
      </w:pPr>
      <w:r>
        <w:t>This treatment is consistent with the existing arrangements for information that is required to be given for each reporting</w:t>
      </w:r>
      <w:r w:rsidR="00CB4502">
        <w:t xml:space="preserve"> period under Division 2.4 and information on request under Division 2.5.</w:t>
      </w:r>
    </w:p>
    <w:p w14:paraId="37D27BF7" w14:textId="77777777" w:rsidR="00FC39D8" w:rsidRDefault="00FC39D8">
      <w:pPr>
        <w:spacing w:before="0" w:after="0"/>
        <w:rPr>
          <w:b/>
        </w:rPr>
      </w:pPr>
      <w:r>
        <w:br w:type="page"/>
      </w:r>
    </w:p>
    <w:p w14:paraId="20EA7618" w14:textId="77777777" w:rsidR="00DB13D1" w:rsidRPr="00E32B2C" w:rsidRDefault="00DB13D1" w:rsidP="00DB13D1">
      <w:pPr>
        <w:pStyle w:val="Heading2"/>
        <w:rPr>
          <w:sz w:val="24"/>
          <w:u w:val="none"/>
        </w:rPr>
      </w:pPr>
      <w:r w:rsidRPr="00E32B2C">
        <w:rPr>
          <w:sz w:val="24"/>
          <w:u w:val="none"/>
        </w:rPr>
        <w:lastRenderedPageBreak/>
        <w:t xml:space="preserve">Schedule </w:t>
      </w:r>
      <w:r>
        <w:rPr>
          <w:sz w:val="24"/>
          <w:u w:val="none"/>
        </w:rPr>
        <w:t>3</w:t>
      </w:r>
      <w:r w:rsidRPr="00E32B2C">
        <w:rPr>
          <w:sz w:val="24"/>
          <w:u w:val="none"/>
        </w:rPr>
        <w:t xml:space="preserve"> – </w:t>
      </w:r>
      <w:r>
        <w:rPr>
          <w:sz w:val="24"/>
          <w:u w:val="none"/>
        </w:rPr>
        <w:t>Use of goods or services to influence employers</w:t>
      </w:r>
      <w:r w:rsidRPr="00E32B2C">
        <w:rPr>
          <w:sz w:val="24"/>
          <w:u w:val="none"/>
        </w:rPr>
        <w:t xml:space="preserve"> </w:t>
      </w:r>
    </w:p>
    <w:p w14:paraId="5DC13582" w14:textId="77777777" w:rsidR="00DB13D1" w:rsidRDefault="00DB13D1" w:rsidP="00DB13D1">
      <w:pPr>
        <w:rPr>
          <w:szCs w:val="23"/>
        </w:rPr>
      </w:pPr>
      <w:r>
        <w:t>Schedule 3 to the Regulations amend</w:t>
      </w:r>
      <w:r w:rsidR="00EF0207">
        <w:t>s</w:t>
      </w:r>
      <w:r>
        <w:t xml:space="preserve"> the SIS Regulations to remove an exemption from </w:t>
      </w:r>
      <w:r>
        <w:rPr>
          <w:color w:val="000000"/>
          <w:shd w:val="clear" w:color="auto" w:fill="FFFFFF"/>
        </w:rPr>
        <w:t>section 68A of the </w:t>
      </w:r>
      <w:r w:rsidRPr="00A613B0">
        <w:rPr>
          <w:iCs/>
          <w:color w:val="000000"/>
          <w:shd w:val="clear" w:color="auto" w:fill="FFFFFF"/>
        </w:rPr>
        <w:t>SIS Act</w:t>
      </w:r>
      <w:r w:rsidR="00205C8E">
        <w:rPr>
          <w:iCs/>
          <w:color w:val="000000"/>
          <w:shd w:val="clear" w:color="auto" w:fill="FFFFFF"/>
        </w:rPr>
        <w:t xml:space="preserve">. </w:t>
      </w:r>
    </w:p>
    <w:p w14:paraId="582E9E4E" w14:textId="77777777" w:rsidR="00DB13D1" w:rsidRDefault="00DB13D1" w:rsidP="00DB13D1">
      <w:pPr>
        <w:rPr>
          <w:color w:val="000000"/>
          <w:shd w:val="clear" w:color="auto" w:fill="FFFFFF"/>
        </w:rPr>
      </w:pPr>
      <w:r>
        <w:rPr>
          <w:szCs w:val="23"/>
        </w:rPr>
        <w:t>T</w:t>
      </w:r>
      <w:r>
        <w:rPr>
          <w:color w:val="000000"/>
          <w:shd w:val="clear" w:color="auto" w:fill="FFFFFF"/>
        </w:rPr>
        <w:t>he general rule in section 68A of the </w:t>
      </w:r>
      <w:r w:rsidRPr="00A613B0">
        <w:rPr>
          <w:iCs/>
          <w:color w:val="000000"/>
          <w:shd w:val="clear" w:color="auto" w:fill="FFFFFF"/>
        </w:rPr>
        <w:t>SIS Act</w:t>
      </w:r>
      <w:r>
        <w:rPr>
          <w:i/>
          <w:iCs/>
          <w:color w:val="000000"/>
          <w:shd w:val="clear" w:color="auto" w:fill="FFFFFF"/>
        </w:rPr>
        <w:t> </w:t>
      </w:r>
      <w:r>
        <w:rPr>
          <w:color w:val="000000"/>
          <w:shd w:val="clear" w:color="auto" w:fill="FFFFFF"/>
        </w:rPr>
        <w:t xml:space="preserve">originally prohibited </w:t>
      </w:r>
      <w:r w:rsidR="00205C8E">
        <w:rPr>
          <w:color w:val="000000"/>
          <w:shd w:val="clear" w:color="auto" w:fill="FFFFFF"/>
        </w:rPr>
        <w:t>the</w:t>
      </w:r>
      <w:r>
        <w:rPr>
          <w:color w:val="000000"/>
          <w:shd w:val="clear" w:color="auto" w:fill="FFFFFF"/>
        </w:rPr>
        <w:t xml:space="preserve"> trustee or associate of </w:t>
      </w:r>
      <w:r w:rsidR="00205C8E">
        <w:rPr>
          <w:color w:val="000000"/>
          <w:shd w:val="clear" w:color="auto" w:fill="FFFFFF"/>
        </w:rPr>
        <w:t>the</w:t>
      </w:r>
      <w:r>
        <w:rPr>
          <w:color w:val="000000"/>
          <w:shd w:val="clear" w:color="auto" w:fill="FFFFFF"/>
        </w:rPr>
        <w:t xml:space="preserve"> trustee </w:t>
      </w:r>
      <w:r w:rsidR="00205C8E">
        <w:rPr>
          <w:color w:val="000000"/>
          <w:shd w:val="clear" w:color="auto" w:fill="FFFFFF"/>
        </w:rPr>
        <w:t xml:space="preserve">of a regulated superannuation fund </w:t>
      </w:r>
      <w:r>
        <w:rPr>
          <w:color w:val="000000"/>
          <w:shd w:val="clear" w:color="auto" w:fill="FFFFFF"/>
        </w:rPr>
        <w:t xml:space="preserve">from offering or refusing to supply a good or service to an employer on the condition that their employees must become members of the fund. </w:t>
      </w:r>
    </w:p>
    <w:p w14:paraId="0F7C0DA0" w14:textId="77777777" w:rsidR="00DB13D1" w:rsidRDefault="00DB13D1" w:rsidP="00DB13D1">
      <w:pPr>
        <w:rPr>
          <w:szCs w:val="23"/>
        </w:rPr>
      </w:pPr>
      <w:r>
        <w:rPr>
          <w:szCs w:val="23"/>
        </w:rPr>
        <w:t>R</w:t>
      </w:r>
      <w:r w:rsidRPr="00A613B0">
        <w:rPr>
          <w:szCs w:val="23"/>
        </w:rPr>
        <w:t>egulation 13.18A</w:t>
      </w:r>
      <w:r>
        <w:rPr>
          <w:szCs w:val="23"/>
        </w:rPr>
        <w:t xml:space="preserve"> of the SIS Regulations </w:t>
      </w:r>
      <w:r>
        <w:rPr>
          <w:color w:val="000000"/>
          <w:shd w:val="clear" w:color="auto" w:fill="FFFFFF"/>
        </w:rPr>
        <w:t>prescribes exemptions from section 68A</w:t>
      </w:r>
      <w:r w:rsidR="00205C8E">
        <w:rPr>
          <w:color w:val="000000"/>
          <w:shd w:val="clear" w:color="auto" w:fill="FFFFFF"/>
        </w:rPr>
        <w:t>, including</w:t>
      </w:r>
      <w:r>
        <w:rPr>
          <w:color w:val="000000"/>
          <w:shd w:val="clear" w:color="auto" w:fill="FFFFFF"/>
        </w:rPr>
        <w:t xml:space="preserve"> </w:t>
      </w:r>
      <w:r w:rsidR="00205C8E">
        <w:rPr>
          <w:color w:val="000000"/>
          <w:shd w:val="clear" w:color="auto" w:fill="FFFFFF"/>
        </w:rPr>
        <w:t xml:space="preserve">paragraph </w:t>
      </w:r>
      <w:r w:rsidRPr="00E34199">
        <w:rPr>
          <w:szCs w:val="23"/>
        </w:rPr>
        <w:t xml:space="preserve">13.18A(1)(d) </w:t>
      </w:r>
      <w:r w:rsidR="00205C8E">
        <w:rPr>
          <w:szCs w:val="23"/>
        </w:rPr>
        <w:t>that</w:t>
      </w:r>
      <w:r>
        <w:rPr>
          <w:szCs w:val="23"/>
        </w:rPr>
        <w:t xml:space="preserve"> </w:t>
      </w:r>
      <w:r w:rsidRPr="00E34199">
        <w:rPr>
          <w:szCs w:val="23"/>
        </w:rPr>
        <w:t>allows a trustee, or associate of the trustee to supply a good or service to an employer. However, the supply or offer must be available to all of the employer’s employees who are members of the fund</w:t>
      </w:r>
      <w:r>
        <w:rPr>
          <w:szCs w:val="23"/>
        </w:rPr>
        <w:t xml:space="preserve"> and t</w:t>
      </w:r>
      <w:r w:rsidRPr="00E34199">
        <w:rPr>
          <w:szCs w:val="23"/>
        </w:rPr>
        <w:t xml:space="preserve">he terms of the supply or offer to each employee must be no less than the </w:t>
      </w:r>
      <w:r>
        <w:rPr>
          <w:szCs w:val="23"/>
        </w:rPr>
        <w:t xml:space="preserve">terms offered to the employer. </w:t>
      </w:r>
    </w:p>
    <w:p w14:paraId="25236D32" w14:textId="77777777" w:rsidR="00DB13D1" w:rsidRDefault="00DB13D1" w:rsidP="00DB13D1">
      <w:pPr>
        <w:rPr>
          <w:color w:val="000000"/>
          <w:shd w:val="clear" w:color="auto" w:fill="FFFFFF"/>
        </w:rPr>
      </w:pPr>
      <w:r>
        <w:rPr>
          <w:color w:val="000000"/>
          <w:shd w:val="clear" w:color="auto" w:fill="FFFFFF"/>
        </w:rPr>
        <w:t xml:space="preserve">These </w:t>
      </w:r>
      <w:r w:rsidRPr="001548C3">
        <w:rPr>
          <w:color w:val="000000"/>
          <w:shd w:val="clear" w:color="auto" w:fill="FFFFFF"/>
        </w:rPr>
        <w:t xml:space="preserve">rules </w:t>
      </w:r>
      <w:r>
        <w:rPr>
          <w:color w:val="000000"/>
          <w:shd w:val="clear" w:color="auto" w:fill="FFFFFF"/>
        </w:rPr>
        <w:t>in section 68A of the </w:t>
      </w:r>
      <w:r w:rsidRPr="00A613B0">
        <w:rPr>
          <w:iCs/>
          <w:color w:val="000000"/>
          <w:shd w:val="clear" w:color="auto" w:fill="FFFFFF"/>
        </w:rPr>
        <w:t>SIS Act</w:t>
      </w:r>
      <w:r>
        <w:rPr>
          <w:i/>
          <w:iCs/>
          <w:color w:val="000000"/>
          <w:shd w:val="clear" w:color="auto" w:fill="FFFFFF"/>
        </w:rPr>
        <w:t> </w:t>
      </w:r>
      <w:r w:rsidRPr="001548C3">
        <w:rPr>
          <w:color w:val="000000"/>
          <w:shd w:val="clear" w:color="auto" w:fill="FFFFFF"/>
        </w:rPr>
        <w:t xml:space="preserve">were strengthened through Schedule 9 </w:t>
      </w:r>
      <w:r>
        <w:rPr>
          <w:color w:val="000000"/>
          <w:shd w:val="clear" w:color="auto" w:fill="FFFFFF"/>
        </w:rPr>
        <w:t>of</w:t>
      </w:r>
      <w:r w:rsidRPr="001548C3">
        <w:rPr>
          <w:color w:val="000000"/>
          <w:shd w:val="clear" w:color="auto" w:fill="FFFFFF"/>
        </w:rPr>
        <w:t xml:space="preserve"> the</w:t>
      </w:r>
      <w:r>
        <w:rPr>
          <w:szCs w:val="23"/>
        </w:rPr>
        <w:t> Act</w:t>
      </w:r>
      <w:r>
        <w:rPr>
          <w:iCs/>
          <w:color w:val="000000"/>
          <w:shd w:val="clear" w:color="auto" w:fill="FFFFFF"/>
        </w:rPr>
        <w:t>. The amendments</w:t>
      </w:r>
      <w:r w:rsidRPr="001548C3">
        <w:rPr>
          <w:color w:val="000000"/>
          <w:shd w:val="clear" w:color="auto" w:fill="FFFFFF"/>
        </w:rPr>
        <w:t xml:space="preserve"> replaced the previous prohibition on actual conditions on becoming a member with a lower standard about an offer being ‘reasonably expected to influence’ an employer’s choice</w:t>
      </w:r>
      <w:r>
        <w:rPr>
          <w:color w:val="000000"/>
          <w:shd w:val="clear" w:color="auto" w:fill="FFFFFF"/>
        </w:rPr>
        <w:t xml:space="preserve"> </w:t>
      </w:r>
      <w:r w:rsidRPr="00DC0038">
        <w:rPr>
          <w:color w:val="000000"/>
          <w:shd w:val="clear" w:color="auto" w:fill="FFFFFF"/>
        </w:rPr>
        <w:t>to nominate the superannuation fund as</w:t>
      </w:r>
      <w:r>
        <w:rPr>
          <w:color w:val="000000"/>
          <w:shd w:val="clear" w:color="auto" w:fill="FFFFFF"/>
        </w:rPr>
        <w:t xml:space="preserve"> the default fund, or</w:t>
      </w:r>
      <w:r w:rsidRPr="00DC0038">
        <w:rPr>
          <w:color w:val="000000"/>
          <w:shd w:val="clear" w:color="auto" w:fill="FFFFFF"/>
        </w:rPr>
        <w:t xml:space="preserve"> encourage their employees to</w:t>
      </w:r>
      <w:r>
        <w:rPr>
          <w:color w:val="000000"/>
          <w:shd w:val="clear" w:color="auto" w:fill="FFFFFF"/>
        </w:rPr>
        <w:t xml:space="preserve"> </w:t>
      </w:r>
      <w:r w:rsidRPr="00DC0038">
        <w:rPr>
          <w:color w:val="000000"/>
          <w:shd w:val="clear" w:color="auto" w:fill="FFFFFF"/>
        </w:rPr>
        <w:t>nominate the fund as their choice of fund</w:t>
      </w:r>
      <w:r w:rsidRPr="001548C3">
        <w:rPr>
          <w:color w:val="000000"/>
          <w:shd w:val="clear" w:color="auto" w:fill="FFFFFF"/>
        </w:rPr>
        <w:t>.</w:t>
      </w:r>
    </w:p>
    <w:p w14:paraId="5B20E83C" w14:textId="77777777" w:rsidR="00DB13D1" w:rsidRDefault="00DB13D1" w:rsidP="00DB13D1">
      <w:pPr>
        <w:rPr>
          <w:szCs w:val="23"/>
        </w:rPr>
      </w:pPr>
      <w:r>
        <w:rPr>
          <w:szCs w:val="23"/>
        </w:rPr>
        <w:t>Item 2 of Schedule 3</w:t>
      </w:r>
      <w:r w:rsidRPr="00757BF8">
        <w:rPr>
          <w:szCs w:val="23"/>
        </w:rPr>
        <w:t xml:space="preserve"> </w:t>
      </w:r>
      <w:r>
        <w:rPr>
          <w:szCs w:val="23"/>
        </w:rPr>
        <w:t>repeals p</w:t>
      </w:r>
      <w:r w:rsidRPr="00E34199">
        <w:rPr>
          <w:szCs w:val="23"/>
        </w:rPr>
        <w:t>aragraph 13.18A(1)(d)</w:t>
      </w:r>
      <w:r>
        <w:rPr>
          <w:szCs w:val="23"/>
        </w:rPr>
        <w:t xml:space="preserve">, as it is not considered appropriate </w:t>
      </w:r>
      <w:r w:rsidRPr="001548C3">
        <w:rPr>
          <w:szCs w:val="23"/>
        </w:rPr>
        <w:t>in the context of the new rules</w:t>
      </w:r>
      <w:r>
        <w:rPr>
          <w:szCs w:val="23"/>
        </w:rPr>
        <w:t>.</w:t>
      </w:r>
      <w:r w:rsidRPr="00496CAC">
        <w:rPr>
          <w:szCs w:val="23"/>
        </w:rPr>
        <w:t xml:space="preserve"> </w:t>
      </w:r>
      <w:r w:rsidRPr="001548C3">
        <w:rPr>
          <w:szCs w:val="23"/>
        </w:rPr>
        <w:t xml:space="preserve">The exception </w:t>
      </w:r>
      <w:r>
        <w:rPr>
          <w:szCs w:val="23"/>
        </w:rPr>
        <w:t xml:space="preserve">was </w:t>
      </w:r>
      <w:r w:rsidRPr="001548C3">
        <w:rPr>
          <w:szCs w:val="23"/>
        </w:rPr>
        <w:t>based on the assumption that there are no issues with an employer receiving a supply if it is equally available to their employees</w:t>
      </w:r>
      <w:r>
        <w:rPr>
          <w:szCs w:val="23"/>
        </w:rPr>
        <w:t xml:space="preserve"> who are members of the fund. </w:t>
      </w:r>
    </w:p>
    <w:p w14:paraId="187A342B" w14:textId="77777777" w:rsidR="00DB13D1" w:rsidRDefault="00DB13D1" w:rsidP="00DB13D1">
      <w:pPr>
        <w:rPr>
          <w:szCs w:val="23"/>
        </w:rPr>
      </w:pPr>
      <w:r>
        <w:rPr>
          <w:szCs w:val="23"/>
        </w:rPr>
        <w:t xml:space="preserve">The amendments to the Act lowered the threshold from </w:t>
      </w:r>
      <w:r w:rsidRPr="001548C3">
        <w:rPr>
          <w:szCs w:val="23"/>
        </w:rPr>
        <w:t xml:space="preserve">an actual condition for employees to become </w:t>
      </w:r>
      <w:r>
        <w:rPr>
          <w:szCs w:val="23"/>
        </w:rPr>
        <w:t xml:space="preserve">fund </w:t>
      </w:r>
      <w:r w:rsidRPr="001548C3">
        <w:rPr>
          <w:szCs w:val="23"/>
        </w:rPr>
        <w:t>members</w:t>
      </w:r>
      <w:r>
        <w:rPr>
          <w:szCs w:val="23"/>
        </w:rPr>
        <w:t xml:space="preserve">, to a likelihood of </w:t>
      </w:r>
      <w:r w:rsidRPr="00496CAC">
        <w:rPr>
          <w:szCs w:val="23"/>
        </w:rPr>
        <w:t>a supply influencing an employer</w:t>
      </w:r>
      <w:r>
        <w:rPr>
          <w:szCs w:val="23"/>
        </w:rPr>
        <w:t xml:space="preserve"> </w:t>
      </w:r>
      <w:r>
        <w:t>to select their fund as a default fund for their employees</w:t>
      </w:r>
      <w:r w:rsidR="00205C8E">
        <w:t>. This made</w:t>
      </w:r>
      <w:r>
        <w:t xml:space="preserve"> th</w:t>
      </w:r>
      <w:r w:rsidR="00205C8E">
        <w:t>e</w:t>
      </w:r>
      <w:r>
        <w:t xml:space="preserve"> exemption</w:t>
      </w:r>
      <w:r w:rsidR="00205C8E">
        <w:t xml:space="preserve"> in paragraph 13.18A(1)(d)</w:t>
      </w:r>
      <w:r>
        <w:t xml:space="preserve"> in</w:t>
      </w:r>
      <w:r w:rsidRPr="001548C3">
        <w:rPr>
          <w:szCs w:val="23"/>
        </w:rPr>
        <w:t>appropriate</w:t>
      </w:r>
      <w:r>
        <w:rPr>
          <w:szCs w:val="23"/>
        </w:rPr>
        <w:t xml:space="preserve">. </w:t>
      </w:r>
    </w:p>
    <w:p w14:paraId="23301E74" w14:textId="77777777" w:rsidR="00DB13D1" w:rsidRDefault="00DB13D1" w:rsidP="00DB13D1">
      <w:pPr>
        <w:rPr>
          <w:color w:val="000000"/>
          <w:shd w:val="clear" w:color="auto" w:fill="FFFFFF"/>
        </w:rPr>
      </w:pPr>
      <w:r>
        <w:rPr>
          <w:color w:val="000000"/>
          <w:shd w:val="clear" w:color="auto" w:fill="FFFFFF"/>
        </w:rPr>
        <w:t>For example, a fund may provide discounted computers or offer a low cost insurance to an employer with an intent of influencing an employer’s decision to nominate the fund as a default fund for employees. This is not relevant to the fact that these benefits are also extended to employees who are member of the superannuation fund. The Regulations will remove the exemption and disallow the ability of an RSE trustee to influence an employer through the use of goods and services.</w:t>
      </w:r>
    </w:p>
    <w:p w14:paraId="080D10E6" w14:textId="77777777" w:rsidR="002A39E3" w:rsidRDefault="00DB13D1" w:rsidP="00EF0207">
      <w:pPr>
        <w:rPr>
          <w:color w:val="000000"/>
          <w:shd w:val="clear" w:color="auto" w:fill="FFFFFF"/>
        </w:rPr>
        <w:sectPr w:rsidR="002A39E3" w:rsidSect="00392BBA">
          <w:footerReference w:type="default" r:id="rId8"/>
          <w:pgSz w:w="11906" w:h="16838"/>
          <w:pgMar w:top="1440" w:right="1800" w:bottom="1440" w:left="1800" w:header="720" w:footer="720" w:gutter="0"/>
          <w:cols w:space="720"/>
          <w:docGrid w:linePitch="360"/>
        </w:sectPr>
      </w:pPr>
      <w:r w:rsidRPr="00321B2C">
        <w:rPr>
          <w:color w:val="000000"/>
          <w:shd w:val="clear" w:color="auto" w:fill="FFFFFF"/>
        </w:rPr>
        <w:t xml:space="preserve">Item 3 of Schedule 3 prescribes that the amendments </w:t>
      </w:r>
      <w:r>
        <w:rPr>
          <w:color w:val="000000"/>
          <w:shd w:val="clear" w:color="auto" w:fill="FFFFFF"/>
        </w:rPr>
        <w:t xml:space="preserve">made by this Schedule </w:t>
      </w:r>
      <w:r w:rsidRPr="00321B2C">
        <w:rPr>
          <w:color w:val="000000"/>
          <w:shd w:val="clear" w:color="auto" w:fill="FFFFFF"/>
        </w:rPr>
        <w:t>apply in relation to the provision of goods or services, or the refusal to provide goods or services that occur on or after the commencement of the Regulations</w:t>
      </w:r>
      <w:r>
        <w:rPr>
          <w:color w:val="000000"/>
          <w:shd w:val="clear" w:color="auto" w:fill="FFFFFF"/>
        </w:rPr>
        <w:t>.</w:t>
      </w:r>
    </w:p>
    <w:p w14:paraId="784E0957" w14:textId="77777777" w:rsidR="002A39E3" w:rsidRDefault="002A39E3" w:rsidP="0031046E">
      <w:pPr>
        <w:pageBreakBefore/>
        <w:spacing w:before="240"/>
        <w:ind w:left="5040" w:firstLine="720"/>
        <w:jc w:val="right"/>
        <w:rPr>
          <w:b/>
          <w:u w:val="single"/>
        </w:rPr>
      </w:pPr>
      <w:r w:rsidRPr="007B335E">
        <w:rPr>
          <w:b/>
          <w:u w:val="single"/>
        </w:rPr>
        <w:lastRenderedPageBreak/>
        <w:t xml:space="preserve">ATTACHMENT </w:t>
      </w:r>
      <w:r>
        <w:rPr>
          <w:b/>
          <w:u w:val="single"/>
        </w:rPr>
        <w:t>B</w:t>
      </w:r>
    </w:p>
    <w:p w14:paraId="64C93AE0" w14:textId="77777777" w:rsidR="002A39E3" w:rsidRDefault="002A39E3" w:rsidP="002A39E3"/>
    <w:tbl>
      <w:tblPr>
        <w:tblW w:w="13958" w:type="dxa"/>
        <w:tblLayout w:type="fixed"/>
        <w:tblCellMar>
          <w:left w:w="0" w:type="dxa"/>
          <w:right w:w="0" w:type="dxa"/>
        </w:tblCellMar>
        <w:tblLook w:val="04A0" w:firstRow="1" w:lastRow="0" w:firstColumn="1" w:lastColumn="0" w:noHBand="0" w:noVBand="1"/>
      </w:tblPr>
      <w:tblGrid>
        <w:gridCol w:w="1701"/>
        <w:gridCol w:w="284"/>
        <w:gridCol w:w="985"/>
        <w:gridCol w:w="149"/>
        <w:gridCol w:w="1319"/>
        <w:gridCol w:w="665"/>
        <w:gridCol w:w="851"/>
        <w:gridCol w:w="843"/>
        <w:gridCol w:w="433"/>
        <w:gridCol w:w="321"/>
        <w:gridCol w:w="707"/>
        <w:gridCol w:w="622"/>
        <w:gridCol w:w="85"/>
        <w:gridCol w:w="1223"/>
        <w:gridCol w:w="1927"/>
        <w:gridCol w:w="1843"/>
      </w:tblGrid>
      <w:tr w:rsidR="002A39E3" w:rsidRPr="00DE0925" w14:paraId="595C195B" w14:textId="77777777" w:rsidTr="00F70582">
        <w:tc>
          <w:tcPr>
            <w:tcW w:w="13958" w:type="dxa"/>
            <w:gridSpan w:val="16"/>
            <w:tcBorders>
              <w:top w:val="single" w:sz="18" w:space="0" w:color="auto"/>
              <w:bottom w:val="single" w:sz="18" w:space="0" w:color="auto"/>
            </w:tcBorders>
          </w:tcPr>
          <w:p w14:paraId="16E48F59" w14:textId="77777777" w:rsidR="002A39E3" w:rsidRPr="00DE0925" w:rsidRDefault="002A39E3" w:rsidP="00F70582">
            <w:pPr>
              <w:rPr>
                <w:b/>
                <w:bCs/>
                <w:sz w:val="16"/>
                <w:szCs w:val="16"/>
              </w:rPr>
            </w:pPr>
            <w:r w:rsidRPr="00DE0925">
              <w:rPr>
                <w:b/>
                <w:bCs/>
                <w:sz w:val="16"/>
                <w:szCs w:val="16"/>
              </w:rPr>
              <w:t xml:space="preserve">Portfolio Holdings Information for Growth Fund A                                                                                                                                                                                                 Summary  </w:t>
            </w:r>
          </w:p>
        </w:tc>
      </w:tr>
      <w:tr w:rsidR="002A39E3" w:rsidRPr="00DE0925" w14:paraId="756EF004" w14:textId="77777777" w:rsidTr="00F70582">
        <w:tc>
          <w:tcPr>
            <w:tcW w:w="1701" w:type="dxa"/>
            <w:tcBorders>
              <w:top w:val="single" w:sz="18" w:space="0" w:color="auto"/>
              <w:bottom w:val="single" w:sz="18" w:space="0" w:color="auto"/>
            </w:tcBorders>
            <w:tcMar>
              <w:top w:w="0" w:type="dxa"/>
              <w:left w:w="108" w:type="dxa"/>
              <w:bottom w:w="0" w:type="dxa"/>
              <w:right w:w="108" w:type="dxa"/>
            </w:tcMar>
            <w:hideMark/>
          </w:tcPr>
          <w:p w14:paraId="3D459199" w14:textId="77777777" w:rsidR="002A39E3" w:rsidRPr="00DE0925" w:rsidRDefault="002A39E3" w:rsidP="00F70582">
            <w:pPr>
              <w:rPr>
                <w:b/>
                <w:bCs/>
                <w:sz w:val="16"/>
                <w:szCs w:val="16"/>
              </w:rPr>
            </w:pPr>
            <w:r w:rsidRPr="00DE0925">
              <w:rPr>
                <w:b/>
                <w:bCs/>
                <w:sz w:val="16"/>
                <w:szCs w:val="16"/>
              </w:rPr>
              <w:t>Name/kind of investment item</w:t>
            </w:r>
          </w:p>
        </w:tc>
        <w:tc>
          <w:tcPr>
            <w:tcW w:w="1269" w:type="dxa"/>
            <w:gridSpan w:val="2"/>
            <w:tcBorders>
              <w:top w:val="single" w:sz="18" w:space="0" w:color="auto"/>
              <w:bottom w:val="single" w:sz="18" w:space="0" w:color="auto"/>
            </w:tcBorders>
            <w:tcMar>
              <w:top w:w="0" w:type="dxa"/>
              <w:left w:w="108" w:type="dxa"/>
              <w:bottom w:w="0" w:type="dxa"/>
              <w:right w:w="108" w:type="dxa"/>
            </w:tcMar>
            <w:hideMark/>
          </w:tcPr>
          <w:p w14:paraId="30EF76BF" w14:textId="77777777" w:rsidR="002A39E3" w:rsidRPr="00DE0925" w:rsidRDefault="002A39E3" w:rsidP="00F70582">
            <w:pPr>
              <w:rPr>
                <w:sz w:val="16"/>
                <w:szCs w:val="16"/>
              </w:rPr>
            </w:pPr>
            <w:r w:rsidRPr="00DE0925">
              <w:rPr>
                <w:b/>
                <w:bCs/>
                <w:sz w:val="16"/>
                <w:szCs w:val="16"/>
              </w:rPr>
              <w:t>Security Identifier</w:t>
            </w:r>
          </w:p>
        </w:tc>
        <w:tc>
          <w:tcPr>
            <w:tcW w:w="2133" w:type="dxa"/>
            <w:gridSpan w:val="3"/>
            <w:tcBorders>
              <w:top w:val="single" w:sz="18" w:space="0" w:color="auto"/>
              <w:bottom w:val="single" w:sz="18" w:space="0" w:color="auto"/>
            </w:tcBorders>
            <w:tcMar>
              <w:top w:w="0" w:type="dxa"/>
              <w:left w:w="108" w:type="dxa"/>
              <w:bottom w:w="0" w:type="dxa"/>
              <w:right w:w="108" w:type="dxa"/>
            </w:tcMar>
            <w:hideMark/>
          </w:tcPr>
          <w:p w14:paraId="6DAB40E5" w14:textId="77777777" w:rsidR="002A39E3" w:rsidRPr="00DE0925" w:rsidRDefault="002A39E3" w:rsidP="00F70582">
            <w:pPr>
              <w:rPr>
                <w:b/>
                <w:bCs/>
                <w:sz w:val="16"/>
                <w:szCs w:val="16"/>
              </w:rPr>
            </w:pPr>
            <w:r w:rsidRPr="00DE0925">
              <w:rPr>
                <w:b/>
                <w:bCs/>
                <w:sz w:val="16"/>
                <w:szCs w:val="16"/>
              </w:rPr>
              <w:t>Units held</w:t>
            </w:r>
          </w:p>
        </w:tc>
        <w:tc>
          <w:tcPr>
            <w:tcW w:w="851" w:type="dxa"/>
            <w:tcBorders>
              <w:top w:val="single" w:sz="18" w:space="0" w:color="auto"/>
              <w:bottom w:val="single" w:sz="18" w:space="0" w:color="auto"/>
            </w:tcBorders>
          </w:tcPr>
          <w:p w14:paraId="5DE58448" w14:textId="77777777" w:rsidR="002A39E3" w:rsidRPr="00DE0925" w:rsidRDefault="002A39E3" w:rsidP="00F70582">
            <w:pPr>
              <w:rPr>
                <w:b/>
                <w:bCs/>
                <w:sz w:val="16"/>
                <w:szCs w:val="16"/>
              </w:rPr>
            </w:pPr>
          </w:p>
        </w:tc>
        <w:tc>
          <w:tcPr>
            <w:tcW w:w="843" w:type="dxa"/>
            <w:tcBorders>
              <w:top w:val="single" w:sz="18" w:space="0" w:color="auto"/>
              <w:bottom w:val="single" w:sz="18" w:space="0" w:color="auto"/>
            </w:tcBorders>
          </w:tcPr>
          <w:p w14:paraId="491097FF" w14:textId="77777777" w:rsidR="002A39E3" w:rsidRPr="00DE0925" w:rsidRDefault="002A39E3" w:rsidP="00F70582">
            <w:pPr>
              <w:rPr>
                <w:b/>
                <w:bCs/>
                <w:sz w:val="16"/>
                <w:szCs w:val="16"/>
              </w:rPr>
            </w:pPr>
          </w:p>
        </w:tc>
        <w:tc>
          <w:tcPr>
            <w:tcW w:w="754" w:type="dxa"/>
            <w:gridSpan w:val="2"/>
            <w:tcBorders>
              <w:top w:val="single" w:sz="18" w:space="0" w:color="auto"/>
              <w:bottom w:val="single" w:sz="18" w:space="0" w:color="auto"/>
            </w:tcBorders>
          </w:tcPr>
          <w:p w14:paraId="1CA3E350" w14:textId="77777777" w:rsidR="002A39E3" w:rsidRPr="00DE0925" w:rsidRDefault="002A39E3" w:rsidP="00F70582">
            <w:pPr>
              <w:rPr>
                <w:b/>
                <w:bCs/>
                <w:sz w:val="16"/>
                <w:szCs w:val="16"/>
              </w:rPr>
            </w:pPr>
          </w:p>
        </w:tc>
        <w:tc>
          <w:tcPr>
            <w:tcW w:w="1329" w:type="dxa"/>
            <w:gridSpan w:val="2"/>
            <w:tcBorders>
              <w:top w:val="single" w:sz="18" w:space="0" w:color="auto"/>
              <w:bottom w:val="single" w:sz="18" w:space="0" w:color="auto"/>
            </w:tcBorders>
            <w:tcMar>
              <w:top w:w="0" w:type="dxa"/>
              <w:left w:w="108" w:type="dxa"/>
              <w:bottom w:w="0" w:type="dxa"/>
              <w:right w:w="108" w:type="dxa"/>
            </w:tcMar>
          </w:tcPr>
          <w:p w14:paraId="56542716" w14:textId="77777777" w:rsidR="002A39E3" w:rsidRPr="00DE0925" w:rsidRDefault="002A39E3" w:rsidP="00F70582">
            <w:pPr>
              <w:rPr>
                <w:b/>
                <w:bCs/>
                <w:sz w:val="16"/>
                <w:szCs w:val="16"/>
              </w:rPr>
            </w:pPr>
          </w:p>
        </w:tc>
        <w:tc>
          <w:tcPr>
            <w:tcW w:w="1308" w:type="dxa"/>
            <w:gridSpan w:val="2"/>
            <w:tcBorders>
              <w:top w:val="single" w:sz="18" w:space="0" w:color="auto"/>
              <w:bottom w:val="single" w:sz="18" w:space="0" w:color="auto"/>
              <w:right w:val="single" w:sz="4" w:space="0" w:color="auto"/>
            </w:tcBorders>
          </w:tcPr>
          <w:p w14:paraId="756C6B94" w14:textId="77777777" w:rsidR="002A39E3" w:rsidRPr="00DE0925" w:rsidRDefault="002A39E3" w:rsidP="00F70582">
            <w:pPr>
              <w:rPr>
                <w:b/>
                <w:bCs/>
                <w:sz w:val="16"/>
                <w:szCs w:val="16"/>
              </w:rPr>
            </w:pPr>
          </w:p>
        </w:tc>
        <w:tc>
          <w:tcPr>
            <w:tcW w:w="1927" w:type="dxa"/>
            <w:tcBorders>
              <w:top w:val="single" w:sz="18" w:space="0" w:color="auto"/>
              <w:left w:val="single" w:sz="4" w:space="0" w:color="auto"/>
              <w:bottom w:val="single" w:sz="18" w:space="0" w:color="auto"/>
            </w:tcBorders>
            <w:tcMar>
              <w:top w:w="0" w:type="dxa"/>
              <w:left w:w="108" w:type="dxa"/>
              <w:bottom w:w="0" w:type="dxa"/>
              <w:right w:w="108" w:type="dxa"/>
            </w:tcMar>
            <w:hideMark/>
          </w:tcPr>
          <w:p w14:paraId="5B67FEE1" w14:textId="77777777" w:rsidR="002A39E3" w:rsidRPr="00DE0925" w:rsidRDefault="002A39E3" w:rsidP="00F70582">
            <w:pPr>
              <w:rPr>
                <w:b/>
                <w:bCs/>
                <w:sz w:val="16"/>
                <w:szCs w:val="16"/>
              </w:rPr>
            </w:pPr>
            <w:r w:rsidRPr="00DE0925">
              <w:rPr>
                <w:b/>
                <w:bCs/>
                <w:sz w:val="16"/>
                <w:szCs w:val="16"/>
              </w:rPr>
              <w:t xml:space="preserve">Value </w:t>
            </w:r>
          </w:p>
        </w:tc>
        <w:tc>
          <w:tcPr>
            <w:tcW w:w="1843" w:type="dxa"/>
            <w:tcBorders>
              <w:top w:val="single" w:sz="18" w:space="0" w:color="auto"/>
              <w:bottom w:val="single" w:sz="18" w:space="0" w:color="auto"/>
            </w:tcBorders>
            <w:tcMar>
              <w:top w:w="0" w:type="dxa"/>
              <w:left w:w="108" w:type="dxa"/>
              <w:bottom w:w="0" w:type="dxa"/>
              <w:right w:w="108" w:type="dxa"/>
            </w:tcMar>
            <w:hideMark/>
          </w:tcPr>
          <w:p w14:paraId="3FA9F027" w14:textId="77777777" w:rsidR="002A39E3" w:rsidRPr="00DE0925" w:rsidRDefault="002A39E3" w:rsidP="00F70582">
            <w:pPr>
              <w:rPr>
                <w:b/>
                <w:bCs/>
                <w:sz w:val="16"/>
                <w:szCs w:val="16"/>
              </w:rPr>
            </w:pPr>
            <w:r w:rsidRPr="00DE0925">
              <w:rPr>
                <w:b/>
                <w:bCs/>
                <w:sz w:val="16"/>
                <w:szCs w:val="16"/>
              </w:rPr>
              <w:t>Weighting</w:t>
            </w:r>
          </w:p>
        </w:tc>
      </w:tr>
      <w:tr w:rsidR="002A39E3" w:rsidRPr="00DE0925" w14:paraId="21B4CDC1" w14:textId="77777777" w:rsidTr="00F70582">
        <w:trPr>
          <w:trHeight w:val="208"/>
        </w:trPr>
        <w:tc>
          <w:tcPr>
            <w:tcW w:w="1701" w:type="dxa"/>
            <w:tcBorders>
              <w:top w:val="single" w:sz="18" w:space="0" w:color="auto"/>
              <w:bottom w:val="single" w:sz="4" w:space="0" w:color="auto"/>
            </w:tcBorders>
            <w:tcMar>
              <w:top w:w="0" w:type="dxa"/>
              <w:left w:w="108" w:type="dxa"/>
              <w:bottom w:w="0" w:type="dxa"/>
              <w:right w:w="108" w:type="dxa"/>
            </w:tcMar>
            <w:hideMark/>
          </w:tcPr>
          <w:p w14:paraId="3BFAC037" w14:textId="77777777" w:rsidR="002A39E3" w:rsidRPr="00DE0925" w:rsidRDefault="002A39E3" w:rsidP="00F70582">
            <w:pPr>
              <w:rPr>
                <w:b/>
                <w:sz w:val="16"/>
                <w:szCs w:val="16"/>
              </w:rPr>
            </w:pPr>
            <w:r w:rsidRPr="00DE0925">
              <w:rPr>
                <w:b/>
                <w:sz w:val="16"/>
                <w:szCs w:val="16"/>
              </w:rPr>
              <w:t>Cash</w:t>
            </w:r>
          </w:p>
        </w:tc>
        <w:tc>
          <w:tcPr>
            <w:tcW w:w="1269" w:type="dxa"/>
            <w:gridSpan w:val="2"/>
            <w:tcBorders>
              <w:top w:val="single" w:sz="18" w:space="0" w:color="auto"/>
              <w:bottom w:val="single" w:sz="4" w:space="0" w:color="auto"/>
            </w:tcBorders>
            <w:tcMar>
              <w:top w:w="0" w:type="dxa"/>
              <w:left w:w="108" w:type="dxa"/>
              <w:bottom w:w="0" w:type="dxa"/>
              <w:right w:w="108" w:type="dxa"/>
            </w:tcMar>
          </w:tcPr>
          <w:p w14:paraId="1DACD413" w14:textId="77777777" w:rsidR="002A39E3" w:rsidRPr="00DE0925" w:rsidRDefault="002A39E3" w:rsidP="00F70582">
            <w:pPr>
              <w:rPr>
                <w:sz w:val="16"/>
                <w:szCs w:val="16"/>
              </w:rPr>
            </w:pPr>
          </w:p>
        </w:tc>
        <w:tc>
          <w:tcPr>
            <w:tcW w:w="1468" w:type="dxa"/>
            <w:gridSpan w:val="2"/>
            <w:tcBorders>
              <w:top w:val="single" w:sz="18" w:space="0" w:color="auto"/>
              <w:bottom w:val="single" w:sz="4" w:space="0" w:color="auto"/>
            </w:tcBorders>
            <w:tcMar>
              <w:top w:w="0" w:type="dxa"/>
              <w:left w:w="108" w:type="dxa"/>
              <w:bottom w:w="0" w:type="dxa"/>
              <w:right w:w="108" w:type="dxa"/>
            </w:tcMar>
          </w:tcPr>
          <w:p w14:paraId="0A50AB6E"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53CD5C39" w14:textId="77777777" w:rsidR="002A39E3" w:rsidRPr="00DE0925" w:rsidRDefault="002A39E3" w:rsidP="00F70582">
            <w:pPr>
              <w:rPr>
                <w:sz w:val="16"/>
                <w:szCs w:val="16"/>
              </w:rPr>
            </w:pPr>
          </w:p>
        </w:tc>
        <w:tc>
          <w:tcPr>
            <w:tcW w:w="1597" w:type="dxa"/>
            <w:gridSpan w:val="3"/>
            <w:tcBorders>
              <w:top w:val="single" w:sz="18" w:space="0" w:color="auto"/>
              <w:bottom w:val="single" w:sz="4" w:space="0" w:color="auto"/>
            </w:tcBorders>
          </w:tcPr>
          <w:p w14:paraId="0857D891" w14:textId="77777777" w:rsidR="002A39E3" w:rsidRPr="00DE0925" w:rsidRDefault="002A39E3" w:rsidP="00F70582">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2D1BEEB2"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23A0E919"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6F1B3407"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01A7E97B" w14:textId="77777777" w:rsidR="002A39E3" w:rsidRPr="00DE0925" w:rsidRDefault="002A39E3" w:rsidP="00F70582">
            <w:pPr>
              <w:rPr>
                <w:sz w:val="16"/>
                <w:szCs w:val="16"/>
              </w:rPr>
            </w:pPr>
          </w:p>
        </w:tc>
      </w:tr>
      <w:tr w:rsidR="002A39E3" w:rsidRPr="00DE0925" w14:paraId="32874668" w14:textId="77777777" w:rsidTr="00F70582">
        <w:tc>
          <w:tcPr>
            <w:tcW w:w="1701" w:type="dxa"/>
            <w:tcBorders>
              <w:top w:val="single" w:sz="4" w:space="0" w:color="auto"/>
              <w:bottom w:val="single" w:sz="4" w:space="0" w:color="auto"/>
            </w:tcBorders>
            <w:tcMar>
              <w:top w:w="0" w:type="dxa"/>
              <w:left w:w="108" w:type="dxa"/>
              <w:bottom w:w="0" w:type="dxa"/>
              <w:right w:w="108" w:type="dxa"/>
            </w:tcMar>
          </w:tcPr>
          <w:p w14:paraId="30463630" w14:textId="77777777" w:rsidR="002A39E3" w:rsidRPr="00DE0925" w:rsidRDefault="002A39E3" w:rsidP="00F70582">
            <w:pPr>
              <w:rPr>
                <w:bCs/>
                <w:sz w:val="16"/>
                <w:szCs w:val="16"/>
              </w:rPr>
            </w:pPr>
            <w:r w:rsidRPr="00DE0925">
              <w:rPr>
                <w:bCs/>
                <w:sz w:val="16"/>
                <w:szCs w:val="16"/>
              </w:rPr>
              <w:t>Australian Dollar</w:t>
            </w:r>
          </w:p>
        </w:tc>
        <w:tc>
          <w:tcPr>
            <w:tcW w:w="1269" w:type="dxa"/>
            <w:gridSpan w:val="2"/>
            <w:tcBorders>
              <w:top w:val="single" w:sz="4" w:space="0" w:color="auto"/>
              <w:bottom w:val="single" w:sz="4" w:space="0" w:color="auto"/>
            </w:tcBorders>
            <w:tcMar>
              <w:top w:w="0" w:type="dxa"/>
              <w:left w:w="108" w:type="dxa"/>
              <w:bottom w:w="0" w:type="dxa"/>
              <w:right w:w="108" w:type="dxa"/>
            </w:tcMar>
          </w:tcPr>
          <w:p w14:paraId="1099A2F3" w14:textId="77777777" w:rsidR="002A39E3" w:rsidRPr="00DE0925" w:rsidRDefault="002A39E3" w:rsidP="00F70582">
            <w:pPr>
              <w:rPr>
                <w:bCs/>
                <w:sz w:val="16"/>
                <w:szCs w:val="16"/>
              </w:rPr>
            </w:pPr>
            <w:r w:rsidRPr="00DE0925">
              <w:rPr>
                <w:bCs/>
                <w:sz w:val="16"/>
                <w:szCs w:val="16"/>
              </w:rPr>
              <w:t>AUD</w:t>
            </w:r>
          </w:p>
        </w:tc>
        <w:tc>
          <w:tcPr>
            <w:tcW w:w="1468" w:type="dxa"/>
            <w:gridSpan w:val="2"/>
            <w:tcBorders>
              <w:top w:val="single" w:sz="4" w:space="0" w:color="auto"/>
              <w:bottom w:val="single" w:sz="4" w:space="0" w:color="auto"/>
            </w:tcBorders>
            <w:tcMar>
              <w:top w:w="0" w:type="dxa"/>
              <w:left w:w="108" w:type="dxa"/>
              <w:bottom w:w="0" w:type="dxa"/>
              <w:right w:w="108" w:type="dxa"/>
            </w:tcMar>
          </w:tcPr>
          <w:p w14:paraId="710CF564" w14:textId="77777777" w:rsidR="002A39E3" w:rsidRPr="00DE0925" w:rsidRDefault="002A39E3" w:rsidP="00F70582">
            <w:pPr>
              <w:rPr>
                <w:sz w:val="16"/>
                <w:szCs w:val="16"/>
              </w:rPr>
            </w:pPr>
            <w:r w:rsidRPr="00DE0925">
              <w:rPr>
                <w:sz w:val="16"/>
                <w:szCs w:val="16"/>
              </w:rPr>
              <w:t>20,000,000.00</w:t>
            </w:r>
          </w:p>
        </w:tc>
        <w:tc>
          <w:tcPr>
            <w:tcW w:w="1516" w:type="dxa"/>
            <w:gridSpan w:val="2"/>
            <w:tcBorders>
              <w:top w:val="single" w:sz="4" w:space="0" w:color="auto"/>
              <w:bottom w:val="single" w:sz="4" w:space="0" w:color="auto"/>
            </w:tcBorders>
          </w:tcPr>
          <w:p w14:paraId="192EECDD" w14:textId="77777777" w:rsidR="002A39E3" w:rsidRPr="00DE0925" w:rsidRDefault="002A39E3" w:rsidP="00F70582">
            <w:pPr>
              <w:rPr>
                <w:sz w:val="16"/>
                <w:szCs w:val="16"/>
              </w:rPr>
            </w:pPr>
          </w:p>
        </w:tc>
        <w:tc>
          <w:tcPr>
            <w:tcW w:w="843" w:type="dxa"/>
            <w:tcBorders>
              <w:top w:val="single" w:sz="4" w:space="0" w:color="auto"/>
              <w:bottom w:val="single" w:sz="4" w:space="0" w:color="auto"/>
            </w:tcBorders>
          </w:tcPr>
          <w:p w14:paraId="384188F7" w14:textId="77777777" w:rsidR="002A39E3" w:rsidRPr="00DE0925" w:rsidRDefault="002A39E3" w:rsidP="00F70582">
            <w:pPr>
              <w:rPr>
                <w:sz w:val="16"/>
                <w:szCs w:val="16"/>
              </w:rPr>
            </w:pPr>
          </w:p>
        </w:tc>
        <w:tc>
          <w:tcPr>
            <w:tcW w:w="754" w:type="dxa"/>
            <w:gridSpan w:val="2"/>
            <w:tcBorders>
              <w:top w:val="single" w:sz="4" w:space="0" w:color="auto"/>
              <w:bottom w:val="single" w:sz="4" w:space="0" w:color="auto"/>
            </w:tcBorders>
          </w:tcPr>
          <w:p w14:paraId="45304BCA" w14:textId="77777777" w:rsidR="002A39E3" w:rsidRPr="00DE0925" w:rsidRDefault="002A39E3" w:rsidP="00F70582">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68D858FA" w14:textId="77777777" w:rsidR="002A39E3" w:rsidRPr="00DE0925" w:rsidRDefault="002A39E3" w:rsidP="00F70582">
            <w:pPr>
              <w:rPr>
                <w:sz w:val="16"/>
                <w:szCs w:val="16"/>
              </w:rPr>
            </w:pPr>
          </w:p>
        </w:tc>
        <w:tc>
          <w:tcPr>
            <w:tcW w:w="1223" w:type="dxa"/>
            <w:tcBorders>
              <w:top w:val="single" w:sz="4" w:space="0" w:color="auto"/>
              <w:bottom w:val="single" w:sz="4" w:space="0" w:color="auto"/>
              <w:right w:val="single" w:sz="4" w:space="0" w:color="auto"/>
            </w:tcBorders>
          </w:tcPr>
          <w:p w14:paraId="4EDA4B6E"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278CA848" w14:textId="77777777" w:rsidR="002A39E3" w:rsidRPr="00DE0925" w:rsidRDefault="002A39E3" w:rsidP="00F70582">
            <w:pPr>
              <w:rPr>
                <w:sz w:val="16"/>
                <w:szCs w:val="16"/>
              </w:rPr>
            </w:pPr>
            <w:r w:rsidRPr="00DE0925">
              <w:rPr>
                <w:sz w:val="16"/>
                <w:szCs w:val="16"/>
              </w:rPr>
              <w:t>$20,000,000.00</w:t>
            </w:r>
          </w:p>
        </w:tc>
        <w:tc>
          <w:tcPr>
            <w:tcW w:w="1843" w:type="dxa"/>
            <w:tcBorders>
              <w:top w:val="single" w:sz="4" w:space="0" w:color="auto"/>
              <w:bottom w:val="single" w:sz="4" w:space="0" w:color="auto"/>
            </w:tcBorders>
            <w:tcMar>
              <w:top w:w="0" w:type="dxa"/>
              <w:left w:w="108" w:type="dxa"/>
              <w:bottom w:w="0" w:type="dxa"/>
              <w:right w:w="108" w:type="dxa"/>
            </w:tcMar>
          </w:tcPr>
          <w:p w14:paraId="5A20AC85" w14:textId="77777777" w:rsidR="002A39E3" w:rsidRPr="00DE0925" w:rsidRDefault="002A39E3" w:rsidP="00F70582">
            <w:pPr>
              <w:rPr>
                <w:sz w:val="16"/>
                <w:szCs w:val="16"/>
              </w:rPr>
            </w:pPr>
            <w:r w:rsidRPr="00DE0925">
              <w:rPr>
                <w:sz w:val="16"/>
                <w:szCs w:val="16"/>
              </w:rPr>
              <w:t>%</w:t>
            </w:r>
          </w:p>
        </w:tc>
      </w:tr>
      <w:tr w:rsidR="002A39E3" w:rsidRPr="00DE0925" w14:paraId="556334B5" w14:textId="77777777" w:rsidTr="00F70582">
        <w:tc>
          <w:tcPr>
            <w:tcW w:w="1701" w:type="dxa"/>
            <w:tcBorders>
              <w:top w:val="single" w:sz="4" w:space="0" w:color="auto"/>
              <w:bottom w:val="single" w:sz="12" w:space="0" w:color="auto"/>
            </w:tcBorders>
            <w:tcMar>
              <w:top w:w="0" w:type="dxa"/>
              <w:left w:w="108" w:type="dxa"/>
              <w:bottom w:w="0" w:type="dxa"/>
              <w:right w:w="108" w:type="dxa"/>
            </w:tcMar>
          </w:tcPr>
          <w:p w14:paraId="0AA4C054" w14:textId="77777777" w:rsidR="002A39E3" w:rsidRPr="00DE0925" w:rsidRDefault="002A39E3" w:rsidP="00F70582">
            <w:pPr>
              <w:rPr>
                <w:bCs/>
                <w:sz w:val="16"/>
                <w:szCs w:val="16"/>
              </w:rPr>
            </w:pPr>
            <w:r w:rsidRPr="00DE0925">
              <w:rPr>
                <w:bCs/>
                <w:sz w:val="16"/>
                <w:szCs w:val="16"/>
              </w:rPr>
              <w:t>New Zealand Dollar</w:t>
            </w:r>
          </w:p>
        </w:tc>
        <w:tc>
          <w:tcPr>
            <w:tcW w:w="1269" w:type="dxa"/>
            <w:gridSpan w:val="2"/>
            <w:tcBorders>
              <w:top w:val="single" w:sz="4" w:space="0" w:color="auto"/>
              <w:bottom w:val="single" w:sz="12" w:space="0" w:color="auto"/>
            </w:tcBorders>
            <w:tcMar>
              <w:top w:w="0" w:type="dxa"/>
              <w:left w:w="108" w:type="dxa"/>
              <w:bottom w:w="0" w:type="dxa"/>
              <w:right w:w="108" w:type="dxa"/>
            </w:tcMar>
          </w:tcPr>
          <w:p w14:paraId="6D7300FF" w14:textId="77777777" w:rsidR="002A39E3" w:rsidRPr="00DE0925" w:rsidRDefault="002A39E3" w:rsidP="00F70582">
            <w:pPr>
              <w:rPr>
                <w:bCs/>
                <w:sz w:val="16"/>
                <w:szCs w:val="16"/>
              </w:rPr>
            </w:pPr>
            <w:r w:rsidRPr="00DE0925">
              <w:rPr>
                <w:bCs/>
                <w:sz w:val="16"/>
                <w:szCs w:val="16"/>
              </w:rPr>
              <w:t>NZD</w:t>
            </w:r>
          </w:p>
        </w:tc>
        <w:tc>
          <w:tcPr>
            <w:tcW w:w="1468" w:type="dxa"/>
            <w:gridSpan w:val="2"/>
            <w:tcBorders>
              <w:top w:val="single" w:sz="4" w:space="0" w:color="auto"/>
              <w:bottom w:val="single" w:sz="12" w:space="0" w:color="auto"/>
            </w:tcBorders>
            <w:tcMar>
              <w:top w:w="0" w:type="dxa"/>
              <w:left w:w="108" w:type="dxa"/>
              <w:bottom w:w="0" w:type="dxa"/>
              <w:right w:w="108" w:type="dxa"/>
            </w:tcMar>
          </w:tcPr>
          <w:p w14:paraId="6FFA3676" w14:textId="77777777" w:rsidR="002A39E3" w:rsidRPr="00DE0925" w:rsidRDefault="002A39E3" w:rsidP="00F70582">
            <w:pPr>
              <w:rPr>
                <w:sz w:val="16"/>
                <w:szCs w:val="16"/>
              </w:rPr>
            </w:pPr>
            <w:r w:rsidRPr="00DE0925">
              <w:rPr>
                <w:sz w:val="16"/>
                <w:szCs w:val="16"/>
              </w:rPr>
              <w:t>10,000,000.00</w:t>
            </w:r>
          </w:p>
        </w:tc>
        <w:tc>
          <w:tcPr>
            <w:tcW w:w="1516" w:type="dxa"/>
            <w:gridSpan w:val="2"/>
            <w:tcBorders>
              <w:top w:val="single" w:sz="4" w:space="0" w:color="auto"/>
              <w:bottom w:val="single" w:sz="12" w:space="0" w:color="auto"/>
            </w:tcBorders>
          </w:tcPr>
          <w:p w14:paraId="6D084892" w14:textId="77777777" w:rsidR="002A39E3" w:rsidRPr="00DE0925" w:rsidRDefault="002A39E3" w:rsidP="00F70582">
            <w:pPr>
              <w:rPr>
                <w:sz w:val="16"/>
                <w:szCs w:val="16"/>
              </w:rPr>
            </w:pPr>
          </w:p>
        </w:tc>
        <w:tc>
          <w:tcPr>
            <w:tcW w:w="843" w:type="dxa"/>
            <w:tcBorders>
              <w:top w:val="single" w:sz="4" w:space="0" w:color="auto"/>
              <w:bottom w:val="single" w:sz="12" w:space="0" w:color="auto"/>
            </w:tcBorders>
          </w:tcPr>
          <w:p w14:paraId="71D5050B" w14:textId="77777777" w:rsidR="002A39E3" w:rsidRPr="00DE0925" w:rsidRDefault="002A39E3" w:rsidP="00F70582">
            <w:pPr>
              <w:rPr>
                <w:sz w:val="16"/>
                <w:szCs w:val="16"/>
              </w:rPr>
            </w:pPr>
          </w:p>
        </w:tc>
        <w:tc>
          <w:tcPr>
            <w:tcW w:w="754" w:type="dxa"/>
            <w:gridSpan w:val="2"/>
            <w:tcBorders>
              <w:top w:val="single" w:sz="4" w:space="0" w:color="auto"/>
              <w:bottom w:val="single" w:sz="12" w:space="0" w:color="auto"/>
            </w:tcBorders>
          </w:tcPr>
          <w:p w14:paraId="142F6884" w14:textId="77777777" w:rsidR="002A39E3" w:rsidRPr="00DE0925" w:rsidRDefault="002A39E3" w:rsidP="00F70582">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79C94A9E" w14:textId="77777777" w:rsidR="002A39E3" w:rsidRPr="00DE0925" w:rsidRDefault="002A39E3" w:rsidP="00F70582">
            <w:pPr>
              <w:rPr>
                <w:sz w:val="16"/>
                <w:szCs w:val="16"/>
              </w:rPr>
            </w:pPr>
          </w:p>
        </w:tc>
        <w:tc>
          <w:tcPr>
            <w:tcW w:w="1223" w:type="dxa"/>
            <w:tcBorders>
              <w:top w:val="single" w:sz="4" w:space="0" w:color="auto"/>
              <w:bottom w:val="single" w:sz="12" w:space="0" w:color="auto"/>
              <w:right w:val="single" w:sz="4" w:space="0" w:color="auto"/>
            </w:tcBorders>
          </w:tcPr>
          <w:p w14:paraId="3A409838"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5B1C69E5" w14:textId="77777777" w:rsidR="002A39E3" w:rsidRPr="00DE0925" w:rsidRDefault="002A39E3" w:rsidP="00F70582">
            <w:pPr>
              <w:rPr>
                <w:sz w:val="16"/>
                <w:szCs w:val="16"/>
              </w:rPr>
            </w:pPr>
            <w:r w:rsidRPr="00DE0925">
              <w:rPr>
                <w:sz w:val="16"/>
                <w:szCs w:val="16"/>
              </w:rPr>
              <w:t>$10,000,000.00</w:t>
            </w:r>
          </w:p>
        </w:tc>
        <w:tc>
          <w:tcPr>
            <w:tcW w:w="1843" w:type="dxa"/>
            <w:tcBorders>
              <w:top w:val="single" w:sz="4" w:space="0" w:color="auto"/>
              <w:bottom w:val="single" w:sz="4" w:space="0" w:color="auto"/>
            </w:tcBorders>
            <w:tcMar>
              <w:top w:w="0" w:type="dxa"/>
              <w:left w:w="108" w:type="dxa"/>
              <w:bottom w:w="0" w:type="dxa"/>
              <w:right w:w="108" w:type="dxa"/>
            </w:tcMar>
          </w:tcPr>
          <w:p w14:paraId="6C174FF4" w14:textId="77777777" w:rsidR="002A39E3" w:rsidRPr="00DE0925" w:rsidRDefault="002A39E3" w:rsidP="00F70582">
            <w:pPr>
              <w:rPr>
                <w:sz w:val="16"/>
                <w:szCs w:val="16"/>
              </w:rPr>
            </w:pPr>
            <w:r w:rsidRPr="00DE0925">
              <w:rPr>
                <w:sz w:val="16"/>
                <w:szCs w:val="16"/>
              </w:rPr>
              <w:t>%</w:t>
            </w:r>
          </w:p>
        </w:tc>
      </w:tr>
      <w:tr w:rsidR="002A39E3" w:rsidRPr="00DE0925" w14:paraId="44D2BABA"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59E9E157" w14:textId="77777777" w:rsidR="002A39E3" w:rsidRPr="00DE0925" w:rsidRDefault="002A39E3" w:rsidP="00F70582">
            <w:pPr>
              <w:rPr>
                <w:b/>
                <w:bCs/>
                <w:sz w:val="16"/>
                <w:szCs w:val="16"/>
              </w:rPr>
            </w:pPr>
            <w:r w:rsidRPr="00DE0925">
              <w:rPr>
                <w:b/>
                <w:bCs/>
                <w:sz w:val="16"/>
                <w:szCs w:val="16"/>
              </w:rPr>
              <w:t>Total</w:t>
            </w:r>
          </w:p>
        </w:tc>
        <w:tc>
          <w:tcPr>
            <w:tcW w:w="1269" w:type="dxa"/>
            <w:gridSpan w:val="2"/>
            <w:tcBorders>
              <w:top w:val="single" w:sz="12" w:space="0" w:color="auto"/>
              <w:bottom w:val="single" w:sz="18" w:space="0" w:color="auto"/>
            </w:tcBorders>
            <w:tcMar>
              <w:top w:w="0" w:type="dxa"/>
              <w:left w:w="108" w:type="dxa"/>
              <w:bottom w:w="0" w:type="dxa"/>
              <w:right w:w="108" w:type="dxa"/>
            </w:tcMar>
          </w:tcPr>
          <w:p w14:paraId="7C769B6C" w14:textId="77777777" w:rsidR="002A39E3" w:rsidRPr="00DE0925" w:rsidRDefault="002A39E3" w:rsidP="00F70582">
            <w:pPr>
              <w:rPr>
                <w:b/>
                <w:bCs/>
                <w:sz w:val="16"/>
                <w:szCs w:val="16"/>
              </w:rPr>
            </w:pPr>
          </w:p>
        </w:tc>
        <w:tc>
          <w:tcPr>
            <w:tcW w:w="1468" w:type="dxa"/>
            <w:gridSpan w:val="2"/>
            <w:tcBorders>
              <w:top w:val="single" w:sz="12" w:space="0" w:color="auto"/>
              <w:bottom w:val="single" w:sz="18" w:space="0" w:color="auto"/>
            </w:tcBorders>
            <w:tcMar>
              <w:top w:w="0" w:type="dxa"/>
              <w:left w:w="108" w:type="dxa"/>
              <w:bottom w:w="0" w:type="dxa"/>
              <w:right w:w="108" w:type="dxa"/>
            </w:tcMar>
          </w:tcPr>
          <w:p w14:paraId="6D356FC0" w14:textId="77777777" w:rsidR="002A39E3" w:rsidRPr="00DE0925" w:rsidRDefault="002A39E3" w:rsidP="00F70582">
            <w:pPr>
              <w:rPr>
                <w:b/>
                <w:sz w:val="16"/>
                <w:szCs w:val="16"/>
              </w:rPr>
            </w:pPr>
          </w:p>
        </w:tc>
        <w:tc>
          <w:tcPr>
            <w:tcW w:w="1516" w:type="dxa"/>
            <w:gridSpan w:val="2"/>
            <w:tcBorders>
              <w:top w:val="single" w:sz="12" w:space="0" w:color="auto"/>
              <w:bottom w:val="single" w:sz="18" w:space="0" w:color="auto"/>
            </w:tcBorders>
          </w:tcPr>
          <w:p w14:paraId="360CF9C8"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2AD75030"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212C15CF"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334D6DE8"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3C7E309A" w14:textId="77777777" w:rsidR="002A39E3" w:rsidRPr="00DE0925" w:rsidRDefault="002A39E3" w:rsidP="00F70582">
            <w:pPr>
              <w:rPr>
                <w:b/>
                <w:sz w:val="16"/>
                <w:szCs w:val="16"/>
              </w:rPr>
            </w:pPr>
            <w:r w:rsidRPr="00DE0925">
              <w:rPr>
                <w:b/>
                <w:sz w:val="16"/>
                <w:szCs w:val="16"/>
              </w:rPr>
              <w:t>$3</w:t>
            </w:r>
            <w:r>
              <w:rPr>
                <w:b/>
                <w:sz w:val="16"/>
                <w:szCs w:val="16"/>
              </w:rPr>
              <w:t>0</w:t>
            </w:r>
            <w:r w:rsidRPr="00DE0925">
              <w:rPr>
                <w:b/>
                <w:sz w:val="16"/>
                <w:szCs w:val="16"/>
              </w:rPr>
              <w:t>,000,000.00</w:t>
            </w:r>
          </w:p>
        </w:tc>
        <w:tc>
          <w:tcPr>
            <w:tcW w:w="1843" w:type="dxa"/>
            <w:tcBorders>
              <w:top w:val="single" w:sz="12" w:space="0" w:color="auto"/>
              <w:bottom w:val="single" w:sz="18" w:space="0" w:color="auto"/>
            </w:tcBorders>
            <w:tcMar>
              <w:top w:w="0" w:type="dxa"/>
              <w:left w:w="108" w:type="dxa"/>
              <w:bottom w:w="0" w:type="dxa"/>
              <w:right w:w="108" w:type="dxa"/>
            </w:tcMar>
          </w:tcPr>
          <w:p w14:paraId="501B5D2F" w14:textId="77777777" w:rsidR="002A39E3" w:rsidRPr="00DE0925" w:rsidRDefault="002A39E3" w:rsidP="00F70582">
            <w:pPr>
              <w:rPr>
                <w:b/>
                <w:sz w:val="16"/>
                <w:szCs w:val="16"/>
              </w:rPr>
            </w:pPr>
            <w:r w:rsidRPr="00DE0925">
              <w:rPr>
                <w:b/>
                <w:sz w:val="16"/>
                <w:szCs w:val="16"/>
              </w:rPr>
              <w:t>%</w:t>
            </w:r>
          </w:p>
        </w:tc>
      </w:tr>
      <w:tr w:rsidR="002A39E3" w:rsidRPr="00DE0925" w14:paraId="1AABC56D"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63524590" w14:textId="77777777" w:rsidR="002A39E3" w:rsidRPr="00DE0925" w:rsidRDefault="002A39E3" w:rsidP="00F70582">
            <w:pPr>
              <w:rPr>
                <w:b/>
                <w:bCs/>
                <w:sz w:val="16"/>
                <w:szCs w:val="16"/>
              </w:rPr>
            </w:pPr>
            <w:r w:rsidRPr="00DE0925">
              <w:rPr>
                <w:b/>
                <w:bCs/>
                <w:sz w:val="16"/>
                <w:szCs w:val="16"/>
              </w:rPr>
              <w:t>Name/kind of investment item</w:t>
            </w:r>
          </w:p>
        </w:tc>
        <w:tc>
          <w:tcPr>
            <w:tcW w:w="1269" w:type="dxa"/>
            <w:gridSpan w:val="2"/>
            <w:tcBorders>
              <w:top w:val="single" w:sz="4" w:space="0" w:color="auto"/>
              <w:bottom w:val="single" w:sz="18" w:space="0" w:color="auto"/>
            </w:tcBorders>
            <w:tcMar>
              <w:top w:w="0" w:type="dxa"/>
              <w:left w:w="108" w:type="dxa"/>
              <w:bottom w:w="0" w:type="dxa"/>
              <w:right w:w="108" w:type="dxa"/>
            </w:tcMar>
          </w:tcPr>
          <w:p w14:paraId="664396E7" w14:textId="77777777" w:rsidR="002A39E3" w:rsidRPr="00DE0925" w:rsidRDefault="002A39E3" w:rsidP="00F70582">
            <w:pPr>
              <w:rPr>
                <w:b/>
                <w:bCs/>
                <w:sz w:val="16"/>
                <w:szCs w:val="16"/>
              </w:rPr>
            </w:pPr>
            <w:r w:rsidRPr="00DE0925">
              <w:rPr>
                <w:b/>
                <w:bCs/>
                <w:sz w:val="16"/>
                <w:szCs w:val="16"/>
              </w:rPr>
              <w:t>Security Identifier</w:t>
            </w:r>
          </w:p>
        </w:tc>
        <w:tc>
          <w:tcPr>
            <w:tcW w:w="1468" w:type="dxa"/>
            <w:gridSpan w:val="2"/>
            <w:tcBorders>
              <w:top w:val="single" w:sz="4" w:space="0" w:color="auto"/>
              <w:bottom w:val="single" w:sz="18" w:space="0" w:color="auto"/>
            </w:tcBorders>
            <w:tcMar>
              <w:top w:w="0" w:type="dxa"/>
              <w:left w:w="108" w:type="dxa"/>
              <w:bottom w:w="0" w:type="dxa"/>
              <w:right w:w="108" w:type="dxa"/>
            </w:tcMar>
          </w:tcPr>
          <w:p w14:paraId="4A0103D8" w14:textId="77777777" w:rsidR="002A39E3" w:rsidRPr="00DE0925" w:rsidRDefault="002A39E3" w:rsidP="00F70582">
            <w:pPr>
              <w:rPr>
                <w:b/>
                <w:sz w:val="16"/>
                <w:szCs w:val="16"/>
              </w:rPr>
            </w:pPr>
            <w:r w:rsidRPr="00DE0925">
              <w:rPr>
                <w:b/>
                <w:bCs/>
                <w:sz w:val="16"/>
                <w:szCs w:val="16"/>
              </w:rPr>
              <w:t>Units held</w:t>
            </w:r>
          </w:p>
        </w:tc>
        <w:tc>
          <w:tcPr>
            <w:tcW w:w="1516" w:type="dxa"/>
            <w:gridSpan w:val="2"/>
            <w:tcBorders>
              <w:top w:val="single" w:sz="4" w:space="0" w:color="auto"/>
              <w:bottom w:val="single" w:sz="18" w:space="0" w:color="auto"/>
            </w:tcBorders>
          </w:tcPr>
          <w:p w14:paraId="23FD4CD6" w14:textId="77777777" w:rsidR="002A39E3" w:rsidRPr="00DE0925" w:rsidRDefault="002A39E3" w:rsidP="00F70582">
            <w:pPr>
              <w:rPr>
                <w:b/>
                <w:sz w:val="16"/>
                <w:szCs w:val="16"/>
              </w:rPr>
            </w:pPr>
            <w:r w:rsidRPr="00DE0925">
              <w:rPr>
                <w:b/>
                <w:sz w:val="16"/>
                <w:szCs w:val="16"/>
              </w:rPr>
              <w:t>Maturity</w:t>
            </w:r>
          </w:p>
        </w:tc>
        <w:tc>
          <w:tcPr>
            <w:tcW w:w="1276" w:type="dxa"/>
            <w:gridSpan w:val="2"/>
            <w:tcBorders>
              <w:top w:val="single" w:sz="4" w:space="0" w:color="auto"/>
              <w:bottom w:val="single" w:sz="18" w:space="0" w:color="auto"/>
            </w:tcBorders>
          </w:tcPr>
          <w:p w14:paraId="47797FA4" w14:textId="77777777" w:rsidR="002A39E3" w:rsidRPr="00DE0925" w:rsidRDefault="002A39E3" w:rsidP="00F70582">
            <w:pPr>
              <w:rPr>
                <w:b/>
                <w:sz w:val="16"/>
                <w:szCs w:val="16"/>
              </w:rPr>
            </w:pPr>
            <w:r w:rsidRPr="00DE0925">
              <w:rPr>
                <w:b/>
                <w:sz w:val="16"/>
                <w:szCs w:val="16"/>
              </w:rPr>
              <w:t>Face value</w:t>
            </w:r>
          </w:p>
        </w:tc>
        <w:tc>
          <w:tcPr>
            <w:tcW w:w="1028" w:type="dxa"/>
            <w:gridSpan w:val="2"/>
            <w:tcBorders>
              <w:top w:val="single" w:sz="4" w:space="0" w:color="auto"/>
              <w:bottom w:val="single" w:sz="18" w:space="0" w:color="auto"/>
            </w:tcBorders>
            <w:tcMar>
              <w:top w:w="0" w:type="dxa"/>
              <w:left w:w="108" w:type="dxa"/>
              <w:bottom w:w="0" w:type="dxa"/>
              <w:right w:w="108" w:type="dxa"/>
            </w:tcMar>
          </w:tcPr>
          <w:p w14:paraId="1B227E83" w14:textId="77777777" w:rsidR="002A39E3" w:rsidRPr="00DE0925" w:rsidRDefault="002A39E3" w:rsidP="00F70582">
            <w:pPr>
              <w:rPr>
                <w:b/>
                <w:sz w:val="16"/>
                <w:szCs w:val="16"/>
              </w:rPr>
            </w:pPr>
            <w:r w:rsidRPr="00DE0925">
              <w:rPr>
                <w:b/>
                <w:sz w:val="16"/>
                <w:szCs w:val="16"/>
              </w:rPr>
              <w:t>Coupon</w:t>
            </w:r>
          </w:p>
        </w:tc>
        <w:tc>
          <w:tcPr>
            <w:tcW w:w="707" w:type="dxa"/>
            <w:gridSpan w:val="2"/>
            <w:tcBorders>
              <w:top w:val="single" w:sz="4" w:space="0" w:color="auto"/>
              <w:bottom w:val="single" w:sz="18" w:space="0" w:color="auto"/>
            </w:tcBorders>
          </w:tcPr>
          <w:p w14:paraId="155C2974"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0BAF1405"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569FC53A"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4" w:space="0" w:color="auto"/>
              <w:bottom w:val="single" w:sz="18" w:space="0" w:color="auto"/>
            </w:tcBorders>
            <w:tcMar>
              <w:top w:w="0" w:type="dxa"/>
              <w:left w:w="108" w:type="dxa"/>
              <w:bottom w:w="0" w:type="dxa"/>
              <w:right w:w="108" w:type="dxa"/>
            </w:tcMar>
          </w:tcPr>
          <w:p w14:paraId="4A5E31DD" w14:textId="77777777" w:rsidR="002A39E3" w:rsidRPr="00DE0925" w:rsidRDefault="002A39E3" w:rsidP="00F70582">
            <w:pPr>
              <w:rPr>
                <w:b/>
                <w:sz w:val="16"/>
                <w:szCs w:val="16"/>
              </w:rPr>
            </w:pPr>
            <w:r w:rsidRPr="00DE0925">
              <w:rPr>
                <w:b/>
                <w:sz w:val="16"/>
                <w:szCs w:val="16"/>
              </w:rPr>
              <w:t>Weighting</w:t>
            </w:r>
          </w:p>
        </w:tc>
      </w:tr>
      <w:tr w:rsidR="002A39E3" w:rsidRPr="00DE0925" w14:paraId="23BA0D7C" w14:textId="77777777" w:rsidTr="00F70582">
        <w:trPr>
          <w:trHeight w:val="322"/>
        </w:trPr>
        <w:tc>
          <w:tcPr>
            <w:tcW w:w="3119" w:type="dxa"/>
            <w:gridSpan w:val="4"/>
            <w:tcBorders>
              <w:top w:val="single" w:sz="18" w:space="0" w:color="auto"/>
              <w:bottom w:val="single" w:sz="4" w:space="0" w:color="auto"/>
            </w:tcBorders>
            <w:tcMar>
              <w:top w:w="0" w:type="dxa"/>
              <w:left w:w="108" w:type="dxa"/>
              <w:bottom w:w="0" w:type="dxa"/>
              <w:right w:w="108" w:type="dxa"/>
            </w:tcMar>
            <w:hideMark/>
          </w:tcPr>
          <w:p w14:paraId="4AC1ADC7" w14:textId="77777777" w:rsidR="002A39E3" w:rsidRPr="00DE0925" w:rsidRDefault="002A39E3" w:rsidP="00F70582">
            <w:pPr>
              <w:rPr>
                <w:sz w:val="16"/>
                <w:szCs w:val="16"/>
              </w:rPr>
            </w:pPr>
            <w:r w:rsidRPr="00DE0925">
              <w:rPr>
                <w:b/>
                <w:sz w:val="16"/>
                <w:szCs w:val="16"/>
              </w:rPr>
              <w:t>Fixed Income</w:t>
            </w:r>
          </w:p>
        </w:tc>
        <w:tc>
          <w:tcPr>
            <w:tcW w:w="1319" w:type="dxa"/>
            <w:tcBorders>
              <w:top w:val="single" w:sz="18" w:space="0" w:color="auto"/>
              <w:bottom w:val="single" w:sz="4" w:space="0" w:color="auto"/>
            </w:tcBorders>
            <w:tcMar>
              <w:top w:w="0" w:type="dxa"/>
              <w:left w:w="108" w:type="dxa"/>
              <w:bottom w:w="0" w:type="dxa"/>
              <w:right w:w="108" w:type="dxa"/>
            </w:tcMar>
          </w:tcPr>
          <w:p w14:paraId="03349A91"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141A560A" w14:textId="77777777" w:rsidR="002A39E3" w:rsidRPr="00DE0925" w:rsidRDefault="002A39E3" w:rsidP="00F70582">
            <w:pPr>
              <w:rPr>
                <w:sz w:val="16"/>
                <w:szCs w:val="16"/>
              </w:rPr>
            </w:pPr>
          </w:p>
        </w:tc>
        <w:tc>
          <w:tcPr>
            <w:tcW w:w="1276" w:type="dxa"/>
            <w:gridSpan w:val="2"/>
            <w:tcBorders>
              <w:top w:val="single" w:sz="18" w:space="0" w:color="auto"/>
              <w:bottom w:val="single" w:sz="4" w:space="0" w:color="auto"/>
            </w:tcBorders>
          </w:tcPr>
          <w:p w14:paraId="51637B4D" w14:textId="77777777" w:rsidR="002A39E3" w:rsidRPr="00DE0925" w:rsidRDefault="002A39E3" w:rsidP="00F70582">
            <w:pPr>
              <w:rPr>
                <w:sz w:val="16"/>
                <w:szCs w:val="16"/>
              </w:rPr>
            </w:pPr>
          </w:p>
        </w:tc>
        <w:tc>
          <w:tcPr>
            <w:tcW w:w="1650" w:type="dxa"/>
            <w:gridSpan w:val="3"/>
            <w:tcBorders>
              <w:top w:val="single" w:sz="18" w:space="0" w:color="auto"/>
              <w:bottom w:val="single" w:sz="4" w:space="0" w:color="auto"/>
            </w:tcBorders>
            <w:tcMar>
              <w:top w:w="0" w:type="dxa"/>
              <w:left w:w="108" w:type="dxa"/>
              <w:bottom w:w="0" w:type="dxa"/>
              <w:right w:w="108" w:type="dxa"/>
            </w:tcMar>
          </w:tcPr>
          <w:p w14:paraId="707E1641"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3028C149"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268BE929"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607C82FD" w14:textId="77777777" w:rsidR="002A39E3" w:rsidRPr="00DE0925" w:rsidRDefault="002A39E3" w:rsidP="00F70582">
            <w:pPr>
              <w:rPr>
                <w:sz w:val="16"/>
                <w:szCs w:val="16"/>
              </w:rPr>
            </w:pPr>
          </w:p>
        </w:tc>
      </w:tr>
      <w:tr w:rsidR="002A39E3" w:rsidRPr="00DE0925" w14:paraId="21E8A1E1" w14:textId="77777777" w:rsidTr="00F70582">
        <w:tc>
          <w:tcPr>
            <w:tcW w:w="1701" w:type="dxa"/>
            <w:tcBorders>
              <w:top w:val="single" w:sz="4" w:space="0" w:color="auto"/>
              <w:bottom w:val="single" w:sz="4" w:space="0" w:color="auto"/>
            </w:tcBorders>
            <w:tcMar>
              <w:top w:w="0" w:type="dxa"/>
              <w:left w:w="108" w:type="dxa"/>
              <w:bottom w:w="0" w:type="dxa"/>
              <w:right w:w="108" w:type="dxa"/>
            </w:tcMar>
          </w:tcPr>
          <w:p w14:paraId="33A42544" w14:textId="77777777" w:rsidR="002A39E3" w:rsidRPr="00DE0925" w:rsidRDefault="002A39E3" w:rsidP="00F70582">
            <w:pPr>
              <w:rPr>
                <w:bCs/>
                <w:sz w:val="16"/>
                <w:szCs w:val="16"/>
              </w:rPr>
            </w:pPr>
            <w:r w:rsidRPr="00DE0925">
              <w:rPr>
                <w:bCs/>
                <w:sz w:val="16"/>
                <w:szCs w:val="16"/>
              </w:rPr>
              <w:t>Australian Government Bond</w:t>
            </w:r>
          </w:p>
        </w:tc>
        <w:tc>
          <w:tcPr>
            <w:tcW w:w="2737" w:type="dxa"/>
            <w:gridSpan w:val="4"/>
            <w:tcBorders>
              <w:top w:val="single" w:sz="4" w:space="0" w:color="auto"/>
              <w:bottom w:val="single" w:sz="4" w:space="0" w:color="auto"/>
            </w:tcBorders>
            <w:tcMar>
              <w:top w:w="0" w:type="dxa"/>
              <w:left w:w="108" w:type="dxa"/>
              <w:bottom w:w="0" w:type="dxa"/>
              <w:right w:w="108" w:type="dxa"/>
            </w:tcMar>
          </w:tcPr>
          <w:p w14:paraId="3B3665AA" w14:textId="77777777" w:rsidR="002A39E3" w:rsidRPr="00DE0925" w:rsidRDefault="002A39E3" w:rsidP="00F70582">
            <w:pPr>
              <w:tabs>
                <w:tab w:val="center" w:pos="1402"/>
              </w:tabs>
              <w:rPr>
                <w:bCs/>
                <w:sz w:val="16"/>
                <w:szCs w:val="16"/>
              </w:rPr>
            </w:pPr>
            <w:r w:rsidRPr="00DE0925">
              <w:rPr>
                <w:bCs/>
                <w:sz w:val="16"/>
                <w:szCs w:val="16"/>
              </w:rPr>
              <w:t>AU0000145</w:t>
            </w:r>
            <w:r w:rsidRPr="00DE0925">
              <w:rPr>
                <w:bCs/>
                <w:sz w:val="16"/>
                <w:szCs w:val="16"/>
              </w:rPr>
              <w:tab/>
              <w:t xml:space="preserve">             </w:t>
            </w:r>
            <w:r w:rsidRPr="00DE0925">
              <w:rPr>
                <w:sz w:val="16"/>
                <w:szCs w:val="16"/>
              </w:rPr>
              <w:t>45,300</w:t>
            </w:r>
          </w:p>
        </w:tc>
        <w:tc>
          <w:tcPr>
            <w:tcW w:w="1516" w:type="dxa"/>
            <w:gridSpan w:val="2"/>
            <w:tcBorders>
              <w:top w:val="single" w:sz="4" w:space="0" w:color="auto"/>
              <w:bottom w:val="single" w:sz="4" w:space="0" w:color="auto"/>
            </w:tcBorders>
          </w:tcPr>
          <w:p w14:paraId="30E6FAEF" w14:textId="77777777" w:rsidR="002A39E3" w:rsidRPr="00DE0925" w:rsidRDefault="002A39E3" w:rsidP="00F70582">
            <w:pPr>
              <w:rPr>
                <w:sz w:val="16"/>
                <w:szCs w:val="16"/>
              </w:rPr>
            </w:pPr>
            <w:r w:rsidRPr="00DE0925">
              <w:rPr>
                <w:sz w:val="16"/>
                <w:szCs w:val="16"/>
              </w:rPr>
              <w:t xml:space="preserve">Aug 1, 2021 </w:t>
            </w:r>
          </w:p>
        </w:tc>
        <w:tc>
          <w:tcPr>
            <w:tcW w:w="1276" w:type="dxa"/>
            <w:gridSpan w:val="2"/>
            <w:tcBorders>
              <w:top w:val="single" w:sz="4" w:space="0" w:color="auto"/>
              <w:bottom w:val="single" w:sz="4" w:space="0" w:color="auto"/>
            </w:tcBorders>
          </w:tcPr>
          <w:p w14:paraId="283563F0" w14:textId="77777777" w:rsidR="002A39E3" w:rsidRPr="00DE0925" w:rsidRDefault="002A39E3" w:rsidP="00F70582">
            <w:pPr>
              <w:rPr>
                <w:sz w:val="16"/>
                <w:szCs w:val="16"/>
              </w:rPr>
            </w:pPr>
            <w:r w:rsidRPr="00DE0925">
              <w:rPr>
                <w:sz w:val="16"/>
                <w:szCs w:val="16"/>
              </w:rPr>
              <w:t>45,300,000</w:t>
            </w:r>
          </w:p>
        </w:tc>
        <w:tc>
          <w:tcPr>
            <w:tcW w:w="1028" w:type="dxa"/>
            <w:gridSpan w:val="2"/>
            <w:tcBorders>
              <w:top w:val="single" w:sz="4" w:space="0" w:color="auto"/>
              <w:bottom w:val="single" w:sz="4" w:space="0" w:color="auto"/>
            </w:tcBorders>
            <w:tcMar>
              <w:top w:w="0" w:type="dxa"/>
              <w:left w:w="108" w:type="dxa"/>
              <w:bottom w:w="0" w:type="dxa"/>
              <w:right w:w="108" w:type="dxa"/>
            </w:tcMar>
          </w:tcPr>
          <w:p w14:paraId="2347C21C" w14:textId="77777777" w:rsidR="002A39E3" w:rsidRPr="00DE0925" w:rsidRDefault="002A39E3" w:rsidP="00F70582">
            <w:pPr>
              <w:rPr>
                <w:sz w:val="16"/>
                <w:szCs w:val="16"/>
              </w:rPr>
            </w:pPr>
            <w:r w:rsidRPr="00DE0925">
              <w:rPr>
                <w:sz w:val="16"/>
                <w:szCs w:val="16"/>
              </w:rPr>
              <w:t xml:space="preserve">1.50%, 6 months </w:t>
            </w:r>
          </w:p>
        </w:tc>
        <w:tc>
          <w:tcPr>
            <w:tcW w:w="707" w:type="dxa"/>
            <w:gridSpan w:val="2"/>
            <w:tcBorders>
              <w:top w:val="single" w:sz="4" w:space="0" w:color="auto"/>
              <w:bottom w:val="single" w:sz="4" w:space="0" w:color="auto"/>
            </w:tcBorders>
          </w:tcPr>
          <w:p w14:paraId="12EE706F" w14:textId="77777777" w:rsidR="002A39E3" w:rsidRPr="00DE0925" w:rsidRDefault="002A39E3" w:rsidP="00F70582">
            <w:pPr>
              <w:rPr>
                <w:sz w:val="16"/>
                <w:szCs w:val="16"/>
              </w:rPr>
            </w:pPr>
          </w:p>
        </w:tc>
        <w:tc>
          <w:tcPr>
            <w:tcW w:w="1223" w:type="dxa"/>
            <w:tcBorders>
              <w:top w:val="single" w:sz="4" w:space="0" w:color="auto"/>
              <w:bottom w:val="single" w:sz="4" w:space="0" w:color="auto"/>
              <w:right w:val="single" w:sz="4" w:space="0" w:color="auto"/>
            </w:tcBorders>
          </w:tcPr>
          <w:p w14:paraId="605C1802"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4811DBB8" w14:textId="77777777" w:rsidR="002A39E3" w:rsidRPr="00DE0925" w:rsidRDefault="002A39E3" w:rsidP="00F70582">
            <w:pPr>
              <w:rPr>
                <w:sz w:val="16"/>
                <w:szCs w:val="16"/>
              </w:rPr>
            </w:pPr>
            <w:r w:rsidRPr="00DE0925">
              <w:rPr>
                <w:sz w:val="16"/>
                <w:szCs w:val="16"/>
              </w:rPr>
              <w:t>$45,149,000</w:t>
            </w:r>
          </w:p>
        </w:tc>
        <w:tc>
          <w:tcPr>
            <w:tcW w:w="1843" w:type="dxa"/>
            <w:tcBorders>
              <w:top w:val="single" w:sz="4" w:space="0" w:color="auto"/>
              <w:bottom w:val="single" w:sz="4" w:space="0" w:color="auto"/>
            </w:tcBorders>
            <w:tcMar>
              <w:top w:w="0" w:type="dxa"/>
              <w:left w:w="108" w:type="dxa"/>
              <w:bottom w:w="0" w:type="dxa"/>
              <w:right w:w="108" w:type="dxa"/>
            </w:tcMar>
          </w:tcPr>
          <w:p w14:paraId="7026F742" w14:textId="77777777" w:rsidR="002A39E3" w:rsidRPr="00DE0925" w:rsidRDefault="002A39E3" w:rsidP="00F70582">
            <w:pPr>
              <w:rPr>
                <w:sz w:val="16"/>
                <w:szCs w:val="16"/>
              </w:rPr>
            </w:pPr>
            <w:r w:rsidRPr="00DE0925">
              <w:rPr>
                <w:sz w:val="16"/>
                <w:szCs w:val="16"/>
              </w:rPr>
              <w:t>%</w:t>
            </w:r>
          </w:p>
        </w:tc>
      </w:tr>
      <w:tr w:rsidR="002A39E3" w:rsidRPr="00DE0925" w14:paraId="027EC39D" w14:textId="77777777" w:rsidTr="00F70582">
        <w:tc>
          <w:tcPr>
            <w:tcW w:w="1701" w:type="dxa"/>
            <w:tcBorders>
              <w:top w:val="single" w:sz="4" w:space="0" w:color="auto"/>
              <w:bottom w:val="single" w:sz="4" w:space="0" w:color="auto"/>
            </w:tcBorders>
            <w:tcMar>
              <w:top w:w="0" w:type="dxa"/>
              <w:left w:w="108" w:type="dxa"/>
              <w:bottom w:w="0" w:type="dxa"/>
              <w:right w:w="108" w:type="dxa"/>
            </w:tcMar>
          </w:tcPr>
          <w:p w14:paraId="7496F4CD" w14:textId="77777777" w:rsidR="002A39E3" w:rsidRPr="00DE0925" w:rsidRDefault="002A39E3" w:rsidP="00F70582">
            <w:pPr>
              <w:rPr>
                <w:bCs/>
                <w:sz w:val="16"/>
                <w:szCs w:val="16"/>
              </w:rPr>
            </w:pPr>
            <w:r w:rsidRPr="00DE0925">
              <w:rPr>
                <w:bCs/>
                <w:sz w:val="16"/>
                <w:szCs w:val="16"/>
              </w:rPr>
              <w:t>New Zealand Government Bond</w:t>
            </w:r>
          </w:p>
        </w:tc>
        <w:tc>
          <w:tcPr>
            <w:tcW w:w="1418" w:type="dxa"/>
            <w:gridSpan w:val="3"/>
            <w:tcBorders>
              <w:top w:val="single" w:sz="4" w:space="0" w:color="auto"/>
              <w:bottom w:val="single" w:sz="4" w:space="0" w:color="auto"/>
            </w:tcBorders>
            <w:tcMar>
              <w:top w:w="0" w:type="dxa"/>
              <w:left w:w="108" w:type="dxa"/>
              <w:bottom w:w="0" w:type="dxa"/>
              <w:right w:w="108" w:type="dxa"/>
            </w:tcMar>
          </w:tcPr>
          <w:p w14:paraId="5E3A41ED" w14:textId="77777777" w:rsidR="002A39E3" w:rsidRPr="00DE0925" w:rsidRDefault="002A39E3" w:rsidP="00F70582">
            <w:pPr>
              <w:rPr>
                <w:bCs/>
                <w:sz w:val="16"/>
                <w:szCs w:val="16"/>
              </w:rPr>
            </w:pPr>
            <w:r w:rsidRPr="00DE0925">
              <w:rPr>
                <w:bCs/>
                <w:sz w:val="16"/>
                <w:szCs w:val="16"/>
              </w:rPr>
              <w:t>NZ0000150</w:t>
            </w:r>
          </w:p>
        </w:tc>
        <w:tc>
          <w:tcPr>
            <w:tcW w:w="1319" w:type="dxa"/>
            <w:tcBorders>
              <w:top w:val="single" w:sz="4" w:space="0" w:color="auto"/>
              <w:bottom w:val="single" w:sz="4" w:space="0" w:color="auto"/>
            </w:tcBorders>
            <w:tcMar>
              <w:top w:w="0" w:type="dxa"/>
              <w:left w:w="108" w:type="dxa"/>
              <w:bottom w:w="0" w:type="dxa"/>
              <w:right w:w="108" w:type="dxa"/>
            </w:tcMar>
          </w:tcPr>
          <w:p w14:paraId="7BFFF8D6" w14:textId="77777777" w:rsidR="002A39E3" w:rsidRPr="00DE0925" w:rsidRDefault="002A39E3" w:rsidP="00F70582">
            <w:pPr>
              <w:rPr>
                <w:sz w:val="16"/>
                <w:szCs w:val="16"/>
              </w:rPr>
            </w:pPr>
            <w:r w:rsidRPr="00DE0925">
              <w:rPr>
                <w:sz w:val="16"/>
                <w:szCs w:val="16"/>
              </w:rPr>
              <w:t>22,875</w:t>
            </w:r>
          </w:p>
        </w:tc>
        <w:tc>
          <w:tcPr>
            <w:tcW w:w="1516" w:type="dxa"/>
            <w:gridSpan w:val="2"/>
            <w:tcBorders>
              <w:top w:val="single" w:sz="4" w:space="0" w:color="auto"/>
              <w:bottom w:val="single" w:sz="4" w:space="0" w:color="auto"/>
            </w:tcBorders>
          </w:tcPr>
          <w:p w14:paraId="25FA1E7B" w14:textId="77777777" w:rsidR="002A39E3" w:rsidRPr="00DE0925" w:rsidRDefault="002A39E3" w:rsidP="00F70582">
            <w:pPr>
              <w:rPr>
                <w:sz w:val="16"/>
                <w:szCs w:val="16"/>
              </w:rPr>
            </w:pPr>
            <w:r w:rsidRPr="00DE0925">
              <w:rPr>
                <w:sz w:val="16"/>
                <w:szCs w:val="16"/>
              </w:rPr>
              <w:t xml:space="preserve">Sep 30, 2022 </w:t>
            </w:r>
          </w:p>
        </w:tc>
        <w:tc>
          <w:tcPr>
            <w:tcW w:w="1276" w:type="dxa"/>
            <w:gridSpan w:val="2"/>
            <w:tcBorders>
              <w:top w:val="single" w:sz="4" w:space="0" w:color="auto"/>
              <w:bottom w:val="single" w:sz="4" w:space="0" w:color="auto"/>
            </w:tcBorders>
          </w:tcPr>
          <w:p w14:paraId="07702E87" w14:textId="77777777" w:rsidR="002A39E3" w:rsidRPr="00DE0925" w:rsidRDefault="002A39E3" w:rsidP="00F70582">
            <w:pPr>
              <w:rPr>
                <w:sz w:val="16"/>
                <w:szCs w:val="16"/>
              </w:rPr>
            </w:pPr>
            <w:r w:rsidRPr="00DE0925">
              <w:rPr>
                <w:sz w:val="16"/>
                <w:szCs w:val="16"/>
              </w:rPr>
              <w:t>22,875,000</w:t>
            </w:r>
          </w:p>
        </w:tc>
        <w:tc>
          <w:tcPr>
            <w:tcW w:w="1028" w:type="dxa"/>
            <w:gridSpan w:val="2"/>
            <w:tcBorders>
              <w:top w:val="single" w:sz="4" w:space="0" w:color="auto"/>
              <w:bottom w:val="single" w:sz="4" w:space="0" w:color="auto"/>
            </w:tcBorders>
            <w:tcMar>
              <w:top w:w="0" w:type="dxa"/>
              <w:left w:w="108" w:type="dxa"/>
              <w:bottom w:w="0" w:type="dxa"/>
              <w:right w:w="108" w:type="dxa"/>
            </w:tcMar>
          </w:tcPr>
          <w:p w14:paraId="75B59C59" w14:textId="77777777" w:rsidR="002A39E3" w:rsidRPr="00DE0925" w:rsidRDefault="002A39E3" w:rsidP="00F70582">
            <w:pPr>
              <w:rPr>
                <w:sz w:val="16"/>
                <w:szCs w:val="16"/>
              </w:rPr>
            </w:pPr>
            <w:r w:rsidRPr="00DE0925">
              <w:rPr>
                <w:sz w:val="16"/>
                <w:szCs w:val="16"/>
              </w:rPr>
              <w:t>1.75% 6 months</w:t>
            </w:r>
          </w:p>
        </w:tc>
        <w:tc>
          <w:tcPr>
            <w:tcW w:w="707" w:type="dxa"/>
            <w:gridSpan w:val="2"/>
            <w:tcBorders>
              <w:top w:val="single" w:sz="4" w:space="0" w:color="auto"/>
              <w:bottom w:val="single" w:sz="4" w:space="0" w:color="auto"/>
            </w:tcBorders>
          </w:tcPr>
          <w:p w14:paraId="533C0215" w14:textId="77777777" w:rsidR="002A39E3" w:rsidRPr="00DE0925" w:rsidRDefault="002A39E3" w:rsidP="00F70582">
            <w:pPr>
              <w:rPr>
                <w:sz w:val="16"/>
                <w:szCs w:val="16"/>
              </w:rPr>
            </w:pPr>
          </w:p>
        </w:tc>
        <w:tc>
          <w:tcPr>
            <w:tcW w:w="1223" w:type="dxa"/>
            <w:tcBorders>
              <w:top w:val="single" w:sz="4" w:space="0" w:color="auto"/>
              <w:bottom w:val="single" w:sz="4" w:space="0" w:color="auto"/>
              <w:right w:val="single" w:sz="4" w:space="0" w:color="auto"/>
            </w:tcBorders>
          </w:tcPr>
          <w:p w14:paraId="4028D44B"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796513F7" w14:textId="77777777" w:rsidR="002A39E3" w:rsidRPr="00DE0925" w:rsidRDefault="002A39E3" w:rsidP="00F70582">
            <w:pPr>
              <w:rPr>
                <w:sz w:val="16"/>
                <w:szCs w:val="16"/>
              </w:rPr>
            </w:pPr>
            <w:r w:rsidRPr="00DE0925">
              <w:rPr>
                <w:sz w:val="16"/>
                <w:szCs w:val="16"/>
              </w:rPr>
              <w:t>$29,819,000</w:t>
            </w:r>
          </w:p>
        </w:tc>
        <w:tc>
          <w:tcPr>
            <w:tcW w:w="1843" w:type="dxa"/>
            <w:tcBorders>
              <w:top w:val="single" w:sz="4" w:space="0" w:color="auto"/>
              <w:bottom w:val="single" w:sz="4" w:space="0" w:color="auto"/>
            </w:tcBorders>
            <w:tcMar>
              <w:top w:w="0" w:type="dxa"/>
              <w:left w:w="108" w:type="dxa"/>
              <w:bottom w:w="0" w:type="dxa"/>
              <w:right w:w="108" w:type="dxa"/>
            </w:tcMar>
          </w:tcPr>
          <w:p w14:paraId="35BBD8F3" w14:textId="77777777" w:rsidR="002A39E3" w:rsidRPr="00DE0925" w:rsidRDefault="002A39E3" w:rsidP="00F70582">
            <w:pPr>
              <w:rPr>
                <w:sz w:val="16"/>
                <w:szCs w:val="16"/>
              </w:rPr>
            </w:pPr>
            <w:r w:rsidRPr="00DE0925">
              <w:rPr>
                <w:sz w:val="16"/>
                <w:szCs w:val="16"/>
              </w:rPr>
              <w:t>%</w:t>
            </w:r>
          </w:p>
        </w:tc>
      </w:tr>
      <w:tr w:rsidR="002A39E3" w:rsidRPr="00DE0925" w14:paraId="16D0B55A"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54230FA3" w14:textId="77777777" w:rsidR="002A39E3" w:rsidRPr="00DE0925" w:rsidRDefault="002A39E3" w:rsidP="00F70582">
            <w:pPr>
              <w:rPr>
                <w:bCs/>
                <w:sz w:val="16"/>
                <w:szCs w:val="16"/>
              </w:rPr>
            </w:pPr>
            <w:r w:rsidRPr="00DE0925">
              <w:rPr>
                <w:bCs/>
                <w:sz w:val="16"/>
                <w:szCs w:val="16"/>
              </w:rPr>
              <w:t>XYZ Bank of Australian Bond</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601BC37F" w14:textId="77777777" w:rsidR="002A39E3" w:rsidRPr="00DE0925" w:rsidRDefault="002A39E3" w:rsidP="00F70582">
            <w:pPr>
              <w:rPr>
                <w:bCs/>
                <w:sz w:val="16"/>
                <w:szCs w:val="16"/>
              </w:rPr>
            </w:pPr>
            <w:r w:rsidRPr="00DE0925">
              <w:rPr>
                <w:bCs/>
                <w:sz w:val="16"/>
                <w:szCs w:val="16"/>
              </w:rPr>
              <w:t>AU0000170</w:t>
            </w:r>
          </w:p>
        </w:tc>
        <w:tc>
          <w:tcPr>
            <w:tcW w:w="1319" w:type="dxa"/>
            <w:tcBorders>
              <w:top w:val="single" w:sz="4" w:space="0" w:color="auto"/>
              <w:bottom w:val="single" w:sz="18" w:space="0" w:color="auto"/>
            </w:tcBorders>
            <w:tcMar>
              <w:top w:w="0" w:type="dxa"/>
              <w:left w:w="108" w:type="dxa"/>
              <w:bottom w:w="0" w:type="dxa"/>
              <w:right w:w="108" w:type="dxa"/>
            </w:tcMar>
          </w:tcPr>
          <w:p w14:paraId="2427C378" w14:textId="77777777" w:rsidR="002A39E3" w:rsidRPr="00DE0925" w:rsidRDefault="002A39E3" w:rsidP="00F70582">
            <w:pPr>
              <w:rPr>
                <w:sz w:val="16"/>
                <w:szCs w:val="16"/>
              </w:rPr>
            </w:pPr>
            <w:r w:rsidRPr="00DE0925">
              <w:rPr>
                <w:sz w:val="16"/>
                <w:szCs w:val="16"/>
              </w:rPr>
              <w:t>59,216</w:t>
            </w:r>
          </w:p>
        </w:tc>
        <w:tc>
          <w:tcPr>
            <w:tcW w:w="1516" w:type="dxa"/>
            <w:gridSpan w:val="2"/>
            <w:tcBorders>
              <w:top w:val="single" w:sz="4" w:space="0" w:color="auto"/>
              <w:bottom w:val="single" w:sz="18" w:space="0" w:color="auto"/>
            </w:tcBorders>
          </w:tcPr>
          <w:p w14:paraId="24828E63" w14:textId="77777777" w:rsidR="002A39E3" w:rsidRPr="00DE0925" w:rsidRDefault="002A39E3" w:rsidP="00F70582">
            <w:pPr>
              <w:rPr>
                <w:sz w:val="16"/>
                <w:szCs w:val="16"/>
              </w:rPr>
            </w:pPr>
            <w:r w:rsidRPr="00DE0925">
              <w:rPr>
                <w:sz w:val="16"/>
                <w:szCs w:val="16"/>
              </w:rPr>
              <w:t xml:space="preserve">Dec 1, 2048 </w:t>
            </w:r>
          </w:p>
        </w:tc>
        <w:tc>
          <w:tcPr>
            <w:tcW w:w="1276" w:type="dxa"/>
            <w:gridSpan w:val="2"/>
            <w:tcBorders>
              <w:top w:val="single" w:sz="4" w:space="0" w:color="auto"/>
              <w:bottom w:val="single" w:sz="18" w:space="0" w:color="auto"/>
            </w:tcBorders>
          </w:tcPr>
          <w:p w14:paraId="3F9D43DB" w14:textId="77777777" w:rsidR="002A39E3" w:rsidRPr="00DE0925" w:rsidRDefault="002A39E3" w:rsidP="00F70582">
            <w:pPr>
              <w:rPr>
                <w:sz w:val="16"/>
                <w:szCs w:val="16"/>
              </w:rPr>
            </w:pPr>
            <w:r w:rsidRPr="00DE0925">
              <w:rPr>
                <w:sz w:val="16"/>
                <w:szCs w:val="16"/>
              </w:rPr>
              <w:t>59,216,000</w:t>
            </w:r>
          </w:p>
        </w:tc>
        <w:tc>
          <w:tcPr>
            <w:tcW w:w="1028" w:type="dxa"/>
            <w:gridSpan w:val="2"/>
            <w:tcBorders>
              <w:top w:val="single" w:sz="4" w:space="0" w:color="auto"/>
              <w:bottom w:val="single" w:sz="18" w:space="0" w:color="auto"/>
            </w:tcBorders>
            <w:tcMar>
              <w:top w:w="0" w:type="dxa"/>
              <w:left w:w="108" w:type="dxa"/>
              <w:bottom w:w="0" w:type="dxa"/>
              <w:right w:w="108" w:type="dxa"/>
            </w:tcMar>
          </w:tcPr>
          <w:p w14:paraId="0F4104E0" w14:textId="77777777" w:rsidR="002A39E3" w:rsidRPr="00DE0925" w:rsidRDefault="002A39E3" w:rsidP="00F70582">
            <w:pPr>
              <w:rPr>
                <w:sz w:val="16"/>
                <w:szCs w:val="16"/>
              </w:rPr>
            </w:pPr>
            <w:r w:rsidRPr="00DE0925">
              <w:rPr>
                <w:sz w:val="16"/>
                <w:szCs w:val="16"/>
              </w:rPr>
              <w:t>2.75% 6 months</w:t>
            </w:r>
          </w:p>
        </w:tc>
        <w:tc>
          <w:tcPr>
            <w:tcW w:w="707" w:type="dxa"/>
            <w:gridSpan w:val="2"/>
            <w:tcBorders>
              <w:top w:val="single" w:sz="4" w:space="0" w:color="auto"/>
              <w:bottom w:val="single" w:sz="18" w:space="0" w:color="auto"/>
            </w:tcBorders>
          </w:tcPr>
          <w:p w14:paraId="4C64B075" w14:textId="77777777" w:rsidR="002A39E3" w:rsidRPr="00DE0925" w:rsidRDefault="002A39E3" w:rsidP="00F70582">
            <w:pPr>
              <w:rPr>
                <w:sz w:val="16"/>
                <w:szCs w:val="16"/>
              </w:rPr>
            </w:pPr>
          </w:p>
        </w:tc>
        <w:tc>
          <w:tcPr>
            <w:tcW w:w="1223" w:type="dxa"/>
            <w:tcBorders>
              <w:top w:val="single" w:sz="4" w:space="0" w:color="auto"/>
              <w:bottom w:val="single" w:sz="18" w:space="0" w:color="auto"/>
              <w:right w:val="single" w:sz="4" w:space="0" w:color="auto"/>
            </w:tcBorders>
          </w:tcPr>
          <w:p w14:paraId="4DD2635A"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1B3A4E49" w14:textId="77777777" w:rsidR="002A39E3" w:rsidRPr="00DE0925" w:rsidRDefault="002A39E3" w:rsidP="00F70582">
            <w:pPr>
              <w:rPr>
                <w:sz w:val="16"/>
                <w:szCs w:val="16"/>
              </w:rPr>
            </w:pPr>
            <w:r w:rsidRPr="00DE0925">
              <w:rPr>
                <w:sz w:val="16"/>
                <w:szCs w:val="16"/>
              </w:rPr>
              <w:t>$72,561,000</w:t>
            </w:r>
          </w:p>
        </w:tc>
        <w:tc>
          <w:tcPr>
            <w:tcW w:w="1843" w:type="dxa"/>
            <w:tcBorders>
              <w:top w:val="single" w:sz="4" w:space="0" w:color="auto"/>
              <w:bottom w:val="single" w:sz="18" w:space="0" w:color="auto"/>
            </w:tcBorders>
            <w:tcMar>
              <w:top w:w="0" w:type="dxa"/>
              <w:left w:w="108" w:type="dxa"/>
              <w:bottom w:w="0" w:type="dxa"/>
              <w:right w:w="108" w:type="dxa"/>
            </w:tcMar>
          </w:tcPr>
          <w:p w14:paraId="26DA1126" w14:textId="77777777" w:rsidR="002A39E3" w:rsidRPr="00DE0925" w:rsidRDefault="002A39E3" w:rsidP="00F70582">
            <w:pPr>
              <w:rPr>
                <w:sz w:val="16"/>
                <w:szCs w:val="16"/>
              </w:rPr>
            </w:pPr>
            <w:r w:rsidRPr="00DE0925">
              <w:rPr>
                <w:sz w:val="16"/>
                <w:szCs w:val="16"/>
              </w:rPr>
              <w:t>%</w:t>
            </w:r>
          </w:p>
        </w:tc>
      </w:tr>
      <w:tr w:rsidR="002A39E3" w:rsidRPr="00DE0925" w14:paraId="678767F1"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5FC9E94D" w14:textId="77777777" w:rsidR="002A39E3" w:rsidRPr="00DE0925" w:rsidRDefault="002A39E3" w:rsidP="00F70582">
            <w:pPr>
              <w:rPr>
                <w:b/>
                <w:bCs/>
                <w:sz w:val="16"/>
                <w:szCs w:val="16"/>
              </w:rPr>
            </w:pPr>
            <w:r w:rsidRPr="00DE0925">
              <w:rPr>
                <w:b/>
                <w:bCs/>
                <w:sz w:val="16"/>
                <w:szCs w:val="16"/>
              </w:rPr>
              <w:t>Total</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6008243C" w14:textId="77777777" w:rsidR="002A39E3" w:rsidRPr="00DE0925" w:rsidRDefault="002A39E3" w:rsidP="00F70582">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3362F5E7" w14:textId="77777777" w:rsidR="002A39E3" w:rsidRPr="00DE0925" w:rsidRDefault="002A39E3" w:rsidP="00F70582">
            <w:pPr>
              <w:rPr>
                <w:b/>
                <w:sz w:val="16"/>
                <w:szCs w:val="16"/>
              </w:rPr>
            </w:pPr>
          </w:p>
        </w:tc>
        <w:tc>
          <w:tcPr>
            <w:tcW w:w="1516" w:type="dxa"/>
            <w:gridSpan w:val="2"/>
            <w:tcBorders>
              <w:top w:val="single" w:sz="4" w:space="0" w:color="auto"/>
              <w:bottom w:val="single" w:sz="18" w:space="0" w:color="auto"/>
            </w:tcBorders>
          </w:tcPr>
          <w:p w14:paraId="76806C2B" w14:textId="77777777" w:rsidR="002A39E3" w:rsidRPr="00DE0925" w:rsidRDefault="002A39E3" w:rsidP="00F70582">
            <w:pPr>
              <w:rPr>
                <w:b/>
                <w:sz w:val="16"/>
                <w:szCs w:val="16"/>
              </w:rPr>
            </w:pPr>
          </w:p>
        </w:tc>
        <w:tc>
          <w:tcPr>
            <w:tcW w:w="1276" w:type="dxa"/>
            <w:gridSpan w:val="2"/>
            <w:tcBorders>
              <w:top w:val="single" w:sz="4" w:space="0" w:color="auto"/>
              <w:bottom w:val="single" w:sz="18" w:space="0" w:color="auto"/>
            </w:tcBorders>
          </w:tcPr>
          <w:p w14:paraId="37C291E0" w14:textId="77777777" w:rsidR="002A39E3" w:rsidRPr="00DE0925" w:rsidRDefault="002A39E3" w:rsidP="00F70582">
            <w:pPr>
              <w:rPr>
                <w:b/>
                <w:sz w:val="16"/>
                <w:szCs w:val="16"/>
              </w:rPr>
            </w:pPr>
          </w:p>
        </w:tc>
        <w:tc>
          <w:tcPr>
            <w:tcW w:w="1028" w:type="dxa"/>
            <w:gridSpan w:val="2"/>
            <w:tcBorders>
              <w:top w:val="single" w:sz="4" w:space="0" w:color="auto"/>
              <w:bottom w:val="single" w:sz="18" w:space="0" w:color="auto"/>
            </w:tcBorders>
            <w:tcMar>
              <w:top w:w="0" w:type="dxa"/>
              <w:left w:w="108" w:type="dxa"/>
              <w:bottom w:w="0" w:type="dxa"/>
              <w:right w:w="108" w:type="dxa"/>
            </w:tcMar>
          </w:tcPr>
          <w:p w14:paraId="3E6319B7" w14:textId="77777777" w:rsidR="002A39E3" w:rsidRPr="00DE0925" w:rsidRDefault="002A39E3" w:rsidP="00F70582">
            <w:pPr>
              <w:rPr>
                <w:b/>
                <w:sz w:val="16"/>
                <w:szCs w:val="16"/>
              </w:rPr>
            </w:pPr>
          </w:p>
        </w:tc>
        <w:tc>
          <w:tcPr>
            <w:tcW w:w="707" w:type="dxa"/>
            <w:gridSpan w:val="2"/>
            <w:tcBorders>
              <w:top w:val="single" w:sz="4" w:space="0" w:color="auto"/>
              <w:bottom w:val="single" w:sz="18" w:space="0" w:color="auto"/>
            </w:tcBorders>
          </w:tcPr>
          <w:p w14:paraId="7ADE4510"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3C0C70DF"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4452F0CE" w14:textId="77777777" w:rsidR="002A39E3" w:rsidRPr="00DE0925" w:rsidRDefault="002A39E3" w:rsidP="00F70582">
            <w:pPr>
              <w:rPr>
                <w:b/>
                <w:sz w:val="16"/>
                <w:szCs w:val="16"/>
              </w:rPr>
            </w:pPr>
            <w:r w:rsidRPr="00DE0925">
              <w:rPr>
                <w:b/>
                <w:sz w:val="16"/>
                <w:szCs w:val="16"/>
              </w:rPr>
              <w:t>$147,529,000.00</w:t>
            </w:r>
          </w:p>
        </w:tc>
        <w:tc>
          <w:tcPr>
            <w:tcW w:w="1843" w:type="dxa"/>
            <w:tcBorders>
              <w:top w:val="single" w:sz="4" w:space="0" w:color="auto"/>
              <w:bottom w:val="single" w:sz="18" w:space="0" w:color="auto"/>
            </w:tcBorders>
            <w:tcMar>
              <w:top w:w="0" w:type="dxa"/>
              <w:left w:w="108" w:type="dxa"/>
              <w:bottom w:w="0" w:type="dxa"/>
              <w:right w:w="108" w:type="dxa"/>
            </w:tcMar>
          </w:tcPr>
          <w:p w14:paraId="3CECE7DA" w14:textId="77777777" w:rsidR="002A39E3" w:rsidRPr="00DE0925" w:rsidRDefault="002A39E3" w:rsidP="00F70582">
            <w:pPr>
              <w:rPr>
                <w:b/>
                <w:sz w:val="16"/>
                <w:szCs w:val="16"/>
              </w:rPr>
            </w:pPr>
            <w:r w:rsidRPr="00DE0925">
              <w:rPr>
                <w:b/>
                <w:sz w:val="16"/>
                <w:szCs w:val="16"/>
              </w:rPr>
              <w:t>%</w:t>
            </w:r>
          </w:p>
        </w:tc>
      </w:tr>
      <w:tr w:rsidR="002A39E3" w:rsidRPr="00DE0925" w14:paraId="4D3A1CBC"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50AB68E8" w14:textId="77777777" w:rsidR="002A39E3" w:rsidRPr="00DE0925" w:rsidRDefault="002A39E3" w:rsidP="00F70582">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5AE47CBF" w14:textId="77777777" w:rsidR="002A39E3" w:rsidRPr="00DE0925" w:rsidRDefault="002A39E3" w:rsidP="00F70582">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0A929DE1" w14:textId="77777777" w:rsidR="002A39E3" w:rsidRPr="00DE0925" w:rsidRDefault="002A39E3" w:rsidP="00F70582">
            <w:pPr>
              <w:rPr>
                <w:b/>
                <w:sz w:val="16"/>
                <w:szCs w:val="16"/>
              </w:rPr>
            </w:pPr>
            <w:r w:rsidRPr="00DE0925">
              <w:rPr>
                <w:b/>
                <w:bCs/>
                <w:sz w:val="16"/>
                <w:szCs w:val="16"/>
              </w:rPr>
              <w:t>Units held</w:t>
            </w:r>
          </w:p>
        </w:tc>
        <w:tc>
          <w:tcPr>
            <w:tcW w:w="1516" w:type="dxa"/>
            <w:gridSpan w:val="2"/>
            <w:tcBorders>
              <w:top w:val="single" w:sz="4" w:space="0" w:color="auto"/>
              <w:bottom w:val="single" w:sz="18" w:space="0" w:color="auto"/>
            </w:tcBorders>
          </w:tcPr>
          <w:p w14:paraId="35BF8932"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0FFF0F72"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47003871"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6E823172"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13AFDFEC"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4" w:space="0" w:color="auto"/>
              <w:bottom w:val="single" w:sz="18" w:space="0" w:color="auto"/>
            </w:tcBorders>
            <w:tcMar>
              <w:top w:w="0" w:type="dxa"/>
              <w:left w:w="108" w:type="dxa"/>
              <w:bottom w:w="0" w:type="dxa"/>
              <w:right w:w="108" w:type="dxa"/>
            </w:tcMar>
          </w:tcPr>
          <w:p w14:paraId="5D2E1DCD" w14:textId="77777777" w:rsidR="002A39E3" w:rsidRPr="00DE0925" w:rsidRDefault="002A39E3" w:rsidP="00F70582">
            <w:pPr>
              <w:rPr>
                <w:b/>
                <w:sz w:val="16"/>
                <w:szCs w:val="16"/>
              </w:rPr>
            </w:pPr>
            <w:r w:rsidRPr="00DE0925">
              <w:rPr>
                <w:b/>
                <w:sz w:val="16"/>
                <w:szCs w:val="16"/>
              </w:rPr>
              <w:t>Weighting</w:t>
            </w:r>
          </w:p>
        </w:tc>
      </w:tr>
      <w:tr w:rsidR="002A39E3" w:rsidRPr="00DE0925" w14:paraId="4DDB9AAD" w14:textId="77777777" w:rsidTr="00F70582">
        <w:trPr>
          <w:trHeight w:val="208"/>
        </w:trPr>
        <w:tc>
          <w:tcPr>
            <w:tcW w:w="3119" w:type="dxa"/>
            <w:gridSpan w:val="4"/>
            <w:tcBorders>
              <w:top w:val="single" w:sz="18" w:space="0" w:color="auto"/>
              <w:bottom w:val="single" w:sz="4" w:space="0" w:color="auto"/>
            </w:tcBorders>
            <w:tcMar>
              <w:top w:w="0" w:type="dxa"/>
              <w:left w:w="108" w:type="dxa"/>
              <w:bottom w:w="0" w:type="dxa"/>
              <w:right w:w="108" w:type="dxa"/>
            </w:tcMar>
            <w:hideMark/>
          </w:tcPr>
          <w:p w14:paraId="496D3B47" w14:textId="77777777" w:rsidR="002A39E3" w:rsidRPr="00DE0925" w:rsidRDefault="002A39E3" w:rsidP="00F70582">
            <w:pPr>
              <w:tabs>
                <w:tab w:val="center" w:pos="1322"/>
              </w:tabs>
              <w:rPr>
                <w:sz w:val="16"/>
                <w:szCs w:val="16"/>
              </w:rPr>
            </w:pPr>
            <w:r w:rsidRPr="00DE0925">
              <w:rPr>
                <w:b/>
                <w:sz w:val="16"/>
                <w:szCs w:val="16"/>
              </w:rPr>
              <w:lastRenderedPageBreak/>
              <w:t>Equity</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7E87EA9B"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3F403804" w14:textId="77777777" w:rsidR="002A39E3" w:rsidRPr="00DE0925" w:rsidRDefault="002A39E3" w:rsidP="00F70582">
            <w:pPr>
              <w:rPr>
                <w:sz w:val="16"/>
                <w:szCs w:val="16"/>
              </w:rPr>
            </w:pPr>
          </w:p>
        </w:tc>
        <w:tc>
          <w:tcPr>
            <w:tcW w:w="1597" w:type="dxa"/>
            <w:gridSpan w:val="3"/>
            <w:tcBorders>
              <w:top w:val="single" w:sz="18" w:space="0" w:color="auto"/>
              <w:bottom w:val="single" w:sz="4" w:space="0" w:color="auto"/>
            </w:tcBorders>
          </w:tcPr>
          <w:p w14:paraId="1DB1C719" w14:textId="77777777" w:rsidR="002A39E3" w:rsidRPr="00DE0925" w:rsidRDefault="002A39E3" w:rsidP="00F70582">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482FD529"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6E115FE2"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2B9840B6"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0AF75745" w14:textId="77777777" w:rsidR="002A39E3" w:rsidRPr="00DE0925" w:rsidRDefault="002A39E3" w:rsidP="00F70582">
            <w:pPr>
              <w:rPr>
                <w:sz w:val="16"/>
                <w:szCs w:val="16"/>
              </w:rPr>
            </w:pPr>
          </w:p>
        </w:tc>
      </w:tr>
      <w:tr w:rsidR="002A39E3" w:rsidRPr="00DE0925" w14:paraId="3D4FB7F5" w14:textId="77777777" w:rsidTr="00F70582">
        <w:tc>
          <w:tcPr>
            <w:tcW w:w="1701" w:type="dxa"/>
            <w:tcBorders>
              <w:top w:val="single" w:sz="4" w:space="0" w:color="auto"/>
              <w:bottom w:val="single" w:sz="4" w:space="0" w:color="auto"/>
            </w:tcBorders>
            <w:tcMar>
              <w:top w:w="0" w:type="dxa"/>
              <w:left w:w="108" w:type="dxa"/>
              <w:bottom w:w="0" w:type="dxa"/>
              <w:right w:w="108" w:type="dxa"/>
            </w:tcMar>
          </w:tcPr>
          <w:p w14:paraId="7CC9C9EB" w14:textId="77777777" w:rsidR="002A39E3" w:rsidRPr="00DE0925" w:rsidRDefault="002A39E3" w:rsidP="00F70582">
            <w:pPr>
              <w:rPr>
                <w:bCs/>
                <w:sz w:val="16"/>
                <w:szCs w:val="16"/>
              </w:rPr>
            </w:pPr>
            <w:r w:rsidRPr="00DE0925">
              <w:rPr>
                <w:bCs/>
                <w:sz w:val="16"/>
                <w:szCs w:val="16"/>
              </w:rPr>
              <w:t>Capella</w:t>
            </w:r>
          </w:p>
        </w:tc>
        <w:tc>
          <w:tcPr>
            <w:tcW w:w="1418" w:type="dxa"/>
            <w:gridSpan w:val="3"/>
            <w:tcBorders>
              <w:top w:val="single" w:sz="4" w:space="0" w:color="auto"/>
              <w:bottom w:val="single" w:sz="4" w:space="0" w:color="auto"/>
            </w:tcBorders>
            <w:tcMar>
              <w:top w:w="0" w:type="dxa"/>
              <w:left w:w="108" w:type="dxa"/>
              <w:bottom w:w="0" w:type="dxa"/>
              <w:right w:w="108" w:type="dxa"/>
            </w:tcMar>
          </w:tcPr>
          <w:p w14:paraId="64542BDD" w14:textId="77777777" w:rsidR="002A39E3" w:rsidRPr="00DE0925" w:rsidRDefault="002A39E3" w:rsidP="00F70582">
            <w:pPr>
              <w:rPr>
                <w:bCs/>
                <w:sz w:val="16"/>
                <w:szCs w:val="16"/>
              </w:rPr>
            </w:pPr>
            <w:r w:rsidRPr="00DE0925">
              <w:rPr>
                <w:bCs/>
                <w:sz w:val="16"/>
                <w:szCs w:val="16"/>
              </w:rPr>
              <w:t>CPL.AW</w:t>
            </w:r>
          </w:p>
        </w:tc>
        <w:tc>
          <w:tcPr>
            <w:tcW w:w="1319" w:type="dxa"/>
            <w:tcBorders>
              <w:top w:val="single" w:sz="4" w:space="0" w:color="auto"/>
              <w:bottom w:val="single" w:sz="4" w:space="0" w:color="auto"/>
            </w:tcBorders>
          </w:tcPr>
          <w:p w14:paraId="0C23A1EB" w14:textId="77777777" w:rsidR="002A39E3" w:rsidRPr="00DE0925" w:rsidRDefault="002A39E3" w:rsidP="00F70582">
            <w:pPr>
              <w:rPr>
                <w:bCs/>
                <w:sz w:val="16"/>
                <w:szCs w:val="16"/>
              </w:rPr>
            </w:pPr>
            <w:r w:rsidRPr="00DE0925">
              <w:rPr>
                <w:b/>
                <w:bCs/>
                <w:sz w:val="16"/>
                <w:szCs w:val="16"/>
              </w:rPr>
              <w:t xml:space="preserve">   </w:t>
            </w:r>
            <w:r w:rsidRPr="00DE0925">
              <w:rPr>
                <w:bCs/>
                <w:sz w:val="16"/>
                <w:szCs w:val="16"/>
              </w:rPr>
              <w:t>100,000</w:t>
            </w:r>
          </w:p>
        </w:tc>
        <w:tc>
          <w:tcPr>
            <w:tcW w:w="1516" w:type="dxa"/>
            <w:gridSpan w:val="2"/>
            <w:tcBorders>
              <w:top w:val="single" w:sz="4" w:space="0" w:color="auto"/>
              <w:bottom w:val="single" w:sz="4" w:space="0" w:color="auto"/>
            </w:tcBorders>
          </w:tcPr>
          <w:p w14:paraId="4E0765AC" w14:textId="77777777" w:rsidR="002A39E3" w:rsidRPr="00DE0925" w:rsidRDefault="002A39E3" w:rsidP="00F70582">
            <w:pPr>
              <w:rPr>
                <w:sz w:val="16"/>
                <w:szCs w:val="16"/>
              </w:rPr>
            </w:pPr>
          </w:p>
        </w:tc>
        <w:tc>
          <w:tcPr>
            <w:tcW w:w="1597" w:type="dxa"/>
            <w:gridSpan w:val="3"/>
            <w:tcBorders>
              <w:top w:val="single" w:sz="4" w:space="0" w:color="auto"/>
              <w:bottom w:val="single" w:sz="4" w:space="0" w:color="auto"/>
            </w:tcBorders>
          </w:tcPr>
          <w:p w14:paraId="0CD46542" w14:textId="77777777" w:rsidR="002A39E3" w:rsidRPr="00DE0925" w:rsidRDefault="002A39E3" w:rsidP="00F70582">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4B3D4C6C" w14:textId="77777777" w:rsidR="002A39E3" w:rsidRPr="00DE0925" w:rsidRDefault="002A39E3" w:rsidP="00F70582">
            <w:pPr>
              <w:rPr>
                <w:sz w:val="16"/>
                <w:szCs w:val="16"/>
              </w:rPr>
            </w:pPr>
          </w:p>
        </w:tc>
        <w:tc>
          <w:tcPr>
            <w:tcW w:w="1223" w:type="dxa"/>
            <w:tcBorders>
              <w:top w:val="single" w:sz="4" w:space="0" w:color="auto"/>
              <w:bottom w:val="single" w:sz="4" w:space="0" w:color="auto"/>
              <w:right w:val="single" w:sz="4" w:space="0" w:color="auto"/>
            </w:tcBorders>
          </w:tcPr>
          <w:p w14:paraId="09A9B4F6"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4E900028" w14:textId="77777777" w:rsidR="002A39E3" w:rsidRPr="00DE0925" w:rsidRDefault="002A39E3" w:rsidP="00F70582">
            <w:pPr>
              <w:rPr>
                <w:sz w:val="16"/>
                <w:szCs w:val="16"/>
              </w:rPr>
            </w:pPr>
            <w:r w:rsidRPr="00DE0925">
              <w:rPr>
                <w:sz w:val="16"/>
                <w:szCs w:val="16"/>
              </w:rPr>
              <w:t>$1,000,000.00</w:t>
            </w:r>
          </w:p>
        </w:tc>
        <w:tc>
          <w:tcPr>
            <w:tcW w:w="1843" w:type="dxa"/>
            <w:tcBorders>
              <w:top w:val="single" w:sz="4" w:space="0" w:color="auto"/>
              <w:bottom w:val="single" w:sz="4" w:space="0" w:color="auto"/>
            </w:tcBorders>
            <w:tcMar>
              <w:top w:w="0" w:type="dxa"/>
              <w:left w:w="108" w:type="dxa"/>
              <w:bottom w:w="0" w:type="dxa"/>
              <w:right w:w="108" w:type="dxa"/>
            </w:tcMar>
          </w:tcPr>
          <w:p w14:paraId="0562E09E" w14:textId="77777777" w:rsidR="002A39E3" w:rsidRPr="00DE0925" w:rsidRDefault="002A39E3" w:rsidP="00F70582">
            <w:pPr>
              <w:rPr>
                <w:sz w:val="16"/>
                <w:szCs w:val="16"/>
              </w:rPr>
            </w:pPr>
            <w:r w:rsidRPr="00DE0925">
              <w:rPr>
                <w:sz w:val="16"/>
                <w:szCs w:val="16"/>
              </w:rPr>
              <w:t>%</w:t>
            </w:r>
          </w:p>
        </w:tc>
      </w:tr>
      <w:tr w:rsidR="002A39E3" w:rsidRPr="00DE0925" w14:paraId="6100A36A" w14:textId="77777777" w:rsidTr="00F70582">
        <w:tc>
          <w:tcPr>
            <w:tcW w:w="1701" w:type="dxa"/>
            <w:tcBorders>
              <w:top w:val="single" w:sz="4" w:space="0" w:color="auto"/>
              <w:bottom w:val="single" w:sz="4" w:space="0" w:color="auto"/>
            </w:tcBorders>
            <w:tcMar>
              <w:top w:w="0" w:type="dxa"/>
              <w:left w:w="108" w:type="dxa"/>
              <w:bottom w:w="0" w:type="dxa"/>
              <w:right w:w="108" w:type="dxa"/>
            </w:tcMar>
          </w:tcPr>
          <w:p w14:paraId="36511270" w14:textId="77777777" w:rsidR="002A39E3" w:rsidRPr="00DE0925" w:rsidRDefault="002A39E3" w:rsidP="00F70582">
            <w:pPr>
              <w:rPr>
                <w:bCs/>
                <w:sz w:val="16"/>
                <w:szCs w:val="16"/>
              </w:rPr>
            </w:pPr>
            <w:r w:rsidRPr="00DE0925">
              <w:rPr>
                <w:bCs/>
                <w:sz w:val="16"/>
                <w:szCs w:val="16"/>
              </w:rPr>
              <w:t>Menkalinan</w:t>
            </w:r>
          </w:p>
        </w:tc>
        <w:tc>
          <w:tcPr>
            <w:tcW w:w="1418" w:type="dxa"/>
            <w:gridSpan w:val="3"/>
            <w:tcBorders>
              <w:top w:val="single" w:sz="4" w:space="0" w:color="auto"/>
              <w:bottom w:val="single" w:sz="4" w:space="0" w:color="auto"/>
            </w:tcBorders>
            <w:tcMar>
              <w:top w:w="0" w:type="dxa"/>
              <w:left w:w="108" w:type="dxa"/>
              <w:bottom w:w="0" w:type="dxa"/>
              <w:right w:w="108" w:type="dxa"/>
            </w:tcMar>
          </w:tcPr>
          <w:p w14:paraId="5F3D23C2" w14:textId="77777777" w:rsidR="002A39E3" w:rsidRPr="00DE0925" w:rsidRDefault="002A39E3" w:rsidP="00F70582">
            <w:pPr>
              <w:rPr>
                <w:bCs/>
                <w:sz w:val="16"/>
                <w:szCs w:val="16"/>
              </w:rPr>
            </w:pPr>
            <w:r w:rsidRPr="00DE0925">
              <w:rPr>
                <w:bCs/>
                <w:sz w:val="16"/>
                <w:szCs w:val="16"/>
              </w:rPr>
              <w:t>MNK.LN</w:t>
            </w:r>
          </w:p>
        </w:tc>
        <w:tc>
          <w:tcPr>
            <w:tcW w:w="1319" w:type="dxa"/>
            <w:tcBorders>
              <w:top w:val="single" w:sz="4" w:space="0" w:color="auto"/>
              <w:bottom w:val="single" w:sz="4" w:space="0" w:color="auto"/>
            </w:tcBorders>
            <w:tcMar>
              <w:top w:w="0" w:type="dxa"/>
              <w:left w:w="108" w:type="dxa"/>
              <w:bottom w:w="0" w:type="dxa"/>
              <w:right w:w="108" w:type="dxa"/>
            </w:tcMar>
          </w:tcPr>
          <w:p w14:paraId="4791B7D9" w14:textId="77777777" w:rsidR="002A39E3" w:rsidRPr="00DE0925" w:rsidRDefault="002A39E3" w:rsidP="00F70582">
            <w:pPr>
              <w:rPr>
                <w:sz w:val="16"/>
                <w:szCs w:val="16"/>
              </w:rPr>
            </w:pPr>
            <w:r w:rsidRPr="00DE0925">
              <w:rPr>
                <w:sz w:val="16"/>
                <w:szCs w:val="16"/>
              </w:rPr>
              <w:t>50,000</w:t>
            </w:r>
          </w:p>
        </w:tc>
        <w:tc>
          <w:tcPr>
            <w:tcW w:w="1516" w:type="dxa"/>
            <w:gridSpan w:val="2"/>
            <w:tcBorders>
              <w:top w:val="single" w:sz="4" w:space="0" w:color="auto"/>
              <w:bottom w:val="single" w:sz="4" w:space="0" w:color="auto"/>
            </w:tcBorders>
          </w:tcPr>
          <w:p w14:paraId="3C46C8AA" w14:textId="77777777" w:rsidR="002A39E3" w:rsidRPr="00DE0925" w:rsidRDefault="002A39E3" w:rsidP="00F70582">
            <w:pPr>
              <w:rPr>
                <w:sz w:val="16"/>
                <w:szCs w:val="16"/>
              </w:rPr>
            </w:pPr>
          </w:p>
        </w:tc>
        <w:tc>
          <w:tcPr>
            <w:tcW w:w="1597" w:type="dxa"/>
            <w:gridSpan w:val="3"/>
            <w:tcBorders>
              <w:top w:val="single" w:sz="4" w:space="0" w:color="auto"/>
              <w:bottom w:val="single" w:sz="4" w:space="0" w:color="auto"/>
            </w:tcBorders>
          </w:tcPr>
          <w:p w14:paraId="028CEA84" w14:textId="77777777" w:rsidR="002A39E3" w:rsidRPr="00DE0925" w:rsidRDefault="002A39E3" w:rsidP="00F70582">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730D8BBD" w14:textId="77777777" w:rsidR="002A39E3" w:rsidRPr="00DE0925" w:rsidRDefault="002A39E3" w:rsidP="00F70582">
            <w:pPr>
              <w:rPr>
                <w:sz w:val="16"/>
                <w:szCs w:val="16"/>
              </w:rPr>
            </w:pPr>
          </w:p>
        </w:tc>
        <w:tc>
          <w:tcPr>
            <w:tcW w:w="1223" w:type="dxa"/>
            <w:tcBorders>
              <w:top w:val="single" w:sz="4" w:space="0" w:color="auto"/>
              <w:bottom w:val="single" w:sz="4" w:space="0" w:color="auto"/>
              <w:right w:val="single" w:sz="4" w:space="0" w:color="auto"/>
            </w:tcBorders>
          </w:tcPr>
          <w:p w14:paraId="69B6BDEF"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22A1565D" w14:textId="77777777" w:rsidR="002A39E3" w:rsidRPr="00DE0925" w:rsidRDefault="002A39E3" w:rsidP="00F70582">
            <w:pPr>
              <w:rPr>
                <w:sz w:val="16"/>
                <w:szCs w:val="16"/>
              </w:rPr>
            </w:pPr>
            <w:r w:rsidRPr="00DE0925">
              <w:rPr>
                <w:sz w:val="16"/>
                <w:szCs w:val="16"/>
              </w:rPr>
              <w:t>$1,000,000.00</w:t>
            </w:r>
          </w:p>
        </w:tc>
        <w:tc>
          <w:tcPr>
            <w:tcW w:w="1843" w:type="dxa"/>
            <w:tcBorders>
              <w:top w:val="single" w:sz="4" w:space="0" w:color="auto"/>
              <w:bottom w:val="single" w:sz="4" w:space="0" w:color="auto"/>
            </w:tcBorders>
            <w:tcMar>
              <w:top w:w="0" w:type="dxa"/>
              <w:left w:w="108" w:type="dxa"/>
              <w:bottom w:w="0" w:type="dxa"/>
              <w:right w:w="108" w:type="dxa"/>
            </w:tcMar>
          </w:tcPr>
          <w:p w14:paraId="227AEDC7" w14:textId="77777777" w:rsidR="002A39E3" w:rsidRPr="00DE0925" w:rsidRDefault="002A39E3" w:rsidP="00F70582">
            <w:pPr>
              <w:rPr>
                <w:sz w:val="16"/>
                <w:szCs w:val="16"/>
              </w:rPr>
            </w:pPr>
            <w:r w:rsidRPr="00DE0925">
              <w:rPr>
                <w:sz w:val="16"/>
                <w:szCs w:val="16"/>
              </w:rPr>
              <w:t>%</w:t>
            </w:r>
          </w:p>
        </w:tc>
      </w:tr>
      <w:tr w:rsidR="002A39E3" w:rsidRPr="00DE0925" w14:paraId="19256419"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7089F538" w14:textId="77777777" w:rsidR="002A39E3" w:rsidRPr="00DE0925" w:rsidRDefault="002A39E3" w:rsidP="00F70582">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77914BC5" w14:textId="77777777" w:rsidR="002A39E3" w:rsidRPr="00DE0925" w:rsidRDefault="002A39E3" w:rsidP="00F70582">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1C14AA19" w14:textId="77777777" w:rsidR="002A39E3" w:rsidRPr="00DE0925" w:rsidRDefault="002A39E3" w:rsidP="00F70582">
            <w:pPr>
              <w:rPr>
                <w:b/>
                <w:sz w:val="16"/>
                <w:szCs w:val="16"/>
              </w:rPr>
            </w:pPr>
          </w:p>
        </w:tc>
        <w:tc>
          <w:tcPr>
            <w:tcW w:w="1516" w:type="dxa"/>
            <w:gridSpan w:val="2"/>
            <w:tcBorders>
              <w:top w:val="single" w:sz="12" w:space="0" w:color="auto"/>
              <w:bottom w:val="single" w:sz="18" w:space="0" w:color="auto"/>
            </w:tcBorders>
          </w:tcPr>
          <w:p w14:paraId="5FCE395A" w14:textId="77777777" w:rsidR="002A39E3" w:rsidRPr="00DE0925" w:rsidRDefault="002A39E3" w:rsidP="00F70582">
            <w:pPr>
              <w:rPr>
                <w:b/>
                <w:sz w:val="16"/>
                <w:szCs w:val="16"/>
              </w:rPr>
            </w:pPr>
          </w:p>
        </w:tc>
        <w:tc>
          <w:tcPr>
            <w:tcW w:w="1597" w:type="dxa"/>
            <w:gridSpan w:val="3"/>
            <w:tcBorders>
              <w:top w:val="single" w:sz="12" w:space="0" w:color="auto"/>
              <w:bottom w:val="single" w:sz="18" w:space="0" w:color="auto"/>
            </w:tcBorders>
          </w:tcPr>
          <w:p w14:paraId="057B1B59"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5ED4DD27"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2735075F"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3868980F" w14:textId="77777777" w:rsidR="002A39E3" w:rsidRPr="00DE0925" w:rsidRDefault="002A39E3" w:rsidP="00F70582">
            <w:pPr>
              <w:rPr>
                <w:b/>
                <w:sz w:val="16"/>
                <w:szCs w:val="16"/>
              </w:rPr>
            </w:pPr>
            <w:r>
              <w:rPr>
                <w:b/>
                <w:sz w:val="16"/>
                <w:szCs w:val="16"/>
              </w:rPr>
              <w:t>$2</w:t>
            </w:r>
            <w:r w:rsidRPr="00DE0925">
              <w:rPr>
                <w:b/>
                <w:sz w:val="16"/>
                <w:szCs w:val="16"/>
              </w:rPr>
              <w:t>,000,000.00</w:t>
            </w:r>
          </w:p>
        </w:tc>
        <w:tc>
          <w:tcPr>
            <w:tcW w:w="1843" w:type="dxa"/>
            <w:tcBorders>
              <w:top w:val="single" w:sz="12" w:space="0" w:color="auto"/>
              <w:bottom w:val="single" w:sz="18" w:space="0" w:color="auto"/>
            </w:tcBorders>
            <w:tcMar>
              <w:top w:w="0" w:type="dxa"/>
              <w:left w:w="108" w:type="dxa"/>
              <w:bottom w:w="0" w:type="dxa"/>
              <w:right w:w="108" w:type="dxa"/>
            </w:tcMar>
          </w:tcPr>
          <w:p w14:paraId="1F9E5B68" w14:textId="77777777" w:rsidR="002A39E3" w:rsidRPr="00DE0925" w:rsidRDefault="002A39E3" w:rsidP="00F70582">
            <w:pPr>
              <w:rPr>
                <w:b/>
                <w:sz w:val="16"/>
                <w:szCs w:val="16"/>
              </w:rPr>
            </w:pPr>
            <w:r w:rsidRPr="00DE0925">
              <w:rPr>
                <w:b/>
                <w:sz w:val="16"/>
                <w:szCs w:val="16"/>
              </w:rPr>
              <w:t>%</w:t>
            </w:r>
          </w:p>
        </w:tc>
      </w:tr>
      <w:tr w:rsidR="002A39E3" w:rsidRPr="00DE0925" w14:paraId="69EE22E5"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4A7DD937" w14:textId="77777777" w:rsidR="002A39E3" w:rsidRPr="00DE0925" w:rsidRDefault="002A39E3" w:rsidP="00F70582">
            <w:pPr>
              <w:rPr>
                <w:b/>
                <w:bCs/>
                <w:sz w:val="16"/>
                <w:szCs w:val="16"/>
              </w:rPr>
            </w:pPr>
            <w:r w:rsidRPr="00DE0925">
              <w:rPr>
                <w:b/>
                <w:bCs/>
                <w:sz w:val="16"/>
                <w:szCs w:val="16"/>
              </w:rPr>
              <w:t>Name/kind of investment item</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5902ED6B" w14:textId="77777777" w:rsidR="002A39E3" w:rsidRPr="00DE0925" w:rsidRDefault="002A39E3" w:rsidP="00F70582">
            <w:pPr>
              <w:rPr>
                <w:b/>
                <w:bCs/>
                <w:sz w:val="16"/>
                <w:szCs w:val="16"/>
              </w:rPr>
            </w:pPr>
            <w:r w:rsidRPr="00DE0925">
              <w:rPr>
                <w:b/>
                <w:bCs/>
                <w:sz w:val="16"/>
                <w:szCs w:val="16"/>
              </w:rPr>
              <w:t>Security Identifier</w:t>
            </w:r>
          </w:p>
        </w:tc>
        <w:tc>
          <w:tcPr>
            <w:tcW w:w="1319" w:type="dxa"/>
            <w:tcBorders>
              <w:top w:val="single" w:sz="12" w:space="0" w:color="auto"/>
              <w:bottom w:val="single" w:sz="18" w:space="0" w:color="auto"/>
            </w:tcBorders>
            <w:tcMar>
              <w:top w:w="0" w:type="dxa"/>
              <w:left w:w="108" w:type="dxa"/>
              <w:bottom w:w="0" w:type="dxa"/>
              <w:right w:w="108" w:type="dxa"/>
            </w:tcMar>
          </w:tcPr>
          <w:p w14:paraId="605B04ED" w14:textId="77777777" w:rsidR="002A39E3" w:rsidRPr="00DE0925" w:rsidRDefault="002A39E3" w:rsidP="00F70582">
            <w:pPr>
              <w:rPr>
                <w:b/>
                <w:sz w:val="16"/>
                <w:szCs w:val="16"/>
              </w:rPr>
            </w:pPr>
            <w:r w:rsidRPr="00DE0925">
              <w:rPr>
                <w:b/>
                <w:sz w:val="16"/>
                <w:szCs w:val="16"/>
              </w:rPr>
              <w:t>Units held</w:t>
            </w:r>
          </w:p>
        </w:tc>
        <w:tc>
          <w:tcPr>
            <w:tcW w:w="1516" w:type="dxa"/>
            <w:gridSpan w:val="2"/>
            <w:tcBorders>
              <w:top w:val="single" w:sz="12" w:space="0" w:color="auto"/>
              <w:bottom w:val="single" w:sz="18" w:space="0" w:color="auto"/>
            </w:tcBorders>
          </w:tcPr>
          <w:p w14:paraId="1ED8D6E2" w14:textId="77777777" w:rsidR="002A39E3" w:rsidRPr="00DE0925" w:rsidRDefault="002A39E3" w:rsidP="00F70582">
            <w:pPr>
              <w:rPr>
                <w:b/>
                <w:sz w:val="16"/>
                <w:szCs w:val="16"/>
              </w:rPr>
            </w:pPr>
          </w:p>
        </w:tc>
        <w:tc>
          <w:tcPr>
            <w:tcW w:w="1597" w:type="dxa"/>
            <w:gridSpan w:val="3"/>
            <w:tcBorders>
              <w:top w:val="single" w:sz="12" w:space="0" w:color="auto"/>
              <w:bottom w:val="single" w:sz="18" w:space="0" w:color="auto"/>
            </w:tcBorders>
          </w:tcPr>
          <w:p w14:paraId="7FB86D52"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6146DF18"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76E982BE"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7749A9DB"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12" w:space="0" w:color="auto"/>
              <w:bottom w:val="single" w:sz="18" w:space="0" w:color="auto"/>
            </w:tcBorders>
            <w:tcMar>
              <w:top w:w="0" w:type="dxa"/>
              <w:left w:w="108" w:type="dxa"/>
              <w:bottom w:w="0" w:type="dxa"/>
              <w:right w:w="108" w:type="dxa"/>
            </w:tcMar>
          </w:tcPr>
          <w:p w14:paraId="60063A0E" w14:textId="77777777" w:rsidR="002A39E3" w:rsidRPr="00DE0925" w:rsidRDefault="002A39E3" w:rsidP="00F70582">
            <w:pPr>
              <w:rPr>
                <w:b/>
                <w:sz w:val="16"/>
                <w:szCs w:val="16"/>
              </w:rPr>
            </w:pPr>
            <w:r w:rsidRPr="00DE0925">
              <w:rPr>
                <w:b/>
                <w:sz w:val="16"/>
                <w:szCs w:val="16"/>
              </w:rPr>
              <w:t>Weighting</w:t>
            </w:r>
          </w:p>
        </w:tc>
      </w:tr>
      <w:tr w:rsidR="002A39E3" w:rsidRPr="00DE0925" w14:paraId="69B6B2B7" w14:textId="77777777" w:rsidTr="00F70582">
        <w:trPr>
          <w:trHeight w:val="208"/>
        </w:trPr>
        <w:tc>
          <w:tcPr>
            <w:tcW w:w="3119" w:type="dxa"/>
            <w:gridSpan w:val="4"/>
            <w:tcBorders>
              <w:top w:val="single" w:sz="18" w:space="0" w:color="auto"/>
              <w:bottom w:val="single" w:sz="4" w:space="0" w:color="auto"/>
            </w:tcBorders>
            <w:tcMar>
              <w:top w:w="0" w:type="dxa"/>
              <w:left w:w="108" w:type="dxa"/>
              <w:bottom w:w="0" w:type="dxa"/>
              <w:right w:w="108" w:type="dxa"/>
            </w:tcMar>
            <w:hideMark/>
          </w:tcPr>
          <w:p w14:paraId="6FBD9609" w14:textId="77777777" w:rsidR="002A39E3" w:rsidRPr="00DE0925" w:rsidRDefault="002A39E3" w:rsidP="00F70582">
            <w:pPr>
              <w:tabs>
                <w:tab w:val="center" w:pos="1322"/>
              </w:tabs>
              <w:rPr>
                <w:sz w:val="16"/>
                <w:szCs w:val="16"/>
              </w:rPr>
            </w:pPr>
            <w:r w:rsidRPr="00DE0925">
              <w:rPr>
                <w:b/>
                <w:sz w:val="16"/>
                <w:szCs w:val="16"/>
              </w:rPr>
              <w:t>Property</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5731D838"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2E40CD69" w14:textId="77777777" w:rsidR="002A39E3" w:rsidRPr="00DE0925" w:rsidRDefault="002A39E3" w:rsidP="00F70582">
            <w:pPr>
              <w:rPr>
                <w:sz w:val="16"/>
                <w:szCs w:val="16"/>
              </w:rPr>
            </w:pPr>
          </w:p>
        </w:tc>
        <w:tc>
          <w:tcPr>
            <w:tcW w:w="1597" w:type="dxa"/>
            <w:gridSpan w:val="3"/>
            <w:tcBorders>
              <w:top w:val="single" w:sz="18" w:space="0" w:color="auto"/>
              <w:bottom w:val="single" w:sz="4" w:space="0" w:color="auto"/>
            </w:tcBorders>
          </w:tcPr>
          <w:p w14:paraId="071512A9" w14:textId="77777777" w:rsidR="002A39E3" w:rsidRPr="00DE0925" w:rsidRDefault="002A39E3" w:rsidP="00F70582">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4E7984E2"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26EBA161"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389AC075"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23D62784" w14:textId="77777777" w:rsidR="002A39E3" w:rsidRPr="00DE0925" w:rsidRDefault="002A39E3" w:rsidP="00F70582">
            <w:pPr>
              <w:rPr>
                <w:sz w:val="16"/>
                <w:szCs w:val="16"/>
              </w:rPr>
            </w:pPr>
          </w:p>
        </w:tc>
      </w:tr>
      <w:tr w:rsidR="002A39E3" w:rsidRPr="00DE0925" w14:paraId="35FEABB3" w14:textId="77777777" w:rsidTr="00F70582">
        <w:tc>
          <w:tcPr>
            <w:tcW w:w="1701" w:type="dxa"/>
            <w:tcBorders>
              <w:top w:val="single" w:sz="4" w:space="0" w:color="auto"/>
              <w:bottom w:val="single" w:sz="12" w:space="0" w:color="auto"/>
            </w:tcBorders>
            <w:tcMar>
              <w:top w:w="0" w:type="dxa"/>
              <w:left w:w="108" w:type="dxa"/>
              <w:bottom w:w="0" w:type="dxa"/>
              <w:right w:w="108" w:type="dxa"/>
            </w:tcMar>
          </w:tcPr>
          <w:p w14:paraId="20F3066D" w14:textId="77777777" w:rsidR="002A39E3" w:rsidRPr="00DE0925" w:rsidRDefault="002A39E3" w:rsidP="00F70582">
            <w:pPr>
              <w:rPr>
                <w:bCs/>
                <w:sz w:val="16"/>
                <w:szCs w:val="16"/>
              </w:rPr>
            </w:pPr>
            <w:r w:rsidRPr="00DE0925">
              <w:rPr>
                <w:bCs/>
                <w:sz w:val="16"/>
                <w:szCs w:val="16"/>
              </w:rPr>
              <w:t>XYZ Office</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264A4550" w14:textId="77777777" w:rsidR="002A39E3" w:rsidRPr="00DE0925" w:rsidRDefault="002A39E3" w:rsidP="00F70582">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0A51CD02" w14:textId="77777777" w:rsidR="002A39E3" w:rsidRPr="00DE0925" w:rsidRDefault="002A39E3" w:rsidP="00F70582">
            <w:pPr>
              <w:rPr>
                <w:bCs/>
                <w:sz w:val="16"/>
                <w:szCs w:val="16"/>
              </w:rPr>
            </w:pPr>
            <w:r w:rsidRPr="00DE0925">
              <w:rPr>
                <w:b/>
                <w:bCs/>
                <w:sz w:val="16"/>
                <w:szCs w:val="16"/>
              </w:rPr>
              <w:t xml:space="preserve">   </w:t>
            </w:r>
            <w:r w:rsidRPr="00DE0925">
              <w:rPr>
                <w:bCs/>
                <w:sz w:val="16"/>
                <w:szCs w:val="16"/>
              </w:rPr>
              <w:t>1</w:t>
            </w:r>
          </w:p>
        </w:tc>
        <w:tc>
          <w:tcPr>
            <w:tcW w:w="1516" w:type="dxa"/>
            <w:gridSpan w:val="2"/>
            <w:tcBorders>
              <w:top w:val="single" w:sz="4" w:space="0" w:color="auto"/>
              <w:bottom w:val="single" w:sz="12" w:space="0" w:color="auto"/>
            </w:tcBorders>
          </w:tcPr>
          <w:p w14:paraId="7F326904" w14:textId="77777777" w:rsidR="002A39E3" w:rsidRPr="00DE0925" w:rsidRDefault="002A39E3" w:rsidP="00F70582">
            <w:pPr>
              <w:rPr>
                <w:sz w:val="16"/>
                <w:szCs w:val="16"/>
              </w:rPr>
            </w:pPr>
          </w:p>
        </w:tc>
        <w:tc>
          <w:tcPr>
            <w:tcW w:w="1597" w:type="dxa"/>
            <w:gridSpan w:val="3"/>
            <w:tcBorders>
              <w:top w:val="single" w:sz="4" w:space="0" w:color="auto"/>
              <w:bottom w:val="single" w:sz="12" w:space="0" w:color="auto"/>
            </w:tcBorders>
          </w:tcPr>
          <w:p w14:paraId="4BF3AD7F" w14:textId="77777777" w:rsidR="002A39E3" w:rsidRPr="00DE0925" w:rsidRDefault="002A39E3" w:rsidP="00F70582">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5E53C278" w14:textId="77777777" w:rsidR="002A39E3" w:rsidRPr="00DE0925" w:rsidRDefault="002A39E3" w:rsidP="00F70582">
            <w:pPr>
              <w:rPr>
                <w:sz w:val="16"/>
                <w:szCs w:val="16"/>
              </w:rPr>
            </w:pPr>
          </w:p>
        </w:tc>
        <w:tc>
          <w:tcPr>
            <w:tcW w:w="1223" w:type="dxa"/>
            <w:tcBorders>
              <w:top w:val="single" w:sz="4" w:space="0" w:color="auto"/>
              <w:bottom w:val="single" w:sz="12" w:space="0" w:color="auto"/>
              <w:right w:val="single" w:sz="4" w:space="0" w:color="auto"/>
            </w:tcBorders>
          </w:tcPr>
          <w:p w14:paraId="4E584D8F"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2CA44A3B" w14:textId="77777777" w:rsidR="002A39E3" w:rsidRPr="00DE0925" w:rsidRDefault="002A39E3" w:rsidP="00F70582">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35C086C3" w14:textId="77777777" w:rsidR="002A39E3" w:rsidRPr="00DE0925" w:rsidRDefault="002A39E3" w:rsidP="00F70582">
            <w:pPr>
              <w:rPr>
                <w:sz w:val="16"/>
                <w:szCs w:val="16"/>
              </w:rPr>
            </w:pPr>
            <w:r w:rsidRPr="00DE0925">
              <w:rPr>
                <w:sz w:val="16"/>
                <w:szCs w:val="16"/>
              </w:rPr>
              <w:t>%</w:t>
            </w:r>
          </w:p>
        </w:tc>
      </w:tr>
      <w:tr w:rsidR="002A39E3" w:rsidRPr="00DE0925" w14:paraId="3C2C2DF3"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060DC919" w14:textId="77777777" w:rsidR="002A39E3" w:rsidRPr="00DE0925" w:rsidRDefault="002A39E3" w:rsidP="00F70582">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59E87A1B" w14:textId="77777777" w:rsidR="002A39E3" w:rsidRPr="00DE0925" w:rsidRDefault="002A39E3" w:rsidP="00F70582">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46A13639" w14:textId="77777777" w:rsidR="002A39E3" w:rsidRPr="00DE0925" w:rsidRDefault="002A39E3" w:rsidP="00F70582">
            <w:pPr>
              <w:rPr>
                <w:b/>
                <w:sz w:val="16"/>
                <w:szCs w:val="16"/>
              </w:rPr>
            </w:pPr>
          </w:p>
        </w:tc>
        <w:tc>
          <w:tcPr>
            <w:tcW w:w="1516" w:type="dxa"/>
            <w:gridSpan w:val="2"/>
            <w:tcBorders>
              <w:top w:val="single" w:sz="12" w:space="0" w:color="auto"/>
              <w:bottom w:val="single" w:sz="18" w:space="0" w:color="auto"/>
            </w:tcBorders>
          </w:tcPr>
          <w:p w14:paraId="31AA0F6F" w14:textId="77777777" w:rsidR="002A39E3" w:rsidRPr="00DE0925" w:rsidRDefault="002A39E3" w:rsidP="00F70582">
            <w:pPr>
              <w:rPr>
                <w:b/>
                <w:sz w:val="16"/>
                <w:szCs w:val="16"/>
              </w:rPr>
            </w:pPr>
          </w:p>
        </w:tc>
        <w:tc>
          <w:tcPr>
            <w:tcW w:w="1597" w:type="dxa"/>
            <w:gridSpan w:val="3"/>
            <w:tcBorders>
              <w:top w:val="single" w:sz="12" w:space="0" w:color="auto"/>
              <w:bottom w:val="single" w:sz="18" w:space="0" w:color="auto"/>
            </w:tcBorders>
          </w:tcPr>
          <w:p w14:paraId="641EF049"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11F50DFE"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01268B37"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3EB76A76" w14:textId="77777777" w:rsidR="002A39E3" w:rsidRPr="00DE0925" w:rsidRDefault="002A39E3" w:rsidP="00F70582">
            <w:pPr>
              <w:rPr>
                <w:b/>
                <w:sz w:val="16"/>
                <w:szCs w:val="16"/>
              </w:rPr>
            </w:pPr>
            <w:r w:rsidRPr="00DE0925">
              <w:rPr>
                <w:b/>
                <w:sz w:val="16"/>
                <w:szCs w:val="16"/>
              </w:rPr>
              <w:t>$1,000,000.00</w:t>
            </w:r>
          </w:p>
        </w:tc>
        <w:tc>
          <w:tcPr>
            <w:tcW w:w="1843" w:type="dxa"/>
            <w:tcBorders>
              <w:top w:val="single" w:sz="12" w:space="0" w:color="auto"/>
              <w:bottom w:val="single" w:sz="18" w:space="0" w:color="auto"/>
            </w:tcBorders>
            <w:tcMar>
              <w:top w:w="0" w:type="dxa"/>
              <w:left w:w="108" w:type="dxa"/>
              <w:bottom w:w="0" w:type="dxa"/>
              <w:right w:w="108" w:type="dxa"/>
            </w:tcMar>
          </w:tcPr>
          <w:p w14:paraId="1D7C1487" w14:textId="77777777" w:rsidR="002A39E3" w:rsidRPr="00DE0925" w:rsidRDefault="002A39E3" w:rsidP="00F70582">
            <w:pPr>
              <w:rPr>
                <w:b/>
                <w:sz w:val="16"/>
                <w:szCs w:val="16"/>
              </w:rPr>
            </w:pPr>
            <w:r w:rsidRPr="00DE0925">
              <w:rPr>
                <w:b/>
                <w:sz w:val="16"/>
                <w:szCs w:val="16"/>
              </w:rPr>
              <w:t>%</w:t>
            </w:r>
          </w:p>
        </w:tc>
      </w:tr>
      <w:tr w:rsidR="002A39E3" w:rsidRPr="00DE0925" w14:paraId="4014E462"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05EB91E2" w14:textId="77777777" w:rsidR="002A39E3" w:rsidRPr="00DE0925" w:rsidRDefault="002A39E3" w:rsidP="00F70582">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39482CF8" w14:textId="77777777" w:rsidR="002A39E3" w:rsidRPr="00DE0925" w:rsidRDefault="002A39E3" w:rsidP="00F70582">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20F203D5" w14:textId="77777777" w:rsidR="002A39E3" w:rsidRPr="00DE0925" w:rsidRDefault="002A39E3" w:rsidP="00F70582">
            <w:pPr>
              <w:rPr>
                <w:b/>
                <w:sz w:val="16"/>
                <w:szCs w:val="16"/>
              </w:rPr>
            </w:pPr>
            <w:r w:rsidRPr="00DE0925">
              <w:rPr>
                <w:b/>
                <w:sz w:val="16"/>
                <w:szCs w:val="16"/>
              </w:rPr>
              <w:t>Units held</w:t>
            </w:r>
          </w:p>
        </w:tc>
        <w:tc>
          <w:tcPr>
            <w:tcW w:w="1516" w:type="dxa"/>
            <w:gridSpan w:val="2"/>
            <w:tcBorders>
              <w:top w:val="single" w:sz="4" w:space="0" w:color="auto"/>
              <w:bottom w:val="single" w:sz="18" w:space="0" w:color="auto"/>
            </w:tcBorders>
          </w:tcPr>
          <w:p w14:paraId="7F89BEC4"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626874D7"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5C573DE3"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19EE08E1"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5BD76A4A"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4" w:space="0" w:color="auto"/>
              <w:bottom w:val="single" w:sz="18" w:space="0" w:color="auto"/>
            </w:tcBorders>
            <w:tcMar>
              <w:top w:w="0" w:type="dxa"/>
              <w:left w:w="108" w:type="dxa"/>
              <w:bottom w:w="0" w:type="dxa"/>
              <w:right w:w="108" w:type="dxa"/>
            </w:tcMar>
          </w:tcPr>
          <w:p w14:paraId="72158ED1" w14:textId="77777777" w:rsidR="002A39E3" w:rsidRPr="00DE0925" w:rsidRDefault="002A39E3" w:rsidP="00F70582">
            <w:pPr>
              <w:rPr>
                <w:b/>
                <w:sz w:val="16"/>
                <w:szCs w:val="16"/>
              </w:rPr>
            </w:pPr>
            <w:r w:rsidRPr="00DE0925">
              <w:rPr>
                <w:b/>
                <w:sz w:val="16"/>
                <w:szCs w:val="16"/>
              </w:rPr>
              <w:t>Weighting</w:t>
            </w:r>
          </w:p>
        </w:tc>
      </w:tr>
      <w:tr w:rsidR="002A39E3" w:rsidRPr="00DE0925" w14:paraId="64C13AD1" w14:textId="77777777" w:rsidTr="00F70582">
        <w:trPr>
          <w:trHeight w:val="208"/>
        </w:trPr>
        <w:tc>
          <w:tcPr>
            <w:tcW w:w="3119" w:type="dxa"/>
            <w:gridSpan w:val="4"/>
            <w:tcBorders>
              <w:top w:val="single" w:sz="18" w:space="0" w:color="auto"/>
              <w:bottom w:val="single" w:sz="4" w:space="0" w:color="auto"/>
            </w:tcBorders>
            <w:tcMar>
              <w:top w:w="0" w:type="dxa"/>
              <w:left w:w="108" w:type="dxa"/>
              <w:bottom w:w="0" w:type="dxa"/>
              <w:right w:w="108" w:type="dxa"/>
            </w:tcMar>
            <w:hideMark/>
          </w:tcPr>
          <w:p w14:paraId="7C8A5233" w14:textId="77777777" w:rsidR="002A39E3" w:rsidRPr="00DE0925" w:rsidRDefault="002A39E3" w:rsidP="00F70582">
            <w:pPr>
              <w:tabs>
                <w:tab w:val="center" w:pos="1322"/>
              </w:tabs>
              <w:rPr>
                <w:sz w:val="16"/>
                <w:szCs w:val="16"/>
              </w:rPr>
            </w:pPr>
            <w:r w:rsidRPr="00DE0925">
              <w:rPr>
                <w:b/>
                <w:sz w:val="16"/>
                <w:szCs w:val="16"/>
              </w:rPr>
              <w:t>Infrastructure</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61805D1F"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14814C00" w14:textId="77777777" w:rsidR="002A39E3" w:rsidRPr="00DE0925" w:rsidRDefault="002A39E3" w:rsidP="00F70582">
            <w:pPr>
              <w:rPr>
                <w:sz w:val="16"/>
                <w:szCs w:val="16"/>
              </w:rPr>
            </w:pPr>
          </w:p>
        </w:tc>
        <w:tc>
          <w:tcPr>
            <w:tcW w:w="1597" w:type="dxa"/>
            <w:gridSpan w:val="3"/>
            <w:tcBorders>
              <w:top w:val="single" w:sz="18" w:space="0" w:color="auto"/>
              <w:bottom w:val="single" w:sz="4" w:space="0" w:color="auto"/>
            </w:tcBorders>
          </w:tcPr>
          <w:p w14:paraId="3F4D5864" w14:textId="77777777" w:rsidR="002A39E3" w:rsidRPr="00DE0925" w:rsidRDefault="002A39E3" w:rsidP="00F70582">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1544DD9B"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0DF63EA8"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3ACE611D"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1A706436" w14:textId="77777777" w:rsidR="002A39E3" w:rsidRPr="00DE0925" w:rsidRDefault="002A39E3" w:rsidP="00F70582">
            <w:pPr>
              <w:rPr>
                <w:sz w:val="16"/>
                <w:szCs w:val="16"/>
              </w:rPr>
            </w:pPr>
          </w:p>
        </w:tc>
      </w:tr>
      <w:tr w:rsidR="002A39E3" w:rsidRPr="00DE0925" w14:paraId="46D377F4" w14:textId="77777777" w:rsidTr="00F70582">
        <w:tc>
          <w:tcPr>
            <w:tcW w:w="1701" w:type="dxa"/>
            <w:tcBorders>
              <w:top w:val="single" w:sz="4" w:space="0" w:color="auto"/>
              <w:bottom w:val="single" w:sz="12" w:space="0" w:color="auto"/>
            </w:tcBorders>
            <w:tcMar>
              <w:top w:w="0" w:type="dxa"/>
              <w:left w:w="108" w:type="dxa"/>
              <w:bottom w:w="0" w:type="dxa"/>
              <w:right w:w="108" w:type="dxa"/>
            </w:tcMar>
          </w:tcPr>
          <w:p w14:paraId="63FA3D8A" w14:textId="77777777" w:rsidR="002A39E3" w:rsidRPr="00DE0925" w:rsidRDefault="002A39E3" w:rsidP="00F70582">
            <w:pPr>
              <w:rPr>
                <w:bCs/>
                <w:sz w:val="16"/>
                <w:szCs w:val="16"/>
              </w:rPr>
            </w:pPr>
            <w:r w:rsidRPr="00DE0925">
              <w:rPr>
                <w:bCs/>
                <w:sz w:val="16"/>
                <w:szCs w:val="16"/>
              </w:rPr>
              <w:t>XYZ Port</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1217BA44" w14:textId="77777777" w:rsidR="002A39E3" w:rsidRPr="00DE0925" w:rsidRDefault="002A39E3" w:rsidP="00F70582">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33518218" w14:textId="77777777" w:rsidR="002A39E3" w:rsidRPr="00DE0925" w:rsidRDefault="002A39E3" w:rsidP="00F70582">
            <w:pPr>
              <w:rPr>
                <w:bCs/>
                <w:sz w:val="16"/>
                <w:szCs w:val="16"/>
              </w:rPr>
            </w:pPr>
            <w:r w:rsidRPr="00DE0925">
              <w:rPr>
                <w:b/>
                <w:bCs/>
                <w:sz w:val="16"/>
                <w:szCs w:val="16"/>
              </w:rPr>
              <w:t xml:space="preserve">   </w:t>
            </w:r>
            <w:r w:rsidRPr="00DE0925">
              <w:rPr>
                <w:bCs/>
                <w:sz w:val="16"/>
                <w:szCs w:val="16"/>
              </w:rPr>
              <w:t>1</w:t>
            </w:r>
          </w:p>
        </w:tc>
        <w:tc>
          <w:tcPr>
            <w:tcW w:w="1516" w:type="dxa"/>
            <w:gridSpan w:val="2"/>
            <w:tcBorders>
              <w:top w:val="single" w:sz="4" w:space="0" w:color="auto"/>
              <w:bottom w:val="single" w:sz="12" w:space="0" w:color="auto"/>
            </w:tcBorders>
          </w:tcPr>
          <w:p w14:paraId="58F89FD2" w14:textId="77777777" w:rsidR="002A39E3" w:rsidRPr="00DE0925" w:rsidRDefault="002A39E3" w:rsidP="00F70582">
            <w:pPr>
              <w:rPr>
                <w:sz w:val="16"/>
                <w:szCs w:val="16"/>
              </w:rPr>
            </w:pPr>
          </w:p>
        </w:tc>
        <w:tc>
          <w:tcPr>
            <w:tcW w:w="1597" w:type="dxa"/>
            <w:gridSpan w:val="3"/>
            <w:tcBorders>
              <w:top w:val="single" w:sz="4" w:space="0" w:color="auto"/>
              <w:bottom w:val="single" w:sz="12" w:space="0" w:color="auto"/>
            </w:tcBorders>
          </w:tcPr>
          <w:p w14:paraId="5518119B" w14:textId="77777777" w:rsidR="002A39E3" w:rsidRPr="00DE0925" w:rsidRDefault="002A39E3" w:rsidP="00F70582">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17684ABE" w14:textId="77777777" w:rsidR="002A39E3" w:rsidRPr="00DE0925" w:rsidRDefault="002A39E3" w:rsidP="00F70582">
            <w:pPr>
              <w:rPr>
                <w:sz w:val="16"/>
                <w:szCs w:val="16"/>
              </w:rPr>
            </w:pPr>
          </w:p>
        </w:tc>
        <w:tc>
          <w:tcPr>
            <w:tcW w:w="1223" w:type="dxa"/>
            <w:tcBorders>
              <w:top w:val="single" w:sz="4" w:space="0" w:color="auto"/>
              <w:bottom w:val="single" w:sz="12" w:space="0" w:color="auto"/>
              <w:right w:val="single" w:sz="4" w:space="0" w:color="auto"/>
            </w:tcBorders>
          </w:tcPr>
          <w:p w14:paraId="17080FED"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2B57B3B7" w14:textId="77777777" w:rsidR="002A39E3" w:rsidRPr="00DE0925" w:rsidRDefault="002A39E3" w:rsidP="00F70582">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5E964B4B" w14:textId="77777777" w:rsidR="002A39E3" w:rsidRPr="00DE0925" w:rsidRDefault="002A39E3" w:rsidP="00F70582">
            <w:pPr>
              <w:rPr>
                <w:sz w:val="16"/>
                <w:szCs w:val="16"/>
              </w:rPr>
            </w:pPr>
            <w:r w:rsidRPr="00DE0925">
              <w:rPr>
                <w:sz w:val="16"/>
                <w:szCs w:val="16"/>
              </w:rPr>
              <w:t>%</w:t>
            </w:r>
          </w:p>
        </w:tc>
      </w:tr>
      <w:tr w:rsidR="002A39E3" w:rsidRPr="00DE0925" w14:paraId="11C48283"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39ADA136" w14:textId="77777777" w:rsidR="002A39E3" w:rsidRPr="00DE0925" w:rsidRDefault="002A39E3" w:rsidP="00F70582">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550E58BA" w14:textId="77777777" w:rsidR="002A39E3" w:rsidRPr="00DE0925" w:rsidRDefault="002A39E3" w:rsidP="00F70582">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226EB5AF" w14:textId="77777777" w:rsidR="002A39E3" w:rsidRPr="00DE0925" w:rsidRDefault="002A39E3" w:rsidP="00F70582">
            <w:pPr>
              <w:rPr>
                <w:b/>
                <w:sz w:val="16"/>
                <w:szCs w:val="16"/>
              </w:rPr>
            </w:pPr>
          </w:p>
        </w:tc>
        <w:tc>
          <w:tcPr>
            <w:tcW w:w="1516" w:type="dxa"/>
            <w:gridSpan w:val="2"/>
            <w:tcBorders>
              <w:top w:val="single" w:sz="12" w:space="0" w:color="auto"/>
              <w:bottom w:val="single" w:sz="18" w:space="0" w:color="auto"/>
            </w:tcBorders>
          </w:tcPr>
          <w:p w14:paraId="0C3CB373" w14:textId="77777777" w:rsidR="002A39E3" w:rsidRPr="00DE0925" w:rsidRDefault="002A39E3" w:rsidP="00F70582">
            <w:pPr>
              <w:rPr>
                <w:b/>
                <w:sz w:val="16"/>
                <w:szCs w:val="16"/>
              </w:rPr>
            </w:pPr>
          </w:p>
        </w:tc>
        <w:tc>
          <w:tcPr>
            <w:tcW w:w="1597" w:type="dxa"/>
            <w:gridSpan w:val="3"/>
            <w:tcBorders>
              <w:top w:val="single" w:sz="12" w:space="0" w:color="auto"/>
              <w:bottom w:val="single" w:sz="18" w:space="0" w:color="auto"/>
            </w:tcBorders>
          </w:tcPr>
          <w:p w14:paraId="0FBCF116"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5E799635"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79845873"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654234E0" w14:textId="77777777" w:rsidR="002A39E3" w:rsidRPr="00DE0925" w:rsidRDefault="002A39E3" w:rsidP="00F70582">
            <w:pPr>
              <w:rPr>
                <w:b/>
                <w:sz w:val="16"/>
                <w:szCs w:val="16"/>
              </w:rPr>
            </w:pPr>
            <w:r w:rsidRPr="00DE0925">
              <w:rPr>
                <w:b/>
                <w:sz w:val="16"/>
                <w:szCs w:val="16"/>
              </w:rPr>
              <w:t>$1,000,000.00</w:t>
            </w:r>
          </w:p>
        </w:tc>
        <w:tc>
          <w:tcPr>
            <w:tcW w:w="1843" w:type="dxa"/>
            <w:tcBorders>
              <w:top w:val="single" w:sz="12" w:space="0" w:color="auto"/>
              <w:bottom w:val="single" w:sz="18" w:space="0" w:color="auto"/>
            </w:tcBorders>
            <w:tcMar>
              <w:top w:w="0" w:type="dxa"/>
              <w:left w:w="108" w:type="dxa"/>
              <w:bottom w:w="0" w:type="dxa"/>
              <w:right w:w="108" w:type="dxa"/>
            </w:tcMar>
          </w:tcPr>
          <w:p w14:paraId="37F37461" w14:textId="77777777" w:rsidR="002A39E3" w:rsidRPr="00DE0925" w:rsidRDefault="002A39E3" w:rsidP="00F70582">
            <w:pPr>
              <w:rPr>
                <w:b/>
                <w:sz w:val="16"/>
                <w:szCs w:val="16"/>
              </w:rPr>
            </w:pPr>
            <w:r w:rsidRPr="00DE0925">
              <w:rPr>
                <w:b/>
                <w:sz w:val="16"/>
                <w:szCs w:val="16"/>
              </w:rPr>
              <w:t>%</w:t>
            </w:r>
          </w:p>
        </w:tc>
      </w:tr>
      <w:tr w:rsidR="002A39E3" w:rsidRPr="00DE0925" w14:paraId="61BB502F"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3ACF83D4" w14:textId="77777777" w:rsidR="002A39E3" w:rsidRPr="00DE0925" w:rsidRDefault="002A39E3" w:rsidP="00F70582">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4601243F" w14:textId="77777777" w:rsidR="002A39E3" w:rsidRPr="00DE0925" w:rsidRDefault="002A39E3" w:rsidP="00F70582">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34D8629F" w14:textId="77777777" w:rsidR="002A39E3" w:rsidRPr="00DE0925" w:rsidRDefault="002A39E3" w:rsidP="00F70582">
            <w:pPr>
              <w:rPr>
                <w:b/>
                <w:sz w:val="16"/>
                <w:szCs w:val="16"/>
              </w:rPr>
            </w:pPr>
            <w:r w:rsidRPr="00DE0925">
              <w:rPr>
                <w:b/>
                <w:sz w:val="16"/>
                <w:szCs w:val="16"/>
              </w:rPr>
              <w:t>Units held</w:t>
            </w:r>
          </w:p>
        </w:tc>
        <w:tc>
          <w:tcPr>
            <w:tcW w:w="1516" w:type="dxa"/>
            <w:gridSpan w:val="2"/>
            <w:tcBorders>
              <w:top w:val="single" w:sz="4" w:space="0" w:color="auto"/>
              <w:bottom w:val="single" w:sz="18" w:space="0" w:color="auto"/>
            </w:tcBorders>
          </w:tcPr>
          <w:p w14:paraId="6C4C5084"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46B9C13A"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5F36AFDA"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5005199B"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6EB44039"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4" w:space="0" w:color="auto"/>
              <w:bottom w:val="single" w:sz="18" w:space="0" w:color="auto"/>
            </w:tcBorders>
            <w:tcMar>
              <w:top w:w="0" w:type="dxa"/>
              <w:left w:w="108" w:type="dxa"/>
              <w:bottom w:w="0" w:type="dxa"/>
              <w:right w:w="108" w:type="dxa"/>
            </w:tcMar>
          </w:tcPr>
          <w:p w14:paraId="1410C0A6" w14:textId="77777777" w:rsidR="002A39E3" w:rsidRPr="00DE0925" w:rsidRDefault="002A39E3" w:rsidP="00F70582">
            <w:pPr>
              <w:rPr>
                <w:b/>
                <w:sz w:val="16"/>
                <w:szCs w:val="16"/>
              </w:rPr>
            </w:pPr>
            <w:r w:rsidRPr="00DE0925">
              <w:rPr>
                <w:b/>
                <w:sz w:val="16"/>
                <w:szCs w:val="16"/>
              </w:rPr>
              <w:t>Weighting</w:t>
            </w:r>
          </w:p>
        </w:tc>
      </w:tr>
      <w:tr w:rsidR="002A39E3" w:rsidRPr="00DE0925" w14:paraId="5EB6A683" w14:textId="77777777" w:rsidTr="00F70582">
        <w:trPr>
          <w:trHeight w:val="208"/>
        </w:trPr>
        <w:tc>
          <w:tcPr>
            <w:tcW w:w="3119" w:type="dxa"/>
            <w:gridSpan w:val="4"/>
            <w:tcBorders>
              <w:top w:val="single" w:sz="18" w:space="0" w:color="auto"/>
              <w:bottom w:val="single" w:sz="4" w:space="0" w:color="auto"/>
            </w:tcBorders>
            <w:tcMar>
              <w:top w:w="0" w:type="dxa"/>
              <w:left w:w="108" w:type="dxa"/>
              <w:bottom w:w="0" w:type="dxa"/>
              <w:right w:w="108" w:type="dxa"/>
            </w:tcMar>
            <w:hideMark/>
          </w:tcPr>
          <w:p w14:paraId="69FFF789" w14:textId="77777777" w:rsidR="002A39E3" w:rsidRPr="00DE0925" w:rsidRDefault="002A39E3" w:rsidP="00F70582">
            <w:pPr>
              <w:tabs>
                <w:tab w:val="center" w:pos="1322"/>
              </w:tabs>
              <w:rPr>
                <w:sz w:val="16"/>
                <w:szCs w:val="16"/>
              </w:rPr>
            </w:pPr>
            <w:r w:rsidRPr="00DE0925">
              <w:rPr>
                <w:b/>
                <w:sz w:val="16"/>
                <w:szCs w:val="16"/>
              </w:rPr>
              <w:t>Commodities</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1BC82228" w14:textId="77777777" w:rsidR="002A39E3" w:rsidRPr="00DE0925" w:rsidRDefault="002A39E3" w:rsidP="00F70582">
            <w:pPr>
              <w:rPr>
                <w:sz w:val="16"/>
                <w:szCs w:val="16"/>
              </w:rPr>
            </w:pPr>
          </w:p>
        </w:tc>
        <w:tc>
          <w:tcPr>
            <w:tcW w:w="1516" w:type="dxa"/>
            <w:gridSpan w:val="2"/>
            <w:tcBorders>
              <w:top w:val="single" w:sz="18" w:space="0" w:color="auto"/>
              <w:bottom w:val="single" w:sz="4" w:space="0" w:color="auto"/>
            </w:tcBorders>
          </w:tcPr>
          <w:p w14:paraId="67D314C6" w14:textId="77777777" w:rsidR="002A39E3" w:rsidRPr="00DE0925" w:rsidRDefault="002A39E3" w:rsidP="00F70582">
            <w:pPr>
              <w:rPr>
                <w:sz w:val="16"/>
                <w:szCs w:val="16"/>
              </w:rPr>
            </w:pPr>
          </w:p>
        </w:tc>
        <w:tc>
          <w:tcPr>
            <w:tcW w:w="1597" w:type="dxa"/>
            <w:gridSpan w:val="3"/>
            <w:tcBorders>
              <w:top w:val="single" w:sz="18" w:space="0" w:color="auto"/>
              <w:bottom w:val="single" w:sz="4" w:space="0" w:color="auto"/>
            </w:tcBorders>
          </w:tcPr>
          <w:p w14:paraId="27D0CB45" w14:textId="77777777" w:rsidR="002A39E3" w:rsidRPr="00DE0925" w:rsidRDefault="002A39E3" w:rsidP="00F70582">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1012D9A8" w14:textId="77777777" w:rsidR="002A39E3" w:rsidRPr="00DE0925" w:rsidRDefault="002A39E3" w:rsidP="00F70582">
            <w:pPr>
              <w:rPr>
                <w:sz w:val="16"/>
                <w:szCs w:val="16"/>
              </w:rPr>
            </w:pPr>
          </w:p>
        </w:tc>
        <w:tc>
          <w:tcPr>
            <w:tcW w:w="1308" w:type="dxa"/>
            <w:gridSpan w:val="2"/>
            <w:tcBorders>
              <w:top w:val="single" w:sz="18" w:space="0" w:color="auto"/>
              <w:bottom w:val="single" w:sz="4" w:space="0" w:color="auto"/>
              <w:right w:val="single" w:sz="4" w:space="0" w:color="auto"/>
            </w:tcBorders>
          </w:tcPr>
          <w:p w14:paraId="3E34AF5D" w14:textId="77777777" w:rsidR="002A39E3" w:rsidRPr="00DE0925" w:rsidRDefault="002A39E3" w:rsidP="00F70582">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06385882" w14:textId="77777777" w:rsidR="002A39E3" w:rsidRPr="00DE0925" w:rsidRDefault="002A39E3" w:rsidP="00F70582">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3AA81EE9" w14:textId="77777777" w:rsidR="002A39E3" w:rsidRPr="00DE0925" w:rsidRDefault="002A39E3" w:rsidP="00F70582">
            <w:pPr>
              <w:rPr>
                <w:sz w:val="16"/>
                <w:szCs w:val="16"/>
              </w:rPr>
            </w:pPr>
          </w:p>
        </w:tc>
      </w:tr>
      <w:tr w:rsidR="002A39E3" w:rsidRPr="00DE0925" w14:paraId="59617E5F" w14:textId="77777777" w:rsidTr="00F70582">
        <w:tc>
          <w:tcPr>
            <w:tcW w:w="1701" w:type="dxa"/>
            <w:tcBorders>
              <w:top w:val="single" w:sz="4" w:space="0" w:color="auto"/>
              <w:bottom w:val="single" w:sz="12" w:space="0" w:color="auto"/>
            </w:tcBorders>
            <w:tcMar>
              <w:top w:w="0" w:type="dxa"/>
              <w:left w:w="108" w:type="dxa"/>
              <w:bottom w:w="0" w:type="dxa"/>
              <w:right w:w="108" w:type="dxa"/>
            </w:tcMar>
          </w:tcPr>
          <w:p w14:paraId="201ECF93" w14:textId="77777777" w:rsidR="002A39E3" w:rsidRPr="00DE0925" w:rsidRDefault="002A39E3" w:rsidP="00F70582">
            <w:pPr>
              <w:rPr>
                <w:bCs/>
                <w:sz w:val="16"/>
                <w:szCs w:val="16"/>
              </w:rPr>
            </w:pPr>
            <w:r w:rsidRPr="00DE0925">
              <w:rPr>
                <w:bCs/>
                <w:sz w:val="16"/>
                <w:szCs w:val="16"/>
              </w:rPr>
              <w:t>Gold Bullion</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590E0807" w14:textId="77777777" w:rsidR="002A39E3" w:rsidRPr="00DE0925" w:rsidRDefault="002A39E3" w:rsidP="00F70582">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0A56D547" w14:textId="77777777" w:rsidR="002A39E3" w:rsidRPr="00DE0925" w:rsidRDefault="002A39E3" w:rsidP="00F70582">
            <w:pPr>
              <w:rPr>
                <w:bCs/>
                <w:sz w:val="16"/>
                <w:szCs w:val="16"/>
              </w:rPr>
            </w:pPr>
            <w:r w:rsidRPr="00DE0925">
              <w:rPr>
                <w:b/>
                <w:bCs/>
                <w:sz w:val="16"/>
                <w:szCs w:val="16"/>
              </w:rPr>
              <w:t xml:space="preserve">   </w:t>
            </w:r>
            <w:r w:rsidRPr="00DE0925">
              <w:rPr>
                <w:bCs/>
                <w:sz w:val="16"/>
                <w:szCs w:val="16"/>
              </w:rPr>
              <w:t>10</w:t>
            </w:r>
          </w:p>
        </w:tc>
        <w:tc>
          <w:tcPr>
            <w:tcW w:w="1516" w:type="dxa"/>
            <w:gridSpan w:val="2"/>
            <w:tcBorders>
              <w:top w:val="single" w:sz="4" w:space="0" w:color="auto"/>
              <w:bottom w:val="single" w:sz="12" w:space="0" w:color="auto"/>
            </w:tcBorders>
          </w:tcPr>
          <w:p w14:paraId="4040CB60" w14:textId="77777777" w:rsidR="002A39E3" w:rsidRPr="00DE0925" w:rsidRDefault="002A39E3" w:rsidP="00F70582">
            <w:pPr>
              <w:rPr>
                <w:sz w:val="16"/>
                <w:szCs w:val="16"/>
              </w:rPr>
            </w:pPr>
          </w:p>
        </w:tc>
        <w:tc>
          <w:tcPr>
            <w:tcW w:w="1597" w:type="dxa"/>
            <w:gridSpan w:val="3"/>
            <w:tcBorders>
              <w:top w:val="single" w:sz="4" w:space="0" w:color="auto"/>
              <w:bottom w:val="single" w:sz="12" w:space="0" w:color="auto"/>
            </w:tcBorders>
          </w:tcPr>
          <w:p w14:paraId="10C6FFC3" w14:textId="77777777" w:rsidR="002A39E3" w:rsidRPr="00DE0925" w:rsidRDefault="002A39E3" w:rsidP="00F70582">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3D4EA62B" w14:textId="77777777" w:rsidR="002A39E3" w:rsidRPr="00DE0925" w:rsidRDefault="002A39E3" w:rsidP="00F70582">
            <w:pPr>
              <w:rPr>
                <w:sz w:val="16"/>
                <w:szCs w:val="16"/>
              </w:rPr>
            </w:pPr>
          </w:p>
        </w:tc>
        <w:tc>
          <w:tcPr>
            <w:tcW w:w="1223" w:type="dxa"/>
            <w:tcBorders>
              <w:top w:val="single" w:sz="4" w:space="0" w:color="auto"/>
              <w:bottom w:val="single" w:sz="12" w:space="0" w:color="auto"/>
              <w:right w:val="single" w:sz="4" w:space="0" w:color="auto"/>
            </w:tcBorders>
          </w:tcPr>
          <w:p w14:paraId="0D49A0A8" w14:textId="77777777" w:rsidR="002A39E3" w:rsidRPr="00DE0925" w:rsidRDefault="002A39E3" w:rsidP="00F70582">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5CA5091F" w14:textId="77777777" w:rsidR="002A39E3" w:rsidRPr="00DE0925" w:rsidRDefault="002A39E3" w:rsidP="00F70582">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425BDE07" w14:textId="77777777" w:rsidR="002A39E3" w:rsidRPr="00DE0925" w:rsidRDefault="002A39E3" w:rsidP="00F70582">
            <w:pPr>
              <w:rPr>
                <w:sz w:val="16"/>
                <w:szCs w:val="16"/>
              </w:rPr>
            </w:pPr>
            <w:r w:rsidRPr="00DE0925">
              <w:rPr>
                <w:sz w:val="16"/>
                <w:szCs w:val="16"/>
              </w:rPr>
              <w:t>%</w:t>
            </w:r>
          </w:p>
        </w:tc>
      </w:tr>
      <w:tr w:rsidR="002A39E3" w:rsidRPr="00DE0925" w14:paraId="6A35B840" w14:textId="77777777" w:rsidTr="00F70582">
        <w:tc>
          <w:tcPr>
            <w:tcW w:w="1701" w:type="dxa"/>
            <w:tcBorders>
              <w:top w:val="single" w:sz="12" w:space="0" w:color="auto"/>
              <w:bottom w:val="single" w:sz="12" w:space="0" w:color="auto"/>
            </w:tcBorders>
            <w:tcMar>
              <w:top w:w="0" w:type="dxa"/>
              <w:left w:w="108" w:type="dxa"/>
              <w:bottom w:w="0" w:type="dxa"/>
              <w:right w:w="108" w:type="dxa"/>
            </w:tcMar>
          </w:tcPr>
          <w:p w14:paraId="0C39D576" w14:textId="77777777" w:rsidR="002A39E3" w:rsidRPr="00DE0925" w:rsidRDefault="002A39E3" w:rsidP="00F70582">
            <w:pPr>
              <w:rPr>
                <w:b/>
                <w:bCs/>
                <w:sz w:val="16"/>
                <w:szCs w:val="16"/>
              </w:rPr>
            </w:pPr>
            <w:r w:rsidRPr="00DE0925">
              <w:rPr>
                <w:b/>
                <w:bCs/>
                <w:sz w:val="16"/>
                <w:szCs w:val="16"/>
              </w:rPr>
              <w:t>Total</w:t>
            </w:r>
          </w:p>
        </w:tc>
        <w:tc>
          <w:tcPr>
            <w:tcW w:w="1418" w:type="dxa"/>
            <w:gridSpan w:val="3"/>
            <w:tcBorders>
              <w:top w:val="single" w:sz="12" w:space="0" w:color="auto"/>
              <w:bottom w:val="single" w:sz="12" w:space="0" w:color="auto"/>
            </w:tcBorders>
            <w:tcMar>
              <w:top w:w="0" w:type="dxa"/>
              <w:left w:w="108" w:type="dxa"/>
              <w:bottom w:w="0" w:type="dxa"/>
              <w:right w:w="108" w:type="dxa"/>
            </w:tcMar>
          </w:tcPr>
          <w:p w14:paraId="21BEC644" w14:textId="77777777" w:rsidR="002A39E3" w:rsidRPr="00DE0925" w:rsidRDefault="002A39E3" w:rsidP="00F70582">
            <w:pPr>
              <w:rPr>
                <w:b/>
                <w:bCs/>
                <w:sz w:val="16"/>
                <w:szCs w:val="16"/>
              </w:rPr>
            </w:pPr>
          </w:p>
        </w:tc>
        <w:tc>
          <w:tcPr>
            <w:tcW w:w="1319" w:type="dxa"/>
            <w:tcBorders>
              <w:top w:val="single" w:sz="12" w:space="0" w:color="auto"/>
              <w:bottom w:val="single" w:sz="12" w:space="0" w:color="auto"/>
            </w:tcBorders>
            <w:tcMar>
              <w:top w:w="0" w:type="dxa"/>
              <w:left w:w="108" w:type="dxa"/>
              <w:bottom w:w="0" w:type="dxa"/>
              <w:right w:w="108" w:type="dxa"/>
            </w:tcMar>
          </w:tcPr>
          <w:p w14:paraId="2EC8F399" w14:textId="77777777" w:rsidR="002A39E3" w:rsidRPr="00DE0925" w:rsidRDefault="002A39E3" w:rsidP="00F70582">
            <w:pPr>
              <w:rPr>
                <w:b/>
                <w:sz w:val="16"/>
                <w:szCs w:val="16"/>
              </w:rPr>
            </w:pPr>
          </w:p>
        </w:tc>
        <w:tc>
          <w:tcPr>
            <w:tcW w:w="1516" w:type="dxa"/>
            <w:gridSpan w:val="2"/>
            <w:tcBorders>
              <w:top w:val="single" w:sz="12" w:space="0" w:color="auto"/>
              <w:bottom w:val="single" w:sz="12" w:space="0" w:color="auto"/>
            </w:tcBorders>
          </w:tcPr>
          <w:p w14:paraId="6E3606B3" w14:textId="77777777" w:rsidR="002A39E3" w:rsidRPr="00DE0925" w:rsidRDefault="002A39E3" w:rsidP="00F70582">
            <w:pPr>
              <w:rPr>
                <w:b/>
                <w:sz w:val="16"/>
                <w:szCs w:val="16"/>
              </w:rPr>
            </w:pPr>
          </w:p>
        </w:tc>
        <w:tc>
          <w:tcPr>
            <w:tcW w:w="1597" w:type="dxa"/>
            <w:gridSpan w:val="3"/>
            <w:tcBorders>
              <w:top w:val="single" w:sz="12" w:space="0" w:color="auto"/>
              <w:bottom w:val="single" w:sz="12" w:space="0" w:color="auto"/>
            </w:tcBorders>
          </w:tcPr>
          <w:p w14:paraId="29AC043A" w14:textId="77777777" w:rsidR="002A39E3" w:rsidRPr="00DE0925" w:rsidRDefault="002A39E3" w:rsidP="00F70582">
            <w:pPr>
              <w:rPr>
                <w:b/>
                <w:sz w:val="16"/>
                <w:szCs w:val="16"/>
              </w:rPr>
            </w:pPr>
          </w:p>
        </w:tc>
        <w:tc>
          <w:tcPr>
            <w:tcW w:w="1414" w:type="dxa"/>
            <w:gridSpan w:val="3"/>
            <w:tcBorders>
              <w:top w:val="single" w:sz="12" w:space="0" w:color="auto"/>
              <w:bottom w:val="single" w:sz="12" w:space="0" w:color="auto"/>
            </w:tcBorders>
            <w:tcMar>
              <w:top w:w="0" w:type="dxa"/>
              <w:left w:w="108" w:type="dxa"/>
              <w:bottom w:w="0" w:type="dxa"/>
              <w:right w:w="108" w:type="dxa"/>
            </w:tcMar>
          </w:tcPr>
          <w:p w14:paraId="472B0102" w14:textId="77777777" w:rsidR="002A39E3" w:rsidRPr="00DE0925" w:rsidRDefault="002A39E3" w:rsidP="00F70582">
            <w:pPr>
              <w:rPr>
                <w:b/>
                <w:sz w:val="16"/>
                <w:szCs w:val="16"/>
              </w:rPr>
            </w:pPr>
          </w:p>
        </w:tc>
        <w:tc>
          <w:tcPr>
            <w:tcW w:w="1223" w:type="dxa"/>
            <w:tcBorders>
              <w:top w:val="single" w:sz="12" w:space="0" w:color="auto"/>
              <w:bottom w:val="single" w:sz="12" w:space="0" w:color="auto"/>
              <w:right w:val="single" w:sz="4" w:space="0" w:color="auto"/>
            </w:tcBorders>
          </w:tcPr>
          <w:p w14:paraId="57D27EB2"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2" w:space="0" w:color="auto"/>
            </w:tcBorders>
            <w:tcMar>
              <w:top w:w="0" w:type="dxa"/>
              <w:left w:w="108" w:type="dxa"/>
              <w:bottom w:w="0" w:type="dxa"/>
              <w:right w:w="108" w:type="dxa"/>
            </w:tcMar>
          </w:tcPr>
          <w:p w14:paraId="41534BC1" w14:textId="77777777" w:rsidR="002A39E3" w:rsidRPr="00DE0925" w:rsidRDefault="002A39E3" w:rsidP="00F70582">
            <w:pPr>
              <w:rPr>
                <w:b/>
                <w:sz w:val="16"/>
                <w:szCs w:val="16"/>
              </w:rPr>
            </w:pPr>
            <w:r w:rsidRPr="00DE0925">
              <w:rPr>
                <w:b/>
                <w:sz w:val="16"/>
                <w:szCs w:val="16"/>
              </w:rPr>
              <w:t>$1,000,000.00</w:t>
            </w:r>
          </w:p>
        </w:tc>
        <w:tc>
          <w:tcPr>
            <w:tcW w:w="1843" w:type="dxa"/>
            <w:tcBorders>
              <w:top w:val="single" w:sz="12" w:space="0" w:color="auto"/>
              <w:bottom w:val="single" w:sz="12" w:space="0" w:color="auto"/>
            </w:tcBorders>
            <w:tcMar>
              <w:top w:w="0" w:type="dxa"/>
              <w:left w:w="108" w:type="dxa"/>
              <w:bottom w:w="0" w:type="dxa"/>
              <w:right w:w="108" w:type="dxa"/>
            </w:tcMar>
          </w:tcPr>
          <w:p w14:paraId="338E03D4" w14:textId="77777777" w:rsidR="002A39E3" w:rsidRPr="00DE0925" w:rsidRDefault="002A39E3" w:rsidP="00F70582">
            <w:pPr>
              <w:rPr>
                <w:b/>
                <w:sz w:val="16"/>
                <w:szCs w:val="16"/>
              </w:rPr>
            </w:pPr>
            <w:r w:rsidRPr="00DE0925">
              <w:rPr>
                <w:b/>
                <w:sz w:val="16"/>
                <w:szCs w:val="16"/>
              </w:rPr>
              <w:t>%</w:t>
            </w:r>
          </w:p>
        </w:tc>
      </w:tr>
      <w:tr w:rsidR="002A39E3" w:rsidRPr="00DE0925" w14:paraId="24C6DD01" w14:textId="77777777" w:rsidTr="00F70582">
        <w:tc>
          <w:tcPr>
            <w:tcW w:w="1701" w:type="dxa"/>
            <w:tcBorders>
              <w:top w:val="single" w:sz="12" w:space="0" w:color="auto"/>
              <w:bottom w:val="single" w:sz="18" w:space="0" w:color="auto"/>
            </w:tcBorders>
            <w:tcMar>
              <w:top w:w="0" w:type="dxa"/>
              <w:left w:w="108" w:type="dxa"/>
              <w:bottom w:w="0" w:type="dxa"/>
              <w:right w:w="108" w:type="dxa"/>
            </w:tcMar>
          </w:tcPr>
          <w:p w14:paraId="29EA6018" w14:textId="77777777" w:rsidR="002A39E3" w:rsidRPr="00DE0925" w:rsidRDefault="002A39E3" w:rsidP="00F70582">
            <w:pPr>
              <w:rPr>
                <w:b/>
                <w:bCs/>
                <w:sz w:val="16"/>
                <w:szCs w:val="16"/>
              </w:rPr>
            </w:pPr>
            <w:r w:rsidRPr="00DE0925">
              <w:rPr>
                <w:b/>
                <w:bCs/>
                <w:sz w:val="16"/>
                <w:szCs w:val="16"/>
              </w:rPr>
              <w:lastRenderedPageBreak/>
              <w:t>Name/kind of investment item</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1F754154" w14:textId="77777777" w:rsidR="002A39E3" w:rsidRPr="00DE0925" w:rsidRDefault="002A39E3" w:rsidP="00F70582">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7057E75D" w14:textId="77777777" w:rsidR="002A39E3" w:rsidRPr="00DE0925" w:rsidRDefault="002A39E3" w:rsidP="00F70582">
            <w:pPr>
              <w:rPr>
                <w:b/>
                <w:sz w:val="16"/>
                <w:szCs w:val="16"/>
              </w:rPr>
            </w:pPr>
          </w:p>
        </w:tc>
        <w:tc>
          <w:tcPr>
            <w:tcW w:w="1516" w:type="dxa"/>
            <w:gridSpan w:val="2"/>
            <w:tcBorders>
              <w:top w:val="single" w:sz="12" w:space="0" w:color="auto"/>
              <w:bottom w:val="single" w:sz="18" w:space="0" w:color="auto"/>
            </w:tcBorders>
          </w:tcPr>
          <w:p w14:paraId="7753CF4C" w14:textId="77777777" w:rsidR="002A39E3" w:rsidRPr="00DE0925" w:rsidRDefault="002A39E3" w:rsidP="00F70582">
            <w:pPr>
              <w:rPr>
                <w:b/>
                <w:sz w:val="16"/>
                <w:szCs w:val="16"/>
              </w:rPr>
            </w:pPr>
          </w:p>
        </w:tc>
        <w:tc>
          <w:tcPr>
            <w:tcW w:w="1597" w:type="dxa"/>
            <w:gridSpan w:val="3"/>
            <w:tcBorders>
              <w:top w:val="single" w:sz="12" w:space="0" w:color="auto"/>
              <w:bottom w:val="single" w:sz="18" w:space="0" w:color="auto"/>
            </w:tcBorders>
          </w:tcPr>
          <w:p w14:paraId="654481D4" w14:textId="77777777" w:rsidR="002A39E3" w:rsidRPr="00DE0925" w:rsidRDefault="002A39E3" w:rsidP="00F70582">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10359F86" w14:textId="77777777" w:rsidR="002A39E3" w:rsidRPr="00DE0925" w:rsidRDefault="002A39E3" w:rsidP="00F70582">
            <w:pPr>
              <w:rPr>
                <w:b/>
                <w:sz w:val="16"/>
                <w:szCs w:val="16"/>
              </w:rPr>
            </w:pPr>
          </w:p>
        </w:tc>
        <w:tc>
          <w:tcPr>
            <w:tcW w:w="1223" w:type="dxa"/>
            <w:tcBorders>
              <w:top w:val="single" w:sz="12" w:space="0" w:color="auto"/>
              <w:bottom w:val="single" w:sz="18" w:space="0" w:color="auto"/>
              <w:right w:val="single" w:sz="4" w:space="0" w:color="auto"/>
            </w:tcBorders>
          </w:tcPr>
          <w:p w14:paraId="743594AB" w14:textId="77777777" w:rsidR="002A39E3" w:rsidRPr="00DE0925" w:rsidRDefault="002A39E3" w:rsidP="00F70582">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46955EC7" w14:textId="77777777" w:rsidR="002A39E3" w:rsidRPr="00DE0925" w:rsidRDefault="002A39E3" w:rsidP="00F70582">
            <w:pPr>
              <w:rPr>
                <w:b/>
                <w:sz w:val="16"/>
                <w:szCs w:val="16"/>
              </w:rPr>
            </w:pPr>
            <w:r w:rsidRPr="00DE0925">
              <w:rPr>
                <w:b/>
                <w:sz w:val="16"/>
                <w:szCs w:val="16"/>
              </w:rPr>
              <w:t xml:space="preserve">Value </w:t>
            </w:r>
          </w:p>
        </w:tc>
        <w:tc>
          <w:tcPr>
            <w:tcW w:w="1843" w:type="dxa"/>
            <w:tcBorders>
              <w:top w:val="single" w:sz="12" w:space="0" w:color="auto"/>
              <w:bottom w:val="single" w:sz="18" w:space="0" w:color="auto"/>
            </w:tcBorders>
            <w:tcMar>
              <w:top w:w="0" w:type="dxa"/>
              <w:left w:w="108" w:type="dxa"/>
              <w:bottom w:w="0" w:type="dxa"/>
              <w:right w:w="108" w:type="dxa"/>
            </w:tcMar>
          </w:tcPr>
          <w:p w14:paraId="6B61DF78" w14:textId="77777777" w:rsidR="002A39E3" w:rsidRPr="00DE0925" w:rsidRDefault="002A39E3" w:rsidP="00F70582">
            <w:pPr>
              <w:rPr>
                <w:b/>
                <w:sz w:val="16"/>
                <w:szCs w:val="16"/>
              </w:rPr>
            </w:pPr>
            <w:r w:rsidRPr="00DE0925">
              <w:rPr>
                <w:b/>
                <w:sz w:val="16"/>
                <w:szCs w:val="16"/>
              </w:rPr>
              <w:t>Weighting</w:t>
            </w:r>
          </w:p>
        </w:tc>
      </w:tr>
      <w:tr w:rsidR="002A39E3" w:rsidRPr="00DE0925" w14:paraId="76B4F8EC" w14:textId="77777777" w:rsidTr="00F70582">
        <w:tc>
          <w:tcPr>
            <w:tcW w:w="1701" w:type="dxa"/>
            <w:tcBorders>
              <w:top w:val="single" w:sz="4" w:space="0" w:color="auto"/>
              <w:bottom w:val="single" w:sz="18" w:space="0" w:color="auto"/>
            </w:tcBorders>
            <w:tcMar>
              <w:top w:w="0" w:type="dxa"/>
              <w:left w:w="108" w:type="dxa"/>
              <w:bottom w:w="0" w:type="dxa"/>
              <w:right w:w="108" w:type="dxa"/>
            </w:tcMar>
          </w:tcPr>
          <w:p w14:paraId="7C19441B" w14:textId="77777777" w:rsidR="002A39E3" w:rsidRPr="00DE0925" w:rsidRDefault="002A39E3" w:rsidP="00F70582">
            <w:pPr>
              <w:rPr>
                <w:b/>
                <w:bCs/>
                <w:sz w:val="16"/>
                <w:szCs w:val="16"/>
              </w:rPr>
            </w:pPr>
            <w:r w:rsidRPr="00DE0925">
              <w:rPr>
                <w:b/>
                <w:bCs/>
                <w:sz w:val="16"/>
                <w:szCs w:val="16"/>
              </w:rPr>
              <w:t>Other</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7056AA5B" w14:textId="77777777" w:rsidR="002A39E3" w:rsidRPr="00DE0925" w:rsidRDefault="002A39E3" w:rsidP="00F70582">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47D24A49" w14:textId="77777777" w:rsidR="002A39E3" w:rsidRPr="00DE0925" w:rsidRDefault="002A39E3" w:rsidP="00F70582">
            <w:pPr>
              <w:rPr>
                <w:b/>
                <w:sz w:val="16"/>
                <w:szCs w:val="16"/>
              </w:rPr>
            </w:pPr>
          </w:p>
        </w:tc>
        <w:tc>
          <w:tcPr>
            <w:tcW w:w="1516" w:type="dxa"/>
            <w:gridSpan w:val="2"/>
            <w:tcBorders>
              <w:top w:val="single" w:sz="4" w:space="0" w:color="auto"/>
              <w:bottom w:val="single" w:sz="18" w:space="0" w:color="auto"/>
            </w:tcBorders>
          </w:tcPr>
          <w:p w14:paraId="6978BBA4"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57C37CB6"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01942ECF"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2CD462C3"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6ADDA915" w14:textId="77777777" w:rsidR="002A39E3" w:rsidRPr="00DE0925" w:rsidRDefault="002A39E3" w:rsidP="00F70582">
            <w:pPr>
              <w:rPr>
                <w:b/>
                <w:sz w:val="16"/>
                <w:szCs w:val="16"/>
              </w:rPr>
            </w:pPr>
            <w:r w:rsidRPr="00DE0925">
              <w:rPr>
                <w:b/>
                <w:sz w:val="16"/>
                <w:szCs w:val="16"/>
              </w:rPr>
              <w:t>$</w:t>
            </w:r>
            <w:r>
              <w:rPr>
                <w:b/>
                <w:sz w:val="16"/>
                <w:szCs w:val="16"/>
              </w:rPr>
              <w:t>-</w:t>
            </w:r>
          </w:p>
        </w:tc>
        <w:tc>
          <w:tcPr>
            <w:tcW w:w="1843" w:type="dxa"/>
            <w:tcBorders>
              <w:top w:val="single" w:sz="4" w:space="0" w:color="auto"/>
              <w:bottom w:val="single" w:sz="18" w:space="0" w:color="auto"/>
            </w:tcBorders>
            <w:tcMar>
              <w:top w:w="0" w:type="dxa"/>
              <w:left w:w="108" w:type="dxa"/>
              <w:bottom w:w="0" w:type="dxa"/>
              <w:right w:w="108" w:type="dxa"/>
            </w:tcMar>
          </w:tcPr>
          <w:p w14:paraId="54AC7297" w14:textId="77777777" w:rsidR="002A39E3" w:rsidRPr="00DE0925" w:rsidRDefault="002A39E3" w:rsidP="00F70582">
            <w:pPr>
              <w:rPr>
                <w:b/>
                <w:sz w:val="16"/>
                <w:szCs w:val="16"/>
              </w:rPr>
            </w:pPr>
            <w:r w:rsidRPr="00DE0925">
              <w:rPr>
                <w:b/>
                <w:sz w:val="16"/>
                <w:szCs w:val="16"/>
              </w:rPr>
              <w:t>%</w:t>
            </w:r>
          </w:p>
        </w:tc>
      </w:tr>
      <w:tr w:rsidR="002A39E3" w:rsidRPr="00DE0925" w14:paraId="252FFC6C" w14:textId="77777777" w:rsidTr="00F70582">
        <w:tc>
          <w:tcPr>
            <w:tcW w:w="1985" w:type="dxa"/>
            <w:gridSpan w:val="2"/>
            <w:tcBorders>
              <w:top w:val="single" w:sz="4" w:space="0" w:color="auto"/>
              <w:bottom w:val="single" w:sz="18" w:space="0" w:color="auto"/>
            </w:tcBorders>
            <w:tcMar>
              <w:top w:w="0" w:type="dxa"/>
              <w:left w:w="108" w:type="dxa"/>
              <w:bottom w:w="0" w:type="dxa"/>
              <w:right w:w="108" w:type="dxa"/>
            </w:tcMar>
          </w:tcPr>
          <w:p w14:paraId="17BE6F6C" w14:textId="77777777" w:rsidR="002A39E3" w:rsidRPr="00DE0925" w:rsidRDefault="002A39E3" w:rsidP="00F70582">
            <w:pPr>
              <w:rPr>
                <w:b/>
                <w:bCs/>
                <w:sz w:val="16"/>
                <w:szCs w:val="16"/>
              </w:rPr>
            </w:pPr>
            <w:r w:rsidRPr="00DE0925">
              <w:rPr>
                <w:b/>
                <w:bCs/>
                <w:sz w:val="16"/>
                <w:szCs w:val="16"/>
              </w:rPr>
              <w:t>Total</w:t>
            </w:r>
          </w:p>
        </w:tc>
        <w:tc>
          <w:tcPr>
            <w:tcW w:w="1134" w:type="dxa"/>
            <w:gridSpan w:val="2"/>
            <w:tcBorders>
              <w:top w:val="single" w:sz="4" w:space="0" w:color="auto"/>
              <w:bottom w:val="single" w:sz="18" w:space="0" w:color="auto"/>
            </w:tcBorders>
            <w:tcMar>
              <w:top w:w="0" w:type="dxa"/>
              <w:left w:w="108" w:type="dxa"/>
              <w:bottom w:w="0" w:type="dxa"/>
              <w:right w:w="108" w:type="dxa"/>
            </w:tcMar>
          </w:tcPr>
          <w:p w14:paraId="7FC5351B" w14:textId="77777777" w:rsidR="002A39E3" w:rsidRPr="00DE0925" w:rsidRDefault="002A39E3" w:rsidP="00F70582">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4B9359D3" w14:textId="77777777" w:rsidR="002A39E3" w:rsidRPr="00DE0925" w:rsidRDefault="002A39E3" w:rsidP="00F70582">
            <w:pPr>
              <w:rPr>
                <w:b/>
                <w:sz w:val="16"/>
                <w:szCs w:val="16"/>
              </w:rPr>
            </w:pPr>
          </w:p>
        </w:tc>
        <w:tc>
          <w:tcPr>
            <w:tcW w:w="1516" w:type="dxa"/>
            <w:gridSpan w:val="2"/>
            <w:tcBorders>
              <w:top w:val="single" w:sz="4" w:space="0" w:color="auto"/>
              <w:bottom w:val="single" w:sz="18" w:space="0" w:color="auto"/>
            </w:tcBorders>
          </w:tcPr>
          <w:p w14:paraId="6EE9C7CB"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19A2B647"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12377B44"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75809F64"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626FA84D" w14:textId="77777777" w:rsidR="002A39E3" w:rsidRPr="00DE0925" w:rsidRDefault="002A39E3" w:rsidP="00F70582">
            <w:pPr>
              <w:rPr>
                <w:b/>
                <w:sz w:val="16"/>
                <w:szCs w:val="16"/>
              </w:rPr>
            </w:pPr>
            <w:r w:rsidRPr="00DE0925">
              <w:rPr>
                <w:b/>
                <w:sz w:val="16"/>
                <w:szCs w:val="16"/>
              </w:rPr>
              <w:t>$</w:t>
            </w:r>
            <w:r>
              <w:rPr>
                <w:b/>
                <w:sz w:val="16"/>
                <w:szCs w:val="16"/>
              </w:rPr>
              <w:t>-</w:t>
            </w:r>
          </w:p>
        </w:tc>
        <w:tc>
          <w:tcPr>
            <w:tcW w:w="1843" w:type="dxa"/>
            <w:tcBorders>
              <w:top w:val="single" w:sz="4" w:space="0" w:color="auto"/>
              <w:bottom w:val="single" w:sz="18" w:space="0" w:color="auto"/>
            </w:tcBorders>
            <w:tcMar>
              <w:top w:w="0" w:type="dxa"/>
              <w:left w:w="108" w:type="dxa"/>
              <w:bottom w:w="0" w:type="dxa"/>
              <w:right w:w="108" w:type="dxa"/>
            </w:tcMar>
          </w:tcPr>
          <w:p w14:paraId="70987E3E" w14:textId="77777777" w:rsidR="002A39E3" w:rsidRPr="00DE0925" w:rsidRDefault="002A39E3" w:rsidP="00F70582">
            <w:pPr>
              <w:rPr>
                <w:b/>
                <w:sz w:val="16"/>
                <w:szCs w:val="16"/>
              </w:rPr>
            </w:pPr>
            <w:r w:rsidRPr="00DE0925">
              <w:rPr>
                <w:b/>
                <w:sz w:val="16"/>
                <w:szCs w:val="16"/>
              </w:rPr>
              <w:t>%</w:t>
            </w:r>
          </w:p>
        </w:tc>
      </w:tr>
      <w:tr w:rsidR="002A39E3" w:rsidRPr="00DE0925" w14:paraId="1098C64D" w14:textId="77777777" w:rsidTr="00F70582">
        <w:tc>
          <w:tcPr>
            <w:tcW w:w="1985" w:type="dxa"/>
            <w:gridSpan w:val="2"/>
            <w:tcBorders>
              <w:top w:val="single" w:sz="4" w:space="0" w:color="auto"/>
              <w:bottom w:val="single" w:sz="18" w:space="0" w:color="auto"/>
            </w:tcBorders>
            <w:tcMar>
              <w:top w:w="0" w:type="dxa"/>
              <w:left w:w="108" w:type="dxa"/>
              <w:bottom w:w="0" w:type="dxa"/>
              <w:right w:w="108" w:type="dxa"/>
            </w:tcMar>
          </w:tcPr>
          <w:p w14:paraId="3CF3844A" w14:textId="77777777" w:rsidR="002A39E3" w:rsidRPr="00DE0925" w:rsidRDefault="002A39E3" w:rsidP="00F70582">
            <w:pPr>
              <w:rPr>
                <w:b/>
                <w:bCs/>
                <w:sz w:val="16"/>
                <w:szCs w:val="16"/>
              </w:rPr>
            </w:pPr>
            <w:r w:rsidRPr="00DE0925">
              <w:rPr>
                <w:b/>
                <w:bCs/>
                <w:sz w:val="16"/>
                <w:szCs w:val="16"/>
              </w:rPr>
              <w:t>Total Investment Items</w:t>
            </w:r>
          </w:p>
        </w:tc>
        <w:tc>
          <w:tcPr>
            <w:tcW w:w="1134" w:type="dxa"/>
            <w:gridSpan w:val="2"/>
            <w:tcBorders>
              <w:top w:val="single" w:sz="4" w:space="0" w:color="auto"/>
              <w:bottom w:val="single" w:sz="18" w:space="0" w:color="auto"/>
            </w:tcBorders>
            <w:tcMar>
              <w:top w:w="0" w:type="dxa"/>
              <w:left w:w="108" w:type="dxa"/>
              <w:bottom w:w="0" w:type="dxa"/>
              <w:right w:w="108" w:type="dxa"/>
            </w:tcMar>
          </w:tcPr>
          <w:p w14:paraId="6526E88B" w14:textId="77777777" w:rsidR="002A39E3" w:rsidRPr="00DE0925" w:rsidRDefault="002A39E3" w:rsidP="00F70582">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20B3F849" w14:textId="77777777" w:rsidR="002A39E3" w:rsidRPr="00DE0925" w:rsidRDefault="002A39E3" w:rsidP="00F70582">
            <w:pPr>
              <w:rPr>
                <w:b/>
                <w:sz w:val="16"/>
                <w:szCs w:val="16"/>
              </w:rPr>
            </w:pPr>
          </w:p>
        </w:tc>
        <w:tc>
          <w:tcPr>
            <w:tcW w:w="1516" w:type="dxa"/>
            <w:gridSpan w:val="2"/>
            <w:tcBorders>
              <w:top w:val="single" w:sz="4" w:space="0" w:color="auto"/>
              <w:bottom w:val="single" w:sz="18" w:space="0" w:color="auto"/>
            </w:tcBorders>
          </w:tcPr>
          <w:p w14:paraId="3348CF8D" w14:textId="77777777" w:rsidR="002A39E3" w:rsidRPr="00DE0925" w:rsidRDefault="002A39E3" w:rsidP="00F70582">
            <w:pPr>
              <w:rPr>
                <w:b/>
                <w:sz w:val="16"/>
                <w:szCs w:val="16"/>
              </w:rPr>
            </w:pPr>
          </w:p>
        </w:tc>
        <w:tc>
          <w:tcPr>
            <w:tcW w:w="1597" w:type="dxa"/>
            <w:gridSpan w:val="3"/>
            <w:tcBorders>
              <w:top w:val="single" w:sz="4" w:space="0" w:color="auto"/>
              <w:bottom w:val="single" w:sz="18" w:space="0" w:color="auto"/>
            </w:tcBorders>
          </w:tcPr>
          <w:p w14:paraId="0B4F358F" w14:textId="77777777" w:rsidR="002A39E3" w:rsidRPr="00DE0925" w:rsidRDefault="002A39E3" w:rsidP="00F70582">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78C6608C" w14:textId="77777777" w:rsidR="002A39E3" w:rsidRPr="00DE0925" w:rsidRDefault="002A39E3" w:rsidP="00F70582">
            <w:pPr>
              <w:rPr>
                <w:b/>
                <w:sz w:val="16"/>
                <w:szCs w:val="16"/>
              </w:rPr>
            </w:pPr>
          </w:p>
        </w:tc>
        <w:tc>
          <w:tcPr>
            <w:tcW w:w="1223" w:type="dxa"/>
            <w:tcBorders>
              <w:top w:val="single" w:sz="4" w:space="0" w:color="auto"/>
              <w:bottom w:val="single" w:sz="18" w:space="0" w:color="auto"/>
              <w:right w:val="single" w:sz="4" w:space="0" w:color="auto"/>
            </w:tcBorders>
          </w:tcPr>
          <w:p w14:paraId="6D72E480" w14:textId="77777777" w:rsidR="002A39E3" w:rsidRPr="00DE0925" w:rsidRDefault="002A39E3" w:rsidP="00F70582">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6BB4F643" w14:textId="77777777" w:rsidR="002A39E3" w:rsidRPr="00DE0925" w:rsidRDefault="002A39E3" w:rsidP="00F70582">
            <w:pPr>
              <w:rPr>
                <w:b/>
                <w:sz w:val="16"/>
                <w:szCs w:val="16"/>
              </w:rPr>
            </w:pPr>
            <w:r>
              <w:rPr>
                <w:b/>
                <w:sz w:val="16"/>
                <w:szCs w:val="16"/>
              </w:rPr>
              <w:t>$182,529,000</w:t>
            </w:r>
          </w:p>
        </w:tc>
        <w:tc>
          <w:tcPr>
            <w:tcW w:w="1843" w:type="dxa"/>
            <w:tcBorders>
              <w:top w:val="single" w:sz="4" w:space="0" w:color="auto"/>
              <w:bottom w:val="single" w:sz="18" w:space="0" w:color="auto"/>
            </w:tcBorders>
            <w:tcMar>
              <w:top w:w="0" w:type="dxa"/>
              <w:left w:w="108" w:type="dxa"/>
              <w:bottom w:w="0" w:type="dxa"/>
              <w:right w:w="108" w:type="dxa"/>
            </w:tcMar>
          </w:tcPr>
          <w:p w14:paraId="18585A9C" w14:textId="77777777" w:rsidR="002A39E3" w:rsidRPr="00DE0925" w:rsidRDefault="002A39E3" w:rsidP="00F70582">
            <w:pPr>
              <w:rPr>
                <w:b/>
                <w:sz w:val="16"/>
                <w:szCs w:val="16"/>
              </w:rPr>
            </w:pPr>
            <w:r w:rsidRPr="00DE0925">
              <w:rPr>
                <w:b/>
                <w:sz w:val="16"/>
                <w:szCs w:val="16"/>
              </w:rPr>
              <w:t>%</w:t>
            </w:r>
          </w:p>
        </w:tc>
      </w:tr>
    </w:tbl>
    <w:p w14:paraId="4FFC3138" w14:textId="77777777" w:rsidR="002A39E3" w:rsidRDefault="002A39E3" w:rsidP="002A39E3"/>
    <w:tbl>
      <w:tblPr>
        <w:tblStyle w:val="PlainTable2"/>
        <w:tblW w:w="15398" w:type="dxa"/>
        <w:tblInd w:w="-709" w:type="dxa"/>
        <w:tblLook w:val="04A0" w:firstRow="1" w:lastRow="0" w:firstColumn="1" w:lastColumn="0" w:noHBand="0" w:noVBand="1"/>
      </w:tblPr>
      <w:tblGrid>
        <w:gridCol w:w="1373"/>
        <w:gridCol w:w="1373"/>
        <w:gridCol w:w="1197"/>
        <w:gridCol w:w="863"/>
        <w:gridCol w:w="968"/>
        <w:gridCol w:w="1375"/>
        <w:gridCol w:w="1370"/>
        <w:gridCol w:w="1376"/>
        <w:gridCol w:w="1379"/>
        <w:gridCol w:w="1378"/>
        <w:gridCol w:w="1355"/>
        <w:gridCol w:w="1364"/>
        <w:gridCol w:w="27"/>
      </w:tblGrid>
      <w:tr w:rsidR="002A39E3" w:rsidRPr="00DE0925" w14:paraId="4E59546F" w14:textId="77777777" w:rsidTr="00F70582">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774" w:type="dxa"/>
            <w:gridSpan w:val="5"/>
            <w:tcBorders>
              <w:top w:val="single" w:sz="12" w:space="0" w:color="auto"/>
            </w:tcBorders>
          </w:tcPr>
          <w:p w14:paraId="18F9027E" w14:textId="77777777" w:rsidR="002A39E3" w:rsidRPr="00DE0925" w:rsidRDefault="002A39E3" w:rsidP="00F70582">
            <w:pPr>
              <w:rPr>
                <w:sz w:val="16"/>
                <w:szCs w:val="16"/>
              </w:rPr>
            </w:pPr>
            <w:r w:rsidRPr="00DE0925">
              <w:rPr>
                <w:sz w:val="16"/>
                <w:szCs w:val="16"/>
              </w:rPr>
              <w:t>Portfolio Holdings Information for Growth Fund A</w:t>
            </w:r>
            <w:r>
              <w:rPr>
                <w:sz w:val="16"/>
                <w:szCs w:val="16"/>
              </w:rPr>
              <w:t xml:space="preserve"> - Derivatives</w:t>
            </w:r>
          </w:p>
        </w:tc>
        <w:tc>
          <w:tcPr>
            <w:tcW w:w="1375" w:type="dxa"/>
            <w:tcBorders>
              <w:top w:val="single" w:sz="12" w:space="0" w:color="auto"/>
            </w:tcBorders>
          </w:tcPr>
          <w:p w14:paraId="23E16AC0"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tcBorders>
          </w:tcPr>
          <w:p w14:paraId="19C90C76"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tcBorders>
          </w:tcPr>
          <w:p w14:paraId="50EFD3FF"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right w:val="nil"/>
            </w:tcBorders>
          </w:tcPr>
          <w:p w14:paraId="1BA4C245"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right w:val="nil"/>
            </w:tcBorders>
          </w:tcPr>
          <w:p w14:paraId="1ABD825F"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nil"/>
            </w:tcBorders>
          </w:tcPr>
          <w:p w14:paraId="733F3DEA"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c>
          <w:tcPr>
            <w:tcW w:w="1391" w:type="dxa"/>
            <w:gridSpan w:val="2"/>
            <w:tcBorders>
              <w:top w:val="single" w:sz="12" w:space="0" w:color="auto"/>
            </w:tcBorders>
          </w:tcPr>
          <w:p w14:paraId="5C373E2E" w14:textId="77777777" w:rsidR="002A39E3" w:rsidRPr="00DE0925" w:rsidRDefault="002A39E3" w:rsidP="00F70582">
            <w:pPr>
              <w:cnfStyle w:val="100000000000" w:firstRow="1" w:lastRow="0" w:firstColumn="0" w:lastColumn="0" w:oddVBand="0" w:evenVBand="0" w:oddHBand="0" w:evenHBand="0" w:firstRowFirstColumn="0" w:firstRowLastColumn="0" w:lastRowFirstColumn="0" w:lastRowLastColumn="0"/>
              <w:rPr>
                <w:sz w:val="16"/>
                <w:szCs w:val="16"/>
              </w:rPr>
            </w:pPr>
          </w:p>
        </w:tc>
      </w:tr>
      <w:tr w:rsidR="002A39E3" w:rsidRPr="00DE0925" w14:paraId="2ABCBB54" w14:textId="77777777" w:rsidTr="00F7058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tcBorders>
          </w:tcPr>
          <w:p w14:paraId="54090B7A" w14:textId="77777777" w:rsidR="002A39E3" w:rsidRPr="00212388" w:rsidRDefault="002A39E3" w:rsidP="00F70582">
            <w:pPr>
              <w:rPr>
                <w:sz w:val="16"/>
                <w:szCs w:val="16"/>
              </w:rPr>
            </w:pPr>
            <w:r w:rsidRPr="00212388">
              <w:rPr>
                <w:sz w:val="16"/>
                <w:szCs w:val="16"/>
              </w:rPr>
              <w:t>Name/kind of investment item</w:t>
            </w:r>
          </w:p>
        </w:tc>
        <w:tc>
          <w:tcPr>
            <w:tcW w:w="1373" w:type="dxa"/>
            <w:tcBorders>
              <w:top w:val="single" w:sz="12" w:space="0" w:color="auto"/>
            </w:tcBorders>
          </w:tcPr>
          <w:p w14:paraId="7A0A2966"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Bought/Sold Position</w:t>
            </w:r>
          </w:p>
        </w:tc>
        <w:tc>
          <w:tcPr>
            <w:tcW w:w="1197" w:type="dxa"/>
            <w:tcBorders>
              <w:top w:val="single" w:sz="12" w:space="0" w:color="auto"/>
            </w:tcBorders>
          </w:tcPr>
          <w:p w14:paraId="72E32556"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Number of Contracts</w:t>
            </w:r>
          </w:p>
        </w:tc>
        <w:tc>
          <w:tcPr>
            <w:tcW w:w="1831" w:type="dxa"/>
            <w:gridSpan w:val="2"/>
            <w:tcBorders>
              <w:top w:val="single" w:sz="12" w:space="0" w:color="auto"/>
            </w:tcBorders>
          </w:tcPr>
          <w:p w14:paraId="0F1C5B0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Amount per Contract</w:t>
            </w:r>
          </w:p>
        </w:tc>
        <w:tc>
          <w:tcPr>
            <w:tcW w:w="1375" w:type="dxa"/>
            <w:tcBorders>
              <w:top w:val="single" w:sz="12" w:space="0" w:color="auto"/>
            </w:tcBorders>
          </w:tcPr>
          <w:p w14:paraId="4DDD5FC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Price in Contract (Underlying)</w:t>
            </w:r>
          </w:p>
        </w:tc>
        <w:tc>
          <w:tcPr>
            <w:tcW w:w="1370" w:type="dxa"/>
            <w:tcBorders>
              <w:top w:val="single" w:sz="12" w:space="0" w:color="auto"/>
            </w:tcBorders>
          </w:tcPr>
          <w:p w14:paraId="40B04AA2"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Notional Amount</w:t>
            </w:r>
          </w:p>
        </w:tc>
        <w:tc>
          <w:tcPr>
            <w:tcW w:w="1376" w:type="dxa"/>
            <w:tcBorders>
              <w:top w:val="single" w:sz="12" w:space="0" w:color="auto"/>
            </w:tcBorders>
          </w:tcPr>
          <w:p w14:paraId="462BED90"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 xml:space="preserve">Maturity Date </w:t>
            </w:r>
          </w:p>
        </w:tc>
        <w:tc>
          <w:tcPr>
            <w:tcW w:w="1379" w:type="dxa"/>
            <w:tcBorders>
              <w:top w:val="single" w:sz="12" w:space="0" w:color="auto"/>
              <w:right w:val="nil"/>
            </w:tcBorders>
          </w:tcPr>
          <w:p w14:paraId="1E457672"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Currency of Contract</w:t>
            </w:r>
          </w:p>
        </w:tc>
        <w:tc>
          <w:tcPr>
            <w:tcW w:w="1378" w:type="dxa"/>
            <w:tcBorders>
              <w:top w:val="single" w:sz="12" w:space="0" w:color="auto"/>
              <w:left w:val="nil"/>
              <w:right w:val="single" w:sz="6" w:space="0" w:color="auto"/>
            </w:tcBorders>
          </w:tcPr>
          <w:p w14:paraId="69DDB1AD"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p>
        </w:tc>
        <w:tc>
          <w:tcPr>
            <w:tcW w:w="1355" w:type="dxa"/>
            <w:tcBorders>
              <w:top w:val="single" w:sz="12" w:space="0" w:color="auto"/>
              <w:left w:val="single" w:sz="6" w:space="0" w:color="auto"/>
            </w:tcBorders>
          </w:tcPr>
          <w:p w14:paraId="78F637E0" w14:textId="77777777" w:rsidR="002A39E3" w:rsidRPr="00DE0925" w:rsidRDefault="002A39E3" w:rsidP="003F6EC5">
            <w:pPr>
              <w:cnfStyle w:val="000000100000" w:firstRow="0" w:lastRow="0" w:firstColumn="0" w:lastColumn="0" w:oddVBand="0" w:evenVBand="0" w:oddHBand="1" w:evenHBand="0" w:firstRowFirstColumn="0" w:firstRowLastColumn="0" w:lastRowFirstColumn="0" w:lastRowLastColumn="0"/>
              <w:rPr>
                <w:b/>
                <w:bCs/>
                <w:sz w:val="16"/>
                <w:szCs w:val="16"/>
              </w:rPr>
            </w:pPr>
            <w:r w:rsidRPr="00DE0925">
              <w:rPr>
                <w:b/>
                <w:bCs/>
                <w:sz w:val="16"/>
                <w:szCs w:val="16"/>
              </w:rPr>
              <w:t xml:space="preserve">Value </w:t>
            </w:r>
          </w:p>
        </w:tc>
        <w:tc>
          <w:tcPr>
            <w:tcW w:w="1391" w:type="dxa"/>
            <w:gridSpan w:val="2"/>
            <w:tcBorders>
              <w:top w:val="single" w:sz="12" w:space="0" w:color="auto"/>
            </w:tcBorders>
          </w:tcPr>
          <w:p w14:paraId="18CA7A26"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DE0925">
              <w:rPr>
                <w:b/>
                <w:bCs/>
                <w:sz w:val="16"/>
                <w:szCs w:val="16"/>
              </w:rPr>
              <w:t>Weighting</w:t>
            </w:r>
          </w:p>
        </w:tc>
      </w:tr>
      <w:tr w:rsidR="002A39E3" w:rsidRPr="00DE0925" w14:paraId="223B2BD5" w14:textId="77777777" w:rsidTr="00F70582">
        <w:trPr>
          <w:trHeight w:val="438"/>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tcBorders>
          </w:tcPr>
          <w:p w14:paraId="256B4FD9" w14:textId="77777777" w:rsidR="002A39E3" w:rsidRPr="00212388" w:rsidRDefault="002A39E3" w:rsidP="00F70582">
            <w:pPr>
              <w:rPr>
                <w:sz w:val="16"/>
                <w:szCs w:val="16"/>
              </w:rPr>
            </w:pPr>
            <w:r w:rsidRPr="00212388">
              <w:rPr>
                <w:sz w:val="16"/>
                <w:szCs w:val="16"/>
              </w:rPr>
              <w:t>Future Contracts Underlying Asset</w:t>
            </w:r>
          </w:p>
        </w:tc>
        <w:tc>
          <w:tcPr>
            <w:tcW w:w="1373" w:type="dxa"/>
            <w:tcBorders>
              <w:top w:val="single" w:sz="12" w:space="0" w:color="auto"/>
            </w:tcBorders>
          </w:tcPr>
          <w:p w14:paraId="20E2F28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tcBorders>
          </w:tcPr>
          <w:p w14:paraId="3D7DFAF5"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12" w:space="0" w:color="auto"/>
            </w:tcBorders>
          </w:tcPr>
          <w:p w14:paraId="25115668"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tcBorders>
          </w:tcPr>
          <w:p w14:paraId="252C9F9C"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tcBorders>
          </w:tcPr>
          <w:p w14:paraId="3BF3F69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tcBorders>
          </w:tcPr>
          <w:p w14:paraId="1948E82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right w:val="nil"/>
            </w:tcBorders>
          </w:tcPr>
          <w:p w14:paraId="1CFF41C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right w:val="single" w:sz="6" w:space="0" w:color="auto"/>
            </w:tcBorders>
          </w:tcPr>
          <w:p w14:paraId="078BB482"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tcBorders>
          </w:tcPr>
          <w:p w14:paraId="159895B4"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gridSpan w:val="2"/>
            <w:tcBorders>
              <w:top w:val="single" w:sz="12" w:space="0" w:color="auto"/>
            </w:tcBorders>
          </w:tcPr>
          <w:p w14:paraId="19B3CFE4"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r>
      <w:tr w:rsidR="002A39E3" w:rsidRPr="00DE0925" w14:paraId="3F56E048" w14:textId="77777777" w:rsidTr="00F7058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373" w:type="dxa"/>
          </w:tcPr>
          <w:p w14:paraId="530D413A" w14:textId="77777777" w:rsidR="002A39E3" w:rsidRPr="00212388" w:rsidRDefault="002A39E3" w:rsidP="00F70582">
            <w:pPr>
              <w:rPr>
                <w:b w:val="0"/>
                <w:bCs w:val="0"/>
                <w:sz w:val="16"/>
                <w:szCs w:val="16"/>
              </w:rPr>
            </w:pPr>
            <w:r w:rsidRPr="00212388">
              <w:rPr>
                <w:b w:val="0"/>
                <w:bCs w:val="0"/>
                <w:sz w:val="16"/>
                <w:szCs w:val="16"/>
              </w:rPr>
              <w:t>Gold</w:t>
            </w:r>
          </w:p>
        </w:tc>
        <w:tc>
          <w:tcPr>
            <w:tcW w:w="1373" w:type="dxa"/>
          </w:tcPr>
          <w:p w14:paraId="3E8C266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Bought</w:t>
            </w:r>
          </w:p>
        </w:tc>
        <w:tc>
          <w:tcPr>
            <w:tcW w:w="1197" w:type="dxa"/>
          </w:tcPr>
          <w:p w14:paraId="21AA69E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10</w:t>
            </w:r>
          </w:p>
        </w:tc>
        <w:tc>
          <w:tcPr>
            <w:tcW w:w="1831" w:type="dxa"/>
            <w:gridSpan w:val="2"/>
          </w:tcPr>
          <w:p w14:paraId="21ADA20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10oz</w:t>
            </w:r>
          </w:p>
        </w:tc>
        <w:tc>
          <w:tcPr>
            <w:tcW w:w="1375" w:type="dxa"/>
          </w:tcPr>
          <w:p w14:paraId="1D2CC71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$2,000</w:t>
            </w:r>
          </w:p>
        </w:tc>
        <w:tc>
          <w:tcPr>
            <w:tcW w:w="1370" w:type="dxa"/>
          </w:tcPr>
          <w:p w14:paraId="59DECF8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$200,000</w:t>
            </w:r>
          </w:p>
        </w:tc>
        <w:tc>
          <w:tcPr>
            <w:tcW w:w="1376" w:type="dxa"/>
          </w:tcPr>
          <w:p w14:paraId="53CCC995"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30/06/2021</w:t>
            </w:r>
          </w:p>
        </w:tc>
        <w:tc>
          <w:tcPr>
            <w:tcW w:w="1379" w:type="dxa"/>
            <w:tcBorders>
              <w:right w:val="nil"/>
            </w:tcBorders>
          </w:tcPr>
          <w:p w14:paraId="725E3AE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AUD</w:t>
            </w:r>
          </w:p>
        </w:tc>
        <w:tc>
          <w:tcPr>
            <w:tcW w:w="1378" w:type="dxa"/>
            <w:tcBorders>
              <w:left w:val="nil"/>
              <w:right w:val="single" w:sz="6" w:space="0" w:color="auto"/>
            </w:tcBorders>
          </w:tcPr>
          <w:p w14:paraId="2406D80F"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tcBorders>
              <w:left w:val="single" w:sz="6" w:space="0" w:color="auto"/>
            </w:tcBorders>
          </w:tcPr>
          <w:p w14:paraId="359B8201"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91" w:type="dxa"/>
            <w:gridSpan w:val="2"/>
          </w:tcPr>
          <w:p w14:paraId="29D72FF0"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40F8D3D4" w14:textId="77777777" w:rsidTr="00F70582">
        <w:trPr>
          <w:trHeight w:val="374"/>
        </w:trPr>
        <w:tc>
          <w:tcPr>
            <w:cnfStyle w:val="001000000000" w:firstRow="0" w:lastRow="0" w:firstColumn="1" w:lastColumn="0" w:oddVBand="0" w:evenVBand="0" w:oddHBand="0" w:evenHBand="0" w:firstRowFirstColumn="0" w:firstRowLastColumn="0" w:lastRowFirstColumn="0" w:lastRowLastColumn="0"/>
            <w:tcW w:w="1373" w:type="dxa"/>
            <w:tcBorders>
              <w:bottom w:val="single" w:sz="12" w:space="0" w:color="auto"/>
            </w:tcBorders>
          </w:tcPr>
          <w:p w14:paraId="02E6F8AF" w14:textId="77777777" w:rsidR="002A39E3" w:rsidRPr="00212388" w:rsidRDefault="002A39E3" w:rsidP="00F70582">
            <w:pPr>
              <w:rPr>
                <w:b w:val="0"/>
                <w:bCs w:val="0"/>
                <w:sz w:val="16"/>
                <w:szCs w:val="16"/>
              </w:rPr>
            </w:pPr>
            <w:r w:rsidRPr="00212388">
              <w:rPr>
                <w:b w:val="0"/>
                <w:bCs w:val="0"/>
                <w:sz w:val="16"/>
                <w:szCs w:val="16"/>
              </w:rPr>
              <w:t>USD</w:t>
            </w:r>
          </w:p>
        </w:tc>
        <w:tc>
          <w:tcPr>
            <w:tcW w:w="1373" w:type="dxa"/>
            <w:tcBorders>
              <w:bottom w:val="single" w:sz="12" w:space="0" w:color="auto"/>
            </w:tcBorders>
          </w:tcPr>
          <w:p w14:paraId="71DF12D6"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Bought</w:t>
            </w:r>
          </w:p>
        </w:tc>
        <w:tc>
          <w:tcPr>
            <w:tcW w:w="1197" w:type="dxa"/>
            <w:tcBorders>
              <w:bottom w:val="single" w:sz="12" w:space="0" w:color="auto"/>
            </w:tcBorders>
          </w:tcPr>
          <w:p w14:paraId="15E27D9B"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10</w:t>
            </w:r>
          </w:p>
        </w:tc>
        <w:tc>
          <w:tcPr>
            <w:tcW w:w="1831" w:type="dxa"/>
            <w:gridSpan w:val="2"/>
            <w:tcBorders>
              <w:bottom w:val="single" w:sz="12" w:space="0" w:color="auto"/>
            </w:tcBorders>
          </w:tcPr>
          <w:p w14:paraId="2CF9500B"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US$100,000</w:t>
            </w:r>
          </w:p>
        </w:tc>
        <w:tc>
          <w:tcPr>
            <w:tcW w:w="1375" w:type="dxa"/>
            <w:tcBorders>
              <w:bottom w:val="single" w:sz="12" w:space="0" w:color="auto"/>
            </w:tcBorders>
          </w:tcPr>
          <w:p w14:paraId="73807A54"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$1.31</w:t>
            </w:r>
          </w:p>
        </w:tc>
        <w:tc>
          <w:tcPr>
            <w:tcW w:w="1370" w:type="dxa"/>
            <w:tcBorders>
              <w:bottom w:val="single" w:sz="12" w:space="0" w:color="auto"/>
            </w:tcBorders>
          </w:tcPr>
          <w:p w14:paraId="22E1DB88"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$1,307,190</w:t>
            </w:r>
          </w:p>
        </w:tc>
        <w:tc>
          <w:tcPr>
            <w:tcW w:w="1376" w:type="dxa"/>
            <w:tcBorders>
              <w:bottom w:val="single" w:sz="12" w:space="0" w:color="auto"/>
            </w:tcBorders>
          </w:tcPr>
          <w:p w14:paraId="4DAFC35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30/06/2021</w:t>
            </w:r>
          </w:p>
        </w:tc>
        <w:tc>
          <w:tcPr>
            <w:tcW w:w="1379" w:type="dxa"/>
            <w:tcBorders>
              <w:bottom w:val="single" w:sz="12" w:space="0" w:color="auto"/>
              <w:right w:val="nil"/>
            </w:tcBorders>
          </w:tcPr>
          <w:p w14:paraId="6AE63074"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AUD</w:t>
            </w:r>
          </w:p>
        </w:tc>
        <w:tc>
          <w:tcPr>
            <w:tcW w:w="1378" w:type="dxa"/>
            <w:tcBorders>
              <w:left w:val="nil"/>
              <w:bottom w:val="single" w:sz="12" w:space="0" w:color="auto"/>
              <w:right w:val="single" w:sz="6" w:space="0" w:color="auto"/>
            </w:tcBorders>
          </w:tcPr>
          <w:p w14:paraId="1BDDCD66"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left w:val="single" w:sz="6" w:space="0" w:color="auto"/>
              <w:bottom w:val="single" w:sz="12" w:space="0" w:color="auto"/>
            </w:tcBorders>
          </w:tcPr>
          <w:p w14:paraId="271D9441"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391" w:type="dxa"/>
            <w:gridSpan w:val="2"/>
            <w:tcBorders>
              <w:bottom w:val="single" w:sz="12" w:space="0" w:color="auto"/>
            </w:tcBorders>
          </w:tcPr>
          <w:p w14:paraId="34CD3F0E"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482923C5" w14:textId="77777777" w:rsidTr="00F7058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24E33A65" w14:textId="77777777" w:rsidR="002A39E3" w:rsidRPr="00212388" w:rsidRDefault="002A39E3" w:rsidP="00F70582">
            <w:pPr>
              <w:spacing w:after="240"/>
              <w:rPr>
                <w:sz w:val="16"/>
                <w:szCs w:val="16"/>
              </w:rPr>
            </w:pPr>
            <w:r w:rsidRPr="00212388">
              <w:rPr>
                <w:sz w:val="16"/>
                <w:szCs w:val="16"/>
              </w:rPr>
              <w:t>Total</w:t>
            </w:r>
          </w:p>
        </w:tc>
        <w:tc>
          <w:tcPr>
            <w:tcW w:w="1373" w:type="dxa"/>
            <w:tcBorders>
              <w:top w:val="single" w:sz="12" w:space="0" w:color="auto"/>
              <w:bottom w:val="single" w:sz="12" w:space="0" w:color="auto"/>
            </w:tcBorders>
          </w:tcPr>
          <w:p w14:paraId="3C43E805"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1428CB8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7C15C1D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69BABC0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3BCC7837"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2E2CB2B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03D1F7EC"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2920C47F"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691EF29B"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91" w:type="dxa"/>
            <w:gridSpan w:val="2"/>
            <w:tcBorders>
              <w:top w:val="single" w:sz="12" w:space="0" w:color="auto"/>
              <w:bottom w:val="single" w:sz="12" w:space="0" w:color="auto"/>
            </w:tcBorders>
          </w:tcPr>
          <w:p w14:paraId="634E2688"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4744F9FB" w14:textId="77777777" w:rsidTr="00F70582">
        <w:trPr>
          <w:trHeight w:val="419"/>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6D4E19C6" w14:textId="77777777" w:rsidR="002A39E3" w:rsidRPr="00212388" w:rsidRDefault="002A39E3" w:rsidP="00F70582">
            <w:pPr>
              <w:rPr>
                <w:sz w:val="16"/>
                <w:szCs w:val="16"/>
              </w:rPr>
            </w:pPr>
            <w:r w:rsidRPr="00212388">
              <w:rPr>
                <w:sz w:val="16"/>
                <w:szCs w:val="16"/>
              </w:rPr>
              <w:t>Name/kind of investment item</w:t>
            </w:r>
          </w:p>
        </w:tc>
        <w:tc>
          <w:tcPr>
            <w:tcW w:w="1373" w:type="dxa"/>
            <w:tcBorders>
              <w:top w:val="single" w:sz="12" w:space="0" w:color="auto"/>
              <w:bottom w:val="single" w:sz="12" w:space="0" w:color="auto"/>
            </w:tcBorders>
          </w:tcPr>
          <w:p w14:paraId="683FBFA2"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Bought/Sold position</w:t>
            </w:r>
          </w:p>
        </w:tc>
        <w:tc>
          <w:tcPr>
            <w:tcW w:w="1197" w:type="dxa"/>
            <w:tcBorders>
              <w:top w:val="single" w:sz="12" w:space="0" w:color="auto"/>
              <w:bottom w:val="single" w:sz="12" w:space="0" w:color="auto"/>
            </w:tcBorders>
          </w:tcPr>
          <w:p w14:paraId="70A789AF"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Amount</w:t>
            </w:r>
          </w:p>
        </w:tc>
        <w:tc>
          <w:tcPr>
            <w:tcW w:w="1831" w:type="dxa"/>
            <w:gridSpan w:val="2"/>
            <w:tcBorders>
              <w:top w:val="single" w:sz="12" w:space="0" w:color="auto"/>
              <w:bottom w:val="single" w:sz="12" w:space="0" w:color="auto"/>
            </w:tcBorders>
          </w:tcPr>
          <w:p w14:paraId="6659E4A0"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Price in contract (underlying)</w:t>
            </w:r>
          </w:p>
        </w:tc>
        <w:tc>
          <w:tcPr>
            <w:tcW w:w="1375" w:type="dxa"/>
            <w:tcBorders>
              <w:top w:val="single" w:sz="12" w:space="0" w:color="auto"/>
              <w:bottom w:val="single" w:sz="12" w:space="0" w:color="auto"/>
            </w:tcBorders>
          </w:tcPr>
          <w:p w14:paraId="21A4B740"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Notional Amount</w:t>
            </w:r>
          </w:p>
        </w:tc>
        <w:tc>
          <w:tcPr>
            <w:tcW w:w="1370" w:type="dxa"/>
            <w:tcBorders>
              <w:top w:val="single" w:sz="12" w:space="0" w:color="auto"/>
              <w:bottom w:val="single" w:sz="12" w:space="0" w:color="auto"/>
            </w:tcBorders>
          </w:tcPr>
          <w:p w14:paraId="4716E605"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Maturity Date</w:t>
            </w:r>
          </w:p>
        </w:tc>
        <w:tc>
          <w:tcPr>
            <w:tcW w:w="1376" w:type="dxa"/>
            <w:tcBorders>
              <w:top w:val="single" w:sz="12" w:space="0" w:color="auto"/>
              <w:bottom w:val="single" w:sz="12" w:space="0" w:color="auto"/>
            </w:tcBorders>
          </w:tcPr>
          <w:p w14:paraId="54832A80"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Currency of Contract</w:t>
            </w:r>
          </w:p>
        </w:tc>
        <w:tc>
          <w:tcPr>
            <w:tcW w:w="1379" w:type="dxa"/>
            <w:tcBorders>
              <w:top w:val="single" w:sz="12" w:space="0" w:color="auto"/>
              <w:bottom w:val="single" w:sz="12" w:space="0" w:color="auto"/>
              <w:right w:val="nil"/>
            </w:tcBorders>
          </w:tcPr>
          <w:p w14:paraId="470264C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Counterparty</w:t>
            </w:r>
          </w:p>
        </w:tc>
        <w:tc>
          <w:tcPr>
            <w:tcW w:w="1378" w:type="dxa"/>
            <w:tcBorders>
              <w:top w:val="single" w:sz="12" w:space="0" w:color="auto"/>
              <w:left w:val="nil"/>
              <w:bottom w:val="single" w:sz="12" w:space="0" w:color="auto"/>
              <w:right w:val="single" w:sz="6" w:space="0" w:color="auto"/>
            </w:tcBorders>
          </w:tcPr>
          <w:p w14:paraId="41E16FA0"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212388">
              <w:rPr>
                <w:b/>
                <w:bCs/>
                <w:sz w:val="16"/>
                <w:szCs w:val="16"/>
              </w:rPr>
              <w:t xml:space="preserve">Counterparty Credit Rating </w:t>
            </w:r>
          </w:p>
        </w:tc>
        <w:tc>
          <w:tcPr>
            <w:tcW w:w="1355" w:type="dxa"/>
            <w:tcBorders>
              <w:top w:val="single" w:sz="12" w:space="0" w:color="auto"/>
              <w:left w:val="single" w:sz="6" w:space="0" w:color="auto"/>
              <w:bottom w:val="single" w:sz="12" w:space="0" w:color="auto"/>
            </w:tcBorders>
          </w:tcPr>
          <w:p w14:paraId="00842997"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DE0925">
              <w:rPr>
                <w:b/>
                <w:bCs/>
                <w:sz w:val="16"/>
                <w:szCs w:val="16"/>
              </w:rPr>
              <w:t>Value</w:t>
            </w:r>
          </w:p>
        </w:tc>
        <w:tc>
          <w:tcPr>
            <w:tcW w:w="1391" w:type="dxa"/>
            <w:gridSpan w:val="2"/>
            <w:tcBorders>
              <w:top w:val="single" w:sz="12" w:space="0" w:color="auto"/>
              <w:bottom w:val="single" w:sz="12" w:space="0" w:color="auto"/>
            </w:tcBorders>
          </w:tcPr>
          <w:p w14:paraId="693C3EE0"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b/>
                <w:bCs/>
                <w:sz w:val="16"/>
                <w:szCs w:val="16"/>
              </w:rPr>
            </w:pPr>
            <w:r w:rsidRPr="00DE0925">
              <w:rPr>
                <w:b/>
                <w:bCs/>
                <w:sz w:val="16"/>
                <w:szCs w:val="16"/>
              </w:rPr>
              <w:t>Weighting</w:t>
            </w:r>
          </w:p>
        </w:tc>
      </w:tr>
      <w:tr w:rsidR="002A39E3" w:rsidRPr="00DE0925" w14:paraId="50C2E2E7" w14:textId="77777777" w:rsidTr="00F7058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4" w:space="0" w:color="auto"/>
            </w:tcBorders>
          </w:tcPr>
          <w:p w14:paraId="3C36F8FC" w14:textId="77777777" w:rsidR="002A39E3" w:rsidRPr="00212388" w:rsidRDefault="002A39E3" w:rsidP="00F70582">
            <w:pPr>
              <w:rPr>
                <w:sz w:val="16"/>
                <w:szCs w:val="16"/>
              </w:rPr>
            </w:pPr>
            <w:r w:rsidRPr="00212388">
              <w:rPr>
                <w:sz w:val="16"/>
                <w:szCs w:val="16"/>
              </w:rPr>
              <w:t>Forward Contracts</w:t>
            </w:r>
          </w:p>
        </w:tc>
        <w:tc>
          <w:tcPr>
            <w:tcW w:w="1373" w:type="dxa"/>
            <w:tcBorders>
              <w:top w:val="single" w:sz="12" w:space="0" w:color="auto"/>
              <w:bottom w:val="single" w:sz="4" w:space="0" w:color="auto"/>
            </w:tcBorders>
          </w:tcPr>
          <w:p w14:paraId="23FABD7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197" w:type="dxa"/>
            <w:tcBorders>
              <w:top w:val="single" w:sz="12" w:space="0" w:color="auto"/>
              <w:bottom w:val="single" w:sz="4" w:space="0" w:color="auto"/>
            </w:tcBorders>
          </w:tcPr>
          <w:p w14:paraId="6543DAA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831" w:type="dxa"/>
            <w:gridSpan w:val="2"/>
            <w:tcBorders>
              <w:top w:val="single" w:sz="12" w:space="0" w:color="auto"/>
              <w:bottom w:val="single" w:sz="4" w:space="0" w:color="auto"/>
            </w:tcBorders>
          </w:tcPr>
          <w:p w14:paraId="7728BAC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5" w:type="dxa"/>
            <w:tcBorders>
              <w:top w:val="single" w:sz="12" w:space="0" w:color="auto"/>
              <w:bottom w:val="single" w:sz="4" w:space="0" w:color="auto"/>
            </w:tcBorders>
          </w:tcPr>
          <w:p w14:paraId="7092F46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Borders>
              <w:top w:val="single" w:sz="12" w:space="0" w:color="auto"/>
              <w:bottom w:val="single" w:sz="4" w:space="0" w:color="auto"/>
            </w:tcBorders>
          </w:tcPr>
          <w:p w14:paraId="50B8155F"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6" w:type="dxa"/>
            <w:tcBorders>
              <w:top w:val="single" w:sz="12" w:space="0" w:color="auto"/>
              <w:bottom w:val="single" w:sz="4" w:space="0" w:color="auto"/>
            </w:tcBorders>
          </w:tcPr>
          <w:p w14:paraId="4118CFA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9" w:type="dxa"/>
            <w:tcBorders>
              <w:top w:val="single" w:sz="12" w:space="0" w:color="auto"/>
              <w:bottom w:val="single" w:sz="4" w:space="0" w:color="auto"/>
              <w:right w:val="nil"/>
            </w:tcBorders>
          </w:tcPr>
          <w:p w14:paraId="6FE21F77"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8" w:type="dxa"/>
            <w:tcBorders>
              <w:top w:val="single" w:sz="12" w:space="0" w:color="auto"/>
              <w:left w:val="nil"/>
              <w:bottom w:val="single" w:sz="4" w:space="0" w:color="auto"/>
              <w:right w:val="single" w:sz="6" w:space="0" w:color="auto"/>
            </w:tcBorders>
          </w:tcPr>
          <w:p w14:paraId="50DDF91D"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4" w:space="0" w:color="auto"/>
            </w:tcBorders>
          </w:tcPr>
          <w:p w14:paraId="6EAAA220"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gridSpan w:val="2"/>
            <w:tcBorders>
              <w:top w:val="single" w:sz="12" w:space="0" w:color="auto"/>
              <w:bottom w:val="single" w:sz="4" w:space="0" w:color="auto"/>
            </w:tcBorders>
          </w:tcPr>
          <w:p w14:paraId="231AA89A"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r>
      <w:tr w:rsidR="002A39E3" w:rsidRPr="00DE0925" w14:paraId="59DF90B0" w14:textId="77777777" w:rsidTr="00F70582">
        <w:trPr>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4" w:space="0" w:color="auto"/>
              <w:bottom w:val="single" w:sz="4" w:space="0" w:color="auto"/>
            </w:tcBorders>
          </w:tcPr>
          <w:p w14:paraId="5F879248" w14:textId="77777777" w:rsidR="002A39E3" w:rsidRPr="00212388" w:rsidRDefault="002A39E3" w:rsidP="00F70582">
            <w:pPr>
              <w:rPr>
                <w:b w:val="0"/>
                <w:bCs w:val="0"/>
                <w:sz w:val="16"/>
                <w:szCs w:val="16"/>
              </w:rPr>
            </w:pPr>
            <w:r w:rsidRPr="00212388">
              <w:rPr>
                <w:b w:val="0"/>
                <w:bCs w:val="0"/>
                <w:sz w:val="16"/>
                <w:szCs w:val="16"/>
              </w:rPr>
              <w:t>Gold</w:t>
            </w:r>
          </w:p>
        </w:tc>
        <w:tc>
          <w:tcPr>
            <w:tcW w:w="1373" w:type="dxa"/>
            <w:tcBorders>
              <w:top w:val="single" w:sz="4" w:space="0" w:color="auto"/>
              <w:bottom w:val="single" w:sz="4" w:space="0" w:color="auto"/>
            </w:tcBorders>
          </w:tcPr>
          <w:p w14:paraId="6F03B03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Bought</w:t>
            </w:r>
          </w:p>
        </w:tc>
        <w:tc>
          <w:tcPr>
            <w:tcW w:w="1197" w:type="dxa"/>
            <w:tcBorders>
              <w:top w:val="single" w:sz="4" w:space="0" w:color="auto"/>
              <w:bottom w:val="single" w:sz="4" w:space="0" w:color="auto"/>
            </w:tcBorders>
          </w:tcPr>
          <w:p w14:paraId="7B8D1D6D"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100 oz</w:t>
            </w:r>
          </w:p>
        </w:tc>
        <w:tc>
          <w:tcPr>
            <w:tcW w:w="1831" w:type="dxa"/>
            <w:gridSpan w:val="2"/>
            <w:tcBorders>
              <w:top w:val="single" w:sz="4" w:space="0" w:color="auto"/>
              <w:bottom w:val="single" w:sz="4" w:space="0" w:color="auto"/>
            </w:tcBorders>
          </w:tcPr>
          <w:p w14:paraId="6FAED5C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$2,000</w:t>
            </w:r>
          </w:p>
        </w:tc>
        <w:tc>
          <w:tcPr>
            <w:tcW w:w="1375" w:type="dxa"/>
            <w:tcBorders>
              <w:top w:val="single" w:sz="4" w:space="0" w:color="auto"/>
              <w:bottom w:val="single" w:sz="4" w:space="0" w:color="auto"/>
            </w:tcBorders>
          </w:tcPr>
          <w:p w14:paraId="214D3FB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$200,000</w:t>
            </w:r>
          </w:p>
        </w:tc>
        <w:tc>
          <w:tcPr>
            <w:tcW w:w="1370" w:type="dxa"/>
            <w:tcBorders>
              <w:top w:val="single" w:sz="4" w:space="0" w:color="auto"/>
              <w:bottom w:val="single" w:sz="4" w:space="0" w:color="auto"/>
            </w:tcBorders>
          </w:tcPr>
          <w:p w14:paraId="2B9311E6"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30/06/2021</w:t>
            </w:r>
          </w:p>
        </w:tc>
        <w:tc>
          <w:tcPr>
            <w:tcW w:w="1376" w:type="dxa"/>
            <w:tcBorders>
              <w:top w:val="single" w:sz="4" w:space="0" w:color="auto"/>
              <w:bottom w:val="single" w:sz="4" w:space="0" w:color="auto"/>
            </w:tcBorders>
          </w:tcPr>
          <w:p w14:paraId="44226F09"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AUD</w:t>
            </w:r>
          </w:p>
        </w:tc>
        <w:tc>
          <w:tcPr>
            <w:tcW w:w="1379" w:type="dxa"/>
            <w:tcBorders>
              <w:top w:val="single" w:sz="4" w:space="0" w:color="auto"/>
              <w:bottom w:val="single" w:sz="4" w:space="0" w:color="auto"/>
              <w:right w:val="nil"/>
            </w:tcBorders>
          </w:tcPr>
          <w:p w14:paraId="780A74DF"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ABC</w:t>
            </w:r>
          </w:p>
        </w:tc>
        <w:tc>
          <w:tcPr>
            <w:tcW w:w="1378" w:type="dxa"/>
            <w:tcBorders>
              <w:top w:val="single" w:sz="4" w:space="0" w:color="auto"/>
              <w:left w:val="nil"/>
              <w:bottom w:val="single" w:sz="4" w:space="0" w:color="auto"/>
              <w:right w:val="single" w:sz="6" w:space="0" w:color="auto"/>
            </w:tcBorders>
          </w:tcPr>
          <w:p w14:paraId="44328F97"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AA-</w:t>
            </w:r>
          </w:p>
        </w:tc>
        <w:tc>
          <w:tcPr>
            <w:tcW w:w="1355" w:type="dxa"/>
            <w:tcBorders>
              <w:top w:val="single" w:sz="4" w:space="0" w:color="auto"/>
              <w:left w:val="single" w:sz="6" w:space="0" w:color="auto"/>
              <w:bottom w:val="single" w:sz="4" w:space="0" w:color="auto"/>
            </w:tcBorders>
          </w:tcPr>
          <w:p w14:paraId="62BB6201"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391" w:type="dxa"/>
            <w:gridSpan w:val="2"/>
            <w:tcBorders>
              <w:top w:val="single" w:sz="4" w:space="0" w:color="auto"/>
              <w:bottom w:val="single" w:sz="4" w:space="0" w:color="auto"/>
            </w:tcBorders>
          </w:tcPr>
          <w:p w14:paraId="49ABAB83" w14:textId="77777777" w:rsidR="002A39E3" w:rsidRPr="00DE0925"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768ADE12" w14:textId="77777777" w:rsidTr="00F7058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4" w:space="0" w:color="auto"/>
              <w:bottom w:val="single" w:sz="12" w:space="0" w:color="auto"/>
            </w:tcBorders>
          </w:tcPr>
          <w:p w14:paraId="70BE9071" w14:textId="77777777" w:rsidR="002A39E3" w:rsidRPr="00212388" w:rsidRDefault="002A39E3" w:rsidP="00F70582">
            <w:pPr>
              <w:rPr>
                <w:b w:val="0"/>
                <w:bCs w:val="0"/>
                <w:sz w:val="16"/>
                <w:szCs w:val="16"/>
              </w:rPr>
            </w:pPr>
            <w:r w:rsidRPr="00212388">
              <w:rPr>
                <w:b w:val="0"/>
                <w:bCs w:val="0"/>
                <w:sz w:val="16"/>
                <w:szCs w:val="16"/>
              </w:rPr>
              <w:t>USD</w:t>
            </w:r>
          </w:p>
        </w:tc>
        <w:tc>
          <w:tcPr>
            <w:tcW w:w="1373" w:type="dxa"/>
            <w:tcBorders>
              <w:top w:val="single" w:sz="4" w:space="0" w:color="auto"/>
              <w:bottom w:val="single" w:sz="12" w:space="0" w:color="auto"/>
            </w:tcBorders>
          </w:tcPr>
          <w:p w14:paraId="59B83D74"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Bought</w:t>
            </w:r>
          </w:p>
        </w:tc>
        <w:tc>
          <w:tcPr>
            <w:tcW w:w="1197" w:type="dxa"/>
            <w:tcBorders>
              <w:top w:val="single" w:sz="4" w:space="0" w:color="auto"/>
              <w:bottom w:val="single" w:sz="12" w:space="0" w:color="auto"/>
            </w:tcBorders>
          </w:tcPr>
          <w:p w14:paraId="0C1A757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US$1 million</w:t>
            </w:r>
          </w:p>
        </w:tc>
        <w:tc>
          <w:tcPr>
            <w:tcW w:w="1831" w:type="dxa"/>
            <w:gridSpan w:val="2"/>
            <w:tcBorders>
              <w:top w:val="single" w:sz="4" w:space="0" w:color="auto"/>
              <w:bottom w:val="single" w:sz="12" w:space="0" w:color="auto"/>
            </w:tcBorders>
          </w:tcPr>
          <w:p w14:paraId="6E192667"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$1.31</w:t>
            </w:r>
          </w:p>
        </w:tc>
        <w:tc>
          <w:tcPr>
            <w:tcW w:w="1375" w:type="dxa"/>
            <w:tcBorders>
              <w:top w:val="single" w:sz="4" w:space="0" w:color="auto"/>
              <w:bottom w:val="single" w:sz="12" w:space="0" w:color="auto"/>
            </w:tcBorders>
          </w:tcPr>
          <w:p w14:paraId="55E324E5"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$1,307,190</w:t>
            </w:r>
          </w:p>
        </w:tc>
        <w:tc>
          <w:tcPr>
            <w:tcW w:w="1370" w:type="dxa"/>
            <w:tcBorders>
              <w:top w:val="single" w:sz="4" w:space="0" w:color="auto"/>
              <w:bottom w:val="single" w:sz="12" w:space="0" w:color="auto"/>
            </w:tcBorders>
          </w:tcPr>
          <w:p w14:paraId="060B393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30/06/2021</w:t>
            </w:r>
          </w:p>
        </w:tc>
        <w:tc>
          <w:tcPr>
            <w:tcW w:w="1376" w:type="dxa"/>
            <w:tcBorders>
              <w:top w:val="single" w:sz="4" w:space="0" w:color="auto"/>
              <w:bottom w:val="single" w:sz="12" w:space="0" w:color="auto"/>
            </w:tcBorders>
          </w:tcPr>
          <w:p w14:paraId="779DB1A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AUD</w:t>
            </w:r>
          </w:p>
        </w:tc>
        <w:tc>
          <w:tcPr>
            <w:tcW w:w="1379" w:type="dxa"/>
            <w:tcBorders>
              <w:top w:val="single" w:sz="4" w:space="0" w:color="auto"/>
              <w:bottom w:val="single" w:sz="12" w:space="0" w:color="auto"/>
              <w:right w:val="nil"/>
            </w:tcBorders>
          </w:tcPr>
          <w:p w14:paraId="77B5AEA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ABC</w:t>
            </w:r>
          </w:p>
        </w:tc>
        <w:tc>
          <w:tcPr>
            <w:tcW w:w="1378" w:type="dxa"/>
            <w:tcBorders>
              <w:top w:val="single" w:sz="4" w:space="0" w:color="auto"/>
              <w:left w:val="nil"/>
              <w:bottom w:val="single" w:sz="12" w:space="0" w:color="auto"/>
              <w:right w:val="single" w:sz="6" w:space="0" w:color="auto"/>
            </w:tcBorders>
          </w:tcPr>
          <w:p w14:paraId="0FFB4705"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AA-</w:t>
            </w:r>
          </w:p>
        </w:tc>
        <w:tc>
          <w:tcPr>
            <w:tcW w:w="1355" w:type="dxa"/>
            <w:tcBorders>
              <w:top w:val="single" w:sz="4" w:space="0" w:color="auto"/>
              <w:left w:val="single" w:sz="6" w:space="0" w:color="auto"/>
              <w:bottom w:val="single" w:sz="12" w:space="0" w:color="auto"/>
            </w:tcBorders>
          </w:tcPr>
          <w:p w14:paraId="35E03D65"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91" w:type="dxa"/>
            <w:gridSpan w:val="2"/>
            <w:tcBorders>
              <w:top w:val="single" w:sz="4" w:space="0" w:color="auto"/>
              <w:bottom w:val="single" w:sz="12" w:space="0" w:color="auto"/>
            </w:tcBorders>
          </w:tcPr>
          <w:p w14:paraId="76A01678" w14:textId="77777777" w:rsidR="002A39E3" w:rsidRPr="00DE0925"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4D22EEF8" w14:textId="77777777" w:rsidTr="00F70582">
        <w:trPr>
          <w:trHeight w:val="167"/>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487648B5" w14:textId="77777777" w:rsidR="002A39E3" w:rsidRPr="00212388" w:rsidRDefault="002A39E3" w:rsidP="00F70582">
            <w:pPr>
              <w:spacing w:after="240"/>
              <w:rPr>
                <w:sz w:val="16"/>
                <w:szCs w:val="16"/>
              </w:rPr>
            </w:pPr>
            <w:r w:rsidRPr="00212388">
              <w:rPr>
                <w:sz w:val="16"/>
                <w:szCs w:val="16"/>
              </w:rPr>
              <w:lastRenderedPageBreak/>
              <w:t>Total</w:t>
            </w:r>
          </w:p>
        </w:tc>
        <w:tc>
          <w:tcPr>
            <w:tcW w:w="1373" w:type="dxa"/>
            <w:tcBorders>
              <w:top w:val="single" w:sz="12" w:space="0" w:color="auto"/>
              <w:bottom w:val="single" w:sz="12" w:space="0" w:color="auto"/>
            </w:tcBorders>
          </w:tcPr>
          <w:p w14:paraId="7CD01E7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572CDB52"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6EE6C5CF"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263F7B0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6C608E7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4F457465"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368F1D89"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2B6CD84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09B0F408"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391" w:type="dxa"/>
            <w:gridSpan w:val="2"/>
            <w:tcBorders>
              <w:top w:val="single" w:sz="12" w:space="0" w:color="auto"/>
              <w:bottom w:val="single" w:sz="12" w:space="0" w:color="auto"/>
            </w:tcBorders>
          </w:tcPr>
          <w:p w14:paraId="648E9625"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3AE8E594" w14:textId="77777777" w:rsidTr="00F70582">
        <w:trPr>
          <w:gridAfter w:val="1"/>
          <w:cnfStyle w:val="000000100000" w:firstRow="0" w:lastRow="0" w:firstColumn="0" w:lastColumn="0" w:oddVBand="0" w:evenVBand="0" w:oddHBand="1" w:evenHBand="0" w:firstRowFirstColumn="0" w:firstRowLastColumn="0" w:lastRowFirstColumn="0" w:lastRowLastColumn="0"/>
          <w:wAfter w:w="27" w:type="dxa"/>
          <w:trHeight w:val="434"/>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50367EA7" w14:textId="77777777" w:rsidR="002A39E3" w:rsidRPr="00212388" w:rsidRDefault="002A39E3" w:rsidP="00F70582">
            <w:pPr>
              <w:rPr>
                <w:sz w:val="16"/>
                <w:szCs w:val="16"/>
              </w:rPr>
            </w:pPr>
            <w:r w:rsidRPr="00212388">
              <w:rPr>
                <w:sz w:val="16"/>
                <w:szCs w:val="16"/>
              </w:rPr>
              <w:t>Name/Kind of investment item</w:t>
            </w:r>
          </w:p>
        </w:tc>
        <w:tc>
          <w:tcPr>
            <w:tcW w:w="1373" w:type="dxa"/>
            <w:tcBorders>
              <w:top w:val="single" w:sz="12" w:space="0" w:color="auto"/>
              <w:bottom w:val="single" w:sz="12" w:space="0" w:color="auto"/>
            </w:tcBorders>
          </w:tcPr>
          <w:p w14:paraId="55A5AF5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Bought/Sold position</w:t>
            </w:r>
          </w:p>
        </w:tc>
        <w:tc>
          <w:tcPr>
            <w:tcW w:w="1197" w:type="dxa"/>
            <w:tcBorders>
              <w:top w:val="single" w:sz="12" w:space="0" w:color="auto"/>
              <w:bottom w:val="single" w:sz="12" w:space="0" w:color="auto"/>
            </w:tcBorders>
          </w:tcPr>
          <w:p w14:paraId="5044CBA3"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Option Type</w:t>
            </w:r>
          </w:p>
        </w:tc>
        <w:tc>
          <w:tcPr>
            <w:tcW w:w="863" w:type="dxa"/>
            <w:tcBorders>
              <w:top w:val="single" w:sz="12" w:space="0" w:color="auto"/>
              <w:bottom w:val="single" w:sz="12" w:space="0" w:color="auto"/>
            </w:tcBorders>
          </w:tcPr>
          <w:p w14:paraId="7A45120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Number of contracts</w:t>
            </w:r>
          </w:p>
        </w:tc>
        <w:tc>
          <w:tcPr>
            <w:tcW w:w="968" w:type="dxa"/>
            <w:tcBorders>
              <w:top w:val="single" w:sz="12" w:space="0" w:color="auto"/>
              <w:bottom w:val="single" w:sz="12" w:space="0" w:color="auto"/>
            </w:tcBorders>
          </w:tcPr>
          <w:p w14:paraId="46D2041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Currency of Contract</w:t>
            </w:r>
          </w:p>
        </w:tc>
        <w:tc>
          <w:tcPr>
            <w:tcW w:w="1375" w:type="dxa"/>
            <w:tcBorders>
              <w:top w:val="single" w:sz="12" w:space="0" w:color="auto"/>
              <w:bottom w:val="single" w:sz="12" w:space="0" w:color="auto"/>
            </w:tcBorders>
          </w:tcPr>
          <w:p w14:paraId="01F2D287"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Notional Amount</w:t>
            </w:r>
          </w:p>
        </w:tc>
        <w:tc>
          <w:tcPr>
            <w:tcW w:w="1370" w:type="dxa"/>
            <w:tcBorders>
              <w:top w:val="single" w:sz="12" w:space="0" w:color="auto"/>
              <w:bottom w:val="single" w:sz="12" w:space="0" w:color="auto"/>
            </w:tcBorders>
          </w:tcPr>
          <w:p w14:paraId="5B832A0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Exercise Price</w:t>
            </w:r>
          </w:p>
        </w:tc>
        <w:tc>
          <w:tcPr>
            <w:tcW w:w="1376" w:type="dxa"/>
            <w:tcBorders>
              <w:top w:val="single" w:sz="12" w:space="0" w:color="auto"/>
              <w:bottom w:val="single" w:sz="12" w:space="0" w:color="auto"/>
            </w:tcBorders>
          </w:tcPr>
          <w:p w14:paraId="51F150F3"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Expiry Date</w:t>
            </w:r>
          </w:p>
        </w:tc>
        <w:tc>
          <w:tcPr>
            <w:tcW w:w="1379" w:type="dxa"/>
            <w:tcBorders>
              <w:top w:val="single" w:sz="12" w:space="0" w:color="auto"/>
              <w:bottom w:val="single" w:sz="12" w:space="0" w:color="auto"/>
              <w:right w:val="nil"/>
            </w:tcBorders>
          </w:tcPr>
          <w:p w14:paraId="31BB6068"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Counterparty</w:t>
            </w:r>
          </w:p>
        </w:tc>
        <w:tc>
          <w:tcPr>
            <w:tcW w:w="1378" w:type="dxa"/>
            <w:tcBorders>
              <w:top w:val="single" w:sz="12" w:space="0" w:color="auto"/>
              <w:left w:val="nil"/>
              <w:bottom w:val="single" w:sz="12" w:space="0" w:color="auto"/>
              <w:right w:val="single" w:sz="6" w:space="0" w:color="auto"/>
            </w:tcBorders>
          </w:tcPr>
          <w:p w14:paraId="7C6E3F5C"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Counterparty Credit Rating</w:t>
            </w:r>
          </w:p>
        </w:tc>
        <w:tc>
          <w:tcPr>
            <w:tcW w:w="1355" w:type="dxa"/>
            <w:tcBorders>
              <w:top w:val="single" w:sz="12" w:space="0" w:color="auto"/>
              <w:left w:val="single" w:sz="6" w:space="0" w:color="auto"/>
              <w:bottom w:val="single" w:sz="12" w:space="0" w:color="auto"/>
            </w:tcBorders>
          </w:tcPr>
          <w:p w14:paraId="2C819480" w14:textId="77777777" w:rsidR="002A39E3" w:rsidRPr="008408E3"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8408E3">
              <w:rPr>
                <w:b/>
                <w:bCs/>
                <w:sz w:val="16"/>
                <w:szCs w:val="16"/>
              </w:rPr>
              <w:t>Value</w:t>
            </w:r>
          </w:p>
        </w:tc>
        <w:tc>
          <w:tcPr>
            <w:tcW w:w="1364" w:type="dxa"/>
            <w:tcBorders>
              <w:top w:val="single" w:sz="12" w:space="0" w:color="auto"/>
              <w:bottom w:val="single" w:sz="12" w:space="0" w:color="auto"/>
            </w:tcBorders>
          </w:tcPr>
          <w:p w14:paraId="022AB185" w14:textId="77777777" w:rsidR="002A39E3" w:rsidRPr="008408E3"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8408E3">
              <w:rPr>
                <w:b/>
                <w:bCs/>
                <w:sz w:val="16"/>
                <w:szCs w:val="16"/>
              </w:rPr>
              <w:t>Weighting</w:t>
            </w:r>
          </w:p>
        </w:tc>
      </w:tr>
      <w:tr w:rsidR="002A39E3" w:rsidRPr="00DE0925" w14:paraId="2D6A4949" w14:textId="77777777" w:rsidTr="00F70582">
        <w:trPr>
          <w:gridAfter w:val="1"/>
          <w:wAfter w:w="27" w:type="dxa"/>
          <w:trHeight w:val="542"/>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4" w:space="0" w:color="auto"/>
            </w:tcBorders>
          </w:tcPr>
          <w:p w14:paraId="13BC2355" w14:textId="77777777" w:rsidR="002A39E3" w:rsidRPr="00212388" w:rsidRDefault="002A39E3" w:rsidP="00F70582">
            <w:pPr>
              <w:rPr>
                <w:b w:val="0"/>
                <w:bCs w:val="0"/>
                <w:sz w:val="16"/>
                <w:szCs w:val="16"/>
              </w:rPr>
            </w:pPr>
            <w:r w:rsidRPr="00212388">
              <w:rPr>
                <w:sz w:val="16"/>
                <w:szCs w:val="16"/>
              </w:rPr>
              <w:t>Options</w:t>
            </w:r>
          </w:p>
          <w:p w14:paraId="33A41FB7" w14:textId="77777777" w:rsidR="002A39E3" w:rsidRPr="00212388" w:rsidRDefault="002A39E3" w:rsidP="00F70582">
            <w:pPr>
              <w:rPr>
                <w:b w:val="0"/>
                <w:bCs w:val="0"/>
                <w:sz w:val="16"/>
                <w:szCs w:val="16"/>
              </w:rPr>
            </w:pPr>
            <w:r w:rsidRPr="00212388">
              <w:rPr>
                <w:b w:val="0"/>
                <w:bCs w:val="0"/>
                <w:sz w:val="16"/>
                <w:szCs w:val="16"/>
              </w:rPr>
              <w:t>Asset</w:t>
            </w:r>
          </w:p>
        </w:tc>
        <w:tc>
          <w:tcPr>
            <w:tcW w:w="1373" w:type="dxa"/>
            <w:tcBorders>
              <w:top w:val="single" w:sz="12" w:space="0" w:color="auto"/>
              <w:bottom w:val="single" w:sz="4" w:space="0" w:color="auto"/>
            </w:tcBorders>
          </w:tcPr>
          <w:p w14:paraId="3A616CEC"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bottom w:val="single" w:sz="4" w:space="0" w:color="auto"/>
            </w:tcBorders>
          </w:tcPr>
          <w:p w14:paraId="469C717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12" w:space="0" w:color="auto"/>
              <w:bottom w:val="single" w:sz="4" w:space="0" w:color="auto"/>
            </w:tcBorders>
          </w:tcPr>
          <w:p w14:paraId="7ABA23B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bottom w:val="single" w:sz="4" w:space="0" w:color="auto"/>
            </w:tcBorders>
          </w:tcPr>
          <w:p w14:paraId="51F83D5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bottom w:val="single" w:sz="4" w:space="0" w:color="auto"/>
            </w:tcBorders>
          </w:tcPr>
          <w:p w14:paraId="3B568FDF"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bottom w:val="single" w:sz="4" w:space="0" w:color="auto"/>
            </w:tcBorders>
          </w:tcPr>
          <w:p w14:paraId="02DA204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bottom w:val="single" w:sz="4" w:space="0" w:color="auto"/>
              <w:right w:val="nil"/>
            </w:tcBorders>
          </w:tcPr>
          <w:p w14:paraId="0514009C"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bottom w:val="single" w:sz="4" w:space="0" w:color="auto"/>
              <w:right w:val="single" w:sz="6" w:space="0" w:color="auto"/>
            </w:tcBorders>
          </w:tcPr>
          <w:p w14:paraId="6B680D7B"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4" w:space="0" w:color="auto"/>
            </w:tcBorders>
          </w:tcPr>
          <w:p w14:paraId="11DA09FC"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64" w:type="dxa"/>
            <w:tcBorders>
              <w:top w:val="single" w:sz="12" w:space="0" w:color="auto"/>
              <w:bottom w:val="single" w:sz="4" w:space="0" w:color="auto"/>
            </w:tcBorders>
          </w:tcPr>
          <w:p w14:paraId="74BDB8DF"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r>
      <w:tr w:rsidR="002A39E3" w:rsidRPr="00DE0925" w14:paraId="13A6962B" w14:textId="77777777" w:rsidTr="00F70582">
        <w:trPr>
          <w:gridAfter w:val="1"/>
          <w:cnfStyle w:val="000000100000" w:firstRow="0" w:lastRow="0" w:firstColumn="0" w:lastColumn="0" w:oddVBand="0" w:evenVBand="0" w:oddHBand="1" w:evenHBand="0" w:firstRowFirstColumn="0" w:firstRowLastColumn="0" w:lastRowFirstColumn="0" w:lastRowLastColumn="0"/>
          <w:wAfter w:w="27" w:type="dxa"/>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4" w:space="0" w:color="auto"/>
              <w:bottom w:val="single" w:sz="12" w:space="0" w:color="auto"/>
            </w:tcBorders>
          </w:tcPr>
          <w:p w14:paraId="618A3C2D" w14:textId="77777777" w:rsidR="002A39E3" w:rsidRPr="00001C8B" w:rsidRDefault="002A39E3" w:rsidP="00F70582">
            <w:pPr>
              <w:rPr>
                <w:b w:val="0"/>
                <w:sz w:val="16"/>
                <w:szCs w:val="16"/>
              </w:rPr>
            </w:pPr>
            <w:r w:rsidRPr="00001C8B">
              <w:rPr>
                <w:b w:val="0"/>
                <w:sz w:val="16"/>
                <w:szCs w:val="16"/>
              </w:rPr>
              <w:t>Gold</w:t>
            </w:r>
          </w:p>
        </w:tc>
        <w:tc>
          <w:tcPr>
            <w:tcW w:w="1373" w:type="dxa"/>
            <w:tcBorders>
              <w:top w:val="single" w:sz="4" w:space="0" w:color="auto"/>
              <w:bottom w:val="single" w:sz="12" w:space="0" w:color="auto"/>
            </w:tcBorders>
          </w:tcPr>
          <w:p w14:paraId="0F336F34"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Bought</w:t>
            </w:r>
          </w:p>
        </w:tc>
        <w:tc>
          <w:tcPr>
            <w:tcW w:w="1197" w:type="dxa"/>
            <w:tcBorders>
              <w:top w:val="single" w:sz="4" w:space="0" w:color="auto"/>
              <w:bottom w:val="single" w:sz="12" w:space="0" w:color="auto"/>
            </w:tcBorders>
          </w:tcPr>
          <w:p w14:paraId="433DE41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Call</w:t>
            </w:r>
          </w:p>
        </w:tc>
        <w:tc>
          <w:tcPr>
            <w:tcW w:w="863" w:type="dxa"/>
            <w:tcBorders>
              <w:top w:val="single" w:sz="4" w:space="0" w:color="auto"/>
              <w:bottom w:val="single" w:sz="12" w:space="0" w:color="auto"/>
            </w:tcBorders>
          </w:tcPr>
          <w:p w14:paraId="3864747D"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10</w:t>
            </w:r>
          </w:p>
        </w:tc>
        <w:tc>
          <w:tcPr>
            <w:tcW w:w="968" w:type="dxa"/>
            <w:tcBorders>
              <w:top w:val="single" w:sz="4" w:space="0" w:color="auto"/>
              <w:bottom w:val="single" w:sz="12" w:space="0" w:color="auto"/>
            </w:tcBorders>
          </w:tcPr>
          <w:p w14:paraId="00D5BE5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AUD</w:t>
            </w:r>
          </w:p>
        </w:tc>
        <w:tc>
          <w:tcPr>
            <w:tcW w:w="1375" w:type="dxa"/>
            <w:tcBorders>
              <w:top w:val="single" w:sz="4" w:space="0" w:color="auto"/>
              <w:bottom w:val="single" w:sz="12" w:space="0" w:color="auto"/>
            </w:tcBorders>
          </w:tcPr>
          <w:p w14:paraId="22F4152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$200,000</w:t>
            </w:r>
          </w:p>
        </w:tc>
        <w:tc>
          <w:tcPr>
            <w:tcW w:w="1370" w:type="dxa"/>
            <w:tcBorders>
              <w:top w:val="single" w:sz="4" w:space="0" w:color="auto"/>
              <w:bottom w:val="single" w:sz="12" w:space="0" w:color="auto"/>
            </w:tcBorders>
          </w:tcPr>
          <w:p w14:paraId="08DB60B2"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$2,000 per oz</w:t>
            </w:r>
          </w:p>
        </w:tc>
        <w:tc>
          <w:tcPr>
            <w:tcW w:w="1376" w:type="dxa"/>
            <w:tcBorders>
              <w:top w:val="single" w:sz="4" w:space="0" w:color="auto"/>
              <w:bottom w:val="single" w:sz="12" w:space="0" w:color="auto"/>
            </w:tcBorders>
          </w:tcPr>
          <w:p w14:paraId="63193323"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30/02/2021</w:t>
            </w:r>
          </w:p>
        </w:tc>
        <w:tc>
          <w:tcPr>
            <w:tcW w:w="1379" w:type="dxa"/>
            <w:tcBorders>
              <w:top w:val="single" w:sz="4" w:space="0" w:color="auto"/>
              <w:bottom w:val="single" w:sz="12" w:space="0" w:color="auto"/>
              <w:right w:val="nil"/>
            </w:tcBorders>
          </w:tcPr>
          <w:p w14:paraId="58CBBD30"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ABC</w:t>
            </w:r>
          </w:p>
        </w:tc>
        <w:tc>
          <w:tcPr>
            <w:tcW w:w="1378" w:type="dxa"/>
            <w:tcBorders>
              <w:top w:val="single" w:sz="4" w:space="0" w:color="auto"/>
              <w:left w:val="nil"/>
              <w:bottom w:val="single" w:sz="12" w:space="0" w:color="auto"/>
              <w:right w:val="single" w:sz="6" w:space="0" w:color="auto"/>
            </w:tcBorders>
          </w:tcPr>
          <w:p w14:paraId="1B25B926"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AA-</w:t>
            </w:r>
          </w:p>
        </w:tc>
        <w:tc>
          <w:tcPr>
            <w:tcW w:w="1355" w:type="dxa"/>
            <w:tcBorders>
              <w:top w:val="single" w:sz="4" w:space="0" w:color="auto"/>
              <w:left w:val="single" w:sz="6" w:space="0" w:color="auto"/>
              <w:bottom w:val="single" w:sz="12" w:space="0" w:color="auto"/>
            </w:tcBorders>
          </w:tcPr>
          <w:p w14:paraId="113CB110"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64" w:type="dxa"/>
            <w:tcBorders>
              <w:top w:val="single" w:sz="4" w:space="0" w:color="auto"/>
              <w:bottom w:val="single" w:sz="12" w:space="0" w:color="auto"/>
            </w:tcBorders>
          </w:tcPr>
          <w:p w14:paraId="60616683"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54A82837" w14:textId="77777777" w:rsidTr="00F70582">
        <w:trPr>
          <w:gridAfter w:val="1"/>
          <w:wAfter w:w="27" w:type="dxa"/>
          <w:trHeight w:val="237"/>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78DBBCA5" w14:textId="77777777" w:rsidR="002A39E3" w:rsidRPr="00212388" w:rsidRDefault="002A39E3" w:rsidP="00F70582">
            <w:pPr>
              <w:spacing w:after="240"/>
              <w:rPr>
                <w:sz w:val="16"/>
                <w:szCs w:val="16"/>
              </w:rPr>
            </w:pPr>
            <w:r w:rsidRPr="00212388">
              <w:rPr>
                <w:sz w:val="16"/>
                <w:szCs w:val="16"/>
              </w:rPr>
              <w:t>Total</w:t>
            </w:r>
          </w:p>
        </w:tc>
        <w:tc>
          <w:tcPr>
            <w:tcW w:w="1373" w:type="dxa"/>
            <w:tcBorders>
              <w:top w:val="single" w:sz="12" w:space="0" w:color="auto"/>
              <w:bottom w:val="single" w:sz="12" w:space="0" w:color="auto"/>
            </w:tcBorders>
          </w:tcPr>
          <w:p w14:paraId="20E0FBA8"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72231D4B"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4" w:space="0" w:color="auto"/>
              <w:bottom w:val="single" w:sz="12" w:space="0" w:color="auto"/>
            </w:tcBorders>
          </w:tcPr>
          <w:p w14:paraId="4827A81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3468CFF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33FF7E3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6B98E58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63A97F8C"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788EF719"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1FAA60BC"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364" w:type="dxa"/>
            <w:tcBorders>
              <w:top w:val="single" w:sz="12" w:space="0" w:color="auto"/>
              <w:bottom w:val="single" w:sz="12" w:space="0" w:color="auto"/>
            </w:tcBorders>
          </w:tcPr>
          <w:p w14:paraId="664DE070"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7885C4B1" w14:textId="77777777" w:rsidTr="00F70582">
        <w:trPr>
          <w:gridAfter w:val="1"/>
          <w:cnfStyle w:val="000000100000" w:firstRow="0" w:lastRow="0" w:firstColumn="0" w:lastColumn="0" w:oddVBand="0" w:evenVBand="0" w:oddHBand="1" w:evenHBand="0" w:firstRowFirstColumn="0" w:firstRowLastColumn="0" w:lastRowFirstColumn="0" w:lastRowLastColumn="0"/>
          <w:wAfter w:w="27" w:type="dxa"/>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521BA5AA" w14:textId="77777777" w:rsidR="002A39E3" w:rsidRPr="00212388" w:rsidRDefault="002A39E3" w:rsidP="00F70582">
            <w:pPr>
              <w:rPr>
                <w:sz w:val="16"/>
                <w:szCs w:val="16"/>
              </w:rPr>
            </w:pPr>
            <w:r w:rsidRPr="00212388">
              <w:rPr>
                <w:sz w:val="16"/>
                <w:szCs w:val="16"/>
              </w:rPr>
              <w:t>Name/kind of investment item</w:t>
            </w:r>
          </w:p>
        </w:tc>
        <w:tc>
          <w:tcPr>
            <w:tcW w:w="1373" w:type="dxa"/>
            <w:tcBorders>
              <w:top w:val="single" w:sz="12" w:space="0" w:color="auto"/>
              <w:bottom w:val="single" w:sz="12" w:space="0" w:color="auto"/>
            </w:tcBorders>
          </w:tcPr>
          <w:p w14:paraId="09AF42E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Amount</w:t>
            </w:r>
          </w:p>
        </w:tc>
        <w:tc>
          <w:tcPr>
            <w:tcW w:w="1197" w:type="dxa"/>
            <w:tcBorders>
              <w:top w:val="single" w:sz="12" w:space="0" w:color="auto"/>
              <w:bottom w:val="single" w:sz="12" w:space="0" w:color="auto"/>
            </w:tcBorders>
          </w:tcPr>
          <w:p w14:paraId="23A5563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sz w:val="16"/>
                <w:szCs w:val="16"/>
              </w:rPr>
              <w:t>Price in Contract</w:t>
            </w:r>
          </w:p>
        </w:tc>
        <w:tc>
          <w:tcPr>
            <w:tcW w:w="1831" w:type="dxa"/>
            <w:gridSpan w:val="2"/>
            <w:tcBorders>
              <w:top w:val="single" w:sz="12" w:space="0" w:color="auto"/>
              <w:bottom w:val="single" w:sz="12" w:space="0" w:color="auto"/>
            </w:tcBorders>
          </w:tcPr>
          <w:p w14:paraId="18E9DA85"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sz w:val="16"/>
                <w:szCs w:val="16"/>
              </w:rPr>
              <w:t>Floating Benchmark (if applicable)</w:t>
            </w:r>
          </w:p>
        </w:tc>
        <w:tc>
          <w:tcPr>
            <w:tcW w:w="1375" w:type="dxa"/>
            <w:tcBorders>
              <w:top w:val="single" w:sz="12" w:space="0" w:color="auto"/>
              <w:bottom w:val="single" w:sz="12" w:space="0" w:color="auto"/>
            </w:tcBorders>
          </w:tcPr>
          <w:p w14:paraId="5E70E5EC"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Notional Amount</w:t>
            </w:r>
          </w:p>
        </w:tc>
        <w:tc>
          <w:tcPr>
            <w:tcW w:w="1370" w:type="dxa"/>
            <w:tcBorders>
              <w:top w:val="single" w:sz="12" w:space="0" w:color="auto"/>
              <w:bottom w:val="single" w:sz="12" w:space="0" w:color="auto"/>
            </w:tcBorders>
          </w:tcPr>
          <w:p w14:paraId="2C31851F"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Maturity Date</w:t>
            </w:r>
          </w:p>
        </w:tc>
        <w:tc>
          <w:tcPr>
            <w:tcW w:w="1376" w:type="dxa"/>
            <w:tcBorders>
              <w:top w:val="single" w:sz="12" w:space="0" w:color="auto"/>
              <w:bottom w:val="single" w:sz="12" w:space="0" w:color="auto"/>
            </w:tcBorders>
          </w:tcPr>
          <w:p w14:paraId="02CCCFCE"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Currency of Contract</w:t>
            </w:r>
          </w:p>
        </w:tc>
        <w:tc>
          <w:tcPr>
            <w:tcW w:w="1379" w:type="dxa"/>
            <w:tcBorders>
              <w:top w:val="single" w:sz="12" w:space="0" w:color="auto"/>
              <w:bottom w:val="single" w:sz="12" w:space="0" w:color="auto"/>
              <w:right w:val="nil"/>
            </w:tcBorders>
          </w:tcPr>
          <w:p w14:paraId="064CC7A3"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Counterparty</w:t>
            </w:r>
          </w:p>
        </w:tc>
        <w:tc>
          <w:tcPr>
            <w:tcW w:w="1378" w:type="dxa"/>
            <w:tcBorders>
              <w:top w:val="single" w:sz="12" w:space="0" w:color="auto"/>
              <w:left w:val="nil"/>
              <w:bottom w:val="single" w:sz="12" w:space="0" w:color="auto"/>
              <w:right w:val="single" w:sz="6" w:space="0" w:color="auto"/>
            </w:tcBorders>
          </w:tcPr>
          <w:p w14:paraId="4A937BB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12388">
              <w:rPr>
                <w:b/>
                <w:bCs/>
                <w:sz w:val="16"/>
                <w:szCs w:val="16"/>
              </w:rPr>
              <w:t>Counterparty Credit Rating</w:t>
            </w:r>
          </w:p>
        </w:tc>
        <w:tc>
          <w:tcPr>
            <w:tcW w:w="1355" w:type="dxa"/>
            <w:tcBorders>
              <w:top w:val="single" w:sz="12" w:space="0" w:color="auto"/>
              <w:left w:val="single" w:sz="6" w:space="0" w:color="auto"/>
              <w:bottom w:val="single" w:sz="12" w:space="0" w:color="auto"/>
            </w:tcBorders>
          </w:tcPr>
          <w:p w14:paraId="16FE724B"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D2366">
              <w:rPr>
                <w:b/>
                <w:bCs/>
                <w:sz w:val="16"/>
                <w:szCs w:val="16"/>
              </w:rPr>
              <w:t>Value</w:t>
            </w:r>
          </w:p>
        </w:tc>
        <w:tc>
          <w:tcPr>
            <w:tcW w:w="1364" w:type="dxa"/>
            <w:tcBorders>
              <w:top w:val="single" w:sz="12" w:space="0" w:color="auto"/>
              <w:bottom w:val="single" w:sz="12" w:space="0" w:color="auto"/>
            </w:tcBorders>
          </w:tcPr>
          <w:p w14:paraId="3A7368BC"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b/>
                <w:bCs/>
                <w:sz w:val="16"/>
                <w:szCs w:val="16"/>
              </w:rPr>
            </w:pPr>
            <w:r w:rsidRPr="002D2366">
              <w:rPr>
                <w:b/>
                <w:bCs/>
                <w:sz w:val="16"/>
                <w:szCs w:val="16"/>
              </w:rPr>
              <w:t>Weighting</w:t>
            </w:r>
          </w:p>
        </w:tc>
      </w:tr>
      <w:tr w:rsidR="002A39E3" w:rsidRPr="00DE0925" w14:paraId="4BFB4D35" w14:textId="77777777" w:rsidTr="00F70582">
        <w:trPr>
          <w:gridAfter w:val="1"/>
          <w:wAfter w:w="27" w:type="dxa"/>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4" w:space="0" w:color="auto"/>
            </w:tcBorders>
          </w:tcPr>
          <w:p w14:paraId="3ED7B6AF" w14:textId="77777777" w:rsidR="002A39E3" w:rsidRPr="00212388" w:rsidRDefault="002A39E3" w:rsidP="00F70582">
            <w:pPr>
              <w:rPr>
                <w:b w:val="0"/>
                <w:bCs w:val="0"/>
                <w:sz w:val="16"/>
                <w:szCs w:val="16"/>
              </w:rPr>
            </w:pPr>
            <w:r w:rsidRPr="00212388">
              <w:rPr>
                <w:sz w:val="16"/>
                <w:szCs w:val="16"/>
              </w:rPr>
              <w:t>Currency Swap</w:t>
            </w:r>
          </w:p>
          <w:p w14:paraId="74881F21" w14:textId="77777777" w:rsidR="002A39E3" w:rsidRPr="00212388" w:rsidRDefault="002A39E3" w:rsidP="00F70582">
            <w:pPr>
              <w:rPr>
                <w:b w:val="0"/>
                <w:bCs w:val="0"/>
                <w:sz w:val="16"/>
                <w:szCs w:val="16"/>
              </w:rPr>
            </w:pPr>
            <w:r w:rsidRPr="00212388">
              <w:rPr>
                <w:b w:val="0"/>
                <w:bCs w:val="0"/>
                <w:sz w:val="16"/>
                <w:szCs w:val="16"/>
              </w:rPr>
              <w:t>USD for AUD</w:t>
            </w:r>
          </w:p>
        </w:tc>
        <w:tc>
          <w:tcPr>
            <w:tcW w:w="1373" w:type="dxa"/>
            <w:tcBorders>
              <w:top w:val="single" w:sz="12" w:space="0" w:color="auto"/>
              <w:bottom w:val="single" w:sz="4" w:space="0" w:color="auto"/>
            </w:tcBorders>
          </w:tcPr>
          <w:p w14:paraId="251F20BD"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US$1 million</w:t>
            </w:r>
          </w:p>
        </w:tc>
        <w:tc>
          <w:tcPr>
            <w:tcW w:w="1197" w:type="dxa"/>
            <w:tcBorders>
              <w:top w:val="single" w:sz="12" w:space="0" w:color="auto"/>
              <w:bottom w:val="single" w:sz="4" w:space="0" w:color="auto"/>
            </w:tcBorders>
          </w:tcPr>
          <w:p w14:paraId="3637ADE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$1.31</w:t>
            </w:r>
          </w:p>
        </w:tc>
        <w:tc>
          <w:tcPr>
            <w:tcW w:w="1831" w:type="dxa"/>
            <w:gridSpan w:val="2"/>
            <w:tcBorders>
              <w:top w:val="single" w:sz="12" w:space="0" w:color="auto"/>
              <w:bottom w:val="single" w:sz="4" w:space="0" w:color="auto"/>
            </w:tcBorders>
          </w:tcPr>
          <w:p w14:paraId="111850F1"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NA</w:t>
            </w:r>
          </w:p>
        </w:tc>
        <w:tc>
          <w:tcPr>
            <w:tcW w:w="1375" w:type="dxa"/>
            <w:tcBorders>
              <w:top w:val="single" w:sz="12" w:space="0" w:color="auto"/>
              <w:bottom w:val="single" w:sz="4" w:space="0" w:color="auto"/>
            </w:tcBorders>
          </w:tcPr>
          <w:p w14:paraId="6CE5D9FB"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$1,307,190</w:t>
            </w:r>
          </w:p>
        </w:tc>
        <w:tc>
          <w:tcPr>
            <w:tcW w:w="1370" w:type="dxa"/>
            <w:tcBorders>
              <w:top w:val="single" w:sz="12" w:space="0" w:color="auto"/>
              <w:bottom w:val="single" w:sz="4" w:space="0" w:color="auto"/>
            </w:tcBorders>
          </w:tcPr>
          <w:p w14:paraId="48E8675F"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30/06/2023</w:t>
            </w:r>
          </w:p>
        </w:tc>
        <w:tc>
          <w:tcPr>
            <w:tcW w:w="1376" w:type="dxa"/>
            <w:tcBorders>
              <w:top w:val="single" w:sz="12" w:space="0" w:color="auto"/>
              <w:bottom w:val="single" w:sz="4" w:space="0" w:color="auto"/>
            </w:tcBorders>
          </w:tcPr>
          <w:p w14:paraId="16D284A7"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AUD</w:t>
            </w:r>
          </w:p>
        </w:tc>
        <w:tc>
          <w:tcPr>
            <w:tcW w:w="1379" w:type="dxa"/>
            <w:tcBorders>
              <w:top w:val="single" w:sz="12" w:space="0" w:color="auto"/>
              <w:bottom w:val="single" w:sz="4" w:space="0" w:color="auto"/>
              <w:right w:val="nil"/>
            </w:tcBorders>
          </w:tcPr>
          <w:p w14:paraId="2537A5AE"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ABC</w:t>
            </w:r>
          </w:p>
        </w:tc>
        <w:tc>
          <w:tcPr>
            <w:tcW w:w="1378" w:type="dxa"/>
            <w:tcBorders>
              <w:top w:val="single" w:sz="12" w:space="0" w:color="auto"/>
              <w:left w:val="nil"/>
              <w:bottom w:val="single" w:sz="4" w:space="0" w:color="auto"/>
              <w:right w:val="single" w:sz="6" w:space="0" w:color="auto"/>
            </w:tcBorders>
          </w:tcPr>
          <w:p w14:paraId="62DBC1BA" w14:textId="77777777" w:rsidR="002A39E3" w:rsidRPr="00212388"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12388">
              <w:rPr>
                <w:sz w:val="16"/>
                <w:szCs w:val="16"/>
              </w:rPr>
              <w:t>AA-</w:t>
            </w:r>
          </w:p>
        </w:tc>
        <w:tc>
          <w:tcPr>
            <w:tcW w:w="1355" w:type="dxa"/>
            <w:tcBorders>
              <w:top w:val="single" w:sz="12" w:space="0" w:color="auto"/>
              <w:left w:val="single" w:sz="6" w:space="0" w:color="auto"/>
              <w:bottom w:val="single" w:sz="4" w:space="0" w:color="auto"/>
            </w:tcBorders>
          </w:tcPr>
          <w:p w14:paraId="23A3DB48"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D2366">
              <w:rPr>
                <w:sz w:val="16"/>
                <w:szCs w:val="16"/>
              </w:rPr>
              <w:t>$X</w:t>
            </w:r>
          </w:p>
        </w:tc>
        <w:tc>
          <w:tcPr>
            <w:tcW w:w="1364" w:type="dxa"/>
            <w:tcBorders>
              <w:top w:val="single" w:sz="12" w:space="0" w:color="auto"/>
              <w:bottom w:val="single" w:sz="4" w:space="0" w:color="auto"/>
            </w:tcBorders>
          </w:tcPr>
          <w:p w14:paraId="60202369"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sidRPr="002D2366">
              <w:rPr>
                <w:sz w:val="16"/>
                <w:szCs w:val="16"/>
              </w:rPr>
              <w:t>%</w:t>
            </w:r>
          </w:p>
        </w:tc>
      </w:tr>
      <w:tr w:rsidR="002A39E3" w:rsidRPr="00DE0925" w14:paraId="0F9ED718" w14:textId="77777777" w:rsidTr="00F7058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02CDD0D6" w14:textId="77777777" w:rsidR="002A39E3" w:rsidRPr="00212388" w:rsidRDefault="002A39E3" w:rsidP="00F70582">
            <w:pPr>
              <w:rPr>
                <w:b w:val="0"/>
                <w:bCs w:val="0"/>
                <w:sz w:val="16"/>
                <w:szCs w:val="16"/>
              </w:rPr>
            </w:pPr>
            <w:r w:rsidRPr="00212388">
              <w:rPr>
                <w:sz w:val="16"/>
                <w:szCs w:val="16"/>
              </w:rPr>
              <w:t xml:space="preserve">Interest Rate Swap </w:t>
            </w:r>
          </w:p>
          <w:p w14:paraId="2CD14868" w14:textId="77777777" w:rsidR="002A39E3" w:rsidRPr="00212388" w:rsidRDefault="002A39E3" w:rsidP="00F70582">
            <w:pPr>
              <w:rPr>
                <w:sz w:val="16"/>
                <w:szCs w:val="16"/>
              </w:rPr>
            </w:pPr>
            <w:r w:rsidRPr="00212388">
              <w:rPr>
                <w:b w:val="0"/>
                <w:bCs w:val="0"/>
                <w:sz w:val="16"/>
                <w:szCs w:val="16"/>
              </w:rPr>
              <w:t>Fixed for floating</w:t>
            </w:r>
          </w:p>
        </w:tc>
        <w:tc>
          <w:tcPr>
            <w:tcW w:w="1373" w:type="dxa"/>
            <w:tcBorders>
              <w:top w:val="single" w:sz="12" w:space="0" w:color="auto"/>
              <w:bottom w:val="single" w:sz="12" w:space="0" w:color="auto"/>
            </w:tcBorders>
          </w:tcPr>
          <w:p w14:paraId="73D38D21"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US$1 million</w:t>
            </w:r>
          </w:p>
        </w:tc>
        <w:tc>
          <w:tcPr>
            <w:tcW w:w="1197" w:type="dxa"/>
            <w:tcBorders>
              <w:top w:val="single" w:sz="12" w:space="0" w:color="auto"/>
              <w:bottom w:val="single" w:sz="12" w:space="0" w:color="auto"/>
            </w:tcBorders>
          </w:tcPr>
          <w:p w14:paraId="15DA298C"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0.25bps</w:t>
            </w:r>
          </w:p>
        </w:tc>
        <w:tc>
          <w:tcPr>
            <w:tcW w:w="1831" w:type="dxa"/>
            <w:gridSpan w:val="2"/>
            <w:tcBorders>
              <w:top w:val="single" w:sz="12" w:space="0" w:color="auto"/>
              <w:bottom w:val="single" w:sz="12" w:space="0" w:color="auto"/>
            </w:tcBorders>
          </w:tcPr>
          <w:p w14:paraId="6D788B64"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6mBBSW</w:t>
            </w:r>
          </w:p>
        </w:tc>
        <w:tc>
          <w:tcPr>
            <w:tcW w:w="1375" w:type="dxa"/>
            <w:tcBorders>
              <w:top w:val="single" w:sz="12" w:space="0" w:color="auto"/>
              <w:bottom w:val="single" w:sz="12" w:space="0" w:color="auto"/>
            </w:tcBorders>
          </w:tcPr>
          <w:p w14:paraId="4488699F"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$25,000</w:t>
            </w:r>
          </w:p>
        </w:tc>
        <w:tc>
          <w:tcPr>
            <w:tcW w:w="1370" w:type="dxa"/>
            <w:tcBorders>
              <w:top w:val="single" w:sz="12" w:space="0" w:color="auto"/>
              <w:bottom w:val="single" w:sz="12" w:space="0" w:color="auto"/>
            </w:tcBorders>
          </w:tcPr>
          <w:p w14:paraId="4048E0FD"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30/06/2023</w:t>
            </w:r>
          </w:p>
        </w:tc>
        <w:tc>
          <w:tcPr>
            <w:tcW w:w="1376" w:type="dxa"/>
            <w:tcBorders>
              <w:top w:val="single" w:sz="12" w:space="0" w:color="auto"/>
              <w:bottom w:val="single" w:sz="12" w:space="0" w:color="auto"/>
            </w:tcBorders>
          </w:tcPr>
          <w:p w14:paraId="46EC16C9"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AUD</w:t>
            </w:r>
          </w:p>
        </w:tc>
        <w:tc>
          <w:tcPr>
            <w:tcW w:w="1379" w:type="dxa"/>
            <w:tcBorders>
              <w:top w:val="single" w:sz="12" w:space="0" w:color="auto"/>
              <w:bottom w:val="single" w:sz="12" w:space="0" w:color="auto"/>
              <w:right w:val="nil"/>
            </w:tcBorders>
          </w:tcPr>
          <w:p w14:paraId="6A3304CB"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ABC</w:t>
            </w:r>
          </w:p>
        </w:tc>
        <w:tc>
          <w:tcPr>
            <w:tcW w:w="1378" w:type="dxa"/>
            <w:tcBorders>
              <w:top w:val="single" w:sz="12" w:space="0" w:color="auto"/>
              <w:left w:val="nil"/>
              <w:bottom w:val="single" w:sz="12" w:space="0" w:color="auto"/>
              <w:right w:val="single" w:sz="6" w:space="0" w:color="auto"/>
            </w:tcBorders>
          </w:tcPr>
          <w:p w14:paraId="424BCF8A" w14:textId="77777777" w:rsidR="002A39E3" w:rsidRPr="00212388"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sidRPr="00212388">
              <w:rPr>
                <w:sz w:val="16"/>
                <w:szCs w:val="16"/>
              </w:rPr>
              <w:t>AA-</w:t>
            </w:r>
          </w:p>
        </w:tc>
        <w:tc>
          <w:tcPr>
            <w:tcW w:w="1355" w:type="dxa"/>
            <w:tcBorders>
              <w:top w:val="single" w:sz="12" w:space="0" w:color="auto"/>
              <w:left w:val="single" w:sz="6" w:space="0" w:color="auto"/>
              <w:bottom w:val="single" w:sz="12" w:space="0" w:color="auto"/>
            </w:tcBorders>
          </w:tcPr>
          <w:p w14:paraId="7165BB45"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64" w:type="dxa"/>
            <w:gridSpan w:val="2"/>
            <w:tcBorders>
              <w:top w:val="single" w:sz="12" w:space="0" w:color="auto"/>
              <w:bottom w:val="single" w:sz="4" w:space="0" w:color="auto"/>
            </w:tcBorders>
          </w:tcPr>
          <w:p w14:paraId="66CE339C"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6DF6C710" w14:textId="77777777" w:rsidTr="00F70582">
        <w:trPr>
          <w:gridAfter w:val="1"/>
          <w:wAfter w:w="27" w:type="dxa"/>
          <w:trHeight w:val="219"/>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5BAE6B04" w14:textId="77777777" w:rsidR="002A39E3" w:rsidRDefault="002A39E3" w:rsidP="00F70582">
            <w:pPr>
              <w:spacing w:after="240"/>
              <w:rPr>
                <w:sz w:val="16"/>
                <w:szCs w:val="16"/>
              </w:rPr>
            </w:pPr>
            <w:r>
              <w:rPr>
                <w:sz w:val="16"/>
                <w:szCs w:val="16"/>
              </w:rPr>
              <w:t>Total</w:t>
            </w:r>
          </w:p>
        </w:tc>
        <w:tc>
          <w:tcPr>
            <w:tcW w:w="1373" w:type="dxa"/>
            <w:tcBorders>
              <w:top w:val="single" w:sz="12" w:space="0" w:color="auto"/>
              <w:bottom w:val="single" w:sz="12" w:space="0" w:color="auto"/>
            </w:tcBorders>
          </w:tcPr>
          <w:p w14:paraId="4D4C543D"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0448958F"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6F9E49EA"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26869457"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13F58AAD"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4DD5C3BF"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1CC3595F"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0D4842F8"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283DD313"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364" w:type="dxa"/>
            <w:tcBorders>
              <w:top w:val="single" w:sz="12" w:space="0" w:color="auto"/>
              <w:bottom w:val="single" w:sz="12" w:space="0" w:color="auto"/>
            </w:tcBorders>
          </w:tcPr>
          <w:p w14:paraId="66D75578"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6CDFD003" w14:textId="77777777" w:rsidTr="00F70582">
        <w:trPr>
          <w:gridAfter w:val="1"/>
          <w:cnfStyle w:val="000000100000" w:firstRow="0" w:lastRow="0" w:firstColumn="0" w:lastColumn="0" w:oddVBand="0" w:evenVBand="0" w:oddHBand="1" w:evenHBand="0" w:firstRowFirstColumn="0" w:firstRowLastColumn="0" w:lastRowFirstColumn="0" w:lastRowLastColumn="0"/>
          <w:wAfter w:w="27" w:type="dxa"/>
          <w:trHeight w:val="219"/>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2F3FB549" w14:textId="77777777" w:rsidR="002A39E3" w:rsidRDefault="002A39E3" w:rsidP="00F70582">
            <w:pPr>
              <w:spacing w:after="240"/>
              <w:rPr>
                <w:sz w:val="16"/>
                <w:szCs w:val="16"/>
              </w:rPr>
            </w:pPr>
            <w:r>
              <w:rPr>
                <w:sz w:val="16"/>
                <w:szCs w:val="16"/>
              </w:rPr>
              <w:t>Other</w:t>
            </w:r>
          </w:p>
        </w:tc>
        <w:tc>
          <w:tcPr>
            <w:tcW w:w="1373" w:type="dxa"/>
            <w:tcBorders>
              <w:top w:val="single" w:sz="12" w:space="0" w:color="auto"/>
              <w:bottom w:val="single" w:sz="12" w:space="0" w:color="auto"/>
            </w:tcBorders>
          </w:tcPr>
          <w:p w14:paraId="3A1A90C1"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283010C9"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5700AC3C"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4FDC62FF"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54CEAB60"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17915A71"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3E476F5A"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5587A26A"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4F6EAABA"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364" w:type="dxa"/>
            <w:tcBorders>
              <w:top w:val="single" w:sz="12" w:space="0" w:color="auto"/>
              <w:bottom w:val="single" w:sz="12" w:space="0" w:color="auto"/>
            </w:tcBorders>
          </w:tcPr>
          <w:p w14:paraId="639882D3"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2A39E3" w:rsidRPr="00DE0925" w14:paraId="5ADF2A0B" w14:textId="77777777" w:rsidTr="00F70582">
        <w:trPr>
          <w:gridAfter w:val="1"/>
          <w:wAfter w:w="27" w:type="dxa"/>
          <w:trHeight w:val="219"/>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613BEA7D" w14:textId="77777777" w:rsidR="002A39E3" w:rsidRDefault="002A39E3" w:rsidP="00F70582">
            <w:pPr>
              <w:spacing w:after="240"/>
              <w:rPr>
                <w:sz w:val="16"/>
                <w:szCs w:val="16"/>
              </w:rPr>
            </w:pPr>
            <w:r>
              <w:rPr>
                <w:sz w:val="16"/>
                <w:szCs w:val="16"/>
              </w:rPr>
              <w:t>Total</w:t>
            </w:r>
          </w:p>
        </w:tc>
        <w:tc>
          <w:tcPr>
            <w:tcW w:w="1373" w:type="dxa"/>
            <w:tcBorders>
              <w:top w:val="single" w:sz="12" w:space="0" w:color="auto"/>
              <w:bottom w:val="single" w:sz="12" w:space="0" w:color="auto"/>
            </w:tcBorders>
          </w:tcPr>
          <w:p w14:paraId="529FB0B9"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534B97F3"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161130F4"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2C8FB4CB"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20179369"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437ED772"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741C0202"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7185FF82" w14:textId="77777777" w:rsidR="002A39E3" w:rsidRPr="002D2366"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3CA816F0"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364" w:type="dxa"/>
            <w:tcBorders>
              <w:top w:val="single" w:sz="12" w:space="0" w:color="auto"/>
              <w:bottom w:val="single" w:sz="12" w:space="0" w:color="auto"/>
            </w:tcBorders>
          </w:tcPr>
          <w:p w14:paraId="1784C0A5" w14:textId="77777777" w:rsidR="002A39E3" w:rsidRDefault="002A39E3" w:rsidP="00F7058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A39E3" w:rsidRPr="00DE0925" w14:paraId="0BB896E8" w14:textId="77777777" w:rsidTr="00F70582">
        <w:trPr>
          <w:gridAfter w:val="1"/>
          <w:cnfStyle w:val="000000100000" w:firstRow="0" w:lastRow="0" w:firstColumn="0" w:lastColumn="0" w:oddVBand="0" w:evenVBand="0" w:oddHBand="1" w:evenHBand="0" w:firstRowFirstColumn="0" w:firstRowLastColumn="0" w:lastRowFirstColumn="0" w:lastRowLastColumn="0"/>
          <w:wAfter w:w="27" w:type="dxa"/>
          <w:trHeight w:val="219"/>
        </w:trPr>
        <w:tc>
          <w:tcPr>
            <w:cnfStyle w:val="001000000000" w:firstRow="0" w:lastRow="0" w:firstColumn="1" w:lastColumn="0" w:oddVBand="0" w:evenVBand="0" w:oddHBand="0" w:evenHBand="0" w:firstRowFirstColumn="0" w:firstRowLastColumn="0" w:lastRowFirstColumn="0" w:lastRowLastColumn="0"/>
            <w:tcW w:w="1373" w:type="dxa"/>
            <w:tcBorders>
              <w:top w:val="single" w:sz="12" w:space="0" w:color="auto"/>
              <w:bottom w:val="single" w:sz="12" w:space="0" w:color="auto"/>
            </w:tcBorders>
          </w:tcPr>
          <w:p w14:paraId="3E5CD95D" w14:textId="77777777" w:rsidR="002A39E3" w:rsidRDefault="002A39E3" w:rsidP="00F70582">
            <w:pPr>
              <w:spacing w:after="240"/>
              <w:rPr>
                <w:sz w:val="16"/>
                <w:szCs w:val="16"/>
              </w:rPr>
            </w:pPr>
            <w:r>
              <w:rPr>
                <w:sz w:val="16"/>
                <w:szCs w:val="16"/>
              </w:rPr>
              <w:t>Total Derivative Items</w:t>
            </w:r>
          </w:p>
        </w:tc>
        <w:tc>
          <w:tcPr>
            <w:tcW w:w="1373" w:type="dxa"/>
            <w:tcBorders>
              <w:top w:val="single" w:sz="12" w:space="0" w:color="auto"/>
              <w:bottom w:val="single" w:sz="12" w:space="0" w:color="auto"/>
            </w:tcBorders>
          </w:tcPr>
          <w:p w14:paraId="0B0B97CF"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197" w:type="dxa"/>
            <w:tcBorders>
              <w:top w:val="single" w:sz="12" w:space="0" w:color="auto"/>
              <w:bottom w:val="single" w:sz="12" w:space="0" w:color="auto"/>
            </w:tcBorders>
          </w:tcPr>
          <w:p w14:paraId="56CB9D90"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831" w:type="dxa"/>
            <w:gridSpan w:val="2"/>
            <w:tcBorders>
              <w:top w:val="single" w:sz="12" w:space="0" w:color="auto"/>
              <w:bottom w:val="single" w:sz="12" w:space="0" w:color="auto"/>
            </w:tcBorders>
          </w:tcPr>
          <w:p w14:paraId="5C689472"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5" w:type="dxa"/>
            <w:tcBorders>
              <w:top w:val="single" w:sz="12" w:space="0" w:color="auto"/>
              <w:bottom w:val="single" w:sz="12" w:space="0" w:color="auto"/>
            </w:tcBorders>
          </w:tcPr>
          <w:p w14:paraId="3313D246"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Borders>
              <w:top w:val="single" w:sz="12" w:space="0" w:color="auto"/>
              <w:bottom w:val="single" w:sz="12" w:space="0" w:color="auto"/>
            </w:tcBorders>
          </w:tcPr>
          <w:p w14:paraId="1A76A0BF"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6" w:type="dxa"/>
            <w:tcBorders>
              <w:top w:val="single" w:sz="12" w:space="0" w:color="auto"/>
              <w:bottom w:val="single" w:sz="12" w:space="0" w:color="auto"/>
            </w:tcBorders>
          </w:tcPr>
          <w:p w14:paraId="540186A5"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9" w:type="dxa"/>
            <w:tcBorders>
              <w:top w:val="single" w:sz="12" w:space="0" w:color="auto"/>
              <w:bottom w:val="single" w:sz="12" w:space="0" w:color="auto"/>
              <w:right w:val="nil"/>
            </w:tcBorders>
          </w:tcPr>
          <w:p w14:paraId="599737D0"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78" w:type="dxa"/>
            <w:tcBorders>
              <w:top w:val="single" w:sz="12" w:space="0" w:color="auto"/>
              <w:left w:val="nil"/>
              <w:bottom w:val="single" w:sz="12" w:space="0" w:color="auto"/>
              <w:right w:val="single" w:sz="6" w:space="0" w:color="auto"/>
            </w:tcBorders>
          </w:tcPr>
          <w:p w14:paraId="19451888" w14:textId="77777777" w:rsidR="002A39E3" w:rsidRPr="002D2366"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p>
        </w:tc>
        <w:tc>
          <w:tcPr>
            <w:tcW w:w="1355" w:type="dxa"/>
            <w:tcBorders>
              <w:top w:val="single" w:sz="12" w:space="0" w:color="auto"/>
              <w:left w:val="single" w:sz="6" w:space="0" w:color="auto"/>
              <w:bottom w:val="single" w:sz="12" w:space="0" w:color="auto"/>
            </w:tcBorders>
          </w:tcPr>
          <w:p w14:paraId="0ACAD773"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364" w:type="dxa"/>
            <w:tcBorders>
              <w:top w:val="single" w:sz="12" w:space="0" w:color="auto"/>
              <w:bottom w:val="single" w:sz="12" w:space="0" w:color="auto"/>
            </w:tcBorders>
          </w:tcPr>
          <w:p w14:paraId="22B8198A" w14:textId="77777777" w:rsidR="002A39E3" w:rsidRDefault="002A39E3" w:rsidP="00F7058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bl>
    <w:p w14:paraId="4381F89B" w14:textId="77777777" w:rsidR="00B21475" w:rsidRPr="00EA4DD8" w:rsidRDefault="00B21475" w:rsidP="0031046E">
      <w:pPr>
        <w:pageBreakBefore/>
        <w:spacing w:before="240"/>
      </w:pPr>
    </w:p>
    <w:sectPr w:rsidR="00B21475" w:rsidRPr="00EA4DD8" w:rsidSect="0031046E">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FAAE5" w14:textId="77777777" w:rsidR="00B46D25" w:rsidRDefault="00B46D25" w:rsidP="00954679">
      <w:pPr>
        <w:spacing w:before="0" w:after="0"/>
      </w:pPr>
      <w:r>
        <w:separator/>
      </w:r>
    </w:p>
  </w:endnote>
  <w:endnote w:type="continuationSeparator" w:id="0">
    <w:p w14:paraId="48D35BB6" w14:textId="77777777" w:rsidR="00B46D25" w:rsidRDefault="00B46D25" w:rsidP="00954679">
      <w:pPr>
        <w:spacing w:before="0" w:after="0"/>
      </w:pPr>
      <w:r>
        <w:continuationSeparator/>
      </w:r>
    </w:p>
  </w:endnote>
  <w:endnote w:type="continuationNotice" w:id="1">
    <w:p w14:paraId="0A9A1D84" w14:textId="77777777" w:rsidR="00B46D25" w:rsidRDefault="00B46D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25D1826" w14:textId="19FD6CED" w:rsidR="001C460F" w:rsidRDefault="001C460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D47C0">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D47C0">
              <w:rPr>
                <w:bCs/>
                <w:noProof/>
              </w:rPr>
              <w:t>19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F557A" w14:textId="77777777" w:rsidR="00B46D25" w:rsidRDefault="00B46D25" w:rsidP="00954679">
      <w:pPr>
        <w:spacing w:before="0" w:after="0"/>
      </w:pPr>
      <w:r>
        <w:separator/>
      </w:r>
    </w:p>
  </w:footnote>
  <w:footnote w:type="continuationSeparator" w:id="0">
    <w:p w14:paraId="0DB9FA1A" w14:textId="77777777" w:rsidR="00B46D25" w:rsidRDefault="00B46D25" w:rsidP="00954679">
      <w:pPr>
        <w:spacing w:before="0" w:after="0"/>
      </w:pPr>
      <w:r>
        <w:continuationSeparator/>
      </w:r>
    </w:p>
  </w:footnote>
  <w:footnote w:type="continuationNotice" w:id="1">
    <w:p w14:paraId="00142048" w14:textId="77777777" w:rsidR="00B46D25" w:rsidRDefault="00B46D2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955F3A"/>
    <w:multiLevelType w:val="hybridMultilevel"/>
    <w:tmpl w:val="F1E68396"/>
    <w:lvl w:ilvl="0" w:tplc="7DF00764">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211BD9"/>
    <w:multiLevelType w:val="hybridMultilevel"/>
    <w:tmpl w:val="65CE1E80"/>
    <w:lvl w:ilvl="0" w:tplc="FBE2924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3C824F4"/>
    <w:multiLevelType w:val="hybridMultilevel"/>
    <w:tmpl w:val="183AD2DE"/>
    <w:lvl w:ilvl="0" w:tplc="C810816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4DC66D4F"/>
    <w:multiLevelType w:val="hybridMultilevel"/>
    <w:tmpl w:val="19DE9E18"/>
    <w:lvl w:ilvl="0" w:tplc="74DA648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B874F8"/>
    <w:multiLevelType w:val="hybridMultilevel"/>
    <w:tmpl w:val="8B9C6238"/>
    <w:lvl w:ilvl="0" w:tplc="E7B4919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E467882"/>
    <w:multiLevelType w:val="hybridMultilevel"/>
    <w:tmpl w:val="8CD6844C"/>
    <w:lvl w:ilvl="0" w:tplc="37E4852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A43C0B"/>
    <w:multiLevelType w:val="multilevel"/>
    <w:tmpl w:val="EB2C91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976C38"/>
    <w:multiLevelType w:val="hybridMultilevel"/>
    <w:tmpl w:val="973E89A2"/>
    <w:lvl w:ilvl="0" w:tplc="CF8248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B16110"/>
    <w:multiLevelType w:val="multilevel"/>
    <w:tmpl w:val="EA32FE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0"/>
  </w:num>
  <w:num w:numId="4">
    <w:abstractNumId w:val="9"/>
  </w:num>
  <w:num w:numId="5">
    <w:abstractNumId w:val="4"/>
  </w:num>
  <w:num w:numId="6">
    <w:abstractNumId w:val="6"/>
  </w:num>
  <w:num w:numId="7">
    <w:abstractNumId w:val="7"/>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62"/>
    <w:rsid w:val="000130BD"/>
    <w:rsid w:val="00013390"/>
    <w:rsid w:val="00016EA2"/>
    <w:rsid w:val="000374CB"/>
    <w:rsid w:val="00046A4E"/>
    <w:rsid w:val="00046D20"/>
    <w:rsid w:val="00046F98"/>
    <w:rsid w:val="000565E0"/>
    <w:rsid w:val="00060642"/>
    <w:rsid w:val="00070A0E"/>
    <w:rsid w:val="00073A5C"/>
    <w:rsid w:val="00076178"/>
    <w:rsid w:val="00077DE2"/>
    <w:rsid w:val="00085660"/>
    <w:rsid w:val="00095211"/>
    <w:rsid w:val="000B0ADE"/>
    <w:rsid w:val="000B39A1"/>
    <w:rsid w:val="000C10DF"/>
    <w:rsid w:val="000C1DD5"/>
    <w:rsid w:val="000C533D"/>
    <w:rsid w:val="000C6935"/>
    <w:rsid w:val="000C79FB"/>
    <w:rsid w:val="000D21D5"/>
    <w:rsid w:val="000D261B"/>
    <w:rsid w:val="000E32E3"/>
    <w:rsid w:val="000F7D6F"/>
    <w:rsid w:val="00100971"/>
    <w:rsid w:val="0010354D"/>
    <w:rsid w:val="001038E2"/>
    <w:rsid w:val="00113B45"/>
    <w:rsid w:val="00123237"/>
    <w:rsid w:val="0012682D"/>
    <w:rsid w:val="001326F0"/>
    <w:rsid w:val="00136A2E"/>
    <w:rsid w:val="001521F1"/>
    <w:rsid w:val="0015256A"/>
    <w:rsid w:val="0015371E"/>
    <w:rsid w:val="001629E2"/>
    <w:rsid w:val="00165EBF"/>
    <w:rsid w:val="00167405"/>
    <w:rsid w:val="00174840"/>
    <w:rsid w:val="00176394"/>
    <w:rsid w:val="00195710"/>
    <w:rsid w:val="0019575E"/>
    <w:rsid w:val="00196DFD"/>
    <w:rsid w:val="001A0F2B"/>
    <w:rsid w:val="001A15BB"/>
    <w:rsid w:val="001B7535"/>
    <w:rsid w:val="001C0F15"/>
    <w:rsid w:val="001C2C22"/>
    <w:rsid w:val="001C460F"/>
    <w:rsid w:val="001E6A74"/>
    <w:rsid w:val="001F3ED3"/>
    <w:rsid w:val="001F41D0"/>
    <w:rsid w:val="001F5306"/>
    <w:rsid w:val="002006F0"/>
    <w:rsid w:val="00202A34"/>
    <w:rsid w:val="00202BCF"/>
    <w:rsid w:val="00205C8E"/>
    <w:rsid w:val="00207355"/>
    <w:rsid w:val="00210AA1"/>
    <w:rsid w:val="002129E4"/>
    <w:rsid w:val="00213121"/>
    <w:rsid w:val="0021448B"/>
    <w:rsid w:val="00220F16"/>
    <w:rsid w:val="00234C79"/>
    <w:rsid w:val="00242E04"/>
    <w:rsid w:val="002506B3"/>
    <w:rsid w:val="00254A6C"/>
    <w:rsid w:val="00254C5B"/>
    <w:rsid w:val="0026002C"/>
    <w:rsid w:val="00262FBC"/>
    <w:rsid w:val="0026679E"/>
    <w:rsid w:val="002711BC"/>
    <w:rsid w:val="00280950"/>
    <w:rsid w:val="00281377"/>
    <w:rsid w:val="002824B2"/>
    <w:rsid w:val="00292AE1"/>
    <w:rsid w:val="002954ED"/>
    <w:rsid w:val="0029739B"/>
    <w:rsid w:val="002A159C"/>
    <w:rsid w:val="002A1F20"/>
    <w:rsid w:val="002A2AC1"/>
    <w:rsid w:val="002A39E3"/>
    <w:rsid w:val="002A7E1F"/>
    <w:rsid w:val="002C226C"/>
    <w:rsid w:val="002C5398"/>
    <w:rsid w:val="002E106F"/>
    <w:rsid w:val="002E4E71"/>
    <w:rsid w:val="002F1B8B"/>
    <w:rsid w:val="002F5559"/>
    <w:rsid w:val="003041FA"/>
    <w:rsid w:val="00306CB4"/>
    <w:rsid w:val="00307C39"/>
    <w:rsid w:val="00307CE6"/>
    <w:rsid w:val="0031046E"/>
    <w:rsid w:val="00313E09"/>
    <w:rsid w:val="003140CB"/>
    <w:rsid w:val="00316019"/>
    <w:rsid w:val="00320971"/>
    <w:rsid w:val="003247CC"/>
    <w:rsid w:val="00333341"/>
    <w:rsid w:val="003342CD"/>
    <w:rsid w:val="00335042"/>
    <w:rsid w:val="0035040A"/>
    <w:rsid w:val="00352D71"/>
    <w:rsid w:val="00353D85"/>
    <w:rsid w:val="00355719"/>
    <w:rsid w:val="003575CF"/>
    <w:rsid w:val="00362B70"/>
    <w:rsid w:val="0036486A"/>
    <w:rsid w:val="00366562"/>
    <w:rsid w:val="00367C7A"/>
    <w:rsid w:val="00385B48"/>
    <w:rsid w:val="00392BBA"/>
    <w:rsid w:val="003954FD"/>
    <w:rsid w:val="00395607"/>
    <w:rsid w:val="003A1D9B"/>
    <w:rsid w:val="003A3008"/>
    <w:rsid w:val="003A44CF"/>
    <w:rsid w:val="003B0137"/>
    <w:rsid w:val="003B42F3"/>
    <w:rsid w:val="003C03C5"/>
    <w:rsid w:val="003C7907"/>
    <w:rsid w:val="003D60D7"/>
    <w:rsid w:val="003D7EB9"/>
    <w:rsid w:val="003E1752"/>
    <w:rsid w:val="003E1CE3"/>
    <w:rsid w:val="003E2DE3"/>
    <w:rsid w:val="003F2097"/>
    <w:rsid w:val="003F6EC5"/>
    <w:rsid w:val="00404E12"/>
    <w:rsid w:val="004114C5"/>
    <w:rsid w:val="0042205E"/>
    <w:rsid w:val="00433D0F"/>
    <w:rsid w:val="00437390"/>
    <w:rsid w:val="00457BBD"/>
    <w:rsid w:val="00462095"/>
    <w:rsid w:val="00464821"/>
    <w:rsid w:val="00466B5E"/>
    <w:rsid w:val="00471CC8"/>
    <w:rsid w:val="004737E6"/>
    <w:rsid w:val="00482080"/>
    <w:rsid w:val="00482B81"/>
    <w:rsid w:val="00482D4C"/>
    <w:rsid w:val="00486284"/>
    <w:rsid w:val="00487383"/>
    <w:rsid w:val="004918A1"/>
    <w:rsid w:val="004A32ED"/>
    <w:rsid w:val="004A66EE"/>
    <w:rsid w:val="004B07B7"/>
    <w:rsid w:val="004B3C0F"/>
    <w:rsid w:val="004C05E4"/>
    <w:rsid w:val="004C2A06"/>
    <w:rsid w:val="004C6543"/>
    <w:rsid w:val="004D4CA0"/>
    <w:rsid w:val="004D5F33"/>
    <w:rsid w:val="004E01A5"/>
    <w:rsid w:val="004E39E1"/>
    <w:rsid w:val="004F56D0"/>
    <w:rsid w:val="00503E44"/>
    <w:rsid w:val="00504EF2"/>
    <w:rsid w:val="005066B6"/>
    <w:rsid w:val="0051318A"/>
    <w:rsid w:val="005131BB"/>
    <w:rsid w:val="00513E0B"/>
    <w:rsid w:val="00515283"/>
    <w:rsid w:val="0052461A"/>
    <w:rsid w:val="00533926"/>
    <w:rsid w:val="0055675D"/>
    <w:rsid w:val="005665AA"/>
    <w:rsid w:val="00566E8F"/>
    <w:rsid w:val="0057152E"/>
    <w:rsid w:val="00571B3F"/>
    <w:rsid w:val="0057422E"/>
    <w:rsid w:val="005748DC"/>
    <w:rsid w:val="00574A0B"/>
    <w:rsid w:val="00574C3E"/>
    <w:rsid w:val="00580C85"/>
    <w:rsid w:val="00582E5D"/>
    <w:rsid w:val="005833BE"/>
    <w:rsid w:val="00586175"/>
    <w:rsid w:val="00587941"/>
    <w:rsid w:val="00593398"/>
    <w:rsid w:val="005A5D80"/>
    <w:rsid w:val="005B0CBD"/>
    <w:rsid w:val="005B5AD4"/>
    <w:rsid w:val="005C5B61"/>
    <w:rsid w:val="005D6421"/>
    <w:rsid w:val="005D7D5A"/>
    <w:rsid w:val="005E4BAC"/>
    <w:rsid w:val="005E65E3"/>
    <w:rsid w:val="005E689B"/>
    <w:rsid w:val="005F4DC6"/>
    <w:rsid w:val="006004A3"/>
    <w:rsid w:val="0060130D"/>
    <w:rsid w:val="0061727D"/>
    <w:rsid w:val="00625F12"/>
    <w:rsid w:val="00626DD4"/>
    <w:rsid w:val="00630CD9"/>
    <w:rsid w:val="006313EB"/>
    <w:rsid w:val="00634E82"/>
    <w:rsid w:val="0064129F"/>
    <w:rsid w:val="00646DBB"/>
    <w:rsid w:val="00646FDD"/>
    <w:rsid w:val="00647BB7"/>
    <w:rsid w:val="0065371C"/>
    <w:rsid w:val="00660C62"/>
    <w:rsid w:val="00662BBA"/>
    <w:rsid w:val="00673F5C"/>
    <w:rsid w:val="00680297"/>
    <w:rsid w:val="006873CE"/>
    <w:rsid w:val="00693530"/>
    <w:rsid w:val="006A0786"/>
    <w:rsid w:val="006A3262"/>
    <w:rsid w:val="006A48E0"/>
    <w:rsid w:val="006B6086"/>
    <w:rsid w:val="006B76F2"/>
    <w:rsid w:val="006C61C4"/>
    <w:rsid w:val="006C67F0"/>
    <w:rsid w:val="006D2E40"/>
    <w:rsid w:val="006E39A8"/>
    <w:rsid w:val="006E6179"/>
    <w:rsid w:val="00710E94"/>
    <w:rsid w:val="0072320E"/>
    <w:rsid w:val="00727D8A"/>
    <w:rsid w:val="00731FEA"/>
    <w:rsid w:val="00732D8F"/>
    <w:rsid w:val="0073421C"/>
    <w:rsid w:val="00735614"/>
    <w:rsid w:val="00736F61"/>
    <w:rsid w:val="00742253"/>
    <w:rsid w:val="00742D62"/>
    <w:rsid w:val="007501A2"/>
    <w:rsid w:val="00761CD9"/>
    <w:rsid w:val="00764034"/>
    <w:rsid w:val="00765794"/>
    <w:rsid w:val="00765B0F"/>
    <w:rsid w:val="007662C7"/>
    <w:rsid w:val="00766819"/>
    <w:rsid w:val="00776306"/>
    <w:rsid w:val="00793833"/>
    <w:rsid w:val="007A4CF8"/>
    <w:rsid w:val="007A55A7"/>
    <w:rsid w:val="007A786F"/>
    <w:rsid w:val="007B1F10"/>
    <w:rsid w:val="007B335E"/>
    <w:rsid w:val="007C4DDE"/>
    <w:rsid w:val="007E018D"/>
    <w:rsid w:val="007F0840"/>
    <w:rsid w:val="007F1B71"/>
    <w:rsid w:val="007F2FD6"/>
    <w:rsid w:val="007F303A"/>
    <w:rsid w:val="008073CC"/>
    <w:rsid w:val="00807E7D"/>
    <w:rsid w:val="008107D7"/>
    <w:rsid w:val="008172FF"/>
    <w:rsid w:val="008202D5"/>
    <w:rsid w:val="008314B7"/>
    <w:rsid w:val="00831675"/>
    <w:rsid w:val="00832578"/>
    <w:rsid w:val="008355D7"/>
    <w:rsid w:val="00847553"/>
    <w:rsid w:val="00855FDE"/>
    <w:rsid w:val="00876344"/>
    <w:rsid w:val="0088467C"/>
    <w:rsid w:val="00884A42"/>
    <w:rsid w:val="008918D3"/>
    <w:rsid w:val="00894579"/>
    <w:rsid w:val="008A5B67"/>
    <w:rsid w:val="008A6372"/>
    <w:rsid w:val="008A7E6D"/>
    <w:rsid w:val="008B234C"/>
    <w:rsid w:val="008B2E4D"/>
    <w:rsid w:val="008D16F7"/>
    <w:rsid w:val="008D355F"/>
    <w:rsid w:val="008E1427"/>
    <w:rsid w:val="008E200C"/>
    <w:rsid w:val="008E616A"/>
    <w:rsid w:val="008F4E18"/>
    <w:rsid w:val="009143A0"/>
    <w:rsid w:val="0092768B"/>
    <w:rsid w:val="00934795"/>
    <w:rsid w:val="0093487F"/>
    <w:rsid w:val="00936322"/>
    <w:rsid w:val="0093651C"/>
    <w:rsid w:val="00936902"/>
    <w:rsid w:val="00936FD7"/>
    <w:rsid w:val="00937282"/>
    <w:rsid w:val="0093770A"/>
    <w:rsid w:val="00945E80"/>
    <w:rsid w:val="00946438"/>
    <w:rsid w:val="0094660F"/>
    <w:rsid w:val="009472FF"/>
    <w:rsid w:val="00950CE2"/>
    <w:rsid w:val="00952E2E"/>
    <w:rsid w:val="00954679"/>
    <w:rsid w:val="00960862"/>
    <w:rsid w:val="0098255D"/>
    <w:rsid w:val="00982ED1"/>
    <w:rsid w:val="00987712"/>
    <w:rsid w:val="00990D07"/>
    <w:rsid w:val="00991697"/>
    <w:rsid w:val="00993B89"/>
    <w:rsid w:val="009A65CE"/>
    <w:rsid w:val="009B5B0F"/>
    <w:rsid w:val="009C6A1E"/>
    <w:rsid w:val="009D0186"/>
    <w:rsid w:val="009D2E88"/>
    <w:rsid w:val="009E2F86"/>
    <w:rsid w:val="00A006A0"/>
    <w:rsid w:val="00A02F8D"/>
    <w:rsid w:val="00A036DA"/>
    <w:rsid w:val="00A0425E"/>
    <w:rsid w:val="00A12209"/>
    <w:rsid w:val="00A1347A"/>
    <w:rsid w:val="00A148A1"/>
    <w:rsid w:val="00A151E6"/>
    <w:rsid w:val="00A227ED"/>
    <w:rsid w:val="00A24677"/>
    <w:rsid w:val="00A26B4A"/>
    <w:rsid w:val="00A34B52"/>
    <w:rsid w:val="00A34D27"/>
    <w:rsid w:val="00A36DF3"/>
    <w:rsid w:val="00A46C6F"/>
    <w:rsid w:val="00A504F6"/>
    <w:rsid w:val="00A532DD"/>
    <w:rsid w:val="00A55A06"/>
    <w:rsid w:val="00A5650B"/>
    <w:rsid w:val="00A63C5E"/>
    <w:rsid w:val="00A65ABB"/>
    <w:rsid w:val="00A71483"/>
    <w:rsid w:val="00A71822"/>
    <w:rsid w:val="00A73234"/>
    <w:rsid w:val="00A80BCF"/>
    <w:rsid w:val="00A8117B"/>
    <w:rsid w:val="00A8369C"/>
    <w:rsid w:val="00A8477C"/>
    <w:rsid w:val="00A9176B"/>
    <w:rsid w:val="00A95466"/>
    <w:rsid w:val="00AA1689"/>
    <w:rsid w:val="00AA5770"/>
    <w:rsid w:val="00AA752D"/>
    <w:rsid w:val="00AC1D15"/>
    <w:rsid w:val="00AC3C51"/>
    <w:rsid w:val="00AC5F1D"/>
    <w:rsid w:val="00AD2DDA"/>
    <w:rsid w:val="00AD3310"/>
    <w:rsid w:val="00AE13F6"/>
    <w:rsid w:val="00AF313B"/>
    <w:rsid w:val="00AF382D"/>
    <w:rsid w:val="00AF6735"/>
    <w:rsid w:val="00B07B0C"/>
    <w:rsid w:val="00B21475"/>
    <w:rsid w:val="00B24DA6"/>
    <w:rsid w:val="00B25246"/>
    <w:rsid w:val="00B25563"/>
    <w:rsid w:val="00B26D48"/>
    <w:rsid w:val="00B325A9"/>
    <w:rsid w:val="00B33406"/>
    <w:rsid w:val="00B41897"/>
    <w:rsid w:val="00B42EE1"/>
    <w:rsid w:val="00B46642"/>
    <w:rsid w:val="00B46B25"/>
    <w:rsid w:val="00B46D25"/>
    <w:rsid w:val="00B51FF7"/>
    <w:rsid w:val="00B55A6B"/>
    <w:rsid w:val="00B64501"/>
    <w:rsid w:val="00B70EBB"/>
    <w:rsid w:val="00B71712"/>
    <w:rsid w:val="00B80860"/>
    <w:rsid w:val="00B8293D"/>
    <w:rsid w:val="00B90876"/>
    <w:rsid w:val="00B92478"/>
    <w:rsid w:val="00B95337"/>
    <w:rsid w:val="00BA38B6"/>
    <w:rsid w:val="00BA6188"/>
    <w:rsid w:val="00BB5D47"/>
    <w:rsid w:val="00BC2C8C"/>
    <w:rsid w:val="00BC68DB"/>
    <w:rsid w:val="00BD163F"/>
    <w:rsid w:val="00BD2832"/>
    <w:rsid w:val="00BD47C0"/>
    <w:rsid w:val="00BD61A2"/>
    <w:rsid w:val="00BE2B01"/>
    <w:rsid w:val="00BE484D"/>
    <w:rsid w:val="00BE5BC8"/>
    <w:rsid w:val="00BE6D72"/>
    <w:rsid w:val="00C07DED"/>
    <w:rsid w:val="00C20DD9"/>
    <w:rsid w:val="00C24689"/>
    <w:rsid w:val="00C37428"/>
    <w:rsid w:val="00C37E05"/>
    <w:rsid w:val="00C524CD"/>
    <w:rsid w:val="00C54109"/>
    <w:rsid w:val="00C55D29"/>
    <w:rsid w:val="00C86A2A"/>
    <w:rsid w:val="00C9302B"/>
    <w:rsid w:val="00CA0BE9"/>
    <w:rsid w:val="00CA138D"/>
    <w:rsid w:val="00CA297C"/>
    <w:rsid w:val="00CB4502"/>
    <w:rsid w:val="00CB5C95"/>
    <w:rsid w:val="00CB6304"/>
    <w:rsid w:val="00CB6CD2"/>
    <w:rsid w:val="00CB793B"/>
    <w:rsid w:val="00CC191E"/>
    <w:rsid w:val="00CC6393"/>
    <w:rsid w:val="00CC6D3B"/>
    <w:rsid w:val="00CC7641"/>
    <w:rsid w:val="00CC7781"/>
    <w:rsid w:val="00CD08DA"/>
    <w:rsid w:val="00CD59CA"/>
    <w:rsid w:val="00CF3390"/>
    <w:rsid w:val="00CF720E"/>
    <w:rsid w:val="00D05DA5"/>
    <w:rsid w:val="00D13794"/>
    <w:rsid w:val="00D24052"/>
    <w:rsid w:val="00D24386"/>
    <w:rsid w:val="00D31575"/>
    <w:rsid w:val="00D3260D"/>
    <w:rsid w:val="00D329C8"/>
    <w:rsid w:val="00D34626"/>
    <w:rsid w:val="00D34FB4"/>
    <w:rsid w:val="00D4257A"/>
    <w:rsid w:val="00D47B1A"/>
    <w:rsid w:val="00D503FD"/>
    <w:rsid w:val="00D50B02"/>
    <w:rsid w:val="00D55AB7"/>
    <w:rsid w:val="00D57EC9"/>
    <w:rsid w:val="00D62579"/>
    <w:rsid w:val="00D62665"/>
    <w:rsid w:val="00D74E0B"/>
    <w:rsid w:val="00D82E47"/>
    <w:rsid w:val="00D93601"/>
    <w:rsid w:val="00D9441E"/>
    <w:rsid w:val="00DA1AC6"/>
    <w:rsid w:val="00DA32DB"/>
    <w:rsid w:val="00DA7BDD"/>
    <w:rsid w:val="00DB13D1"/>
    <w:rsid w:val="00DB3DDC"/>
    <w:rsid w:val="00DB3EAF"/>
    <w:rsid w:val="00DB5CC5"/>
    <w:rsid w:val="00DC08F2"/>
    <w:rsid w:val="00DC0CDE"/>
    <w:rsid w:val="00DC4D72"/>
    <w:rsid w:val="00DC6064"/>
    <w:rsid w:val="00DC6409"/>
    <w:rsid w:val="00DD25DB"/>
    <w:rsid w:val="00DD44F1"/>
    <w:rsid w:val="00DD6E66"/>
    <w:rsid w:val="00DE0591"/>
    <w:rsid w:val="00DF0736"/>
    <w:rsid w:val="00DF314A"/>
    <w:rsid w:val="00DF6D0D"/>
    <w:rsid w:val="00DF7B9D"/>
    <w:rsid w:val="00E0624D"/>
    <w:rsid w:val="00E066A2"/>
    <w:rsid w:val="00E118F8"/>
    <w:rsid w:val="00E13CFE"/>
    <w:rsid w:val="00E16C4B"/>
    <w:rsid w:val="00E223FD"/>
    <w:rsid w:val="00E27FB6"/>
    <w:rsid w:val="00E346A0"/>
    <w:rsid w:val="00E3504B"/>
    <w:rsid w:val="00E35093"/>
    <w:rsid w:val="00E37955"/>
    <w:rsid w:val="00E414C0"/>
    <w:rsid w:val="00E4438C"/>
    <w:rsid w:val="00E457F3"/>
    <w:rsid w:val="00E5184A"/>
    <w:rsid w:val="00E5639A"/>
    <w:rsid w:val="00E57B0D"/>
    <w:rsid w:val="00E61E96"/>
    <w:rsid w:val="00E64FC5"/>
    <w:rsid w:val="00E65AF9"/>
    <w:rsid w:val="00E75ACA"/>
    <w:rsid w:val="00E76678"/>
    <w:rsid w:val="00E822DA"/>
    <w:rsid w:val="00E94847"/>
    <w:rsid w:val="00E95AA9"/>
    <w:rsid w:val="00E9714C"/>
    <w:rsid w:val="00EA4DD8"/>
    <w:rsid w:val="00EB2AEF"/>
    <w:rsid w:val="00EB32C0"/>
    <w:rsid w:val="00EB62AE"/>
    <w:rsid w:val="00EB7E71"/>
    <w:rsid w:val="00EC3906"/>
    <w:rsid w:val="00EE7F6E"/>
    <w:rsid w:val="00EF0207"/>
    <w:rsid w:val="00EF545A"/>
    <w:rsid w:val="00F015EE"/>
    <w:rsid w:val="00F02313"/>
    <w:rsid w:val="00F025DE"/>
    <w:rsid w:val="00F1001E"/>
    <w:rsid w:val="00F109D4"/>
    <w:rsid w:val="00F15EE9"/>
    <w:rsid w:val="00F20BE6"/>
    <w:rsid w:val="00F47585"/>
    <w:rsid w:val="00F61057"/>
    <w:rsid w:val="00F70582"/>
    <w:rsid w:val="00F716F6"/>
    <w:rsid w:val="00F729EC"/>
    <w:rsid w:val="00F8022B"/>
    <w:rsid w:val="00F8047C"/>
    <w:rsid w:val="00F85E6F"/>
    <w:rsid w:val="00F93194"/>
    <w:rsid w:val="00F94A32"/>
    <w:rsid w:val="00FA53CA"/>
    <w:rsid w:val="00FA6C50"/>
    <w:rsid w:val="00FB58D4"/>
    <w:rsid w:val="00FB7C5F"/>
    <w:rsid w:val="00FC017D"/>
    <w:rsid w:val="00FC39D8"/>
    <w:rsid w:val="00FD7DA3"/>
    <w:rsid w:val="00FE04E4"/>
    <w:rsid w:val="00FE27F4"/>
    <w:rsid w:val="00FE4423"/>
    <w:rsid w:val="00FE73F9"/>
    <w:rsid w:val="00FF1057"/>
    <w:rsid w:val="00FF3972"/>
    <w:rsid w:val="00FF3E25"/>
    <w:rsid w:val="00FF4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2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E16C4B"/>
    <w:pPr>
      <w:ind w:left="720"/>
      <w:contextualSpacing/>
    </w:pPr>
  </w:style>
  <w:style w:type="table" w:styleId="TableGrid">
    <w:name w:val="Table Grid"/>
    <w:basedOn w:val="TableNormal"/>
    <w:uiPriority w:val="59"/>
    <w:rsid w:val="00B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24D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50B02"/>
    <w:rPr>
      <w:sz w:val="24"/>
    </w:rPr>
  </w:style>
  <w:style w:type="paragraph" w:customStyle="1" w:styleId="Heading1numbered">
    <w:name w:val="Heading 1 numbered"/>
    <w:basedOn w:val="Heading1"/>
    <w:uiPriority w:val="2"/>
    <w:qFormat/>
    <w:rsid w:val="009A65CE"/>
    <w:pPr>
      <w:keepLines/>
      <w:numPr>
        <w:numId w:val="11"/>
      </w:numPr>
      <w:tabs>
        <w:tab w:val="left" w:pos="567"/>
      </w:tabs>
      <w:spacing w:before="300" w:after="180"/>
      <w:jc w:val="left"/>
    </w:pPr>
    <w:rPr>
      <w:rFonts w:ascii="Calibri" w:eastAsiaTheme="majorEastAsia" w:hAnsi="Calibri" w:cstheme="majorBidi"/>
      <w:bCs/>
      <w:color w:val="1F497D" w:themeColor="text2"/>
      <w:kern w:val="0"/>
      <w:sz w:val="32"/>
      <w:szCs w:val="28"/>
      <w:u w:val="none"/>
      <w:lang w:eastAsia="en-US"/>
    </w:rPr>
  </w:style>
  <w:style w:type="paragraph" w:customStyle="1" w:styleId="CABParaSub">
    <w:name w:val="CAB Para Sub"/>
    <w:basedOn w:val="Normal"/>
    <w:link w:val="CABParaSubChar"/>
    <w:qFormat/>
    <w:rsid w:val="009A65CE"/>
    <w:pPr>
      <w:tabs>
        <w:tab w:val="left" w:pos="567"/>
      </w:tabs>
    </w:pPr>
    <w:rPr>
      <w:rFonts w:eastAsia="Calibri"/>
      <w:szCs w:val="24"/>
      <w:lang w:eastAsia="en-US"/>
    </w:rPr>
  </w:style>
  <w:style w:type="character" w:customStyle="1" w:styleId="CABParaSubChar">
    <w:name w:val="CAB Para Sub Char"/>
    <w:basedOn w:val="DefaultParagraphFont"/>
    <w:link w:val="CABParaSub"/>
    <w:rsid w:val="009A65CE"/>
    <w:rPr>
      <w:rFonts w:eastAsia="Calibri"/>
      <w:sz w:val="24"/>
      <w:szCs w:val="24"/>
      <w:lang w:eastAsia="en-US"/>
    </w:rPr>
  </w:style>
  <w:style w:type="table" w:styleId="PlainTable2">
    <w:name w:val="Plain Table 2"/>
    <w:basedOn w:val="TableNormal"/>
    <w:uiPriority w:val="42"/>
    <w:rsid w:val="00B2147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51577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760A041F174BE3ACA821B854FDB2D6"/>
        <w:category>
          <w:name w:val="General"/>
          <w:gallery w:val="placeholder"/>
        </w:category>
        <w:types>
          <w:type w:val="bbPlcHdr"/>
        </w:types>
        <w:behaviors>
          <w:behavior w:val="content"/>
        </w:behaviors>
        <w:guid w:val="{EC7E5E26-555C-484C-825E-97C54DD980C9}"/>
      </w:docPartPr>
      <w:docPartBody>
        <w:p w:rsidR="00D907AB" w:rsidRDefault="00D907AB">
          <w:pPr>
            <w:pStyle w:val="E3760A041F174BE3ACA821B854FDB2D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AB"/>
    <w:rsid w:val="000D0D5E"/>
    <w:rsid w:val="001945BF"/>
    <w:rsid w:val="0023489C"/>
    <w:rsid w:val="002C2EC9"/>
    <w:rsid w:val="003179A7"/>
    <w:rsid w:val="003533B6"/>
    <w:rsid w:val="0041449B"/>
    <w:rsid w:val="004154DA"/>
    <w:rsid w:val="004E6D0D"/>
    <w:rsid w:val="006A05B8"/>
    <w:rsid w:val="00756BB8"/>
    <w:rsid w:val="009C77B6"/>
    <w:rsid w:val="00A129A3"/>
    <w:rsid w:val="00A87867"/>
    <w:rsid w:val="00CC0CF5"/>
    <w:rsid w:val="00D907AB"/>
    <w:rsid w:val="00E34AE6"/>
    <w:rsid w:val="00F2799C"/>
    <w:rsid w:val="00F6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760A041F174BE3ACA821B854FDB2D6">
    <w:name w:val="E3760A041F174BE3ACA821B854FDB2D6"/>
  </w:style>
  <w:style w:type="paragraph" w:customStyle="1" w:styleId="8EFB6FAD3E774ACCBC20E418EDCEAA19">
    <w:name w:val="8EFB6FAD3E774ACCBC20E418EDCEAA19"/>
  </w:style>
  <w:style w:type="paragraph" w:customStyle="1" w:styleId="B90A1E140A924BC281F6CCF765972DD7">
    <w:name w:val="B90A1E140A924BC281F6CCF765972DD7"/>
  </w:style>
  <w:style w:type="paragraph" w:customStyle="1" w:styleId="82508DCFAB064C51BDC78F84ABD7BEBA">
    <w:name w:val="82508DCFAB064C51BDC78F84ABD7B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13EB-9694-4E9B-8101-48A48161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Improving accountability and member outcomes - Explanatory statement</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accountability and member outcomes - Explanatory statement</dc:title>
  <dc:subject/>
  <dc:creator/>
  <cp:keywords/>
  <cp:lastModifiedBy/>
  <cp:revision>1</cp:revision>
  <dcterms:created xsi:type="dcterms:W3CDTF">2021-04-27T06:32:00Z</dcterms:created>
  <dcterms:modified xsi:type="dcterms:W3CDTF">2021-04-27T06:32:00Z</dcterms:modified>
</cp:coreProperties>
</file>