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17BDC" w14:textId="07F54E94" w:rsidR="00602BF1" w:rsidRDefault="00A2149F">
      <w:pPr>
        <w:spacing w:after="160"/>
        <w:rPr>
          <w:rFonts w:asciiTheme="majorHAnsi" w:eastAsiaTheme="majorEastAsia" w:hAnsiTheme="majorHAnsi" w:cstheme="majorBidi"/>
          <w:spacing w:val="-10"/>
          <w:kern w:val="28"/>
          <w:sz w:val="40"/>
          <w:szCs w:val="40"/>
        </w:rPr>
      </w:pPr>
      <w:r>
        <w:rPr>
          <w:noProof/>
          <w:lang w:eastAsia="en-AU"/>
        </w:rPr>
        <w:drawing>
          <wp:anchor distT="0" distB="0" distL="114300" distR="114300" simplePos="0" relativeHeight="251658242" behindDoc="1" locked="0" layoutInCell="1" allowOverlap="1" wp14:anchorId="68D4427A" wp14:editId="6BC4574D">
            <wp:simplePos x="914400" y="914400"/>
            <wp:positionH relativeFrom="page">
              <wp:align>center</wp:align>
            </wp:positionH>
            <wp:positionV relativeFrom="page">
              <wp:align>center</wp:align>
            </wp:positionV>
            <wp:extent cx="7560000" cy="10692000"/>
            <wp:effectExtent l="0" t="0" r="3175" b="0"/>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8"/>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602BF1">
        <w:rPr>
          <w:noProof/>
          <w:lang w:eastAsia="en-AU"/>
        </w:rPr>
        <mc:AlternateContent>
          <mc:Choice Requires="wps">
            <w:drawing>
              <wp:anchor distT="0" distB="0" distL="114300" distR="114300" simplePos="0" relativeHeight="251658240" behindDoc="0" locked="0" layoutInCell="1" allowOverlap="1" wp14:anchorId="015C985B" wp14:editId="336EC3F3">
                <wp:simplePos x="0" y="0"/>
                <wp:positionH relativeFrom="margin">
                  <wp:align>center</wp:align>
                </wp:positionH>
                <wp:positionV relativeFrom="paragraph">
                  <wp:posOffset>2554605</wp:posOffset>
                </wp:positionV>
                <wp:extent cx="5751320" cy="39433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751320" cy="3943350"/>
                        </a:xfrm>
                        <a:prstGeom prst="rect">
                          <a:avLst/>
                        </a:prstGeom>
                        <a:noFill/>
                        <a:ln w="6350">
                          <a:noFill/>
                        </a:ln>
                      </wps:spPr>
                      <wps:txbx>
                        <w:txbxContent>
                          <w:p w14:paraId="123BD769" w14:textId="360CC2ED" w:rsidR="00C641D1" w:rsidRPr="0080285C" w:rsidRDefault="00C641D1" w:rsidP="00A2149F">
                            <w:pPr>
                              <w:rPr>
                                <w:rFonts w:cstheme="minorHAnsi"/>
                                <w:color w:val="FFFFFF" w:themeColor="background1"/>
                                <w:sz w:val="72"/>
                                <w:szCs w:val="72"/>
                              </w:rPr>
                            </w:pPr>
                            <w:r>
                              <w:rPr>
                                <w:rFonts w:cstheme="minorHAnsi"/>
                                <w:color w:val="FFFFFF" w:themeColor="background1"/>
                                <w:sz w:val="72"/>
                                <w:szCs w:val="72"/>
                              </w:rPr>
                              <w:t>Peer-to-peer data access model in the energy sector</w:t>
                            </w:r>
                          </w:p>
                          <w:p w14:paraId="1CC38155" w14:textId="027AD9F1" w:rsidR="00C641D1" w:rsidRPr="0080285C" w:rsidRDefault="00C641D1" w:rsidP="00A2149F">
                            <w:pPr>
                              <w:spacing w:line="240" w:lineRule="auto"/>
                              <w:rPr>
                                <w:rFonts w:eastAsia="Times New Roman" w:cstheme="minorHAnsi"/>
                                <w:color w:val="FFFFFF" w:themeColor="background1"/>
                                <w:sz w:val="52"/>
                                <w:szCs w:val="52"/>
                                <w:lang w:eastAsia="en-GB"/>
                              </w:rPr>
                            </w:pPr>
                            <w:r>
                              <w:rPr>
                                <w:rFonts w:eastAsia="Times New Roman" w:cstheme="minorHAnsi"/>
                                <w:color w:val="FFFFFF" w:themeColor="background1"/>
                                <w:sz w:val="52"/>
                                <w:szCs w:val="52"/>
                                <w:lang w:eastAsia="en-GB"/>
                              </w:rPr>
                              <w:t>CDR rules and standards d</w:t>
                            </w:r>
                            <w:r w:rsidRPr="0080285C">
                              <w:rPr>
                                <w:rFonts w:eastAsia="Times New Roman" w:cstheme="minorHAnsi"/>
                                <w:color w:val="FFFFFF" w:themeColor="background1"/>
                                <w:sz w:val="52"/>
                                <w:szCs w:val="52"/>
                                <w:lang w:eastAsia="en-GB"/>
                              </w:rPr>
                              <w:t xml:space="preserve">esign </w:t>
                            </w:r>
                            <w:r>
                              <w:rPr>
                                <w:rFonts w:eastAsia="Times New Roman" w:cstheme="minorHAnsi"/>
                                <w:color w:val="FFFFFF" w:themeColor="background1"/>
                                <w:sz w:val="52"/>
                                <w:szCs w:val="52"/>
                                <w:lang w:eastAsia="en-GB"/>
                              </w:rPr>
                              <w:t>p</w:t>
                            </w:r>
                            <w:r w:rsidRPr="0080285C">
                              <w:rPr>
                                <w:rFonts w:eastAsia="Times New Roman" w:cstheme="minorHAnsi"/>
                                <w:color w:val="FFFFFF" w:themeColor="background1"/>
                                <w:sz w:val="52"/>
                                <w:szCs w:val="52"/>
                                <w:lang w:eastAsia="en-GB"/>
                              </w:rPr>
                              <w:t>aper</w:t>
                            </w:r>
                          </w:p>
                          <w:p w14:paraId="13455779" w14:textId="77777777" w:rsidR="00C641D1" w:rsidRPr="0080285C" w:rsidRDefault="00C641D1" w:rsidP="00A2149F">
                            <w:pPr>
                              <w:rPr>
                                <w:rFonts w:cstheme="minorHAnsi"/>
                                <w:color w:val="FFFFFF" w:themeColor="background1"/>
                                <w:sz w:val="56"/>
                                <w:szCs w:val="56"/>
                              </w:rPr>
                            </w:pPr>
                          </w:p>
                          <w:p w14:paraId="651AB888" w14:textId="13322748" w:rsidR="00C641D1" w:rsidRPr="00602BF1" w:rsidRDefault="005918F0">
                            <w:pPr>
                              <w:rPr>
                                <w:rFonts w:ascii="Times New Roman" w:hAnsi="Times New Roman" w:cs="Times New Roman"/>
                                <w:sz w:val="56"/>
                                <w:szCs w:val="56"/>
                              </w:rPr>
                            </w:pPr>
                            <w:r>
                              <w:rPr>
                                <w:rFonts w:cstheme="minorHAnsi"/>
                                <w:color w:val="FFFFFF" w:themeColor="background1"/>
                                <w:sz w:val="32"/>
                                <w:szCs w:val="32"/>
                              </w:rPr>
                              <w:t>30</w:t>
                            </w:r>
                            <w:r w:rsidR="00C641D1" w:rsidRPr="0080285C">
                              <w:rPr>
                                <w:rFonts w:cstheme="minorHAnsi"/>
                                <w:color w:val="FFFFFF" w:themeColor="background1"/>
                                <w:sz w:val="32"/>
                                <w:szCs w:val="32"/>
                              </w:rPr>
                              <w:t xml:space="preserve"> April 202</w:t>
                            </w:r>
                            <w:r w:rsidR="00C641D1">
                              <w:rPr>
                                <w:rFonts w:cstheme="minorHAnsi"/>
                                <w:color w:val="FFFFFF" w:themeColor="background1"/>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C985B" id="_x0000_t202" coordsize="21600,21600" o:spt="202" path="m,l,21600r21600,l21600,xe">
                <v:stroke joinstyle="miter"/>
                <v:path gradientshapeok="t" o:connecttype="rect"/>
              </v:shapetype>
              <v:shape id="Text Box 1" o:spid="_x0000_s1026" type="#_x0000_t202" style="position:absolute;margin-left:0;margin-top:201.15pt;width:452.85pt;height:310.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" filled="f" stroked="f" strokeweight=".5pt">
                <v:textbox>
                  <w:txbxContent>
                    <w:p w14:paraId="123BD769" w14:textId="360CC2ED" w:rsidR="00C641D1" w:rsidRPr="0080285C" w:rsidRDefault="00C641D1" w:rsidP="00A2149F">
                      <w:pPr>
                        <w:rPr>
                          <w:rFonts w:cstheme="minorHAnsi"/>
                          <w:color w:val="FFFFFF" w:themeColor="background1"/>
                          <w:sz w:val="72"/>
                          <w:szCs w:val="72"/>
                        </w:rPr>
                      </w:pPr>
                      <w:r>
                        <w:rPr>
                          <w:rFonts w:cstheme="minorHAnsi"/>
                          <w:color w:val="FFFFFF" w:themeColor="background1"/>
                          <w:sz w:val="72"/>
                          <w:szCs w:val="72"/>
                        </w:rPr>
                        <w:t>Peer-to-peer data access model in the energy sector</w:t>
                      </w:r>
                    </w:p>
                    <w:p w14:paraId="1CC38155" w14:textId="027AD9F1" w:rsidR="00C641D1" w:rsidRPr="0080285C" w:rsidRDefault="00C641D1" w:rsidP="00A2149F">
                      <w:pPr>
                        <w:spacing w:line="240" w:lineRule="auto"/>
                        <w:rPr>
                          <w:rFonts w:eastAsia="Times New Roman" w:cstheme="minorHAnsi"/>
                          <w:color w:val="FFFFFF" w:themeColor="background1"/>
                          <w:sz w:val="52"/>
                          <w:szCs w:val="52"/>
                          <w:lang w:eastAsia="en-GB"/>
                        </w:rPr>
                      </w:pPr>
                      <w:r>
                        <w:rPr>
                          <w:rFonts w:eastAsia="Times New Roman" w:cstheme="minorHAnsi"/>
                          <w:color w:val="FFFFFF" w:themeColor="background1"/>
                          <w:sz w:val="52"/>
                          <w:szCs w:val="52"/>
                          <w:lang w:eastAsia="en-GB"/>
                        </w:rPr>
                        <w:t>CDR rules and standards d</w:t>
                      </w:r>
                      <w:r w:rsidRPr="0080285C">
                        <w:rPr>
                          <w:rFonts w:eastAsia="Times New Roman" w:cstheme="minorHAnsi"/>
                          <w:color w:val="FFFFFF" w:themeColor="background1"/>
                          <w:sz w:val="52"/>
                          <w:szCs w:val="52"/>
                          <w:lang w:eastAsia="en-GB"/>
                        </w:rPr>
                        <w:t xml:space="preserve">esign </w:t>
                      </w:r>
                      <w:r>
                        <w:rPr>
                          <w:rFonts w:eastAsia="Times New Roman" w:cstheme="minorHAnsi"/>
                          <w:color w:val="FFFFFF" w:themeColor="background1"/>
                          <w:sz w:val="52"/>
                          <w:szCs w:val="52"/>
                          <w:lang w:eastAsia="en-GB"/>
                        </w:rPr>
                        <w:t>p</w:t>
                      </w:r>
                      <w:r w:rsidRPr="0080285C">
                        <w:rPr>
                          <w:rFonts w:eastAsia="Times New Roman" w:cstheme="minorHAnsi"/>
                          <w:color w:val="FFFFFF" w:themeColor="background1"/>
                          <w:sz w:val="52"/>
                          <w:szCs w:val="52"/>
                          <w:lang w:eastAsia="en-GB"/>
                        </w:rPr>
                        <w:t>aper</w:t>
                      </w:r>
                    </w:p>
                    <w:p w14:paraId="13455779" w14:textId="77777777" w:rsidR="00C641D1" w:rsidRPr="0080285C" w:rsidRDefault="00C641D1" w:rsidP="00A2149F">
                      <w:pPr>
                        <w:rPr>
                          <w:rFonts w:cstheme="minorHAnsi"/>
                          <w:color w:val="FFFFFF" w:themeColor="background1"/>
                          <w:sz w:val="56"/>
                          <w:szCs w:val="56"/>
                        </w:rPr>
                      </w:pPr>
                    </w:p>
                    <w:p w14:paraId="651AB888" w14:textId="13322748" w:rsidR="00C641D1" w:rsidRPr="00602BF1" w:rsidRDefault="005918F0">
                      <w:pPr>
                        <w:rPr>
                          <w:rFonts w:ascii="Times New Roman" w:hAnsi="Times New Roman" w:cs="Times New Roman"/>
                          <w:sz w:val="56"/>
                          <w:szCs w:val="56"/>
                        </w:rPr>
                      </w:pPr>
                      <w:r>
                        <w:rPr>
                          <w:rFonts w:cstheme="minorHAnsi"/>
                          <w:color w:val="FFFFFF" w:themeColor="background1"/>
                          <w:sz w:val="32"/>
                          <w:szCs w:val="32"/>
                        </w:rPr>
                        <w:t>30</w:t>
                      </w:r>
                      <w:r w:rsidR="00C641D1" w:rsidRPr="0080285C">
                        <w:rPr>
                          <w:rFonts w:cstheme="minorHAnsi"/>
                          <w:color w:val="FFFFFF" w:themeColor="background1"/>
                          <w:sz w:val="32"/>
                          <w:szCs w:val="32"/>
                        </w:rPr>
                        <w:t xml:space="preserve"> April 202</w:t>
                      </w:r>
                      <w:r w:rsidR="00C641D1">
                        <w:rPr>
                          <w:rFonts w:cstheme="minorHAnsi"/>
                          <w:color w:val="FFFFFF" w:themeColor="background1"/>
                          <w:sz w:val="32"/>
                          <w:szCs w:val="32"/>
                        </w:rPr>
                        <w:t>1</w:t>
                      </w:r>
                    </w:p>
                  </w:txbxContent>
                </v:textbox>
                <w10:wrap anchorx="margin"/>
              </v:shape>
            </w:pict>
          </mc:Fallback>
        </mc:AlternateContent>
      </w:r>
      <w:r w:rsidR="00602BF1">
        <w:br w:type="page"/>
      </w:r>
    </w:p>
    <w:p w14:paraId="327C83D9" w14:textId="0351E1B2" w:rsidR="00602BF1" w:rsidRDefault="00602BF1" w:rsidP="007347F2">
      <w:pPr>
        <w:pStyle w:val="Title"/>
      </w:pPr>
      <w:r>
        <w:t>Opportunity to provide feedback</w:t>
      </w:r>
    </w:p>
    <w:p w14:paraId="21766BE7" w14:textId="0416DA50" w:rsidR="00D106D6" w:rsidRDefault="00F01C1A" w:rsidP="007C2D7A">
      <w:pPr>
        <w:spacing w:line="240" w:lineRule="auto"/>
      </w:pPr>
      <w:r>
        <w:t>This</w:t>
      </w:r>
      <w:r w:rsidDel="00F1019C">
        <w:t xml:space="preserve"> </w:t>
      </w:r>
      <w:r>
        <w:t xml:space="preserve">paper is designed to obtain feedback </w:t>
      </w:r>
      <w:r w:rsidR="002A5472">
        <w:t>in order to develop d</w:t>
      </w:r>
      <w:r w:rsidR="00D106D6" w:rsidRPr="00D106D6">
        <w:t xml:space="preserve">raft </w:t>
      </w:r>
      <w:r w:rsidR="002A5472">
        <w:t xml:space="preserve">CDR </w:t>
      </w:r>
      <w:r w:rsidR="00D106D6" w:rsidRPr="00D106D6">
        <w:t xml:space="preserve">rules </w:t>
      </w:r>
      <w:r w:rsidR="005C3792">
        <w:t>and standards</w:t>
      </w:r>
      <w:r w:rsidR="002A5472">
        <w:t xml:space="preserve">. Draft CDR rules and standards </w:t>
      </w:r>
      <w:r w:rsidR="00F1019C">
        <w:t>will be the subject of formal consultation at a later stage</w:t>
      </w:r>
      <w:r w:rsidR="003A2E25">
        <w:t xml:space="preserve">, with the </w:t>
      </w:r>
      <w:r w:rsidR="00D106D6" w:rsidRPr="00D106D6">
        <w:t>opportunity to make formal submissions.</w:t>
      </w:r>
    </w:p>
    <w:p w14:paraId="4532E802" w14:textId="09F56BC3" w:rsidR="00F1019C" w:rsidRDefault="005C3792" w:rsidP="007C2D7A">
      <w:pPr>
        <w:spacing w:line="240" w:lineRule="auto"/>
      </w:pPr>
      <w:r>
        <w:t xml:space="preserve">You are invited to </w:t>
      </w:r>
      <w:r w:rsidRPr="00D106D6">
        <w:t xml:space="preserve">provide </w:t>
      </w:r>
      <w:r>
        <w:t xml:space="preserve">informal </w:t>
      </w:r>
      <w:r w:rsidRPr="00D106D6">
        <w:t>feedback</w:t>
      </w:r>
      <w:r>
        <w:t xml:space="preserve"> to the Treasury and Data Standards Body by</w:t>
      </w:r>
      <w:r w:rsidR="004B4742">
        <w:t xml:space="preserve"> </w:t>
      </w:r>
      <w:r w:rsidR="00215692">
        <w:rPr>
          <w:b/>
          <w:bCs/>
        </w:rPr>
        <w:t>26</w:t>
      </w:r>
      <w:r w:rsidR="004B4742">
        <w:rPr>
          <w:b/>
          <w:bCs/>
        </w:rPr>
        <w:t xml:space="preserve"> May 2021</w:t>
      </w:r>
      <w:r w:rsidR="00F1019C">
        <w:t xml:space="preserve"> through either:</w:t>
      </w:r>
    </w:p>
    <w:p w14:paraId="3A6DD7FD" w14:textId="0F77402C" w:rsidR="00F1019C" w:rsidRDefault="00D106D6" w:rsidP="007C2D7A">
      <w:pPr>
        <w:pStyle w:val="Bullet"/>
        <w:numPr>
          <w:ilvl w:val="0"/>
          <w:numId w:val="29"/>
        </w:numPr>
        <w:spacing w:line="240" w:lineRule="auto"/>
      </w:pPr>
      <w:r w:rsidRPr="00602BF1">
        <w:t>lodg</w:t>
      </w:r>
      <w:r w:rsidR="00F1019C">
        <w:t>ing comments</w:t>
      </w:r>
      <w:r w:rsidRPr="00602BF1">
        <w:t xml:space="preserve"> </w:t>
      </w:r>
      <w:r w:rsidR="005857FB">
        <w:t xml:space="preserve">on </w:t>
      </w:r>
      <w:r>
        <w:t>the</w:t>
      </w:r>
      <w:r w:rsidR="006E10BF">
        <w:t xml:space="preserve"> public</w:t>
      </w:r>
      <w:r>
        <w:t xml:space="preserve"> </w:t>
      </w:r>
      <w:hyperlink r:id="rId9" w:history="1">
        <w:r w:rsidRPr="0013334C">
          <w:rPr>
            <w:rStyle w:val="Hyperlink"/>
          </w:rPr>
          <w:t>GitHub repository</w:t>
        </w:r>
      </w:hyperlink>
      <w:r>
        <w:t xml:space="preserve"> maintained by the Data Standards Body</w:t>
      </w:r>
      <w:r w:rsidR="00F1019C">
        <w:t xml:space="preserve">; or </w:t>
      </w:r>
    </w:p>
    <w:p w14:paraId="3D4A436C" w14:textId="6C683BC0" w:rsidR="006E10BF" w:rsidRDefault="00D106D6" w:rsidP="007C2D7A">
      <w:pPr>
        <w:pStyle w:val="Bullet"/>
        <w:numPr>
          <w:ilvl w:val="0"/>
          <w:numId w:val="29"/>
        </w:numPr>
        <w:spacing w:line="240" w:lineRule="auto"/>
      </w:pPr>
      <w:r>
        <w:t xml:space="preserve">by email to Treasury at </w:t>
      </w:r>
      <w:hyperlink r:id="rId10" w:history="1">
        <w:r w:rsidRPr="00602BF1">
          <w:rPr>
            <w:rStyle w:val="Hyperlink"/>
          </w:rPr>
          <w:t>data@treasury.gov.au</w:t>
        </w:r>
      </w:hyperlink>
      <w:r w:rsidR="006E10BF">
        <w:t>.</w:t>
      </w:r>
      <w:r w:rsidR="00EA1355">
        <w:t xml:space="preserve"> </w:t>
      </w:r>
      <w:r w:rsidR="00EA1355" w:rsidRPr="00C94F91">
        <w:t>Respondents who would like to provide feedback on a confidential basis should ensure that this is clearly indicated.</w:t>
      </w:r>
    </w:p>
    <w:p w14:paraId="31E24CD6" w14:textId="77777777" w:rsidR="00EA1355" w:rsidRDefault="006E10BF" w:rsidP="007C2D7A">
      <w:pPr>
        <w:spacing w:line="240" w:lineRule="auto"/>
      </w:pPr>
      <w:r>
        <w:t xml:space="preserve">Feedback posted on GitHub is public by nature at the time of submission. Content posted on GitHub should be made according to the community engagement rules published by the Data Standards Body. </w:t>
      </w:r>
    </w:p>
    <w:p w14:paraId="2247C414" w14:textId="77777777" w:rsidR="00EA1355" w:rsidRDefault="00EA1355" w:rsidP="007C2D7A">
      <w:pPr>
        <w:spacing w:line="240" w:lineRule="auto"/>
      </w:pPr>
      <w:r>
        <w:t xml:space="preserve">Treasury will also provide opportunities for discussion and feedback during May through various CDR forums and engagement mechanisms.  </w:t>
      </w:r>
    </w:p>
    <w:p w14:paraId="33EC7177" w14:textId="110E66CE" w:rsidR="008D01B6" w:rsidRDefault="008D01B6" w:rsidP="000272BA">
      <w:pPr>
        <w:rPr>
          <w:rFonts w:asciiTheme="majorHAnsi" w:eastAsiaTheme="majorEastAsia" w:hAnsiTheme="majorHAnsi" w:cstheme="majorBidi"/>
          <w:color w:val="2E74B5" w:themeColor="accent1" w:themeShade="BF"/>
          <w:sz w:val="32"/>
          <w:szCs w:val="32"/>
        </w:rPr>
      </w:pPr>
      <w:r>
        <w:br w:type="page"/>
      </w:r>
    </w:p>
    <w:p w14:paraId="07AF0A4F" w14:textId="59551A31" w:rsidR="00154C93" w:rsidRPr="009D6004" w:rsidRDefault="008D01B6" w:rsidP="007347F2">
      <w:pPr>
        <w:pStyle w:val="Title"/>
      </w:pPr>
      <w:r w:rsidRPr="009D6004">
        <w:t xml:space="preserve">Part A – </w:t>
      </w:r>
      <w:r w:rsidR="00DA15D2">
        <w:t>Overview</w:t>
      </w:r>
    </w:p>
    <w:p w14:paraId="3725F402" w14:textId="0381C5BC" w:rsidR="00154C93" w:rsidRPr="007347F2" w:rsidRDefault="00154C93" w:rsidP="00154C93">
      <w:pPr>
        <w:pStyle w:val="Heading1"/>
      </w:pPr>
      <w:r w:rsidRPr="007347F2">
        <w:t>Context</w:t>
      </w:r>
      <w:r w:rsidR="000C76C9">
        <w:t xml:space="preserve"> and purpose</w:t>
      </w:r>
    </w:p>
    <w:p w14:paraId="35F1954B" w14:textId="7028A18C" w:rsidR="00B61772" w:rsidRDefault="00654B3C" w:rsidP="00B05FAE">
      <w:pPr>
        <w:pStyle w:val="Normal-Numberedparagraphs"/>
      </w:pPr>
      <w:bookmarkStart w:id="0" w:name="_Ref69204898"/>
      <w:r>
        <w:t>In June 2020</w:t>
      </w:r>
      <w:r w:rsidR="00F7372C">
        <w:t>,</w:t>
      </w:r>
      <w:r>
        <w:t xml:space="preserve"> the Australian Government made the decision to formally extend the Consumer Data Right </w:t>
      </w:r>
      <w:r w:rsidR="00883841">
        <w:t>(</w:t>
      </w:r>
      <w:r w:rsidR="00883841" w:rsidRPr="00883841">
        <w:rPr>
          <w:b/>
          <w:bCs/>
        </w:rPr>
        <w:t>CDR</w:t>
      </w:r>
      <w:r w:rsidR="00883841">
        <w:t xml:space="preserve">) </w:t>
      </w:r>
      <w:r>
        <w:t xml:space="preserve">regime to the energy sector. </w:t>
      </w:r>
      <w:r w:rsidR="006E41BF">
        <w:t xml:space="preserve">The scope of CDR in energy has been set in a designation instrument, </w:t>
      </w:r>
      <w:r w:rsidR="00711905">
        <w:t>made</w:t>
      </w:r>
      <w:r w:rsidR="006E41BF">
        <w:t xml:space="preserve"> by the Treasurer</w:t>
      </w:r>
      <w:r w:rsidR="00711905">
        <w:t xml:space="preserve"> on 26 June 2020</w:t>
      </w:r>
      <w:r w:rsidR="006E41BF">
        <w:t>, specifying the energy data holders and data sets to which CDR applies.</w:t>
      </w:r>
      <w:r w:rsidR="00711905">
        <w:t xml:space="preserve"> </w:t>
      </w:r>
    </w:p>
    <w:p w14:paraId="009EC6EC" w14:textId="2897376C" w:rsidR="00B05FAE" w:rsidRDefault="00B05FAE" w:rsidP="00B05FAE">
      <w:pPr>
        <w:pStyle w:val="Normal-Numberedparagraphs"/>
      </w:pPr>
      <w:r w:rsidRPr="00B463A9">
        <w:t xml:space="preserve">On </w:t>
      </w:r>
      <w:r w:rsidR="004B4742">
        <w:t>27</w:t>
      </w:r>
      <w:r w:rsidRPr="00B463A9">
        <w:t xml:space="preserve"> April 2021, the </w:t>
      </w:r>
      <w:r w:rsidR="0050198B">
        <w:t>Treasury</w:t>
      </w:r>
      <w:r w:rsidRPr="00B463A9">
        <w:t xml:space="preserve"> </w:t>
      </w:r>
      <w:hyperlink r:id="rId11" w:history="1">
        <w:r w:rsidRPr="00BC3603">
          <w:rPr>
            <w:rStyle w:val="Hyperlink"/>
          </w:rPr>
          <w:t>announced</w:t>
        </w:r>
      </w:hyperlink>
      <w:r w:rsidRPr="00B463A9">
        <w:t xml:space="preserve"> that</w:t>
      </w:r>
      <w:r w:rsidR="006E10BF">
        <w:t xml:space="preserve"> following further feedback</w:t>
      </w:r>
      <w:r w:rsidR="0016566B">
        <w:t xml:space="preserve"> from the energy sector and CDR community,</w:t>
      </w:r>
      <w:r w:rsidRPr="00B463A9">
        <w:t xml:space="preserve"> </w:t>
      </w:r>
      <w:r w:rsidR="006E10BF">
        <w:t>the Government has</w:t>
      </w:r>
      <w:r w:rsidR="0016566B">
        <w:t xml:space="preserve"> determined that</w:t>
      </w:r>
      <w:r w:rsidR="006E10BF">
        <w:t xml:space="preserve"> </w:t>
      </w:r>
      <w:r w:rsidR="00EF4E75" w:rsidRPr="004C447C" w:rsidDel="006E10BF">
        <w:t>a</w:t>
      </w:r>
      <w:r w:rsidR="00EF4E75" w:rsidRPr="004C447C">
        <w:t xml:space="preserve"> peer-to-peer model </w:t>
      </w:r>
      <w:r w:rsidR="0068567B">
        <w:t>(</w:t>
      </w:r>
      <w:r w:rsidR="0068567B" w:rsidRPr="000C766E">
        <w:rPr>
          <w:b/>
          <w:bCs/>
        </w:rPr>
        <w:t>P2P model</w:t>
      </w:r>
      <w:r w:rsidR="0068567B">
        <w:t xml:space="preserve">) </w:t>
      </w:r>
      <w:r w:rsidR="0016566B">
        <w:t>is</w:t>
      </w:r>
      <w:r w:rsidR="00EF4E75" w:rsidRPr="004C447C">
        <w:t xml:space="preserve"> the more effective data access model for the energy sector rather than a gateway model</w:t>
      </w:r>
      <w:bookmarkEnd w:id="0"/>
      <w:r w:rsidRPr="00B463A9">
        <w:t>.</w:t>
      </w:r>
    </w:p>
    <w:p w14:paraId="4B0F2D06" w14:textId="4AC841C8" w:rsidR="00C854ED" w:rsidRDefault="00C854ED" w:rsidP="00E92243">
      <w:pPr>
        <w:pStyle w:val="Dash"/>
        <w:numPr>
          <w:ilvl w:val="0"/>
          <w:numId w:val="30"/>
        </w:numPr>
      </w:pPr>
      <w:bookmarkStart w:id="1" w:name="_Hlk70410074"/>
      <w:r w:rsidRPr="00995EE0">
        <w:t>In 2019</w:t>
      </w:r>
      <w:r w:rsidR="00312FF4">
        <w:t>,</w:t>
      </w:r>
      <w:r w:rsidRPr="00995EE0">
        <w:t xml:space="preserve"> </w:t>
      </w:r>
      <w:r w:rsidR="008360ED">
        <w:t>consultation on data access models</w:t>
      </w:r>
      <w:r w:rsidRPr="00995EE0">
        <w:t xml:space="preserve"> </w:t>
      </w:r>
      <w:r w:rsidR="008360ED">
        <w:t>for energy data</w:t>
      </w:r>
      <w:r w:rsidR="001C2326">
        <w:t xml:space="preserve"> was conducted, which led to the development of an </w:t>
      </w:r>
      <w:r w:rsidR="00B05FAE">
        <w:t>Australian Energy Market Operator</w:t>
      </w:r>
      <w:r w:rsidR="003D3531">
        <w:t xml:space="preserve"> </w:t>
      </w:r>
      <w:r w:rsidR="00B05FAE">
        <w:t>(</w:t>
      </w:r>
      <w:r w:rsidR="003D3531" w:rsidRPr="000C766E">
        <w:rPr>
          <w:b/>
          <w:bCs/>
        </w:rPr>
        <w:t>AEMO</w:t>
      </w:r>
      <w:r w:rsidR="00B05FAE">
        <w:t>)</w:t>
      </w:r>
      <w:r w:rsidR="003D3531">
        <w:t xml:space="preserve"> </w:t>
      </w:r>
      <w:r w:rsidRPr="00995EE0">
        <w:t>gateway</w:t>
      </w:r>
      <w:r w:rsidR="003D3531">
        <w:t xml:space="preserve"> data access</w:t>
      </w:r>
      <w:r w:rsidRPr="00995EE0">
        <w:t xml:space="preserve"> mod</w:t>
      </w:r>
      <w:r w:rsidR="00B842D4">
        <w:t>el</w:t>
      </w:r>
      <w:bookmarkEnd w:id="1"/>
      <w:r w:rsidRPr="00995EE0">
        <w:t xml:space="preserve">. </w:t>
      </w:r>
    </w:p>
    <w:p w14:paraId="203F0D7B" w14:textId="4A670088" w:rsidR="00C854ED" w:rsidRDefault="00C854ED" w:rsidP="00E92243">
      <w:pPr>
        <w:pStyle w:val="Dash"/>
        <w:numPr>
          <w:ilvl w:val="0"/>
          <w:numId w:val="30"/>
        </w:numPr>
      </w:pPr>
      <w:r w:rsidRPr="00995EE0">
        <w:t>Subsequent developments</w:t>
      </w:r>
      <w:r w:rsidR="00043C3C">
        <w:t xml:space="preserve"> through the implementation process of CDR in energy</w:t>
      </w:r>
      <w:r w:rsidRPr="00995EE0">
        <w:t xml:space="preserve"> have revealed that the gateway model may not be able to leverage existing </w:t>
      </w:r>
      <w:r w:rsidR="004573E6">
        <w:t xml:space="preserve">National Electricity Market </w:t>
      </w:r>
      <w:r w:rsidRPr="00995EE0">
        <w:t>systems as intended, increasing total cost for AEMO and thus retailers. In addition, there is a renewed focus on ensuring CDR is interoperable</w:t>
      </w:r>
      <w:r w:rsidR="00043C3C">
        <w:t xml:space="preserve"> and extensible, within and</w:t>
      </w:r>
      <w:r w:rsidRPr="00995EE0">
        <w:t xml:space="preserve"> across sectors</w:t>
      </w:r>
      <w:r w:rsidR="00043C3C">
        <w:t>,</w:t>
      </w:r>
      <w:r w:rsidRPr="00995EE0">
        <w:t xml:space="preserve"> following the release of </w:t>
      </w:r>
      <w:r w:rsidRPr="00B842D4">
        <w:t>the Inquiry into Future Directions for the Consumer Data Right</w:t>
      </w:r>
      <w:r w:rsidRPr="008D610C">
        <w:t xml:space="preserve"> </w:t>
      </w:r>
      <w:r w:rsidRPr="00995EE0">
        <w:t>in December 2020.</w:t>
      </w:r>
    </w:p>
    <w:p w14:paraId="2E0CE0D9" w14:textId="771DC578" w:rsidR="00BA22A0" w:rsidRDefault="00BA22A0" w:rsidP="00BA22A0">
      <w:pPr>
        <w:pStyle w:val="Normal-Numberedparagraphs"/>
      </w:pPr>
      <w:r>
        <w:t xml:space="preserve">Now that the data access model is settled, </w:t>
      </w:r>
      <w:r w:rsidR="003D7877">
        <w:t xml:space="preserve">we seek </w:t>
      </w:r>
      <w:r>
        <w:t xml:space="preserve">views on the design and principles to support the development of rules and standards to implement CDR in the energy sector on the basis of a P2P model. </w:t>
      </w:r>
    </w:p>
    <w:p w14:paraId="49B8FA08" w14:textId="77777777" w:rsidR="000A6B5B" w:rsidRDefault="00D95DD3" w:rsidP="00BA22A0">
      <w:pPr>
        <w:pStyle w:val="Normal-Numberedparagraphs"/>
      </w:pPr>
      <w:r w:rsidRPr="001B0E6C">
        <w:t>Part B, section 1</w:t>
      </w:r>
      <w:r>
        <w:t xml:space="preserve"> of the </w:t>
      </w:r>
      <w:r w:rsidR="00943119">
        <w:t>paper outline</w:t>
      </w:r>
      <w:r>
        <w:t>s</w:t>
      </w:r>
      <w:r w:rsidR="00943119">
        <w:t xml:space="preserve"> how the P2P model works and how the change will impact participants, by outlining the policy objective, rules considerations, standards considerations and implementation considerations. </w:t>
      </w:r>
    </w:p>
    <w:p w14:paraId="5A38AE66" w14:textId="71470BC0" w:rsidR="003C24E9" w:rsidRDefault="005977EE" w:rsidP="000A6B5B">
      <w:pPr>
        <w:pStyle w:val="Normal-Numberedparagraphs"/>
      </w:pPr>
      <w:r>
        <w:t>Separately t</w:t>
      </w:r>
      <w:r w:rsidR="007253ED">
        <w:t xml:space="preserve">his paper also </w:t>
      </w:r>
      <w:r w:rsidR="00B842D4">
        <w:t>seeks stakeholder views on</w:t>
      </w:r>
      <w:r w:rsidR="00916FAB">
        <w:t xml:space="preserve"> c</w:t>
      </w:r>
      <w:r w:rsidR="003C24E9">
        <w:t xml:space="preserve">onsumer accounts in the energy sector </w:t>
      </w:r>
      <w:r w:rsidR="000A6B5B">
        <w:t>(</w:t>
      </w:r>
      <w:r w:rsidR="000A6B5B" w:rsidRPr="000A6B5B">
        <w:rPr>
          <w:b/>
          <w:bCs/>
        </w:rPr>
        <w:t xml:space="preserve">section </w:t>
      </w:r>
      <w:r w:rsidR="000A6B5B" w:rsidRPr="000A6B5B">
        <w:rPr>
          <w:b/>
          <w:bCs/>
        </w:rPr>
        <w:fldChar w:fldCharType="begin"/>
      </w:r>
      <w:r w:rsidR="000A6B5B" w:rsidRPr="000A6B5B">
        <w:rPr>
          <w:b/>
          <w:bCs/>
        </w:rPr>
        <w:instrText xml:space="preserve"> REF _Ref70082037 \r \h </w:instrText>
      </w:r>
      <w:r w:rsidR="000A6B5B" w:rsidRPr="000A6B5B">
        <w:rPr>
          <w:b/>
          <w:bCs/>
        </w:rPr>
      </w:r>
      <w:r w:rsidR="000A6B5B" w:rsidRPr="000A6B5B">
        <w:rPr>
          <w:b/>
          <w:bCs/>
        </w:rPr>
        <w:fldChar w:fldCharType="separate"/>
      </w:r>
      <w:r w:rsidR="0025041F">
        <w:rPr>
          <w:b/>
          <w:bCs/>
        </w:rPr>
        <w:t>2</w:t>
      </w:r>
      <w:r w:rsidR="000A6B5B" w:rsidRPr="000A6B5B">
        <w:rPr>
          <w:b/>
          <w:bCs/>
        </w:rPr>
        <w:fldChar w:fldCharType="end"/>
      </w:r>
      <w:r w:rsidR="000A6B5B">
        <w:t>). Energy sector consumer accounts</w:t>
      </w:r>
      <w:r w:rsidR="003C24E9">
        <w:t xml:space="preserve"> vary from the structure of accounts in the banking sector, which was the first sector CDR was rolled out to. Due to this variance, </w:t>
      </w:r>
      <w:r w:rsidR="002D59F7">
        <w:t xml:space="preserve">we would like to </w:t>
      </w:r>
      <w:r w:rsidR="003C24E9">
        <w:t xml:space="preserve">understand </w:t>
      </w:r>
      <w:r w:rsidR="002D59F7">
        <w:t xml:space="preserve">whether the </w:t>
      </w:r>
      <w:r w:rsidR="003C24E9">
        <w:t xml:space="preserve">existing account selection data standards </w:t>
      </w:r>
      <w:r w:rsidR="002D59F7">
        <w:t xml:space="preserve">are appropriate </w:t>
      </w:r>
      <w:r w:rsidR="003C24E9">
        <w:t>for the energy sector, and</w:t>
      </w:r>
      <w:r w:rsidR="002D59F7">
        <w:t>, if not,</w:t>
      </w:r>
      <w:r w:rsidR="003C24E9">
        <w:t xml:space="preserve"> the extent to which any divergence may be required to support economy-wide standards.</w:t>
      </w:r>
    </w:p>
    <w:p w14:paraId="52FC887B" w14:textId="30FEFB8E" w:rsidR="006B4D28" w:rsidRDefault="00B61772" w:rsidP="006B4D28">
      <w:pPr>
        <w:pStyle w:val="Normal-Numberedparagraphs"/>
      </w:pPr>
      <w:r>
        <w:t>Other relevant issues that are being considered separately in relation to the extension of CDR to the energy sector are:</w:t>
      </w:r>
    </w:p>
    <w:p w14:paraId="2FFD12C7" w14:textId="4105391F" w:rsidR="00CC4962" w:rsidRDefault="008B1F92" w:rsidP="007538F7">
      <w:pPr>
        <w:pStyle w:val="Normal-Numberedparagraphs"/>
        <w:numPr>
          <w:ilvl w:val="1"/>
          <w:numId w:val="2"/>
        </w:numPr>
      </w:pPr>
      <w:r>
        <w:t>e</w:t>
      </w:r>
      <w:r w:rsidR="005657F1">
        <w:t>ligibility requirements for CDR consumers</w:t>
      </w:r>
      <w:r w:rsidR="00AD3C77">
        <w:t>;</w:t>
      </w:r>
    </w:p>
    <w:p w14:paraId="0E183953" w14:textId="006D3F7E" w:rsidR="005657F1" w:rsidRDefault="008B1F92" w:rsidP="007538F7">
      <w:pPr>
        <w:pStyle w:val="Normal-Numberedparagraphs"/>
        <w:numPr>
          <w:ilvl w:val="1"/>
          <w:numId w:val="2"/>
        </w:numPr>
      </w:pPr>
      <w:r>
        <w:t>i</w:t>
      </w:r>
      <w:r w:rsidR="00F44161">
        <w:t>nternal and external d</w:t>
      </w:r>
      <w:r w:rsidR="00EA77C0">
        <w:t>ispute resolution requirements for retailers and ADRs</w:t>
      </w:r>
      <w:r w:rsidR="00AD3C77">
        <w:t>;</w:t>
      </w:r>
    </w:p>
    <w:p w14:paraId="616C890B" w14:textId="04731747" w:rsidR="0074730E" w:rsidRDefault="00B61772" w:rsidP="007538F7">
      <w:pPr>
        <w:pStyle w:val="Normal-Numberedparagraphs"/>
        <w:numPr>
          <w:ilvl w:val="1"/>
          <w:numId w:val="2"/>
        </w:numPr>
      </w:pPr>
      <w:r>
        <w:t xml:space="preserve">the </w:t>
      </w:r>
      <w:r w:rsidR="0074730E">
        <w:t>implementation timetable for the rollout of the CDR in energy</w:t>
      </w:r>
      <w:r w:rsidR="001F0F7F">
        <w:t xml:space="preserve"> </w:t>
      </w:r>
      <w:r w:rsidR="009475AC">
        <w:t xml:space="preserve">(this paper discusses </w:t>
      </w:r>
      <w:r w:rsidR="001F0F7F">
        <w:t>the proposed order in which participants will become subject to the regime</w:t>
      </w:r>
      <w:r w:rsidR="009475AC">
        <w:t xml:space="preserve"> but not the timetable for commencement of CDR obligations)</w:t>
      </w:r>
      <w:r w:rsidR="00AD3C77">
        <w:t>;</w:t>
      </w:r>
    </w:p>
    <w:p w14:paraId="0D4833DE" w14:textId="47C13A8B" w:rsidR="00003D77" w:rsidRDefault="00BB609F" w:rsidP="007538F7">
      <w:pPr>
        <w:pStyle w:val="Normal-Numberedparagraphs"/>
        <w:numPr>
          <w:ilvl w:val="1"/>
          <w:numId w:val="2"/>
        </w:numPr>
      </w:pPr>
      <w:r>
        <w:t xml:space="preserve">definitions </w:t>
      </w:r>
      <w:r w:rsidR="00003D77">
        <w:t>of data sets</w:t>
      </w:r>
      <w:r w:rsidR="00A97E7A">
        <w:t>, required</w:t>
      </w:r>
      <w:r w:rsidR="00411A77">
        <w:t xml:space="preserve"> data </w:t>
      </w:r>
      <w:r w:rsidR="00A97E7A">
        <w:t>and voluntary data</w:t>
      </w:r>
      <w:r w:rsidR="00003D77">
        <w:t xml:space="preserve"> for CDR in energy</w:t>
      </w:r>
      <w:r w:rsidR="00AD3C77">
        <w:t>;</w:t>
      </w:r>
      <w:r w:rsidR="00775A3D">
        <w:t xml:space="preserve"> and</w:t>
      </w:r>
    </w:p>
    <w:p w14:paraId="1D8D1971" w14:textId="6E79F26A" w:rsidR="00003D77" w:rsidRDefault="008B1F92" w:rsidP="007538F7">
      <w:pPr>
        <w:pStyle w:val="Normal-Numberedparagraphs"/>
        <w:numPr>
          <w:ilvl w:val="1"/>
          <w:numId w:val="2"/>
        </w:numPr>
      </w:pPr>
      <w:r>
        <w:t>p</w:t>
      </w:r>
      <w:r w:rsidR="00A97E7A">
        <w:t>roduct data</w:t>
      </w:r>
      <w:r w:rsidR="005B12EF">
        <w:t xml:space="preserve"> requirements</w:t>
      </w:r>
      <w:r w:rsidR="00A97E7A">
        <w:t xml:space="preserve"> for CDR in energy</w:t>
      </w:r>
      <w:r w:rsidR="00775A3D">
        <w:t>.</w:t>
      </w:r>
    </w:p>
    <w:p w14:paraId="72D51F7F" w14:textId="499C161F" w:rsidR="00FE5882" w:rsidRDefault="00B61772" w:rsidP="00FE5882">
      <w:pPr>
        <w:pStyle w:val="Normal-Numberedparagraphs"/>
      </w:pPr>
      <w:bookmarkStart w:id="2" w:name="_Ref70006312"/>
      <w:r>
        <w:t xml:space="preserve">Some of these </w:t>
      </w:r>
      <w:r w:rsidR="000836AF">
        <w:t xml:space="preserve">issues were canvassed in the Australian Competition and Consumer Commission’s </w:t>
      </w:r>
      <w:r w:rsidR="00F001A2">
        <w:t xml:space="preserve">July 2020 </w:t>
      </w:r>
      <w:r w:rsidR="000836AF">
        <w:t xml:space="preserve">consultation on the </w:t>
      </w:r>
      <w:hyperlink r:id="rId12" w:history="1">
        <w:r w:rsidR="000836AF" w:rsidRPr="006C4D99">
          <w:rPr>
            <w:rStyle w:val="Hyperlink"/>
          </w:rPr>
          <w:t>Energy rules framework</w:t>
        </w:r>
      </w:hyperlink>
      <w:r w:rsidR="00F001A2">
        <w:t xml:space="preserve">. </w:t>
      </w:r>
      <w:bookmarkEnd w:id="2"/>
    </w:p>
    <w:p w14:paraId="66B8C134" w14:textId="6449808A" w:rsidR="00CF37AD" w:rsidRDefault="00CF37AD" w:rsidP="00620F32">
      <w:pPr>
        <w:pStyle w:val="Heading1"/>
        <w:rPr>
          <w:rFonts w:ascii="Calibri Light" w:eastAsia="MS Gothic" w:hAnsi="Calibri Light"/>
          <w:bCs/>
        </w:rPr>
      </w:pPr>
      <w:r>
        <w:t>Relevant artefacts</w:t>
      </w:r>
    </w:p>
    <w:p w14:paraId="58D8DFB3" w14:textId="1F23D02C" w:rsidR="00CF37AD" w:rsidRDefault="00CF37AD" w:rsidP="00FE5882">
      <w:pPr>
        <w:pStyle w:val="Normal-Numberedparagraphs"/>
        <w:rPr>
          <w:rFonts w:eastAsiaTheme="minorEastAsia"/>
        </w:rPr>
      </w:pPr>
      <w:r>
        <w:t xml:space="preserve">Wireframes </w:t>
      </w:r>
      <w:r w:rsidR="00AD0CFF">
        <w:t>accompany each design paper</w:t>
      </w:r>
      <w:r w:rsidR="00974C0B">
        <w:t xml:space="preserve"> as </w:t>
      </w:r>
      <w:r>
        <w:t xml:space="preserve">visual aids for certain concepts, proposals, scenarios, and queries. Wireframes that are relevant to this paper cover the </w:t>
      </w:r>
      <w:r w:rsidR="0025575D">
        <w:t>P2P</w:t>
      </w:r>
      <w:r>
        <w:t xml:space="preserve"> model and the topic of consumer accounts.</w:t>
      </w:r>
    </w:p>
    <w:p w14:paraId="130AC0E1" w14:textId="00B7C2F6" w:rsidR="00CF37AD" w:rsidRDefault="00CF37AD" w:rsidP="00620F32">
      <w:pPr>
        <w:pStyle w:val="Normal-Numberedparagraphs"/>
      </w:pPr>
      <w:r>
        <w:t>A wireframe titled ‘</w:t>
      </w:r>
      <w:hyperlink r:id="rId13" w:history="1">
        <w:r>
          <w:rPr>
            <w:rStyle w:val="Hyperlink"/>
          </w:rPr>
          <w:t>2.2: Energy | P2P Model’</w:t>
        </w:r>
      </w:hyperlink>
      <w:r>
        <w:t xml:space="preserve"> demonstrates how the</w:t>
      </w:r>
      <w:r w:rsidR="00CD7A24">
        <w:t xml:space="preserve"> P2P</w:t>
      </w:r>
      <w:r w:rsidDel="00CD7A24">
        <w:t xml:space="preserve"> </w:t>
      </w:r>
      <w:r>
        <w:t xml:space="preserve">model could work in energy and can be found online </w:t>
      </w:r>
      <w:hyperlink r:id="rId14" w:history="1">
        <w:r>
          <w:rPr>
            <w:rStyle w:val="Hyperlink"/>
          </w:rPr>
          <w:t>here</w:t>
        </w:r>
      </w:hyperlink>
      <w:r>
        <w:t xml:space="preserve">, or via </w:t>
      </w:r>
      <w:hyperlink r:id="rId15" w:history="1">
        <w:r w:rsidRPr="0025575D">
          <w:rPr>
            <w:rStyle w:val="Hyperlink"/>
          </w:rPr>
          <w:t xml:space="preserve">downloadable </w:t>
        </w:r>
        <w:r>
          <w:rPr>
            <w:rStyle w:val="Hyperlink"/>
          </w:rPr>
          <w:t>PDF here</w:t>
        </w:r>
      </w:hyperlink>
      <w:r>
        <w:t>.</w:t>
      </w:r>
    </w:p>
    <w:p w14:paraId="17ED515A" w14:textId="0656B23B" w:rsidR="00B80DEC" w:rsidRDefault="00712A0A" w:rsidP="00620F32">
      <w:pPr>
        <w:pStyle w:val="Normal-Numberedparagraphs"/>
      </w:pPr>
      <w:hyperlink r:id="rId16" w:history="1">
        <w:r w:rsidR="00B80DEC">
          <w:rPr>
            <w:rStyle w:val="Hyperlink"/>
          </w:rPr>
          <w:t>Flows 2.1 – 2.3</w:t>
        </w:r>
      </w:hyperlink>
      <w:r w:rsidR="00B80DEC">
        <w:t xml:space="preserve"> provide hypothetical examples as stimulus for the consumer account topic, discussed in section 2 of this paper. These wireframes can be found online </w:t>
      </w:r>
      <w:hyperlink r:id="rId17" w:history="1">
        <w:r w:rsidR="00B80DEC">
          <w:rPr>
            <w:rStyle w:val="Hyperlink"/>
          </w:rPr>
          <w:t>here</w:t>
        </w:r>
      </w:hyperlink>
      <w:r w:rsidR="00B80DEC">
        <w:t xml:space="preserve">, or via </w:t>
      </w:r>
      <w:hyperlink r:id="rId18" w:history="1">
        <w:r w:rsidR="00B80DEC" w:rsidRPr="00844A79">
          <w:rPr>
            <w:rStyle w:val="Hyperlink"/>
          </w:rPr>
          <w:t xml:space="preserve">downloadable PDFs </w:t>
        </w:r>
      </w:hyperlink>
      <w:r w:rsidR="00B80DEC" w:rsidRPr="00844A79">
        <w:rPr>
          <w:rStyle w:val="Hyperlink"/>
        </w:rPr>
        <w:t>here</w:t>
      </w:r>
      <w:r w:rsidR="00B80DEC">
        <w:t>.</w:t>
      </w:r>
    </w:p>
    <w:p w14:paraId="47702EA6" w14:textId="3B77B7D4" w:rsidR="00CF37AD" w:rsidRDefault="00CF37AD" w:rsidP="00620F32">
      <w:pPr>
        <w:pStyle w:val="Normal-Numberedparagraphs"/>
      </w:pPr>
      <w:r>
        <w:t xml:space="preserve">These wireframes are intended to </w:t>
      </w:r>
      <w:r w:rsidR="00CD7A24">
        <w:t xml:space="preserve">elicit feedback </w:t>
      </w:r>
      <w:r>
        <w:t>and should not be interpreted as a final policy position o</w:t>
      </w:r>
      <w:r w:rsidR="00306845">
        <w:t>n</w:t>
      </w:r>
      <w:r>
        <w:t xml:space="preserve"> proposed implementation.</w:t>
      </w:r>
    </w:p>
    <w:p w14:paraId="576D38F7" w14:textId="46DC3520" w:rsidR="00594A5F" w:rsidRDefault="00CF37AD" w:rsidP="00620F32">
      <w:pPr>
        <w:pStyle w:val="Normal-Numberedparagraphs"/>
      </w:pPr>
      <w:r>
        <w:t xml:space="preserve">To provide feedback on the wireframes, or to refer to the wireframes in a submission, participants should specify the flow number and the numbered component. For example, referencing </w:t>
      </w:r>
      <w:r>
        <w:rPr>
          <w:b/>
          <w:bCs/>
        </w:rPr>
        <w:t xml:space="preserve">2.2.4 </w:t>
      </w:r>
      <w:r>
        <w:t>would specify the point where the consumer is redirected to their retailer for authentication.</w:t>
      </w:r>
    </w:p>
    <w:p w14:paraId="04F50562" w14:textId="5C5AA631" w:rsidR="00CF37AD" w:rsidRDefault="00594A5F" w:rsidP="00594A5F">
      <w:pPr>
        <w:spacing w:after="160"/>
      </w:pPr>
      <w:r>
        <w:br w:type="page"/>
      </w:r>
    </w:p>
    <w:p w14:paraId="07427B27" w14:textId="49964DCB" w:rsidR="00154C93" w:rsidRPr="007347F2" w:rsidRDefault="00154C93" w:rsidP="007347F2">
      <w:pPr>
        <w:pStyle w:val="Title"/>
      </w:pPr>
      <w:r w:rsidRPr="007347F2">
        <w:t xml:space="preserve">Part B – </w:t>
      </w:r>
      <w:r w:rsidR="00B61772">
        <w:t xml:space="preserve">Issues for </w:t>
      </w:r>
      <w:r w:rsidRPr="007347F2">
        <w:t>feedback</w:t>
      </w:r>
    </w:p>
    <w:p w14:paraId="0369C9AA" w14:textId="4CD639E3" w:rsidR="00B70336" w:rsidRPr="007347F2" w:rsidRDefault="004B0D87" w:rsidP="00455888">
      <w:pPr>
        <w:pStyle w:val="Heading1"/>
        <w:numPr>
          <w:ilvl w:val="0"/>
          <w:numId w:val="7"/>
        </w:numPr>
      </w:pPr>
      <w:r w:rsidRPr="007347F2">
        <w:t>Peer-to-peer data access model</w:t>
      </w:r>
      <w:r w:rsidR="00DD1C64" w:rsidRPr="007347F2">
        <w:t xml:space="preserve"> in the energy sector</w:t>
      </w:r>
    </w:p>
    <w:p w14:paraId="1E20B3D0" w14:textId="584E7118" w:rsidR="007A703F" w:rsidRPr="007347F2" w:rsidRDefault="00F01C1A" w:rsidP="007347F2">
      <w:pPr>
        <w:pStyle w:val="Heading2"/>
        <w:numPr>
          <w:ilvl w:val="1"/>
          <w:numId w:val="7"/>
        </w:numPr>
        <w:tabs>
          <w:tab w:val="num" w:pos="1560"/>
        </w:tabs>
        <w:ind w:left="426" w:hanging="426"/>
        <w:contextualSpacing/>
        <w:rPr>
          <w:color w:val="2E74B5" w:themeColor="accent1" w:themeShade="BF"/>
        </w:rPr>
      </w:pPr>
      <w:r w:rsidRPr="007347F2">
        <w:rPr>
          <w:color w:val="2E74B5" w:themeColor="accent1" w:themeShade="BF"/>
        </w:rPr>
        <w:t>Topic Overview</w:t>
      </w:r>
    </w:p>
    <w:p w14:paraId="365A424F" w14:textId="19B60DB3" w:rsidR="000E753B" w:rsidRDefault="009A1591" w:rsidP="00620F32">
      <w:pPr>
        <w:pStyle w:val="Normal-Numberedparagraphs"/>
        <w:rPr>
          <w:b/>
          <w:bCs/>
        </w:rPr>
      </w:pPr>
      <w:r>
        <w:rPr>
          <w:b/>
          <w:bCs/>
        </w:rPr>
        <w:t xml:space="preserve">Figure 1 </w:t>
      </w:r>
      <w:r>
        <w:t>provides</w:t>
      </w:r>
      <w:r w:rsidR="008F77B5">
        <w:t xml:space="preserve"> an overview of the data flows of the P2P model in energy. </w:t>
      </w:r>
      <w:r w:rsidR="00BA6759">
        <w:t xml:space="preserve">Notably, compared to a gateway model, the role of the retailer and AEMO as data holders are </w:t>
      </w:r>
      <w:r w:rsidR="00F27FAF">
        <w:t xml:space="preserve">respectively </w:t>
      </w:r>
      <w:r w:rsidR="00BA6759">
        <w:t xml:space="preserve">expanded and reduced </w:t>
      </w:r>
      <w:r w:rsidR="00F27FAF">
        <w:t>u</w:t>
      </w:r>
      <w:r w:rsidR="00BA6759">
        <w:t xml:space="preserve">nder </w:t>
      </w:r>
      <w:r w:rsidR="00A245EE">
        <w:t>a</w:t>
      </w:r>
      <w:r w:rsidR="00BA6759">
        <w:t xml:space="preserve"> P2P model. </w:t>
      </w:r>
      <w:r w:rsidR="00A56CCC">
        <w:t xml:space="preserve">For consumer data requests </w:t>
      </w:r>
      <w:r w:rsidR="001A7DD6">
        <w:t>that relate to both retailer held data sets (customer data, billing data and tailored tariff data) and AEMO held data sets (metering data, N</w:t>
      </w:r>
      <w:r w:rsidR="008F0011">
        <w:t>ational Metering Identifier (</w:t>
      </w:r>
      <w:r w:rsidR="001A7DD6" w:rsidRPr="00A35DC1">
        <w:rPr>
          <w:b/>
          <w:bCs/>
        </w:rPr>
        <w:t>NMI</w:t>
      </w:r>
      <w:r w:rsidR="008F0011">
        <w:t>)</w:t>
      </w:r>
      <w:r w:rsidR="001A7DD6">
        <w:t xml:space="preserve"> standing data and distributed energy resources register data)</w:t>
      </w:r>
      <w:r w:rsidR="00CA095F">
        <w:t xml:space="preserve">, AEMO will be </w:t>
      </w:r>
      <w:r w:rsidR="00D21A07">
        <w:t>authorised</w:t>
      </w:r>
      <w:r w:rsidR="00CA095F">
        <w:t xml:space="preserve"> to </w:t>
      </w:r>
      <w:r w:rsidR="00833617">
        <w:t xml:space="preserve">disclose the relevant data </w:t>
      </w:r>
      <w:r w:rsidR="00063EE1">
        <w:t xml:space="preserve">that it holds </w:t>
      </w:r>
      <w:r w:rsidR="00833617">
        <w:t>to the retailer when requested</w:t>
      </w:r>
      <w:r w:rsidR="00063EE1">
        <w:t>, for subsequent sharing with the accredited data recipient (</w:t>
      </w:r>
      <w:r w:rsidR="00063EE1" w:rsidRPr="00A35DC1">
        <w:rPr>
          <w:b/>
          <w:bCs/>
        </w:rPr>
        <w:t>ADR</w:t>
      </w:r>
      <w:r w:rsidR="00063EE1">
        <w:t>)</w:t>
      </w:r>
      <w:r w:rsidR="00833617">
        <w:t xml:space="preserve">. </w:t>
      </w:r>
    </w:p>
    <w:p w14:paraId="00017F58" w14:textId="1751C0B3" w:rsidR="00FD62D4" w:rsidRDefault="00FD62D4" w:rsidP="00FD62D4">
      <w:pPr>
        <w:pStyle w:val="OutlineNumbered1"/>
        <w:keepNext/>
        <w:numPr>
          <w:ilvl w:val="0"/>
          <w:numId w:val="0"/>
        </w:numPr>
        <w:ind w:left="522" w:hanging="522"/>
        <w:rPr>
          <w:b/>
          <w:bCs/>
        </w:rPr>
      </w:pPr>
      <w:r>
        <w:rPr>
          <w:b/>
          <w:bCs/>
        </w:rPr>
        <w:t xml:space="preserve">Figure </w:t>
      </w:r>
      <w:r w:rsidR="00DD1C64" w:rsidRPr="00102A91">
        <w:rPr>
          <w:b/>
          <w:bCs/>
        </w:rPr>
        <w:t>1</w:t>
      </w:r>
      <w:r w:rsidR="004C447C">
        <w:rPr>
          <w:b/>
          <w:bCs/>
        </w:rPr>
        <w:t xml:space="preserve"> –</w:t>
      </w:r>
      <w:r>
        <w:rPr>
          <w:b/>
          <w:bCs/>
        </w:rPr>
        <w:t xml:space="preserve"> Data flows of the P2P model in energy</w:t>
      </w:r>
    </w:p>
    <w:p w14:paraId="3FBE7CE9" w14:textId="25B999B0" w:rsidR="00102A91" w:rsidRDefault="00FD62D4" w:rsidP="00A245EE">
      <w:pPr>
        <w:pStyle w:val="Normal-Numberedparagraphs"/>
        <w:numPr>
          <w:ilvl w:val="0"/>
          <w:numId w:val="0"/>
        </w:numPr>
        <w:rPr>
          <w:b/>
          <w:bCs/>
        </w:rPr>
      </w:pPr>
      <w:r>
        <w:rPr>
          <w:noProof/>
          <w:lang w:eastAsia="en-AU"/>
        </w:rPr>
        <mc:AlternateContent>
          <mc:Choice Requires="wps">
            <w:drawing>
              <wp:anchor distT="45720" distB="45720" distL="114300" distR="114300" simplePos="0" relativeHeight="251658241" behindDoc="0" locked="0" layoutInCell="1" allowOverlap="1" wp14:anchorId="29468828" wp14:editId="681F8505">
                <wp:simplePos x="0" y="0"/>
                <wp:positionH relativeFrom="margin">
                  <wp:align>right</wp:align>
                </wp:positionH>
                <wp:positionV relativeFrom="paragraph">
                  <wp:posOffset>2214245</wp:posOffset>
                </wp:positionV>
                <wp:extent cx="5715000"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chemeClr val="bg1">
                            <a:lumMod val="95000"/>
                          </a:schemeClr>
                        </a:solidFill>
                        <a:ln w="9525">
                          <a:noFill/>
                          <a:miter lim="800000"/>
                          <a:headEnd/>
                          <a:tailEnd/>
                        </a:ln>
                      </wps:spPr>
                      <wps:txbx>
                        <w:txbxContent>
                          <w:p w14:paraId="524781B0" w14:textId="77777777" w:rsidR="00C641D1" w:rsidRPr="0008442D" w:rsidRDefault="00C641D1" w:rsidP="00C96052">
                            <w:pPr>
                              <w:pStyle w:val="OutlineNumbered1"/>
                            </w:pPr>
                            <w:r w:rsidRPr="0008442D">
                              <w:t>The consumer consents to an accredited data recipient (</w:t>
                            </w:r>
                            <w:r w:rsidRPr="0008442D">
                              <w:rPr>
                                <w:b/>
                              </w:rPr>
                              <w:t>ADR</w:t>
                            </w:r>
                            <w:r w:rsidRPr="0008442D">
                              <w:t>) obtaining their data.</w:t>
                            </w:r>
                          </w:p>
                          <w:p w14:paraId="1C472CBC" w14:textId="77777777" w:rsidR="00C641D1" w:rsidRPr="0008442D" w:rsidRDefault="00C641D1" w:rsidP="00C96052">
                            <w:pPr>
                              <w:pStyle w:val="OutlineNumbered1"/>
                            </w:pPr>
                            <w:r w:rsidRPr="0008442D">
                              <w:t>The ADR contacts the retailer Data Holder (</w:t>
                            </w:r>
                            <w:r w:rsidRPr="004D1838">
                              <w:rPr>
                                <w:b/>
                                <w:bCs/>
                              </w:rPr>
                              <w:t>DH</w:t>
                            </w:r>
                            <w:r w:rsidRPr="0008442D">
                              <w:t>), seeking access to the consumer’s data.</w:t>
                            </w:r>
                          </w:p>
                          <w:p w14:paraId="718BDC12" w14:textId="77777777" w:rsidR="00C641D1" w:rsidRPr="0008442D" w:rsidRDefault="00C641D1" w:rsidP="00C96052">
                            <w:pPr>
                              <w:pStyle w:val="OutlineNumbered1"/>
                            </w:pPr>
                            <w:r w:rsidRPr="0008442D">
                              <w:t>The retailer DH authenticates the ADR using the CDR Register.</w:t>
                            </w:r>
                          </w:p>
                          <w:p w14:paraId="1D868C16" w14:textId="77777777" w:rsidR="00C641D1" w:rsidRPr="0008442D" w:rsidRDefault="00C641D1" w:rsidP="00C96052">
                            <w:pPr>
                              <w:pStyle w:val="OutlineNumbered1"/>
                            </w:pPr>
                            <w:r w:rsidRPr="0008442D">
                              <w:t>The consumer is redirected to the retailer DH’s authentication and authorisation service. The retailer DH authenticates the identity of the consumer via a one-time password. The Consumer authorises the retailer DH to disclose their data to the ADR.</w:t>
                            </w:r>
                          </w:p>
                          <w:p w14:paraId="4DB8F10C" w14:textId="1DF4259F" w:rsidR="00C641D1" w:rsidRPr="0008442D" w:rsidRDefault="00C641D1" w:rsidP="00C96052">
                            <w:pPr>
                              <w:pStyle w:val="OutlineNumbered1"/>
                            </w:pPr>
                            <w:r w:rsidRPr="0008442D">
                              <w:t xml:space="preserve">The ADR requests a specific set of data that is covered by the </w:t>
                            </w:r>
                            <w:r>
                              <w:t>authorisation</w:t>
                            </w:r>
                            <w:r w:rsidRPr="0008442D">
                              <w:t>.</w:t>
                            </w:r>
                          </w:p>
                          <w:p w14:paraId="4B043705" w14:textId="77777777" w:rsidR="00C641D1" w:rsidRPr="0008442D" w:rsidRDefault="00C641D1" w:rsidP="00C96052">
                            <w:pPr>
                              <w:pStyle w:val="OutlineNumbered1"/>
                            </w:pPr>
                            <w:r w:rsidRPr="0008442D">
                              <w:t>The retailer requests the relevant data, covered by the authorised consent, from AEMO as a data holder (</w:t>
                            </w:r>
                            <w:r w:rsidRPr="0008442D">
                              <w:rPr>
                                <w:b/>
                              </w:rPr>
                              <w:t>AEMO DH</w:t>
                            </w:r>
                            <w:r w:rsidRPr="0008442D">
                              <w:t>). AEMO DH provides the requested data to the retailer DH. The retailer may also obtain relevant data from its own data holdings.</w:t>
                            </w:r>
                          </w:p>
                          <w:p w14:paraId="7BBF969A" w14:textId="77777777" w:rsidR="00C641D1" w:rsidRPr="0008442D" w:rsidRDefault="00C641D1" w:rsidP="00C96052">
                            <w:pPr>
                              <w:pStyle w:val="OutlineNumbered1"/>
                            </w:pPr>
                            <w:r w:rsidRPr="0008442D">
                              <w:t>The consumer’s data is shared between the retailer DH and the ADR.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468828" id="Text Box 2" o:spid="_x0000_s1027" type="#_x0000_t202" style="position:absolute;margin-left:398.8pt;margin-top:174.35pt;width:450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" fillcolor="#f2f2f2 [3052]" stroked="f">
                <v:textbox style="mso-fit-shape-to-text:t">
                  <w:txbxContent>
                    <w:p w14:paraId="524781B0" w14:textId="77777777" w:rsidR="00C641D1" w:rsidRPr="0008442D" w:rsidRDefault="00C641D1" w:rsidP="00C96052">
                      <w:pPr>
                        <w:pStyle w:val="OutlineNumbered1"/>
                      </w:pPr>
                      <w:r w:rsidRPr="0008442D">
                        <w:t>The consumer consents to an accredited data recipient (</w:t>
                      </w:r>
                      <w:r w:rsidRPr="0008442D">
                        <w:rPr>
                          <w:b/>
                        </w:rPr>
                        <w:t>ADR</w:t>
                      </w:r>
                      <w:r w:rsidRPr="0008442D">
                        <w:t>) obtaining their data.</w:t>
                      </w:r>
                    </w:p>
                    <w:p w14:paraId="1C472CBC" w14:textId="77777777" w:rsidR="00C641D1" w:rsidRPr="0008442D" w:rsidRDefault="00C641D1" w:rsidP="00C96052">
                      <w:pPr>
                        <w:pStyle w:val="OutlineNumbered1"/>
                      </w:pPr>
                      <w:r w:rsidRPr="0008442D">
                        <w:t>The ADR contacts the retailer Data Holder (</w:t>
                      </w:r>
                      <w:r w:rsidRPr="004D1838">
                        <w:rPr>
                          <w:b/>
                          <w:bCs/>
                        </w:rPr>
                        <w:t>DH</w:t>
                      </w:r>
                      <w:r w:rsidRPr="0008442D">
                        <w:t>), seeking access to the consumer’s data.</w:t>
                      </w:r>
                    </w:p>
                    <w:p w14:paraId="718BDC12" w14:textId="77777777" w:rsidR="00C641D1" w:rsidRPr="0008442D" w:rsidRDefault="00C641D1" w:rsidP="00C96052">
                      <w:pPr>
                        <w:pStyle w:val="OutlineNumbered1"/>
                      </w:pPr>
                      <w:r w:rsidRPr="0008442D">
                        <w:t>The retailer DH authenticates the ADR using the CDR Register.</w:t>
                      </w:r>
                    </w:p>
                    <w:p w14:paraId="1D868C16" w14:textId="77777777" w:rsidR="00C641D1" w:rsidRPr="0008442D" w:rsidRDefault="00C641D1" w:rsidP="00C96052">
                      <w:pPr>
                        <w:pStyle w:val="OutlineNumbered1"/>
                      </w:pPr>
                      <w:r w:rsidRPr="0008442D">
                        <w:t>The consumer is redirected to the retailer DH’s authentication and authorisation service. The retailer DH authenticates the identity of the consumer via a one-time password. The Consumer authorises the retailer DH to disclose their data to the ADR.</w:t>
                      </w:r>
                    </w:p>
                    <w:p w14:paraId="4DB8F10C" w14:textId="1DF4259F" w:rsidR="00C641D1" w:rsidRPr="0008442D" w:rsidRDefault="00C641D1" w:rsidP="00C96052">
                      <w:pPr>
                        <w:pStyle w:val="OutlineNumbered1"/>
                      </w:pPr>
                      <w:r w:rsidRPr="0008442D">
                        <w:t xml:space="preserve">The ADR requests a specific set of data that is covered by the </w:t>
                      </w:r>
                      <w:r>
                        <w:t>authorisation</w:t>
                      </w:r>
                      <w:r w:rsidRPr="0008442D">
                        <w:t>.</w:t>
                      </w:r>
                    </w:p>
                    <w:p w14:paraId="4B043705" w14:textId="77777777" w:rsidR="00C641D1" w:rsidRPr="0008442D" w:rsidRDefault="00C641D1" w:rsidP="00C96052">
                      <w:pPr>
                        <w:pStyle w:val="OutlineNumbered1"/>
                      </w:pPr>
                      <w:r w:rsidRPr="0008442D">
                        <w:t>The retailer requests the relevant data, covered by the authorised consent, from AEMO as a data holder (</w:t>
                      </w:r>
                      <w:r w:rsidRPr="0008442D">
                        <w:rPr>
                          <w:b/>
                        </w:rPr>
                        <w:t>AEMO DH</w:t>
                      </w:r>
                      <w:r w:rsidRPr="0008442D">
                        <w:t>). AEMO DH provides the requested data to the retailer DH. The retailer may also obtain relevant data from its own data holdings.</w:t>
                      </w:r>
                    </w:p>
                    <w:p w14:paraId="7BBF969A" w14:textId="77777777" w:rsidR="00C641D1" w:rsidRPr="0008442D" w:rsidRDefault="00C641D1" w:rsidP="00C96052">
                      <w:pPr>
                        <w:pStyle w:val="OutlineNumbered1"/>
                      </w:pPr>
                      <w:r w:rsidRPr="0008442D">
                        <w:t>The consumer’s data is shared between the retailer DH and the ADR.</w:t>
                      </w:r>
                    </w:p>
                  </w:txbxContent>
                </v:textbox>
                <w10:wrap type="square" anchorx="margin"/>
              </v:shape>
            </w:pict>
          </mc:Fallback>
        </mc:AlternateContent>
      </w:r>
      <w:r>
        <w:rPr>
          <w:noProof/>
          <w:lang w:eastAsia="en-AU"/>
        </w:rPr>
        <w:drawing>
          <wp:inline distT="0" distB="0" distL="0" distR="0" wp14:anchorId="2D8A882E" wp14:editId="36971671">
            <wp:extent cx="5670060" cy="2152650"/>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3606" cy="2172979"/>
                    </a:xfrm>
                    <a:prstGeom prst="rect">
                      <a:avLst/>
                    </a:prstGeom>
                    <a:noFill/>
                  </pic:spPr>
                </pic:pic>
              </a:graphicData>
            </a:graphic>
          </wp:inline>
        </w:drawing>
      </w:r>
    </w:p>
    <w:p w14:paraId="566BB197" w14:textId="649BAB2B" w:rsidR="001D0043" w:rsidRPr="00C767E3" w:rsidRDefault="00FD62D4" w:rsidP="00086B41">
      <w:pPr>
        <w:pStyle w:val="Heading3"/>
        <w:rPr>
          <w:color w:val="auto"/>
        </w:rPr>
      </w:pPr>
      <w:r w:rsidRPr="00C767E3">
        <w:rPr>
          <w:color w:val="auto"/>
        </w:rPr>
        <w:t>Role of r</w:t>
      </w:r>
      <w:r w:rsidR="001D0043" w:rsidRPr="00C767E3">
        <w:rPr>
          <w:color w:val="auto"/>
        </w:rPr>
        <w:t>etailers</w:t>
      </w:r>
    </w:p>
    <w:p w14:paraId="7C88C06C" w14:textId="06D3E478" w:rsidR="001D0043" w:rsidRDefault="00B61772" w:rsidP="00086B41">
      <w:pPr>
        <w:pStyle w:val="Normal-Numberedparagraphs"/>
        <w:keepNext/>
      </w:pPr>
      <w:bookmarkStart w:id="3" w:name="_Ref69990592"/>
      <w:r>
        <w:t xml:space="preserve">Under the CDR regime, </w:t>
      </w:r>
      <w:r w:rsidR="00B77AFF">
        <w:t>r</w:t>
      </w:r>
      <w:r w:rsidR="001D0043">
        <w:t>etailers will be responsible for:</w:t>
      </w:r>
      <w:bookmarkEnd w:id="3"/>
    </w:p>
    <w:p w14:paraId="254AF5E2" w14:textId="54F694EB" w:rsidR="001D0043" w:rsidRDefault="001D0043" w:rsidP="00086B41">
      <w:pPr>
        <w:pStyle w:val="Normal-Numberedparagraphs"/>
        <w:keepNext/>
        <w:numPr>
          <w:ilvl w:val="1"/>
          <w:numId w:val="2"/>
        </w:numPr>
      </w:pPr>
      <w:r>
        <w:t>receiving and responding to consumer data requests, including requesting and receiving relevant CDR data from AEMO, in accordance with the data standards;</w:t>
      </w:r>
    </w:p>
    <w:p w14:paraId="47C7A250" w14:textId="7F0B5D7C" w:rsidR="001D0043" w:rsidRDefault="001D0043" w:rsidP="009D6004">
      <w:pPr>
        <w:pStyle w:val="Normal-Numberedparagraphs"/>
        <w:numPr>
          <w:ilvl w:val="1"/>
          <w:numId w:val="2"/>
        </w:numPr>
      </w:pPr>
      <w:r>
        <w:t xml:space="preserve">interacting with the CDR Register to authenticate </w:t>
      </w:r>
      <w:r w:rsidR="00BE5636">
        <w:t xml:space="preserve">an </w:t>
      </w:r>
      <w:r>
        <w:t>accredited person making a consumer data request on behalf of a CDR consumer;</w:t>
      </w:r>
    </w:p>
    <w:p w14:paraId="50AAAE47" w14:textId="5A642196" w:rsidR="001D0043" w:rsidRDefault="001D0043" w:rsidP="009D6004">
      <w:pPr>
        <w:pStyle w:val="Normal-Numberedparagraphs"/>
        <w:numPr>
          <w:ilvl w:val="1"/>
          <w:numId w:val="2"/>
        </w:numPr>
      </w:pPr>
      <w:bookmarkStart w:id="4" w:name="_Ref66280153"/>
      <w:r>
        <w:t>conducting the authentication and authorisation processes, for CDR data held by the retailer and AEMO, in accordance with the data standards, and storing all authorisation information;</w:t>
      </w:r>
      <w:bookmarkEnd w:id="4"/>
    </w:p>
    <w:p w14:paraId="3EECC41E" w14:textId="5343FE45" w:rsidR="001D0043" w:rsidRDefault="001D0043" w:rsidP="009D6004">
      <w:pPr>
        <w:pStyle w:val="Normal-Numberedparagraphs"/>
        <w:numPr>
          <w:ilvl w:val="1"/>
          <w:numId w:val="2"/>
        </w:numPr>
      </w:pPr>
      <w:r>
        <w:t xml:space="preserve">providing consumer dashboards to consumers, for authorisations that relate to data held by the retailer and AEMO; </w:t>
      </w:r>
    </w:p>
    <w:p w14:paraId="1C2C8313" w14:textId="4551181F" w:rsidR="001D0043" w:rsidRDefault="001D0043" w:rsidP="009D6004">
      <w:pPr>
        <w:pStyle w:val="Normal-Numberedparagraphs"/>
        <w:numPr>
          <w:ilvl w:val="1"/>
          <w:numId w:val="2"/>
        </w:numPr>
      </w:pPr>
      <w:r>
        <w:t>record keeping and reporting obligations relevant to the retailer</w:t>
      </w:r>
      <w:r w:rsidR="00ED37D6">
        <w:t>’</w:t>
      </w:r>
      <w:r>
        <w:t>s role</w:t>
      </w:r>
      <w:r w:rsidR="006B330D">
        <w:t>;</w:t>
      </w:r>
    </w:p>
    <w:p w14:paraId="2EB1FF8D" w14:textId="3BEBFAA7" w:rsidR="006148B4" w:rsidRDefault="001D0043" w:rsidP="009D6004">
      <w:pPr>
        <w:pStyle w:val="Normal-Numberedparagraphs"/>
        <w:numPr>
          <w:ilvl w:val="1"/>
          <w:numId w:val="2"/>
        </w:numPr>
      </w:pPr>
      <w:r>
        <w:t>receiving and managing all CDR consumer complaints for retailer and AEMO held data</w:t>
      </w:r>
      <w:r w:rsidR="006B330D">
        <w:t>;</w:t>
      </w:r>
      <w:r w:rsidR="006148B4">
        <w:t xml:space="preserve"> and</w:t>
      </w:r>
    </w:p>
    <w:p w14:paraId="793E3A5F" w14:textId="598A1EBF" w:rsidR="001D0043" w:rsidRPr="003F4D38" w:rsidRDefault="009C7EEA" w:rsidP="009D6004">
      <w:pPr>
        <w:pStyle w:val="Normal-Numberedparagraphs"/>
        <w:numPr>
          <w:ilvl w:val="1"/>
          <w:numId w:val="2"/>
        </w:numPr>
      </w:pPr>
      <w:r>
        <w:t xml:space="preserve">data holder </w:t>
      </w:r>
      <w:r w:rsidR="00722F86">
        <w:t>privacy safeguard</w:t>
      </w:r>
      <w:r w:rsidR="00D17543">
        <w:t xml:space="preserve"> </w:t>
      </w:r>
      <w:r w:rsidR="006148B4">
        <w:t xml:space="preserve">obligations </w:t>
      </w:r>
      <w:r w:rsidR="00722F86">
        <w:t>for AEMO</w:t>
      </w:r>
      <w:r w:rsidR="00AA7A44">
        <w:t>-</w:t>
      </w:r>
      <w:r w:rsidR="00722F86">
        <w:t xml:space="preserve">held data from the point the retailer receives the data and </w:t>
      </w:r>
      <w:r w:rsidR="00D17543">
        <w:t xml:space="preserve">additional </w:t>
      </w:r>
      <w:r w:rsidR="006148B4">
        <w:t xml:space="preserve">obligations consistent with the </w:t>
      </w:r>
      <w:r w:rsidR="00D17543">
        <w:t>retailer</w:t>
      </w:r>
      <w:r w:rsidR="00ED37D6">
        <w:t>’</w:t>
      </w:r>
      <w:r w:rsidR="00D17543">
        <w:t>s role and the</w:t>
      </w:r>
      <w:r w:rsidR="006148B4">
        <w:t xml:space="preserve"> privacy safeguards in relation to CDR data provided to retailers by AEMO</w:t>
      </w:r>
      <w:r w:rsidR="001D0043">
        <w:t>.</w:t>
      </w:r>
    </w:p>
    <w:p w14:paraId="63523922" w14:textId="7CFA6E9D" w:rsidR="001D0043" w:rsidRPr="00C767E3" w:rsidRDefault="00FD62D4" w:rsidP="001D0043">
      <w:pPr>
        <w:pStyle w:val="Heading3"/>
        <w:rPr>
          <w:color w:val="auto"/>
        </w:rPr>
      </w:pPr>
      <w:r w:rsidRPr="00C767E3">
        <w:rPr>
          <w:color w:val="auto"/>
        </w:rPr>
        <w:t xml:space="preserve">Role of </w:t>
      </w:r>
      <w:r w:rsidR="001D0043" w:rsidRPr="00C767E3">
        <w:rPr>
          <w:color w:val="auto"/>
        </w:rPr>
        <w:t>AEMO</w:t>
      </w:r>
    </w:p>
    <w:p w14:paraId="1BBC90A0" w14:textId="40C23603" w:rsidR="000E4A24" w:rsidRDefault="00F52092" w:rsidP="00D07468">
      <w:pPr>
        <w:pStyle w:val="Normal-Numberedparagraphs"/>
      </w:pPr>
      <w:bookmarkStart w:id="5" w:name="_Ref69989397"/>
      <w:bookmarkStart w:id="6" w:name="_Ref69223980"/>
      <w:bookmarkStart w:id="7" w:name="_Hlk66950395"/>
      <w:r>
        <w:t xml:space="preserve">Under </w:t>
      </w:r>
      <w:r w:rsidR="00E141A6">
        <w:t>a</w:t>
      </w:r>
      <w:r>
        <w:t xml:space="preserve"> P2P model </w:t>
      </w:r>
      <w:r w:rsidR="001D0043">
        <w:t xml:space="preserve">AEMO </w:t>
      </w:r>
      <w:r w:rsidR="00D9085D">
        <w:t>will operate as</w:t>
      </w:r>
      <w:r w:rsidR="001D0043">
        <w:t xml:space="preserve"> a ‘</w:t>
      </w:r>
      <w:r w:rsidR="00D353B4">
        <w:t>secondary data holder</w:t>
      </w:r>
      <w:r w:rsidR="001D0043">
        <w:t xml:space="preserve">’ </w:t>
      </w:r>
      <w:r w:rsidR="00915069">
        <w:t>that</w:t>
      </w:r>
      <w:r w:rsidR="00D353B4">
        <w:t xml:space="preserve"> </w:t>
      </w:r>
      <w:r w:rsidR="000E4A24">
        <w:t xml:space="preserve">will </w:t>
      </w:r>
      <w:r w:rsidR="004E4C86">
        <w:t xml:space="preserve">disclose </w:t>
      </w:r>
      <w:r w:rsidR="000E4A24">
        <w:t xml:space="preserve">relevant </w:t>
      </w:r>
      <w:r w:rsidR="001D0043">
        <w:t>CDR data to a retailer</w:t>
      </w:r>
      <w:r>
        <w:t>,</w:t>
      </w:r>
      <w:r w:rsidR="001D0043">
        <w:t xml:space="preserve"> when requested in accordance with the data standards. </w:t>
      </w:r>
      <w:r w:rsidR="00D17543">
        <w:t>AEMO has significant data holdings</w:t>
      </w:r>
      <w:r w:rsidR="002C4766">
        <w:t xml:space="preserve"> as a result of its role as the energy market operator</w:t>
      </w:r>
      <w:r w:rsidR="00D17543">
        <w:t xml:space="preserve">, however, </w:t>
      </w:r>
      <w:r w:rsidR="00B06C10">
        <w:t xml:space="preserve">AEMO is not able to contextualise the data it holds as it does not hold information that would allow it to identify </w:t>
      </w:r>
      <w:r w:rsidR="002C4766">
        <w:t>a</w:t>
      </w:r>
      <w:r w:rsidR="00B06C10">
        <w:t xml:space="preserve"> consumer to which the data relates.</w:t>
      </w:r>
      <w:bookmarkEnd w:id="5"/>
    </w:p>
    <w:p w14:paraId="2FC5A57F" w14:textId="6CFA65C9" w:rsidR="00DF0BBE" w:rsidRDefault="00DF0BBE" w:rsidP="00DF0BBE">
      <w:pPr>
        <w:pStyle w:val="Normal-Numberedparagraphs"/>
      </w:pPr>
      <w:r>
        <w:t>Under the P2P model, AEMO will not be involved in a number of CDR processes, including interacting with consumers, and the authentication and authorisation processes</w:t>
      </w:r>
      <w:r w:rsidR="000A04E6">
        <w:t xml:space="preserve"> that involve consumers</w:t>
      </w:r>
      <w:r>
        <w:t xml:space="preserve">. Additionally, </w:t>
      </w:r>
      <w:r w:rsidRPr="00DF0BBE">
        <w:t>AEMO will not be required to directly interact with</w:t>
      </w:r>
      <w:r w:rsidR="000A04E6">
        <w:t xml:space="preserve"> accredited persons, or</w:t>
      </w:r>
      <w:r w:rsidRPr="00DF0BBE">
        <w:t xml:space="preserve"> the CDR Register</w:t>
      </w:r>
      <w:r w:rsidR="000A04E6">
        <w:t>,</w:t>
      </w:r>
      <w:r w:rsidRPr="00DF0BBE">
        <w:t xml:space="preserve"> at any point for the purposes of facilitating data sharing. The Registrar will not be required to keep and maintain meta data for AEMO as a data holder. AEMO </w:t>
      </w:r>
      <w:r w:rsidR="00D240B4">
        <w:t>will be required</w:t>
      </w:r>
      <w:r>
        <w:t xml:space="preserve"> to </w:t>
      </w:r>
      <w:r w:rsidR="00D240B4">
        <w:t xml:space="preserve">respond to API calls from </w:t>
      </w:r>
      <w:r>
        <w:t>the Regist</w:t>
      </w:r>
      <w:r w:rsidR="00AE1AC5">
        <w:t>er</w:t>
      </w:r>
      <w:r>
        <w:t xml:space="preserve"> for reporting purposes.</w:t>
      </w:r>
    </w:p>
    <w:p w14:paraId="6466B979" w14:textId="353B2247" w:rsidR="001D0043" w:rsidRDefault="004E4C86" w:rsidP="00D07468">
      <w:pPr>
        <w:pStyle w:val="Normal-Numberedparagraphs"/>
      </w:pPr>
      <w:r>
        <w:t xml:space="preserve">Broadly, under </w:t>
      </w:r>
      <w:r w:rsidR="00E141A6">
        <w:t>a</w:t>
      </w:r>
      <w:r>
        <w:t xml:space="preserve"> P2P model</w:t>
      </w:r>
      <w:r w:rsidR="00102A91">
        <w:t xml:space="preserve"> </w:t>
      </w:r>
      <w:r w:rsidR="001D0043">
        <w:t>AEMO will be responsible for:</w:t>
      </w:r>
      <w:bookmarkEnd w:id="6"/>
    </w:p>
    <w:p w14:paraId="53E634EB" w14:textId="70D6AA18" w:rsidR="001D0043" w:rsidRDefault="001D0043" w:rsidP="009D6004">
      <w:pPr>
        <w:pStyle w:val="Normal-Numberedparagraphs"/>
        <w:numPr>
          <w:ilvl w:val="1"/>
          <w:numId w:val="2"/>
        </w:numPr>
      </w:pPr>
      <w:r>
        <w:t>receiving and responding to requests from a retailer</w:t>
      </w:r>
      <w:r w:rsidR="00D353B4">
        <w:t>,</w:t>
      </w:r>
      <w:r>
        <w:t xml:space="preserve"> for CDR data </w:t>
      </w:r>
      <w:r w:rsidR="00D353B4">
        <w:t xml:space="preserve">that is required for the retailer to respond to </w:t>
      </w:r>
      <w:r w:rsidR="000A04E6">
        <w:t>a</w:t>
      </w:r>
      <w:r w:rsidR="00D353B4">
        <w:t xml:space="preserve"> consumer data request</w:t>
      </w:r>
      <w:r>
        <w:t xml:space="preserve">, in accordance with the data standards; </w:t>
      </w:r>
    </w:p>
    <w:p w14:paraId="4188ECAB" w14:textId="4761FC48" w:rsidR="001D0043" w:rsidRDefault="001D0043" w:rsidP="009D6004">
      <w:pPr>
        <w:pStyle w:val="Normal-Numberedparagraphs"/>
        <w:numPr>
          <w:ilvl w:val="1"/>
          <w:numId w:val="2"/>
        </w:numPr>
      </w:pPr>
      <w:r>
        <w:t>providing reasonable assistance</w:t>
      </w:r>
      <w:r w:rsidR="00204FF4">
        <w:t xml:space="preserve"> and information</w:t>
      </w:r>
      <w:r>
        <w:t xml:space="preserve"> to retailers </w:t>
      </w:r>
      <w:r w:rsidR="00204FF4">
        <w:t>in connection with</w:t>
      </w:r>
      <w:r>
        <w:t xml:space="preserve"> dispute resolution</w:t>
      </w:r>
      <w:r w:rsidR="00204FF4">
        <w:t xml:space="preserve"> processes</w:t>
      </w:r>
      <w:r>
        <w:t xml:space="preserve"> and CDR consumer complaints </w:t>
      </w:r>
      <w:r w:rsidR="00204FF4">
        <w:t xml:space="preserve">to the extent these processes relate to functions and activities performed by AEMO under </w:t>
      </w:r>
      <w:r w:rsidR="00616E1C">
        <w:t>a</w:t>
      </w:r>
      <w:r w:rsidR="00204FF4">
        <w:t xml:space="preserve"> P2P model</w:t>
      </w:r>
      <w:r>
        <w:t xml:space="preserve">; </w:t>
      </w:r>
      <w:r w:rsidR="00D240B4">
        <w:t>and</w:t>
      </w:r>
    </w:p>
    <w:p w14:paraId="3CEC3908" w14:textId="3216E2A7" w:rsidR="001D0043" w:rsidRDefault="001D0043" w:rsidP="009D6004">
      <w:pPr>
        <w:pStyle w:val="Normal-Numberedparagraphs"/>
        <w:numPr>
          <w:ilvl w:val="1"/>
          <w:numId w:val="2"/>
        </w:numPr>
      </w:pPr>
      <w:r>
        <w:t>record keeping and reporting obligations</w:t>
      </w:r>
      <w:r w:rsidR="00AA3D76">
        <w:t xml:space="preserve"> relevant to AEMO’s role</w:t>
      </w:r>
      <w:r w:rsidR="00204FF4">
        <w:t xml:space="preserve"> and functions under </w:t>
      </w:r>
      <w:r w:rsidR="00BB5C3F">
        <w:t>a</w:t>
      </w:r>
      <w:r w:rsidR="00204FF4">
        <w:t xml:space="preserve"> P2P model</w:t>
      </w:r>
      <w:r w:rsidR="00D240B4">
        <w:t>.</w:t>
      </w:r>
    </w:p>
    <w:bookmarkEnd w:id="7"/>
    <w:p w14:paraId="734CC64E" w14:textId="52B0973A" w:rsidR="00890577" w:rsidRDefault="000F3EE7" w:rsidP="008D4656">
      <w:pPr>
        <w:pStyle w:val="Normal-Numberedparagraphs"/>
      </w:pPr>
      <w:r>
        <w:t>An important</w:t>
      </w:r>
      <w:r w:rsidR="000A5FD1">
        <w:t xml:space="preserve"> objective is for the CDR in energy to support anticipated use cases such as price comparisons and switching. </w:t>
      </w:r>
      <w:r w:rsidR="002F2EE7">
        <w:t>To facilitate these and other use cases, a</w:t>
      </w:r>
      <w:r w:rsidR="000A5FD1">
        <w:t>n issue still to be resolved is the</w:t>
      </w:r>
      <w:r w:rsidR="003E5707">
        <w:t xml:space="preserve"> effective provision</w:t>
      </w:r>
      <w:r w:rsidR="001A03E1">
        <w:t xml:space="preserve"> of </w:t>
      </w:r>
      <w:r w:rsidR="003E5707">
        <w:t>historical metering data. Currentl</w:t>
      </w:r>
      <w:r w:rsidR="00890577">
        <w:t xml:space="preserve">y, AEMO does not capture information about when </w:t>
      </w:r>
      <w:r w:rsidR="00EE3EC0">
        <w:t>the customer associated with a</w:t>
      </w:r>
      <w:r w:rsidR="00890577">
        <w:t xml:space="preserve"> NMI changes. Without this information, </w:t>
      </w:r>
      <w:r w:rsidR="00EE3EC0">
        <w:t>it is impossible to provide metering data in response to a CDR request for a period before the consumer signed up with their existing retailer</w:t>
      </w:r>
      <w:r w:rsidR="00890577">
        <w:t>.</w:t>
      </w:r>
      <w:r w:rsidR="00EE3EC0">
        <w:t xml:space="preserve"> This is to ensure the privacy of previous residents of a property remains protected. </w:t>
      </w:r>
    </w:p>
    <w:p w14:paraId="067DE8D0" w14:textId="6AB235BE" w:rsidR="008D4656" w:rsidRDefault="00890577" w:rsidP="002F035E">
      <w:pPr>
        <w:pStyle w:val="Normal-Numberedparagraphs"/>
      </w:pPr>
      <w:r>
        <w:t>The</w:t>
      </w:r>
      <w:r w:rsidR="003D6C84" w:rsidDel="0098651F">
        <w:t xml:space="preserve"> </w:t>
      </w:r>
      <w:r w:rsidR="003D6C84">
        <w:t>Australian Energy Market Commission</w:t>
      </w:r>
      <w:r w:rsidR="00BE18ED">
        <w:t xml:space="preserve"> (</w:t>
      </w:r>
      <w:r w:rsidR="00BE18ED" w:rsidRPr="00A35DC1">
        <w:rPr>
          <w:b/>
          <w:bCs/>
        </w:rPr>
        <w:t>AEMC</w:t>
      </w:r>
      <w:r w:rsidR="00BE18ED">
        <w:t>)</w:t>
      </w:r>
      <w:r>
        <w:t xml:space="preserve"> </w:t>
      </w:r>
      <w:r w:rsidR="0098651F">
        <w:t>is currently exploring whether t</w:t>
      </w:r>
      <w:r w:rsidR="003D6C84">
        <w:t>his issue can be addressed</w:t>
      </w:r>
      <w:r w:rsidR="00FC5E33">
        <w:t xml:space="preserve"> through potential regulatory changes</w:t>
      </w:r>
      <w:r w:rsidR="003D6C84">
        <w:t xml:space="preserve">, in light of the AEMC’s current </w:t>
      </w:r>
      <w:r w:rsidR="00F81783">
        <w:t>market review of the regulatory framework for metering services.</w:t>
      </w:r>
      <w:r w:rsidR="00F81783">
        <w:rPr>
          <w:rStyle w:val="FootnoteReference"/>
        </w:rPr>
        <w:footnoteReference w:id="2"/>
      </w:r>
      <w:r w:rsidR="00FC5E33">
        <w:t xml:space="preserve"> </w:t>
      </w:r>
    </w:p>
    <w:p w14:paraId="43F7BBFE" w14:textId="348D0A85" w:rsidR="00F01C1A" w:rsidRPr="007347F2" w:rsidRDefault="00F01C1A" w:rsidP="007347F2">
      <w:pPr>
        <w:pStyle w:val="Heading2"/>
        <w:numPr>
          <w:ilvl w:val="1"/>
          <w:numId w:val="7"/>
        </w:numPr>
        <w:tabs>
          <w:tab w:val="num" w:pos="1560"/>
        </w:tabs>
        <w:ind w:left="426" w:hanging="426"/>
        <w:contextualSpacing/>
        <w:rPr>
          <w:color w:val="2E74B5" w:themeColor="accent1" w:themeShade="BF"/>
        </w:rPr>
      </w:pPr>
      <w:bookmarkStart w:id="8" w:name="_Ref70423717"/>
      <w:r w:rsidRPr="007347F2">
        <w:rPr>
          <w:color w:val="2E74B5" w:themeColor="accent1" w:themeShade="BF"/>
        </w:rPr>
        <w:t xml:space="preserve">Rules </w:t>
      </w:r>
      <w:r w:rsidR="00A71935">
        <w:rPr>
          <w:color w:val="2E74B5" w:themeColor="accent1" w:themeShade="BF"/>
        </w:rPr>
        <w:t>c</w:t>
      </w:r>
      <w:r w:rsidRPr="007347F2">
        <w:rPr>
          <w:color w:val="2E74B5" w:themeColor="accent1" w:themeShade="BF"/>
        </w:rPr>
        <w:t>onsiderations</w:t>
      </w:r>
      <w:bookmarkEnd w:id="8"/>
    </w:p>
    <w:p w14:paraId="16B67831" w14:textId="79462D58" w:rsidR="00F02D6C" w:rsidRPr="00C767E3" w:rsidRDefault="00F02D6C" w:rsidP="00F02D6C">
      <w:pPr>
        <w:pStyle w:val="Heading3"/>
        <w:rPr>
          <w:color w:val="auto"/>
        </w:rPr>
      </w:pPr>
      <w:r w:rsidRPr="00C767E3">
        <w:rPr>
          <w:color w:val="auto"/>
        </w:rPr>
        <w:t xml:space="preserve">Interoperability </w:t>
      </w:r>
      <w:r w:rsidRPr="00D82C77">
        <w:rPr>
          <w:color w:val="auto"/>
        </w:rPr>
        <w:t xml:space="preserve">and </w:t>
      </w:r>
      <w:r w:rsidR="00B201B2">
        <w:rPr>
          <w:color w:val="auto"/>
        </w:rPr>
        <w:t>extensibility</w:t>
      </w:r>
    </w:p>
    <w:p w14:paraId="114A2A68" w14:textId="300B7C88" w:rsidR="004F51EE" w:rsidRDefault="00E510D2" w:rsidP="00EC3FE7">
      <w:pPr>
        <w:pStyle w:val="Normal-Numberedparagraphs"/>
      </w:pPr>
      <w:r>
        <w:t>For the purpose of this paper</w:t>
      </w:r>
      <w:r w:rsidR="0098651F">
        <w:t>,</w:t>
      </w:r>
      <w:r>
        <w:t xml:space="preserve"> t</w:t>
      </w:r>
      <w:r>
        <w:rPr>
          <w:rFonts w:ascii="Calibri" w:hAnsi="Calibri" w:cs="Calibri"/>
        </w:rPr>
        <w:t>he P2P model is being discussed in the context of the energy sector,</w:t>
      </w:r>
      <w:r w:rsidR="00703145">
        <w:t xml:space="preserve"> </w:t>
      </w:r>
      <w:r>
        <w:t xml:space="preserve">however, </w:t>
      </w:r>
      <w:r w:rsidR="00703145">
        <w:t>we consider the P2P model is extensible to other sectors</w:t>
      </w:r>
      <w:r w:rsidR="00451831">
        <w:t>.</w:t>
      </w:r>
      <w:r w:rsidR="00800DA7">
        <w:t xml:space="preserve"> A key design principle of CDR is i</w:t>
      </w:r>
      <w:r w:rsidR="00491AFD">
        <w:t xml:space="preserve">mplementing </w:t>
      </w:r>
      <w:r w:rsidR="00442482">
        <w:t xml:space="preserve">a </w:t>
      </w:r>
      <w:r w:rsidR="00491AFD">
        <w:t>universal approach</w:t>
      </w:r>
      <w:r w:rsidR="00A9026F">
        <w:t>. Therefore,</w:t>
      </w:r>
      <w:r w:rsidR="00491AFD">
        <w:t xml:space="preserve"> t</w:t>
      </w:r>
      <w:r w:rsidR="000F3EE7">
        <w:t>he rule</w:t>
      </w:r>
      <w:r w:rsidR="00771665">
        <w:t xml:space="preserve">s that </w:t>
      </w:r>
      <w:r w:rsidR="00451831">
        <w:t>give effect to</w:t>
      </w:r>
      <w:r w:rsidR="00451831" w:rsidRPr="001A3DD5">
        <w:t xml:space="preserve"> </w:t>
      </w:r>
      <w:r w:rsidR="00351289">
        <w:t>a</w:t>
      </w:r>
      <w:r w:rsidR="00FF7330" w:rsidRPr="001A3DD5">
        <w:t xml:space="preserve"> </w:t>
      </w:r>
      <w:r w:rsidR="001A3DD5" w:rsidRPr="001A3DD5">
        <w:t xml:space="preserve">P2P </w:t>
      </w:r>
      <w:r w:rsidR="00FF7330" w:rsidRPr="001A3DD5">
        <w:t>model</w:t>
      </w:r>
      <w:r w:rsidR="00AB0545">
        <w:t xml:space="preserve"> </w:t>
      </w:r>
      <w:r w:rsidR="000F3EE7">
        <w:t xml:space="preserve">will </w:t>
      </w:r>
      <w:r w:rsidR="00491AFD">
        <w:t>be</w:t>
      </w:r>
      <w:r w:rsidR="00AB0545">
        <w:t xml:space="preserve"> economy-wide </w:t>
      </w:r>
      <w:r w:rsidR="00491AFD">
        <w:t>provisions</w:t>
      </w:r>
      <w:r w:rsidR="000F3EE7">
        <w:t xml:space="preserve"> to the extent possible</w:t>
      </w:r>
      <w:r w:rsidR="00491AFD">
        <w:t>.</w:t>
      </w:r>
      <w:r w:rsidR="00A765B8">
        <w:t xml:space="preserve"> </w:t>
      </w:r>
      <w:r w:rsidR="00491AFD">
        <w:t>S</w:t>
      </w:r>
      <w:r w:rsidR="00A765B8">
        <w:t xml:space="preserve">ector-specific rules </w:t>
      </w:r>
      <w:r w:rsidR="00491AFD">
        <w:t xml:space="preserve">for </w:t>
      </w:r>
      <w:r w:rsidR="00351289">
        <w:t xml:space="preserve">the </w:t>
      </w:r>
      <w:r w:rsidR="00491AFD">
        <w:t>energy</w:t>
      </w:r>
      <w:r w:rsidR="00A765B8">
        <w:t xml:space="preserve"> </w:t>
      </w:r>
      <w:r w:rsidR="00351289">
        <w:t xml:space="preserve">sector </w:t>
      </w:r>
      <w:r w:rsidR="00491AFD">
        <w:t xml:space="preserve">will only be developed </w:t>
      </w:r>
      <w:r w:rsidR="00A765B8">
        <w:t xml:space="preserve">where </w:t>
      </w:r>
      <w:r w:rsidR="008B6E0B">
        <w:t>necessary</w:t>
      </w:r>
      <w:r w:rsidR="00491AFD">
        <w:t>,</w:t>
      </w:r>
      <w:r w:rsidR="000F3EE7">
        <w:t xml:space="preserve"> having regard to </w:t>
      </w:r>
      <w:r w:rsidR="00060268">
        <w:t>the unique characteristics of the sector</w:t>
      </w:r>
      <w:r w:rsidR="00A12FEE">
        <w:t>.</w:t>
      </w:r>
    </w:p>
    <w:p w14:paraId="2B05AA60" w14:textId="0D37EED7" w:rsidR="00D85DB0" w:rsidRPr="00C767E3" w:rsidRDefault="00D85DB0" w:rsidP="00D85DB0">
      <w:pPr>
        <w:pStyle w:val="Heading3"/>
        <w:rPr>
          <w:color w:val="auto"/>
        </w:rPr>
      </w:pPr>
      <w:r w:rsidRPr="00C767E3">
        <w:rPr>
          <w:color w:val="auto"/>
        </w:rPr>
        <w:t>Data holder to data holder interactions</w:t>
      </w:r>
    </w:p>
    <w:p w14:paraId="66FA2A53" w14:textId="1275CC6D" w:rsidR="004D71E1" w:rsidRDefault="009906AD" w:rsidP="00962667">
      <w:pPr>
        <w:pStyle w:val="Normal-Numberedparagraphs"/>
      </w:pPr>
      <w:r>
        <w:t>T</w:t>
      </w:r>
      <w:r w:rsidR="00BB7A6C">
        <w:t xml:space="preserve">he rules </w:t>
      </w:r>
      <w:r w:rsidR="00451831">
        <w:t xml:space="preserve">will </w:t>
      </w:r>
      <w:r w:rsidR="00265E12">
        <w:t xml:space="preserve">make clear what a retailer is required to do when a </w:t>
      </w:r>
      <w:r w:rsidR="008B4A0F" w:rsidRPr="00352622">
        <w:t xml:space="preserve">retailer </w:t>
      </w:r>
      <w:r w:rsidR="00265E12">
        <w:t>receives a consumer data request that involves AEMO held data</w:t>
      </w:r>
      <w:r w:rsidR="00705F6E">
        <w:t xml:space="preserve">. </w:t>
      </w:r>
      <w:r w:rsidR="00B77FCD">
        <w:t>T</w:t>
      </w:r>
      <w:r w:rsidR="00265E12">
        <w:t xml:space="preserve">he retailer </w:t>
      </w:r>
      <w:r w:rsidR="009D7088">
        <w:t xml:space="preserve">will be </w:t>
      </w:r>
      <w:r w:rsidR="00265E12">
        <w:t xml:space="preserve">required </w:t>
      </w:r>
      <w:r w:rsidR="008B4A0F" w:rsidRPr="00352622">
        <w:t>to request AEMO to disclose the</w:t>
      </w:r>
      <w:r w:rsidR="00655545">
        <w:t xml:space="preserve"> relevant</w:t>
      </w:r>
      <w:r w:rsidR="008B4A0F" w:rsidRPr="00352622">
        <w:t xml:space="preserve"> CDR data that it holds</w:t>
      </w:r>
      <w:r w:rsidR="00265E12">
        <w:t xml:space="preserve"> to the retailer</w:t>
      </w:r>
      <w:r w:rsidR="004A1553">
        <w:t xml:space="preserve"> so that </w:t>
      </w:r>
      <w:r w:rsidR="00265E12">
        <w:t>the</w:t>
      </w:r>
      <w:r w:rsidR="008B4A0F" w:rsidRPr="00352622">
        <w:t xml:space="preserve"> retailer </w:t>
      </w:r>
      <w:r w:rsidR="004A1553">
        <w:t>is able</w:t>
      </w:r>
      <w:r w:rsidR="008B4A0F" w:rsidRPr="00352622">
        <w:t xml:space="preserve"> to disclose the requested </w:t>
      </w:r>
      <w:r w:rsidR="00265E12">
        <w:t>CDR</w:t>
      </w:r>
      <w:r w:rsidR="008B4A0F" w:rsidRPr="00352622">
        <w:t xml:space="preserve"> data in response to a consumer data request.</w:t>
      </w:r>
      <w:r w:rsidR="00265E12">
        <w:t xml:space="preserve"> </w:t>
      </w:r>
    </w:p>
    <w:p w14:paraId="5ABDCD64" w14:textId="6F4ED593" w:rsidR="004B61C1" w:rsidRPr="00656CB9" w:rsidRDefault="004B61C1" w:rsidP="004B61C1">
      <w:pPr>
        <w:pStyle w:val="Normal-Numberedparagraphs"/>
      </w:pPr>
      <w:r>
        <w:rPr>
          <w:rFonts w:ascii="Calibri" w:eastAsia="Calibri" w:hAnsi="Calibri" w:cs="Times New Roman"/>
        </w:rPr>
        <w:t xml:space="preserve">To enable </w:t>
      </w:r>
      <w:r w:rsidR="00827EFA">
        <w:rPr>
          <w:rFonts w:ascii="Calibri" w:eastAsia="Calibri" w:hAnsi="Calibri" w:cs="Times New Roman"/>
        </w:rPr>
        <w:t>a</w:t>
      </w:r>
      <w:r>
        <w:rPr>
          <w:rFonts w:ascii="Calibri" w:eastAsia="Calibri" w:hAnsi="Calibri" w:cs="Times New Roman"/>
        </w:rPr>
        <w:t xml:space="preserve"> P2P model to function</w:t>
      </w:r>
      <w:r w:rsidR="00D14396">
        <w:rPr>
          <w:rFonts w:ascii="Calibri" w:eastAsia="Calibri" w:hAnsi="Calibri" w:cs="Times New Roman"/>
        </w:rPr>
        <w:t>,</w:t>
      </w:r>
      <w:r>
        <w:rPr>
          <w:rFonts w:ascii="Calibri" w:eastAsia="Calibri" w:hAnsi="Calibri" w:cs="Times New Roman"/>
        </w:rPr>
        <w:t xml:space="preserve"> AEMO must be able to</w:t>
      </w:r>
      <w:r w:rsidR="00B44F46">
        <w:rPr>
          <w:rFonts w:ascii="Calibri" w:eastAsia="Calibri" w:hAnsi="Calibri" w:cs="Times New Roman"/>
        </w:rPr>
        <w:t xml:space="preserve"> receive and</w:t>
      </w:r>
      <w:r>
        <w:rPr>
          <w:rFonts w:ascii="Calibri" w:eastAsia="Calibri" w:hAnsi="Calibri" w:cs="Times New Roman"/>
        </w:rPr>
        <w:t xml:space="preserve"> respond to requests for CDR data made by a retailer. </w:t>
      </w:r>
      <w:r w:rsidR="009906AD">
        <w:rPr>
          <w:rFonts w:ascii="Calibri" w:eastAsia="Calibri" w:hAnsi="Calibri" w:cs="Times New Roman"/>
        </w:rPr>
        <w:t>T</w:t>
      </w:r>
      <w:r>
        <w:rPr>
          <w:rFonts w:ascii="Calibri" w:eastAsia="Calibri" w:hAnsi="Calibri" w:cs="Times New Roman"/>
        </w:rPr>
        <w:t xml:space="preserve">he rules </w:t>
      </w:r>
      <w:r w:rsidR="009D7088">
        <w:rPr>
          <w:rFonts w:ascii="Calibri" w:eastAsia="Calibri" w:hAnsi="Calibri" w:cs="Times New Roman"/>
        </w:rPr>
        <w:t xml:space="preserve">will </w:t>
      </w:r>
      <w:r>
        <w:rPr>
          <w:rFonts w:ascii="Calibri" w:eastAsia="Calibri" w:hAnsi="Calibri" w:cs="Times New Roman"/>
        </w:rPr>
        <w:t xml:space="preserve">require AEMO to provide an online service that is able to receive and respond to requests from retailers for CDR data that it holds. The provision of this service </w:t>
      </w:r>
      <w:r w:rsidR="009D7088">
        <w:rPr>
          <w:rFonts w:ascii="Calibri" w:eastAsia="Calibri" w:hAnsi="Calibri" w:cs="Times New Roman"/>
        </w:rPr>
        <w:t xml:space="preserve">will be </w:t>
      </w:r>
      <w:r>
        <w:rPr>
          <w:rFonts w:ascii="Calibri" w:eastAsia="Calibri" w:hAnsi="Calibri" w:cs="Times New Roman"/>
        </w:rPr>
        <w:t xml:space="preserve">the extent of AEMO’s requirements to provide online services </w:t>
      </w:r>
      <w:r w:rsidR="0071693C">
        <w:rPr>
          <w:rFonts w:ascii="Calibri" w:eastAsia="Calibri" w:hAnsi="Calibri" w:cs="Times New Roman"/>
        </w:rPr>
        <w:t>and AEMO will not be authorised to respond to requests from</w:t>
      </w:r>
      <w:r>
        <w:rPr>
          <w:rFonts w:ascii="Calibri" w:eastAsia="Calibri" w:hAnsi="Calibri" w:cs="Times New Roman"/>
        </w:rPr>
        <w:t xml:space="preserve"> other CDR participants or CDR consumers.</w:t>
      </w:r>
    </w:p>
    <w:p w14:paraId="3679786D" w14:textId="65B7DE8F" w:rsidR="0040633F" w:rsidRDefault="00705F6E" w:rsidP="0040633F">
      <w:pPr>
        <w:pStyle w:val="Normal-Numberedparagraphs"/>
      </w:pPr>
      <w:r>
        <w:rPr>
          <w:rFonts w:ascii="Calibri" w:eastAsia="Calibri" w:hAnsi="Calibri" w:cs="Times New Roman"/>
        </w:rPr>
        <w:t xml:space="preserve">The rules </w:t>
      </w:r>
      <w:r w:rsidR="009906AD">
        <w:rPr>
          <w:rFonts w:ascii="Calibri" w:eastAsia="Calibri" w:hAnsi="Calibri" w:cs="Times New Roman"/>
        </w:rPr>
        <w:t>will</w:t>
      </w:r>
      <w:r>
        <w:rPr>
          <w:rFonts w:ascii="Calibri" w:eastAsia="Calibri" w:hAnsi="Calibri" w:cs="Times New Roman"/>
        </w:rPr>
        <w:t xml:space="preserve"> </w:t>
      </w:r>
      <w:r w:rsidR="006B7E07">
        <w:rPr>
          <w:rFonts w:ascii="Calibri" w:eastAsia="Calibri" w:hAnsi="Calibri" w:cs="Times New Roman"/>
        </w:rPr>
        <w:t xml:space="preserve">authorise </w:t>
      </w:r>
      <w:r>
        <w:rPr>
          <w:rFonts w:ascii="Calibri" w:eastAsia="Calibri" w:hAnsi="Calibri" w:cs="Times New Roman"/>
        </w:rPr>
        <w:t xml:space="preserve">the disclosure of CDR data from one data holder to another, therefore </w:t>
      </w:r>
      <w:r w:rsidR="00451831">
        <w:rPr>
          <w:rFonts w:ascii="Calibri" w:eastAsia="Calibri" w:hAnsi="Calibri" w:cs="Times New Roman"/>
        </w:rPr>
        <w:t xml:space="preserve">we expect the rules will reflect </w:t>
      </w:r>
      <w:r>
        <w:rPr>
          <w:rFonts w:ascii="Calibri" w:eastAsia="Calibri" w:hAnsi="Calibri" w:cs="Times New Roman"/>
        </w:rPr>
        <w:t>that AEMO</w:t>
      </w:r>
      <w:r w:rsidR="006B7E07">
        <w:rPr>
          <w:rFonts w:ascii="Calibri" w:eastAsia="Calibri" w:hAnsi="Calibri" w:cs="Times New Roman"/>
        </w:rPr>
        <w:t xml:space="preserve"> is authorised</w:t>
      </w:r>
      <w:r w:rsidR="00B46328">
        <w:rPr>
          <w:rFonts w:ascii="Calibri" w:eastAsia="Calibri" w:hAnsi="Calibri" w:cs="Times New Roman"/>
        </w:rPr>
        <w:t>,</w:t>
      </w:r>
      <w:r w:rsidR="0040633F" w:rsidRPr="00967591">
        <w:rPr>
          <w:rFonts w:ascii="Calibri" w:eastAsia="Calibri" w:hAnsi="Calibri" w:cs="Times New Roman"/>
        </w:rPr>
        <w:t xml:space="preserve"> but not required</w:t>
      </w:r>
      <w:r w:rsidR="00B46328" w:rsidRPr="00967591">
        <w:rPr>
          <w:rFonts w:ascii="Calibri" w:eastAsia="Calibri" w:hAnsi="Calibri" w:cs="Times New Roman"/>
        </w:rPr>
        <w:t>,</w:t>
      </w:r>
      <w:r w:rsidR="0040633F" w:rsidRPr="00967591">
        <w:rPr>
          <w:rFonts w:ascii="Calibri" w:eastAsia="Calibri" w:hAnsi="Calibri" w:cs="Times New Roman"/>
        </w:rPr>
        <w:t xml:space="preserve"> to respond</w:t>
      </w:r>
      <w:r w:rsidRPr="00967591">
        <w:rPr>
          <w:rFonts w:ascii="Calibri" w:eastAsia="Calibri" w:hAnsi="Calibri" w:cs="Times New Roman"/>
        </w:rPr>
        <w:t xml:space="preserve"> to a request from a retailer</w:t>
      </w:r>
      <w:r w:rsidR="00B46328" w:rsidRPr="00967591">
        <w:rPr>
          <w:rFonts w:ascii="Calibri" w:eastAsia="Calibri" w:hAnsi="Calibri" w:cs="Times New Roman"/>
        </w:rPr>
        <w:t xml:space="preserve"> for CDR data</w:t>
      </w:r>
      <w:r w:rsidR="0040633F" w:rsidRPr="00967591">
        <w:rPr>
          <w:rFonts w:ascii="Calibri" w:eastAsia="Calibri" w:hAnsi="Calibri" w:cs="Times New Roman"/>
        </w:rPr>
        <w:t>.</w:t>
      </w:r>
      <w:r w:rsidRPr="00967591">
        <w:rPr>
          <w:rFonts w:ascii="Calibri" w:eastAsia="Calibri" w:hAnsi="Calibri" w:cs="Times New Roman"/>
        </w:rPr>
        <w:t xml:space="preserve"> As outlined below </w:t>
      </w:r>
      <w:r w:rsidR="0079680F" w:rsidRPr="00967591">
        <w:rPr>
          <w:rFonts w:ascii="Calibri" w:eastAsia="Calibri" w:hAnsi="Calibri" w:cs="Times New Roman"/>
        </w:rPr>
        <w:t>in</w:t>
      </w:r>
      <w:r w:rsidR="000D7E4C">
        <w:rPr>
          <w:rFonts w:ascii="Calibri" w:eastAsia="Calibri" w:hAnsi="Calibri" w:cs="Times New Roman"/>
        </w:rPr>
        <w:t xml:space="preserve"> </w:t>
      </w:r>
      <w:r w:rsidR="0079680F" w:rsidRPr="00AD0CFF">
        <w:rPr>
          <w:rFonts w:ascii="Calibri" w:eastAsia="Calibri" w:hAnsi="Calibri" w:cs="Times New Roman"/>
        </w:rPr>
        <w:t>section</w:t>
      </w:r>
      <w:r w:rsidR="0079680F" w:rsidRPr="003F33C2">
        <w:rPr>
          <w:rFonts w:ascii="Calibri" w:eastAsia="Calibri" w:hAnsi="Calibri" w:cs="Times New Roman"/>
        </w:rPr>
        <w:t xml:space="preserve"> </w:t>
      </w:r>
      <w:r w:rsidR="00150190" w:rsidRPr="003F33C2">
        <w:rPr>
          <w:rFonts w:ascii="Calibri" w:eastAsia="Calibri" w:hAnsi="Calibri" w:cs="Times New Roman"/>
        </w:rPr>
        <w:fldChar w:fldCharType="begin"/>
      </w:r>
      <w:r w:rsidR="00150190" w:rsidRPr="003F33C2">
        <w:rPr>
          <w:rFonts w:ascii="Calibri" w:eastAsia="Calibri" w:hAnsi="Calibri" w:cs="Times New Roman"/>
        </w:rPr>
        <w:instrText xml:space="preserve"> REF _Ref70078895 \r \h </w:instrText>
      </w:r>
      <w:r w:rsidR="000D7E4C" w:rsidRPr="003F33C2">
        <w:rPr>
          <w:rFonts w:ascii="Calibri" w:eastAsia="Calibri" w:hAnsi="Calibri" w:cs="Times New Roman"/>
        </w:rPr>
        <w:instrText xml:space="preserve"> \* MERGEFORMAT </w:instrText>
      </w:r>
      <w:r w:rsidR="00150190" w:rsidRPr="003F33C2">
        <w:rPr>
          <w:rFonts w:ascii="Calibri" w:eastAsia="Calibri" w:hAnsi="Calibri" w:cs="Times New Roman"/>
        </w:rPr>
      </w:r>
      <w:r w:rsidR="00150190" w:rsidRPr="003F33C2">
        <w:rPr>
          <w:rFonts w:ascii="Calibri" w:eastAsia="Calibri" w:hAnsi="Calibri" w:cs="Times New Roman"/>
        </w:rPr>
        <w:fldChar w:fldCharType="separate"/>
      </w:r>
      <w:r w:rsidR="0025041F">
        <w:rPr>
          <w:rFonts w:ascii="Calibri" w:eastAsia="Calibri" w:hAnsi="Calibri" w:cs="Times New Roman"/>
        </w:rPr>
        <w:t>1.3</w:t>
      </w:r>
      <w:r w:rsidR="00150190" w:rsidRPr="003F33C2">
        <w:rPr>
          <w:rFonts w:ascii="Calibri" w:eastAsia="Calibri" w:hAnsi="Calibri" w:cs="Times New Roman"/>
        </w:rPr>
        <w:fldChar w:fldCharType="end"/>
      </w:r>
      <w:r w:rsidR="00AD0CFF" w:rsidRPr="00AD0CFF">
        <w:rPr>
          <w:rFonts w:ascii="Calibri" w:eastAsia="Calibri" w:hAnsi="Calibri" w:cs="Times New Roman"/>
        </w:rPr>
        <w:t xml:space="preserve"> </w:t>
      </w:r>
      <w:r w:rsidR="00AD0CFF">
        <w:rPr>
          <w:rFonts w:ascii="Calibri" w:eastAsia="Calibri" w:hAnsi="Calibri" w:cs="Times New Roman"/>
        </w:rPr>
        <w:t>Standards considerations</w:t>
      </w:r>
      <w:r w:rsidR="005C6888" w:rsidRPr="009E0996">
        <w:rPr>
          <w:rFonts w:ascii="Calibri" w:eastAsia="Calibri" w:hAnsi="Calibri" w:cs="Times New Roman"/>
        </w:rPr>
        <w:t>,</w:t>
      </w:r>
      <w:r w:rsidRPr="009E0996">
        <w:t xml:space="preserve"> we expect that the rules will require binding data standards to be made </w:t>
      </w:r>
      <w:r>
        <w:t>that govern the interactions between retailers and AEMO.</w:t>
      </w:r>
    </w:p>
    <w:p w14:paraId="0A61168B" w14:textId="3C59BEB2" w:rsidR="00DD59B6" w:rsidRDefault="003301E3" w:rsidP="00EC3FE7">
      <w:pPr>
        <w:pStyle w:val="Normal-Numberedparagraphs"/>
      </w:pPr>
      <w:r>
        <w:t xml:space="preserve">A P2P model </w:t>
      </w:r>
      <w:r w:rsidR="00060268">
        <w:t>will be designed to be consistent with CDR</w:t>
      </w:r>
      <w:r w:rsidR="00C11B5B">
        <w:t xml:space="preserve"> privacy obligations and</w:t>
      </w:r>
      <w:r w:rsidR="000D7E4C">
        <w:t xml:space="preserve"> ensure</w:t>
      </w:r>
      <w:r>
        <w:t xml:space="preserve"> </w:t>
      </w:r>
      <w:r w:rsidR="00060268">
        <w:t>that the consumer data requests made to retailers are for the purpose of an ADR receiving and using the requested CDR data</w:t>
      </w:r>
      <w:r w:rsidR="00860F5E">
        <w:t xml:space="preserve"> in accordance with a</w:t>
      </w:r>
      <w:r w:rsidR="00060268">
        <w:t xml:space="preserve"> </w:t>
      </w:r>
      <w:r>
        <w:t>CDR consumer’s consent given to the ADR</w:t>
      </w:r>
      <w:r w:rsidR="00C11B5B">
        <w:t>.</w:t>
      </w:r>
      <w:r w:rsidR="009B7131">
        <w:t xml:space="preserve"> The</w:t>
      </w:r>
      <w:r w:rsidR="00CE04A7">
        <w:t xml:space="preserve"> rules</w:t>
      </w:r>
      <w:r w:rsidR="00451831">
        <w:t xml:space="preserve"> will</w:t>
      </w:r>
      <w:r w:rsidR="00C11B5B">
        <w:t xml:space="preserve"> therefore prohibit </w:t>
      </w:r>
      <w:r w:rsidR="00705F6E">
        <w:rPr>
          <w:rFonts w:ascii="Calibri" w:eastAsia="Calibri" w:hAnsi="Calibri" w:cs="Times New Roman"/>
        </w:rPr>
        <w:t>r</w:t>
      </w:r>
      <w:r w:rsidR="009A0ED6">
        <w:rPr>
          <w:rFonts w:ascii="Calibri" w:eastAsia="Calibri" w:hAnsi="Calibri" w:cs="Times New Roman"/>
        </w:rPr>
        <w:t xml:space="preserve">etailers </w:t>
      </w:r>
      <w:r w:rsidR="00C11B5B">
        <w:t xml:space="preserve">from </w:t>
      </w:r>
      <w:r w:rsidR="009A0ED6">
        <w:t>be</w:t>
      </w:r>
      <w:r w:rsidR="00C11B5B">
        <w:t>ing</w:t>
      </w:r>
      <w:r w:rsidR="009A0ED6">
        <w:t xml:space="preserve"> able to use or </w:t>
      </w:r>
      <w:r w:rsidR="00860F5E">
        <w:t xml:space="preserve">disclose </w:t>
      </w:r>
      <w:r w:rsidR="009B7131">
        <w:rPr>
          <w:rFonts w:ascii="Calibri" w:eastAsia="Calibri" w:hAnsi="Calibri" w:cs="Times New Roman"/>
        </w:rPr>
        <w:t>the CDR data that retailers receive from AEMO,</w:t>
      </w:r>
      <w:r w:rsidR="009B7131">
        <w:t xml:space="preserve"> </w:t>
      </w:r>
      <w:r w:rsidR="00860F5E">
        <w:t>except for</w:t>
      </w:r>
      <w:r w:rsidR="009A0ED6">
        <w:t xml:space="preserve"> the purpose of securely transmitting the data to an accredited person to fulfil a consumer data request.</w:t>
      </w:r>
    </w:p>
    <w:p w14:paraId="4171F1E9" w14:textId="371E508F" w:rsidR="00656CB9" w:rsidRPr="00C767E3" w:rsidRDefault="00656CB9" w:rsidP="00656CB9">
      <w:pPr>
        <w:pStyle w:val="Heading3"/>
        <w:rPr>
          <w:color w:val="auto"/>
        </w:rPr>
      </w:pPr>
      <w:r w:rsidRPr="00C767E3">
        <w:rPr>
          <w:color w:val="auto"/>
        </w:rPr>
        <w:t>Authorisations and consumer dashboards</w:t>
      </w:r>
    </w:p>
    <w:p w14:paraId="43570989" w14:textId="03A9C5E6" w:rsidR="007B087E" w:rsidRPr="002015A3" w:rsidRDefault="007B087E" w:rsidP="00EC3FE7">
      <w:pPr>
        <w:pStyle w:val="Normal-Numberedparagraphs"/>
      </w:pPr>
      <w:r>
        <w:t xml:space="preserve">The rules will require retailers to be responsible for providing consumer dashboards and all associated obligations relating to consumer dashboard management, including any withdrawal of authorisation by the CDR consumer. </w:t>
      </w:r>
    </w:p>
    <w:p w14:paraId="5050632A" w14:textId="1ACCBA06" w:rsidR="005F40EF" w:rsidRPr="003B0121" w:rsidRDefault="00862541" w:rsidP="005F40EF">
      <w:pPr>
        <w:pStyle w:val="Normal-Numberedparagraphs"/>
      </w:pPr>
      <w:r>
        <w:rPr>
          <w:rFonts w:ascii="Calibri" w:eastAsia="Calibri" w:hAnsi="Calibri" w:cs="Times New Roman"/>
        </w:rPr>
        <w:t xml:space="preserve">AEMO </w:t>
      </w:r>
      <w:r w:rsidR="00156F0D">
        <w:rPr>
          <w:rFonts w:ascii="Calibri" w:eastAsia="Calibri" w:hAnsi="Calibri" w:cs="Times New Roman"/>
        </w:rPr>
        <w:t>will</w:t>
      </w:r>
      <w:r>
        <w:rPr>
          <w:rFonts w:ascii="Calibri" w:eastAsia="Calibri" w:hAnsi="Calibri" w:cs="Times New Roman"/>
        </w:rPr>
        <w:t xml:space="preserve"> not </w:t>
      </w:r>
      <w:r w:rsidR="00156F0D">
        <w:rPr>
          <w:rFonts w:ascii="Calibri" w:eastAsia="Calibri" w:hAnsi="Calibri" w:cs="Times New Roman"/>
        </w:rPr>
        <w:t xml:space="preserve">be </w:t>
      </w:r>
      <w:r>
        <w:rPr>
          <w:rFonts w:ascii="Calibri" w:eastAsia="Calibri" w:hAnsi="Calibri" w:cs="Times New Roman"/>
        </w:rPr>
        <w:t>involved in the authorisation process</w:t>
      </w:r>
      <w:r w:rsidR="007B087E">
        <w:rPr>
          <w:rFonts w:ascii="Calibri" w:eastAsia="Calibri" w:hAnsi="Calibri" w:cs="Times New Roman"/>
        </w:rPr>
        <w:t>, including the provision of consumer dashboards</w:t>
      </w:r>
      <w:r w:rsidR="002015A3">
        <w:rPr>
          <w:rFonts w:ascii="Calibri" w:eastAsia="Calibri" w:hAnsi="Calibri" w:cs="Times New Roman"/>
        </w:rPr>
        <w:t>,</w:t>
      </w:r>
      <w:r w:rsidR="001A03E1">
        <w:rPr>
          <w:rFonts w:ascii="Calibri" w:eastAsia="Calibri" w:hAnsi="Calibri" w:cs="Times New Roman"/>
        </w:rPr>
        <w:t xml:space="preserve"> and </w:t>
      </w:r>
      <w:r w:rsidR="00156F0D">
        <w:rPr>
          <w:rFonts w:ascii="Calibri" w:eastAsia="Calibri" w:hAnsi="Calibri" w:cs="Times New Roman"/>
        </w:rPr>
        <w:t>will</w:t>
      </w:r>
      <w:r>
        <w:rPr>
          <w:rFonts w:ascii="Calibri" w:eastAsia="Calibri" w:hAnsi="Calibri" w:cs="Times New Roman"/>
        </w:rPr>
        <w:t xml:space="preserve"> not receive or hold any authorisation information</w:t>
      </w:r>
      <w:r w:rsidR="00D14396">
        <w:rPr>
          <w:rFonts w:ascii="Calibri" w:eastAsia="Calibri" w:hAnsi="Calibri" w:cs="Times New Roman"/>
        </w:rPr>
        <w:t>. Nor</w:t>
      </w:r>
      <w:r>
        <w:rPr>
          <w:rFonts w:ascii="Calibri" w:eastAsia="Calibri" w:hAnsi="Calibri" w:cs="Times New Roman"/>
        </w:rPr>
        <w:t xml:space="preserve"> </w:t>
      </w:r>
      <w:r w:rsidR="00156F0D">
        <w:rPr>
          <w:rFonts w:ascii="Calibri" w:eastAsia="Calibri" w:hAnsi="Calibri" w:cs="Times New Roman"/>
        </w:rPr>
        <w:t>will</w:t>
      </w:r>
      <w:r>
        <w:rPr>
          <w:rFonts w:ascii="Calibri" w:eastAsia="Calibri" w:hAnsi="Calibri" w:cs="Times New Roman"/>
        </w:rPr>
        <w:t xml:space="preserve"> </w:t>
      </w:r>
      <w:r w:rsidR="00D14396">
        <w:rPr>
          <w:rFonts w:ascii="Calibri" w:eastAsia="Calibri" w:hAnsi="Calibri" w:cs="Times New Roman"/>
        </w:rPr>
        <w:t>it</w:t>
      </w:r>
      <w:r>
        <w:rPr>
          <w:rFonts w:ascii="Calibri" w:eastAsia="Calibri" w:hAnsi="Calibri" w:cs="Times New Roman"/>
        </w:rPr>
        <w:t xml:space="preserve"> </w:t>
      </w:r>
      <w:r w:rsidR="00156F0D">
        <w:rPr>
          <w:rFonts w:ascii="Calibri" w:eastAsia="Calibri" w:hAnsi="Calibri" w:cs="Times New Roman"/>
        </w:rPr>
        <w:t xml:space="preserve">be </w:t>
      </w:r>
      <w:r>
        <w:rPr>
          <w:rFonts w:ascii="Calibri" w:eastAsia="Calibri" w:hAnsi="Calibri" w:cs="Times New Roman"/>
        </w:rPr>
        <w:t>required to verify that a valid authorisation is in place to disclose the requested CDR data to the retailer.</w:t>
      </w:r>
      <w:r w:rsidR="007B087E">
        <w:rPr>
          <w:rFonts w:ascii="Calibri" w:eastAsia="Calibri" w:hAnsi="Calibri" w:cs="Times New Roman"/>
        </w:rPr>
        <w:t xml:space="preserve"> </w:t>
      </w:r>
    </w:p>
    <w:p w14:paraId="0D30660C" w14:textId="653DD2D3" w:rsidR="00932269" w:rsidRPr="003B0121" w:rsidRDefault="00932269" w:rsidP="003B0121">
      <w:pPr>
        <w:pStyle w:val="Heading3"/>
      </w:pPr>
      <w:r w:rsidRPr="003B0121">
        <w:rPr>
          <w:color w:val="auto"/>
        </w:rPr>
        <w:t>Refusal to disclose required consumer data in response to consumer data request</w:t>
      </w:r>
    </w:p>
    <w:p w14:paraId="55E1B9BF" w14:textId="09B7AD9B" w:rsidR="00D34D53" w:rsidRDefault="00827EFA" w:rsidP="00D34D53">
      <w:pPr>
        <w:pStyle w:val="Normal-Numberedparagraphs"/>
      </w:pPr>
      <w:r>
        <w:t>A</w:t>
      </w:r>
      <w:r w:rsidR="00D35E7D">
        <w:t xml:space="preserve"> P2P model involves multiple data holders responding to a single consumer data request</w:t>
      </w:r>
      <w:r w:rsidR="00641986">
        <w:t xml:space="preserve"> for a single product</w:t>
      </w:r>
      <w:r w:rsidR="009E6AD6">
        <w:t>.</w:t>
      </w:r>
      <w:r w:rsidR="00D35E7D">
        <w:t xml:space="preserve"> </w:t>
      </w:r>
      <w:r w:rsidR="00721D05">
        <w:t>T</w:t>
      </w:r>
      <w:r w:rsidR="00641986">
        <w:t xml:space="preserve">he rules will </w:t>
      </w:r>
      <w:r w:rsidR="007A59D2">
        <w:t>specify</w:t>
      </w:r>
      <w:r w:rsidR="00641986">
        <w:t xml:space="preserve"> that i</w:t>
      </w:r>
      <w:r w:rsidR="00BB7A6C">
        <w:t>n circumstances where</w:t>
      </w:r>
      <w:r w:rsidR="00932269">
        <w:t xml:space="preserve"> the retailer has received a consumer data request for </w:t>
      </w:r>
      <w:r w:rsidR="00B74756">
        <w:t xml:space="preserve">both </w:t>
      </w:r>
      <w:r w:rsidR="00932269">
        <w:t>retailer and AEMO held data and has subsequently requested the relevant CDR data from</w:t>
      </w:r>
      <w:r w:rsidR="00BB7A6C">
        <w:t xml:space="preserve"> </w:t>
      </w:r>
      <w:r w:rsidR="00BB7A6C" w:rsidRPr="00D34D53">
        <w:t>AEMO</w:t>
      </w:r>
      <w:r w:rsidR="00932269">
        <w:t>, and AEMO</w:t>
      </w:r>
      <w:r w:rsidR="00BB7A6C" w:rsidRPr="00D34D53">
        <w:t xml:space="preserve"> has not disclosed the</w:t>
      </w:r>
      <w:r w:rsidR="00DA5034">
        <w:t xml:space="preserve"> relevant</w:t>
      </w:r>
      <w:r w:rsidR="00BB7A6C" w:rsidRPr="00D34D53">
        <w:t xml:space="preserve"> CDR data it holds </w:t>
      </w:r>
      <w:r w:rsidR="00932269">
        <w:t>in response to the request from the retailer</w:t>
      </w:r>
      <w:r w:rsidR="00DA5034">
        <w:t>,</w:t>
      </w:r>
      <w:r w:rsidR="00BB7A6C" w:rsidRPr="00D34D53">
        <w:t xml:space="preserve"> </w:t>
      </w:r>
      <w:r w:rsidR="00BB7A6C">
        <w:t>t</w:t>
      </w:r>
      <w:r w:rsidR="00D34D53" w:rsidRPr="00D34D53">
        <w:t xml:space="preserve">he </w:t>
      </w:r>
      <w:r w:rsidR="00BB7A6C">
        <w:t>retailer</w:t>
      </w:r>
      <w:r w:rsidR="00D34D53" w:rsidRPr="00D34D53">
        <w:t xml:space="preserve"> </w:t>
      </w:r>
      <w:r w:rsidR="00BB7A6C">
        <w:t>will</w:t>
      </w:r>
      <w:r w:rsidR="00E20E75">
        <w:t xml:space="preserve"> only</w:t>
      </w:r>
      <w:r w:rsidR="00D34D53" w:rsidRPr="00D34D53">
        <w:t xml:space="preserve"> </w:t>
      </w:r>
      <w:r w:rsidR="00BB7A6C">
        <w:t xml:space="preserve">be </w:t>
      </w:r>
      <w:r w:rsidR="00D34D53" w:rsidRPr="00D34D53">
        <w:t>required to disclose the CDR data that it holds</w:t>
      </w:r>
      <w:r w:rsidR="00932269">
        <w:t xml:space="preserve"> in response to the consumer data request</w:t>
      </w:r>
      <w:r w:rsidR="00D34D53" w:rsidRPr="00D34D53">
        <w:t>.</w:t>
      </w:r>
    </w:p>
    <w:p w14:paraId="197567A8" w14:textId="64005C0A" w:rsidR="007B087E" w:rsidRDefault="007B087E" w:rsidP="007B087E">
      <w:pPr>
        <w:pStyle w:val="Normal-Numberedparagraphs"/>
      </w:pPr>
      <w:r>
        <w:t xml:space="preserve">As AEMO will not be interacting with CDR consumers or accredited persons, the rules will specify </w:t>
      </w:r>
      <w:r w:rsidRPr="00607A7A">
        <w:t xml:space="preserve">that </w:t>
      </w:r>
      <w:r>
        <w:t xml:space="preserve">in circumstances where the retailer </w:t>
      </w:r>
      <w:r w:rsidRPr="00607A7A">
        <w:t>has refused to ask</w:t>
      </w:r>
      <w:r>
        <w:t xml:space="preserve"> a CDR consumer</w:t>
      </w:r>
      <w:r w:rsidRPr="00607A7A">
        <w:t xml:space="preserve"> for </w:t>
      </w:r>
      <w:r>
        <w:t xml:space="preserve">an </w:t>
      </w:r>
      <w:r w:rsidRPr="00607A7A">
        <w:t xml:space="preserve">authorisation or refused to disclose consumer data in response to a consumer data request for any of the reasons </w:t>
      </w:r>
      <w:r>
        <w:t>listed in</w:t>
      </w:r>
      <w:r w:rsidRPr="00607A7A">
        <w:t xml:space="preserve"> </w:t>
      </w:r>
      <w:r>
        <w:t xml:space="preserve">current </w:t>
      </w:r>
      <w:r w:rsidRPr="00607A7A">
        <w:t>rule 4.7, th</w:t>
      </w:r>
      <w:r>
        <w:t>e consequence of such a</w:t>
      </w:r>
      <w:r w:rsidRPr="00607A7A">
        <w:t xml:space="preserve"> refusal will be </w:t>
      </w:r>
      <w:r>
        <w:t xml:space="preserve">that AEMO will not receive a request for CDR data from the retailer. </w:t>
      </w:r>
    </w:p>
    <w:p w14:paraId="6367C4AD" w14:textId="0BA47F1C" w:rsidR="00656CB9" w:rsidRPr="00C767E3" w:rsidRDefault="00656CB9" w:rsidP="00656CB9">
      <w:pPr>
        <w:pStyle w:val="Heading3"/>
        <w:rPr>
          <w:color w:val="auto"/>
        </w:rPr>
      </w:pPr>
      <w:r w:rsidRPr="00C767E3">
        <w:rPr>
          <w:color w:val="auto"/>
        </w:rPr>
        <w:t>Record keeping and reporting</w:t>
      </w:r>
    </w:p>
    <w:p w14:paraId="27FAABDC" w14:textId="4588343E" w:rsidR="00EF0029" w:rsidRDefault="00AE5C14" w:rsidP="00962667">
      <w:pPr>
        <w:pStyle w:val="Normal-Numberedparagraphs"/>
      </w:pPr>
      <w:r>
        <w:t>T</w:t>
      </w:r>
      <w:r w:rsidR="00451831">
        <w:t xml:space="preserve">he rules will </w:t>
      </w:r>
      <w:r w:rsidR="000B596D">
        <w:t>require</w:t>
      </w:r>
      <w:r w:rsidR="00451831">
        <w:t xml:space="preserve"> </w:t>
      </w:r>
      <w:r w:rsidR="00EF0029">
        <w:t>retailer</w:t>
      </w:r>
      <w:r w:rsidR="00962667">
        <w:t>s</w:t>
      </w:r>
      <w:r w:rsidR="00EF0029">
        <w:t xml:space="preserve"> </w:t>
      </w:r>
      <w:r w:rsidR="000B596D">
        <w:t>to</w:t>
      </w:r>
      <w:r>
        <w:t xml:space="preserve"> </w:t>
      </w:r>
      <w:r w:rsidR="00EF0029">
        <w:t xml:space="preserve">keep and maintain records for all existing matters contained in rule 9.3(1). </w:t>
      </w:r>
      <w:r w:rsidR="00962667">
        <w:t>Additionally</w:t>
      </w:r>
      <w:r w:rsidR="00D61697">
        <w:t>,</w:t>
      </w:r>
      <w:r w:rsidR="00962667">
        <w:t xml:space="preserve"> r</w:t>
      </w:r>
      <w:r w:rsidR="00EF0029">
        <w:t xml:space="preserve">etailers </w:t>
      </w:r>
      <w:r w:rsidR="00156F0D">
        <w:t>will</w:t>
      </w:r>
      <w:r w:rsidR="00EF0029">
        <w:t xml:space="preserve"> be required to keep and maintain records that relate to request</w:t>
      </w:r>
      <w:r w:rsidR="00CB57A8">
        <w:t>s</w:t>
      </w:r>
      <w:r w:rsidR="00EF0029">
        <w:t xml:space="preserve"> for CDR data they make to AEMO and relating to the responses they receive in response to any such request. AEMO </w:t>
      </w:r>
      <w:r w:rsidR="00962667">
        <w:t>will</w:t>
      </w:r>
      <w:r w:rsidR="00EF0029">
        <w:t xml:space="preserve"> similarly be required to keep and maintain records regarding the requests made by a retailer for CDR data and any disclosures made</w:t>
      </w:r>
      <w:r w:rsidR="00962667">
        <w:t>, or not made,</w:t>
      </w:r>
      <w:r w:rsidR="00EF0029">
        <w:t xml:space="preserve"> in response to</w:t>
      </w:r>
      <w:r w:rsidR="00C96574">
        <w:t xml:space="preserve"> any</w:t>
      </w:r>
      <w:r w:rsidR="00EF0029">
        <w:t xml:space="preserve"> such request.</w:t>
      </w:r>
    </w:p>
    <w:p w14:paraId="2224C8B6" w14:textId="1279D215" w:rsidR="00084584" w:rsidRPr="00F84481" w:rsidRDefault="00CB1A77" w:rsidP="00084584">
      <w:pPr>
        <w:pStyle w:val="Normal-Numberedparagraphs"/>
      </w:pPr>
      <w:r>
        <w:rPr>
          <w:rFonts w:ascii="Calibri" w:eastAsia="Calibri" w:hAnsi="Calibri" w:cs="Times New Roman"/>
        </w:rPr>
        <w:t>R</w:t>
      </w:r>
      <w:r w:rsidR="00156F0D">
        <w:rPr>
          <w:rFonts w:ascii="Calibri" w:eastAsia="Calibri" w:hAnsi="Calibri" w:cs="Times New Roman"/>
        </w:rPr>
        <w:t>eporting requirements under the rules</w:t>
      </w:r>
      <w:r w:rsidR="00147F9E">
        <w:rPr>
          <w:rFonts w:ascii="Calibri" w:eastAsia="Calibri" w:hAnsi="Calibri" w:cs="Times New Roman"/>
        </w:rPr>
        <w:t xml:space="preserve"> </w:t>
      </w:r>
      <w:r w:rsidR="008A23AF">
        <w:rPr>
          <w:rFonts w:ascii="Calibri" w:eastAsia="Calibri" w:hAnsi="Calibri" w:cs="Times New Roman"/>
        </w:rPr>
        <w:t xml:space="preserve">will </w:t>
      </w:r>
      <w:r w:rsidR="00147F9E">
        <w:rPr>
          <w:rFonts w:ascii="Calibri" w:eastAsia="Calibri" w:hAnsi="Calibri" w:cs="Times New Roman"/>
        </w:rPr>
        <w:t xml:space="preserve">reflect </w:t>
      </w:r>
      <w:r w:rsidR="00156F0D">
        <w:rPr>
          <w:rFonts w:ascii="Calibri" w:eastAsia="Calibri" w:hAnsi="Calibri" w:cs="Times New Roman"/>
        </w:rPr>
        <w:t>any</w:t>
      </w:r>
      <w:r w:rsidR="00147F9E">
        <w:rPr>
          <w:rFonts w:ascii="Calibri" w:eastAsia="Calibri" w:hAnsi="Calibri" w:cs="Times New Roman"/>
        </w:rPr>
        <w:t xml:space="preserve"> amendments made to </w:t>
      </w:r>
      <w:r w:rsidR="00156F0D">
        <w:rPr>
          <w:rFonts w:ascii="Calibri" w:eastAsia="Calibri" w:hAnsi="Calibri" w:cs="Times New Roman"/>
        </w:rPr>
        <w:t>record keeping obligations</w:t>
      </w:r>
      <w:r w:rsidR="007761B5">
        <w:rPr>
          <w:rFonts w:ascii="Calibri" w:eastAsia="Calibri" w:hAnsi="Calibri" w:cs="Times New Roman"/>
        </w:rPr>
        <w:t>. This includes reporting requirements for AEMO</w:t>
      </w:r>
      <w:r w:rsidR="00DA5034">
        <w:rPr>
          <w:rFonts w:ascii="Calibri" w:eastAsia="Calibri" w:hAnsi="Calibri" w:cs="Times New Roman"/>
        </w:rPr>
        <w:t xml:space="preserve"> </w:t>
      </w:r>
      <w:r w:rsidR="007761B5">
        <w:rPr>
          <w:rFonts w:ascii="Calibri" w:eastAsia="Calibri" w:hAnsi="Calibri" w:cs="Times New Roman"/>
        </w:rPr>
        <w:t>relating to requests from retailers to, and responses from, AEMO for CDR data that it holds</w:t>
      </w:r>
      <w:r w:rsidR="00156F0D">
        <w:rPr>
          <w:rFonts w:ascii="Calibri" w:eastAsia="Calibri" w:hAnsi="Calibri" w:cs="Times New Roman"/>
        </w:rPr>
        <w:t>.</w:t>
      </w:r>
      <w:r w:rsidR="007761B5">
        <w:rPr>
          <w:rFonts w:ascii="Calibri" w:eastAsia="Calibri" w:hAnsi="Calibri" w:cs="Times New Roman"/>
        </w:rPr>
        <w:t xml:space="preserve"> </w:t>
      </w:r>
    </w:p>
    <w:p w14:paraId="0B4E18FC" w14:textId="790CF779" w:rsidR="00F67B03" w:rsidRPr="00C767E3" w:rsidRDefault="00514203" w:rsidP="00F67B03">
      <w:pPr>
        <w:pStyle w:val="Heading3"/>
        <w:rPr>
          <w:color w:val="auto"/>
        </w:rPr>
      </w:pPr>
      <w:r>
        <w:rPr>
          <w:color w:val="auto"/>
        </w:rPr>
        <w:t xml:space="preserve">AEMO – Internal and </w:t>
      </w:r>
      <w:r w:rsidR="009D7C65">
        <w:rPr>
          <w:color w:val="auto"/>
        </w:rPr>
        <w:t>e</w:t>
      </w:r>
      <w:r>
        <w:rPr>
          <w:color w:val="auto"/>
        </w:rPr>
        <w:t>xternal d</w:t>
      </w:r>
      <w:r w:rsidR="00F67B03" w:rsidRPr="00C767E3">
        <w:rPr>
          <w:color w:val="auto"/>
        </w:rPr>
        <w:t>ispute resolution</w:t>
      </w:r>
      <w:r w:rsidR="0099666D">
        <w:rPr>
          <w:color w:val="auto"/>
        </w:rPr>
        <w:t xml:space="preserve"> </w:t>
      </w:r>
      <w:r>
        <w:rPr>
          <w:color w:val="auto"/>
        </w:rPr>
        <w:t>requirements</w:t>
      </w:r>
    </w:p>
    <w:p w14:paraId="20DE4F65" w14:textId="50825578" w:rsidR="007274E2" w:rsidRDefault="00962667" w:rsidP="00EC3FE7">
      <w:pPr>
        <w:pStyle w:val="Normal-Numberedparagraphs"/>
      </w:pPr>
      <w:r>
        <w:t xml:space="preserve">As outlined at paragraph </w:t>
      </w:r>
      <w:r>
        <w:fldChar w:fldCharType="begin"/>
      </w:r>
      <w:r>
        <w:instrText xml:space="preserve"> REF _Ref69223980 \r \h </w:instrText>
      </w:r>
      <w:r>
        <w:fldChar w:fldCharType="separate"/>
      </w:r>
      <w:r w:rsidR="0025041F">
        <w:t>15</w:t>
      </w:r>
      <w:r>
        <w:fldChar w:fldCharType="end"/>
      </w:r>
      <w:r w:rsidR="008A23AF">
        <w:t>,</w:t>
      </w:r>
      <w:r>
        <w:t xml:space="preserve"> AEMO will not be interacting with CDR consumers or accredited persons</w:t>
      </w:r>
      <w:r w:rsidR="00514203">
        <w:t xml:space="preserve">, nor will AEMO be able to </w:t>
      </w:r>
      <w:r w:rsidR="009709D2">
        <w:t>determine</w:t>
      </w:r>
      <w:r w:rsidR="00514203">
        <w:t xml:space="preserve"> the identity of a CDR consumer using the data they hold</w:t>
      </w:r>
      <w:r>
        <w:t xml:space="preserve">. </w:t>
      </w:r>
      <w:r w:rsidR="00CB1A77">
        <w:t>T</w:t>
      </w:r>
      <w:r w:rsidR="00AB16A3">
        <w:t>he rules will reflect that due to the unique nature of</w:t>
      </w:r>
      <w:r>
        <w:t xml:space="preserve"> AEMO</w:t>
      </w:r>
      <w:r w:rsidR="00AB16A3">
        <w:t xml:space="preserve">’s role in </w:t>
      </w:r>
      <w:r w:rsidR="00CC2DF9">
        <w:t xml:space="preserve">the energy sector and </w:t>
      </w:r>
      <w:r w:rsidR="00AB16A3">
        <w:t>CDR, AEMO will not be</w:t>
      </w:r>
      <w:r>
        <w:t xml:space="preserve"> </w:t>
      </w:r>
      <w:r w:rsidR="00AB16A3">
        <w:t>subject to the existing</w:t>
      </w:r>
      <w:r>
        <w:t xml:space="preserve"> dispute resolution </w:t>
      </w:r>
      <w:r w:rsidR="00C96574">
        <w:t>requirements</w:t>
      </w:r>
      <w:r w:rsidR="00AB16A3">
        <w:t xml:space="preserve"> for data holders</w:t>
      </w:r>
      <w:r>
        <w:t xml:space="preserve">. </w:t>
      </w:r>
      <w:r w:rsidR="00CB1A77">
        <w:t>T</w:t>
      </w:r>
      <w:r w:rsidR="00CB57A8">
        <w:t>he rules will reflect that a retailer may request relevant information from AEMO in relation to a consumer complaint or dispute that relates to a consumer data request that involves AEMO</w:t>
      </w:r>
      <w:r w:rsidR="007A59D2">
        <w:t xml:space="preserve"> held data</w:t>
      </w:r>
      <w:r w:rsidR="00CB57A8">
        <w:t>, and that AEMO must provide the relevant information, to the extent that it is reasonable to do so.</w:t>
      </w:r>
    </w:p>
    <w:p w14:paraId="3BC3092C" w14:textId="07028718" w:rsidR="00F67B03" w:rsidRPr="00C767E3" w:rsidRDefault="00F67B03" w:rsidP="00F67B03">
      <w:pPr>
        <w:pStyle w:val="Heading3"/>
        <w:rPr>
          <w:color w:val="auto"/>
        </w:rPr>
      </w:pPr>
      <w:r w:rsidRPr="00C767E3">
        <w:rPr>
          <w:color w:val="auto"/>
        </w:rPr>
        <w:t>Privacy safeguards</w:t>
      </w:r>
    </w:p>
    <w:p w14:paraId="45E6FFB9" w14:textId="07E726EE" w:rsidR="00384BD7" w:rsidRDefault="00CB1A77" w:rsidP="00D30D35">
      <w:pPr>
        <w:pStyle w:val="Normal-Numberedparagraphs"/>
      </w:pPr>
      <w:r>
        <w:t>T</w:t>
      </w:r>
      <w:r w:rsidR="001A3DD5">
        <w:t xml:space="preserve">he </w:t>
      </w:r>
      <w:r w:rsidR="00C94BD1">
        <w:t xml:space="preserve">CDR </w:t>
      </w:r>
      <w:r w:rsidR="001A3DD5">
        <w:t>privacy safeguards are integral to the privacy and control CDR provides to consumers</w:t>
      </w:r>
      <w:r w:rsidR="00C94BD1">
        <w:t xml:space="preserve"> and impose obligations on data holders and accredited persons</w:t>
      </w:r>
      <w:r w:rsidR="001A3DD5">
        <w:t xml:space="preserve">. </w:t>
      </w:r>
    </w:p>
    <w:p w14:paraId="3A17A6F3" w14:textId="64E49C66" w:rsidR="00BA740D" w:rsidRDefault="00384BD7" w:rsidP="00D30D35">
      <w:pPr>
        <w:pStyle w:val="Normal-Numberedparagraphs"/>
      </w:pPr>
      <w:r>
        <w:t xml:space="preserve">Data holders are currently subject to obligations under the privacy safeguards in relation to CDR data for which there is a CDR consumer. As outlined in paragraph </w:t>
      </w:r>
      <w:r w:rsidR="008D57C6">
        <w:fldChar w:fldCharType="begin"/>
      </w:r>
      <w:r w:rsidR="008D57C6">
        <w:instrText xml:space="preserve"> REF _Ref69223980 \r \h </w:instrText>
      </w:r>
      <w:r w:rsidR="008D57C6">
        <w:fldChar w:fldCharType="separate"/>
      </w:r>
      <w:r w:rsidR="0025041F">
        <w:t>15</w:t>
      </w:r>
      <w:r w:rsidR="008D57C6">
        <w:fldChar w:fldCharType="end"/>
      </w:r>
      <w:r>
        <w:t xml:space="preserve">, AEMO is unable to </w:t>
      </w:r>
      <w:r w:rsidR="009709D2">
        <w:t>identify</w:t>
      </w:r>
      <w:r>
        <w:t xml:space="preserve"> CDR consumers from the data that it holds. </w:t>
      </w:r>
      <w:r w:rsidR="00C94BD1">
        <w:t>Given this, regulations will be developed, for the purposes of</w:t>
      </w:r>
      <w:r w:rsidR="00CB57A8">
        <w:t xml:space="preserve"> </w:t>
      </w:r>
      <w:r w:rsidR="003A25C8">
        <w:t>s</w:t>
      </w:r>
      <w:r w:rsidR="00AA63D2">
        <w:t>ection</w:t>
      </w:r>
      <w:r w:rsidR="003A25C8">
        <w:t xml:space="preserve"> </w:t>
      </w:r>
      <w:r w:rsidR="00550542">
        <w:t>56GE</w:t>
      </w:r>
      <w:r w:rsidR="003A25C8">
        <w:t xml:space="preserve"> </w:t>
      </w:r>
      <w:r w:rsidR="008B4495">
        <w:t xml:space="preserve">of </w:t>
      </w:r>
      <w:r w:rsidR="00C94BD1">
        <w:t xml:space="preserve">the </w:t>
      </w:r>
      <w:r w:rsidR="00C94BD1" w:rsidRPr="00AA63D2">
        <w:rPr>
          <w:i/>
          <w:iCs/>
        </w:rPr>
        <w:t>C</w:t>
      </w:r>
      <w:r w:rsidR="00AA63D2" w:rsidRPr="00AA63D2">
        <w:rPr>
          <w:i/>
          <w:iCs/>
        </w:rPr>
        <w:t>ompetition and Consumer Act 2010</w:t>
      </w:r>
      <w:r w:rsidR="00C94BD1">
        <w:t>, that will</w:t>
      </w:r>
      <w:r w:rsidR="00C67928">
        <w:t xml:space="preserve"> apply the relevant data holder privacy safeguard obligations to retailers</w:t>
      </w:r>
      <w:r>
        <w:t>, as the consumer facing entity in energy,</w:t>
      </w:r>
      <w:r w:rsidR="00CB57A8">
        <w:t xml:space="preserve"> </w:t>
      </w:r>
      <w:r w:rsidR="004E533D">
        <w:t>for CDR data provided to the retailer by AEMO</w:t>
      </w:r>
      <w:r w:rsidR="008B4495">
        <w:t>. These safeguards will apply to AEMO held data</w:t>
      </w:r>
      <w:r w:rsidR="004E533D">
        <w:t xml:space="preserve"> from the point the retailer receives the data from AEMO</w:t>
      </w:r>
      <w:r w:rsidR="00DA4BCD">
        <w:t xml:space="preserve">. </w:t>
      </w:r>
      <w:r w:rsidR="002564FD">
        <w:t xml:space="preserve">For example, after responding to a consumer data request that involves AEMO held data, retailers will be required to notify the CDR consumer of the disclosure of AEMO held CDR data, in addition to notifying the CDR consumer of the disclosure of CDR data that the retailer holds. </w:t>
      </w:r>
    </w:p>
    <w:p w14:paraId="575A637A" w14:textId="26FDAF3A" w:rsidR="004E533D" w:rsidRDefault="003020E7" w:rsidP="00D30D35">
      <w:pPr>
        <w:pStyle w:val="Normal-Numberedparagraphs"/>
      </w:pPr>
      <w:r>
        <w:t>A privacy impact assessment that includes a P2P model in energy</w:t>
      </w:r>
      <w:r w:rsidR="00453FE0">
        <w:t>, alongside a number of other issues</w:t>
      </w:r>
      <w:r w:rsidR="00453FE0" w:rsidDel="002564FD">
        <w:t xml:space="preserve"> </w:t>
      </w:r>
      <w:r w:rsidR="00453FE0">
        <w:t xml:space="preserve">will be </w:t>
      </w:r>
      <w:r>
        <w:t xml:space="preserve">conducted as part of the </w:t>
      </w:r>
      <w:r w:rsidR="00453FE0">
        <w:t xml:space="preserve">CDR </w:t>
      </w:r>
      <w:r>
        <w:t>rule making process.</w:t>
      </w:r>
    </w:p>
    <w:p w14:paraId="71C4F19B" w14:textId="5173CF07" w:rsidR="00F01C1A" w:rsidRPr="007347F2" w:rsidRDefault="00F01C1A" w:rsidP="007347F2">
      <w:pPr>
        <w:pStyle w:val="Heading2"/>
        <w:numPr>
          <w:ilvl w:val="1"/>
          <w:numId w:val="7"/>
        </w:numPr>
        <w:tabs>
          <w:tab w:val="num" w:pos="1560"/>
        </w:tabs>
        <w:ind w:left="426" w:hanging="426"/>
        <w:contextualSpacing/>
        <w:rPr>
          <w:color w:val="2E74B5" w:themeColor="accent1" w:themeShade="BF"/>
        </w:rPr>
      </w:pPr>
      <w:bookmarkStart w:id="9" w:name="_Ref69483265"/>
      <w:bookmarkStart w:id="10" w:name="_Ref70078895"/>
      <w:r w:rsidRPr="007347F2">
        <w:rPr>
          <w:color w:val="2E74B5" w:themeColor="accent1" w:themeShade="BF"/>
        </w:rPr>
        <w:t xml:space="preserve">Standards </w:t>
      </w:r>
      <w:r w:rsidR="0009590D">
        <w:rPr>
          <w:color w:val="2E74B5" w:themeColor="accent1" w:themeShade="BF"/>
        </w:rPr>
        <w:t>c</w:t>
      </w:r>
      <w:r w:rsidRPr="007347F2">
        <w:rPr>
          <w:color w:val="2E74B5" w:themeColor="accent1" w:themeShade="BF"/>
        </w:rPr>
        <w:t>onsiderations</w:t>
      </w:r>
      <w:bookmarkEnd w:id="9"/>
      <w:bookmarkEnd w:id="10"/>
    </w:p>
    <w:p w14:paraId="35DC1D98" w14:textId="575AC14C" w:rsidR="00DF0BBE" w:rsidRDefault="00DF0BBE" w:rsidP="00DF0BBE">
      <w:pPr>
        <w:pStyle w:val="Normal-Numberedparagraphs"/>
      </w:pPr>
      <w:r>
        <w:t xml:space="preserve">With the exception of consultation on the account selection standards and the creation of data language standards for electricity data, </w:t>
      </w:r>
      <w:r w:rsidR="004A0EED">
        <w:t>we do not anticipate</w:t>
      </w:r>
      <w:r>
        <w:t xml:space="preserve"> consumer experience data standards changes to support </w:t>
      </w:r>
      <w:r w:rsidR="00415BB7">
        <w:t>a</w:t>
      </w:r>
      <w:r>
        <w:t xml:space="preserve"> P2P model.</w:t>
      </w:r>
      <w:r w:rsidR="00FD013D">
        <w:rPr>
          <w:rStyle w:val="FootnoteReference"/>
        </w:rPr>
        <w:footnoteReference w:id="3"/>
      </w:r>
    </w:p>
    <w:p w14:paraId="58680E7C" w14:textId="67B653D8" w:rsidR="00DF0BBE" w:rsidRDefault="00DF0BBE" w:rsidP="00DF0BBE">
      <w:pPr>
        <w:pStyle w:val="Normal-Numberedparagraphs"/>
      </w:pPr>
      <w:r>
        <w:t>In relation to technical standards</w:t>
      </w:r>
      <w:r w:rsidR="008F3F8B">
        <w:t>,</w:t>
      </w:r>
      <w:r>
        <w:t xml:space="preserve"> the existing </w:t>
      </w:r>
      <w:r w:rsidR="0062485E">
        <w:t>i</w:t>
      </w:r>
      <w:r>
        <w:t xml:space="preserve">nformation </w:t>
      </w:r>
      <w:r w:rsidR="0062485E">
        <w:t>s</w:t>
      </w:r>
      <w:r>
        <w:t xml:space="preserve">ecurity profile, </w:t>
      </w:r>
      <w:r w:rsidR="00F8039F">
        <w:t xml:space="preserve">CDR </w:t>
      </w:r>
      <w:r>
        <w:t xml:space="preserve">Register standards and </w:t>
      </w:r>
      <w:r w:rsidR="0062485E">
        <w:t>h</w:t>
      </w:r>
      <w:r>
        <w:t>igh</w:t>
      </w:r>
      <w:r w:rsidR="00D3717A">
        <w:t>-</w:t>
      </w:r>
      <w:r w:rsidR="0062485E">
        <w:t>l</w:t>
      </w:r>
      <w:r>
        <w:t xml:space="preserve">evel standards will not need to be altered to accommodate </w:t>
      </w:r>
      <w:r w:rsidR="00415BB7">
        <w:t>a</w:t>
      </w:r>
      <w:r>
        <w:t xml:space="preserve"> P2P model. </w:t>
      </w:r>
      <w:r w:rsidR="0011026D">
        <w:t xml:space="preserve">However, the </w:t>
      </w:r>
      <w:r>
        <w:t>expected technical standards</w:t>
      </w:r>
      <w:r w:rsidR="0011026D">
        <w:t xml:space="preserve"> </w:t>
      </w:r>
      <w:r>
        <w:t>changes are:</w:t>
      </w:r>
    </w:p>
    <w:p w14:paraId="2B0082B7" w14:textId="77F29965" w:rsidR="00DF0BBE" w:rsidRDefault="00415BB7" w:rsidP="00DF0BBE">
      <w:pPr>
        <w:pStyle w:val="Normal-Numberedparagraphs"/>
        <w:numPr>
          <w:ilvl w:val="1"/>
          <w:numId w:val="2"/>
        </w:numPr>
      </w:pPr>
      <w:r>
        <w:t>a</w:t>
      </w:r>
      <w:r w:rsidR="00DF0BBE">
        <w:t xml:space="preserve"> new information security profile to cover the communication between </w:t>
      </w:r>
      <w:r w:rsidR="008F3F8B">
        <w:t>r</w:t>
      </w:r>
      <w:r w:rsidR="00DF0BBE">
        <w:t xml:space="preserve">etailers and AEMO will be consulted on and defined. </w:t>
      </w:r>
      <w:r w:rsidR="004A0EED">
        <w:t>We initially intend</w:t>
      </w:r>
      <w:r w:rsidR="00DF0BBE">
        <w:t xml:space="preserve"> that this security profile would be based on a B2B model and will, as far as possible, leverage existing mechanisms offered by AEMO to third parties</w:t>
      </w:r>
      <w:r w:rsidR="00DC5D38">
        <w:t>;</w:t>
      </w:r>
    </w:p>
    <w:p w14:paraId="4DA36DE3" w14:textId="72DEAF2B" w:rsidR="00DF0BBE" w:rsidRDefault="00415BB7" w:rsidP="00DF0BBE">
      <w:pPr>
        <w:pStyle w:val="Normal-Numberedparagraphs"/>
        <w:numPr>
          <w:ilvl w:val="1"/>
          <w:numId w:val="2"/>
        </w:numPr>
      </w:pPr>
      <w:r>
        <w:t>t</w:t>
      </w:r>
      <w:r w:rsidR="00DF0BBE">
        <w:t xml:space="preserve">echnical standards defining the endpoints that AEMO will expose to </w:t>
      </w:r>
      <w:r w:rsidR="00614956">
        <w:t>r</w:t>
      </w:r>
      <w:r w:rsidR="00DF0BBE">
        <w:t>etailers</w:t>
      </w:r>
      <w:r w:rsidR="00DC5D38">
        <w:t>;</w:t>
      </w:r>
    </w:p>
    <w:p w14:paraId="11BB7B47" w14:textId="7D6BC00E" w:rsidR="00DF0BBE" w:rsidRDefault="00415BB7" w:rsidP="00DF0BBE">
      <w:pPr>
        <w:pStyle w:val="Normal-Numberedparagraphs"/>
        <w:numPr>
          <w:ilvl w:val="1"/>
          <w:numId w:val="2"/>
        </w:numPr>
      </w:pPr>
      <w:r>
        <w:t>m</w:t>
      </w:r>
      <w:r w:rsidR="00DF0BBE">
        <w:t>odifications to non-functional requirements</w:t>
      </w:r>
      <w:r w:rsidR="00315360">
        <w:rPr>
          <w:rStyle w:val="FootnoteReference"/>
        </w:rPr>
        <w:footnoteReference w:id="4"/>
      </w:r>
      <w:r w:rsidR="00DF0BBE">
        <w:t xml:space="preserve"> to clarif</w:t>
      </w:r>
      <w:r w:rsidR="00614956">
        <w:t>y</w:t>
      </w:r>
      <w:r w:rsidR="00DF0BBE">
        <w:t xml:space="preserve"> the separate obligations of </w:t>
      </w:r>
      <w:r w:rsidR="00614956">
        <w:t>r</w:t>
      </w:r>
      <w:r w:rsidR="00DF0BBE">
        <w:t>etailers and AEMO in responding to CDR data requests for data clusters for which AEMO is the designated data holder</w:t>
      </w:r>
      <w:r w:rsidR="00DC5D38">
        <w:t>;</w:t>
      </w:r>
      <w:r>
        <w:t xml:space="preserve"> and</w:t>
      </w:r>
    </w:p>
    <w:p w14:paraId="60751627" w14:textId="08DC29A1" w:rsidR="00DF0BBE" w:rsidRDefault="00415BB7" w:rsidP="00DF0BBE">
      <w:pPr>
        <w:pStyle w:val="Normal-Numberedparagraphs"/>
        <w:numPr>
          <w:ilvl w:val="1"/>
          <w:numId w:val="2"/>
        </w:numPr>
      </w:pPr>
      <w:r>
        <w:t>m</w:t>
      </w:r>
      <w:r w:rsidR="00DF0BBE">
        <w:t>odifications to the metrics reporting mechanisms</w:t>
      </w:r>
      <w:r w:rsidR="00315360">
        <w:rPr>
          <w:rStyle w:val="FootnoteReference"/>
        </w:rPr>
        <w:footnoteReference w:id="5"/>
      </w:r>
      <w:r w:rsidR="00DF0BBE">
        <w:t xml:space="preserve"> to accommodate the reporting of metrics by AEMO</w:t>
      </w:r>
      <w:r>
        <w:t>.</w:t>
      </w:r>
    </w:p>
    <w:p w14:paraId="3EA54BA3" w14:textId="32552BDE" w:rsidR="00086B41" w:rsidRPr="007A4243" w:rsidRDefault="00DF0BBE" w:rsidP="00086B41">
      <w:pPr>
        <w:pStyle w:val="Normal-Numberedparagraphs"/>
      </w:pPr>
      <w:r>
        <w:t xml:space="preserve">Some changes to the </w:t>
      </w:r>
      <w:r w:rsidR="00F8039F">
        <w:t xml:space="preserve">CDR </w:t>
      </w:r>
      <w:r>
        <w:t xml:space="preserve">Register standards may be required to accommodate additional meta data for both data recipients and data holders to identify sectoral support. </w:t>
      </w:r>
      <w:r w:rsidR="00427992">
        <w:t xml:space="preserve">Specifically, this relates to a data holder </w:t>
      </w:r>
      <w:r w:rsidR="009E3EDA">
        <w:t>nominating</w:t>
      </w:r>
      <w:r w:rsidR="00427992">
        <w:t xml:space="preserve"> the sectors they support so that ADRs know which data holders to represent to a customer in the consent process.</w:t>
      </w:r>
      <w:r>
        <w:t xml:space="preserve"> This is not </w:t>
      </w:r>
      <w:r w:rsidR="00427992">
        <w:t xml:space="preserve">strictly </w:t>
      </w:r>
      <w:r>
        <w:t>a requirement of the P2P model</w:t>
      </w:r>
      <w:r w:rsidR="001610DE">
        <w:t>,</w:t>
      </w:r>
      <w:r>
        <w:t xml:space="preserve"> but is a potential standards change nonetheless.</w:t>
      </w:r>
      <w:r w:rsidR="00D91628" w:rsidDel="00D91628">
        <w:t xml:space="preserve"> </w:t>
      </w:r>
    </w:p>
    <w:p w14:paraId="25F2C4DC" w14:textId="35E32085" w:rsidR="00F01C1A" w:rsidRPr="007347F2" w:rsidRDefault="00F01C1A" w:rsidP="00D91628">
      <w:pPr>
        <w:pStyle w:val="Heading2"/>
        <w:numPr>
          <w:ilvl w:val="1"/>
          <w:numId w:val="7"/>
        </w:numPr>
        <w:tabs>
          <w:tab w:val="num" w:pos="1560"/>
        </w:tabs>
        <w:ind w:left="426" w:hanging="426"/>
        <w:contextualSpacing/>
        <w:rPr>
          <w:color w:val="2E74B5" w:themeColor="accent1" w:themeShade="BF"/>
        </w:rPr>
      </w:pPr>
      <w:bookmarkStart w:id="11" w:name="_Ref70082025"/>
      <w:r w:rsidRPr="007347F2">
        <w:rPr>
          <w:color w:val="2E74B5" w:themeColor="accent1" w:themeShade="BF"/>
        </w:rPr>
        <w:t xml:space="preserve">Implementation </w:t>
      </w:r>
      <w:r w:rsidR="0009590D">
        <w:rPr>
          <w:color w:val="2E74B5" w:themeColor="accent1" w:themeShade="BF"/>
        </w:rPr>
        <w:t>c</w:t>
      </w:r>
      <w:r w:rsidRPr="007347F2">
        <w:rPr>
          <w:color w:val="2E74B5" w:themeColor="accent1" w:themeShade="BF"/>
        </w:rPr>
        <w:t>onsiderations</w:t>
      </w:r>
      <w:bookmarkEnd w:id="11"/>
    </w:p>
    <w:p w14:paraId="1C562C33" w14:textId="3EBA440E" w:rsidR="001A1568" w:rsidRDefault="00974C0B" w:rsidP="00710BB0">
      <w:pPr>
        <w:pStyle w:val="Normal-Numberedparagraphs"/>
      </w:pPr>
      <w:r w:rsidRPr="00974C0B">
        <w:rPr>
          <w:rFonts w:eastAsiaTheme="minorEastAsia"/>
        </w:rPr>
        <w:t xml:space="preserve">Stakeholders are invited to consider implementation of the CDR. </w:t>
      </w:r>
      <w:r w:rsidR="000A55EC">
        <w:rPr>
          <w:rFonts w:eastAsiaTheme="minorEastAsia"/>
        </w:rPr>
        <w:t>See</w:t>
      </w:r>
      <w:r w:rsidRPr="00974C0B">
        <w:rPr>
          <w:rFonts w:eastAsiaTheme="minorEastAsia"/>
        </w:rPr>
        <w:t xml:space="preserve"> </w:t>
      </w:r>
      <w:hyperlink r:id="rId20" w:history="1">
        <w:r w:rsidR="000A55EC" w:rsidRPr="000A55EC">
          <w:rPr>
            <w:rStyle w:val="Hyperlink"/>
            <w:rFonts w:eastAsiaTheme="minorEastAsia"/>
          </w:rPr>
          <w:t>wireframe 2.2</w:t>
        </w:r>
      </w:hyperlink>
      <w:r w:rsidR="004018BF">
        <w:t xml:space="preserve"> </w:t>
      </w:r>
      <w:r w:rsidR="000A55EC">
        <w:t>for a demonstration of</w:t>
      </w:r>
      <w:r w:rsidR="00CF37AD">
        <w:t xml:space="preserve"> how the peer-to-peer access model could work in energy. This wireframe can be accessed interactively </w:t>
      </w:r>
      <w:hyperlink r:id="rId21" w:history="1">
        <w:r w:rsidR="00CF37AD">
          <w:rPr>
            <w:rStyle w:val="Hyperlink"/>
          </w:rPr>
          <w:t>here</w:t>
        </w:r>
      </w:hyperlink>
      <w:r w:rsidR="00CF37AD">
        <w:t xml:space="preserve">, or via </w:t>
      </w:r>
      <w:hyperlink r:id="rId22" w:history="1">
        <w:r w:rsidR="00CF37AD">
          <w:rPr>
            <w:rStyle w:val="Hyperlink"/>
          </w:rPr>
          <w:t>downloadable PDF here</w:t>
        </w:r>
      </w:hyperlink>
      <w:r w:rsidR="00CF37AD">
        <w:t xml:space="preserve">. This can be compared with the current state model for banking </w:t>
      </w:r>
      <w:hyperlink r:id="rId23" w:history="1">
        <w:r w:rsidR="00CF37AD">
          <w:rPr>
            <w:rStyle w:val="Hyperlink"/>
          </w:rPr>
          <w:t>here</w:t>
        </w:r>
      </w:hyperlink>
      <w:r w:rsidR="00CF37AD">
        <w:t xml:space="preserve">, or </w:t>
      </w:r>
      <w:hyperlink r:id="rId24" w:history="1">
        <w:r w:rsidR="00CF37AD">
          <w:rPr>
            <w:rStyle w:val="Hyperlink"/>
          </w:rPr>
          <w:t>via PDF here</w:t>
        </w:r>
      </w:hyperlink>
      <w:r w:rsidR="00CF37AD">
        <w:t>.</w:t>
      </w:r>
      <w:r w:rsidR="00710BB0">
        <w:t xml:space="preserve"> </w:t>
      </w:r>
    </w:p>
    <w:p w14:paraId="4115BEA5" w14:textId="0A6847B0" w:rsidR="00576152" w:rsidRDefault="00F52244" w:rsidP="001A1568">
      <w:pPr>
        <w:pStyle w:val="Normal-Numberedparagraphs"/>
      </w:pPr>
      <w:r>
        <w:t xml:space="preserve">The staged application of the CDR rules to CDR participants was a feature of the rollout of CDR to the banking sector. The banking sector phased in obligations both by participants and by the type of product offered by participants. </w:t>
      </w:r>
    </w:p>
    <w:p w14:paraId="53AC8410" w14:textId="4D5B052E" w:rsidR="00EE234B" w:rsidRDefault="00AE5C14" w:rsidP="001A1568">
      <w:pPr>
        <w:pStyle w:val="Normal-Numberedparagraphs"/>
      </w:pPr>
      <w:r>
        <w:t xml:space="preserve">We are considering whether </w:t>
      </w:r>
      <w:r w:rsidR="00673606">
        <w:t>a staged approach to introduc</w:t>
      </w:r>
      <w:r w:rsidR="007B05CF">
        <w:t>ing data holder obligations</w:t>
      </w:r>
      <w:r w:rsidR="007352C7">
        <w:t xml:space="preserve"> may be appropriate</w:t>
      </w:r>
      <w:r w:rsidR="008B4495">
        <w:t>,</w:t>
      </w:r>
      <w:r w:rsidR="007B05CF">
        <w:t xml:space="preserve"> similar to the</w:t>
      </w:r>
      <w:r w:rsidR="00576152">
        <w:t xml:space="preserve"> approach</w:t>
      </w:r>
      <w:r w:rsidR="007B05CF">
        <w:t xml:space="preserve"> implemented in</w:t>
      </w:r>
      <w:r w:rsidR="00576152">
        <w:t xml:space="preserve"> the banking sector</w:t>
      </w:r>
      <w:r w:rsidR="007352C7">
        <w:t>. F</w:t>
      </w:r>
      <w:r w:rsidR="007B05CF">
        <w:t xml:space="preserve">or example: </w:t>
      </w:r>
    </w:p>
    <w:p w14:paraId="6D2DA5FB" w14:textId="7FD8AAE8" w:rsidR="00F52244" w:rsidRDefault="008E7409" w:rsidP="00EE234B">
      <w:pPr>
        <w:pStyle w:val="Normal-Numberedparagraphs"/>
        <w:numPr>
          <w:ilvl w:val="1"/>
          <w:numId w:val="2"/>
        </w:numPr>
      </w:pPr>
      <w:r>
        <w:t xml:space="preserve">the </w:t>
      </w:r>
      <w:r w:rsidR="00EE234B">
        <w:t xml:space="preserve">first tranche of participants </w:t>
      </w:r>
      <w:r w:rsidR="00E02133">
        <w:t>might</w:t>
      </w:r>
      <w:r>
        <w:t xml:space="preserve"> </w:t>
      </w:r>
      <w:r w:rsidR="00EE234B">
        <w:t>be</w:t>
      </w:r>
      <w:r w:rsidR="002232E8">
        <w:t xml:space="preserve"> the</w:t>
      </w:r>
      <w:r w:rsidR="00EE234B">
        <w:t xml:space="preserve"> Australian Energy Regulator and </w:t>
      </w:r>
      <w:r w:rsidR="00D727A4">
        <w:t>(subject to the agreement of the Victorian Government)</w:t>
      </w:r>
      <w:r w:rsidR="00EE234B">
        <w:t xml:space="preserve"> the Department of Energy, Land, Water and Planning, as data holders of product data only</w:t>
      </w:r>
      <w:r w:rsidR="00162C5B">
        <w:t>;</w:t>
      </w:r>
    </w:p>
    <w:p w14:paraId="233B9FC4" w14:textId="0BC1D830" w:rsidR="00EE234B" w:rsidRDefault="008E7409" w:rsidP="00EE234B">
      <w:pPr>
        <w:pStyle w:val="Normal-Numberedparagraphs"/>
        <w:numPr>
          <w:ilvl w:val="1"/>
          <w:numId w:val="2"/>
        </w:numPr>
      </w:pPr>
      <w:r>
        <w:t xml:space="preserve">the </w:t>
      </w:r>
      <w:r w:rsidR="00194BCD">
        <w:t xml:space="preserve">second tranche of participants </w:t>
      </w:r>
      <w:r w:rsidR="001C2326">
        <w:t xml:space="preserve">might </w:t>
      </w:r>
      <w:r w:rsidR="00E02133">
        <w:t>include</w:t>
      </w:r>
      <w:r w:rsidR="00194BCD">
        <w:t xml:space="preserve"> the largest retailers </w:t>
      </w:r>
      <w:r w:rsidR="00E212E4">
        <w:t>and AEMO</w:t>
      </w:r>
      <w:r>
        <w:t>,</w:t>
      </w:r>
      <w:r w:rsidR="00E212E4">
        <w:t xml:space="preserve"> sharing consumer data with accredited persons</w:t>
      </w:r>
      <w:r w:rsidR="00162C5B">
        <w:t>;</w:t>
      </w:r>
    </w:p>
    <w:p w14:paraId="757321EA" w14:textId="2D3CB9F2" w:rsidR="00E212E4" w:rsidRPr="00E212E4" w:rsidRDefault="003D21BF" w:rsidP="00E212E4">
      <w:pPr>
        <w:pStyle w:val="Normal-Numberedparagraphs"/>
        <w:numPr>
          <w:ilvl w:val="1"/>
          <w:numId w:val="2"/>
        </w:numPr>
      </w:pPr>
      <w:r>
        <w:t xml:space="preserve">a small customer connections threshold for mandatory participation in CDR may be </w:t>
      </w:r>
      <w:r w:rsidR="0054305F">
        <w:t>worth considering</w:t>
      </w:r>
      <w:r>
        <w:t xml:space="preserve">. </w:t>
      </w:r>
      <w:r w:rsidR="0054305F">
        <w:t>If a threshold is adopted, t</w:t>
      </w:r>
      <w:r w:rsidR="008E7409">
        <w:t xml:space="preserve">he </w:t>
      </w:r>
      <w:r w:rsidR="00E212E4">
        <w:t xml:space="preserve">third tranche of participants </w:t>
      </w:r>
      <w:r w:rsidR="001C2326">
        <w:t>might be</w:t>
      </w:r>
      <w:r w:rsidR="00E212E4">
        <w:t xml:space="preserve"> the </w:t>
      </w:r>
      <w:r w:rsidR="00E212E4" w:rsidRPr="00E212E4">
        <w:t>remaining retailers</w:t>
      </w:r>
      <w:r w:rsidR="0054305F">
        <w:t xml:space="preserve"> above</w:t>
      </w:r>
      <w:r w:rsidR="00E212E4" w:rsidRPr="00E212E4">
        <w:t xml:space="preserve"> </w:t>
      </w:r>
      <w:r>
        <w:t xml:space="preserve">the threshold. </w:t>
      </w:r>
    </w:p>
    <w:p w14:paraId="6C267035" w14:textId="416D0287" w:rsidR="00A1273E" w:rsidRDefault="007B05CF" w:rsidP="00A1273E">
      <w:pPr>
        <w:pStyle w:val="Normal-Numberedparagraphs"/>
      </w:pPr>
      <w:r>
        <w:t xml:space="preserve">The proposed implementation timetable is yet to be set by the Australian Government but </w:t>
      </w:r>
      <w:r w:rsidR="00A30301">
        <w:t xml:space="preserve">we welcome </w:t>
      </w:r>
      <w:r>
        <w:t xml:space="preserve">feedback on </w:t>
      </w:r>
      <w:r w:rsidR="00CE4EBD">
        <w:t xml:space="preserve">considerations for the potential implementation timetable </w:t>
      </w:r>
      <w:r w:rsidR="00A30301">
        <w:t>as outlined above</w:t>
      </w:r>
      <w:r w:rsidR="00CE4EBD">
        <w:t xml:space="preserve">. </w:t>
      </w:r>
    </w:p>
    <w:tbl>
      <w:tblPr>
        <w:tblStyle w:val="TableGrid"/>
        <w:tblW w:w="0" w:type="auto"/>
        <w:tblLook w:val="04A0" w:firstRow="1" w:lastRow="0" w:firstColumn="1" w:lastColumn="0" w:noHBand="0" w:noVBand="1"/>
      </w:tblPr>
      <w:tblGrid>
        <w:gridCol w:w="9016"/>
      </w:tblGrid>
      <w:tr w:rsidR="00DA39A0" w14:paraId="50C76A33" w14:textId="77777777" w:rsidTr="00DA39A0">
        <w:tc>
          <w:tcPr>
            <w:tcW w:w="9016" w:type="dxa"/>
          </w:tcPr>
          <w:p w14:paraId="76FBC583" w14:textId="77777777" w:rsidR="00DA39A0" w:rsidRPr="002F035E" w:rsidRDefault="00DA39A0" w:rsidP="002F035E">
            <w:pPr>
              <w:rPr>
                <w:b/>
                <w:bCs/>
              </w:rPr>
            </w:pPr>
            <w:r w:rsidRPr="002F035E">
              <w:rPr>
                <w:b/>
                <w:bCs/>
              </w:rPr>
              <w:t>Questions</w:t>
            </w:r>
          </w:p>
          <w:p w14:paraId="53E28B75" w14:textId="0465D5A2" w:rsidR="0081059B" w:rsidRDefault="0081059B" w:rsidP="002F035E">
            <w:pPr>
              <w:pStyle w:val="OutlineNumbered1"/>
            </w:pPr>
            <w:r>
              <w:t xml:space="preserve">Do you have any comments on the proposed rules as outlined at section </w:t>
            </w:r>
            <w:r w:rsidR="002A6A28">
              <w:fldChar w:fldCharType="begin"/>
            </w:r>
            <w:r w:rsidR="002A6A28">
              <w:instrText xml:space="preserve"> REF _Ref70423717 \r \h </w:instrText>
            </w:r>
            <w:r w:rsidR="002A6A28">
              <w:fldChar w:fldCharType="separate"/>
            </w:r>
            <w:r w:rsidR="0025041F">
              <w:t>1.2</w:t>
            </w:r>
            <w:r w:rsidR="002A6A28">
              <w:fldChar w:fldCharType="end"/>
            </w:r>
            <w:r>
              <w:t>?</w:t>
            </w:r>
          </w:p>
          <w:p w14:paraId="7BE50149" w14:textId="03970325" w:rsidR="0081059B" w:rsidRDefault="0081059B" w:rsidP="002F035E">
            <w:pPr>
              <w:pStyle w:val="OutlineNumbered1"/>
            </w:pPr>
            <w:r>
              <w:t xml:space="preserve">Do you agree with the proposed approach to the standards changes as outlined at section </w:t>
            </w:r>
            <w:r w:rsidR="002A6A28">
              <w:fldChar w:fldCharType="begin"/>
            </w:r>
            <w:r w:rsidR="002A6A28">
              <w:instrText xml:space="preserve"> REF _Ref69483265 \r \h </w:instrText>
            </w:r>
            <w:r w:rsidR="002A6A28">
              <w:fldChar w:fldCharType="separate"/>
            </w:r>
            <w:r w:rsidR="0025041F">
              <w:t>1.3</w:t>
            </w:r>
            <w:r w:rsidR="002A6A28">
              <w:fldChar w:fldCharType="end"/>
            </w:r>
            <w:r>
              <w:t>? If not, why not?</w:t>
            </w:r>
          </w:p>
          <w:p w14:paraId="766C7EAD" w14:textId="33BE33AC" w:rsidR="00754534" w:rsidRDefault="00AE5C14" w:rsidP="002F035E">
            <w:pPr>
              <w:pStyle w:val="OutlineNumbered1"/>
            </w:pPr>
            <w:r>
              <w:t>Would you support a</w:t>
            </w:r>
            <w:r w:rsidR="00754534">
              <w:t xml:space="preserve"> staged approach to the application of CDR rules</w:t>
            </w:r>
            <w:r w:rsidR="00AF0CFC">
              <w:t xml:space="preserve"> as outlined in section </w:t>
            </w:r>
            <w:r w:rsidR="002A6A28">
              <w:fldChar w:fldCharType="begin"/>
            </w:r>
            <w:r w:rsidR="002A6A28">
              <w:instrText xml:space="preserve"> REF _Ref70082025 \r \h </w:instrText>
            </w:r>
            <w:r w:rsidR="002A6A28">
              <w:fldChar w:fldCharType="separate"/>
            </w:r>
            <w:r w:rsidR="0025041F">
              <w:t>1.4</w:t>
            </w:r>
            <w:r w:rsidR="002A6A28">
              <w:fldChar w:fldCharType="end"/>
            </w:r>
            <w:r w:rsidR="00754534">
              <w:t>?</w:t>
            </w:r>
            <w:r w:rsidR="000C09F7">
              <w:t xml:space="preserve"> Why/why not?</w:t>
            </w:r>
          </w:p>
          <w:p w14:paraId="5A5382A2" w14:textId="1723C69C" w:rsidR="005A7EF7" w:rsidRPr="00DA39A0" w:rsidRDefault="00AE5C14" w:rsidP="002F035E">
            <w:pPr>
              <w:pStyle w:val="OutlineNumbered1"/>
            </w:pPr>
            <w:r>
              <w:t xml:space="preserve">Do you support a </w:t>
            </w:r>
            <w:r w:rsidR="00DA39A0">
              <w:t>threshold for mandatory participation in CDR</w:t>
            </w:r>
            <w:r>
              <w:t xml:space="preserve">? </w:t>
            </w:r>
            <w:r w:rsidR="00334C5B">
              <w:t>W</w:t>
            </w:r>
            <w:r>
              <w:t xml:space="preserve">hat number of customer connections would be a suitable threshold? </w:t>
            </w:r>
            <w:r w:rsidR="005A7EF7">
              <w:t xml:space="preserve"> </w:t>
            </w:r>
          </w:p>
        </w:tc>
      </w:tr>
    </w:tbl>
    <w:p w14:paraId="0919878B" w14:textId="072A5017" w:rsidR="00EE35FC" w:rsidRDefault="00EE35FC">
      <w:pPr>
        <w:spacing w:after="160"/>
      </w:pPr>
    </w:p>
    <w:p w14:paraId="2477C83E" w14:textId="4DC52BDE" w:rsidR="00EE35FC" w:rsidRPr="007347F2" w:rsidRDefault="00EE35FC" w:rsidP="00455888">
      <w:pPr>
        <w:pStyle w:val="Heading1"/>
        <w:numPr>
          <w:ilvl w:val="0"/>
          <w:numId w:val="7"/>
        </w:numPr>
      </w:pPr>
      <w:bookmarkStart w:id="12" w:name="_Ref70082037"/>
      <w:r w:rsidRPr="007347F2">
        <w:t xml:space="preserve">Consumer </w:t>
      </w:r>
      <w:r w:rsidR="008550DB">
        <w:t>a</w:t>
      </w:r>
      <w:r w:rsidRPr="007347F2">
        <w:t>ccounts</w:t>
      </w:r>
      <w:bookmarkEnd w:id="12"/>
    </w:p>
    <w:p w14:paraId="2249BECD" w14:textId="4D327458" w:rsidR="00EE35FC" w:rsidRPr="007347F2" w:rsidRDefault="00EE35FC" w:rsidP="007347F2">
      <w:pPr>
        <w:pStyle w:val="Heading2"/>
        <w:numPr>
          <w:ilvl w:val="1"/>
          <w:numId w:val="7"/>
        </w:numPr>
        <w:tabs>
          <w:tab w:val="num" w:pos="1560"/>
        </w:tabs>
        <w:ind w:left="426" w:hanging="426"/>
        <w:contextualSpacing/>
        <w:rPr>
          <w:color w:val="2E74B5" w:themeColor="accent1" w:themeShade="BF"/>
        </w:rPr>
      </w:pPr>
      <w:r w:rsidRPr="007347F2">
        <w:rPr>
          <w:color w:val="2E74B5" w:themeColor="accent1" w:themeShade="BF"/>
        </w:rPr>
        <w:t xml:space="preserve">Topic </w:t>
      </w:r>
      <w:r w:rsidR="008550DB">
        <w:rPr>
          <w:color w:val="2E74B5" w:themeColor="accent1" w:themeShade="BF"/>
        </w:rPr>
        <w:t>o</w:t>
      </w:r>
      <w:r w:rsidRPr="007347F2">
        <w:rPr>
          <w:color w:val="2E74B5" w:themeColor="accent1" w:themeShade="BF"/>
        </w:rPr>
        <w:t>verview</w:t>
      </w:r>
    </w:p>
    <w:p w14:paraId="46BE1FC9" w14:textId="7B6BDCE8" w:rsidR="00974C0B" w:rsidRDefault="00974C0B" w:rsidP="00CC0852">
      <w:pPr>
        <w:pStyle w:val="Normal-Numberedparagraphs"/>
      </w:pPr>
      <w:r>
        <w:t xml:space="preserve">CDR is an economy-wide consumer-centric regime that provides consumers with intuitive, informed, and trustworthy data sharing experiences. How consumer accounts are structured and treated in the energy sector for CDR purposes is an important aspect of how consumers will experience data sharing in the sector. This topic seeks to </w:t>
      </w:r>
      <w:r w:rsidR="00325743">
        <w:t>obtain</w:t>
      </w:r>
      <w:r>
        <w:t xml:space="preserve"> feedback from stakeholders on consumer accounts, to support the following objectives:</w:t>
      </w:r>
    </w:p>
    <w:p w14:paraId="06D6380B" w14:textId="6FE77E00" w:rsidR="00974C0B" w:rsidRDefault="00974C0B" w:rsidP="00974C0B">
      <w:pPr>
        <w:pStyle w:val="Normal-Numberedparagraphs"/>
        <w:numPr>
          <w:ilvl w:val="1"/>
          <w:numId w:val="2"/>
        </w:numPr>
      </w:pPr>
      <w:r>
        <w:t>ensuring the consumer experience for CDR in energy intuitive, informed, and trustworthy; and</w:t>
      </w:r>
    </w:p>
    <w:p w14:paraId="7F709B6C" w14:textId="52243849" w:rsidR="00974C0B" w:rsidRDefault="00974C0B" w:rsidP="00974C0B">
      <w:pPr>
        <w:pStyle w:val="Normal-Numberedparagraphs"/>
        <w:numPr>
          <w:ilvl w:val="1"/>
          <w:numId w:val="2"/>
        </w:numPr>
      </w:pPr>
      <w:r>
        <w:t>extensibility and consistency in consumer experience in CDR across sectors.</w:t>
      </w:r>
    </w:p>
    <w:p w14:paraId="5F9DD58D" w14:textId="2D6E9768" w:rsidR="00242EE1" w:rsidRPr="00242EE1" w:rsidRDefault="00242EE1" w:rsidP="00242EE1">
      <w:pPr>
        <w:pStyle w:val="Normal-Numberedparagraphs"/>
      </w:pPr>
      <w:r w:rsidRPr="00242EE1">
        <w:t xml:space="preserve">When consumers share their CDR data today, they are able to select which accounts to share data from before they share that data with an accredited person. This requirement was developed for banking based on community feedback and to </w:t>
      </w:r>
      <w:r w:rsidR="001C0278">
        <w:t>align</w:t>
      </w:r>
      <w:r w:rsidRPr="00242EE1">
        <w:t xml:space="preserve"> with existing data sharing patterns, such as that of Open Banking in the UK.</w:t>
      </w:r>
    </w:p>
    <w:p w14:paraId="08C4E1BC" w14:textId="253DF9E3" w:rsidR="00242EE1" w:rsidRPr="00242EE1" w:rsidRDefault="00242EE1" w:rsidP="00242EE1">
      <w:pPr>
        <w:pStyle w:val="Normal-Numberedparagraphs"/>
      </w:pPr>
      <w:r w:rsidRPr="00242EE1">
        <w:t xml:space="preserve">The account selection requirements are considered appropriate in the context of banking given the meaning and value attributed to banking accounts. </w:t>
      </w:r>
      <w:r w:rsidR="00CD6B4F">
        <w:t>We understand that c</w:t>
      </w:r>
      <w:r w:rsidRPr="00242EE1">
        <w:t>onsumer accounts in the energy sector, for example, vary from banking accounts. Due to this variance, we would like to understand whether the existing account selection requirements are appropriate for the energy sector and, if not, the extent to which any divergence may be required to support an economy-wide approach.</w:t>
      </w:r>
    </w:p>
    <w:p w14:paraId="04149AE7" w14:textId="6E327B72" w:rsidR="00242EE1" w:rsidRPr="00242EE1" w:rsidRDefault="00242EE1" w:rsidP="00242EE1">
      <w:pPr>
        <w:pStyle w:val="Normal-Numberedparagraphs"/>
        <w:spacing w:line="256" w:lineRule="auto"/>
      </w:pPr>
      <w:r w:rsidRPr="00242EE1">
        <w:t xml:space="preserve">The relation of accounts to authorisation is largely dealt with in the data standards. The technical data standards associate accounts with authorisations, meaning accounts are not bound to authorisations, and the consumer experience data standards allow consumers to select which accounts to share data from as part of the authorisation flow. </w:t>
      </w:r>
    </w:p>
    <w:p w14:paraId="5752A399" w14:textId="77777777" w:rsidR="00AA19C4" w:rsidRDefault="00AA19C4" w:rsidP="002F035E">
      <w:pPr>
        <w:pStyle w:val="Normal-Numberedparagraphs"/>
        <w:spacing w:line="256" w:lineRule="auto"/>
      </w:pPr>
      <w:r>
        <w:t>The current standards for account selection are as follows:</w:t>
      </w:r>
    </w:p>
    <w:tbl>
      <w:tblPr>
        <w:tblStyle w:val="TableGrid"/>
        <w:tblW w:w="0" w:type="auto"/>
        <w:tblLook w:val="04A0" w:firstRow="1" w:lastRow="0" w:firstColumn="1" w:lastColumn="0" w:noHBand="0" w:noVBand="1"/>
      </w:tblPr>
      <w:tblGrid>
        <w:gridCol w:w="9016"/>
      </w:tblGrid>
      <w:tr w:rsidR="00AA19C4" w14:paraId="131B619D" w14:textId="77777777" w:rsidTr="00AA19C4">
        <w:tc>
          <w:tcPr>
            <w:tcW w:w="9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5B0F5C" w14:textId="77777777" w:rsidR="00AA19C4" w:rsidRDefault="00AA19C4">
            <w:pPr>
              <w:pStyle w:val="OutlineNumbered1"/>
              <w:numPr>
                <w:ilvl w:val="0"/>
                <w:numId w:val="0"/>
              </w:numPr>
              <w:tabs>
                <w:tab w:val="left" w:pos="720"/>
              </w:tabs>
              <w:ind w:left="520" w:hanging="520"/>
              <w:rPr>
                <w:b/>
                <w:bCs/>
                <w:i/>
                <w:iCs/>
              </w:rPr>
            </w:pPr>
            <w:r>
              <w:rPr>
                <w:b/>
                <w:i/>
              </w:rPr>
              <w:t xml:space="preserve">Authorisation: </w:t>
            </w:r>
            <w:r>
              <w:rPr>
                <w:i/>
              </w:rPr>
              <w:t>Account Selection</w:t>
            </w:r>
          </w:p>
          <w:p w14:paraId="7868E9AD" w14:textId="77777777" w:rsidR="00AA19C4" w:rsidRDefault="00AA19C4">
            <w:pPr>
              <w:pStyle w:val="OutlineNumbered1"/>
              <w:numPr>
                <w:ilvl w:val="0"/>
                <w:numId w:val="0"/>
              </w:numPr>
              <w:tabs>
                <w:tab w:val="left" w:pos="720"/>
              </w:tabs>
              <w:rPr>
                <w:i/>
                <w:iCs/>
              </w:rPr>
            </w:pPr>
            <w:r>
              <w:rPr>
                <w:i/>
              </w:rPr>
              <w:t>Data holders MUST allow the consumer to select which of their accounts to share data from if the data request includes account-specific data, and if there are multiple accounts available.</w:t>
            </w:r>
          </w:p>
          <w:p w14:paraId="6BD986F5" w14:textId="77777777" w:rsidR="00AA19C4" w:rsidRDefault="00AA19C4">
            <w:pPr>
              <w:pStyle w:val="OutlineNumbered1"/>
              <w:numPr>
                <w:ilvl w:val="0"/>
                <w:numId w:val="0"/>
              </w:numPr>
              <w:tabs>
                <w:tab w:val="left" w:pos="720"/>
              </w:tabs>
              <w:rPr>
                <w:i/>
                <w:iCs/>
              </w:rPr>
            </w:pPr>
            <w:r>
              <w:rPr>
                <w:i/>
              </w:rPr>
              <w:t>Data holders MAY omit this step if none of the data being requested is specific to an account (e.g. Saved Payees).</w:t>
            </w:r>
          </w:p>
        </w:tc>
      </w:tr>
    </w:tbl>
    <w:p w14:paraId="163089D2" w14:textId="1A6C8A82" w:rsidR="005479C8" w:rsidRDefault="005479C8" w:rsidP="00573807">
      <w:pPr>
        <w:pStyle w:val="Normal-Numberedparagraphs"/>
        <w:spacing w:before="240"/>
        <w:ind w:left="357" w:hanging="357"/>
      </w:pPr>
      <w:r>
        <w:t xml:space="preserve">The account selection step is only required where the requested data relates to an account, or more than one account exists. </w:t>
      </w:r>
      <w:r w:rsidR="00EF635E">
        <w:t>We understand</w:t>
      </w:r>
      <w:r>
        <w:t xml:space="preserve"> that most energy consumers only hold one account with their data holder. As a result, the account selection step will only be relevant to a small portion of energy consumers who hold multiple accounts with their data holder.</w:t>
      </w:r>
    </w:p>
    <w:p w14:paraId="536DFDCB" w14:textId="6F587E90" w:rsidR="00AA19C4" w:rsidRDefault="003D1D0C" w:rsidP="002F035E">
      <w:pPr>
        <w:pStyle w:val="Normal-Numberedparagraphs"/>
        <w:spacing w:line="256" w:lineRule="auto"/>
      </w:pPr>
      <w:r>
        <w:t>We seek feedback on whether</w:t>
      </w:r>
      <w:r w:rsidR="00AA19C4">
        <w:t xml:space="preserve"> accounts remain a meaningful element</w:t>
      </w:r>
      <w:r w:rsidR="00715C83">
        <w:rPr>
          <w:rStyle w:val="FootnoteReference"/>
        </w:rPr>
        <w:footnoteReference w:id="6"/>
      </w:r>
      <w:r w:rsidR="00AA19C4">
        <w:t xml:space="preserve"> of data sharing beyond banking, and what other considerations exist concerning consumer control over the sharing of accounts or equivalent elements to support an economy-wide CDR.</w:t>
      </w:r>
    </w:p>
    <w:p w14:paraId="625B79CD" w14:textId="77777777" w:rsidR="00AA19C4" w:rsidRDefault="00AA19C4" w:rsidP="002F035E">
      <w:pPr>
        <w:pStyle w:val="Normal-Numberedparagraphs"/>
        <w:spacing w:line="256" w:lineRule="auto"/>
      </w:pPr>
      <w:r>
        <w:t xml:space="preserve">Initial analysis suggests three possibilities exist for the account selection standards: </w:t>
      </w:r>
    </w:p>
    <w:p w14:paraId="6A5C90C0" w14:textId="43C2EA07" w:rsidR="00AA19C4" w:rsidRDefault="00AA19C4" w:rsidP="00E41DBF">
      <w:pPr>
        <w:pStyle w:val="Normal-Numberedparagraphs"/>
        <w:numPr>
          <w:ilvl w:val="1"/>
          <w:numId w:val="9"/>
        </w:numPr>
        <w:tabs>
          <w:tab w:val="left" w:pos="3261"/>
        </w:tabs>
        <w:spacing w:line="256" w:lineRule="auto"/>
        <w:rPr>
          <w:rFonts w:eastAsiaTheme="minorEastAsia"/>
        </w:rPr>
      </w:pPr>
      <w:r>
        <w:t xml:space="preserve">The account selection standards are deemed appropriate for the energy sector and maintained. This will allow energy consumers with multiple accounts to choose which accounts to share from but will add implementation cost and complexity when most energy consumers </w:t>
      </w:r>
      <w:r w:rsidR="00E41DBF">
        <w:t>have</w:t>
      </w:r>
      <w:r>
        <w:t xml:space="preserve"> only one account.</w:t>
      </w:r>
    </w:p>
    <w:p w14:paraId="7C2A0970" w14:textId="77777777" w:rsidR="00AA19C4" w:rsidRDefault="00AA19C4" w:rsidP="00AA19C4">
      <w:pPr>
        <w:pStyle w:val="Normal-Numberedparagraphs"/>
        <w:numPr>
          <w:ilvl w:val="1"/>
          <w:numId w:val="9"/>
        </w:numPr>
        <w:spacing w:line="256" w:lineRule="auto"/>
      </w:pPr>
      <w:r>
        <w:t>The account selection standards are deemed inappropriate for energy and are amended to apply only to banking. This will mean that non-banking consumers with multiple accounts will not be able to choose which accounts to share from. All available accounts will be shared by default, which will reduce implementation cost and complexity.</w:t>
      </w:r>
    </w:p>
    <w:p w14:paraId="73B8F8E8" w14:textId="648B2380" w:rsidR="00AA19C4" w:rsidRDefault="00086E60" w:rsidP="00AA19C4">
      <w:pPr>
        <w:pStyle w:val="Normal-Numberedparagraphs"/>
        <w:numPr>
          <w:ilvl w:val="1"/>
          <w:numId w:val="9"/>
        </w:numPr>
        <w:spacing w:line="256" w:lineRule="auto"/>
      </w:pPr>
      <w:r>
        <w:t>E</w:t>
      </w:r>
      <w:r w:rsidR="00FA2B66">
        <w:t xml:space="preserve">lements </w:t>
      </w:r>
      <w:r>
        <w:t>other than ‘accounts’</w:t>
      </w:r>
      <w:r w:rsidR="00FA2B66">
        <w:t xml:space="preserve"> are deemed more meaningful in energy or other non</w:t>
      </w:r>
      <w:r w:rsidR="001C0278">
        <w:noBreakHyphen/>
      </w:r>
      <w:r w:rsidR="00FA2B66">
        <w:t xml:space="preserve">banking sectors and the standards are amended accordingly. This can provide more control for non-banking consumers with multiple accounts or equivalent </w:t>
      </w:r>
      <w:r w:rsidR="00594A5F">
        <w:t>elements but</w:t>
      </w:r>
      <w:r w:rsidR="00FA2B66">
        <w:t xml:space="preserve"> will add implementation cost and complexity based on the appropriate element to disclose from by sector.</w:t>
      </w:r>
    </w:p>
    <w:p w14:paraId="56F046BC" w14:textId="598C2DBC" w:rsidR="00B6292D" w:rsidRDefault="008D45C8" w:rsidP="00212327">
      <w:pPr>
        <w:pStyle w:val="Normal-Numberedparagraphs"/>
        <w:spacing w:line="256" w:lineRule="auto"/>
        <w:rPr>
          <w:color w:val="2E74B5" w:themeColor="accent1" w:themeShade="BF"/>
        </w:rPr>
      </w:pPr>
      <w:r>
        <w:t xml:space="preserve">See </w:t>
      </w:r>
      <w:hyperlink r:id="rId25" w:history="1">
        <w:r>
          <w:rPr>
            <w:rStyle w:val="Hyperlink"/>
          </w:rPr>
          <w:t>Flows 2.1 – 2.3</w:t>
        </w:r>
      </w:hyperlink>
      <w:r>
        <w:t xml:space="preserve"> (</w:t>
      </w:r>
      <w:hyperlink r:id="rId26" w:history="1">
        <w:r w:rsidRPr="00844A79">
          <w:rPr>
            <w:rStyle w:val="Hyperlink"/>
          </w:rPr>
          <w:t>PDF versions</w:t>
        </w:r>
      </w:hyperlink>
      <w:r>
        <w:t>) for hypothetical examples concerning the account selection step</w:t>
      </w:r>
      <w:r w:rsidR="00AA19C4">
        <w:t>.</w:t>
      </w:r>
      <w:r w:rsidR="00B6292D">
        <w:rPr>
          <w:color w:val="2E74B5" w:themeColor="accent1" w:themeShade="BF"/>
        </w:rPr>
        <w:t xml:space="preserve"> </w:t>
      </w:r>
    </w:p>
    <w:p w14:paraId="7C29ADCD" w14:textId="7F4B43B0" w:rsidR="00EE35FC" w:rsidRPr="00B57C2C" w:rsidRDefault="00EE35FC" w:rsidP="00455888">
      <w:pPr>
        <w:pStyle w:val="Heading2"/>
        <w:numPr>
          <w:ilvl w:val="1"/>
          <w:numId w:val="7"/>
        </w:numPr>
        <w:ind w:left="426" w:hanging="426"/>
        <w:rPr>
          <w:color w:val="2E74B5" w:themeColor="accent1" w:themeShade="BF"/>
        </w:rPr>
      </w:pPr>
      <w:r w:rsidRPr="00B57C2C">
        <w:rPr>
          <w:color w:val="2E74B5" w:themeColor="accent1" w:themeShade="BF"/>
        </w:rPr>
        <w:t xml:space="preserve">Rules </w:t>
      </w:r>
      <w:r w:rsidR="008550DB">
        <w:rPr>
          <w:color w:val="2E74B5" w:themeColor="accent1" w:themeShade="BF"/>
        </w:rPr>
        <w:t>c</w:t>
      </w:r>
      <w:r w:rsidRPr="00B57C2C">
        <w:rPr>
          <w:color w:val="2E74B5" w:themeColor="accent1" w:themeShade="BF"/>
        </w:rPr>
        <w:t>onsiderations</w:t>
      </w:r>
    </w:p>
    <w:p w14:paraId="0998E166" w14:textId="001CF7E0" w:rsidR="006123F6" w:rsidRDefault="008B4DF3" w:rsidP="008F004F">
      <w:pPr>
        <w:pStyle w:val="Normal-Numberedparagraphs"/>
      </w:pPr>
      <w:r>
        <w:t>T</w:t>
      </w:r>
      <w:r w:rsidR="006123F6">
        <w:t xml:space="preserve">he </w:t>
      </w:r>
      <w:r w:rsidR="005F5509">
        <w:t>treatment</w:t>
      </w:r>
      <w:r w:rsidR="006123F6">
        <w:t xml:space="preserve"> of consumer accounts in the energy sector </w:t>
      </w:r>
      <w:r>
        <w:t xml:space="preserve">will not </w:t>
      </w:r>
      <w:r w:rsidR="006123F6">
        <w:t xml:space="preserve">have </w:t>
      </w:r>
      <w:r>
        <w:t>a</w:t>
      </w:r>
      <w:r w:rsidR="006123F6">
        <w:t xml:space="preserve"> significant impact on rules considerations and </w:t>
      </w:r>
      <w:r>
        <w:t>will not</w:t>
      </w:r>
      <w:r w:rsidR="006123F6">
        <w:t xml:space="preserve"> require amendments to the rules.</w:t>
      </w:r>
    </w:p>
    <w:p w14:paraId="787DC00D" w14:textId="4F58D2B2" w:rsidR="00EE35FC" w:rsidRPr="00B57C2C" w:rsidRDefault="00EE35FC" w:rsidP="00455888">
      <w:pPr>
        <w:pStyle w:val="Heading2"/>
        <w:numPr>
          <w:ilvl w:val="1"/>
          <w:numId w:val="7"/>
        </w:numPr>
        <w:ind w:left="426" w:hanging="426"/>
        <w:rPr>
          <w:color w:val="2E74B5" w:themeColor="accent1" w:themeShade="BF"/>
        </w:rPr>
      </w:pPr>
      <w:r w:rsidRPr="00B57C2C">
        <w:rPr>
          <w:color w:val="2E74B5" w:themeColor="accent1" w:themeShade="BF"/>
        </w:rPr>
        <w:t xml:space="preserve">Standards </w:t>
      </w:r>
      <w:r w:rsidR="008550DB">
        <w:rPr>
          <w:color w:val="2E74B5" w:themeColor="accent1" w:themeShade="BF"/>
        </w:rPr>
        <w:t>c</w:t>
      </w:r>
      <w:r w:rsidRPr="00B57C2C">
        <w:rPr>
          <w:color w:val="2E74B5" w:themeColor="accent1" w:themeShade="BF"/>
        </w:rPr>
        <w:t>onsiderations</w:t>
      </w:r>
    </w:p>
    <w:p w14:paraId="28FC4EA9" w14:textId="77777777" w:rsidR="00AA19C4" w:rsidRDefault="00AA19C4" w:rsidP="00A3289F">
      <w:pPr>
        <w:pStyle w:val="Normal-Numberedparagraphs"/>
        <w:spacing w:line="256" w:lineRule="auto"/>
      </w:pPr>
      <w:r>
        <w:t>The standards implications vary significantly for the various options for the treatment of consumer accounts in the energy sector. These implications affect both the technical and the consumer experience aspects of the standards.</w:t>
      </w:r>
    </w:p>
    <w:p w14:paraId="28C2CCDD" w14:textId="0C3ED51F" w:rsidR="00EE35FC" w:rsidRPr="00C767E3" w:rsidRDefault="00EE35FC" w:rsidP="00EE35FC">
      <w:pPr>
        <w:pStyle w:val="Heading3"/>
        <w:rPr>
          <w:color w:val="auto"/>
        </w:rPr>
      </w:pPr>
      <w:r w:rsidRPr="00C767E3">
        <w:rPr>
          <w:color w:val="auto"/>
        </w:rPr>
        <w:t xml:space="preserve">Technical </w:t>
      </w:r>
      <w:r w:rsidR="005C723B">
        <w:rPr>
          <w:color w:val="auto"/>
        </w:rPr>
        <w:t>st</w:t>
      </w:r>
      <w:r w:rsidRPr="00C767E3">
        <w:rPr>
          <w:color w:val="auto"/>
        </w:rPr>
        <w:t xml:space="preserve">andards </w:t>
      </w:r>
      <w:r w:rsidR="005C723B">
        <w:rPr>
          <w:color w:val="auto"/>
        </w:rPr>
        <w:t>c</w:t>
      </w:r>
      <w:r w:rsidRPr="00C767E3">
        <w:rPr>
          <w:color w:val="auto"/>
        </w:rPr>
        <w:t>onsiderations</w:t>
      </w:r>
    </w:p>
    <w:p w14:paraId="5439FCBF" w14:textId="7FF4274F" w:rsidR="00EE35FC" w:rsidRDefault="00EE35FC" w:rsidP="008F004F">
      <w:pPr>
        <w:pStyle w:val="Normal-Numberedparagraphs"/>
      </w:pPr>
      <w:r>
        <w:t xml:space="preserve">The key impact for the technical standards is whether electricity accounts are treated as a </w:t>
      </w:r>
      <w:r w:rsidR="00315360" w:rsidRPr="00315360">
        <w:t>normal data record for data sharing, such as an invoice or a transaction,</w:t>
      </w:r>
      <w:r w:rsidR="00315360">
        <w:t xml:space="preserve"> </w:t>
      </w:r>
      <w:r>
        <w:t>or whether an explicit election to attach an account to an authorised consent must be made by the consumer.</w:t>
      </w:r>
    </w:p>
    <w:p w14:paraId="0747F7BA" w14:textId="3F773946" w:rsidR="00AA19C4" w:rsidRDefault="00AA19C4" w:rsidP="00AA19C4">
      <w:pPr>
        <w:pStyle w:val="Normal-Numberedparagraphs"/>
      </w:pPr>
      <w:r>
        <w:t>For the technical standards, the first scenario is simplistic to define and for data holders to implement. The authorisation of the data scopes that include account data will allow for all accounts to be shared using the APIs allowed by the authorisation of the scopes.</w:t>
      </w:r>
    </w:p>
    <w:p w14:paraId="6EF743DA" w14:textId="5AAE440A" w:rsidR="00AA19C4" w:rsidRDefault="00AA19C4" w:rsidP="00AA19C4">
      <w:pPr>
        <w:pStyle w:val="Normal-Numberedparagraphs"/>
      </w:pPr>
      <w:r>
        <w:t xml:space="preserve">To align with the principle of cross-sector consistency, </w:t>
      </w:r>
      <w:r w:rsidR="001C37B1">
        <w:t>if</w:t>
      </w:r>
      <w:r>
        <w:t xml:space="preserve"> the alternate model is adopted, energy accounts would be treated in the standards in the same way that the standards treat bank accounts in the banking sector. Specifically, this would mean that accounts would be ‘attached’ to an authorised consent and could, at the explicit instruction of the consumer, be detached or reattached to the consent without the consent itself being affected.</w:t>
      </w:r>
    </w:p>
    <w:p w14:paraId="0931AF0E" w14:textId="16C4C80A" w:rsidR="00EE35FC" w:rsidRPr="00C767E3" w:rsidRDefault="00EE35FC" w:rsidP="00EE35FC">
      <w:pPr>
        <w:pStyle w:val="Heading3"/>
        <w:rPr>
          <w:color w:val="auto"/>
        </w:rPr>
      </w:pPr>
      <w:r w:rsidRPr="00C767E3">
        <w:rPr>
          <w:color w:val="auto"/>
        </w:rPr>
        <w:t xml:space="preserve">Consumer </w:t>
      </w:r>
      <w:r w:rsidR="00DB29D7">
        <w:rPr>
          <w:color w:val="auto"/>
        </w:rPr>
        <w:t>e</w:t>
      </w:r>
      <w:r w:rsidRPr="00C767E3">
        <w:rPr>
          <w:color w:val="auto"/>
        </w:rPr>
        <w:t xml:space="preserve">xperience </w:t>
      </w:r>
      <w:r w:rsidR="00DB29D7">
        <w:rPr>
          <w:color w:val="auto"/>
        </w:rPr>
        <w:t>c</w:t>
      </w:r>
      <w:r w:rsidRPr="00C767E3">
        <w:rPr>
          <w:color w:val="auto"/>
        </w:rPr>
        <w:t>onsiderations</w:t>
      </w:r>
    </w:p>
    <w:p w14:paraId="74E93AF8" w14:textId="77777777" w:rsidR="00AA19C4" w:rsidRDefault="00AA19C4" w:rsidP="00AA19C4">
      <w:pPr>
        <w:pStyle w:val="Normal-Numberedparagraphs"/>
      </w:pPr>
      <w:r>
        <w:t>If the existing account selection standards are found to be appropriate for sector-wide application, then no changes to the consumer experience standards are required and these standards can apply similarly to the energy sector and subsequently designated sectors.</w:t>
      </w:r>
    </w:p>
    <w:p w14:paraId="3288225F" w14:textId="447A31A5" w:rsidR="00AA19C4" w:rsidRDefault="00AA19C4" w:rsidP="00AA19C4">
      <w:pPr>
        <w:pStyle w:val="Normal-Numberedparagraphs"/>
        <w:rPr>
          <w:rFonts w:eastAsiaTheme="minorEastAsia"/>
        </w:rPr>
      </w:pPr>
      <w:r>
        <w:t xml:space="preserve">If the account selection standards are not seen as appropriate for the energy sector, these standards will be reviewed, and any appropriate changes consulted on. </w:t>
      </w:r>
      <w:r w:rsidR="008B7C73">
        <w:t xml:space="preserve">We </w:t>
      </w:r>
      <w:r>
        <w:t>expect that this would result in an amendment to the account selection standards to clarify how and why they do not apply to the energy sector.</w:t>
      </w:r>
    </w:p>
    <w:p w14:paraId="2B9B6E1B" w14:textId="022E610E" w:rsidR="00AA19C4" w:rsidRDefault="00AA19C4" w:rsidP="00AA19C4">
      <w:pPr>
        <w:pStyle w:val="Normal-Numberedparagraphs"/>
        <w:rPr>
          <w:rFonts w:eastAsiaTheme="minorEastAsia"/>
        </w:rPr>
      </w:pPr>
      <w:r>
        <w:t xml:space="preserve">If the account selection standards are not seen as appropriate for sectors other than banking, these standards will be reviewed, and any appropriate changes consulted on. </w:t>
      </w:r>
      <w:r w:rsidR="00556AE2">
        <w:t xml:space="preserve">We </w:t>
      </w:r>
      <w:r>
        <w:t>expect that these standards would become specific to banking unless a need arises to support an equivalent pattern in a subsequent sector.</w:t>
      </w:r>
    </w:p>
    <w:p w14:paraId="04DBC240" w14:textId="279A693F" w:rsidR="00AA19C4" w:rsidRDefault="00AA19C4" w:rsidP="00AA19C4">
      <w:pPr>
        <w:pStyle w:val="Normal-Numberedparagraphs"/>
      </w:pPr>
      <w:r>
        <w:t xml:space="preserve">If more appropriate </w:t>
      </w:r>
      <w:r w:rsidR="00221631">
        <w:t xml:space="preserve">elements </w:t>
      </w:r>
      <w:r>
        <w:t xml:space="preserve">than accounts are proposed for selection, the account selection standards will be reviewed, and any appropriate changes consulted on, so these standards apply appropriate and flexibly for sectors beyond banking. </w:t>
      </w:r>
      <w:r w:rsidR="00556AE2">
        <w:t>We expect</w:t>
      </w:r>
      <w:r>
        <w:t xml:space="preserve"> that this would result in the </w:t>
      </w:r>
      <w:r w:rsidR="00221631">
        <w:t xml:space="preserve">concept </w:t>
      </w:r>
      <w:r>
        <w:t xml:space="preserve">of ‘accounts’ </w:t>
      </w:r>
      <w:r w:rsidR="00221631">
        <w:t xml:space="preserve">being </w:t>
      </w:r>
      <w:r w:rsidR="00A22091">
        <w:t>amended</w:t>
      </w:r>
      <w:r w:rsidR="00C96052">
        <w:t xml:space="preserve"> in a </w:t>
      </w:r>
      <w:r w:rsidR="00A22091">
        <w:t>sector-agnostic way</w:t>
      </w:r>
      <w:r w:rsidR="00C96052">
        <w:t>,</w:t>
      </w:r>
      <w:r>
        <w:t xml:space="preserve"> so these standards can apply flexibly to equivalent </w:t>
      </w:r>
      <w:r w:rsidR="00221631">
        <w:t xml:space="preserve">elements, </w:t>
      </w:r>
      <w:r>
        <w:t>deemed meaningful</w:t>
      </w:r>
      <w:r w:rsidR="00C96052">
        <w:t>,</w:t>
      </w:r>
      <w:r>
        <w:t xml:space="preserve"> based </w:t>
      </w:r>
      <w:r w:rsidR="00C96052">
        <w:t xml:space="preserve">on the relevant </w:t>
      </w:r>
      <w:r>
        <w:t>sector.</w:t>
      </w:r>
    </w:p>
    <w:p w14:paraId="18C0ABD5" w14:textId="6FC2EACF" w:rsidR="00EE35FC" w:rsidRPr="00B57C2C" w:rsidRDefault="00EE35FC" w:rsidP="00455888">
      <w:pPr>
        <w:pStyle w:val="Heading2"/>
        <w:numPr>
          <w:ilvl w:val="1"/>
          <w:numId w:val="7"/>
        </w:numPr>
        <w:ind w:left="426" w:hanging="426"/>
        <w:rPr>
          <w:color w:val="2E74B5" w:themeColor="accent1" w:themeShade="BF"/>
        </w:rPr>
      </w:pPr>
      <w:r w:rsidRPr="00B57C2C">
        <w:rPr>
          <w:color w:val="2E74B5" w:themeColor="accent1" w:themeShade="BF"/>
        </w:rPr>
        <w:t xml:space="preserve">Implementation </w:t>
      </w:r>
      <w:r w:rsidR="005C723B">
        <w:rPr>
          <w:color w:val="2E74B5" w:themeColor="accent1" w:themeShade="BF"/>
        </w:rPr>
        <w:t>c</w:t>
      </w:r>
      <w:r w:rsidRPr="00B57C2C">
        <w:rPr>
          <w:color w:val="2E74B5" w:themeColor="accent1" w:themeShade="BF"/>
        </w:rPr>
        <w:t>onsiderations</w:t>
      </w:r>
    </w:p>
    <w:p w14:paraId="06E327F8" w14:textId="4AF399CE" w:rsidR="00AA19C4" w:rsidRDefault="00AA19C4" w:rsidP="00CE2F35">
      <w:pPr>
        <w:pStyle w:val="Normal-Numberedparagraphs"/>
      </w:pPr>
      <w:r>
        <w:t xml:space="preserve">Based on the experience gained in the banking sector, </w:t>
      </w:r>
      <w:r w:rsidR="00DA5C96">
        <w:t xml:space="preserve">we </w:t>
      </w:r>
      <w:r>
        <w:t>expect that the adoption of the more simplistic model for consumer accounts would significantly reduce the implementation time and cost for data holders and accredited data recipients</w:t>
      </w:r>
      <w:r w:rsidR="000E429E">
        <w:t>.</w:t>
      </w:r>
    </w:p>
    <w:p w14:paraId="538112E9" w14:textId="7A37BC32" w:rsidR="00AA19C4" w:rsidRDefault="00AF280B" w:rsidP="00CE2F35">
      <w:pPr>
        <w:pStyle w:val="Normal-Numberedparagraphs"/>
        <w:spacing w:line="256" w:lineRule="auto"/>
      </w:pPr>
      <w:r w:rsidRPr="00AF280B">
        <w:t>If a consumer is able to</w:t>
      </w:r>
      <w:r w:rsidR="008F5ADD">
        <w:t xml:space="preserve"> </w:t>
      </w:r>
      <w:r w:rsidRPr="00AF280B">
        <w:t xml:space="preserve">choose which accounts should or should not be included in a specific data sharing arrangement, then each </w:t>
      </w:r>
      <w:r>
        <w:t>r</w:t>
      </w:r>
      <w:r w:rsidRPr="00AF280B">
        <w:t xml:space="preserve">etailer will need to implement </w:t>
      </w:r>
      <w:r w:rsidR="008F5ADD">
        <w:t>‘</w:t>
      </w:r>
      <w:r w:rsidRPr="00AF280B">
        <w:t>account attachment to consent</w:t>
      </w:r>
      <w:r w:rsidR="008F5ADD">
        <w:t>’</w:t>
      </w:r>
      <w:r w:rsidRPr="00AF280B">
        <w:t xml:space="preserve"> as a technical pattern. It should be noted that this impact is independent of how secondary users, non-individual and business partnerships are managed</w:t>
      </w:r>
      <w:r w:rsidR="00441B3F">
        <w:t>,</w:t>
      </w:r>
      <w:r w:rsidRPr="00AF280B">
        <w:t xml:space="preserve"> as these requirements would normally</w:t>
      </w:r>
      <w:r>
        <w:t xml:space="preserve"> be</w:t>
      </w:r>
      <w:r w:rsidRPr="00AF280B">
        <w:t xml:space="preserve"> implemented as attributes of the account rather than attributes of consent.</w:t>
      </w:r>
    </w:p>
    <w:p w14:paraId="19BF48DE" w14:textId="77777777" w:rsidR="00AA19C4" w:rsidRDefault="00AA19C4" w:rsidP="00CE2F35">
      <w:pPr>
        <w:pStyle w:val="Normal-Numberedparagraphs"/>
        <w:spacing w:line="256" w:lineRule="auto"/>
      </w:pPr>
      <w:r>
        <w:t>If the ability for consumers to elect to include or exclude accounts from a consent is adopted, then data holders and accredited data recipients would need to accommodate the following in their implementations:</w:t>
      </w:r>
    </w:p>
    <w:p w14:paraId="5A5B266B" w14:textId="77777777" w:rsidR="00AA19C4" w:rsidRDefault="00AA19C4" w:rsidP="00AA19C4">
      <w:pPr>
        <w:pStyle w:val="Normal-Numberedparagraphs"/>
        <w:numPr>
          <w:ilvl w:val="1"/>
          <w:numId w:val="9"/>
        </w:numPr>
        <w:spacing w:line="256" w:lineRule="auto"/>
      </w:pPr>
      <w:r>
        <w:t>the ability for a consumer to choose which accounts to share from during the authorisation flow; and</w:t>
      </w:r>
    </w:p>
    <w:p w14:paraId="75DDB26E" w14:textId="77777777" w:rsidR="00AA19C4" w:rsidRDefault="00AA19C4" w:rsidP="00AA19C4">
      <w:pPr>
        <w:pStyle w:val="Normal-Numberedparagraphs"/>
        <w:numPr>
          <w:ilvl w:val="1"/>
          <w:numId w:val="9"/>
        </w:numPr>
        <w:spacing w:line="256" w:lineRule="auto"/>
        <w:rPr>
          <w:rFonts w:eastAsiaTheme="minorEastAsia"/>
        </w:rPr>
      </w:pPr>
      <w:r>
        <w:t xml:space="preserve">the ability for a data holder to reliably communicate an amended list of accounts if it is later changed and a data request is made. </w:t>
      </w:r>
    </w:p>
    <w:p w14:paraId="551324D0" w14:textId="77777777" w:rsidR="00AA19C4" w:rsidRDefault="00AA19C4" w:rsidP="00CE2F35">
      <w:pPr>
        <w:pStyle w:val="Normal-Numberedparagraphs"/>
        <w:spacing w:line="256" w:lineRule="auto"/>
        <w:rPr>
          <w:rFonts w:eastAsiaTheme="minorEastAsia"/>
        </w:rPr>
      </w:pPr>
      <w:r>
        <w:t>While the more simplistic model will reduce implementation time and costs, it will also mean that non-banking consumers will not be offered the choice to control which elements to disclose data from. All available accounts or equivalent elements will be included by default.</w:t>
      </w:r>
    </w:p>
    <w:p w14:paraId="5A782D55" w14:textId="3DD52BD4" w:rsidR="00AA19C4" w:rsidRDefault="00A04F44" w:rsidP="00CE2F35">
      <w:pPr>
        <w:pStyle w:val="Normal-Numberedparagraphs"/>
        <w:spacing w:line="256" w:lineRule="auto"/>
      </w:pPr>
      <w:r>
        <w:t xml:space="preserve">See </w:t>
      </w:r>
      <w:hyperlink r:id="rId27" w:history="1">
        <w:r>
          <w:rPr>
            <w:rStyle w:val="Hyperlink"/>
          </w:rPr>
          <w:t>Flows 2.1 – 2.3</w:t>
        </w:r>
      </w:hyperlink>
      <w:r>
        <w:t xml:space="preserve"> (</w:t>
      </w:r>
      <w:hyperlink r:id="rId28" w:history="1">
        <w:r w:rsidRPr="00844A79">
          <w:rPr>
            <w:rStyle w:val="Hyperlink"/>
          </w:rPr>
          <w:t>PDF versions</w:t>
        </w:r>
      </w:hyperlink>
      <w:r w:rsidRPr="00844A79">
        <w:t>)</w:t>
      </w:r>
      <w:r>
        <w:t xml:space="preserve"> for hypothetical wireframe examples concerning the account selection step based on current and hypothetical states</w:t>
      </w:r>
      <w:r w:rsidR="00AA19C4">
        <w:t>.</w:t>
      </w:r>
    </w:p>
    <w:tbl>
      <w:tblPr>
        <w:tblStyle w:val="TableGrid"/>
        <w:tblW w:w="0" w:type="auto"/>
        <w:tblLook w:val="04A0" w:firstRow="1" w:lastRow="0" w:firstColumn="1" w:lastColumn="0" w:noHBand="0" w:noVBand="1"/>
      </w:tblPr>
      <w:tblGrid>
        <w:gridCol w:w="9016"/>
      </w:tblGrid>
      <w:tr w:rsidR="00212327" w14:paraId="6B064307" w14:textId="77777777" w:rsidTr="00EF39D1">
        <w:tc>
          <w:tcPr>
            <w:tcW w:w="9016" w:type="dxa"/>
            <w:tcBorders>
              <w:top w:val="single" w:sz="4" w:space="0" w:color="auto"/>
              <w:left w:val="single" w:sz="4" w:space="0" w:color="auto"/>
              <w:bottom w:val="single" w:sz="4" w:space="0" w:color="auto"/>
              <w:right w:val="single" w:sz="4" w:space="0" w:color="auto"/>
            </w:tcBorders>
            <w:hideMark/>
          </w:tcPr>
          <w:p w14:paraId="2CCA3DC1" w14:textId="77777777" w:rsidR="00212327" w:rsidRDefault="00212327" w:rsidP="00EF39D1">
            <w:pPr>
              <w:pStyle w:val="OutlineNumbered1"/>
              <w:numPr>
                <w:ilvl w:val="0"/>
                <w:numId w:val="0"/>
              </w:numPr>
              <w:tabs>
                <w:tab w:val="left" w:pos="720"/>
              </w:tabs>
              <w:ind w:left="520" w:hanging="520"/>
              <w:rPr>
                <w:b/>
                <w:bCs/>
              </w:rPr>
            </w:pPr>
            <w:r>
              <w:rPr>
                <w:b/>
                <w:bCs/>
              </w:rPr>
              <w:t>Questions</w:t>
            </w:r>
          </w:p>
          <w:p w14:paraId="65AFE609" w14:textId="2360995D" w:rsidR="00212327" w:rsidRDefault="00212327" w:rsidP="00EF39D1">
            <w:pPr>
              <w:pStyle w:val="OutlineNumbered1"/>
            </w:pPr>
            <w:r>
              <w:t>Are the existing account selection standards appropriate for the energy sector</w:t>
            </w:r>
            <w:r w:rsidR="00572819">
              <w:t xml:space="preserve"> and, more broadly, economy-wide</w:t>
            </w:r>
            <w:r>
              <w:t>? Why</w:t>
            </w:r>
            <w:r w:rsidR="003D1A59">
              <w:t>/</w:t>
            </w:r>
            <w:r>
              <w:t>why not?</w:t>
            </w:r>
          </w:p>
          <w:p w14:paraId="59B21576" w14:textId="77777777" w:rsidR="00212327" w:rsidRDefault="00212327" w:rsidP="00EF39D1">
            <w:pPr>
              <w:pStyle w:val="OutlineNumbered1"/>
            </w:pPr>
            <w:r>
              <w:t>Are other elements appropriate equivalents to or substitutes for ‘accounts’ in other sectors for the purposes of this standard? If so, what are some examples?</w:t>
            </w:r>
          </w:p>
          <w:p w14:paraId="1FEE3E3D" w14:textId="5D6CCE61" w:rsidR="00212327" w:rsidRDefault="00212327" w:rsidP="00EF39D1">
            <w:pPr>
              <w:pStyle w:val="OutlineNumbered1"/>
            </w:pPr>
            <w:r>
              <w:t>Should the account selection standards be</w:t>
            </w:r>
            <w:r w:rsidR="001E7212">
              <w:t xml:space="preserve"> </w:t>
            </w:r>
            <w:r w:rsidR="00A22091">
              <w:t>amended</w:t>
            </w:r>
            <w:r>
              <w:t xml:space="preserve"> to apply flexibly and in a sector</w:t>
            </w:r>
            <w:r>
              <w:noBreakHyphen/>
              <w:t>agnostic way? If so, how might this occur?</w:t>
            </w:r>
          </w:p>
          <w:p w14:paraId="11D672FE" w14:textId="77777777" w:rsidR="00212327" w:rsidRDefault="00212327" w:rsidP="00EF39D1">
            <w:pPr>
              <w:pStyle w:val="OutlineNumbered1"/>
            </w:pPr>
            <w:r>
              <w:t>What other considerations exist concerning consumer control over which elements to share data from?</w:t>
            </w:r>
          </w:p>
        </w:tc>
      </w:tr>
    </w:tbl>
    <w:p w14:paraId="12C011A0" w14:textId="77777777" w:rsidR="00DC284D" w:rsidRDefault="00DC284D" w:rsidP="00A3289F">
      <w:pPr>
        <w:pStyle w:val="Normal-Numberedparagraphs"/>
        <w:numPr>
          <w:ilvl w:val="0"/>
          <w:numId w:val="0"/>
        </w:numPr>
        <w:ind w:left="360"/>
      </w:pPr>
    </w:p>
    <w:sectPr w:rsidR="00DC284D" w:rsidSect="00A2149F">
      <w:headerReference w:type="even" r:id="rId29"/>
      <w:footerReference w:type="even" r:id="rId30"/>
      <w:footerReference w:type="default" r:id="rId31"/>
      <w:headerReference w:type="first" r:id="rId32"/>
      <w:footerReference w:type="first" r:id="rId33"/>
      <w:type w:val="continuous"/>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158C0" w14:textId="77777777" w:rsidR="00712A0A" w:rsidRDefault="00712A0A" w:rsidP="009C6A3E">
      <w:pPr>
        <w:spacing w:line="240" w:lineRule="auto"/>
      </w:pPr>
      <w:r>
        <w:separator/>
      </w:r>
    </w:p>
  </w:endnote>
  <w:endnote w:type="continuationSeparator" w:id="0">
    <w:p w14:paraId="588B88CD" w14:textId="77777777" w:rsidR="00712A0A" w:rsidRDefault="00712A0A" w:rsidP="009C6A3E">
      <w:pPr>
        <w:spacing w:line="240" w:lineRule="auto"/>
      </w:pPr>
      <w:r>
        <w:continuationSeparator/>
      </w:r>
    </w:p>
  </w:endnote>
  <w:endnote w:type="continuationNotice" w:id="1">
    <w:p w14:paraId="72AE3F4F" w14:textId="77777777" w:rsidR="00712A0A" w:rsidRDefault="00712A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6F719" w14:textId="3E1E6006" w:rsidR="00C641D1" w:rsidRDefault="00C641D1">
    <w:pPr>
      <w:pStyle w:val="Footer"/>
    </w:pPr>
  </w:p>
  <w:p w14:paraId="2E56A2A5" w14:textId="0E8DBA1C" w:rsidR="00C641D1" w:rsidRDefault="00E0026A" w:rsidP="00880D7B">
    <w:pPr>
      <w:pStyle w:val="SecurityClassificationFooter"/>
    </w:pPr>
    <w:fldSimple w:instr=" DOCPROPERTY WorkingDocStatus \* MERGEFORMAT ">
      <w:r w:rsidR="0025041F">
        <w:t>DRAFT WORKING DOCUMENT</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5307219"/>
      <w:docPartObj>
        <w:docPartGallery w:val="Page Numbers (Bottom of Page)"/>
        <w:docPartUnique/>
      </w:docPartObj>
    </w:sdtPr>
    <w:sdtEndPr>
      <w:rPr>
        <w:color w:val="7F7F7F" w:themeColor="background1" w:themeShade="7F"/>
        <w:spacing w:val="60"/>
        <w:sz w:val="16"/>
        <w:szCs w:val="16"/>
      </w:rPr>
    </w:sdtEndPr>
    <w:sdtContent>
      <w:p w14:paraId="71BC885F" w14:textId="23FF66B9" w:rsidR="00C641D1" w:rsidRPr="00A2149F" w:rsidRDefault="00C641D1" w:rsidP="00A2149F">
        <w:pPr>
          <w:pStyle w:val="Footer"/>
          <w:pBdr>
            <w:top w:val="single" w:sz="4" w:space="1" w:color="D9D9D9" w:themeColor="background1" w:themeShade="D9"/>
          </w:pBdr>
          <w:jc w:val="right"/>
          <w:rPr>
            <w:sz w:val="16"/>
            <w:szCs w:val="16"/>
          </w:rPr>
        </w:pPr>
        <w:r w:rsidRPr="009A5E56">
          <w:rPr>
            <w:sz w:val="16"/>
            <w:szCs w:val="16"/>
          </w:rPr>
          <w:fldChar w:fldCharType="begin"/>
        </w:r>
        <w:r w:rsidRPr="009A5E56">
          <w:rPr>
            <w:sz w:val="16"/>
            <w:szCs w:val="16"/>
          </w:rPr>
          <w:instrText xml:space="preserve"> PAGE   \* MERGEFORMAT </w:instrText>
        </w:r>
        <w:r w:rsidRPr="009A5E56">
          <w:rPr>
            <w:sz w:val="16"/>
            <w:szCs w:val="16"/>
          </w:rPr>
          <w:fldChar w:fldCharType="separate"/>
        </w:r>
        <w:r>
          <w:rPr>
            <w:noProof/>
            <w:sz w:val="16"/>
            <w:szCs w:val="16"/>
          </w:rPr>
          <w:t>12</w:t>
        </w:r>
        <w:r w:rsidRPr="009A5E56">
          <w:rPr>
            <w:noProof/>
            <w:sz w:val="16"/>
            <w:szCs w:val="16"/>
          </w:rPr>
          <w:fldChar w:fldCharType="end"/>
        </w:r>
        <w:r w:rsidRPr="009A5E56">
          <w:rPr>
            <w:sz w:val="16"/>
            <w:szCs w:val="16"/>
          </w:rPr>
          <w:t xml:space="preserve"> | </w:t>
        </w:r>
        <w:r w:rsidRPr="009A5E56">
          <w:rPr>
            <w:color w:val="7F7F7F" w:themeColor="background1" w:themeShade="7F"/>
            <w:spacing w:val="60"/>
            <w:sz w:val="16"/>
            <w:szCs w:val="16"/>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47D88" w14:textId="36A6C39F" w:rsidR="00C641D1" w:rsidRDefault="00C641D1">
    <w:pPr>
      <w:pStyle w:val="Footer"/>
    </w:pPr>
  </w:p>
  <w:p w14:paraId="36AB8AE5" w14:textId="50C469D7" w:rsidR="00C641D1" w:rsidRDefault="00E0026A" w:rsidP="00880D7B">
    <w:pPr>
      <w:pStyle w:val="SecurityClassificationFooter"/>
    </w:pPr>
    <w:fldSimple w:instr=" DOCPROPERTY WorkingDocStatus \* MERGEFORMAT ">
      <w:r w:rsidR="0025041F">
        <w:t>DRAFT WORKING DOCUMENT</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0DD55" w14:textId="77777777" w:rsidR="00712A0A" w:rsidRDefault="00712A0A" w:rsidP="009C6A3E">
      <w:pPr>
        <w:spacing w:line="240" w:lineRule="auto"/>
      </w:pPr>
      <w:r>
        <w:separator/>
      </w:r>
    </w:p>
  </w:footnote>
  <w:footnote w:type="continuationSeparator" w:id="0">
    <w:p w14:paraId="1F8F2EB0" w14:textId="77777777" w:rsidR="00712A0A" w:rsidRDefault="00712A0A" w:rsidP="009C6A3E">
      <w:pPr>
        <w:spacing w:line="240" w:lineRule="auto"/>
      </w:pPr>
      <w:r>
        <w:continuationSeparator/>
      </w:r>
    </w:p>
  </w:footnote>
  <w:footnote w:type="continuationNotice" w:id="1">
    <w:p w14:paraId="18B77D2D" w14:textId="77777777" w:rsidR="00712A0A" w:rsidRDefault="00712A0A">
      <w:pPr>
        <w:spacing w:after="0" w:line="240" w:lineRule="auto"/>
      </w:pPr>
    </w:p>
  </w:footnote>
  <w:footnote w:id="2">
    <w:p w14:paraId="43E2471E" w14:textId="541C01E5" w:rsidR="00C641D1" w:rsidRDefault="00C641D1" w:rsidP="00D240B4">
      <w:pPr>
        <w:pStyle w:val="FootnoteText"/>
        <w:ind w:left="709" w:hanging="709"/>
      </w:pPr>
      <w:r>
        <w:rPr>
          <w:rStyle w:val="FootnoteReference"/>
        </w:rPr>
        <w:footnoteRef/>
      </w:r>
      <w:r>
        <w:t xml:space="preserve"> </w:t>
      </w:r>
      <w:r>
        <w:tab/>
        <w:t xml:space="preserve">See </w:t>
      </w:r>
      <w:hyperlink r:id="rId1" w:history="1">
        <w:r w:rsidRPr="001E4C63">
          <w:rPr>
            <w:rStyle w:val="Hyperlink"/>
          </w:rPr>
          <w:t>https://www.aemc.gov.au/market-reviews-advice/review-regulatory-framework-metering-services</w:t>
        </w:r>
      </w:hyperlink>
      <w:r>
        <w:t xml:space="preserve"> for further information on the AEMC’s review of the regulatory framework for metering services.</w:t>
      </w:r>
    </w:p>
  </w:footnote>
  <w:footnote w:id="3">
    <w:p w14:paraId="18D0152F" w14:textId="3BF0F6CA" w:rsidR="00C641D1" w:rsidRDefault="00C641D1" w:rsidP="00B6617D">
      <w:pPr>
        <w:pStyle w:val="FootnoteText"/>
        <w:ind w:left="709" w:hanging="709"/>
      </w:pPr>
      <w:r>
        <w:rPr>
          <w:rStyle w:val="FootnoteReference"/>
        </w:rPr>
        <w:footnoteRef/>
      </w:r>
      <w:r>
        <w:t xml:space="preserve"> </w:t>
      </w:r>
      <w:r>
        <w:tab/>
        <w:t xml:space="preserve">Consumer experience data standards changes may be required for other areas that will impact energy sector participants, including the approach to joint accounts, which is being consulted on </w:t>
      </w:r>
      <w:hyperlink r:id="rId2" w:history="1">
        <w:r w:rsidRPr="00B56F3D">
          <w:rPr>
            <w:rStyle w:val="Hyperlink"/>
          </w:rPr>
          <w:t>here</w:t>
        </w:r>
      </w:hyperlink>
      <w:r>
        <w:t xml:space="preserve">. </w:t>
      </w:r>
    </w:p>
  </w:footnote>
  <w:footnote w:id="4">
    <w:p w14:paraId="7E94B614" w14:textId="4E376080" w:rsidR="00C641D1" w:rsidRDefault="00C641D1" w:rsidP="002F035E">
      <w:pPr>
        <w:pStyle w:val="FootnoteText"/>
        <w:ind w:left="709" w:hanging="709"/>
      </w:pPr>
      <w:r>
        <w:rPr>
          <w:rStyle w:val="FootnoteReference"/>
        </w:rPr>
        <w:footnoteRef/>
      </w:r>
      <w:r>
        <w:t xml:space="preserve"> </w:t>
      </w:r>
      <w:r>
        <w:tab/>
        <w:t>Non-functional requirements consist of the technical thresholds and levels that participants need to meet for their technical implementations. These requirements include considerations such as availability, responsiveness and capacity.</w:t>
      </w:r>
    </w:p>
  </w:footnote>
  <w:footnote w:id="5">
    <w:p w14:paraId="0135AE07" w14:textId="5C9D7B14" w:rsidR="00C641D1" w:rsidRDefault="00C641D1" w:rsidP="002F035E">
      <w:pPr>
        <w:pStyle w:val="FootnoteText"/>
        <w:ind w:left="709" w:hanging="709"/>
      </w:pPr>
      <w:r>
        <w:rPr>
          <w:rStyle w:val="FootnoteReference"/>
        </w:rPr>
        <w:footnoteRef/>
      </w:r>
      <w:r>
        <w:t xml:space="preserve"> </w:t>
      </w:r>
      <w:r>
        <w:tab/>
        <w:t>The metrics reporting mechanisms include APIs to report of specific measures of performance. These metrics allow the regulator to understand both the performance and compliance of individual participants and the overall health and performance of the CDR regime as a whole.</w:t>
      </w:r>
    </w:p>
  </w:footnote>
  <w:footnote w:id="6">
    <w:p w14:paraId="2F3EDD98" w14:textId="1B02E2D7" w:rsidR="00C641D1" w:rsidRDefault="00C641D1" w:rsidP="003B7701">
      <w:pPr>
        <w:pStyle w:val="FootnoteText"/>
        <w:ind w:left="709" w:hanging="709"/>
      </w:pPr>
      <w:r>
        <w:rPr>
          <w:rStyle w:val="FootnoteReference"/>
        </w:rPr>
        <w:footnoteRef/>
      </w:r>
      <w:r>
        <w:t xml:space="preserve"> </w:t>
      </w:r>
      <w:r>
        <w:tab/>
        <w:t xml:space="preserve">For the purposes of this paper, the term ‘element’ is used to refer to a potentially discrete aspect of a consumer’s plan or account that may generate data about different subjects. A hypothetical example for an electricity consumer may include two distinct NMIs which relate to two separate properties.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E1E02" w14:textId="0144A1C6" w:rsidR="00C641D1" w:rsidRPr="00880D7B" w:rsidRDefault="00C641D1" w:rsidP="00880D7B">
    <w:pPr>
      <w:pStyle w:val="SecurityClassificationHeader"/>
    </w:pPr>
    <w:r w:rsidRPr="00341612">
      <w:rPr>
        <w:highlight w:val="yellow"/>
      </w:rPr>
      <w:fldChar w:fldCharType="begin"/>
    </w:r>
    <w:r w:rsidRPr="00341612">
      <w:rPr>
        <w:highlight w:val="yellow"/>
      </w:rPr>
      <w:instrText xml:space="preserve"> DOCPROPERTY WorkingDocStatus \* MERGEFORMAT </w:instrText>
    </w:r>
    <w:r w:rsidRPr="00341612">
      <w:rPr>
        <w:highlight w:val="yellow"/>
      </w:rPr>
      <w:fldChar w:fldCharType="separate"/>
    </w:r>
    <w:r w:rsidR="0025041F">
      <w:rPr>
        <w:highlight w:val="yellow"/>
      </w:rPr>
      <w:t>DRAFT WORKING DOCUMENT</w:t>
    </w:r>
    <w:r w:rsidRPr="00341612">
      <w:rPr>
        <w:highlight w:val="yellow"/>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A1618" w14:textId="4935FD96" w:rsidR="00C641D1" w:rsidRPr="00880D7B" w:rsidRDefault="00E0026A" w:rsidP="00880D7B">
    <w:pPr>
      <w:pStyle w:val="SecurityClassificationHeader"/>
    </w:pPr>
    <w:fldSimple w:instr=" DOCPROPERTY WorkingDocStatus \* MERGEFORMAT ">
      <w:r w:rsidR="0025041F">
        <w:t>DRAFT WORKING DOCUMENT</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30AF"/>
    <w:multiLevelType w:val="hybridMultilevel"/>
    <w:tmpl w:val="C6B6D9F8"/>
    <w:lvl w:ilvl="0" w:tplc="B1DA882C">
      <w:start w:val="1"/>
      <w:numFmt w:val="bullet"/>
      <w:lvlText w:val="•"/>
      <w:lvlJc w:val="left"/>
      <w:pPr>
        <w:tabs>
          <w:tab w:val="num" w:pos="720"/>
        </w:tabs>
        <w:ind w:left="720" w:hanging="360"/>
      </w:pPr>
      <w:rPr>
        <w:rFonts w:ascii="Times New Roman" w:hAnsi="Times New Roman" w:hint="default"/>
      </w:rPr>
    </w:lvl>
    <w:lvl w:ilvl="1" w:tplc="94DAFC0C" w:tentative="1">
      <w:start w:val="1"/>
      <w:numFmt w:val="bullet"/>
      <w:lvlText w:val="•"/>
      <w:lvlJc w:val="left"/>
      <w:pPr>
        <w:tabs>
          <w:tab w:val="num" w:pos="1440"/>
        </w:tabs>
        <w:ind w:left="1440" w:hanging="360"/>
      </w:pPr>
      <w:rPr>
        <w:rFonts w:ascii="Times New Roman" w:hAnsi="Times New Roman" w:hint="default"/>
      </w:rPr>
    </w:lvl>
    <w:lvl w:ilvl="2" w:tplc="FEB2B972" w:tentative="1">
      <w:start w:val="1"/>
      <w:numFmt w:val="bullet"/>
      <w:lvlText w:val="•"/>
      <w:lvlJc w:val="left"/>
      <w:pPr>
        <w:tabs>
          <w:tab w:val="num" w:pos="2160"/>
        </w:tabs>
        <w:ind w:left="2160" w:hanging="360"/>
      </w:pPr>
      <w:rPr>
        <w:rFonts w:ascii="Times New Roman" w:hAnsi="Times New Roman" w:hint="default"/>
      </w:rPr>
    </w:lvl>
    <w:lvl w:ilvl="3" w:tplc="FA10C7CA" w:tentative="1">
      <w:start w:val="1"/>
      <w:numFmt w:val="bullet"/>
      <w:lvlText w:val="•"/>
      <w:lvlJc w:val="left"/>
      <w:pPr>
        <w:tabs>
          <w:tab w:val="num" w:pos="2880"/>
        </w:tabs>
        <w:ind w:left="2880" w:hanging="360"/>
      </w:pPr>
      <w:rPr>
        <w:rFonts w:ascii="Times New Roman" w:hAnsi="Times New Roman" w:hint="default"/>
      </w:rPr>
    </w:lvl>
    <w:lvl w:ilvl="4" w:tplc="177C77F0" w:tentative="1">
      <w:start w:val="1"/>
      <w:numFmt w:val="bullet"/>
      <w:lvlText w:val="•"/>
      <w:lvlJc w:val="left"/>
      <w:pPr>
        <w:tabs>
          <w:tab w:val="num" w:pos="3600"/>
        </w:tabs>
        <w:ind w:left="3600" w:hanging="360"/>
      </w:pPr>
      <w:rPr>
        <w:rFonts w:ascii="Times New Roman" w:hAnsi="Times New Roman" w:hint="default"/>
      </w:rPr>
    </w:lvl>
    <w:lvl w:ilvl="5" w:tplc="9A6C8A5A" w:tentative="1">
      <w:start w:val="1"/>
      <w:numFmt w:val="bullet"/>
      <w:lvlText w:val="•"/>
      <w:lvlJc w:val="left"/>
      <w:pPr>
        <w:tabs>
          <w:tab w:val="num" w:pos="4320"/>
        </w:tabs>
        <w:ind w:left="4320" w:hanging="360"/>
      </w:pPr>
      <w:rPr>
        <w:rFonts w:ascii="Times New Roman" w:hAnsi="Times New Roman" w:hint="default"/>
      </w:rPr>
    </w:lvl>
    <w:lvl w:ilvl="6" w:tplc="481E0E6C" w:tentative="1">
      <w:start w:val="1"/>
      <w:numFmt w:val="bullet"/>
      <w:lvlText w:val="•"/>
      <w:lvlJc w:val="left"/>
      <w:pPr>
        <w:tabs>
          <w:tab w:val="num" w:pos="5040"/>
        </w:tabs>
        <w:ind w:left="5040" w:hanging="360"/>
      </w:pPr>
      <w:rPr>
        <w:rFonts w:ascii="Times New Roman" w:hAnsi="Times New Roman" w:hint="default"/>
      </w:rPr>
    </w:lvl>
    <w:lvl w:ilvl="7" w:tplc="A8264304" w:tentative="1">
      <w:start w:val="1"/>
      <w:numFmt w:val="bullet"/>
      <w:lvlText w:val="•"/>
      <w:lvlJc w:val="left"/>
      <w:pPr>
        <w:tabs>
          <w:tab w:val="num" w:pos="5760"/>
        </w:tabs>
        <w:ind w:left="5760" w:hanging="360"/>
      </w:pPr>
      <w:rPr>
        <w:rFonts w:ascii="Times New Roman" w:hAnsi="Times New Roman" w:hint="default"/>
      </w:rPr>
    </w:lvl>
    <w:lvl w:ilvl="8" w:tplc="5B08D1B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435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AF4C2E"/>
    <w:multiLevelType w:val="multilevel"/>
    <w:tmpl w:val="EE70D86A"/>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0D5D580E"/>
    <w:multiLevelType w:val="hybridMultilevel"/>
    <w:tmpl w:val="A4609DDE"/>
    <w:lvl w:ilvl="0" w:tplc="86A0390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D2542B"/>
    <w:multiLevelType w:val="hybridMultilevel"/>
    <w:tmpl w:val="35148C48"/>
    <w:lvl w:ilvl="0" w:tplc="8EFE4E74">
      <w:start w:val="1"/>
      <w:numFmt w:val="decimal"/>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5B73952"/>
    <w:multiLevelType w:val="multilevel"/>
    <w:tmpl w:val="777433EE"/>
    <w:lvl w:ilvl="0">
      <w:start w:val="1"/>
      <w:numFmt w:val="bullet"/>
      <w:lvlText w:val="•"/>
      <w:lvlJc w:val="left"/>
      <w:pPr>
        <w:tabs>
          <w:tab w:val="num" w:pos="880"/>
        </w:tabs>
        <w:ind w:left="880" w:hanging="520"/>
      </w:pPr>
      <w:rPr>
        <w:rFonts w:ascii="Times New Roman" w:hAnsi="Times New Roman" w:cs="Times New Roman"/>
      </w:rPr>
    </w:lvl>
    <w:lvl w:ilvl="1">
      <w:start w:val="1"/>
      <w:numFmt w:val="bullet"/>
      <w:lvlText w:val=""/>
      <w:lvlJc w:val="left"/>
      <w:pPr>
        <w:tabs>
          <w:tab w:val="num" w:pos="1400"/>
        </w:tabs>
        <w:ind w:left="1400" w:hanging="520"/>
      </w:pPr>
      <w:rPr>
        <w:rFonts w:ascii="Symbol" w:hAnsi="Symbol" w:hint="default"/>
      </w:rPr>
    </w:lvl>
    <w:lvl w:ilvl="2">
      <w:start w:val="1"/>
      <w:numFmt w:val="bullet"/>
      <w:lvlText w:val=":"/>
      <w:lvlJc w:val="left"/>
      <w:pPr>
        <w:tabs>
          <w:tab w:val="num" w:pos="1920"/>
        </w:tabs>
        <w:ind w:left="1920" w:hanging="520"/>
      </w:pPr>
      <w:rPr>
        <w:rFonts w:ascii="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6" w15:restartNumberingAfterBreak="0">
    <w:nsid w:val="233727BD"/>
    <w:multiLevelType w:val="hybridMultilevel"/>
    <w:tmpl w:val="4B8A4680"/>
    <w:lvl w:ilvl="0" w:tplc="1AE08D68">
      <w:start w:val="1"/>
      <w:numFmt w:val="bullet"/>
      <w:lvlText w:val="•"/>
      <w:lvlJc w:val="left"/>
      <w:pPr>
        <w:tabs>
          <w:tab w:val="num" w:pos="720"/>
        </w:tabs>
        <w:ind w:left="720" w:hanging="360"/>
      </w:pPr>
      <w:rPr>
        <w:rFonts w:ascii="Times New Roman" w:hAnsi="Times New Roman" w:hint="default"/>
      </w:rPr>
    </w:lvl>
    <w:lvl w:ilvl="1" w:tplc="719847AA" w:tentative="1">
      <w:start w:val="1"/>
      <w:numFmt w:val="bullet"/>
      <w:lvlText w:val="•"/>
      <w:lvlJc w:val="left"/>
      <w:pPr>
        <w:tabs>
          <w:tab w:val="num" w:pos="1440"/>
        </w:tabs>
        <w:ind w:left="1440" w:hanging="360"/>
      </w:pPr>
      <w:rPr>
        <w:rFonts w:ascii="Times New Roman" w:hAnsi="Times New Roman" w:hint="default"/>
      </w:rPr>
    </w:lvl>
    <w:lvl w:ilvl="2" w:tplc="AB6CBE44" w:tentative="1">
      <w:start w:val="1"/>
      <w:numFmt w:val="bullet"/>
      <w:lvlText w:val="•"/>
      <w:lvlJc w:val="left"/>
      <w:pPr>
        <w:tabs>
          <w:tab w:val="num" w:pos="2160"/>
        </w:tabs>
        <w:ind w:left="2160" w:hanging="360"/>
      </w:pPr>
      <w:rPr>
        <w:rFonts w:ascii="Times New Roman" w:hAnsi="Times New Roman" w:hint="default"/>
      </w:rPr>
    </w:lvl>
    <w:lvl w:ilvl="3" w:tplc="B1ACADF4" w:tentative="1">
      <w:start w:val="1"/>
      <w:numFmt w:val="bullet"/>
      <w:lvlText w:val="•"/>
      <w:lvlJc w:val="left"/>
      <w:pPr>
        <w:tabs>
          <w:tab w:val="num" w:pos="2880"/>
        </w:tabs>
        <w:ind w:left="2880" w:hanging="360"/>
      </w:pPr>
      <w:rPr>
        <w:rFonts w:ascii="Times New Roman" w:hAnsi="Times New Roman" w:hint="default"/>
      </w:rPr>
    </w:lvl>
    <w:lvl w:ilvl="4" w:tplc="DF822C82" w:tentative="1">
      <w:start w:val="1"/>
      <w:numFmt w:val="bullet"/>
      <w:lvlText w:val="•"/>
      <w:lvlJc w:val="left"/>
      <w:pPr>
        <w:tabs>
          <w:tab w:val="num" w:pos="3600"/>
        </w:tabs>
        <w:ind w:left="3600" w:hanging="360"/>
      </w:pPr>
      <w:rPr>
        <w:rFonts w:ascii="Times New Roman" w:hAnsi="Times New Roman" w:hint="default"/>
      </w:rPr>
    </w:lvl>
    <w:lvl w:ilvl="5" w:tplc="BD7A8860" w:tentative="1">
      <w:start w:val="1"/>
      <w:numFmt w:val="bullet"/>
      <w:lvlText w:val="•"/>
      <w:lvlJc w:val="left"/>
      <w:pPr>
        <w:tabs>
          <w:tab w:val="num" w:pos="4320"/>
        </w:tabs>
        <w:ind w:left="4320" w:hanging="360"/>
      </w:pPr>
      <w:rPr>
        <w:rFonts w:ascii="Times New Roman" w:hAnsi="Times New Roman" w:hint="default"/>
      </w:rPr>
    </w:lvl>
    <w:lvl w:ilvl="6" w:tplc="64AA4866" w:tentative="1">
      <w:start w:val="1"/>
      <w:numFmt w:val="bullet"/>
      <w:lvlText w:val="•"/>
      <w:lvlJc w:val="left"/>
      <w:pPr>
        <w:tabs>
          <w:tab w:val="num" w:pos="5040"/>
        </w:tabs>
        <w:ind w:left="5040" w:hanging="360"/>
      </w:pPr>
      <w:rPr>
        <w:rFonts w:ascii="Times New Roman" w:hAnsi="Times New Roman" w:hint="default"/>
      </w:rPr>
    </w:lvl>
    <w:lvl w:ilvl="7" w:tplc="D6C600AC" w:tentative="1">
      <w:start w:val="1"/>
      <w:numFmt w:val="bullet"/>
      <w:lvlText w:val="•"/>
      <w:lvlJc w:val="left"/>
      <w:pPr>
        <w:tabs>
          <w:tab w:val="num" w:pos="5760"/>
        </w:tabs>
        <w:ind w:left="5760" w:hanging="360"/>
      </w:pPr>
      <w:rPr>
        <w:rFonts w:ascii="Times New Roman" w:hAnsi="Times New Roman" w:hint="default"/>
      </w:rPr>
    </w:lvl>
    <w:lvl w:ilvl="8" w:tplc="22BE47E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8945DD3"/>
    <w:multiLevelType w:val="hybridMultilevel"/>
    <w:tmpl w:val="3580B8E4"/>
    <w:lvl w:ilvl="0" w:tplc="9CEEECE6">
      <w:start w:val="1"/>
      <w:numFmt w:val="decimal"/>
      <w:pStyle w:val="Normal-Numberedparagraphs"/>
      <w:lvlText w:val="%1."/>
      <w:lvlJc w:val="left"/>
      <w:pPr>
        <w:ind w:left="360" w:hanging="360"/>
      </w:pPr>
      <w:rPr>
        <w:b w:val="0"/>
        <w:bCs w:val="0"/>
        <w:color w:val="auto"/>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F691A9B"/>
    <w:multiLevelType w:val="hybridMultilevel"/>
    <w:tmpl w:val="B5481670"/>
    <w:lvl w:ilvl="0" w:tplc="446C5A80">
      <w:start w:val="1"/>
      <w:numFmt w:val="bullet"/>
      <w:lvlText w:val="•"/>
      <w:lvlJc w:val="left"/>
      <w:pPr>
        <w:tabs>
          <w:tab w:val="num" w:pos="720"/>
        </w:tabs>
        <w:ind w:left="720" w:hanging="360"/>
      </w:pPr>
      <w:rPr>
        <w:rFonts w:ascii="Times New Roman" w:hAnsi="Times New Roman" w:hint="default"/>
      </w:rPr>
    </w:lvl>
    <w:lvl w:ilvl="1" w:tplc="630052DE" w:tentative="1">
      <w:start w:val="1"/>
      <w:numFmt w:val="bullet"/>
      <w:lvlText w:val="•"/>
      <w:lvlJc w:val="left"/>
      <w:pPr>
        <w:tabs>
          <w:tab w:val="num" w:pos="1440"/>
        </w:tabs>
        <w:ind w:left="1440" w:hanging="360"/>
      </w:pPr>
      <w:rPr>
        <w:rFonts w:ascii="Times New Roman" w:hAnsi="Times New Roman" w:hint="default"/>
      </w:rPr>
    </w:lvl>
    <w:lvl w:ilvl="2" w:tplc="6B7E4F7A" w:tentative="1">
      <w:start w:val="1"/>
      <w:numFmt w:val="bullet"/>
      <w:lvlText w:val="•"/>
      <w:lvlJc w:val="left"/>
      <w:pPr>
        <w:tabs>
          <w:tab w:val="num" w:pos="2160"/>
        </w:tabs>
        <w:ind w:left="2160" w:hanging="360"/>
      </w:pPr>
      <w:rPr>
        <w:rFonts w:ascii="Times New Roman" w:hAnsi="Times New Roman" w:hint="default"/>
      </w:rPr>
    </w:lvl>
    <w:lvl w:ilvl="3" w:tplc="50CAD9AC" w:tentative="1">
      <w:start w:val="1"/>
      <w:numFmt w:val="bullet"/>
      <w:lvlText w:val="•"/>
      <w:lvlJc w:val="left"/>
      <w:pPr>
        <w:tabs>
          <w:tab w:val="num" w:pos="2880"/>
        </w:tabs>
        <w:ind w:left="2880" w:hanging="360"/>
      </w:pPr>
      <w:rPr>
        <w:rFonts w:ascii="Times New Roman" w:hAnsi="Times New Roman" w:hint="default"/>
      </w:rPr>
    </w:lvl>
    <w:lvl w:ilvl="4" w:tplc="56824E30" w:tentative="1">
      <w:start w:val="1"/>
      <w:numFmt w:val="bullet"/>
      <w:lvlText w:val="•"/>
      <w:lvlJc w:val="left"/>
      <w:pPr>
        <w:tabs>
          <w:tab w:val="num" w:pos="3600"/>
        </w:tabs>
        <w:ind w:left="3600" w:hanging="360"/>
      </w:pPr>
      <w:rPr>
        <w:rFonts w:ascii="Times New Roman" w:hAnsi="Times New Roman" w:hint="default"/>
      </w:rPr>
    </w:lvl>
    <w:lvl w:ilvl="5" w:tplc="023270D0" w:tentative="1">
      <w:start w:val="1"/>
      <w:numFmt w:val="bullet"/>
      <w:lvlText w:val="•"/>
      <w:lvlJc w:val="left"/>
      <w:pPr>
        <w:tabs>
          <w:tab w:val="num" w:pos="4320"/>
        </w:tabs>
        <w:ind w:left="4320" w:hanging="360"/>
      </w:pPr>
      <w:rPr>
        <w:rFonts w:ascii="Times New Roman" w:hAnsi="Times New Roman" w:hint="default"/>
      </w:rPr>
    </w:lvl>
    <w:lvl w:ilvl="6" w:tplc="68A27D1A" w:tentative="1">
      <w:start w:val="1"/>
      <w:numFmt w:val="bullet"/>
      <w:lvlText w:val="•"/>
      <w:lvlJc w:val="left"/>
      <w:pPr>
        <w:tabs>
          <w:tab w:val="num" w:pos="5040"/>
        </w:tabs>
        <w:ind w:left="5040" w:hanging="360"/>
      </w:pPr>
      <w:rPr>
        <w:rFonts w:ascii="Times New Roman" w:hAnsi="Times New Roman" w:hint="default"/>
      </w:rPr>
    </w:lvl>
    <w:lvl w:ilvl="7" w:tplc="D076EC02" w:tentative="1">
      <w:start w:val="1"/>
      <w:numFmt w:val="bullet"/>
      <w:lvlText w:val="•"/>
      <w:lvlJc w:val="left"/>
      <w:pPr>
        <w:tabs>
          <w:tab w:val="num" w:pos="5760"/>
        </w:tabs>
        <w:ind w:left="5760" w:hanging="360"/>
      </w:pPr>
      <w:rPr>
        <w:rFonts w:ascii="Times New Roman" w:hAnsi="Times New Roman" w:hint="default"/>
      </w:rPr>
    </w:lvl>
    <w:lvl w:ilvl="8" w:tplc="86D2B2E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3E052D9"/>
    <w:multiLevelType w:val="multilevel"/>
    <w:tmpl w:val="06C04B30"/>
    <w:lvl w:ilvl="0">
      <w:start w:val="1"/>
      <w:numFmt w:val="bullet"/>
      <w:lvlText w:val=""/>
      <w:lvlJc w:val="left"/>
      <w:pPr>
        <w:tabs>
          <w:tab w:val="num" w:pos="520"/>
        </w:tabs>
        <w:ind w:left="520" w:hanging="520"/>
      </w:pPr>
      <w:rPr>
        <w:rFonts w:ascii="Symbol" w:hAnsi="Symbol"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450933A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973643"/>
    <w:multiLevelType w:val="hybridMultilevel"/>
    <w:tmpl w:val="BF9E9D72"/>
    <w:lvl w:ilvl="0" w:tplc="C1240A10">
      <w:start w:val="1"/>
      <w:numFmt w:val="bullet"/>
      <w:lvlText w:val="•"/>
      <w:lvlJc w:val="left"/>
      <w:pPr>
        <w:tabs>
          <w:tab w:val="num" w:pos="720"/>
        </w:tabs>
        <w:ind w:left="720" w:hanging="360"/>
      </w:pPr>
      <w:rPr>
        <w:rFonts w:ascii="Times New Roman" w:hAnsi="Times New Roman" w:hint="default"/>
      </w:rPr>
    </w:lvl>
    <w:lvl w:ilvl="1" w:tplc="70500F10" w:tentative="1">
      <w:start w:val="1"/>
      <w:numFmt w:val="bullet"/>
      <w:lvlText w:val="•"/>
      <w:lvlJc w:val="left"/>
      <w:pPr>
        <w:tabs>
          <w:tab w:val="num" w:pos="1440"/>
        </w:tabs>
        <w:ind w:left="1440" w:hanging="360"/>
      </w:pPr>
      <w:rPr>
        <w:rFonts w:ascii="Times New Roman" w:hAnsi="Times New Roman" w:hint="default"/>
      </w:rPr>
    </w:lvl>
    <w:lvl w:ilvl="2" w:tplc="16EE3040" w:tentative="1">
      <w:start w:val="1"/>
      <w:numFmt w:val="bullet"/>
      <w:lvlText w:val="•"/>
      <w:lvlJc w:val="left"/>
      <w:pPr>
        <w:tabs>
          <w:tab w:val="num" w:pos="2160"/>
        </w:tabs>
        <w:ind w:left="2160" w:hanging="360"/>
      </w:pPr>
      <w:rPr>
        <w:rFonts w:ascii="Times New Roman" w:hAnsi="Times New Roman" w:hint="default"/>
      </w:rPr>
    </w:lvl>
    <w:lvl w:ilvl="3" w:tplc="65F00042" w:tentative="1">
      <w:start w:val="1"/>
      <w:numFmt w:val="bullet"/>
      <w:lvlText w:val="•"/>
      <w:lvlJc w:val="left"/>
      <w:pPr>
        <w:tabs>
          <w:tab w:val="num" w:pos="2880"/>
        </w:tabs>
        <w:ind w:left="2880" w:hanging="360"/>
      </w:pPr>
      <w:rPr>
        <w:rFonts w:ascii="Times New Roman" w:hAnsi="Times New Roman" w:hint="default"/>
      </w:rPr>
    </w:lvl>
    <w:lvl w:ilvl="4" w:tplc="4E183CFE" w:tentative="1">
      <w:start w:val="1"/>
      <w:numFmt w:val="bullet"/>
      <w:lvlText w:val="•"/>
      <w:lvlJc w:val="left"/>
      <w:pPr>
        <w:tabs>
          <w:tab w:val="num" w:pos="3600"/>
        </w:tabs>
        <w:ind w:left="3600" w:hanging="360"/>
      </w:pPr>
      <w:rPr>
        <w:rFonts w:ascii="Times New Roman" w:hAnsi="Times New Roman" w:hint="default"/>
      </w:rPr>
    </w:lvl>
    <w:lvl w:ilvl="5" w:tplc="3A0E9E52" w:tentative="1">
      <w:start w:val="1"/>
      <w:numFmt w:val="bullet"/>
      <w:lvlText w:val="•"/>
      <w:lvlJc w:val="left"/>
      <w:pPr>
        <w:tabs>
          <w:tab w:val="num" w:pos="4320"/>
        </w:tabs>
        <w:ind w:left="4320" w:hanging="360"/>
      </w:pPr>
      <w:rPr>
        <w:rFonts w:ascii="Times New Roman" w:hAnsi="Times New Roman" w:hint="default"/>
      </w:rPr>
    </w:lvl>
    <w:lvl w:ilvl="6" w:tplc="21EA5EE6" w:tentative="1">
      <w:start w:val="1"/>
      <w:numFmt w:val="bullet"/>
      <w:lvlText w:val="•"/>
      <w:lvlJc w:val="left"/>
      <w:pPr>
        <w:tabs>
          <w:tab w:val="num" w:pos="5040"/>
        </w:tabs>
        <w:ind w:left="5040" w:hanging="360"/>
      </w:pPr>
      <w:rPr>
        <w:rFonts w:ascii="Times New Roman" w:hAnsi="Times New Roman" w:hint="default"/>
      </w:rPr>
    </w:lvl>
    <w:lvl w:ilvl="7" w:tplc="120A67BE" w:tentative="1">
      <w:start w:val="1"/>
      <w:numFmt w:val="bullet"/>
      <w:lvlText w:val="•"/>
      <w:lvlJc w:val="left"/>
      <w:pPr>
        <w:tabs>
          <w:tab w:val="num" w:pos="5760"/>
        </w:tabs>
        <w:ind w:left="5760" w:hanging="360"/>
      </w:pPr>
      <w:rPr>
        <w:rFonts w:ascii="Times New Roman" w:hAnsi="Times New Roman" w:hint="default"/>
      </w:rPr>
    </w:lvl>
    <w:lvl w:ilvl="8" w:tplc="6802742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2E005F8"/>
    <w:multiLevelType w:val="hybridMultilevel"/>
    <w:tmpl w:val="3D520604"/>
    <w:lvl w:ilvl="0" w:tplc="0EAC54D6">
      <w:start w:val="1"/>
      <w:numFmt w:val="bullet"/>
      <w:lvlText w:val="•"/>
      <w:lvlJc w:val="left"/>
      <w:pPr>
        <w:tabs>
          <w:tab w:val="num" w:pos="720"/>
        </w:tabs>
        <w:ind w:left="720" w:hanging="360"/>
      </w:pPr>
      <w:rPr>
        <w:rFonts w:ascii="Times New Roman" w:hAnsi="Times New Roman" w:hint="default"/>
      </w:rPr>
    </w:lvl>
    <w:lvl w:ilvl="1" w:tplc="F93C1B4E" w:tentative="1">
      <w:start w:val="1"/>
      <w:numFmt w:val="bullet"/>
      <w:lvlText w:val="•"/>
      <w:lvlJc w:val="left"/>
      <w:pPr>
        <w:tabs>
          <w:tab w:val="num" w:pos="1440"/>
        </w:tabs>
        <w:ind w:left="1440" w:hanging="360"/>
      </w:pPr>
      <w:rPr>
        <w:rFonts w:ascii="Times New Roman" w:hAnsi="Times New Roman" w:hint="default"/>
      </w:rPr>
    </w:lvl>
    <w:lvl w:ilvl="2" w:tplc="C0B8D18E" w:tentative="1">
      <w:start w:val="1"/>
      <w:numFmt w:val="bullet"/>
      <w:lvlText w:val="•"/>
      <w:lvlJc w:val="left"/>
      <w:pPr>
        <w:tabs>
          <w:tab w:val="num" w:pos="2160"/>
        </w:tabs>
        <w:ind w:left="2160" w:hanging="360"/>
      </w:pPr>
      <w:rPr>
        <w:rFonts w:ascii="Times New Roman" w:hAnsi="Times New Roman" w:hint="default"/>
      </w:rPr>
    </w:lvl>
    <w:lvl w:ilvl="3" w:tplc="D57C870C" w:tentative="1">
      <w:start w:val="1"/>
      <w:numFmt w:val="bullet"/>
      <w:lvlText w:val="•"/>
      <w:lvlJc w:val="left"/>
      <w:pPr>
        <w:tabs>
          <w:tab w:val="num" w:pos="2880"/>
        </w:tabs>
        <w:ind w:left="2880" w:hanging="360"/>
      </w:pPr>
      <w:rPr>
        <w:rFonts w:ascii="Times New Roman" w:hAnsi="Times New Roman" w:hint="default"/>
      </w:rPr>
    </w:lvl>
    <w:lvl w:ilvl="4" w:tplc="4416608E" w:tentative="1">
      <w:start w:val="1"/>
      <w:numFmt w:val="bullet"/>
      <w:lvlText w:val="•"/>
      <w:lvlJc w:val="left"/>
      <w:pPr>
        <w:tabs>
          <w:tab w:val="num" w:pos="3600"/>
        </w:tabs>
        <w:ind w:left="3600" w:hanging="360"/>
      </w:pPr>
      <w:rPr>
        <w:rFonts w:ascii="Times New Roman" w:hAnsi="Times New Roman" w:hint="default"/>
      </w:rPr>
    </w:lvl>
    <w:lvl w:ilvl="5" w:tplc="97181622" w:tentative="1">
      <w:start w:val="1"/>
      <w:numFmt w:val="bullet"/>
      <w:lvlText w:val="•"/>
      <w:lvlJc w:val="left"/>
      <w:pPr>
        <w:tabs>
          <w:tab w:val="num" w:pos="4320"/>
        </w:tabs>
        <w:ind w:left="4320" w:hanging="360"/>
      </w:pPr>
      <w:rPr>
        <w:rFonts w:ascii="Times New Roman" w:hAnsi="Times New Roman" w:hint="default"/>
      </w:rPr>
    </w:lvl>
    <w:lvl w:ilvl="6" w:tplc="779E7068" w:tentative="1">
      <w:start w:val="1"/>
      <w:numFmt w:val="bullet"/>
      <w:lvlText w:val="•"/>
      <w:lvlJc w:val="left"/>
      <w:pPr>
        <w:tabs>
          <w:tab w:val="num" w:pos="5040"/>
        </w:tabs>
        <w:ind w:left="5040" w:hanging="360"/>
      </w:pPr>
      <w:rPr>
        <w:rFonts w:ascii="Times New Roman" w:hAnsi="Times New Roman" w:hint="default"/>
      </w:rPr>
    </w:lvl>
    <w:lvl w:ilvl="7" w:tplc="E6FCE70C" w:tentative="1">
      <w:start w:val="1"/>
      <w:numFmt w:val="bullet"/>
      <w:lvlText w:val="•"/>
      <w:lvlJc w:val="left"/>
      <w:pPr>
        <w:tabs>
          <w:tab w:val="num" w:pos="5760"/>
        </w:tabs>
        <w:ind w:left="5760" w:hanging="360"/>
      </w:pPr>
      <w:rPr>
        <w:rFonts w:ascii="Times New Roman" w:hAnsi="Times New Roman" w:hint="default"/>
      </w:rPr>
    </w:lvl>
    <w:lvl w:ilvl="8" w:tplc="50F63FF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9855AB0"/>
    <w:multiLevelType w:val="multilevel"/>
    <w:tmpl w:val="A9D4B090"/>
    <w:lvl w:ilvl="0">
      <w:start w:val="1"/>
      <w:numFmt w:val="bullet"/>
      <w:lvlText w:val=""/>
      <w:lvlJc w:val="left"/>
      <w:pPr>
        <w:tabs>
          <w:tab w:val="num" w:pos="880"/>
        </w:tabs>
        <w:ind w:left="880" w:hanging="520"/>
      </w:pPr>
      <w:rPr>
        <w:rFonts w:ascii="Symbol" w:hAnsi="Symbol" w:hint="default"/>
      </w:rPr>
    </w:lvl>
    <w:lvl w:ilvl="1">
      <w:start w:val="1"/>
      <w:numFmt w:val="bullet"/>
      <w:lvlText w:val=""/>
      <w:lvlJc w:val="left"/>
      <w:pPr>
        <w:tabs>
          <w:tab w:val="num" w:pos="1400"/>
        </w:tabs>
        <w:ind w:left="1400" w:hanging="520"/>
      </w:pPr>
      <w:rPr>
        <w:rFonts w:ascii="Symbol" w:hAnsi="Symbol" w:hint="default"/>
      </w:rPr>
    </w:lvl>
    <w:lvl w:ilvl="2">
      <w:start w:val="1"/>
      <w:numFmt w:val="bullet"/>
      <w:lvlText w:val=":"/>
      <w:lvlJc w:val="left"/>
      <w:pPr>
        <w:tabs>
          <w:tab w:val="num" w:pos="1920"/>
        </w:tabs>
        <w:ind w:left="1920" w:hanging="520"/>
      </w:pPr>
      <w:rPr>
        <w:rFonts w:ascii="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4" w15:restartNumberingAfterBreak="0">
    <w:nsid w:val="6D6B5F48"/>
    <w:multiLevelType w:val="hybridMultilevel"/>
    <w:tmpl w:val="216A2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10302A"/>
    <w:multiLevelType w:val="hybridMultilevel"/>
    <w:tmpl w:val="0F8E2A92"/>
    <w:lvl w:ilvl="0" w:tplc="AA260B0C">
      <w:start w:val="1"/>
      <w:numFmt w:val="decimal"/>
      <w:lvlText w:val="%1."/>
      <w:lvlJc w:val="left"/>
      <w:pPr>
        <w:ind w:left="520" w:hanging="360"/>
      </w:pPr>
    </w:lvl>
    <w:lvl w:ilvl="1" w:tplc="07C44C0C">
      <w:start w:val="1"/>
      <w:numFmt w:val="lowerLetter"/>
      <w:lvlText w:val="%2."/>
      <w:lvlJc w:val="left"/>
      <w:pPr>
        <w:ind w:left="1040" w:hanging="360"/>
      </w:pPr>
    </w:lvl>
    <w:lvl w:ilvl="2" w:tplc="EB363F82">
      <w:start w:val="1"/>
      <w:numFmt w:val="lowerRoman"/>
      <w:lvlText w:val="%3."/>
      <w:lvlJc w:val="right"/>
      <w:pPr>
        <w:ind w:left="1560" w:hanging="180"/>
      </w:pPr>
    </w:lvl>
    <w:lvl w:ilvl="3" w:tplc="EB3870F2">
      <w:start w:val="1"/>
      <w:numFmt w:val="decimal"/>
      <w:lvlText w:val="%4."/>
      <w:lvlJc w:val="left"/>
      <w:pPr>
        <w:ind w:left="1440" w:hanging="360"/>
      </w:pPr>
    </w:lvl>
    <w:lvl w:ilvl="4" w:tplc="6F6AD364">
      <w:start w:val="1"/>
      <w:numFmt w:val="lowerLetter"/>
      <w:lvlText w:val="%5."/>
      <w:lvlJc w:val="left"/>
      <w:pPr>
        <w:ind w:left="1800" w:hanging="360"/>
      </w:pPr>
    </w:lvl>
    <w:lvl w:ilvl="5" w:tplc="3A3A412C">
      <w:start w:val="1"/>
      <w:numFmt w:val="lowerRoman"/>
      <w:lvlText w:val="%6."/>
      <w:lvlJc w:val="right"/>
      <w:pPr>
        <w:ind w:left="2160" w:hanging="180"/>
      </w:pPr>
    </w:lvl>
    <w:lvl w:ilvl="6" w:tplc="9DCE7054">
      <w:start w:val="1"/>
      <w:numFmt w:val="decimal"/>
      <w:lvlText w:val="%7."/>
      <w:lvlJc w:val="left"/>
      <w:pPr>
        <w:ind w:left="2520" w:hanging="360"/>
      </w:pPr>
    </w:lvl>
    <w:lvl w:ilvl="7" w:tplc="D0D4FDF0">
      <w:start w:val="1"/>
      <w:numFmt w:val="lowerLetter"/>
      <w:lvlText w:val="%8."/>
      <w:lvlJc w:val="left"/>
      <w:pPr>
        <w:ind w:left="2880" w:hanging="360"/>
      </w:pPr>
    </w:lvl>
    <w:lvl w:ilvl="8" w:tplc="9E8E5466">
      <w:start w:val="1"/>
      <w:numFmt w:val="lowerRoman"/>
      <w:lvlText w:val="%9."/>
      <w:lvlJc w:val="right"/>
      <w:pPr>
        <w:ind w:left="3240" w:hanging="180"/>
      </w:pPr>
    </w:lvl>
  </w:abstractNum>
  <w:abstractNum w:abstractNumId="16" w15:restartNumberingAfterBreak="0">
    <w:nsid w:val="765B4388"/>
    <w:multiLevelType w:val="multilevel"/>
    <w:tmpl w:val="F424B9D8"/>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7"/>
  </w:num>
  <w:num w:numId="3">
    <w:abstractNumId w:val="2"/>
  </w:num>
  <w:num w:numId="4">
    <w:abstractNumId w:val="16"/>
  </w:num>
  <w:num w:numId="5">
    <w:abstractNumId w:val="4"/>
  </w:num>
  <w:num w:numId="6">
    <w:abstractNumId w:val="3"/>
  </w:num>
  <w:num w:numId="7">
    <w:abstractNumId w:val="1"/>
  </w:num>
  <w:num w:numId="8">
    <w:abstractNumId w:val="1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7"/>
  </w:num>
  <w:num w:numId="15">
    <w:abstractNumId w:val="11"/>
  </w:num>
  <w:num w:numId="16">
    <w:abstractNumId w:val="6"/>
  </w:num>
  <w:num w:numId="17">
    <w:abstractNumId w:val="0"/>
  </w:num>
  <w:num w:numId="18">
    <w:abstractNumId w:val="12"/>
  </w:num>
  <w:num w:numId="19">
    <w:abstractNumId w:val="7"/>
  </w:num>
  <w:num w:numId="20">
    <w:abstractNumId w:val="7"/>
  </w:num>
  <w:num w:numId="21">
    <w:abstractNumId w:val="7"/>
  </w:num>
  <w:num w:numId="22">
    <w:abstractNumId w:val="7"/>
  </w:num>
  <w:num w:numId="23">
    <w:abstractNumId w:val="7"/>
  </w:num>
  <w:num w:numId="24">
    <w:abstractNumId w:val="7"/>
    <w:lvlOverride w:ilvl="0">
      <w:startOverride w:val="1"/>
    </w:lvlOverride>
  </w:num>
  <w:num w:numId="25">
    <w:abstractNumId w:val="2"/>
  </w:num>
  <w:num w:numId="26">
    <w:abstractNumId w:val="7"/>
    <w:lvlOverride w:ilvl="0">
      <w:startOverride w:val="1"/>
    </w:lvlOverride>
  </w:num>
  <w:num w:numId="27">
    <w:abstractNumId w:val="7"/>
  </w:num>
  <w:num w:numId="28">
    <w:abstractNumId w:val="5"/>
  </w:num>
  <w:num w:numId="29">
    <w:abstractNumId w:val="9"/>
  </w:num>
  <w:num w:numId="30">
    <w:abstractNumId w:val="13"/>
  </w:num>
  <w:num w:numId="31">
    <w:abstractNumId w:val="2"/>
  </w:num>
  <w:num w:numId="3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IClassificationInHeader" w:val="True"/>
    <w:docVar w:name="SecurityClassificationInHeader" w:val="False"/>
    <w:docVar w:name="SecurityDLMInHeader" w:val="False"/>
  </w:docVars>
  <w:rsids>
    <w:rsidRoot w:val="00B016A2"/>
    <w:rsid w:val="00002399"/>
    <w:rsid w:val="00003D77"/>
    <w:rsid w:val="00003DDB"/>
    <w:rsid w:val="00003E07"/>
    <w:rsid w:val="00006153"/>
    <w:rsid w:val="00007149"/>
    <w:rsid w:val="0001176B"/>
    <w:rsid w:val="0001519A"/>
    <w:rsid w:val="00015627"/>
    <w:rsid w:val="000158C7"/>
    <w:rsid w:val="00015AC7"/>
    <w:rsid w:val="000224AF"/>
    <w:rsid w:val="000272BA"/>
    <w:rsid w:val="0003249A"/>
    <w:rsid w:val="00032D0D"/>
    <w:rsid w:val="00034E7A"/>
    <w:rsid w:val="00035A4F"/>
    <w:rsid w:val="00035CA2"/>
    <w:rsid w:val="00036841"/>
    <w:rsid w:val="00037044"/>
    <w:rsid w:val="000379E2"/>
    <w:rsid w:val="000406BF"/>
    <w:rsid w:val="00041ACB"/>
    <w:rsid w:val="00043C3C"/>
    <w:rsid w:val="00050289"/>
    <w:rsid w:val="00054396"/>
    <w:rsid w:val="000575A2"/>
    <w:rsid w:val="00060268"/>
    <w:rsid w:val="0006146F"/>
    <w:rsid w:val="00063EE1"/>
    <w:rsid w:val="00064229"/>
    <w:rsid w:val="00065397"/>
    <w:rsid w:val="00065BE5"/>
    <w:rsid w:val="00065CEB"/>
    <w:rsid w:val="00066421"/>
    <w:rsid w:val="000728DD"/>
    <w:rsid w:val="00072D3A"/>
    <w:rsid w:val="000744C2"/>
    <w:rsid w:val="000753DB"/>
    <w:rsid w:val="0008116F"/>
    <w:rsid w:val="00082804"/>
    <w:rsid w:val="000836AF"/>
    <w:rsid w:val="00083771"/>
    <w:rsid w:val="0008442D"/>
    <w:rsid w:val="00084584"/>
    <w:rsid w:val="00086B41"/>
    <w:rsid w:val="00086E60"/>
    <w:rsid w:val="0008716D"/>
    <w:rsid w:val="00090094"/>
    <w:rsid w:val="00092E22"/>
    <w:rsid w:val="00093872"/>
    <w:rsid w:val="0009498E"/>
    <w:rsid w:val="0009590D"/>
    <w:rsid w:val="0009622F"/>
    <w:rsid w:val="000A00A3"/>
    <w:rsid w:val="000A04E6"/>
    <w:rsid w:val="000A3810"/>
    <w:rsid w:val="000A55EC"/>
    <w:rsid w:val="000A5FD1"/>
    <w:rsid w:val="000A6B5B"/>
    <w:rsid w:val="000A711E"/>
    <w:rsid w:val="000A782C"/>
    <w:rsid w:val="000B438D"/>
    <w:rsid w:val="000B47C4"/>
    <w:rsid w:val="000B596D"/>
    <w:rsid w:val="000B7AAC"/>
    <w:rsid w:val="000C09F7"/>
    <w:rsid w:val="000C3BDC"/>
    <w:rsid w:val="000C766E"/>
    <w:rsid w:val="000C76C9"/>
    <w:rsid w:val="000C7C05"/>
    <w:rsid w:val="000D32D2"/>
    <w:rsid w:val="000D7E4C"/>
    <w:rsid w:val="000E0110"/>
    <w:rsid w:val="000E0C91"/>
    <w:rsid w:val="000E1AFF"/>
    <w:rsid w:val="000E23CE"/>
    <w:rsid w:val="000E429E"/>
    <w:rsid w:val="000E4A24"/>
    <w:rsid w:val="000E603C"/>
    <w:rsid w:val="000E753B"/>
    <w:rsid w:val="000F30AC"/>
    <w:rsid w:val="000F3545"/>
    <w:rsid w:val="000F3EE7"/>
    <w:rsid w:val="000F5365"/>
    <w:rsid w:val="000F77C1"/>
    <w:rsid w:val="0010064D"/>
    <w:rsid w:val="001024D8"/>
    <w:rsid w:val="00102A91"/>
    <w:rsid w:val="00103786"/>
    <w:rsid w:val="00104094"/>
    <w:rsid w:val="00105640"/>
    <w:rsid w:val="00105721"/>
    <w:rsid w:val="001101C7"/>
    <w:rsid w:val="0011026D"/>
    <w:rsid w:val="001105D9"/>
    <w:rsid w:val="00110DCD"/>
    <w:rsid w:val="00113558"/>
    <w:rsid w:val="00117D50"/>
    <w:rsid w:val="00117F4E"/>
    <w:rsid w:val="0012245D"/>
    <w:rsid w:val="00123164"/>
    <w:rsid w:val="00124865"/>
    <w:rsid w:val="00124CDD"/>
    <w:rsid w:val="001264C9"/>
    <w:rsid w:val="00127EBF"/>
    <w:rsid w:val="001310D2"/>
    <w:rsid w:val="00131AA7"/>
    <w:rsid w:val="0013286C"/>
    <w:rsid w:val="0013334C"/>
    <w:rsid w:val="001336CB"/>
    <w:rsid w:val="00135D95"/>
    <w:rsid w:val="00137528"/>
    <w:rsid w:val="00137978"/>
    <w:rsid w:val="001415BF"/>
    <w:rsid w:val="00141847"/>
    <w:rsid w:val="00141EDD"/>
    <w:rsid w:val="00147F9E"/>
    <w:rsid w:val="00150190"/>
    <w:rsid w:val="001504A1"/>
    <w:rsid w:val="00153E22"/>
    <w:rsid w:val="0015459C"/>
    <w:rsid w:val="00154C93"/>
    <w:rsid w:val="00156799"/>
    <w:rsid w:val="00156F0D"/>
    <w:rsid w:val="001610DE"/>
    <w:rsid w:val="00161598"/>
    <w:rsid w:val="00162C5B"/>
    <w:rsid w:val="00163FCE"/>
    <w:rsid w:val="00164D47"/>
    <w:rsid w:val="0016566B"/>
    <w:rsid w:val="00167414"/>
    <w:rsid w:val="00170F48"/>
    <w:rsid w:val="001728BC"/>
    <w:rsid w:val="0017425D"/>
    <w:rsid w:val="00177910"/>
    <w:rsid w:val="0018142A"/>
    <w:rsid w:val="00182172"/>
    <w:rsid w:val="00182279"/>
    <w:rsid w:val="00184760"/>
    <w:rsid w:val="00187A35"/>
    <w:rsid w:val="00190341"/>
    <w:rsid w:val="00194BCD"/>
    <w:rsid w:val="00195252"/>
    <w:rsid w:val="0019611F"/>
    <w:rsid w:val="00196BAF"/>
    <w:rsid w:val="00197E90"/>
    <w:rsid w:val="001A03E1"/>
    <w:rsid w:val="001A116C"/>
    <w:rsid w:val="001A1568"/>
    <w:rsid w:val="001A1A33"/>
    <w:rsid w:val="001A365C"/>
    <w:rsid w:val="001A3DD5"/>
    <w:rsid w:val="001A739A"/>
    <w:rsid w:val="001A7DD6"/>
    <w:rsid w:val="001B0E6C"/>
    <w:rsid w:val="001B17F1"/>
    <w:rsid w:val="001B1C56"/>
    <w:rsid w:val="001B20B9"/>
    <w:rsid w:val="001B3CEA"/>
    <w:rsid w:val="001B658C"/>
    <w:rsid w:val="001B67E8"/>
    <w:rsid w:val="001C0278"/>
    <w:rsid w:val="001C2326"/>
    <w:rsid w:val="001C37B1"/>
    <w:rsid w:val="001C382A"/>
    <w:rsid w:val="001C70CE"/>
    <w:rsid w:val="001D0043"/>
    <w:rsid w:val="001D05BE"/>
    <w:rsid w:val="001D4D83"/>
    <w:rsid w:val="001E0BEA"/>
    <w:rsid w:val="001E32CF"/>
    <w:rsid w:val="001E3FAF"/>
    <w:rsid w:val="001E447B"/>
    <w:rsid w:val="001E7212"/>
    <w:rsid w:val="001E730D"/>
    <w:rsid w:val="001F0BD0"/>
    <w:rsid w:val="001F0F7F"/>
    <w:rsid w:val="001F354F"/>
    <w:rsid w:val="001F3D4F"/>
    <w:rsid w:val="001F567B"/>
    <w:rsid w:val="001F7EF0"/>
    <w:rsid w:val="002006C9"/>
    <w:rsid w:val="00201137"/>
    <w:rsid w:val="002015A3"/>
    <w:rsid w:val="00203B34"/>
    <w:rsid w:val="00204D33"/>
    <w:rsid w:val="00204FF4"/>
    <w:rsid w:val="00205296"/>
    <w:rsid w:val="002106AE"/>
    <w:rsid w:val="00210EC0"/>
    <w:rsid w:val="002111F3"/>
    <w:rsid w:val="00212327"/>
    <w:rsid w:val="00213A98"/>
    <w:rsid w:val="00215692"/>
    <w:rsid w:val="0021610B"/>
    <w:rsid w:val="00221631"/>
    <w:rsid w:val="002232E8"/>
    <w:rsid w:val="002254AA"/>
    <w:rsid w:val="00227865"/>
    <w:rsid w:val="00227A70"/>
    <w:rsid w:val="00231F3B"/>
    <w:rsid w:val="00234D5B"/>
    <w:rsid w:val="00234F03"/>
    <w:rsid w:val="00236054"/>
    <w:rsid w:val="0023687F"/>
    <w:rsid w:val="00242EE1"/>
    <w:rsid w:val="00242FC8"/>
    <w:rsid w:val="00247031"/>
    <w:rsid w:val="0025041F"/>
    <w:rsid w:val="00252AC7"/>
    <w:rsid w:val="00254F36"/>
    <w:rsid w:val="0025575D"/>
    <w:rsid w:val="002564FD"/>
    <w:rsid w:val="00256CAC"/>
    <w:rsid w:val="00257119"/>
    <w:rsid w:val="00261426"/>
    <w:rsid w:val="00265E12"/>
    <w:rsid w:val="00267AC7"/>
    <w:rsid w:val="00273D7E"/>
    <w:rsid w:val="002741C3"/>
    <w:rsid w:val="00280095"/>
    <w:rsid w:val="002866C4"/>
    <w:rsid w:val="00286A45"/>
    <w:rsid w:val="002915CC"/>
    <w:rsid w:val="00295FCD"/>
    <w:rsid w:val="002A14F1"/>
    <w:rsid w:val="002A1F9B"/>
    <w:rsid w:val="002A46B1"/>
    <w:rsid w:val="002A5472"/>
    <w:rsid w:val="002A68D4"/>
    <w:rsid w:val="002A6A28"/>
    <w:rsid w:val="002B0C5D"/>
    <w:rsid w:val="002B191A"/>
    <w:rsid w:val="002C2741"/>
    <w:rsid w:val="002C2D03"/>
    <w:rsid w:val="002C4766"/>
    <w:rsid w:val="002C6A21"/>
    <w:rsid w:val="002D1041"/>
    <w:rsid w:val="002D3DA6"/>
    <w:rsid w:val="002D4452"/>
    <w:rsid w:val="002D4781"/>
    <w:rsid w:val="002D53F8"/>
    <w:rsid w:val="002D59F7"/>
    <w:rsid w:val="002E1CAD"/>
    <w:rsid w:val="002E29FB"/>
    <w:rsid w:val="002E3D2B"/>
    <w:rsid w:val="002E61F5"/>
    <w:rsid w:val="002E690C"/>
    <w:rsid w:val="002F035E"/>
    <w:rsid w:val="002F083D"/>
    <w:rsid w:val="002F2EE7"/>
    <w:rsid w:val="003020E7"/>
    <w:rsid w:val="00305722"/>
    <w:rsid w:val="00306351"/>
    <w:rsid w:val="00306845"/>
    <w:rsid w:val="00306907"/>
    <w:rsid w:val="0031039B"/>
    <w:rsid w:val="0031195E"/>
    <w:rsid w:val="00312FF4"/>
    <w:rsid w:val="00314C85"/>
    <w:rsid w:val="00315360"/>
    <w:rsid w:val="003166A8"/>
    <w:rsid w:val="00321F86"/>
    <w:rsid w:val="00325743"/>
    <w:rsid w:val="00325763"/>
    <w:rsid w:val="00326A6F"/>
    <w:rsid w:val="003279B8"/>
    <w:rsid w:val="003301E3"/>
    <w:rsid w:val="00331A3F"/>
    <w:rsid w:val="00334C5B"/>
    <w:rsid w:val="00335E9B"/>
    <w:rsid w:val="00336E25"/>
    <w:rsid w:val="00337F36"/>
    <w:rsid w:val="0034131F"/>
    <w:rsid w:val="00341612"/>
    <w:rsid w:val="00342037"/>
    <w:rsid w:val="003430C8"/>
    <w:rsid w:val="00343383"/>
    <w:rsid w:val="0034389C"/>
    <w:rsid w:val="0034562C"/>
    <w:rsid w:val="00351289"/>
    <w:rsid w:val="003526BF"/>
    <w:rsid w:val="003527D4"/>
    <w:rsid w:val="0035378F"/>
    <w:rsid w:val="00357E9E"/>
    <w:rsid w:val="00363136"/>
    <w:rsid w:val="00365CB7"/>
    <w:rsid w:val="003735FC"/>
    <w:rsid w:val="00373FC0"/>
    <w:rsid w:val="00374B2A"/>
    <w:rsid w:val="003837FC"/>
    <w:rsid w:val="00383883"/>
    <w:rsid w:val="00384BD7"/>
    <w:rsid w:val="00390E06"/>
    <w:rsid w:val="00397637"/>
    <w:rsid w:val="003A0667"/>
    <w:rsid w:val="003A1E24"/>
    <w:rsid w:val="003A25C8"/>
    <w:rsid w:val="003A2E25"/>
    <w:rsid w:val="003A3C6D"/>
    <w:rsid w:val="003A4075"/>
    <w:rsid w:val="003A755F"/>
    <w:rsid w:val="003B0121"/>
    <w:rsid w:val="003B0967"/>
    <w:rsid w:val="003B1D52"/>
    <w:rsid w:val="003B1EF9"/>
    <w:rsid w:val="003B2145"/>
    <w:rsid w:val="003B24AF"/>
    <w:rsid w:val="003B2F47"/>
    <w:rsid w:val="003B5254"/>
    <w:rsid w:val="003B57F4"/>
    <w:rsid w:val="003B7701"/>
    <w:rsid w:val="003C1710"/>
    <w:rsid w:val="003C24E9"/>
    <w:rsid w:val="003C5FF7"/>
    <w:rsid w:val="003D12DC"/>
    <w:rsid w:val="003D1A59"/>
    <w:rsid w:val="003D1D0C"/>
    <w:rsid w:val="003D21BF"/>
    <w:rsid w:val="003D30E8"/>
    <w:rsid w:val="003D3531"/>
    <w:rsid w:val="003D4415"/>
    <w:rsid w:val="003D4487"/>
    <w:rsid w:val="003D45B9"/>
    <w:rsid w:val="003D48ED"/>
    <w:rsid w:val="003D4B32"/>
    <w:rsid w:val="003D4D3C"/>
    <w:rsid w:val="003D6C84"/>
    <w:rsid w:val="003D6D57"/>
    <w:rsid w:val="003D7877"/>
    <w:rsid w:val="003D7F34"/>
    <w:rsid w:val="003E025B"/>
    <w:rsid w:val="003E04A1"/>
    <w:rsid w:val="003E0B96"/>
    <w:rsid w:val="003E5707"/>
    <w:rsid w:val="003E61B7"/>
    <w:rsid w:val="003F05AE"/>
    <w:rsid w:val="003F12FF"/>
    <w:rsid w:val="003F2510"/>
    <w:rsid w:val="003F2559"/>
    <w:rsid w:val="003F33C2"/>
    <w:rsid w:val="003F3B8D"/>
    <w:rsid w:val="003F7543"/>
    <w:rsid w:val="003F7FCC"/>
    <w:rsid w:val="004018BF"/>
    <w:rsid w:val="00401EFC"/>
    <w:rsid w:val="00402E47"/>
    <w:rsid w:val="00402FCE"/>
    <w:rsid w:val="0040573A"/>
    <w:rsid w:val="0040633F"/>
    <w:rsid w:val="00407FA6"/>
    <w:rsid w:val="00411A77"/>
    <w:rsid w:val="00411E5F"/>
    <w:rsid w:val="0041425F"/>
    <w:rsid w:val="00415BB7"/>
    <w:rsid w:val="004177DF"/>
    <w:rsid w:val="004200DE"/>
    <w:rsid w:val="00420B8E"/>
    <w:rsid w:val="00421F23"/>
    <w:rsid w:val="0042376B"/>
    <w:rsid w:val="004254F6"/>
    <w:rsid w:val="00426362"/>
    <w:rsid w:val="00427992"/>
    <w:rsid w:val="00430E34"/>
    <w:rsid w:val="0043722D"/>
    <w:rsid w:val="00440641"/>
    <w:rsid w:val="00441B3F"/>
    <w:rsid w:val="00442482"/>
    <w:rsid w:val="00442C37"/>
    <w:rsid w:val="00447462"/>
    <w:rsid w:val="00451831"/>
    <w:rsid w:val="00453FE0"/>
    <w:rsid w:val="00455888"/>
    <w:rsid w:val="004573E6"/>
    <w:rsid w:val="0045763E"/>
    <w:rsid w:val="00460F8F"/>
    <w:rsid w:val="00463D8D"/>
    <w:rsid w:val="004646E4"/>
    <w:rsid w:val="004648E7"/>
    <w:rsid w:val="004655B8"/>
    <w:rsid w:val="004671AC"/>
    <w:rsid w:val="004673E5"/>
    <w:rsid w:val="00467595"/>
    <w:rsid w:val="004710BD"/>
    <w:rsid w:val="00472519"/>
    <w:rsid w:val="0047361E"/>
    <w:rsid w:val="004748E1"/>
    <w:rsid w:val="00480EA4"/>
    <w:rsid w:val="00491AFD"/>
    <w:rsid w:val="0049317A"/>
    <w:rsid w:val="00494D3C"/>
    <w:rsid w:val="004A0EED"/>
    <w:rsid w:val="004A1553"/>
    <w:rsid w:val="004A293F"/>
    <w:rsid w:val="004A2B7D"/>
    <w:rsid w:val="004A2C28"/>
    <w:rsid w:val="004A41F2"/>
    <w:rsid w:val="004A4361"/>
    <w:rsid w:val="004A4703"/>
    <w:rsid w:val="004A4B2C"/>
    <w:rsid w:val="004A7174"/>
    <w:rsid w:val="004B0D87"/>
    <w:rsid w:val="004B4742"/>
    <w:rsid w:val="004B61C1"/>
    <w:rsid w:val="004B6897"/>
    <w:rsid w:val="004C19F8"/>
    <w:rsid w:val="004C1D76"/>
    <w:rsid w:val="004C447C"/>
    <w:rsid w:val="004D1838"/>
    <w:rsid w:val="004D3FE4"/>
    <w:rsid w:val="004D50B2"/>
    <w:rsid w:val="004D59F5"/>
    <w:rsid w:val="004D71E1"/>
    <w:rsid w:val="004E4C86"/>
    <w:rsid w:val="004E533D"/>
    <w:rsid w:val="004E770D"/>
    <w:rsid w:val="004F1CF4"/>
    <w:rsid w:val="004F3EA9"/>
    <w:rsid w:val="004F43C1"/>
    <w:rsid w:val="004F4758"/>
    <w:rsid w:val="004F4A55"/>
    <w:rsid w:val="004F51EE"/>
    <w:rsid w:val="004F755F"/>
    <w:rsid w:val="0050198B"/>
    <w:rsid w:val="00502564"/>
    <w:rsid w:val="00506900"/>
    <w:rsid w:val="00511D58"/>
    <w:rsid w:val="005122F7"/>
    <w:rsid w:val="00512576"/>
    <w:rsid w:val="00514203"/>
    <w:rsid w:val="0051693E"/>
    <w:rsid w:val="00517AE6"/>
    <w:rsid w:val="005212A0"/>
    <w:rsid w:val="00524F96"/>
    <w:rsid w:val="00533A42"/>
    <w:rsid w:val="00534DA2"/>
    <w:rsid w:val="00536C53"/>
    <w:rsid w:val="00537BC4"/>
    <w:rsid w:val="00540D7A"/>
    <w:rsid w:val="0054154D"/>
    <w:rsid w:val="00542EE1"/>
    <w:rsid w:val="0054305F"/>
    <w:rsid w:val="00543365"/>
    <w:rsid w:val="00545CD8"/>
    <w:rsid w:val="0054739C"/>
    <w:rsid w:val="005479C8"/>
    <w:rsid w:val="00547CB8"/>
    <w:rsid w:val="00550542"/>
    <w:rsid w:val="0055231A"/>
    <w:rsid w:val="00556AE2"/>
    <w:rsid w:val="00560D15"/>
    <w:rsid w:val="005619CA"/>
    <w:rsid w:val="0056203D"/>
    <w:rsid w:val="00563F55"/>
    <w:rsid w:val="005657F1"/>
    <w:rsid w:val="00567805"/>
    <w:rsid w:val="00571F25"/>
    <w:rsid w:val="00572819"/>
    <w:rsid w:val="00573807"/>
    <w:rsid w:val="0057455D"/>
    <w:rsid w:val="00576152"/>
    <w:rsid w:val="00577F19"/>
    <w:rsid w:val="005803CF"/>
    <w:rsid w:val="00581DF5"/>
    <w:rsid w:val="0058361E"/>
    <w:rsid w:val="005857FB"/>
    <w:rsid w:val="005870D2"/>
    <w:rsid w:val="005876CD"/>
    <w:rsid w:val="00590372"/>
    <w:rsid w:val="005918F0"/>
    <w:rsid w:val="005949CB"/>
    <w:rsid w:val="00594A5F"/>
    <w:rsid w:val="005977EE"/>
    <w:rsid w:val="005A0078"/>
    <w:rsid w:val="005A2619"/>
    <w:rsid w:val="005A335D"/>
    <w:rsid w:val="005A3379"/>
    <w:rsid w:val="005A4AB1"/>
    <w:rsid w:val="005A5E07"/>
    <w:rsid w:val="005A6B04"/>
    <w:rsid w:val="005A7081"/>
    <w:rsid w:val="005A7EF7"/>
    <w:rsid w:val="005B1127"/>
    <w:rsid w:val="005B12EF"/>
    <w:rsid w:val="005B17E8"/>
    <w:rsid w:val="005B19A9"/>
    <w:rsid w:val="005B6DEB"/>
    <w:rsid w:val="005B7B1A"/>
    <w:rsid w:val="005C1A27"/>
    <w:rsid w:val="005C3792"/>
    <w:rsid w:val="005C3B64"/>
    <w:rsid w:val="005C62C6"/>
    <w:rsid w:val="005C6888"/>
    <w:rsid w:val="005C723B"/>
    <w:rsid w:val="005C77D5"/>
    <w:rsid w:val="005D07F1"/>
    <w:rsid w:val="005D2AB5"/>
    <w:rsid w:val="005E1C5E"/>
    <w:rsid w:val="005E4D46"/>
    <w:rsid w:val="005E7D0B"/>
    <w:rsid w:val="005F31C4"/>
    <w:rsid w:val="005F40EF"/>
    <w:rsid w:val="005F4C7C"/>
    <w:rsid w:val="005F4E9D"/>
    <w:rsid w:val="005F5509"/>
    <w:rsid w:val="005F767B"/>
    <w:rsid w:val="0060145A"/>
    <w:rsid w:val="0060148B"/>
    <w:rsid w:val="00602BF1"/>
    <w:rsid w:val="0060386D"/>
    <w:rsid w:val="006070A8"/>
    <w:rsid w:val="006105B3"/>
    <w:rsid w:val="006123F6"/>
    <w:rsid w:val="00613EB6"/>
    <w:rsid w:val="006148B4"/>
    <w:rsid w:val="00614956"/>
    <w:rsid w:val="00616E1C"/>
    <w:rsid w:val="00620F32"/>
    <w:rsid w:val="00621F36"/>
    <w:rsid w:val="00622B2B"/>
    <w:rsid w:val="00622B88"/>
    <w:rsid w:val="00622D5E"/>
    <w:rsid w:val="0062485E"/>
    <w:rsid w:val="00625161"/>
    <w:rsid w:val="00625A3D"/>
    <w:rsid w:val="006260BB"/>
    <w:rsid w:val="00626C1D"/>
    <w:rsid w:val="00627114"/>
    <w:rsid w:val="0062784B"/>
    <w:rsid w:val="006323C4"/>
    <w:rsid w:val="00633984"/>
    <w:rsid w:val="00635782"/>
    <w:rsid w:val="0064081B"/>
    <w:rsid w:val="00641277"/>
    <w:rsid w:val="00641986"/>
    <w:rsid w:val="0064392A"/>
    <w:rsid w:val="0064536E"/>
    <w:rsid w:val="006468E6"/>
    <w:rsid w:val="00647A8C"/>
    <w:rsid w:val="00654B3C"/>
    <w:rsid w:val="00655545"/>
    <w:rsid w:val="00656CB9"/>
    <w:rsid w:val="00660B3F"/>
    <w:rsid w:val="006636DA"/>
    <w:rsid w:val="00665908"/>
    <w:rsid w:val="00673606"/>
    <w:rsid w:val="00676532"/>
    <w:rsid w:val="0068248B"/>
    <w:rsid w:val="00684488"/>
    <w:rsid w:val="0068567B"/>
    <w:rsid w:val="00685FAA"/>
    <w:rsid w:val="00690758"/>
    <w:rsid w:val="0069125C"/>
    <w:rsid w:val="00693A25"/>
    <w:rsid w:val="00695BAB"/>
    <w:rsid w:val="00695F96"/>
    <w:rsid w:val="006A1037"/>
    <w:rsid w:val="006A511E"/>
    <w:rsid w:val="006B330D"/>
    <w:rsid w:val="006B4D28"/>
    <w:rsid w:val="006B656A"/>
    <w:rsid w:val="006B7344"/>
    <w:rsid w:val="006B7E07"/>
    <w:rsid w:val="006B7E29"/>
    <w:rsid w:val="006C1551"/>
    <w:rsid w:val="006C46B7"/>
    <w:rsid w:val="006C4D99"/>
    <w:rsid w:val="006C5145"/>
    <w:rsid w:val="006C61A8"/>
    <w:rsid w:val="006C7BB2"/>
    <w:rsid w:val="006D2CEA"/>
    <w:rsid w:val="006D3112"/>
    <w:rsid w:val="006D5472"/>
    <w:rsid w:val="006D79F7"/>
    <w:rsid w:val="006E10BF"/>
    <w:rsid w:val="006E2264"/>
    <w:rsid w:val="006E2B24"/>
    <w:rsid w:val="006E41BF"/>
    <w:rsid w:val="006E651D"/>
    <w:rsid w:val="006E6BEC"/>
    <w:rsid w:val="006E7262"/>
    <w:rsid w:val="006E7C2F"/>
    <w:rsid w:val="006F5EFD"/>
    <w:rsid w:val="00703145"/>
    <w:rsid w:val="00703AB8"/>
    <w:rsid w:val="00705F6E"/>
    <w:rsid w:val="00706AC5"/>
    <w:rsid w:val="007072A5"/>
    <w:rsid w:val="0070755B"/>
    <w:rsid w:val="007077DC"/>
    <w:rsid w:val="00710BB0"/>
    <w:rsid w:val="00711905"/>
    <w:rsid w:val="00712A0A"/>
    <w:rsid w:val="007136D2"/>
    <w:rsid w:val="00713735"/>
    <w:rsid w:val="00715C83"/>
    <w:rsid w:val="0071693C"/>
    <w:rsid w:val="00717243"/>
    <w:rsid w:val="00720C29"/>
    <w:rsid w:val="00721D05"/>
    <w:rsid w:val="00722F86"/>
    <w:rsid w:val="00724148"/>
    <w:rsid w:val="00724D99"/>
    <w:rsid w:val="00724F7F"/>
    <w:rsid w:val="007253ED"/>
    <w:rsid w:val="007274E2"/>
    <w:rsid w:val="007303DC"/>
    <w:rsid w:val="00732491"/>
    <w:rsid w:val="00732BEF"/>
    <w:rsid w:val="00733736"/>
    <w:rsid w:val="007347F2"/>
    <w:rsid w:val="007352C7"/>
    <w:rsid w:val="00741C20"/>
    <w:rsid w:val="00744010"/>
    <w:rsid w:val="00746989"/>
    <w:rsid w:val="0074730E"/>
    <w:rsid w:val="007479A2"/>
    <w:rsid w:val="00747DBC"/>
    <w:rsid w:val="00747E23"/>
    <w:rsid w:val="007508F6"/>
    <w:rsid w:val="007521F1"/>
    <w:rsid w:val="007538F7"/>
    <w:rsid w:val="00754534"/>
    <w:rsid w:val="00756F95"/>
    <w:rsid w:val="00760418"/>
    <w:rsid w:val="00761FB7"/>
    <w:rsid w:val="00771665"/>
    <w:rsid w:val="007721B0"/>
    <w:rsid w:val="00775A3D"/>
    <w:rsid w:val="007761B5"/>
    <w:rsid w:val="007859DC"/>
    <w:rsid w:val="00785B5C"/>
    <w:rsid w:val="007877D8"/>
    <w:rsid w:val="00791B10"/>
    <w:rsid w:val="0079680F"/>
    <w:rsid w:val="007A1D98"/>
    <w:rsid w:val="007A3000"/>
    <w:rsid w:val="007A4243"/>
    <w:rsid w:val="007A59D2"/>
    <w:rsid w:val="007A64F6"/>
    <w:rsid w:val="007A703F"/>
    <w:rsid w:val="007B05CF"/>
    <w:rsid w:val="007B087E"/>
    <w:rsid w:val="007B408B"/>
    <w:rsid w:val="007B5E41"/>
    <w:rsid w:val="007C1F41"/>
    <w:rsid w:val="007C2D7A"/>
    <w:rsid w:val="007C45E8"/>
    <w:rsid w:val="007C4891"/>
    <w:rsid w:val="007D283F"/>
    <w:rsid w:val="007D491E"/>
    <w:rsid w:val="007D7168"/>
    <w:rsid w:val="007D7567"/>
    <w:rsid w:val="007E0C07"/>
    <w:rsid w:val="007E3090"/>
    <w:rsid w:val="007E353B"/>
    <w:rsid w:val="007E36F7"/>
    <w:rsid w:val="007E42D5"/>
    <w:rsid w:val="007E50E9"/>
    <w:rsid w:val="007F1190"/>
    <w:rsid w:val="007F1502"/>
    <w:rsid w:val="007F21F4"/>
    <w:rsid w:val="00800DA7"/>
    <w:rsid w:val="0080118D"/>
    <w:rsid w:val="00802B27"/>
    <w:rsid w:val="00804AE2"/>
    <w:rsid w:val="008051FE"/>
    <w:rsid w:val="008058FF"/>
    <w:rsid w:val="0081059B"/>
    <w:rsid w:val="00811018"/>
    <w:rsid w:val="0081250A"/>
    <w:rsid w:val="00812940"/>
    <w:rsid w:val="00812983"/>
    <w:rsid w:val="00814E68"/>
    <w:rsid w:val="00816356"/>
    <w:rsid w:val="00816873"/>
    <w:rsid w:val="00822E56"/>
    <w:rsid w:val="0082591B"/>
    <w:rsid w:val="008260AC"/>
    <w:rsid w:val="00826371"/>
    <w:rsid w:val="00827A56"/>
    <w:rsid w:val="00827EFA"/>
    <w:rsid w:val="008302CB"/>
    <w:rsid w:val="00833617"/>
    <w:rsid w:val="00834A16"/>
    <w:rsid w:val="008360ED"/>
    <w:rsid w:val="00840DFD"/>
    <w:rsid w:val="00844894"/>
    <w:rsid w:val="00844A79"/>
    <w:rsid w:val="008456CC"/>
    <w:rsid w:val="00853121"/>
    <w:rsid w:val="0085446C"/>
    <w:rsid w:val="008550DB"/>
    <w:rsid w:val="00856E5D"/>
    <w:rsid w:val="008573B5"/>
    <w:rsid w:val="008605D1"/>
    <w:rsid w:val="00860F32"/>
    <w:rsid w:val="00860F5E"/>
    <w:rsid w:val="00861EEF"/>
    <w:rsid w:val="00862541"/>
    <w:rsid w:val="008630B4"/>
    <w:rsid w:val="00867C46"/>
    <w:rsid w:val="00867E98"/>
    <w:rsid w:val="00870ECC"/>
    <w:rsid w:val="00874847"/>
    <w:rsid w:val="00874BFA"/>
    <w:rsid w:val="008773BA"/>
    <w:rsid w:val="00880D7B"/>
    <w:rsid w:val="00883841"/>
    <w:rsid w:val="008851C4"/>
    <w:rsid w:val="0088615F"/>
    <w:rsid w:val="0088746C"/>
    <w:rsid w:val="00890577"/>
    <w:rsid w:val="008947DE"/>
    <w:rsid w:val="00895B39"/>
    <w:rsid w:val="008A2143"/>
    <w:rsid w:val="008A23AF"/>
    <w:rsid w:val="008A4457"/>
    <w:rsid w:val="008A6282"/>
    <w:rsid w:val="008B0B31"/>
    <w:rsid w:val="008B1208"/>
    <w:rsid w:val="008B1F92"/>
    <w:rsid w:val="008B4495"/>
    <w:rsid w:val="008B4A0F"/>
    <w:rsid w:val="008B4DF3"/>
    <w:rsid w:val="008B58D8"/>
    <w:rsid w:val="008B59B8"/>
    <w:rsid w:val="008B6E0B"/>
    <w:rsid w:val="008B6E7F"/>
    <w:rsid w:val="008B7C73"/>
    <w:rsid w:val="008B7E1D"/>
    <w:rsid w:val="008C05C3"/>
    <w:rsid w:val="008C0986"/>
    <w:rsid w:val="008C1602"/>
    <w:rsid w:val="008C354F"/>
    <w:rsid w:val="008C3D0A"/>
    <w:rsid w:val="008C5F72"/>
    <w:rsid w:val="008C69E2"/>
    <w:rsid w:val="008D01B6"/>
    <w:rsid w:val="008D1BCC"/>
    <w:rsid w:val="008D257C"/>
    <w:rsid w:val="008D3A29"/>
    <w:rsid w:val="008D45C8"/>
    <w:rsid w:val="008D4656"/>
    <w:rsid w:val="008D4FB8"/>
    <w:rsid w:val="008D57C6"/>
    <w:rsid w:val="008D610C"/>
    <w:rsid w:val="008D7AC1"/>
    <w:rsid w:val="008E0C77"/>
    <w:rsid w:val="008E0F57"/>
    <w:rsid w:val="008E18D2"/>
    <w:rsid w:val="008E5288"/>
    <w:rsid w:val="008E7409"/>
    <w:rsid w:val="008E7E9F"/>
    <w:rsid w:val="008F0011"/>
    <w:rsid w:val="008F004F"/>
    <w:rsid w:val="008F355F"/>
    <w:rsid w:val="008F38F2"/>
    <w:rsid w:val="008F3F8B"/>
    <w:rsid w:val="008F43C0"/>
    <w:rsid w:val="008F5ADD"/>
    <w:rsid w:val="008F77B5"/>
    <w:rsid w:val="00900810"/>
    <w:rsid w:val="00903E72"/>
    <w:rsid w:val="00904DDE"/>
    <w:rsid w:val="009130D1"/>
    <w:rsid w:val="0091427E"/>
    <w:rsid w:val="0091490E"/>
    <w:rsid w:val="00915069"/>
    <w:rsid w:val="00916FAB"/>
    <w:rsid w:val="00921153"/>
    <w:rsid w:val="00922C6C"/>
    <w:rsid w:val="00923A29"/>
    <w:rsid w:val="009255C1"/>
    <w:rsid w:val="009321D1"/>
    <w:rsid w:val="00932269"/>
    <w:rsid w:val="00932CB5"/>
    <w:rsid w:val="009348F6"/>
    <w:rsid w:val="00934E16"/>
    <w:rsid w:val="00940571"/>
    <w:rsid w:val="00943119"/>
    <w:rsid w:val="00944676"/>
    <w:rsid w:val="00945C2A"/>
    <w:rsid w:val="009475AC"/>
    <w:rsid w:val="00950C71"/>
    <w:rsid w:val="0095475B"/>
    <w:rsid w:val="00954BB9"/>
    <w:rsid w:val="00954BC7"/>
    <w:rsid w:val="00955847"/>
    <w:rsid w:val="009574F7"/>
    <w:rsid w:val="00960FF5"/>
    <w:rsid w:val="009617FD"/>
    <w:rsid w:val="00962667"/>
    <w:rsid w:val="00965F85"/>
    <w:rsid w:val="00967424"/>
    <w:rsid w:val="00967591"/>
    <w:rsid w:val="009707E4"/>
    <w:rsid w:val="009709D2"/>
    <w:rsid w:val="00974C0B"/>
    <w:rsid w:val="0097570D"/>
    <w:rsid w:val="00975E5A"/>
    <w:rsid w:val="00977F3F"/>
    <w:rsid w:val="009803E7"/>
    <w:rsid w:val="009805C6"/>
    <w:rsid w:val="009819B5"/>
    <w:rsid w:val="00983255"/>
    <w:rsid w:val="00983D58"/>
    <w:rsid w:val="0098651F"/>
    <w:rsid w:val="009866C1"/>
    <w:rsid w:val="00987200"/>
    <w:rsid w:val="009906AD"/>
    <w:rsid w:val="0099400E"/>
    <w:rsid w:val="00994590"/>
    <w:rsid w:val="00994BC5"/>
    <w:rsid w:val="00995A75"/>
    <w:rsid w:val="00995AAE"/>
    <w:rsid w:val="00995EE0"/>
    <w:rsid w:val="0099666D"/>
    <w:rsid w:val="009A0ED6"/>
    <w:rsid w:val="009A1591"/>
    <w:rsid w:val="009A5E56"/>
    <w:rsid w:val="009B7131"/>
    <w:rsid w:val="009C0CF6"/>
    <w:rsid w:val="009C10D2"/>
    <w:rsid w:val="009C2FD8"/>
    <w:rsid w:val="009C6A3E"/>
    <w:rsid w:val="009C6DAE"/>
    <w:rsid w:val="009C7EEA"/>
    <w:rsid w:val="009D0107"/>
    <w:rsid w:val="009D1C18"/>
    <w:rsid w:val="009D1D53"/>
    <w:rsid w:val="009D547B"/>
    <w:rsid w:val="009D6004"/>
    <w:rsid w:val="009D7088"/>
    <w:rsid w:val="009D7C65"/>
    <w:rsid w:val="009E0996"/>
    <w:rsid w:val="009E0F14"/>
    <w:rsid w:val="009E213E"/>
    <w:rsid w:val="009E2B50"/>
    <w:rsid w:val="009E2D06"/>
    <w:rsid w:val="009E3EDA"/>
    <w:rsid w:val="009E5763"/>
    <w:rsid w:val="009E5F08"/>
    <w:rsid w:val="009E6AD6"/>
    <w:rsid w:val="009F24DC"/>
    <w:rsid w:val="009F36A7"/>
    <w:rsid w:val="009F3784"/>
    <w:rsid w:val="009F6A6C"/>
    <w:rsid w:val="00A002EE"/>
    <w:rsid w:val="00A04F44"/>
    <w:rsid w:val="00A05EE8"/>
    <w:rsid w:val="00A1273E"/>
    <w:rsid w:val="00A12FEE"/>
    <w:rsid w:val="00A17388"/>
    <w:rsid w:val="00A20BAA"/>
    <w:rsid w:val="00A2149F"/>
    <w:rsid w:val="00A21727"/>
    <w:rsid w:val="00A21C29"/>
    <w:rsid w:val="00A22091"/>
    <w:rsid w:val="00A236CE"/>
    <w:rsid w:val="00A245EE"/>
    <w:rsid w:val="00A245F7"/>
    <w:rsid w:val="00A25D16"/>
    <w:rsid w:val="00A26000"/>
    <w:rsid w:val="00A265F5"/>
    <w:rsid w:val="00A2796E"/>
    <w:rsid w:val="00A30301"/>
    <w:rsid w:val="00A311FB"/>
    <w:rsid w:val="00A3289F"/>
    <w:rsid w:val="00A340E8"/>
    <w:rsid w:val="00A3414D"/>
    <w:rsid w:val="00A3542C"/>
    <w:rsid w:val="00A35DC1"/>
    <w:rsid w:val="00A36BF6"/>
    <w:rsid w:val="00A4142B"/>
    <w:rsid w:val="00A41C2D"/>
    <w:rsid w:val="00A531DD"/>
    <w:rsid w:val="00A53206"/>
    <w:rsid w:val="00A5602F"/>
    <w:rsid w:val="00A56CCC"/>
    <w:rsid w:val="00A649EF"/>
    <w:rsid w:val="00A64A39"/>
    <w:rsid w:val="00A66880"/>
    <w:rsid w:val="00A6792C"/>
    <w:rsid w:val="00A70D98"/>
    <w:rsid w:val="00A71935"/>
    <w:rsid w:val="00A71E1D"/>
    <w:rsid w:val="00A724CE"/>
    <w:rsid w:val="00A727F0"/>
    <w:rsid w:val="00A7296F"/>
    <w:rsid w:val="00A758F3"/>
    <w:rsid w:val="00A765B8"/>
    <w:rsid w:val="00A76F4B"/>
    <w:rsid w:val="00A81F36"/>
    <w:rsid w:val="00A9026F"/>
    <w:rsid w:val="00A92886"/>
    <w:rsid w:val="00A94789"/>
    <w:rsid w:val="00A95692"/>
    <w:rsid w:val="00A964DC"/>
    <w:rsid w:val="00A965AF"/>
    <w:rsid w:val="00A971A4"/>
    <w:rsid w:val="00A9786E"/>
    <w:rsid w:val="00A97E7A"/>
    <w:rsid w:val="00AA0B51"/>
    <w:rsid w:val="00AA19C4"/>
    <w:rsid w:val="00AA3D76"/>
    <w:rsid w:val="00AA5808"/>
    <w:rsid w:val="00AA63D2"/>
    <w:rsid w:val="00AA7A44"/>
    <w:rsid w:val="00AB0545"/>
    <w:rsid w:val="00AB064C"/>
    <w:rsid w:val="00AB16A3"/>
    <w:rsid w:val="00AB2BAB"/>
    <w:rsid w:val="00AB2BB3"/>
    <w:rsid w:val="00AB47D7"/>
    <w:rsid w:val="00AB61E5"/>
    <w:rsid w:val="00AB62A6"/>
    <w:rsid w:val="00AB794D"/>
    <w:rsid w:val="00AC3ADB"/>
    <w:rsid w:val="00AC4EB1"/>
    <w:rsid w:val="00AC5294"/>
    <w:rsid w:val="00AC5C84"/>
    <w:rsid w:val="00AD0CFF"/>
    <w:rsid w:val="00AD19AC"/>
    <w:rsid w:val="00AD2A43"/>
    <w:rsid w:val="00AD312A"/>
    <w:rsid w:val="00AD3C77"/>
    <w:rsid w:val="00AD5440"/>
    <w:rsid w:val="00AD7932"/>
    <w:rsid w:val="00AE1AC5"/>
    <w:rsid w:val="00AE2299"/>
    <w:rsid w:val="00AE22B9"/>
    <w:rsid w:val="00AE24C3"/>
    <w:rsid w:val="00AE24EF"/>
    <w:rsid w:val="00AE2DAC"/>
    <w:rsid w:val="00AE39D3"/>
    <w:rsid w:val="00AE5C14"/>
    <w:rsid w:val="00AE5F41"/>
    <w:rsid w:val="00AE799E"/>
    <w:rsid w:val="00AF0C11"/>
    <w:rsid w:val="00AF0CFC"/>
    <w:rsid w:val="00AF280B"/>
    <w:rsid w:val="00AF45A7"/>
    <w:rsid w:val="00AF47F9"/>
    <w:rsid w:val="00AF6416"/>
    <w:rsid w:val="00AF7594"/>
    <w:rsid w:val="00B00134"/>
    <w:rsid w:val="00B00E98"/>
    <w:rsid w:val="00B016A2"/>
    <w:rsid w:val="00B016BE"/>
    <w:rsid w:val="00B02A86"/>
    <w:rsid w:val="00B04657"/>
    <w:rsid w:val="00B05FAE"/>
    <w:rsid w:val="00B06C10"/>
    <w:rsid w:val="00B109D0"/>
    <w:rsid w:val="00B14826"/>
    <w:rsid w:val="00B201B2"/>
    <w:rsid w:val="00B203BF"/>
    <w:rsid w:val="00B22D1D"/>
    <w:rsid w:val="00B23865"/>
    <w:rsid w:val="00B241D2"/>
    <w:rsid w:val="00B246FF"/>
    <w:rsid w:val="00B26BB0"/>
    <w:rsid w:val="00B30D9A"/>
    <w:rsid w:val="00B348DC"/>
    <w:rsid w:val="00B40D59"/>
    <w:rsid w:val="00B4299A"/>
    <w:rsid w:val="00B43259"/>
    <w:rsid w:val="00B44F46"/>
    <w:rsid w:val="00B46328"/>
    <w:rsid w:val="00B463A9"/>
    <w:rsid w:val="00B469B1"/>
    <w:rsid w:val="00B46CCD"/>
    <w:rsid w:val="00B4708A"/>
    <w:rsid w:val="00B50952"/>
    <w:rsid w:val="00B55363"/>
    <w:rsid w:val="00B56F3D"/>
    <w:rsid w:val="00B574BE"/>
    <w:rsid w:val="00B57C2C"/>
    <w:rsid w:val="00B61772"/>
    <w:rsid w:val="00B6292D"/>
    <w:rsid w:val="00B63E40"/>
    <w:rsid w:val="00B65A0F"/>
    <w:rsid w:val="00B6617D"/>
    <w:rsid w:val="00B677FE"/>
    <w:rsid w:val="00B700F5"/>
    <w:rsid w:val="00B70336"/>
    <w:rsid w:val="00B70833"/>
    <w:rsid w:val="00B7086E"/>
    <w:rsid w:val="00B724E5"/>
    <w:rsid w:val="00B739BA"/>
    <w:rsid w:val="00B74532"/>
    <w:rsid w:val="00B74621"/>
    <w:rsid w:val="00B74756"/>
    <w:rsid w:val="00B757D3"/>
    <w:rsid w:val="00B77AFF"/>
    <w:rsid w:val="00B77E44"/>
    <w:rsid w:val="00B77FCD"/>
    <w:rsid w:val="00B80DEC"/>
    <w:rsid w:val="00B82C3A"/>
    <w:rsid w:val="00B83E6F"/>
    <w:rsid w:val="00B842D4"/>
    <w:rsid w:val="00B84961"/>
    <w:rsid w:val="00B8726B"/>
    <w:rsid w:val="00B875AA"/>
    <w:rsid w:val="00B929B6"/>
    <w:rsid w:val="00B965E8"/>
    <w:rsid w:val="00BA1449"/>
    <w:rsid w:val="00BA22A0"/>
    <w:rsid w:val="00BA6462"/>
    <w:rsid w:val="00BA6759"/>
    <w:rsid w:val="00BA740D"/>
    <w:rsid w:val="00BB0A25"/>
    <w:rsid w:val="00BB15D7"/>
    <w:rsid w:val="00BB2678"/>
    <w:rsid w:val="00BB2DC0"/>
    <w:rsid w:val="00BB5C3F"/>
    <w:rsid w:val="00BB609F"/>
    <w:rsid w:val="00BB76FA"/>
    <w:rsid w:val="00BB7A6C"/>
    <w:rsid w:val="00BC0479"/>
    <w:rsid w:val="00BC1FA5"/>
    <w:rsid w:val="00BC21BA"/>
    <w:rsid w:val="00BC3603"/>
    <w:rsid w:val="00BC4B97"/>
    <w:rsid w:val="00BC5D2C"/>
    <w:rsid w:val="00BC7958"/>
    <w:rsid w:val="00BD15DC"/>
    <w:rsid w:val="00BD78A5"/>
    <w:rsid w:val="00BE0756"/>
    <w:rsid w:val="00BE18ED"/>
    <w:rsid w:val="00BE23FF"/>
    <w:rsid w:val="00BE30E9"/>
    <w:rsid w:val="00BE5636"/>
    <w:rsid w:val="00BF2069"/>
    <w:rsid w:val="00BF2321"/>
    <w:rsid w:val="00BF2C8F"/>
    <w:rsid w:val="00BF4A9B"/>
    <w:rsid w:val="00C0707D"/>
    <w:rsid w:val="00C11B5B"/>
    <w:rsid w:val="00C11B5C"/>
    <w:rsid w:val="00C16F66"/>
    <w:rsid w:val="00C21B6F"/>
    <w:rsid w:val="00C21B9D"/>
    <w:rsid w:val="00C238C1"/>
    <w:rsid w:val="00C24C94"/>
    <w:rsid w:val="00C24E91"/>
    <w:rsid w:val="00C3160B"/>
    <w:rsid w:val="00C32209"/>
    <w:rsid w:val="00C32E11"/>
    <w:rsid w:val="00C41241"/>
    <w:rsid w:val="00C429E5"/>
    <w:rsid w:val="00C4382B"/>
    <w:rsid w:val="00C43864"/>
    <w:rsid w:val="00C47C7B"/>
    <w:rsid w:val="00C532B1"/>
    <w:rsid w:val="00C537BA"/>
    <w:rsid w:val="00C54E24"/>
    <w:rsid w:val="00C57941"/>
    <w:rsid w:val="00C63F94"/>
    <w:rsid w:val="00C641D1"/>
    <w:rsid w:val="00C64873"/>
    <w:rsid w:val="00C67928"/>
    <w:rsid w:val="00C67A9E"/>
    <w:rsid w:val="00C70E9F"/>
    <w:rsid w:val="00C711C4"/>
    <w:rsid w:val="00C73580"/>
    <w:rsid w:val="00C767E3"/>
    <w:rsid w:val="00C76927"/>
    <w:rsid w:val="00C819E6"/>
    <w:rsid w:val="00C833CA"/>
    <w:rsid w:val="00C854ED"/>
    <w:rsid w:val="00C873A4"/>
    <w:rsid w:val="00C949B1"/>
    <w:rsid w:val="00C94BD1"/>
    <w:rsid w:val="00C96052"/>
    <w:rsid w:val="00C96574"/>
    <w:rsid w:val="00C9728F"/>
    <w:rsid w:val="00C97308"/>
    <w:rsid w:val="00CA095F"/>
    <w:rsid w:val="00CA2E0F"/>
    <w:rsid w:val="00CA3C07"/>
    <w:rsid w:val="00CA672E"/>
    <w:rsid w:val="00CA7A3E"/>
    <w:rsid w:val="00CA7CD9"/>
    <w:rsid w:val="00CB01C0"/>
    <w:rsid w:val="00CB1A77"/>
    <w:rsid w:val="00CB295B"/>
    <w:rsid w:val="00CB2A76"/>
    <w:rsid w:val="00CB4FA8"/>
    <w:rsid w:val="00CB57A8"/>
    <w:rsid w:val="00CB6531"/>
    <w:rsid w:val="00CB6566"/>
    <w:rsid w:val="00CC0852"/>
    <w:rsid w:val="00CC1CE6"/>
    <w:rsid w:val="00CC2DF9"/>
    <w:rsid w:val="00CC358A"/>
    <w:rsid w:val="00CC37D7"/>
    <w:rsid w:val="00CC4962"/>
    <w:rsid w:val="00CC6405"/>
    <w:rsid w:val="00CD0379"/>
    <w:rsid w:val="00CD24BF"/>
    <w:rsid w:val="00CD28FC"/>
    <w:rsid w:val="00CD2E91"/>
    <w:rsid w:val="00CD5260"/>
    <w:rsid w:val="00CD63CA"/>
    <w:rsid w:val="00CD6B4F"/>
    <w:rsid w:val="00CD7A24"/>
    <w:rsid w:val="00CD7E0D"/>
    <w:rsid w:val="00CE04A7"/>
    <w:rsid w:val="00CE2922"/>
    <w:rsid w:val="00CE2F35"/>
    <w:rsid w:val="00CE4C2C"/>
    <w:rsid w:val="00CE4EBD"/>
    <w:rsid w:val="00CE5801"/>
    <w:rsid w:val="00CE5E64"/>
    <w:rsid w:val="00CF37AD"/>
    <w:rsid w:val="00D00159"/>
    <w:rsid w:val="00D00ECB"/>
    <w:rsid w:val="00D013C2"/>
    <w:rsid w:val="00D0237C"/>
    <w:rsid w:val="00D0281B"/>
    <w:rsid w:val="00D0428D"/>
    <w:rsid w:val="00D04F2D"/>
    <w:rsid w:val="00D05C08"/>
    <w:rsid w:val="00D06224"/>
    <w:rsid w:val="00D07468"/>
    <w:rsid w:val="00D106D6"/>
    <w:rsid w:val="00D111D4"/>
    <w:rsid w:val="00D11A20"/>
    <w:rsid w:val="00D141ED"/>
    <w:rsid w:val="00D14396"/>
    <w:rsid w:val="00D144E6"/>
    <w:rsid w:val="00D1645C"/>
    <w:rsid w:val="00D17543"/>
    <w:rsid w:val="00D21A07"/>
    <w:rsid w:val="00D23E0C"/>
    <w:rsid w:val="00D240B4"/>
    <w:rsid w:val="00D3025B"/>
    <w:rsid w:val="00D30D35"/>
    <w:rsid w:val="00D322D3"/>
    <w:rsid w:val="00D34D53"/>
    <w:rsid w:val="00D35035"/>
    <w:rsid w:val="00D353B4"/>
    <w:rsid w:val="00D357E0"/>
    <w:rsid w:val="00D35E28"/>
    <w:rsid w:val="00D35E7D"/>
    <w:rsid w:val="00D3717A"/>
    <w:rsid w:val="00D4405C"/>
    <w:rsid w:val="00D443A6"/>
    <w:rsid w:val="00D47EA5"/>
    <w:rsid w:val="00D53C74"/>
    <w:rsid w:val="00D563B4"/>
    <w:rsid w:val="00D61697"/>
    <w:rsid w:val="00D62535"/>
    <w:rsid w:val="00D629E1"/>
    <w:rsid w:val="00D64E40"/>
    <w:rsid w:val="00D712FA"/>
    <w:rsid w:val="00D727A4"/>
    <w:rsid w:val="00D738A7"/>
    <w:rsid w:val="00D73B25"/>
    <w:rsid w:val="00D75569"/>
    <w:rsid w:val="00D8085D"/>
    <w:rsid w:val="00D808D3"/>
    <w:rsid w:val="00D817D0"/>
    <w:rsid w:val="00D82C77"/>
    <w:rsid w:val="00D84260"/>
    <w:rsid w:val="00D84B4C"/>
    <w:rsid w:val="00D85527"/>
    <w:rsid w:val="00D85A5B"/>
    <w:rsid w:val="00D85DB0"/>
    <w:rsid w:val="00D87B4B"/>
    <w:rsid w:val="00D9085D"/>
    <w:rsid w:val="00D91628"/>
    <w:rsid w:val="00D92998"/>
    <w:rsid w:val="00D9470C"/>
    <w:rsid w:val="00D95DD3"/>
    <w:rsid w:val="00DA15D2"/>
    <w:rsid w:val="00DA2F8F"/>
    <w:rsid w:val="00DA39A0"/>
    <w:rsid w:val="00DA3ED8"/>
    <w:rsid w:val="00DA42E7"/>
    <w:rsid w:val="00DA4BCD"/>
    <w:rsid w:val="00DA5034"/>
    <w:rsid w:val="00DA5C96"/>
    <w:rsid w:val="00DB0EED"/>
    <w:rsid w:val="00DB203E"/>
    <w:rsid w:val="00DB27D7"/>
    <w:rsid w:val="00DB29D7"/>
    <w:rsid w:val="00DB5F7A"/>
    <w:rsid w:val="00DB6883"/>
    <w:rsid w:val="00DB773F"/>
    <w:rsid w:val="00DC192E"/>
    <w:rsid w:val="00DC284D"/>
    <w:rsid w:val="00DC3D81"/>
    <w:rsid w:val="00DC55EE"/>
    <w:rsid w:val="00DC5D38"/>
    <w:rsid w:val="00DD0ADB"/>
    <w:rsid w:val="00DD1A43"/>
    <w:rsid w:val="00DD1C64"/>
    <w:rsid w:val="00DD31E6"/>
    <w:rsid w:val="00DD59B6"/>
    <w:rsid w:val="00DD7FFE"/>
    <w:rsid w:val="00DE21F7"/>
    <w:rsid w:val="00DE6987"/>
    <w:rsid w:val="00DE6EAB"/>
    <w:rsid w:val="00DF0BBE"/>
    <w:rsid w:val="00DF0BCE"/>
    <w:rsid w:val="00DF4C7A"/>
    <w:rsid w:val="00DF5FCF"/>
    <w:rsid w:val="00E0026A"/>
    <w:rsid w:val="00E02133"/>
    <w:rsid w:val="00E073AF"/>
    <w:rsid w:val="00E076B5"/>
    <w:rsid w:val="00E10155"/>
    <w:rsid w:val="00E122D7"/>
    <w:rsid w:val="00E141A6"/>
    <w:rsid w:val="00E17E6E"/>
    <w:rsid w:val="00E20E75"/>
    <w:rsid w:val="00E212E4"/>
    <w:rsid w:val="00E22026"/>
    <w:rsid w:val="00E22275"/>
    <w:rsid w:val="00E24894"/>
    <w:rsid w:val="00E24C14"/>
    <w:rsid w:val="00E253A2"/>
    <w:rsid w:val="00E30554"/>
    <w:rsid w:val="00E31B97"/>
    <w:rsid w:val="00E3200A"/>
    <w:rsid w:val="00E36BB4"/>
    <w:rsid w:val="00E40E47"/>
    <w:rsid w:val="00E41DBF"/>
    <w:rsid w:val="00E4415A"/>
    <w:rsid w:val="00E5044B"/>
    <w:rsid w:val="00E510D2"/>
    <w:rsid w:val="00E53A1F"/>
    <w:rsid w:val="00E54BBF"/>
    <w:rsid w:val="00E56BEB"/>
    <w:rsid w:val="00E63273"/>
    <w:rsid w:val="00E64A53"/>
    <w:rsid w:val="00E665EB"/>
    <w:rsid w:val="00E70592"/>
    <w:rsid w:val="00E74F58"/>
    <w:rsid w:val="00E7705A"/>
    <w:rsid w:val="00E803FB"/>
    <w:rsid w:val="00E805CB"/>
    <w:rsid w:val="00E80EE1"/>
    <w:rsid w:val="00E81622"/>
    <w:rsid w:val="00E90E6D"/>
    <w:rsid w:val="00E9191C"/>
    <w:rsid w:val="00E92243"/>
    <w:rsid w:val="00E929F7"/>
    <w:rsid w:val="00E9377D"/>
    <w:rsid w:val="00E948F9"/>
    <w:rsid w:val="00E9604B"/>
    <w:rsid w:val="00EA1355"/>
    <w:rsid w:val="00EA256C"/>
    <w:rsid w:val="00EA39AF"/>
    <w:rsid w:val="00EA56EE"/>
    <w:rsid w:val="00EA77C0"/>
    <w:rsid w:val="00EA7953"/>
    <w:rsid w:val="00EB0CD7"/>
    <w:rsid w:val="00EB1592"/>
    <w:rsid w:val="00EB15F2"/>
    <w:rsid w:val="00EB2A5F"/>
    <w:rsid w:val="00EB3D8C"/>
    <w:rsid w:val="00EB4BF4"/>
    <w:rsid w:val="00EB4EA4"/>
    <w:rsid w:val="00EC3FE7"/>
    <w:rsid w:val="00EC5D07"/>
    <w:rsid w:val="00EC72DA"/>
    <w:rsid w:val="00ED37D6"/>
    <w:rsid w:val="00ED4FCF"/>
    <w:rsid w:val="00ED6953"/>
    <w:rsid w:val="00EE02DF"/>
    <w:rsid w:val="00EE234B"/>
    <w:rsid w:val="00EE2361"/>
    <w:rsid w:val="00EE35FC"/>
    <w:rsid w:val="00EE3EC0"/>
    <w:rsid w:val="00EE4069"/>
    <w:rsid w:val="00EE42DE"/>
    <w:rsid w:val="00EE75A0"/>
    <w:rsid w:val="00EF0029"/>
    <w:rsid w:val="00EF039E"/>
    <w:rsid w:val="00EF0E6D"/>
    <w:rsid w:val="00EF1AC1"/>
    <w:rsid w:val="00EF240A"/>
    <w:rsid w:val="00EF39D1"/>
    <w:rsid w:val="00EF4E75"/>
    <w:rsid w:val="00EF604D"/>
    <w:rsid w:val="00EF635E"/>
    <w:rsid w:val="00EF6703"/>
    <w:rsid w:val="00EF703D"/>
    <w:rsid w:val="00EF75BE"/>
    <w:rsid w:val="00F001A2"/>
    <w:rsid w:val="00F0071A"/>
    <w:rsid w:val="00F00CF1"/>
    <w:rsid w:val="00F01C1A"/>
    <w:rsid w:val="00F02D6C"/>
    <w:rsid w:val="00F0622E"/>
    <w:rsid w:val="00F1019C"/>
    <w:rsid w:val="00F126F2"/>
    <w:rsid w:val="00F15ED5"/>
    <w:rsid w:val="00F2052A"/>
    <w:rsid w:val="00F2128C"/>
    <w:rsid w:val="00F21EAD"/>
    <w:rsid w:val="00F226DB"/>
    <w:rsid w:val="00F22994"/>
    <w:rsid w:val="00F25061"/>
    <w:rsid w:val="00F255C0"/>
    <w:rsid w:val="00F27FAF"/>
    <w:rsid w:val="00F32757"/>
    <w:rsid w:val="00F32DD2"/>
    <w:rsid w:val="00F34186"/>
    <w:rsid w:val="00F34980"/>
    <w:rsid w:val="00F36385"/>
    <w:rsid w:val="00F407C3"/>
    <w:rsid w:val="00F44161"/>
    <w:rsid w:val="00F4528B"/>
    <w:rsid w:val="00F45FE0"/>
    <w:rsid w:val="00F46FD9"/>
    <w:rsid w:val="00F51568"/>
    <w:rsid w:val="00F52092"/>
    <w:rsid w:val="00F520C7"/>
    <w:rsid w:val="00F52244"/>
    <w:rsid w:val="00F52B65"/>
    <w:rsid w:val="00F52C98"/>
    <w:rsid w:val="00F541AD"/>
    <w:rsid w:val="00F55892"/>
    <w:rsid w:val="00F61F74"/>
    <w:rsid w:val="00F66071"/>
    <w:rsid w:val="00F67B03"/>
    <w:rsid w:val="00F734FC"/>
    <w:rsid w:val="00F7372C"/>
    <w:rsid w:val="00F8039F"/>
    <w:rsid w:val="00F80E5A"/>
    <w:rsid w:val="00F81783"/>
    <w:rsid w:val="00F84481"/>
    <w:rsid w:val="00F875D2"/>
    <w:rsid w:val="00F90E82"/>
    <w:rsid w:val="00F91294"/>
    <w:rsid w:val="00F917E9"/>
    <w:rsid w:val="00F9324F"/>
    <w:rsid w:val="00F953CA"/>
    <w:rsid w:val="00F97951"/>
    <w:rsid w:val="00FA0B8E"/>
    <w:rsid w:val="00FA1943"/>
    <w:rsid w:val="00FA2B66"/>
    <w:rsid w:val="00FA537E"/>
    <w:rsid w:val="00FB0DAA"/>
    <w:rsid w:val="00FB2188"/>
    <w:rsid w:val="00FC1114"/>
    <w:rsid w:val="00FC1CE2"/>
    <w:rsid w:val="00FC2FE9"/>
    <w:rsid w:val="00FC3250"/>
    <w:rsid w:val="00FC3DAB"/>
    <w:rsid w:val="00FC5E33"/>
    <w:rsid w:val="00FC6553"/>
    <w:rsid w:val="00FC67A0"/>
    <w:rsid w:val="00FD013D"/>
    <w:rsid w:val="00FD029A"/>
    <w:rsid w:val="00FD1905"/>
    <w:rsid w:val="00FD48B0"/>
    <w:rsid w:val="00FD62D4"/>
    <w:rsid w:val="00FE2714"/>
    <w:rsid w:val="00FE5882"/>
    <w:rsid w:val="00FE6B91"/>
    <w:rsid w:val="00FF1EB5"/>
    <w:rsid w:val="00FF2801"/>
    <w:rsid w:val="00FF2ACD"/>
    <w:rsid w:val="00FF3000"/>
    <w:rsid w:val="00FF410F"/>
    <w:rsid w:val="00FF7050"/>
    <w:rsid w:val="00FF733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85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D28"/>
    <w:pPr>
      <w:spacing w:after="240"/>
    </w:pPr>
  </w:style>
  <w:style w:type="paragraph" w:styleId="Heading1">
    <w:name w:val="heading 1"/>
    <w:basedOn w:val="Normal"/>
    <w:next w:val="Normal"/>
    <w:link w:val="Heading1Char"/>
    <w:uiPriority w:val="9"/>
    <w:qFormat/>
    <w:rsid w:val="006B4D28"/>
    <w:pPr>
      <w:keepNext/>
      <w:keepLines/>
      <w:spacing w:before="24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C767E3"/>
    <w:pPr>
      <w:keepNext/>
      <w:keepLines/>
      <w:pBdr>
        <w:bottom w:val="single" w:sz="4" w:space="1" w:color="2E74B5"/>
      </w:pBdr>
      <w:spacing w:before="360"/>
      <w:outlineLvl w:val="1"/>
    </w:pPr>
    <w:rPr>
      <w:rFonts w:asciiTheme="majorHAnsi" w:eastAsiaTheme="majorEastAsia" w:hAnsiTheme="majorHAnsi" w:cstheme="majorBidi"/>
      <w:color w:val="0D45D6"/>
      <w:sz w:val="26"/>
      <w:szCs w:val="26"/>
    </w:rPr>
  </w:style>
  <w:style w:type="paragraph" w:styleId="Heading3">
    <w:name w:val="heading 3"/>
    <w:basedOn w:val="Normal"/>
    <w:next w:val="Normal"/>
    <w:link w:val="Heading3Char"/>
    <w:uiPriority w:val="9"/>
    <w:unhideWhenUsed/>
    <w:qFormat/>
    <w:rsid w:val="005876C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D28"/>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C767E3"/>
    <w:rPr>
      <w:rFonts w:asciiTheme="majorHAnsi" w:eastAsiaTheme="majorEastAsia" w:hAnsiTheme="majorHAnsi" w:cstheme="majorBidi"/>
      <w:color w:val="0D45D6"/>
      <w:sz w:val="26"/>
      <w:szCs w:val="26"/>
    </w:rPr>
  </w:style>
  <w:style w:type="paragraph" w:styleId="Title">
    <w:name w:val="Title"/>
    <w:basedOn w:val="Normal"/>
    <w:next w:val="Normal"/>
    <w:link w:val="TitleChar"/>
    <w:uiPriority w:val="10"/>
    <w:qFormat/>
    <w:rsid w:val="00AB61E5"/>
    <w:pPr>
      <w:spacing w:line="240" w:lineRule="auto"/>
      <w:contextualSpacing/>
    </w:pPr>
    <w:rPr>
      <w:rFonts w:asciiTheme="majorHAnsi" w:eastAsiaTheme="majorEastAsia" w:hAnsiTheme="majorHAnsi" w:cstheme="majorBidi"/>
      <w:spacing w:val="-10"/>
      <w:kern w:val="28"/>
      <w:sz w:val="40"/>
      <w:szCs w:val="40"/>
    </w:rPr>
  </w:style>
  <w:style w:type="character" w:customStyle="1" w:styleId="TitleChar">
    <w:name w:val="Title Char"/>
    <w:basedOn w:val="DefaultParagraphFont"/>
    <w:link w:val="Title"/>
    <w:uiPriority w:val="10"/>
    <w:rsid w:val="00AB61E5"/>
    <w:rPr>
      <w:rFonts w:asciiTheme="majorHAnsi" w:eastAsiaTheme="majorEastAsia" w:hAnsiTheme="majorHAnsi" w:cstheme="majorBidi"/>
      <w:spacing w:val="-10"/>
      <w:kern w:val="28"/>
      <w:sz w:val="40"/>
      <w:szCs w:val="40"/>
    </w:rPr>
  </w:style>
  <w:style w:type="paragraph" w:styleId="Subtitle">
    <w:name w:val="Subtitle"/>
    <w:basedOn w:val="Normal"/>
    <w:next w:val="Normal"/>
    <w:link w:val="SubtitleChar"/>
    <w:uiPriority w:val="11"/>
    <w:qFormat/>
    <w:rsid w:val="00AB61E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B61E5"/>
    <w:rPr>
      <w:rFonts w:eastAsiaTheme="minorEastAsia"/>
      <w:color w:val="5A5A5A" w:themeColor="text1" w:themeTint="A5"/>
      <w:spacing w:val="15"/>
    </w:rPr>
  </w:style>
  <w:style w:type="character" w:styleId="SubtleEmphasis">
    <w:name w:val="Subtle Emphasis"/>
    <w:basedOn w:val="DefaultParagraphFont"/>
    <w:uiPriority w:val="19"/>
    <w:qFormat/>
    <w:rsid w:val="00AB61E5"/>
    <w:rPr>
      <w:i/>
      <w:iCs/>
      <w:color w:val="404040" w:themeColor="text1" w:themeTint="BF"/>
    </w:rPr>
  </w:style>
  <w:style w:type="paragraph" w:styleId="TOCHeading">
    <w:name w:val="TOC Heading"/>
    <w:basedOn w:val="Heading1"/>
    <w:next w:val="Normal"/>
    <w:uiPriority w:val="39"/>
    <w:unhideWhenUsed/>
    <w:qFormat/>
    <w:rsid w:val="001336CB"/>
    <w:pPr>
      <w:spacing w:after="0"/>
      <w:outlineLvl w:val="9"/>
    </w:pPr>
    <w:rPr>
      <w:b w:val="0"/>
      <w:lang w:val="en-US"/>
    </w:rPr>
  </w:style>
  <w:style w:type="paragraph" w:styleId="TOC1">
    <w:name w:val="toc 1"/>
    <w:basedOn w:val="Normal"/>
    <w:next w:val="Normal"/>
    <w:autoRedefine/>
    <w:uiPriority w:val="39"/>
    <w:unhideWhenUsed/>
    <w:rsid w:val="001336CB"/>
    <w:pPr>
      <w:spacing w:after="100"/>
    </w:pPr>
  </w:style>
  <w:style w:type="paragraph" w:styleId="TOC2">
    <w:name w:val="toc 2"/>
    <w:basedOn w:val="Normal"/>
    <w:next w:val="Normal"/>
    <w:autoRedefine/>
    <w:uiPriority w:val="39"/>
    <w:unhideWhenUsed/>
    <w:rsid w:val="001336CB"/>
    <w:pPr>
      <w:spacing w:after="100"/>
      <w:ind w:left="220"/>
    </w:pPr>
  </w:style>
  <w:style w:type="character" w:styleId="Hyperlink">
    <w:name w:val="Hyperlink"/>
    <w:basedOn w:val="DefaultParagraphFont"/>
    <w:uiPriority w:val="99"/>
    <w:unhideWhenUsed/>
    <w:rsid w:val="001336CB"/>
    <w:rPr>
      <w:color w:val="0563C1" w:themeColor="hyperlink"/>
      <w:u w:val="single"/>
    </w:rPr>
  </w:style>
  <w:style w:type="character" w:styleId="CommentReference">
    <w:name w:val="annotation reference"/>
    <w:basedOn w:val="DefaultParagraphFont"/>
    <w:uiPriority w:val="99"/>
    <w:semiHidden/>
    <w:unhideWhenUsed/>
    <w:rsid w:val="00713735"/>
    <w:rPr>
      <w:sz w:val="16"/>
      <w:szCs w:val="16"/>
    </w:rPr>
  </w:style>
  <w:style w:type="paragraph" w:styleId="CommentText">
    <w:name w:val="annotation text"/>
    <w:basedOn w:val="Normal"/>
    <w:link w:val="CommentTextChar"/>
    <w:uiPriority w:val="99"/>
    <w:unhideWhenUsed/>
    <w:rsid w:val="00713735"/>
    <w:pPr>
      <w:spacing w:line="240" w:lineRule="auto"/>
    </w:pPr>
    <w:rPr>
      <w:sz w:val="20"/>
      <w:szCs w:val="20"/>
    </w:rPr>
  </w:style>
  <w:style w:type="character" w:customStyle="1" w:styleId="CommentTextChar">
    <w:name w:val="Comment Text Char"/>
    <w:basedOn w:val="DefaultParagraphFont"/>
    <w:link w:val="CommentText"/>
    <w:uiPriority w:val="99"/>
    <w:rsid w:val="00713735"/>
    <w:rPr>
      <w:sz w:val="20"/>
      <w:szCs w:val="20"/>
    </w:rPr>
  </w:style>
  <w:style w:type="paragraph" w:styleId="CommentSubject">
    <w:name w:val="annotation subject"/>
    <w:basedOn w:val="CommentText"/>
    <w:next w:val="CommentText"/>
    <w:link w:val="CommentSubjectChar"/>
    <w:uiPriority w:val="99"/>
    <w:semiHidden/>
    <w:unhideWhenUsed/>
    <w:rsid w:val="00713735"/>
    <w:rPr>
      <w:b/>
      <w:bCs/>
    </w:rPr>
  </w:style>
  <w:style w:type="character" w:customStyle="1" w:styleId="CommentSubjectChar">
    <w:name w:val="Comment Subject Char"/>
    <w:basedOn w:val="CommentTextChar"/>
    <w:link w:val="CommentSubject"/>
    <w:uiPriority w:val="99"/>
    <w:semiHidden/>
    <w:rsid w:val="00713735"/>
    <w:rPr>
      <w:b/>
      <w:bCs/>
      <w:sz w:val="20"/>
      <w:szCs w:val="20"/>
    </w:rPr>
  </w:style>
  <w:style w:type="paragraph" w:styleId="BalloonText">
    <w:name w:val="Balloon Text"/>
    <w:basedOn w:val="Normal"/>
    <w:link w:val="BalloonTextChar"/>
    <w:uiPriority w:val="99"/>
    <w:semiHidden/>
    <w:unhideWhenUsed/>
    <w:rsid w:val="007137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735"/>
    <w:rPr>
      <w:rFonts w:ascii="Segoe UI" w:hAnsi="Segoe UI" w:cs="Segoe UI"/>
      <w:sz w:val="18"/>
      <w:szCs w:val="18"/>
    </w:rPr>
  </w:style>
  <w:style w:type="character" w:customStyle="1" w:styleId="Heading3Char">
    <w:name w:val="Heading 3 Char"/>
    <w:basedOn w:val="DefaultParagraphFont"/>
    <w:link w:val="Heading3"/>
    <w:uiPriority w:val="9"/>
    <w:rsid w:val="005876C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C7958"/>
    <w:pPr>
      <w:ind w:left="720"/>
      <w:contextualSpacing/>
    </w:pPr>
  </w:style>
  <w:style w:type="paragraph" w:styleId="Header">
    <w:name w:val="header"/>
    <w:basedOn w:val="Normal"/>
    <w:link w:val="HeaderChar"/>
    <w:uiPriority w:val="99"/>
    <w:unhideWhenUsed/>
    <w:rsid w:val="009C6A3E"/>
    <w:pPr>
      <w:tabs>
        <w:tab w:val="center" w:pos="4513"/>
        <w:tab w:val="right" w:pos="9026"/>
      </w:tabs>
      <w:spacing w:line="240" w:lineRule="auto"/>
    </w:pPr>
  </w:style>
  <w:style w:type="character" w:customStyle="1" w:styleId="HeaderChar">
    <w:name w:val="Header Char"/>
    <w:basedOn w:val="DefaultParagraphFont"/>
    <w:link w:val="Header"/>
    <w:uiPriority w:val="99"/>
    <w:rsid w:val="009C6A3E"/>
  </w:style>
  <w:style w:type="paragraph" w:styleId="Footer">
    <w:name w:val="footer"/>
    <w:basedOn w:val="Normal"/>
    <w:link w:val="FooterChar"/>
    <w:uiPriority w:val="99"/>
    <w:unhideWhenUsed/>
    <w:rsid w:val="009C6A3E"/>
    <w:pPr>
      <w:tabs>
        <w:tab w:val="center" w:pos="4513"/>
        <w:tab w:val="right" w:pos="9026"/>
      </w:tabs>
      <w:spacing w:line="240" w:lineRule="auto"/>
    </w:pPr>
  </w:style>
  <w:style w:type="character" w:customStyle="1" w:styleId="FooterChar">
    <w:name w:val="Footer Char"/>
    <w:basedOn w:val="DefaultParagraphFont"/>
    <w:link w:val="Footer"/>
    <w:uiPriority w:val="99"/>
    <w:rsid w:val="009C6A3E"/>
  </w:style>
  <w:style w:type="character" w:customStyle="1" w:styleId="UnresolvedMention1">
    <w:name w:val="Unresolved Mention1"/>
    <w:basedOn w:val="DefaultParagraphFont"/>
    <w:uiPriority w:val="99"/>
    <w:semiHidden/>
    <w:unhideWhenUsed/>
    <w:rsid w:val="00602BF1"/>
    <w:rPr>
      <w:color w:val="605E5C"/>
      <w:shd w:val="clear" w:color="auto" w:fill="E1DFDD"/>
    </w:rPr>
  </w:style>
  <w:style w:type="paragraph" w:customStyle="1" w:styleId="Normal-Numberedparagraphs">
    <w:name w:val="Normal - Numbered paragraphs"/>
    <w:basedOn w:val="Normal"/>
    <w:link w:val="Normal-NumberedparagraphsChar"/>
    <w:qFormat/>
    <w:rsid w:val="00EC3FE7"/>
    <w:pPr>
      <w:numPr>
        <w:numId w:val="2"/>
      </w:numPr>
    </w:pPr>
  </w:style>
  <w:style w:type="paragraph" w:customStyle="1" w:styleId="Bullet">
    <w:name w:val="Bullet"/>
    <w:basedOn w:val="Normal"/>
    <w:link w:val="BulletChar"/>
    <w:rsid w:val="006B4D28"/>
    <w:pPr>
      <w:numPr>
        <w:numId w:val="3"/>
      </w:numPr>
    </w:pPr>
  </w:style>
  <w:style w:type="character" w:customStyle="1" w:styleId="Normal-NumberedparagraphsChar">
    <w:name w:val="Normal - Numbered paragraphs Char"/>
    <w:basedOn w:val="DefaultParagraphFont"/>
    <w:link w:val="Normal-Numberedparagraphs"/>
    <w:rsid w:val="006B4D28"/>
  </w:style>
  <w:style w:type="character" w:customStyle="1" w:styleId="BulletChar">
    <w:name w:val="Bullet Char"/>
    <w:basedOn w:val="Normal-NumberedparagraphsChar"/>
    <w:link w:val="Bullet"/>
    <w:rsid w:val="006B4D28"/>
  </w:style>
  <w:style w:type="paragraph" w:customStyle="1" w:styleId="Dash">
    <w:name w:val="Dash"/>
    <w:basedOn w:val="Normal"/>
    <w:link w:val="DashChar"/>
    <w:rsid w:val="006B4D28"/>
    <w:pPr>
      <w:numPr>
        <w:ilvl w:val="1"/>
        <w:numId w:val="3"/>
      </w:numPr>
    </w:pPr>
  </w:style>
  <w:style w:type="character" w:customStyle="1" w:styleId="DashChar">
    <w:name w:val="Dash Char"/>
    <w:basedOn w:val="Normal-NumberedparagraphsChar"/>
    <w:link w:val="Dash"/>
    <w:rsid w:val="006B4D28"/>
  </w:style>
  <w:style w:type="paragraph" w:customStyle="1" w:styleId="DoubleDot">
    <w:name w:val="Double Dot"/>
    <w:basedOn w:val="Normal"/>
    <w:link w:val="DoubleDotChar"/>
    <w:rsid w:val="006B4D28"/>
    <w:pPr>
      <w:numPr>
        <w:ilvl w:val="2"/>
        <w:numId w:val="3"/>
      </w:numPr>
    </w:pPr>
  </w:style>
  <w:style w:type="character" w:customStyle="1" w:styleId="DoubleDotChar">
    <w:name w:val="Double Dot Char"/>
    <w:basedOn w:val="Normal-NumberedparagraphsChar"/>
    <w:link w:val="DoubleDot"/>
    <w:rsid w:val="006B4D28"/>
  </w:style>
  <w:style w:type="table" w:styleId="TableGrid">
    <w:name w:val="Table Grid"/>
    <w:basedOn w:val="TableNormal"/>
    <w:uiPriority w:val="39"/>
    <w:rsid w:val="00D75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Numbered1">
    <w:name w:val="Outline Numbered 1"/>
    <w:basedOn w:val="Normal"/>
    <w:link w:val="OutlineNumbered1Char"/>
    <w:rsid w:val="00D75569"/>
    <w:pPr>
      <w:numPr>
        <w:numId w:val="4"/>
      </w:numPr>
      <w:spacing w:line="240" w:lineRule="auto"/>
    </w:pPr>
  </w:style>
  <w:style w:type="character" w:customStyle="1" w:styleId="OutlineNumbered1Char">
    <w:name w:val="Outline Numbered 1 Char"/>
    <w:basedOn w:val="DefaultParagraphFont"/>
    <w:link w:val="OutlineNumbered1"/>
    <w:rsid w:val="00D75569"/>
  </w:style>
  <w:style w:type="paragraph" w:customStyle="1" w:styleId="OutlineNumbered2">
    <w:name w:val="Outline Numbered 2"/>
    <w:basedOn w:val="Normal"/>
    <w:link w:val="OutlineNumbered2Char"/>
    <w:rsid w:val="00D75569"/>
    <w:pPr>
      <w:numPr>
        <w:ilvl w:val="1"/>
        <w:numId w:val="4"/>
      </w:numPr>
      <w:spacing w:line="240" w:lineRule="auto"/>
    </w:pPr>
  </w:style>
  <w:style w:type="character" w:customStyle="1" w:styleId="OutlineNumbered2Char">
    <w:name w:val="Outline Numbered 2 Char"/>
    <w:basedOn w:val="DefaultParagraphFont"/>
    <w:link w:val="OutlineNumbered2"/>
    <w:rsid w:val="00D75569"/>
  </w:style>
  <w:style w:type="paragraph" w:customStyle="1" w:styleId="OutlineNumbered3">
    <w:name w:val="Outline Numbered 3"/>
    <w:basedOn w:val="Normal"/>
    <w:link w:val="OutlineNumbered3Char"/>
    <w:rsid w:val="00D75569"/>
    <w:pPr>
      <w:numPr>
        <w:ilvl w:val="2"/>
        <w:numId w:val="4"/>
      </w:numPr>
      <w:spacing w:line="240" w:lineRule="auto"/>
    </w:pPr>
  </w:style>
  <w:style w:type="character" w:customStyle="1" w:styleId="OutlineNumbered3Char">
    <w:name w:val="Outline Numbered 3 Char"/>
    <w:basedOn w:val="DefaultParagraphFont"/>
    <w:link w:val="OutlineNumbered3"/>
    <w:rsid w:val="00D75569"/>
  </w:style>
  <w:style w:type="paragraph" w:styleId="FootnoteText">
    <w:name w:val="footnote text"/>
    <w:basedOn w:val="Normal"/>
    <w:link w:val="FootnoteTextChar"/>
    <w:uiPriority w:val="99"/>
    <w:semiHidden/>
    <w:unhideWhenUsed/>
    <w:rsid w:val="001D0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0043"/>
    <w:rPr>
      <w:sz w:val="20"/>
      <w:szCs w:val="20"/>
    </w:rPr>
  </w:style>
  <w:style w:type="character" w:styleId="FootnoteReference">
    <w:name w:val="footnote reference"/>
    <w:basedOn w:val="DefaultParagraphFont"/>
    <w:uiPriority w:val="99"/>
    <w:semiHidden/>
    <w:unhideWhenUsed/>
    <w:rsid w:val="001D0043"/>
    <w:rPr>
      <w:vertAlign w:val="superscript"/>
    </w:rPr>
  </w:style>
  <w:style w:type="table" w:styleId="GridTable2-Accent1">
    <w:name w:val="Grid Table 2 Accent 1"/>
    <w:basedOn w:val="TableNormal"/>
    <w:uiPriority w:val="47"/>
    <w:rsid w:val="00543365"/>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PlainTable4">
    <w:name w:val="Plain Table 4"/>
    <w:basedOn w:val="TableNormal"/>
    <w:uiPriority w:val="99"/>
    <w:rsid w:val="00C767E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urityClassificationHeader">
    <w:name w:val="Security Classification Header"/>
    <w:link w:val="SecurityClassificationHeaderChar"/>
    <w:rsid w:val="00880D7B"/>
    <w:pPr>
      <w:spacing w:before="240" w:after="60"/>
      <w:jc w:val="center"/>
    </w:pPr>
    <w:rPr>
      <w:rFonts w:ascii="Calibri" w:hAnsi="Calibri" w:cs="Calibri"/>
      <w:b/>
      <w:caps/>
      <w:sz w:val="24"/>
    </w:rPr>
  </w:style>
  <w:style w:type="character" w:customStyle="1" w:styleId="SecurityClassificationHeaderChar">
    <w:name w:val="Security Classification Header Char"/>
    <w:basedOn w:val="HeaderChar"/>
    <w:link w:val="SecurityClassificationHeader"/>
    <w:rsid w:val="00880D7B"/>
    <w:rPr>
      <w:rFonts w:ascii="Calibri" w:hAnsi="Calibri" w:cs="Calibri"/>
      <w:b/>
      <w:caps/>
      <w:sz w:val="24"/>
    </w:rPr>
  </w:style>
  <w:style w:type="paragraph" w:customStyle="1" w:styleId="SecurityClassificationFooter">
    <w:name w:val="Security Classification Footer"/>
    <w:link w:val="SecurityClassificationFooterChar"/>
    <w:rsid w:val="00880D7B"/>
    <w:pPr>
      <w:spacing w:before="60" w:after="240"/>
      <w:jc w:val="center"/>
    </w:pPr>
    <w:rPr>
      <w:rFonts w:ascii="Calibri" w:hAnsi="Calibri" w:cs="Calibri"/>
      <w:b/>
      <w:caps/>
      <w:sz w:val="24"/>
    </w:rPr>
  </w:style>
  <w:style w:type="character" w:customStyle="1" w:styleId="SecurityClassificationFooterChar">
    <w:name w:val="Security Classification Footer Char"/>
    <w:basedOn w:val="HeaderChar"/>
    <w:link w:val="SecurityClassificationFooter"/>
    <w:rsid w:val="00880D7B"/>
    <w:rPr>
      <w:rFonts w:ascii="Calibri" w:hAnsi="Calibri" w:cs="Calibri"/>
      <w:b/>
      <w:caps/>
      <w:sz w:val="24"/>
    </w:rPr>
  </w:style>
  <w:style w:type="paragraph" w:customStyle="1" w:styleId="DLMSecurityHeader">
    <w:name w:val="DLM Security Header"/>
    <w:link w:val="DLMSecurityHeaderChar"/>
    <w:rsid w:val="00880D7B"/>
    <w:pPr>
      <w:spacing w:before="60" w:after="240"/>
      <w:jc w:val="center"/>
    </w:pPr>
    <w:rPr>
      <w:rFonts w:ascii="Calibri" w:hAnsi="Calibri" w:cs="Calibri"/>
      <w:b/>
      <w:caps/>
      <w:sz w:val="24"/>
    </w:rPr>
  </w:style>
  <w:style w:type="character" w:customStyle="1" w:styleId="DLMSecurityHeaderChar">
    <w:name w:val="DLM Security Header Char"/>
    <w:basedOn w:val="HeaderChar"/>
    <w:link w:val="DLMSecurityHeader"/>
    <w:rsid w:val="00880D7B"/>
    <w:rPr>
      <w:rFonts w:ascii="Calibri" w:hAnsi="Calibri" w:cs="Calibri"/>
      <w:b/>
      <w:caps/>
      <w:sz w:val="24"/>
    </w:rPr>
  </w:style>
  <w:style w:type="paragraph" w:customStyle="1" w:styleId="DLMSecurityFooter">
    <w:name w:val="DLM Security Footer"/>
    <w:link w:val="DLMSecurityFooterChar"/>
    <w:rsid w:val="00880D7B"/>
    <w:pPr>
      <w:spacing w:before="240" w:after="60"/>
      <w:jc w:val="center"/>
    </w:pPr>
    <w:rPr>
      <w:rFonts w:ascii="Calibri" w:hAnsi="Calibri" w:cs="Calibri"/>
      <w:b/>
      <w:caps/>
      <w:sz w:val="24"/>
    </w:rPr>
  </w:style>
  <w:style w:type="character" w:customStyle="1" w:styleId="DLMSecurityFooterChar">
    <w:name w:val="DLM Security Footer Char"/>
    <w:basedOn w:val="HeaderChar"/>
    <w:link w:val="DLMSecurityFooter"/>
    <w:rsid w:val="00880D7B"/>
    <w:rPr>
      <w:rFonts w:ascii="Calibri" w:hAnsi="Calibri" w:cs="Calibri"/>
      <w:b/>
      <w:caps/>
      <w:sz w:val="24"/>
    </w:rPr>
  </w:style>
  <w:style w:type="paragraph" w:styleId="Revision">
    <w:name w:val="Revision"/>
    <w:hidden/>
    <w:uiPriority w:val="99"/>
    <w:semiHidden/>
    <w:rsid w:val="00B77E44"/>
    <w:pPr>
      <w:spacing w:after="0" w:line="240" w:lineRule="auto"/>
    </w:pPr>
  </w:style>
  <w:style w:type="character" w:styleId="FollowedHyperlink">
    <w:name w:val="FollowedHyperlink"/>
    <w:basedOn w:val="DefaultParagraphFont"/>
    <w:uiPriority w:val="99"/>
    <w:semiHidden/>
    <w:unhideWhenUsed/>
    <w:rsid w:val="00440641"/>
    <w:rPr>
      <w:color w:val="954F72" w:themeColor="followedHyperlink"/>
      <w:u w:val="single"/>
    </w:rPr>
  </w:style>
  <w:style w:type="character" w:customStyle="1" w:styleId="UnresolvedMention2">
    <w:name w:val="Unresolved Mention2"/>
    <w:basedOn w:val="DefaultParagraphFont"/>
    <w:uiPriority w:val="99"/>
    <w:semiHidden/>
    <w:unhideWhenUsed/>
    <w:rsid w:val="0080118D"/>
    <w:rPr>
      <w:color w:val="605E5C"/>
      <w:shd w:val="clear" w:color="auto" w:fill="E1DFDD"/>
    </w:rPr>
  </w:style>
  <w:style w:type="character" w:styleId="UnresolvedMention">
    <w:name w:val="Unresolved Mention"/>
    <w:basedOn w:val="DefaultParagraphFont"/>
    <w:uiPriority w:val="99"/>
    <w:semiHidden/>
    <w:unhideWhenUsed/>
    <w:rsid w:val="004F4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66317">
      <w:bodyDiv w:val="1"/>
      <w:marLeft w:val="0"/>
      <w:marRight w:val="0"/>
      <w:marTop w:val="0"/>
      <w:marBottom w:val="0"/>
      <w:divBdr>
        <w:top w:val="none" w:sz="0" w:space="0" w:color="auto"/>
        <w:left w:val="none" w:sz="0" w:space="0" w:color="auto"/>
        <w:bottom w:val="none" w:sz="0" w:space="0" w:color="auto"/>
        <w:right w:val="none" w:sz="0" w:space="0" w:color="auto"/>
      </w:divBdr>
    </w:div>
    <w:div w:id="201331995">
      <w:bodyDiv w:val="1"/>
      <w:marLeft w:val="0"/>
      <w:marRight w:val="0"/>
      <w:marTop w:val="0"/>
      <w:marBottom w:val="0"/>
      <w:divBdr>
        <w:top w:val="none" w:sz="0" w:space="0" w:color="auto"/>
        <w:left w:val="none" w:sz="0" w:space="0" w:color="auto"/>
        <w:bottom w:val="none" w:sz="0" w:space="0" w:color="auto"/>
        <w:right w:val="none" w:sz="0" w:space="0" w:color="auto"/>
      </w:divBdr>
      <w:divsChild>
        <w:div w:id="78017881">
          <w:marLeft w:val="547"/>
          <w:marRight w:val="0"/>
          <w:marTop w:val="0"/>
          <w:marBottom w:val="0"/>
          <w:divBdr>
            <w:top w:val="none" w:sz="0" w:space="0" w:color="auto"/>
            <w:left w:val="none" w:sz="0" w:space="0" w:color="auto"/>
            <w:bottom w:val="none" w:sz="0" w:space="0" w:color="auto"/>
            <w:right w:val="none" w:sz="0" w:space="0" w:color="auto"/>
          </w:divBdr>
        </w:div>
      </w:divsChild>
    </w:div>
    <w:div w:id="243955182">
      <w:bodyDiv w:val="1"/>
      <w:marLeft w:val="0"/>
      <w:marRight w:val="0"/>
      <w:marTop w:val="0"/>
      <w:marBottom w:val="0"/>
      <w:divBdr>
        <w:top w:val="none" w:sz="0" w:space="0" w:color="auto"/>
        <w:left w:val="none" w:sz="0" w:space="0" w:color="auto"/>
        <w:bottom w:val="none" w:sz="0" w:space="0" w:color="auto"/>
        <w:right w:val="none" w:sz="0" w:space="0" w:color="auto"/>
      </w:divBdr>
    </w:div>
    <w:div w:id="252052419">
      <w:bodyDiv w:val="1"/>
      <w:marLeft w:val="0"/>
      <w:marRight w:val="0"/>
      <w:marTop w:val="0"/>
      <w:marBottom w:val="0"/>
      <w:divBdr>
        <w:top w:val="none" w:sz="0" w:space="0" w:color="auto"/>
        <w:left w:val="none" w:sz="0" w:space="0" w:color="auto"/>
        <w:bottom w:val="none" w:sz="0" w:space="0" w:color="auto"/>
        <w:right w:val="none" w:sz="0" w:space="0" w:color="auto"/>
      </w:divBdr>
    </w:div>
    <w:div w:id="252514302">
      <w:bodyDiv w:val="1"/>
      <w:marLeft w:val="0"/>
      <w:marRight w:val="0"/>
      <w:marTop w:val="0"/>
      <w:marBottom w:val="0"/>
      <w:divBdr>
        <w:top w:val="none" w:sz="0" w:space="0" w:color="auto"/>
        <w:left w:val="none" w:sz="0" w:space="0" w:color="auto"/>
        <w:bottom w:val="none" w:sz="0" w:space="0" w:color="auto"/>
        <w:right w:val="none" w:sz="0" w:space="0" w:color="auto"/>
      </w:divBdr>
    </w:div>
    <w:div w:id="292827929">
      <w:bodyDiv w:val="1"/>
      <w:marLeft w:val="0"/>
      <w:marRight w:val="0"/>
      <w:marTop w:val="0"/>
      <w:marBottom w:val="0"/>
      <w:divBdr>
        <w:top w:val="none" w:sz="0" w:space="0" w:color="auto"/>
        <w:left w:val="none" w:sz="0" w:space="0" w:color="auto"/>
        <w:bottom w:val="none" w:sz="0" w:space="0" w:color="auto"/>
        <w:right w:val="none" w:sz="0" w:space="0" w:color="auto"/>
      </w:divBdr>
    </w:div>
    <w:div w:id="313489230">
      <w:bodyDiv w:val="1"/>
      <w:marLeft w:val="0"/>
      <w:marRight w:val="0"/>
      <w:marTop w:val="0"/>
      <w:marBottom w:val="0"/>
      <w:divBdr>
        <w:top w:val="none" w:sz="0" w:space="0" w:color="auto"/>
        <w:left w:val="none" w:sz="0" w:space="0" w:color="auto"/>
        <w:bottom w:val="none" w:sz="0" w:space="0" w:color="auto"/>
        <w:right w:val="none" w:sz="0" w:space="0" w:color="auto"/>
      </w:divBdr>
    </w:div>
    <w:div w:id="348483614">
      <w:bodyDiv w:val="1"/>
      <w:marLeft w:val="0"/>
      <w:marRight w:val="0"/>
      <w:marTop w:val="0"/>
      <w:marBottom w:val="0"/>
      <w:divBdr>
        <w:top w:val="none" w:sz="0" w:space="0" w:color="auto"/>
        <w:left w:val="none" w:sz="0" w:space="0" w:color="auto"/>
        <w:bottom w:val="none" w:sz="0" w:space="0" w:color="auto"/>
        <w:right w:val="none" w:sz="0" w:space="0" w:color="auto"/>
      </w:divBdr>
    </w:div>
    <w:div w:id="489952317">
      <w:bodyDiv w:val="1"/>
      <w:marLeft w:val="0"/>
      <w:marRight w:val="0"/>
      <w:marTop w:val="0"/>
      <w:marBottom w:val="0"/>
      <w:divBdr>
        <w:top w:val="none" w:sz="0" w:space="0" w:color="auto"/>
        <w:left w:val="none" w:sz="0" w:space="0" w:color="auto"/>
        <w:bottom w:val="none" w:sz="0" w:space="0" w:color="auto"/>
        <w:right w:val="none" w:sz="0" w:space="0" w:color="auto"/>
      </w:divBdr>
    </w:div>
    <w:div w:id="664287300">
      <w:bodyDiv w:val="1"/>
      <w:marLeft w:val="0"/>
      <w:marRight w:val="0"/>
      <w:marTop w:val="0"/>
      <w:marBottom w:val="0"/>
      <w:divBdr>
        <w:top w:val="none" w:sz="0" w:space="0" w:color="auto"/>
        <w:left w:val="none" w:sz="0" w:space="0" w:color="auto"/>
        <w:bottom w:val="none" w:sz="0" w:space="0" w:color="auto"/>
        <w:right w:val="none" w:sz="0" w:space="0" w:color="auto"/>
      </w:divBdr>
    </w:div>
    <w:div w:id="670526607">
      <w:bodyDiv w:val="1"/>
      <w:marLeft w:val="0"/>
      <w:marRight w:val="0"/>
      <w:marTop w:val="0"/>
      <w:marBottom w:val="0"/>
      <w:divBdr>
        <w:top w:val="none" w:sz="0" w:space="0" w:color="auto"/>
        <w:left w:val="none" w:sz="0" w:space="0" w:color="auto"/>
        <w:bottom w:val="none" w:sz="0" w:space="0" w:color="auto"/>
        <w:right w:val="none" w:sz="0" w:space="0" w:color="auto"/>
      </w:divBdr>
    </w:div>
    <w:div w:id="683634344">
      <w:bodyDiv w:val="1"/>
      <w:marLeft w:val="0"/>
      <w:marRight w:val="0"/>
      <w:marTop w:val="0"/>
      <w:marBottom w:val="0"/>
      <w:divBdr>
        <w:top w:val="none" w:sz="0" w:space="0" w:color="auto"/>
        <w:left w:val="none" w:sz="0" w:space="0" w:color="auto"/>
        <w:bottom w:val="none" w:sz="0" w:space="0" w:color="auto"/>
        <w:right w:val="none" w:sz="0" w:space="0" w:color="auto"/>
      </w:divBdr>
    </w:div>
    <w:div w:id="707023066">
      <w:bodyDiv w:val="1"/>
      <w:marLeft w:val="0"/>
      <w:marRight w:val="0"/>
      <w:marTop w:val="0"/>
      <w:marBottom w:val="0"/>
      <w:divBdr>
        <w:top w:val="none" w:sz="0" w:space="0" w:color="auto"/>
        <w:left w:val="none" w:sz="0" w:space="0" w:color="auto"/>
        <w:bottom w:val="none" w:sz="0" w:space="0" w:color="auto"/>
        <w:right w:val="none" w:sz="0" w:space="0" w:color="auto"/>
      </w:divBdr>
    </w:div>
    <w:div w:id="856499292">
      <w:bodyDiv w:val="1"/>
      <w:marLeft w:val="0"/>
      <w:marRight w:val="0"/>
      <w:marTop w:val="0"/>
      <w:marBottom w:val="0"/>
      <w:divBdr>
        <w:top w:val="none" w:sz="0" w:space="0" w:color="auto"/>
        <w:left w:val="none" w:sz="0" w:space="0" w:color="auto"/>
        <w:bottom w:val="none" w:sz="0" w:space="0" w:color="auto"/>
        <w:right w:val="none" w:sz="0" w:space="0" w:color="auto"/>
      </w:divBdr>
      <w:divsChild>
        <w:div w:id="937982385">
          <w:marLeft w:val="547"/>
          <w:marRight w:val="0"/>
          <w:marTop w:val="0"/>
          <w:marBottom w:val="0"/>
          <w:divBdr>
            <w:top w:val="none" w:sz="0" w:space="0" w:color="auto"/>
            <w:left w:val="none" w:sz="0" w:space="0" w:color="auto"/>
            <w:bottom w:val="none" w:sz="0" w:space="0" w:color="auto"/>
            <w:right w:val="none" w:sz="0" w:space="0" w:color="auto"/>
          </w:divBdr>
        </w:div>
      </w:divsChild>
    </w:div>
    <w:div w:id="1037507873">
      <w:bodyDiv w:val="1"/>
      <w:marLeft w:val="0"/>
      <w:marRight w:val="0"/>
      <w:marTop w:val="0"/>
      <w:marBottom w:val="0"/>
      <w:divBdr>
        <w:top w:val="none" w:sz="0" w:space="0" w:color="auto"/>
        <w:left w:val="none" w:sz="0" w:space="0" w:color="auto"/>
        <w:bottom w:val="none" w:sz="0" w:space="0" w:color="auto"/>
        <w:right w:val="none" w:sz="0" w:space="0" w:color="auto"/>
      </w:divBdr>
    </w:div>
    <w:div w:id="1067845233">
      <w:bodyDiv w:val="1"/>
      <w:marLeft w:val="0"/>
      <w:marRight w:val="0"/>
      <w:marTop w:val="0"/>
      <w:marBottom w:val="0"/>
      <w:divBdr>
        <w:top w:val="none" w:sz="0" w:space="0" w:color="auto"/>
        <w:left w:val="none" w:sz="0" w:space="0" w:color="auto"/>
        <w:bottom w:val="none" w:sz="0" w:space="0" w:color="auto"/>
        <w:right w:val="none" w:sz="0" w:space="0" w:color="auto"/>
      </w:divBdr>
    </w:div>
    <w:div w:id="1081607379">
      <w:bodyDiv w:val="1"/>
      <w:marLeft w:val="0"/>
      <w:marRight w:val="0"/>
      <w:marTop w:val="0"/>
      <w:marBottom w:val="0"/>
      <w:divBdr>
        <w:top w:val="none" w:sz="0" w:space="0" w:color="auto"/>
        <w:left w:val="none" w:sz="0" w:space="0" w:color="auto"/>
        <w:bottom w:val="none" w:sz="0" w:space="0" w:color="auto"/>
        <w:right w:val="none" w:sz="0" w:space="0" w:color="auto"/>
      </w:divBdr>
    </w:div>
    <w:div w:id="1085302753">
      <w:bodyDiv w:val="1"/>
      <w:marLeft w:val="0"/>
      <w:marRight w:val="0"/>
      <w:marTop w:val="0"/>
      <w:marBottom w:val="0"/>
      <w:divBdr>
        <w:top w:val="none" w:sz="0" w:space="0" w:color="auto"/>
        <w:left w:val="none" w:sz="0" w:space="0" w:color="auto"/>
        <w:bottom w:val="none" w:sz="0" w:space="0" w:color="auto"/>
        <w:right w:val="none" w:sz="0" w:space="0" w:color="auto"/>
      </w:divBdr>
    </w:div>
    <w:div w:id="1125730255">
      <w:bodyDiv w:val="1"/>
      <w:marLeft w:val="0"/>
      <w:marRight w:val="0"/>
      <w:marTop w:val="0"/>
      <w:marBottom w:val="0"/>
      <w:divBdr>
        <w:top w:val="none" w:sz="0" w:space="0" w:color="auto"/>
        <w:left w:val="none" w:sz="0" w:space="0" w:color="auto"/>
        <w:bottom w:val="none" w:sz="0" w:space="0" w:color="auto"/>
        <w:right w:val="none" w:sz="0" w:space="0" w:color="auto"/>
      </w:divBdr>
      <w:divsChild>
        <w:div w:id="545878022">
          <w:marLeft w:val="547"/>
          <w:marRight w:val="0"/>
          <w:marTop w:val="0"/>
          <w:marBottom w:val="0"/>
          <w:divBdr>
            <w:top w:val="none" w:sz="0" w:space="0" w:color="auto"/>
            <w:left w:val="none" w:sz="0" w:space="0" w:color="auto"/>
            <w:bottom w:val="none" w:sz="0" w:space="0" w:color="auto"/>
            <w:right w:val="none" w:sz="0" w:space="0" w:color="auto"/>
          </w:divBdr>
        </w:div>
      </w:divsChild>
    </w:div>
    <w:div w:id="1206329633">
      <w:bodyDiv w:val="1"/>
      <w:marLeft w:val="0"/>
      <w:marRight w:val="0"/>
      <w:marTop w:val="0"/>
      <w:marBottom w:val="0"/>
      <w:divBdr>
        <w:top w:val="none" w:sz="0" w:space="0" w:color="auto"/>
        <w:left w:val="none" w:sz="0" w:space="0" w:color="auto"/>
        <w:bottom w:val="none" w:sz="0" w:space="0" w:color="auto"/>
        <w:right w:val="none" w:sz="0" w:space="0" w:color="auto"/>
      </w:divBdr>
    </w:div>
    <w:div w:id="1257443951">
      <w:bodyDiv w:val="1"/>
      <w:marLeft w:val="0"/>
      <w:marRight w:val="0"/>
      <w:marTop w:val="0"/>
      <w:marBottom w:val="0"/>
      <w:divBdr>
        <w:top w:val="none" w:sz="0" w:space="0" w:color="auto"/>
        <w:left w:val="none" w:sz="0" w:space="0" w:color="auto"/>
        <w:bottom w:val="none" w:sz="0" w:space="0" w:color="auto"/>
        <w:right w:val="none" w:sz="0" w:space="0" w:color="auto"/>
      </w:divBdr>
    </w:div>
    <w:div w:id="1272588318">
      <w:bodyDiv w:val="1"/>
      <w:marLeft w:val="0"/>
      <w:marRight w:val="0"/>
      <w:marTop w:val="0"/>
      <w:marBottom w:val="0"/>
      <w:divBdr>
        <w:top w:val="none" w:sz="0" w:space="0" w:color="auto"/>
        <w:left w:val="none" w:sz="0" w:space="0" w:color="auto"/>
        <w:bottom w:val="none" w:sz="0" w:space="0" w:color="auto"/>
        <w:right w:val="none" w:sz="0" w:space="0" w:color="auto"/>
      </w:divBdr>
    </w:div>
    <w:div w:id="1285691421">
      <w:bodyDiv w:val="1"/>
      <w:marLeft w:val="0"/>
      <w:marRight w:val="0"/>
      <w:marTop w:val="0"/>
      <w:marBottom w:val="0"/>
      <w:divBdr>
        <w:top w:val="none" w:sz="0" w:space="0" w:color="auto"/>
        <w:left w:val="none" w:sz="0" w:space="0" w:color="auto"/>
        <w:bottom w:val="none" w:sz="0" w:space="0" w:color="auto"/>
        <w:right w:val="none" w:sz="0" w:space="0" w:color="auto"/>
      </w:divBdr>
    </w:div>
    <w:div w:id="1358314286">
      <w:bodyDiv w:val="1"/>
      <w:marLeft w:val="0"/>
      <w:marRight w:val="0"/>
      <w:marTop w:val="0"/>
      <w:marBottom w:val="0"/>
      <w:divBdr>
        <w:top w:val="none" w:sz="0" w:space="0" w:color="auto"/>
        <w:left w:val="none" w:sz="0" w:space="0" w:color="auto"/>
        <w:bottom w:val="none" w:sz="0" w:space="0" w:color="auto"/>
        <w:right w:val="none" w:sz="0" w:space="0" w:color="auto"/>
      </w:divBdr>
    </w:div>
    <w:div w:id="1425305297">
      <w:bodyDiv w:val="1"/>
      <w:marLeft w:val="0"/>
      <w:marRight w:val="0"/>
      <w:marTop w:val="0"/>
      <w:marBottom w:val="0"/>
      <w:divBdr>
        <w:top w:val="none" w:sz="0" w:space="0" w:color="auto"/>
        <w:left w:val="none" w:sz="0" w:space="0" w:color="auto"/>
        <w:bottom w:val="none" w:sz="0" w:space="0" w:color="auto"/>
        <w:right w:val="none" w:sz="0" w:space="0" w:color="auto"/>
      </w:divBdr>
    </w:div>
    <w:div w:id="1485580535">
      <w:bodyDiv w:val="1"/>
      <w:marLeft w:val="0"/>
      <w:marRight w:val="0"/>
      <w:marTop w:val="0"/>
      <w:marBottom w:val="0"/>
      <w:divBdr>
        <w:top w:val="none" w:sz="0" w:space="0" w:color="auto"/>
        <w:left w:val="none" w:sz="0" w:space="0" w:color="auto"/>
        <w:bottom w:val="none" w:sz="0" w:space="0" w:color="auto"/>
        <w:right w:val="none" w:sz="0" w:space="0" w:color="auto"/>
      </w:divBdr>
    </w:div>
    <w:div w:id="1507089104">
      <w:bodyDiv w:val="1"/>
      <w:marLeft w:val="0"/>
      <w:marRight w:val="0"/>
      <w:marTop w:val="0"/>
      <w:marBottom w:val="0"/>
      <w:divBdr>
        <w:top w:val="none" w:sz="0" w:space="0" w:color="auto"/>
        <w:left w:val="none" w:sz="0" w:space="0" w:color="auto"/>
        <w:bottom w:val="none" w:sz="0" w:space="0" w:color="auto"/>
        <w:right w:val="none" w:sz="0" w:space="0" w:color="auto"/>
      </w:divBdr>
    </w:div>
    <w:div w:id="1522163500">
      <w:bodyDiv w:val="1"/>
      <w:marLeft w:val="0"/>
      <w:marRight w:val="0"/>
      <w:marTop w:val="0"/>
      <w:marBottom w:val="0"/>
      <w:divBdr>
        <w:top w:val="none" w:sz="0" w:space="0" w:color="auto"/>
        <w:left w:val="none" w:sz="0" w:space="0" w:color="auto"/>
        <w:bottom w:val="none" w:sz="0" w:space="0" w:color="auto"/>
        <w:right w:val="none" w:sz="0" w:space="0" w:color="auto"/>
      </w:divBdr>
    </w:div>
    <w:div w:id="1527214095">
      <w:bodyDiv w:val="1"/>
      <w:marLeft w:val="0"/>
      <w:marRight w:val="0"/>
      <w:marTop w:val="0"/>
      <w:marBottom w:val="0"/>
      <w:divBdr>
        <w:top w:val="none" w:sz="0" w:space="0" w:color="auto"/>
        <w:left w:val="none" w:sz="0" w:space="0" w:color="auto"/>
        <w:bottom w:val="none" w:sz="0" w:space="0" w:color="auto"/>
        <w:right w:val="none" w:sz="0" w:space="0" w:color="auto"/>
      </w:divBdr>
    </w:div>
    <w:div w:id="1580018744">
      <w:bodyDiv w:val="1"/>
      <w:marLeft w:val="0"/>
      <w:marRight w:val="0"/>
      <w:marTop w:val="0"/>
      <w:marBottom w:val="0"/>
      <w:divBdr>
        <w:top w:val="none" w:sz="0" w:space="0" w:color="auto"/>
        <w:left w:val="none" w:sz="0" w:space="0" w:color="auto"/>
        <w:bottom w:val="none" w:sz="0" w:space="0" w:color="auto"/>
        <w:right w:val="none" w:sz="0" w:space="0" w:color="auto"/>
      </w:divBdr>
    </w:div>
    <w:div w:id="1585186351">
      <w:bodyDiv w:val="1"/>
      <w:marLeft w:val="0"/>
      <w:marRight w:val="0"/>
      <w:marTop w:val="0"/>
      <w:marBottom w:val="0"/>
      <w:divBdr>
        <w:top w:val="none" w:sz="0" w:space="0" w:color="auto"/>
        <w:left w:val="none" w:sz="0" w:space="0" w:color="auto"/>
        <w:bottom w:val="none" w:sz="0" w:space="0" w:color="auto"/>
        <w:right w:val="none" w:sz="0" w:space="0" w:color="auto"/>
      </w:divBdr>
    </w:div>
    <w:div w:id="1644314873">
      <w:bodyDiv w:val="1"/>
      <w:marLeft w:val="0"/>
      <w:marRight w:val="0"/>
      <w:marTop w:val="0"/>
      <w:marBottom w:val="0"/>
      <w:divBdr>
        <w:top w:val="none" w:sz="0" w:space="0" w:color="auto"/>
        <w:left w:val="none" w:sz="0" w:space="0" w:color="auto"/>
        <w:bottom w:val="none" w:sz="0" w:space="0" w:color="auto"/>
        <w:right w:val="none" w:sz="0" w:space="0" w:color="auto"/>
      </w:divBdr>
      <w:divsChild>
        <w:div w:id="683435845">
          <w:marLeft w:val="547"/>
          <w:marRight w:val="0"/>
          <w:marTop w:val="0"/>
          <w:marBottom w:val="0"/>
          <w:divBdr>
            <w:top w:val="none" w:sz="0" w:space="0" w:color="auto"/>
            <w:left w:val="none" w:sz="0" w:space="0" w:color="auto"/>
            <w:bottom w:val="none" w:sz="0" w:space="0" w:color="auto"/>
            <w:right w:val="none" w:sz="0" w:space="0" w:color="auto"/>
          </w:divBdr>
        </w:div>
      </w:divsChild>
    </w:div>
    <w:div w:id="1729835864">
      <w:bodyDiv w:val="1"/>
      <w:marLeft w:val="0"/>
      <w:marRight w:val="0"/>
      <w:marTop w:val="0"/>
      <w:marBottom w:val="0"/>
      <w:divBdr>
        <w:top w:val="none" w:sz="0" w:space="0" w:color="auto"/>
        <w:left w:val="none" w:sz="0" w:space="0" w:color="auto"/>
        <w:bottom w:val="none" w:sz="0" w:space="0" w:color="auto"/>
        <w:right w:val="none" w:sz="0" w:space="0" w:color="auto"/>
      </w:divBdr>
    </w:div>
    <w:div w:id="1753820708">
      <w:bodyDiv w:val="1"/>
      <w:marLeft w:val="0"/>
      <w:marRight w:val="0"/>
      <w:marTop w:val="0"/>
      <w:marBottom w:val="0"/>
      <w:divBdr>
        <w:top w:val="none" w:sz="0" w:space="0" w:color="auto"/>
        <w:left w:val="none" w:sz="0" w:space="0" w:color="auto"/>
        <w:bottom w:val="none" w:sz="0" w:space="0" w:color="auto"/>
        <w:right w:val="none" w:sz="0" w:space="0" w:color="auto"/>
      </w:divBdr>
    </w:div>
    <w:div w:id="1781601773">
      <w:bodyDiv w:val="1"/>
      <w:marLeft w:val="0"/>
      <w:marRight w:val="0"/>
      <w:marTop w:val="0"/>
      <w:marBottom w:val="0"/>
      <w:divBdr>
        <w:top w:val="none" w:sz="0" w:space="0" w:color="auto"/>
        <w:left w:val="none" w:sz="0" w:space="0" w:color="auto"/>
        <w:bottom w:val="none" w:sz="0" w:space="0" w:color="auto"/>
        <w:right w:val="none" w:sz="0" w:space="0" w:color="auto"/>
      </w:divBdr>
    </w:div>
    <w:div w:id="1850484049">
      <w:bodyDiv w:val="1"/>
      <w:marLeft w:val="0"/>
      <w:marRight w:val="0"/>
      <w:marTop w:val="0"/>
      <w:marBottom w:val="0"/>
      <w:divBdr>
        <w:top w:val="none" w:sz="0" w:space="0" w:color="auto"/>
        <w:left w:val="none" w:sz="0" w:space="0" w:color="auto"/>
        <w:bottom w:val="none" w:sz="0" w:space="0" w:color="auto"/>
        <w:right w:val="none" w:sz="0" w:space="0" w:color="auto"/>
      </w:divBdr>
    </w:div>
    <w:div w:id="1861550157">
      <w:bodyDiv w:val="1"/>
      <w:marLeft w:val="0"/>
      <w:marRight w:val="0"/>
      <w:marTop w:val="0"/>
      <w:marBottom w:val="0"/>
      <w:divBdr>
        <w:top w:val="none" w:sz="0" w:space="0" w:color="auto"/>
        <w:left w:val="none" w:sz="0" w:space="0" w:color="auto"/>
        <w:bottom w:val="none" w:sz="0" w:space="0" w:color="auto"/>
        <w:right w:val="none" w:sz="0" w:space="0" w:color="auto"/>
      </w:divBdr>
    </w:div>
    <w:div w:id="1896505793">
      <w:bodyDiv w:val="1"/>
      <w:marLeft w:val="0"/>
      <w:marRight w:val="0"/>
      <w:marTop w:val="0"/>
      <w:marBottom w:val="0"/>
      <w:divBdr>
        <w:top w:val="none" w:sz="0" w:space="0" w:color="auto"/>
        <w:left w:val="none" w:sz="0" w:space="0" w:color="auto"/>
        <w:bottom w:val="none" w:sz="0" w:space="0" w:color="auto"/>
        <w:right w:val="none" w:sz="0" w:space="0" w:color="auto"/>
      </w:divBdr>
    </w:div>
    <w:div w:id="1991592239">
      <w:bodyDiv w:val="1"/>
      <w:marLeft w:val="0"/>
      <w:marRight w:val="0"/>
      <w:marTop w:val="0"/>
      <w:marBottom w:val="0"/>
      <w:divBdr>
        <w:top w:val="none" w:sz="0" w:space="0" w:color="auto"/>
        <w:left w:val="none" w:sz="0" w:space="0" w:color="auto"/>
        <w:bottom w:val="none" w:sz="0" w:space="0" w:color="auto"/>
        <w:right w:val="none" w:sz="0" w:space="0" w:color="auto"/>
      </w:divBdr>
    </w:div>
    <w:div w:id="2045404537">
      <w:bodyDiv w:val="1"/>
      <w:marLeft w:val="0"/>
      <w:marRight w:val="0"/>
      <w:marTop w:val="0"/>
      <w:marBottom w:val="0"/>
      <w:divBdr>
        <w:top w:val="none" w:sz="0" w:space="0" w:color="auto"/>
        <w:left w:val="none" w:sz="0" w:space="0" w:color="auto"/>
        <w:bottom w:val="none" w:sz="0" w:space="0" w:color="auto"/>
        <w:right w:val="none" w:sz="0" w:space="0" w:color="auto"/>
      </w:divBdr>
    </w:div>
    <w:div w:id="2073968806">
      <w:bodyDiv w:val="1"/>
      <w:marLeft w:val="0"/>
      <w:marRight w:val="0"/>
      <w:marTop w:val="0"/>
      <w:marBottom w:val="0"/>
      <w:divBdr>
        <w:top w:val="none" w:sz="0" w:space="0" w:color="auto"/>
        <w:left w:val="none" w:sz="0" w:space="0" w:color="auto"/>
        <w:bottom w:val="none" w:sz="0" w:space="0" w:color="auto"/>
        <w:right w:val="none" w:sz="0" w:space="0" w:color="auto"/>
      </w:divBdr>
    </w:div>
    <w:div w:id="2075161404">
      <w:bodyDiv w:val="1"/>
      <w:marLeft w:val="0"/>
      <w:marRight w:val="0"/>
      <w:marTop w:val="0"/>
      <w:marBottom w:val="0"/>
      <w:divBdr>
        <w:top w:val="none" w:sz="0" w:space="0" w:color="auto"/>
        <w:left w:val="none" w:sz="0" w:space="0" w:color="auto"/>
        <w:bottom w:val="none" w:sz="0" w:space="0" w:color="auto"/>
        <w:right w:val="none" w:sz="0" w:space="0" w:color="auto"/>
      </w:divBdr>
      <w:divsChild>
        <w:div w:id="1049037404">
          <w:marLeft w:val="547"/>
          <w:marRight w:val="0"/>
          <w:marTop w:val="0"/>
          <w:marBottom w:val="0"/>
          <w:divBdr>
            <w:top w:val="none" w:sz="0" w:space="0" w:color="auto"/>
            <w:left w:val="none" w:sz="0" w:space="0" w:color="auto"/>
            <w:bottom w:val="none" w:sz="0" w:space="0" w:color="auto"/>
            <w:right w:val="none" w:sz="0" w:space="0" w:color="auto"/>
          </w:divBdr>
        </w:div>
      </w:divsChild>
    </w:div>
    <w:div w:id="209801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miro.com/app/board/o9J_lLcXSL0=/?moveToWidget=3074457357586393394&amp;cot=14" TargetMode="External"/><Relationship Id="rId18" Type="http://schemas.openxmlformats.org/officeDocument/2006/relationships/hyperlink" Target="https://consumerdatastandards.gov.au/relevant-artefacts/" TargetMode="External"/><Relationship Id="rId26" Type="http://schemas.openxmlformats.org/officeDocument/2006/relationships/hyperlink" Target="https://consumerdatastandards.gov.au/relevant-artefacts/" TargetMode="External"/><Relationship Id="rId3" Type="http://schemas.openxmlformats.org/officeDocument/2006/relationships/styles" Target="styles.xml"/><Relationship Id="rId21" Type="http://schemas.openxmlformats.org/officeDocument/2006/relationships/hyperlink" Target="https://miro.com/app/board/o9J_lLcXSL0=/?moveToWidget=3074457357586393394&amp;cot=1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ccc.gov.au/focus-areas/consumer-data-right-cdr/cdr-in-the-energy-sector/energy-rules-framework-consultation" TargetMode="External"/><Relationship Id="rId17" Type="http://schemas.openxmlformats.org/officeDocument/2006/relationships/hyperlink" Target="https://miro.com/app/board/o9J_lLcXSL0=/?moveToWidget=3074457357353961547&amp;cot=14" TargetMode="External"/><Relationship Id="rId25" Type="http://schemas.openxmlformats.org/officeDocument/2006/relationships/hyperlink" Target="https://miro.com/app/board/o9J_lLcXSL0=/?moveToWidget=3074457357353961547&amp;cot=14"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miro.com/app/board/o9J_lLcXSL0=/?moveToWidget=3074457357353961547&amp;cot=14" TargetMode="External"/><Relationship Id="rId20" Type="http://schemas.openxmlformats.org/officeDocument/2006/relationships/hyperlink" Target="https://miro.com/app/board/o9J_lLcXSL0=/?moveToWidget=3074457357586393394&amp;cot=1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au/media-release/developments-australias-consumer-data-right-response-community-feedback" TargetMode="External"/><Relationship Id="rId24" Type="http://schemas.openxmlformats.org/officeDocument/2006/relationships/hyperlink" Target="https://consumerdatastandards.gov.au/wp-content/uploads/2021/04/2.1-Banking_account-selection.pdf"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consumerdatastandards.gov.au/wp-content/uploads/2021/04/2.2-Energy_P2P-model.pdf" TargetMode="External"/><Relationship Id="rId23" Type="http://schemas.openxmlformats.org/officeDocument/2006/relationships/hyperlink" Target="https://miro.com/app/board/o9J_lLcXSL0=/?moveToWidget=3074457357589694917&amp;cot=14" TargetMode="External"/><Relationship Id="rId28" Type="http://schemas.openxmlformats.org/officeDocument/2006/relationships/hyperlink" Target="https://consumerdatastandards.gov.au/relevant-artefacts/" TargetMode="External"/><Relationship Id="rId10" Type="http://schemas.openxmlformats.org/officeDocument/2006/relationships/hyperlink" Target="mailto:data@treasury.gov.au" TargetMode="External"/><Relationship Id="rId19" Type="http://schemas.openxmlformats.org/officeDocument/2006/relationships/image" Target="media/image2.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github.com/ConsumerDataStandardsAustralia/standards/issues/177" TargetMode="External"/><Relationship Id="rId14" Type="http://schemas.openxmlformats.org/officeDocument/2006/relationships/hyperlink" Target="https://miro.com/app/board/o9J_lLcXSL0=/?moveToWidget=3074457357586393394&amp;cot=14" TargetMode="External"/><Relationship Id="rId22" Type="http://schemas.openxmlformats.org/officeDocument/2006/relationships/hyperlink" Target="https://consumerdatastandards.gov.au/wp-content/uploads/2021/04/2.2-Energy_P2P-model.pdf" TargetMode="External"/><Relationship Id="rId27" Type="http://schemas.openxmlformats.org/officeDocument/2006/relationships/hyperlink" Target="https://miro.com/app/board/o9J_lLcXSL0=/?moveToWidget=3074457357353961547&amp;cot=14" TargetMode="External"/><Relationship Id="rId30" Type="http://schemas.openxmlformats.org/officeDocument/2006/relationships/footer" Target="footer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treasury.gov.au/media-release/developments-australias-consumer-data-right-response-community-feedback" TargetMode="External"/><Relationship Id="rId1" Type="http://schemas.openxmlformats.org/officeDocument/2006/relationships/hyperlink" Target="https://www.aemc.gov.au/market-reviews-advice/review-regulatory-framework-metering-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64CAA-F487-4736-AA4B-B106AE92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4862</Words>
  <Characters>25531</Characters>
  <Application>Microsoft Office Word</Application>
  <DocSecurity>0</DocSecurity>
  <Lines>411</Lines>
  <Paragraphs>176</Paragraphs>
  <ScaleCrop>false</ScaleCrop>
  <Manager/>
  <Company/>
  <LinksUpToDate>false</LinksUpToDate>
  <CharactersWithSpaces>30217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2021-05-04T03:11:00Z</dcterms:created>
  <dcterms:modified xsi:type="dcterms:W3CDTF">2021-05-04T03:11:00Z</dcterms:modified>
  <cp:category/>
</cp:coreProperties>
</file>