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E18C4" w14:textId="1C53CD79" w:rsidR="00257FF4" w:rsidRPr="002D2711" w:rsidRDefault="00186AFD" w:rsidP="002A32FD">
      <w:pPr>
        <w:pStyle w:val="ContentsHeading"/>
        <w:rPr>
          <w:rFonts w:cs="Arial"/>
          <w:smallCaps/>
          <w:sz w:val="34"/>
          <w:szCs w:val="34"/>
        </w:rPr>
      </w:pPr>
      <w:bookmarkStart w:id="0" w:name="_Toc190766150"/>
      <w:r w:rsidRPr="002D2711">
        <w:rPr>
          <w:rFonts w:cs="Arial"/>
          <w:smallCaps/>
          <w:sz w:val="34"/>
          <w:szCs w:val="34"/>
        </w:rPr>
        <w:t>Australian Competition and Consumer Commission</w:t>
      </w:r>
      <w:bookmarkEnd w:id="0"/>
      <w:r w:rsidR="000F3F9F" w:rsidRPr="002D2711">
        <w:rPr>
          <w:rFonts w:cs="Arial"/>
          <w:smallCaps/>
          <w:sz w:val="34"/>
          <w:szCs w:val="34"/>
        </w:rPr>
        <w:tab/>
      </w:r>
      <w:r w:rsidR="00D043CF" w:rsidRPr="002D2711">
        <w:rPr>
          <w:rFonts w:cs="Arial"/>
          <w:smallCaps/>
          <w:sz w:val="34"/>
          <w:szCs w:val="34"/>
        </w:rPr>
        <w:t xml:space="preserve"> </w:t>
      </w:r>
    </w:p>
    <w:p w14:paraId="3B5DDA25" w14:textId="683D2C21" w:rsidR="00866CB8" w:rsidRPr="00711A46" w:rsidRDefault="00915F49">
      <w:pPr>
        <w:pStyle w:val="TOC1"/>
        <w:rPr>
          <w:rFonts w:asciiTheme="minorHAnsi" w:eastAsiaTheme="minorEastAsia" w:hAnsiTheme="minorHAnsi" w:cstheme="minorBidi"/>
          <w:b w:val="0"/>
          <w:caps w:val="0"/>
          <w:noProof/>
          <w:sz w:val="22"/>
          <w:szCs w:val="22"/>
        </w:rPr>
      </w:pPr>
      <w:r w:rsidRPr="00711A46">
        <w:rPr>
          <w:caps w:val="0"/>
        </w:rPr>
        <w:fldChar w:fldCharType="begin"/>
      </w:r>
      <w:r w:rsidRPr="00711A46">
        <w:rPr>
          <w:caps w:val="0"/>
        </w:rPr>
        <w:instrText xml:space="preserve"> TOC \h \z \t "Heading 2,1,Heading 3,2" </w:instrText>
      </w:r>
      <w:r w:rsidRPr="00711A46">
        <w:rPr>
          <w:caps w:val="0"/>
        </w:rPr>
        <w:fldChar w:fldCharType="separate"/>
      </w:r>
      <w:hyperlink w:anchor="_Toc71448314" w:history="1">
        <w:r w:rsidR="00866CB8" w:rsidRPr="00711A46">
          <w:rPr>
            <w:rStyle w:val="Hyperlink"/>
            <w:caps w:val="0"/>
            <w:noProof/>
          </w:rPr>
          <w:t>Section 1: Entity overview and resources</w:t>
        </w:r>
        <w:r w:rsidR="00866CB8" w:rsidRPr="00711A46">
          <w:rPr>
            <w:caps w:val="0"/>
            <w:noProof/>
            <w:webHidden/>
          </w:rPr>
          <w:tab/>
        </w:r>
        <w:r w:rsidR="00866CB8" w:rsidRPr="00711A46">
          <w:rPr>
            <w:caps w:val="0"/>
            <w:noProof/>
            <w:webHidden/>
          </w:rPr>
          <w:fldChar w:fldCharType="begin"/>
        </w:r>
        <w:r w:rsidR="00866CB8" w:rsidRPr="00711A46">
          <w:rPr>
            <w:caps w:val="0"/>
            <w:noProof/>
            <w:webHidden/>
          </w:rPr>
          <w:instrText xml:space="preserve"> PAGEREF _Toc71448314 \h </w:instrText>
        </w:r>
        <w:r w:rsidR="00866CB8" w:rsidRPr="00711A46">
          <w:rPr>
            <w:caps w:val="0"/>
            <w:noProof/>
            <w:webHidden/>
          </w:rPr>
        </w:r>
        <w:r w:rsidR="00866CB8" w:rsidRPr="00711A46">
          <w:rPr>
            <w:caps w:val="0"/>
            <w:noProof/>
            <w:webHidden/>
          </w:rPr>
          <w:fldChar w:fldCharType="separate"/>
        </w:r>
        <w:r w:rsidR="00776410">
          <w:rPr>
            <w:caps w:val="0"/>
            <w:noProof/>
            <w:webHidden/>
          </w:rPr>
          <w:t>81</w:t>
        </w:r>
        <w:r w:rsidR="00866CB8" w:rsidRPr="00711A46">
          <w:rPr>
            <w:caps w:val="0"/>
            <w:noProof/>
            <w:webHidden/>
          </w:rPr>
          <w:fldChar w:fldCharType="end"/>
        </w:r>
      </w:hyperlink>
    </w:p>
    <w:p w14:paraId="1A868AFF" w14:textId="7FAC7C05" w:rsidR="00866CB8" w:rsidRPr="00711A46" w:rsidRDefault="004E1F8B">
      <w:pPr>
        <w:pStyle w:val="TOC2"/>
        <w:tabs>
          <w:tab w:val="left" w:pos="800"/>
        </w:tabs>
        <w:rPr>
          <w:rFonts w:asciiTheme="minorHAnsi" w:eastAsiaTheme="minorEastAsia" w:hAnsiTheme="minorHAnsi" w:cstheme="minorBidi"/>
          <w:noProof/>
          <w:sz w:val="22"/>
          <w:szCs w:val="22"/>
        </w:rPr>
      </w:pPr>
      <w:hyperlink w:anchor="_Toc71448315" w:history="1">
        <w:r w:rsidR="00866CB8" w:rsidRPr="00711A46">
          <w:rPr>
            <w:rStyle w:val="Hyperlink"/>
            <w:noProof/>
          </w:rPr>
          <w:t>1.1</w:t>
        </w:r>
        <w:r w:rsidR="00866CB8" w:rsidRPr="00711A46">
          <w:rPr>
            <w:rFonts w:asciiTheme="minorHAnsi" w:eastAsiaTheme="minorEastAsia" w:hAnsiTheme="minorHAnsi" w:cstheme="minorBidi"/>
            <w:noProof/>
            <w:sz w:val="22"/>
            <w:szCs w:val="22"/>
          </w:rPr>
          <w:tab/>
        </w:r>
        <w:r w:rsidR="00866CB8" w:rsidRPr="00711A46">
          <w:rPr>
            <w:rStyle w:val="Hyperlink"/>
            <w:noProof/>
          </w:rPr>
          <w:t>Strategic direction statement</w:t>
        </w:r>
        <w:r w:rsidR="00866CB8" w:rsidRPr="00711A46">
          <w:rPr>
            <w:noProof/>
            <w:webHidden/>
          </w:rPr>
          <w:tab/>
        </w:r>
        <w:r w:rsidR="00866CB8" w:rsidRPr="00711A46">
          <w:rPr>
            <w:noProof/>
            <w:webHidden/>
          </w:rPr>
          <w:fldChar w:fldCharType="begin"/>
        </w:r>
        <w:r w:rsidR="00866CB8" w:rsidRPr="00711A46">
          <w:rPr>
            <w:noProof/>
            <w:webHidden/>
          </w:rPr>
          <w:instrText xml:space="preserve"> PAGEREF _Toc71448315 \h </w:instrText>
        </w:r>
        <w:r w:rsidR="00866CB8" w:rsidRPr="00711A46">
          <w:rPr>
            <w:noProof/>
            <w:webHidden/>
          </w:rPr>
        </w:r>
        <w:r w:rsidR="00866CB8" w:rsidRPr="00711A46">
          <w:rPr>
            <w:noProof/>
            <w:webHidden/>
          </w:rPr>
          <w:fldChar w:fldCharType="separate"/>
        </w:r>
        <w:r w:rsidR="00776410">
          <w:rPr>
            <w:noProof/>
            <w:webHidden/>
          </w:rPr>
          <w:t>81</w:t>
        </w:r>
        <w:r w:rsidR="00866CB8" w:rsidRPr="00711A46">
          <w:rPr>
            <w:noProof/>
            <w:webHidden/>
          </w:rPr>
          <w:fldChar w:fldCharType="end"/>
        </w:r>
      </w:hyperlink>
    </w:p>
    <w:p w14:paraId="368F0C0A" w14:textId="12521B54" w:rsidR="00866CB8" w:rsidRPr="00711A46" w:rsidRDefault="004E1F8B">
      <w:pPr>
        <w:pStyle w:val="TOC2"/>
        <w:tabs>
          <w:tab w:val="left" w:pos="800"/>
        </w:tabs>
        <w:rPr>
          <w:rFonts w:asciiTheme="minorHAnsi" w:eastAsiaTheme="minorEastAsia" w:hAnsiTheme="minorHAnsi" w:cstheme="minorBidi"/>
          <w:noProof/>
          <w:sz w:val="22"/>
          <w:szCs w:val="22"/>
        </w:rPr>
      </w:pPr>
      <w:hyperlink w:anchor="_Toc71448316" w:history="1">
        <w:r w:rsidR="00866CB8" w:rsidRPr="00711A46">
          <w:rPr>
            <w:rStyle w:val="Hyperlink"/>
            <w:noProof/>
          </w:rPr>
          <w:t>1.2</w:t>
        </w:r>
        <w:r w:rsidR="00866CB8" w:rsidRPr="00711A46">
          <w:rPr>
            <w:rFonts w:asciiTheme="minorHAnsi" w:eastAsiaTheme="minorEastAsia" w:hAnsiTheme="minorHAnsi" w:cstheme="minorBidi"/>
            <w:noProof/>
            <w:sz w:val="22"/>
            <w:szCs w:val="22"/>
          </w:rPr>
          <w:tab/>
        </w:r>
        <w:r w:rsidR="00866CB8" w:rsidRPr="00711A46">
          <w:rPr>
            <w:rStyle w:val="Hyperlink"/>
            <w:noProof/>
          </w:rPr>
          <w:t>Entity resource statement</w:t>
        </w:r>
        <w:r w:rsidR="00866CB8" w:rsidRPr="00711A46">
          <w:rPr>
            <w:noProof/>
            <w:webHidden/>
          </w:rPr>
          <w:tab/>
        </w:r>
        <w:r w:rsidR="00866CB8" w:rsidRPr="00711A46">
          <w:rPr>
            <w:noProof/>
            <w:webHidden/>
          </w:rPr>
          <w:fldChar w:fldCharType="begin"/>
        </w:r>
        <w:r w:rsidR="00866CB8" w:rsidRPr="00711A46">
          <w:rPr>
            <w:noProof/>
            <w:webHidden/>
          </w:rPr>
          <w:instrText xml:space="preserve"> PAGEREF _Toc71448316 \h </w:instrText>
        </w:r>
        <w:r w:rsidR="00866CB8" w:rsidRPr="00711A46">
          <w:rPr>
            <w:noProof/>
            <w:webHidden/>
          </w:rPr>
        </w:r>
        <w:r w:rsidR="00866CB8" w:rsidRPr="00711A46">
          <w:rPr>
            <w:noProof/>
            <w:webHidden/>
          </w:rPr>
          <w:fldChar w:fldCharType="separate"/>
        </w:r>
        <w:r w:rsidR="00776410">
          <w:rPr>
            <w:noProof/>
            <w:webHidden/>
          </w:rPr>
          <w:t>84</w:t>
        </w:r>
        <w:r w:rsidR="00866CB8" w:rsidRPr="00711A46">
          <w:rPr>
            <w:noProof/>
            <w:webHidden/>
          </w:rPr>
          <w:fldChar w:fldCharType="end"/>
        </w:r>
      </w:hyperlink>
    </w:p>
    <w:p w14:paraId="28CDA657" w14:textId="5C649A00" w:rsidR="00866CB8" w:rsidRPr="00711A46" w:rsidRDefault="004E1F8B">
      <w:pPr>
        <w:pStyle w:val="TOC2"/>
        <w:tabs>
          <w:tab w:val="left" w:pos="800"/>
        </w:tabs>
        <w:rPr>
          <w:rFonts w:asciiTheme="minorHAnsi" w:eastAsiaTheme="minorEastAsia" w:hAnsiTheme="minorHAnsi" w:cstheme="minorBidi"/>
          <w:noProof/>
          <w:sz w:val="22"/>
          <w:szCs w:val="22"/>
        </w:rPr>
      </w:pPr>
      <w:hyperlink w:anchor="_Toc71448317" w:history="1">
        <w:r w:rsidR="00866CB8" w:rsidRPr="00711A46">
          <w:rPr>
            <w:rStyle w:val="Hyperlink"/>
            <w:noProof/>
          </w:rPr>
          <w:t>1.3</w:t>
        </w:r>
        <w:r w:rsidR="00866CB8" w:rsidRPr="00711A46">
          <w:rPr>
            <w:rFonts w:asciiTheme="minorHAnsi" w:eastAsiaTheme="minorEastAsia" w:hAnsiTheme="minorHAnsi" w:cstheme="minorBidi"/>
            <w:noProof/>
            <w:sz w:val="22"/>
            <w:szCs w:val="22"/>
          </w:rPr>
          <w:tab/>
        </w:r>
        <w:r w:rsidR="00866CB8" w:rsidRPr="00711A46">
          <w:rPr>
            <w:rStyle w:val="Hyperlink"/>
            <w:noProof/>
          </w:rPr>
          <w:t>Budget measures</w:t>
        </w:r>
        <w:r w:rsidR="00866CB8" w:rsidRPr="00711A46">
          <w:rPr>
            <w:noProof/>
            <w:webHidden/>
          </w:rPr>
          <w:tab/>
        </w:r>
        <w:r w:rsidR="00866CB8" w:rsidRPr="00711A46">
          <w:rPr>
            <w:noProof/>
            <w:webHidden/>
          </w:rPr>
          <w:fldChar w:fldCharType="begin"/>
        </w:r>
        <w:r w:rsidR="00866CB8" w:rsidRPr="00711A46">
          <w:rPr>
            <w:noProof/>
            <w:webHidden/>
          </w:rPr>
          <w:instrText xml:space="preserve"> PAGEREF _Toc71448317 \h </w:instrText>
        </w:r>
        <w:r w:rsidR="00866CB8" w:rsidRPr="00711A46">
          <w:rPr>
            <w:noProof/>
            <w:webHidden/>
          </w:rPr>
        </w:r>
        <w:r w:rsidR="00866CB8" w:rsidRPr="00711A46">
          <w:rPr>
            <w:noProof/>
            <w:webHidden/>
          </w:rPr>
          <w:fldChar w:fldCharType="separate"/>
        </w:r>
        <w:r w:rsidR="00776410">
          <w:rPr>
            <w:noProof/>
            <w:webHidden/>
          </w:rPr>
          <w:t>86</w:t>
        </w:r>
        <w:r w:rsidR="00866CB8" w:rsidRPr="00711A46">
          <w:rPr>
            <w:noProof/>
            <w:webHidden/>
          </w:rPr>
          <w:fldChar w:fldCharType="end"/>
        </w:r>
      </w:hyperlink>
    </w:p>
    <w:p w14:paraId="74730EC0" w14:textId="105D6A85" w:rsidR="00866CB8" w:rsidRPr="00711A46" w:rsidRDefault="004E1F8B">
      <w:pPr>
        <w:pStyle w:val="TOC1"/>
        <w:rPr>
          <w:rFonts w:asciiTheme="minorHAnsi" w:eastAsiaTheme="minorEastAsia" w:hAnsiTheme="minorHAnsi" w:cstheme="minorBidi"/>
          <w:b w:val="0"/>
          <w:caps w:val="0"/>
          <w:noProof/>
          <w:sz w:val="22"/>
          <w:szCs w:val="22"/>
        </w:rPr>
      </w:pPr>
      <w:hyperlink w:anchor="_Toc71448318" w:history="1">
        <w:r w:rsidR="00866CB8" w:rsidRPr="00711A46">
          <w:rPr>
            <w:rStyle w:val="Hyperlink"/>
            <w:caps w:val="0"/>
            <w:noProof/>
          </w:rPr>
          <w:t>Section 2: Outcomes and planned performance</w:t>
        </w:r>
        <w:r w:rsidR="00866CB8" w:rsidRPr="00711A46">
          <w:rPr>
            <w:caps w:val="0"/>
            <w:noProof/>
            <w:webHidden/>
          </w:rPr>
          <w:tab/>
        </w:r>
        <w:r w:rsidR="00866CB8" w:rsidRPr="00711A46">
          <w:rPr>
            <w:caps w:val="0"/>
            <w:noProof/>
            <w:webHidden/>
          </w:rPr>
          <w:fldChar w:fldCharType="begin"/>
        </w:r>
        <w:r w:rsidR="00866CB8" w:rsidRPr="00711A46">
          <w:rPr>
            <w:caps w:val="0"/>
            <w:noProof/>
            <w:webHidden/>
          </w:rPr>
          <w:instrText xml:space="preserve"> PAGEREF _Toc71448318 \h </w:instrText>
        </w:r>
        <w:r w:rsidR="00866CB8" w:rsidRPr="00711A46">
          <w:rPr>
            <w:caps w:val="0"/>
            <w:noProof/>
            <w:webHidden/>
          </w:rPr>
        </w:r>
        <w:r w:rsidR="00866CB8" w:rsidRPr="00711A46">
          <w:rPr>
            <w:caps w:val="0"/>
            <w:noProof/>
            <w:webHidden/>
          </w:rPr>
          <w:fldChar w:fldCharType="separate"/>
        </w:r>
        <w:r w:rsidR="00776410">
          <w:rPr>
            <w:caps w:val="0"/>
            <w:noProof/>
            <w:webHidden/>
          </w:rPr>
          <w:t>87</w:t>
        </w:r>
        <w:r w:rsidR="00866CB8" w:rsidRPr="00711A46">
          <w:rPr>
            <w:caps w:val="0"/>
            <w:noProof/>
            <w:webHidden/>
          </w:rPr>
          <w:fldChar w:fldCharType="end"/>
        </w:r>
      </w:hyperlink>
    </w:p>
    <w:p w14:paraId="7D09CFF6" w14:textId="33AB7E3F" w:rsidR="00866CB8" w:rsidRPr="00711A46" w:rsidRDefault="004E1F8B">
      <w:pPr>
        <w:pStyle w:val="TOC2"/>
        <w:tabs>
          <w:tab w:val="left" w:pos="800"/>
        </w:tabs>
        <w:rPr>
          <w:rFonts w:asciiTheme="minorHAnsi" w:eastAsiaTheme="minorEastAsia" w:hAnsiTheme="minorHAnsi" w:cstheme="minorBidi"/>
          <w:noProof/>
          <w:sz w:val="22"/>
          <w:szCs w:val="22"/>
        </w:rPr>
      </w:pPr>
      <w:hyperlink w:anchor="_Toc71448319" w:history="1">
        <w:r w:rsidR="00866CB8" w:rsidRPr="00711A46">
          <w:rPr>
            <w:rStyle w:val="Hyperlink"/>
            <w:noProof/>
          </w:rPr>
          <w:t xml:space="preserve">2.1 </w:t>
        </w:r>
        <w:r w:rsidR="00866CB8" w:rsidRPr="00711A46">
          <w:rPr>
            <w:rFonts w:asciiTheme="minorHAnsi" w:eastAsiaTheme="minorEastAsia" w:hAnsiTheme="minorHAnsi" w:cstheme="minorBidi"/>
            <w:noProof/>
            <w:sz w:val="22"/>
            <w:szCs w:val="22"/>
          </w:rPr>
          <w:tab/>
        </w:r>
        <w:r w:rsidR="00866CB8" w:rsidRPr="00711A46">
          <w:rPr>
            <w:rStyle w:val="Hyperlink"/>
            <w:noProof/>
          </w:rPr>
          <w:t>Budgeted expenses and performance for Outcome 1</w:t>
        </w:r>
        <w:r w:rsidR="00866CB8" w:rsidRPr="00711A46">
          <w:rPr>
            <w:noProof/>
            <w:webHidden/>
          </w:rPr>
          <w:tab/>
        </w:r>
        <w:r w:rsidR="00866CB8" w:rsidRPr="00711A46">
          <w:rPr>
            <w:noProof/>
            <w:webHidden/>
          </w:rPr>
          <w:fldChar w:fldCharType="begin"/>
        </w:r>
        <w:r w:rsidR="00866CB8" w:rsidRPr="00711A46">
          <w:rPr>
            <w:noProof/>
            <w:webHidden/>
          </w:rPr>
          <w:instrText xml:space="preserve"> PAGEREF _Toc71448319 \h </w:instrText>
        </w:r>
        <w:r w:rsidR="00866CB8" w:rsidRPr="00711A46">
          <w:rPr>
            <w:noProof/>
            <w:webHidden/>
          </w:rPr>
        </w:r>
        <w:r w:rsidR="00866CB8" w:rsidRPr="00711A46">
          <w:rPr>
            <w:noProof/>
            <w:webHidden/>
          </w:rPr>
          <w:fldChar w:fldCharType="separate"/>
        </w:r>
        <w:r w:rsidR="00776410">
          <w:rPr>
            <w:noProof/>
            <w:webHidden/>
          </w:rPr>
          <w:t>88</w:t>
        </w:r>
        <w:r w:rsidR="00866CB8" w:rsidRPr="00711A46">
          <w:rPr>
            <w:noProof/>
            <w:webHidden/>
          </w:rPr>
          <w:fldChar w:fldCharType="end"/>
        </w:r>
      </w:hyperlink>
    </w:p>
    <w:p w14:paraId="7C7C0614" w14:textId="71CF76E5" w:rsidR="00866CB8" w:rsidRPr="00711A46" w:rsidRDefault="004E1F8B">
      <w:pPr>
        <w:pStyle w:val="TOC1"/>
        <w:rPr>
          <w:rFonts w:asciiTheme="minorHAnsi" w:eastAsiaTheme="minorEastAsia" w:hAnsiTheme="minorHAnsi" w:cstheme="minorBidi"/>
          <w:b w:val="0"/>
          <w:caps w:val="0"/>
          <w:noProof/>
          <w:sz w:val="22"/>
          <w:szCs w:val="22"/>
        </w:rPr>
      </w:pPr>
      <w:hyperlink w:anchor="_Toc71448320" w:history="1">
        <w:r w:rsidR="00866CB8" w:rsidRPr="00711A46">
          <w:rPr>
            <w:rStyle w:val="Hyperlink"/>
            <w:caps w:val="0"/>
            <w:noProof/>
          </w:rPr>
          <w:t>Section 3: Budgeted financial statements</w:t>
        </w:r>
        <w:r w:rsidR="00866CB8" w:rsidRPr="00711A46">
          <w:rPr>
            <w:caps w:val="0"/>
            <w:noProof/>
            <w:webHidden/>
          </w:rPr>
          <w:tab/>
        </w:r>
        <w:r w:rsidR="00866CB8" w:rsidRPr="00711A46">
          <w:rPr>
            <w:caps w:val="0"/>
            <w:noProof/>
            <w:webHidden/>
          </w:rPr>
          <w:fldChar w:fldCharType="begin"/>
        </w:r>
        <w:r w:rsidR="00866CB8" w:rsidRPr="00711A46">
          <w:rPr>
            <w:caps w:val="0"/>
            <w:noProof/>
            <w:webHidden/>
          </w:rPr>
          <w:instrText xml:space="preserve"> PAGEREF _Toc71448320 \h </w:instrText>
        </w:r>
        <w:r w:rsidR="00866CB8" w:rsidRPr="00711A46">
          <w:rPr>
            <w:caps w:val="0"/>
            <w:noProof/>
            <w:webHidden/>
          </w:rPr>
        </w:r>
        <w:r w:rsidR="00866CB8" w:rsidRPr="00711A46">
          <w:rPr>
            <w:caps w:val="0"/>
            <w:noProof/>
            <w:webHidden/>
          </w:rPr>
          <w:fldChar w:fldCharType="separate"/>
        </w:r>
        <w:r w:rsidR="00776410">
          <w:rPr>
            <w:caps w:val="0"/>
            <w:noProof/>
            <w:webHidden/>
          </w:rPr>
          <w:t>96</w:t>
        </w:r>
        <w:r w:rsidR="00866CB8" w:rsidRPr="00711A46">
          <w:rPr>
            <w:caps w:val="0"/>
            <w:noProof/>
            <w:webHidden/>
          </w:rPr>
          <w:fldChar w:fldCharType="end"/>
        </w:r>
      </w:hyperlink>
    </w:p>
    <w:p w14:paraId="3D0214E4" w14:textId="0DD8EF88" w:rsidR="00866CB8" w:rsidRPr="00711A46" w:rsidRDefault="004E1F8B">
      <w:pPr>
        <w:pStyle w:val="TOC2"/>
        <w:tabs>
          <w:tab w:val="left" w:pos="800"/>
        </w:tabs>
        <w:rPr>
          <w:rFonts w:asciiTheme="minorHAnsi" w:eastAsiaTheme="minorEastAsia" w:hAnsiTheme="minorHAnsi" w:cstheme="minorBidi"/>
          <w:noProof/>
          <w:sz w:val="22"/>
          <w:szCs w:val="22"/>
        </w:rPr>
      </w:pPr>
      <w:hyperlink w:anchor="_Toc71448321" w:history="1">
        <w:r w:rsidR="00866CB8" w:rsidRPr="00711A46">
          <w:rPr>
            <w:rStyle w:val="Hyperlink"/>
            <w:noProof/>
          </w:rPr>
          <w:t>3.1</w:t>
        </w:r>
        <w:r w:rsidR="00866CB8" w:rsidRPr="00711A46">
          <w:rPr>
            <w:rFonts w:asciiTheme="minorHAnsi" w:eastAsiaTheme="minorEastAsia" w:hAnsiTheme="minorHAnsi" w:cstheme="minorBidi"/>
            <w:noProof/>
            <w:sz w:val="22"/>
            <w:szCs w:val="22"/>
          </w:rPr>
          <w:tab/>
        </w:r>
        <w:r w:rsidR="00866CB8" w:rsidRPr="00711A46">
          <w:rPr>
            <w:rStyle w:val="Hyperlink"/>
            <w:noProof/>
          </w:rPr>
          <w:t>Budgeted financial statements</w:t>
        </w:r>
        <w:r w:rsidR="00866CB8" w:rsidRPr="00711A46">
          <w:rPr>
            <w:noProof/>
            <w:webHidden/>
          </w:rPr>
          <w:tab/>
        </w:r>
        <w:r w:rsidR="00866CB8" w:rsidRPr="00711A46">
          <w:rPr>
            <w:noProof/>
            <w:webHidden/>
          </w:rPr>
          <w:fldChar w:fldCharType="begin"/>
        </w:r>
        <w:r w:rsidR="00866CB8" w:rsidRPr="00711A46">
          <w:rPr>
            <w:noProof/>
            <w:webHidden/>
          </w:rPr>
          <w:instrText xml:space="preserve"> PAGEREF _Toc71448321 \h </w:instrText>
        </w:r>
        <w:r w:rsidR="00866CB8" w:rsidRPr="00711A46">
          <w:rPr>
            <w:noProof/>
            <w:webHidden/>
          </w:rPr>
        </w:r>
        <w:r w:rsidR="00866CB8" w:rsidRPr="00711A46">
          <w:rPr>
            <w:noProof/>
            <w:webHidden/>
          </w:rPr>
          <w:fldChar w:fldCharType="separate"/>
        </w:r>
        <w:r w:rsidR="00776410">
          <w:rPr>
            <w:noProof/>
            <w:webHidden/>
          </w:rPr>
          <w:t>96</w:t>
        </w:r>
        <w:r w:rsidR="00866CB8" w:rsidRPr="00711A46">
          <w:rPr>
            <w:noProof/>
            <w:webHidden/>
          </w:rPr>
          <w:fldChar w:fldCharType="end"/>
        </w:r>
      </w:hyperlink>
    </w:p>
    <w:p w14:paraId="13E850C3" w14:textId="3AA65B9B" w:rsidR="00866CB8" w:rsidRPr="00711A46" w:rsidRDefault="004E1F8B">
      <w:pPr>
        <w:pStyle w:val="TOC2"/>
        <w:tabs>
          <w:tab w:val="left" w:pos="800"/>
        </w:tabs>
        <w:rPr>
          <w:rFonts w:asciiTheme="minorHAnsi" w:eastAsiaTheme="minorEastAsia" w:hAnsiTheme="minorHAnsi" w:cstheme="minorBidi"/>
          <w:noProof/>
          <w:sz w:val="22"/>
          <w:szCs w:val="22"/>
        </w:rPr>
      </w:pPr>
      <w:hyperlink w:anchor="_Toc71448322" w:history="1">
        <w:r w:rsidR="00866CB8" w:rsidRPr="00711A46">
          <w:rPr>
            <w:rStyle w:val="Hyperlink"/>
            <w:noProof/>
            <w:lang w:val="x-none" w:eastAsia="x-none"/>
          </w:rPr>
          <w:t>3.2.</w:t>
        </w:r>
        <w:r w:rsidR="00866CB8" w:rsidRPr="00711A46">
          <w:rPr>
            <w:rFonts w:asciiTheme="minorHAnsi" w:eastAsiaTheme="minorEastAsia" w:hAnsiTheme="minorHAnsi" w:cstheme="minorBidi"/>
            <w:noProof/>
            <w:sz w:val="22"/>
            <w:szCs w:val="22"/>
          </w:rPr>
          <w:tab/>
        </w:r>
        <w:r w:rsidR="00866CB8" w:rsidRPr="00711A46">
          <w:rPr>
            <w:rStyle w:val="Hyperlink"/>
            <w:noProof/>
            <w:lang w:val="x-none" w:eastAsia="x-none"/>
          </w:rPr>
          <w:t>Budgeted financial statements tables</w:t>
        </w:r>
        <w:r w:rsidR="00866CB8" w:rsidRPr="00711A46">
          <w:rPr>
            <w:noProof/>
            <w:webHidden/>
          </w:rPr>
          <w:tab/>
        </w:r>
        <w:r w:rsidR="00866CB8" w:rsidRPr="00711A46">
          <w:rPr>
            <w:noProof/>
            <w:webHidden/>
          </w:rPr>
          <w:fldChar w:fldCharType="begin"/>
        </w:r>
        <w:r w:rsidR="00866CB8" w:rsidRPr="00711A46">
          <w:rPr>
            <w:noProof/>
            <w:webHidden/>
          </w:rPr>
          <w:instrText xml:space="preserve"> PAGEREF _Toc71448322 \h </w:instrText>
        </w:r>
        <w:r w:rsidR="00866CB8" w:rsidRPr="00711A46">
          <w:rPr>
            <w:noProof/>
            <w:webHidden/>
          </w:rPr>
        </w:r>
        <w:r w:rsidR="00866CB8" w:rsidRPr="00711A46">
          <w:rPr>
            <w:noProof/>
            <w:webHidden/>
          </w:rPr>
          <w:fldChar w:fldCharType="separate"/>
        </w:r>
        <w:r w:rsidR="00776410">
          <w:rPr>
            <w:noProof/>
            <w:webHidden/>
          </w:rPr>
          <w:t>97</w:t>
        </w:r>
        <w:r w:rsidR="00866CB8" w:rsidRPr="00711A46">
          <w:rPr>
            <w:noProof/>
            <w:webHidden/>
          </w:rPr>
          <w:fldChar w:fldCharType="end"/>
        </w:r>
      </w:hyperlink>
    </w:p>
    <w:p w14:paraId="21DFAAF1" w14:textId="5B53DD4E" w:rsidR="008B5AFD" w:rsidRDefault="00915F49" w:rsidP="003E2B5E">
      <w:pPr>
        <w:pStyle w:val="TOC1"/>
      </w:pPr>
      <w:r w:rsidRPr="00711A46">
        <w:rPr>
          <w:caps w:val="0"/>
        </w:rPr>
        <w:fldChar w:fldCharType="end"/>
      </w:r>
    </w:p>
    <w:p w14:paraId="1CADB3EC" w14:textId="77777777" w:rsidR="003E2B5E" w:rsidRPr="008B5AFD" w:rsidRDefault="003E2B5E" w:rsidP="008B5AFD"/>
    <w:p w14:paraId="4EDC2C71" w14:textId="77777777" w:rsidR="00257FF4" w:rsidRDefault="00257FF4" w:rsidP="00257FF4">
      <w:pPr>
        <w:sectPr w:rsidR="00257FF4" w:rsidSect="003F1684">
          <w:footerReference w:type="even" r:id="rId13"/>
          <w:footerReference w:type="default" r:id="rId14"/>
          <w:footerReference w:type="first" r:id="rId15"/>
          <w:type w:val="oddPage"/>
          <w:pgSz w:w="11906" w:h="16838" w:code="9"/>
          <w:pgMar w:top="2466" w:right="2098" w:bottom="2466" w:left="2098" w:header="1899" w:footer="1899" w:gutter="0"/>
          <w:pgNumType w:start="79"/>
          <w:cols w:space="708"/>
          <w:titlePg/>
          <w:docGrid w:linePitch="360"/>
        </w:sectPr>
      </w:pPr>
    </w:p>
    <w:p w14:paraId="6FA1BE5E" w14:textId="52712FAE" w:rsidR="00257FF4" w:rsidRPr="002D2711" w:rsidRDefault="00915A24" w:rsidP="00834F9A">
      <w:pPr>
        <w:pStyle w:val="Heading1"/>
        <w:rPr>
          <w:smallCaps/>
          <w:sz w:val="34"/>
          <w:szCs w:val="34"/>
        </w:rPr>
      </w:pPr>
      <w:r w:rsidRPr="002D2711">
        <w:rPr>
          <w:smallCaps/>
          <w:sz w:val="34"/>
          <w:szCs w:val="34"/>
        </w:rPr>
        <w:lastRenderedPageBreak/>
        <w:t>Australian Competition and Consumer Commission</w:t>
      </w:r>
    </w:p>
    <w:p w14:paraId="2B111BC1" w14:textId="77777777" w:rsidR="00257FF4" w:rsidRPr="002D2711" w:rsidRDefault="00257FF4" w:rsidP="00257FF4">
      <w:pPr>
        <w:pStyle w:val="Heading2"/>
        <w:rPr>
          <w:b w:val="0"/>
          <w:sz w:val="30"/>
          <w:szCs w:val="30"/>
        </w:rPr>
      </w:pPr>
      <w:bookmarkStart w:id="1" w:name="_Toc190682308"/>
      <w:bookmarkStart w:id="2" w:name="_Toc190682526"/>
      <w:bookmarkStart w:id="3" w:name="_Toc444523508"/>
      <w:bookmarkStart w:id="4" w:name="_Toc71448314"/>
      <w:r w:rsidRPr="002D2711">
        <w:rPr>
          <w:b w:val="0"/>
          <w:sz w:val="30"/>
          <w:szCs w:val="30"/>
        </w:rPr>
        <w:t xml:space="preserve">Section 1: </w:t>
      </w:r>
      <w:r w:rsidR="007E6BBD" w:rsidRPr="002D2711">
        <w:rPr>
          <w:b w:val="0"/>
          <w:sz w:val="30"/>
          <w:szCs w:val="30"/>
        </w:rPr>
        <w:t xml:space="preserve">Entity </w:t>
      </w:r>
      <w:r w:rsidR="00605163" w:rsidRPr="002D2711">
        <w:rPr>
          <w:b w:val="0"/>
          <w:sz w:val="30"/>
          <w:szCs w:val="30"/>
        </w:rPr>
        <w:t>overview and resources</w:t>
      </w:r>
      <w:bookmarkEnd w:id="1"/>
      <w:bookmarkEnd w:id="2"/>
      <w:bookmarkEnd w:id="3"/>
      <w:bookmarkEnd w:id="4"/>
    </w:p>
    <w:p w14:paraId="4A627B7A" w14:textId="77777777" w:rsidR="00257FF4" w:rsidRPr="002D2711" w:rsidRDefault="00257FF4" w:rsidP="00257FF4">
      <w:pPr>
        <w:pStyle w:val="Heading3"/>
        <w:rPr>
          <w:smallCaps/>
          <w:sz w:val="26"/>
          <w:szCs w:val="26"/>
        </w:rPr>
      </w:pPr>
      <w:bookmarkStart w:id="5" w:name="_Toc190682309"/>
      <w:bookmarkStart w:id="6" w:name="_Toc190682527"/>
      <w:bookmarkStart w:id="7" w:name="_Toc444523509"/>
      <w:bookmarkStart w:id="8" w:name="_Toc71448315"/>
      <w:r w:rsidRPr="002D2711">
        <w:rPr>
          <w:smallCaps/>
          <w:sz w:val="26"/>
          <w:szCs w:val="26"/>
        </w:rPr>
        <w:t>1.1</w:t>
      </w:r>
      <w:r w:rsidRPr="002D2711">
        <w:rPr>
          <w:smallCaps/>
          <w:sz w:val="26"/>
          <w:szCs w:val="26"/>
        </w:rPr>
        <w:tab/>
        <w:t xml:space="preserve">Strategic </w:t>
      </w:r>
      <w:r w:rsidR="00D81071" w:rsidRPr="002D2711">
        <w:rPr>
          <w:smallCaps/>
          <w:sz w:val="26"/>
          <w:szCs w:val="26"/>
        </w:rPr>
        <w:t>direction</w:t>
      </w:r>
      <w:bookmarkEnd w:id="5"/>
      <w:bookmarkEnd w:id="6"/>
      <w:r w:rsidR="00D81071" w:rsidRPr="002D2711">
        <w:rPr>
          <w:smallCaps/>
          <w:sz w:val="26"/>
          <w:szCs w:val="26"/>
        </w:rPr>
        <w:t xml:space="preserve"> </w:t>
      </w:r>
      <w:r w:rsidR="00605163" w:rsidRPr="002D2711">
        <w:rPr>
          <w:smallCaps/>
          <w:sz w:val="26"/>
          <w:szCs w:val="26"/>
        </w:rPr>
        <w:t>statement</w:t>
      </w:r>
      <w:bookmarkEnd w:id="7"/>
      <w:bookmarkEnd w:id="8"/>
    </w:p>
    <w:p w14:paraId="048235D8" w14:textId="77777777" w:rsidR="00F03060" w:rsidRDefault="00F03060" w:rsidP="00F03060">
      <w:pPr>
        <w:rPr>
          <w:color w:val="000000"/>
        </w:rPr>
      </w:pPr>
      <w:bookmarkStart w:id="9" w:name="_Toc190682310"/>
      <w:bookmarkStart w:id="10" w:name="_Toc190682528"/>
      <w:r>
        <w:rPr>
          <w:color w:val="000000"/>
        </w:rPr>
        <w:t xml:space="preserve">The Australian Competition and Consumer Commission (ACCC) is an independent Commonwealth statutory authority whose role is to enforce the </w:t>
      </w:r>
      <w:r>
        <w:rPr>
          <w:i/>
          <w:color w:val="000000"/>
        </w:rPr>
        <w:t xml:space="preserve">Competition and Consumer Act 2010 </w:t>
      </w:r>
      <w:r>
        <w:rPr>
          <w:color w:val="000000"/>
        </w:rPr>
        <w:t>(CCA) and a range of additional legislation, promoting competition, fair trading, consumer protection, and regulating national infrastructure for the benefit of all Australians.</w:t>
      </w:r>
    </w:p>
    <w:p w14:paraId="12585771" w14:textId="77777777" w:rsidR="00F03060" w:rsidRDefault="00F03060" w:rsidP="00F03060">
      <w:pPr>
        <w:rPr>
          <w:color w:val="000000"/>
        </w:rPr>
      </w:pPr>
      <w:r>
        <w:rPr>
          <w:color w:val="000000"/>
        </w:rPr>
        <w:t>The Australian Energy Regulator (AER) regulates energy markets and networks under national legislation and rules. The AER has an independent Board.</w:t>
      </w:r>
    </w:p>
    <w:p w14:paraId="621F57D3" w14:textId="77777777" w:rsidR="00F03060" w:rsidRDefault="00F03060" w:rsidP="00F03060">
      <w:pPr>
        <w:rPr>
          <w:color w:val="000000"/>
        </w:rPr>
      </w:pPr>
      <w:r>
        <w:rPr>
          <w:color w:val="000000"/>
        </w:rPr>
        <w:t>The ACCC and AER share staff, resources and facilities.</w:t>
      </w:r>
    </w:p>
    <w:p w14:paraId="67792852" w14:textId="77777777" w:rsidR="00F03060" w:rsidRDefault="00F03060" w:rsidP="00F03060">
      <w:pPr>
        <w:rPr>
          <w:color w:val="000000"/>
        </w:rPr>
      </w:pPr>
      <w:r>
        <w:rPr>
          <w:color w:val="000000"/>
        </w:rPr>
        <w:t>The roles of the ACCC and AER are founded on the principle that competition provides the best incentive for businesses to become more efficient, innovative and flexible and to operate in the long-term interests of consumers. Competition is a positive force that promotes economic growth and job creation.</w:t>
      </w:r>
    </w:p>
    <w:p w14:paraId="2E0CB67E" w14:textId="77777777" w:rsidR="00F03060" w:rsidRDefault="00F03060" w:rsidP="00F03060">
      <w:pPr>
        <w:rPr>
          <w:color w:val="000000"/>
        </w:rPr>
      </w:pPr>
      <w:r>
        <w:rPr>
          <w:color w:val="000000"/>
        </w:rPr>
        <w:t xml:space="preserve">It falls to the ACCC to determine which competition, consumer, fair trading, and product safety matters it investigates, although it also receives directions on market studies and inquiries and industry monitoring from the Minister. The ACCC’s role is to focus on those matters that have the potential to harm the competitive process or result in widespread consumer detriment. </w:t>
      </w:r>
    </w:p>
    <w:p w14:paraId="38C1DE69" w14:textId="77777777" w:rsidR="00F03060" w:rsidRDefault="00F03060" w:rsidP="00F03060">
      <w:pPr>
        <w:rPr>
          <w:color w:val="000000"/>
        </w:rPr>
      </w:pPr>
      <w:r>
        <w:rPr>
          <w:color w:val="000000"/>
        </w:rPr>
        <w:t xml:space="preserve">The ACCC directs its resources to matters that provide the greatest overall benefit for competition and consumers. Each year the ACCC reviews its competition, consumer protection and fair trading priorities, as set out in the ACCC Compliance and Enforcement Policy. </w:t>
      </w:r>
    </w:p>
    <w:p w14:paraId="007E256F" w14:textId="77777777" w:rsidR="00F03060" w:rsidRDefault="00F03060" w:rsidP="00F03060">
      <w:pPr>
        <w:rPr>
          <w:color w:val="000000"/>
        </w:rPr>
      </w:pPr>
      <w:r>
        <w:rPr>
          <w:color w:val="000000"/>
        </w:rPr>
        <w:t xml:space="preserve">The ACCC also annually updates its product safety priorities so as to identify and address the risk of serious injury and death from unsafe consumer products. </w:t>
      </w:r>
    </w:p>
    <w:p w14:paraId="026ECB26" w14:textId="77777777" w:rsidR="00F03060" w:rsidRDefault="00F03060" w:rsidP="00F03060">
      <w:r>
        <w:t>The ACCC will continue to assess and review mergers via the informal clearance process to prevent changes in market structures that would substantially lessen competition.  It will also continue to assess conduct and agreements that may breach relevant competition laws but which should be authorised because there is expected to be a net public benefit.</w:t>
      </w:r>
    </w:p>
    <w:p w14:paraId="6F7430A4" w14:textId="77777777" w:rsidR="00F03060" w:rsidRDefault="00F03060" w:rsidP="00F03060">
      <w:pPr>
        <w:rPr>
          <w:color w:val="000000"/>
        </w:rPr>
      </w:pPr>
      <w:r>
        <w:rPr>
          <w:color w:val="000000"/>
        </w:rPr>
        <w:lastRenderedPageBreak/>
        <w:t xml:space="preserve">The ACCC will continue to focus on its role in relation to implementing and enforcing the Consumer Data Right, which provides consumers with more access to and control of their personal data, to promote competition across the economy.   </w:t>
      </w:r>
    </w:p>
    <w:p w14:paraId="577B05FD" w14:textId="77777777" w:rsidR="00F03060" w:rsidRDefault="00F03060" w:rsidP="00F03060">
      <w:pPr>
        <w:rPr>
          <w:color w:val="000000"/>
        </w:rPr>
      </w:pPr>
      <w:r>
        <w:t xml:space="preserve">The ACCC is the national regulator of natural monopoly infrastructure services in communication, postal services and rail industries, and has specific regulatory roles in relation to bulk water and bulk wheat port facilities. The ACCC also has a role in enforcing industry-specific competition and market rules in some infrastructure-based markets, such as retail electricity. </w:t>
      </w:r>
      <w:r>
        <w:rPr>
          <w:color w:val="000000"/>
        </w:rPr>
        <w:t>Promoting efficient infrastructure provision through industry</w:t>
      </w:r>
      <w:r>
        <w:rPr>
          <w:color w:val="000000"/>
        </w:rPr>
        <w:noBreakHyphen/>
        <w:t>specific regulation and access conditions is a major focus of the ACCC’s economic regulatory role.</w:t>
      </w:r>
    </w:p>
    <w:p w14:paraId="25A1968D" w14:textId="77777777" w:rsidR="00F03060" w:rsidRDefault="00F03060" w:rsidP="00F03060">
      <w:pPr>
        <w:rPr>
          <w:color w:val="000000"/>
        </w:rPr>
      </w:pPr>
      <w:r>
        <w:rPr>
          <w:color w:val="000000"/>
        </w:rPr>
        <w:t>The ACCC also monitors other sectors (such as major airports, container stevedoring, petrol and communications) where there is limited competition or high consumer concern to provide information to governments and the public about the operation of the relevant markets.</w:t>
      </w:r>
    </w:p>
    <w:p w14:paraId="43195851" w14:textId="77777777" w:rsidR="00F03060" w:rsidRDefault="00F03060" w:rsidP="00F03060">
      <w:pPr>
        <w:rPr>
          <w:color w:val="000000"/>
        </w:rPr>
      </w:pPr>
      <w:r>
        <w:rPr>
          <w:color w:val="000000"/>
        </w:rPr>
        <w:t xml:space="preserve">In 2021-22 the ACCC will continue to focus on markets characterised by a lack of transparency or insufficient competition which inhibit efficient market outcomes. This includes undertaking inquiries, industry analysis and reporting activities covering a broad range of sectors, including gas and electricity, digital platforms, domestic aviation, agriculture, financial services and private health insurance. </w:t>
      </w:r>
    </w:p>
    <w:p w14:paraId="3E5E0500" w14:textId="77777777" w:rsidR="00F03060" w:rsidRDefault="00F03060" w:rsidP="00F03060">
      <w:r>
        <w:t xml:space="preserve">When undertaking all of these key activities </w:t>
      </w:r>
      <w:r>
        <w:rPr>
          <w:color w:val="000000"/>
        </w:rPr>
        <w:t xml:space="preserve">the ACCC will continue to </w:t>
      </w:r>
      <w:r>
        <w:t>engage extensively with a wide range of stakeholders to:</w:t>
      </w:r>
    </w:p>
    <w:p w14:paraId="37F2A838" w14:textId="77777777" w:rsidR="00F03060" w:rsidRDefault="00F03060" w:rsidP="00353D74">
      <w:pPr>
        <w:pStyle w:val="Bullet"/>
      </w:pPr>
      <w:r>
        <w:t xml:space="preserve">achieve outcomes that enhance the welfare of all Australians, and </w:t>
      </w:r>
    </w:p>
    <w:p w14:paraId="732C304D" w14:textId="77777777" w:rsidR="00F03060" w:rsidRDefault="00F03060" w:rsidP="00353D74">
      <w:pPr>
        <w:pStyle w:val="Bullet"/>
      </w:pPr>
      <w:r>
        <w:t xml:space="preserve">minimise the regulatory burden for businesses without compromising its statutory responsibilities to promote competition and protect consumers. </w:t>
      </w:r>
    </w:p>
    <w:p w14:paraId="0145F083" w14:textId="77777777" w:rsidR="00F03060" w:rsidRDefault="00F03060" w:rsidP="00F03060">
      <w:pPr>
        <w:rPr>
          <w:color w:val="000000"/>
        </w:rPr>
      </w:pPr>
      <w:r>
        <w:rPr>
          <w:color w:val="000000"/>
        </w:rPr>
        <w:t xml:space="preserve">The ACCC also seeks to contribute to the continuous improvement of regulatory frameworks to deliver on our purpose to </w:t>
      </w:r>
      <w:r>
        <w:rPr>
          <w:i/>
          <w:color w:val="000000"/>
        </w:rPr>
        <w:t>make markets work for consumers, now and in the future.</w:t>
      </w:r>
      <w:r>
        <w:rPr>
          <w:color w:val="000000"/>
        </w:rPr>
        <w:t xml:space="preserve">  </w:t>
      </w:r>
    </w:p>
    <w:p w14:paraId="732892D9" w14:textId="77777777" w:rsidR="00F03060" w:rsidRDefault="00F03060" w:rsidP="00F03060">
      <w:r>
        <w:t>The AER exists so that energy consumers are better off, now and in the future. The AER regulates wholesale and retail energy markets, and energy networks, under national energy legislation and rules. Our functions mostly relate to energy markets in eastern and southern Australia. We place consumers at the heart of our work, and are focused on ensuring a secure, reliable and affordable energy future for Australia.</w:t>
      </w:r>
    </w:p>
    <w:p w14:paraId="7696970D" w14:textId="77777777" w:rsidR="00F03060" w:rsidRDefault="00F03060" w:rsidP="00F03060">
      <w:pPr>
        <w:spacing w:after="180"/>
      </w:pPr>
      <w:r>
        <w:t>In December 2020 the AER finalised and launched its Strategic Plan 2020-2025. The outcomes sought are grounded in the former Council of Australian Government (COAG) Strategic Energy Plan. To achieve these outcomes the AER has four objectives:</w:t>
      </w:r>
    </w:p>
    <w:p w14:paraId="0A2DBBA5" w14:textId="77777777" w:rsidR="00F03060" w:rsidRDefault="00F03060" w:rsidP="00353D74">
      <w:pPr>
        <w:pStyle w:val="Bullet"/>
      </w:pPr>
      <w:r>
        <w:lastRenderedPageBreak/>
        <w:t>protect vulnerable consumers, while enabling consumers to participate in energy markets</w:t>
      </w:r>
    </w:p>
    <w:p w14:paraId="17846E67" w14:textId="77777777" w:rsidR="00F03060" w:rsidRDefault="00F03060" w:rsidP="00353D74">
      <w:pPr>
        <w:pStyle w:val="Bullet"/>
      </w:pPr>
      <w:r>
        <w:t>effectively regulate competitive markets primarily through monitoring and reporting, and enforcement and compliance</w:t>
      </w:r>
    </w:p>
    <w:p w14:paraId="4E8C2781" w14:textId="77777777" w:rsidR="00F03060" w:rsidRDefault="00F03060" w:rsidP="00353D74">
      <w:pPr>
        <w:pStyle w:val="Bullet"/>
      </w:pPr>
      <w:r>
        <w:t>deliver efficient regulation of monopoly infrastructure while incentivising networks to become platforms for energy services</w:t>
      </w:r>
    </w:p>
    <w:p w14:paraId="71D461A4" w14:textId="77777777" w:rsidR="00F03060" w:rsidRDefault="00F03060" w:rsidP="00353D74">
      <w:pPr>
        <w:pStyle w:val="Bullet"/>
      </w:pPr>
      <w:r>
        <w:t>use our expertise to inform debate about Australia’s energy future and support the energy transition.</w:t>
      </w:r>
    </w:p>
    <w:p w14:paraId="538F5F31" w14:textId="506D19C3" w:rsidR="006D46C5" w:rsidRPr="006C517C" w:rsidRDefault="006D46C5" w:rsidP="00F03060">
      <w:pPr>
        <w:spacing w:after="180"/>
        <w:ind w:left="570"/>
      </w:pPr>
    </w:p>
    <w:p w14:paraId="5A425E2D" w14:textId="02C202C1" w:rsidR="00257FF4" w:rsidRPr="002D2711" w:rsidRDefault="000B36D8" w:rsidP="0079797F">
      <w:pPr>
        <w:pStyle w:val="Heading3"/>
        <w:rPr>
          <w:smallCaps/>
          <w:sz w:val="26"/>
          <w:szCs w:val="26"/>
        </w:rPr>
      </w:pPr>
      <w:r w:rsidRPr="0079797F">
        <w:br w:type="page"/>
      </w:r>
      <w:bookmarkStart w:id="11" w:name="_Toc444523510"/>
      <w:bookmarkStart w:id="12" w:name="_Toc71448316"/>
      <w:r w:rsidR="00257FF4" w:rsidRPr="002D2711">
        <w:rPr>
          <w:smallCaps/>
          <w:sz w:val="26"/>
          <w:szCs w:val="26"/>
        </w:rPr>
        <w:lastRenderedPageBreak/>
        <w:t>1.2</w:t>
      </w:r>
      <w:r w:rsidR="00257FF4" w:rsidRPr="002D2711">
        <w:rPr>
          <w:smallCaps/>
          <w:sz w:val="26"/>
          <w:szCs w:val="26"/>
        </w:rPr>
        <w:tab/>
      </w:r>
      <w:r w:rsidR="007E6BBD" w:rsidRPr="002D2711">
        <w:rPr>
          <w:smallCaps/>
          <w:sz w:val="26"/>
          <w:szCs w:val="26"/>
        </w:rPr>
        <w:t xml:space="preserve">Entity </w:t>
      </w:r>
      <w:r w:rsidR="00257FF4" w:rsidRPr="002D2711">
        <w:rPr>
          <w:smallCaps/>
          <w:sz w:val="26"/>
          <w:szCs w:val="26"/>
        </w:rPr>
        <w:t>resource statement</w:t>
      </w:r>
      <w:bookmarkEnd w:id="9"/>
      <w:bookmarkEnd w:id="10"/>
      <w:bookmarkEnd w:id="11"/>
      <w:bookmarkEnd w:id="12"/>
    </w:p>
    <w:p w14:paraId="3F23C8D4" w14:textId="124BD4DA" w:rsidR="00E1129E" w:rsidRDefault="00257FF4" w:rsidP="00257FF4">
      <w:bookmarkStart w:id="13" w:name="OLE_LINK11"/>
      <w:bookmarkStart w:id="14" w:name="OLE_LINK12"/>
      <w:r>
        <w:t xml:space="preserve">Table 1.1 shows the total </w:t>
      </w:r>
      <w:r w:rsidR="00E1129E">
        <w:t xml:space="preserve">funding </w:t>
      </w:r>
      <w:r>
        <w:t>from all</w:t>
      </w:r>
      <w:r w:rsidR="00BB721D">
        <w:t xml:space="preserve"> sources</w:t>
      </w:r>
      <w:r w:rsidR="00331B40">
        <w:t xml:space="preserve"> available to the entity for its operations and to deliver </w:t>
      </w:r>
      <w:r w:rsidR="00290933">
        <w:t>programs</w:t>
      </w:r>
      <w:r w:rsidR="00331B40">
        <w:t xml:space="preserve"> and servic</w:t>
      </w:r>
      <w:r w:rsidR="00705BC0">
        <w:t>es on behalf of the G</w:t>
      </w:r>
      <w:r w:rsidR="00331B40">
        <w:t>overnment</w:t>
      </w:r>
      <w:r w:rsidR="005A7C0B">
        <w:t>.</w:t>
      </w:r>
    </w:p>
    <w:p w14:paraId="5ADC36BE" w14:textId="400786BA" w:rsidR="00257FF4" w:rsidRDefault="00257FF4" w:rsidP="00257FF4">
      <w:r>
        <w:t xml:space="preserve">The table summarises how resources will be applied by outcome </w:t>
      </w:r>
      <w:r w:rsidR="00331B40">
        <w:t>(government strategic policy objectives</w:t>
      </w:r>
      <w:r w:rsidR="00E1129E">
        <w:t>)</w:t>
      </w:r>
      <w:r w:rsidR="00705BC0">
        <w:t xml:space="preserve"> </w:t>
      </w:r>
      <w:r>
        <w:t xml:space="preserve">and by administered </w:t>
      </w:r>
      <w:r w:rsidR="00705BC0">
        <w:t>(on behalf of the G</w:t>
      </w:r>
      <w:r w:rsidR="00331B40">
        <w:t xml:space="preserve">overnment or the public) </w:t>
      </w:r>
      <w:r>
        <w:t xml:space="preserve">and departmental </w:t>
      </w:r>
      <w:r w:rsidR="00331B40">
        <w:t xml:space="preserve">(for the entity’s operations) </w:t>
      </w:r>
      <w:r>
        <w:t>classification.</w:t>
      </w:r>
    </w:p>
    <w:p w14:paraId="4D2D0D09" w14:textId="6E7C5584" w:rsidR="009F43CB" w:rsidRDefault="00331B40" w:rsidP="00257FF4">
      <w:r>
        <w:t xml:space="preserve">For more detailed information on special accounts and special appropriations, please refer to </w:t>
      </w:r>
      <w:r w:rsidRPr="00412C0B">
        <w:rPr>
          <w:i/>
        </w:rPr>
        <w:t>Budget Paper No. 4 – Agency Resourcing</w:t>
      </w:r>
      <w:r>
        <w:t>.</w:t>
      </w:r>
    </w:p>
    <w:p w14:paraId="5459EF54" w14:textId="29FDC8A7" w:rsidR="00645E69" w:rsidRDefault="00645E69" w:rsidP="00257FF4">
      <w:r>
        <w:t>Information in this table is presented on a resourcing (</w:t>
      </w:r>
      <w:r w:rsidR="005A7C0B">
        <w:t>that is,</w:t>
      </w:r>
      <w:r>
        <w:t xml:space="preserve"> </w:t>
      </w:r>
      <w:r w:rsidR="00061FD8">
        <w:t>appropriations/cash</w:t>
      </w:r>
      <w:r w:rsidR="00565C77">
        <w:t xml:space="preserve"> available</w:t>
      </w:r>
      <w:r>
        <w:t xml:space="preserve">) basis, whilst the </w:t>
      </w:r>
      <w:r w:rsidR="00E1129E">
        <w:t xml:space="preserve">‘Budgeted expenses by </w:t>
      </w:r>
      <w:r w:rsidR="00915A24">
        <w:t>Outcome 1</w:t>
      </w:r>
      <w:r w:rsidR="00E7371B">
        <w:t xml:space="preserve">’ </w:t>
      </w:r>
      <w:r>
        <w:t>tables in Section 2 and the financial statements in Section 3 are</w:t>
      </w:r>
      <w:r w:rsidR="00831489">
        <w:t xml:space="preserve"> presented on an accrual basis.</w:t>
      </w:r>
    </w:p>
    <w:bookmarkEnd w:id="13"/>
    <w:bookmarkEnd w:id="14"/>
    <w:p w14:paraId="3C5D82CD" w14:textId="47BEB2A0" w:rsidR="00330CF0" w:rsidRDefault="00741BF8" w:rsidP="00353D74">
      <w:pPr>
        <w:pStyle w:val="TableHeading"/>
        <w:rPr>
          <w:rFonts w:ascii="Times New Roman" w:hAnsi="Times New Roman"/>
        </w:rPr>
      </w:pPr>
      <w:r w:rsidRPr="00DE370B">
        <w:t xml:space="preserve">Table 1.1: </w:t>
      </w:r>
      <w:r w:rsidR="00915A24" w:rsidRPr="00DE370B">
        <w:t>Australian Competition and Consumer Commission</w:t>
      </w:r>
      <w:r w:rsidRPr="00DE370B">
        <w:t xml:space="preserve"> resource statement</w:t>
      </w:r>
      <w:r w:rsidR="0066176D" w:rsidRPr="00DE370B">
        <w:t xml:space="preserve"> — Budget estimates for </w:t>
      </w:r>
      <w:r w:rsidR="00FC6CF3" w:rsidRPr="00DE370B">
        <w:t>2021-22</w:t>
      </w:r>
      <w:r w:rsidR="0066176D" w:rsidRPr="00DE370B">
        <w:t xml:space="preserve"> </w:t>
      </w:r>
      <w:r w:rsidRPr="00DE370B">
        <w:t xml:space="preserve">as at Budget </w:t>
      </w:r>
      <w:r w:rsidR="00ED3B06" w:rsidRPr="00DE370B">
        <w:t xml:space="preserve">May </w:t>
      </w:r>
      <w:r w:rsidR="00FC6CF3" w:rsidRPr="00DE370B">
        <w:t>2021</w:t>
      </w:r>
    </w:p>
    <w:tbl>
      <w:tblPr>
        <w:tblW w:w="5000" w:type="pct"/>
        <w:tblCellMar>
          <w:left w:w="0" w:type="dxa"/>
          <w:right w:w="28" w:type="dxa"/>
        </w:tblCellMar>
        <w:tblLook w:val="04A0" w:firstRow="1" w:lastRow="0" w:firstColumn="1" w:lastColumn="0" w:noHBand="0" w:noVBand="1"/>
      </w:tblPr>
      <w:tblGrid>
        <w:gridCol w:w="5338"/>
        <w:gridCol w:w="1186"/>
        <w:gridCol w:w="1186"/>
      </w:tblGrid>
      <w:tr w:rsidR="00330CF0" w:rsidRPr="00330CF0" w14:paraId="3D3FE1D9" w14:textId="77777777" w:rsidTr="00330CF0">
        <w:trPr>
          <w:trHeight w:val="800"/>
        </w:trPr>
        <w:tc>
          <w:tcPr>
            <w:tcW w:w="3462" w:type="pct"/>
            <w:tcBorders>
              <w:top w:val="single" w:sz="4" w:space="0" w:color="auto"/>
              <w:left w:val="nil"/>
              <w:bottom w:val="nil"/>
              <w:right w:val="nil"/>
            </w:tcBorders>
            <w:shd w:val="clear" w:color="000000" w:fill="FFFFFF"/>
            <w:vAlign w:val="bottom"/>
            <w:hideMark/>
          </w:tcPr>
          <w:p w14:paraId="29788681" w14:textId="733110C6" w:rsidR="00330CF0" w:rsidRPr="00330CF0" w:rsidRDefault="00330CF0">
            <w:pPr>
              <w:rPr>
                <w:rFonts w:ascii="Arial" w:hAnsi="Arial" w:cs="Arial"/>
                <w:color w:val="000000"/>
                <w:sz w:val="16"/>
                <w:szCs w:val="16"/>
              </w:rPr>
            </w:pPr>
            <w:r w:rsidRPr="00330CF0">
              <w:rPr>
                <w:rFonts w:ascii="Arial" w:hAnsi="Arial" w:cs="Arial"/>
                <w:color w:val="000000"/>
                <w:sz w:val="16"/>
                <w:szCs w:val="16"/>
              </w:rPr>
              <w:t> </w:t>
            </w:r>
          </w:p>
        </w:tc>
        <w:tc>
          <w:tcPr>
            <w:tcW w:w="769" w:type="pct"/>
            <w:tcBorders>
              <w:top w:val="single" w:sz="4" w:space="0" w:color="auto"/>
              <w:left w:val="nil"/>
              <w:bottom w:val="single" w:sz="4" w:space="0" w:color="auto"/>
              <w:right w:val="nil"/>
            </w:tcBorders>
            <w:shd w:val="clear" w:color="000000" w:fill="FFFFFF"/>
            <w:hideMark/>
          </w:tcPr>
          <w:p w14:paraId="0FCCC447" w14:textId="77777777" w:rsidR="00330CF0" w:rsidRPr="00330CF0" w:rsidRDefault="00330CF0" w:rsidP="00330CF0">
            <w:pPr>
              <w:spacing w:after="0" w:line="240" w:lineRule="auto"/>
              <w:jc w:val="right"/>
              <w:rPr>
                <w:rFonts w:ascii="Arial" w:hAnsi="Arial" w:cs="Arial"/>
                <w:i/>
                <w:iCs/>
                <w:color w:val="000000"/>
                <w:sz w:val="16"/>
                <w:szCs w:val="16"/>
              </w:rPr>
            </w:pPr>
            <w:r w:rsidRPr="00330CF0">
              <w:rPr>
                <w:rFonts w:ascii="Arial" w:hAnsi="Arial" w:cs="Arial"/>
                <w:i/>
                <w:iCs/>
                <w:color w:val="000000"/>
                <w:sz w:val="16"/>
                <w:szCs w:val="16"/>
              </w:rPr>
              <w:t>2020-21 Estimated actual</w:t>
            </w:r>
            <w:r w:rsidRPr="00330CF0">
              <w:rPr>
                <w:rFonts w:ascii="Arial" w:hAnsi="Arial" w:cs="Arial"/>
                <w:i/>
                <w:iCs/>
                <w:color w:val="000000"/>
                <w:sz w:val="16"/>
                <w:szCs w:val="16"/>
              </w:rPr>
              <w:br/>
              <w:t>$'000</w:t>
            </w:r>
          </w:p>
        </w:tc>
        <w:tc>
          <w:tcPr>
            <w:tcW w:w="769" w:type="pct"/>
            <w:tcBorders>
              <w:top w:val="single" w:sz="4" w:space="0" w:color="auto"/>
              <w:left w:val="nil"/>
              <w:bottom w:val="single" w:sz="4" w:space="0" w:color="auto"/>
              <w:right w:val="nil"/>
            </w:tcBorders>
            <w:shd w:val="clear" w:color="000000" w:fill="E6E6E6"/>
            <w:hideMark/>
          </w:tcPr>
          <w:p w14:paraId="3D92A139" w14:textId="77777777" w:rsidR="00330CF0" w:rsidRPr="00330CF0" w:rsidRDefault="00330CF0" w:rsidP="00330CF0">
            <w:pPr>
              <w:spacing w:after="0" w:line="240" w:lineRule="auto"/>
              <w:jc w:val="right"/>
              <w:rPr>
                <w:rFonts w:ascii="Arial" w:hAnsi="Arial" w:cs="Arial"/>
                <w:color w:val="000000"/>
                <w:sz w:val="16"/>
                <w:szCs w:val="16"/>
              </w:rPr>
            </w:pPr>
            <w:r w:rsidRPr="00330CF0">
              <w:rPr>
                <w:rFonts w:ascii="Arial" w:hAnsi="Arial" w:cs="Arial"/>
                <w:color w:val="000000"/>
                <w:sz w:val="16"/>
                <w:szCs w:val="16"/>
              </w:rPr>
              <w:t>2021-22 Estimate</w:t>
            </w:r>
            <w:r w:rsidRPr="00330CF0">
              <w:rPr>
                <w:rFonts w:ascii="Arial" w:hAnsi="Arial" w:cs="Arial"/>
                <w:color w:val="000000"/>
                <w:sz w:val="16"/>
                <w:szCs w:val="16"/>
              </w:rPr>
              <w:br/>
            </w:r>
            <w:r w:rsidRPr="00330CF0">
              <w:rPr>
                <w:rFonts w:ascii="Arial" w:hAnsi="Arial" w:cs="Arial"/>
                <w:color w:val="000000"/>
                <w:sz w:val="16"/>
                <w:szCs w:val="16"/>
              </w:rPr>
              <w:br/>
              <w:t>$'000</w:t>
            </w:r>
          </w:p>
        </w:tc>
      </w:tr>
      <w:tr w:rsidR="00330CF0" w:rsidRPr="00330CF0" w14:paraId="073E2379" w14:textId="77777777" w:rsidTr="00330CF0">
        <w:trPr>
          <w:trHeight w:val="238"/>
        </w:trPr>
        <w:tc>
          <w:tcPr>
            <w:tcW w:w="3462" w:type="pct"/>
            <w:tcBorders>
              <w:top w:val="nil"/>
              <w:left w:val="nil"/>
              <w:bottom w:val="nil"/>
              <w:right w:val="nil"/>
            </w:tcBorders>
            <w:shd w:val="clear" w:color="000000" w:fill="FFFFFF"/>
            <w:vAlign w:val="bottom"/>
            <w:hideMark/>
          </w:tcPr>
          <w:p w14:paraId="56C80903" w14:textId="77777777" w:rsidR="00330CF0" w:rsidRPr="00330CF0" w:rsidRDefault="00330CF0" w:rsidP="00330CF0">
            <w:pPr>
              <w:spacing w:after="0" w:line="240" w:lineRule="auto"/>
              <w:jc w:val="left"/>
              <w:rPr>
                <w:rFonts w:ascii="Arial" w:hAnsi="Arial" w:cs="Arial"/>
                <w:b/>
                <w:bCs/>
                <w:color w:val="000000"/>
                <w:sz w:val="16"/>
                <w:szCs w:val="16"/>
              </w:rPr>
            </w:pPr>
            <w:r w:rsidRPr="00330CF0">
              <w:rPr>
                <w:rFonts w:ascii="Arial" w:hAnsi="Arial" w:cs="Arial"/>
                <w:b/>
                <w:bCs/>
                <w:color w:val="000000"/>
                <w:sz w:val="16"/>
                <w:szCs w:val="16"/>
              </w:rPr>
              <w:t>Departmental</w:t>
            </w:r>
          </w:p>
        </w:tc>
        <w:tc>
          <w:tcPr>
            <w:tcW w:w="769" w:type="pct"/>
            <w:tcBorders>
              <w:top w:val="nil"/>
              <w:left w:val="nil"/>
              <w:bottom w:val="nil"/>
              <w:right w:val="nil"/>
            </w:tcBorders>
            <w:shd w:val="clear" w:color="000000" w:fill="FFFFFF"/>
            <w:vAlign w:val="bottom"/>
            <w:hideMark/>
          </w:tcPr>
          <w:p w14:paraId="530EA75C" w14:textId="77777777" w:rsidR="00330CF0" w:rsidRPr="00330CF0" w:rsidRDefault="00330CF0" w:rsidP="00330CF0">
            <w:pPr>
              <w:spacing w:after="0" w:line="240" w:lineRule="auto"/>
              <w:jc w:val="left"/>
              <w:rPr>
                <w:rFonts w:ascii="Arial" w:hAnsi="Arial" w:cs="Arial"/>
                <w:i/>
                <w:iCs/>
                <w:color w:val="000000"/>
                <w:sz w:val="16"/>
                <w:szCs w:val="16"/>
              </w:rPr>
            </w:pPr>
            <w:r w:rsidRPr="00330CF0">
              <w:rPr>
                <w:rFonts w:ascii="Arial" w:hAnsi="Arial" w:cs="Arial"/>
                <w:i/>
                <w:iCs/>
                <w:color w:val="000000"/>
                <w:sz w:val="16"/>
                <w:szCs w:val="16"/>
              </w:rPr>
              <w:t> </w:t>
            </w:r>
          </w:p>
        </w:tc>
        <w:tc>
          <w:tcPr>
            <w:tcW w:w="769" w:type="pct"/>
            <w:tcBorders>
              <w:top w:val="nil"/>
              <w:left w:val="nil"/>
              <w:bottom w:val="nil"/>
              <w:right w:val="nil"/>
            </w:tcBorders>
            <w:shd w:val="clear" w:color="000000" w:fill="E6E6E6"/>
            <w:vAlign w:val="bottom"/>
            <w:hideMark/>
          </w:tcPr>
          <w:p w14:paraId="74374425" w14:textId="77777777" w:rsidR="00330CF0" w:rsidRPr="00330CF0" w:rsidRDefault="00330CF0" w:rsidP="00330CF0">
            <w:pPr>
              <w:spacing w:after="0" w:line="240" w:lineRule="auto"/>
              <w:jc w:val="left"/>
              <w:rPr>
                <w:rFonts w:ascii="Arial" w:hAnsi="Arial" w:cs="Arial"/>
                <w:color w:val="000000"/>
                <w:sz w:val="16"/>
                <w:szCs w:val="16"/>
              </w:rPr>
            </w:pPr>
            <w:r w:rsidRPr="00330CF0">
              <w:rPr>
                <w:rFonts w:ascii="Arial" w:hAnsi="Arial" w:cs="Arial"/>
                <w:color w:val="000000"/>
                <w:sz w:val="16"/>
                <w:szCs w:val="16"/>
              </w:rPr>
              <w:t> </w:t>
            </w:r>
          </w:p>
        </w:tc>
      </w:tr>
      <w:tr w:rsidR="00330CF0" w:rsidRPr="00330CF0" w14:paraId="1BF7649C" w14:textId="77777777" w:rsidTr="00330CF0">
        <w:trPr>
          <w:trHeight w:val="238"/>
        </w:trPr>
        <w:tc>
          <w:tcPr>
            <w:tcW w:w="3462" w:type="pct"/>
            <w:tcBorders>
              <w:top w:val="nil"/>
              <w:left w:val="nil"/>
              <w:bottom w:val="nil"/>
              <w:right w:val="nil"/>
            </w:tcBorders>
            <w:shd w:val="clear" w:color="000000" w:fill="FFFFFF"/>
            <w:vAlign w:val="bottom"/>
            <w:hideMark/>
          </w:tcPr>
          <w:p w14:paraId="75E39F50" w14:textId="77777777" w:rsidR="00330CF0" w:rsidRPr="00330CF0" w:rsidRDefault="00330CF0" w:rsidP="00330CF0">
            <w:pPr>
              <w:spacing w:after="0" w:line="240" w:lineRule="auto"/>
              <w:jc w:val="left"/>
              <w:rPr>
                <w:rFonts w:ascii="Arial" w:hAnsi="Arial" w:cs="Arial"/>
                <w:color w:val="000000"/>
                <w:sz w:val="16"/>
                <w:szCs w:val="16"/>
              </w:rPr>
            </w:pPr>
            <w:r w:rsidRPr="00330CF0">
              <w:rPr>
                <w:rFonts w:ascii="Arial" w:hAnsi="Arial" w:cs="Arial"/>
                <w:color w:val="000000"/>
                <w:sz w:val="16"/>
                <w:szCs w:val="16"/>
              </w:rPr>
              <w:t>Annual appropriations - ordinary annual services (a)</w:t>
            </w:r>
          </w:p>
        </w:tc>
        <w:tc>
          <w:tcPr>
            <w:tcW w:w="769" w:type="pct"/>
            <w:tcBorders>
              <w:top w:val="nil"/>
              <w:left w:val="nil"/>
              <w:bottom w:val="nil"/>
              <w:right w:val="nil"/>
            </w:tcBorders>
            <w:shd w:val="clear" w:color="000000" w:fill="FFFFFF"/>
            <w:vAlign w:val="bottom"/>
            <w:hideMark/>
          </w:tcPr>
          <w:p w14:paraId="3863AF68" w14:textId="77777777" w:rsidR="00330CF0" w:rsidRPr="00330CF0" w:rsidRDefault="00330CF0" w:rsidP="00330CF0">
            <w:pPr>
              <w:spacing w:after="0" w:line="240" w:lineRule="auto"/>
              <w:jc w:val="left"/>
              <w:rPr>
                <w:rFonts w:ascii="Arial" w:hAnsi="Arial" w:cs="Arial"/>
                <w:i/>
                <w:iCs/>
                <w:color w:val="000000"/>
                <w:sz w:val="16"/>
                <w:szCs w:val="16"/>
              </w:rPr>
            </w:pPr>
            <w:r w:rsidRPr="00330CF0">
              <w:rPr>
                <w:rFonts w:ascii="Arial" w:hAnsi="Arial" w:cs="Arial"/>
                <w:i/>
                <w:iCs/>
                <w:color w:val="000000"/>
                <w:sz w:val="16"/>
                <w:szCs w:val="16"/>
              </w:rPr>
              <w:t> </w:t>
            </w:r>
          </w:p>
        </w:tc>
        <w:tc>
          <w:tcPr>
            <w:tcW w:w="769" w:type="pct"/>
            <w:tcBorders>
              <w:top w:val="nil"/>
              <w:left w:val="nil"/>
              <w:bottom w:val="nil"/>
              <w:right w:val="nil"/>
            </w:tcBorders>
            <w:shd w:val="clear" w:color="000000" w:fill="E6E6E6"/>
            <w:vAlign w:val="bottom"/>
            <w:hideMark/>
          </w:tcPr>
          <w:p w14:paraId="634CFF9F" w14:textId="77777777" w:rsidR="00330CF0" w:rsidRPr="00330CF0" w:rsidRDefault="00330CF0" w:rsidP="00330CF0">
            <w:pPr>
              <w:spacing w:after="0" w:line="240" w:lineRule="auto"/>
              <w:jc w:val="left"/>
              <w:rPr>
                <w:rFonts w:ascii="Arial" w:hAnsi="Arial" w:cs="Arial"/>
                <w:color w:val="000000"/>
                <w:sz w:val="16"/>
                <w:szCs w:val="16"/>
              </w:rPr>
            </w:pPr>
            <w:r w:rsidRPr="00330CF0">
              <w:rPr>
                <w:rFonts w:ascii="Arial" w:hAnsi="Arial" w:cs="Arial"/>
                <w:color w:val="000000"/>
                <w:sz w:val="16"/>
                <w:szCs w:val="16"/>
              </w:rPr>
              <w:t> </w:t>
            </w:r>
          </w:p>
        </w:tc>
      </w:tr>
      <w:tr w:rsidR="00330CF0" w:rsidRPr="00330CF0" w14:paraId="30ABB1F3" w14:textId="77777777" w:rsidTr="00330CF0">
        <w:trPr>
          <w:trHeight w:val="238"/>
        </w:trPr>
        <w:tc>
          <w:tcPr>
            <w:tcW w:w="3462" w:type="pct"/>
            <w:tcBorders>
              <w:top w:val="nil"/>
              <w:left w:val="nil"/>
              <w:bottom w:val="nil"/>
              <w:right w:val="nil"/>
            </w:tcBorders>
            <w:shd w:val="clear" w:color="000000" w:fill="FFFFFF"/>
            <w:vAlign w:val="bottom"/>
            <w:hideMark/>
          </w:tcPr>
          <w:p w14:paraId="7CDB7315" w14:textId="77777777" w:rsidR="00330CF0" w:rsidRPr="00330CF0" w:rsidRDefault="00330CF0" w:rsidP="00330CF0">
            <w:pPr>
              <w:spacing w:after="0" w:line="240" w:lineRule="auto"/>
              <w:jc w:val="left"/>
              <w:rPr>
                <w:rFonts w:ascii="Arial" w:hAnsi="Arial" w:cs="Arial"/>
                <w:color w:val="000000"/>
                <w:sz w:val="16"/>
                <w:szCs w:val="16"/>
              </w:rPr>
            </w:pPr>
            <w:r w:rsidRPr="00330CF0">
              <w:rPr>
                <w:rFonts w:ascii="Arial" w:hAnsi="Arial" w:cs="Arial"/>
                <w:color w:val="000000"/>
                <w:sz w:val="16"/>
                <w:szCs w:val="16"/>
              </w:rPr>
              <w:t xml:space="preserve">    Prior year appropriations available </w:t>
            </w:r>
          </w:p>
        </w:tc>
        <w:tc>
          <w:tcPr>
            <w:tcW w:w="769" w:type="pct"/>
            <w:tcBorders>
              <w:top w:val="nil"/>
              <w:left w:val="nil"/>
              <w:bottom w:val="nil"/>
              <w:right w:val="nil"/>
            </w:tcBorders>
            <w:shd w:val="clear" w:color="000000" w:fill="FFFFFF"/>
            <w:vAlign w:val="bottom"/>
            <w:hideMark/>
          </w:tcPr>
          <w:p w14:paraId="09DAF899" w14:textId="77777777" w:rsidR="00330CF0" w:rsidRPr="00330CF0" w:rsidRDefault="00330CF0" w:rsidP="00330CF0">
            <w:pPr>
              <w:spacing w:after="0" w:line="240" w:lineRule="auto"/>
              <w:jc w:val="right"/>
              <w:rPr>
                <w:rFonts w:ascii="Arial" w:hAnsi="Arial" w:cs="Arial"/>
                <w:i/>
                <w:iCs/>
                <w:color w:val="000000"/>
                <w:sz w:val="16"/>
                <w:szCs w:val="16"/>
              </w:rPr>
            </w:pPr>
            <w:r w:rsidRPr="00330CF0">
              <w:rPr>
                <w:rFonts w:ascii="Arial" w:hAnsi="Arial" w:cs="Arial"/>
                <w:i/>
                <w:iCs/>
                <w:color w:val="000000"/>
                <w:sz w:val="16"/>
                <w:szCs w:val="16"/>
              </w:rPr>
              <w:t xml:space="preserve">50,764 </w:t>
            </w:r>
          </w:p>
        </w:tc>
        <w:tc>
          <w:tcPr>
            <w:tcW w:w="769" w:type="pct"/>
            <w:tcBorders>
              <w:top w:val="nil"/>
              <w:left w:val="nil"/>
              <w:bottom w:val="nil"/>
              <w:right w:val="nil"/>
            </w:tcBorders>
            <w:shd w:val="clear" w:color="000000" w:fill="E6E6E6"/>
            <w:vAlign w:val="bottom"/>
            <w:hideMark/>
          </w:tcPr>
          <w:p w14:paraId="307FC4BF" w14:textId="77777777" w:rsidR="00330CF0" w:rsidRPr="00330CF0" w:rsidRDefault="00330CF0" w:rsidP="00330CF0">
            <w:pPr>
              <w:spacing w:after="0" w:line="240" w:lineRule="auto"/>
              <w:jc w:val="right"/>
              <w:rPr>
                <w:rFonts w:ascii="Arial" w:hAnsi="Arial" w:cs="Arial"/>
                <w:color w:val="000000"/>
                <w:sz w:val="16"/>
                <w:szCs w:val="16"/>
              </w:rPr>
            </w:pPr>
            <w:r w:rsidRPr="00330CF0">
              <w:rPr>
                <w:rFonts w:ascii="Arial" w:hAnsi="Arial" w:cs="Arial"/>
                <w:color w:val="000000"/>
                <w:sz w:val="16"/>
                <w:szCs w:val="16"/>
              </w:rPr>
              <w:t xml:space="preserve">81,195 </w:t>
            </w:r>
          </w:p>
        </w:tc>
      </w:tr>
      <w:tr w:rsidR="00330CF0" w:rsidRPr="00330CF0" w14:paraId="4504114C" w14:textId="77777777" w:rsidTr="00330CF0">
        <w:trPr>
          <w:trHeight w:val="238"/>
        </w:trPr>
        <w:tc>
          <w:tcPr>
            <w:tcW w:w="3462" w:type="pct"/>
            <w:tcBorders>
              <w:top w:val="nil"/>
              <w:left w:val="nil"/>
              <w:bottom w:val="nil"/>
              <w:right w:val="nil"/>
            </w:tcBorders>
            <w:shd w:val="clear" w:color="000000" w:fill="FFFFFF"/>
            <w:vAlign w:val="bottom"/>
            <w:hideMark/>
          </w:tcPr>
          <w:p w14:paraId="45D67398" w14:textId="77777777" w:rsidR="00330CF0" w:rsidRPr="00330CF0" w:rsidRDefault="00330CF0" w:rsidP="00330CF0">
            <w:pPr>
              <w:spacing w:after="0" w:line="240" w:lineRule="auto"/>
              <w:jc w:val="left"/>
              <w:rPr>
                <w:rFonts w:ascii="Arial" w:hAnsi="Arial" w:cs="Arial"/>
                <w:color w:val="000000"/>
                <w:sz w:val="16"/>
                <w:szCs w:val="16"/>
              </w:rPr>
            </w:pPr>
            <w:r w:rsidRPr="00330CF0">
              <w:rPr>
                <w:rFonts w:ascii="Arial" w:hAnsi="Arial" w:cs="Arial"/>
                <w:color w:val="000000"/>
                <w:sz w:val="16"/>
                <w:szCs w:val="16"/>
              </w:rPr>
              <w:t xml:space="preserve">    Departmental appropriation (b)(c)</w:t>
            </w:r>
          </w:p>
        </w:tc>
        <w:tc>
          <w:tcPr>
            <w:tcW w:w="769" w:type="pct"/>
            <w:tcBorders>
              <w:top w:val="nil"/>
              <w:left w:val="nil"/>
              <w:bottom w:val="nil"/>
              <w:right w:val="nil"/>
            </w:tcBorders>
            <w:shd w:val="clear" w:color="000000" w:fill="FFFFFF"/>
            <w:vAlign w:val="bottom"/>
            <w:hideMark/>
          </w:tcPr>
          <w:p w14:paraId="4F1D7086" w14:textId="77777777" w:rsidR="00330CF0" w:rsidRPr="00330CF0" w:rsidRDefault="00330CF0" w:rsidP="00330CF0">
            <w:pPr>
              <w:spacing w:after="0" w:line="240" w:lineRule="auto"/>
              <w:jc w:val="right"/>
              <w:rPr>
                <w:rFonts w:ascii="Arial" w:hAnsi="Arial" w:cs="Arial"/>
                <w:i/>
                <w:iCs/>
                <w:color w:val="000000"/>
                <w:sz w:val="16"/>
                <w:szCs w:val="16"/>
              </w:rPr>
            </w:pPr>
            <w:r w:rsidRPr="00330CF0">
              <w:rPr>
                <w:rFonts w:ascii="Arial" w:hAnsi="Arial" w:cs="Arial"/>
                <w:i/>
                <w:iCs/>
                <w:color w:val="000000"/>
                <w:sz w:val="16"/>
                <w:szCs w:val="16"/>
              </w:rPr>
              <w:t xml:space="preserve">267,036 </w:t>
            </w:r>
          </w:p>
        </w:tc>
        <w:tc>
          <w:tcPr>
            <w:tcW w:w="769" w:type="pct"/>
            <w:tcBorders>
              <w:top w:val="nil"/>
              <w:left w:val="nil"/>
              <w:bottom w:val="nil"/>
              <w:right w:val="nil"/>
            </w:tcBorders>
            <w:shd w:val="clear" w:color="000000" w:fill="E6E6E6"/>
            <w:vAlign w:val="bottom"/>
            <w:hideMark/>
          </w:tcPr>
          <w:p w14:paraId="3772AA82" w14:textId="77777777" w:rsidR="00330CF0" w:rsidRPr="00330CF0" w:rsidRDefault="00330CF0" w:rsidP="00330CF0">
            <w:pPr>
              <w:spacing w:after="0" w:line="240" w:lineRule="auto"/>
              <w:jc w:val="right"/>
              <w:rPr>
                <w:rFonts w:ascii="Arial" w:hAnsi="Arial" w:cs="Arial"/>
                <w:color w:val="000000"/>
                <w:sz w:val="16"/>
                <w:szCs w:val="16"/>
              </w:rPr>
            </w:pPr>
            <w:r w:rsidRPr="00330CF0">
              <w:rPr>
                <w:rFonts w:ascii="Arial" w:hAnsi="Arial" w:cs="Arial"/>
                <w:color w:val="000000"/>
                <w:sz w:val="16"/>
                <w:szCs w:val="16"/>
              </w:rPr>
              <w:t xml:space="preserve">286,646 </w:t>
            </w:r>
          </w:p>
        </w:tc>
      </w:tr>
      <w:tr w:rsidR="00330CF0" w:rsidRPr="00330CF0" w14:paraId="2232332B" w14:textId="77777777" w:rsidTr="00330CF0">
        <w:trPr>
          <w:trHeight w:val="238"/>
        </w:trPr>
        <w:tc>
          <w:tcPr>
            <w:tcW w:w="3462" w:type="pct"/>
            <w:tcBorders>
              <w:top w:val="nil"/>
              <w:left w:val="nil"/>
              <w:bottom w:val="nil"/>
              <w:right w:val="nil"/>
            </w:tcBorders>
            <w:shd w:val="clear" w:color="000000" w:fill="FFFFFF"/>
            <w:vAlign w:val="bottom"/>
            <w:hideMark/>
          </w:tcPr>
          <w:p w14:paraId="481862CE" w14:textId="77777777" w:rsidR="00330CF0" w:rsidRPr="00330CF0" w:rsidRDefault="00330CF0" w:rsidP="00330CF0">
            <w:pPr>
              <w:spacing w:after="0" w:line="240" w:lineRule="auto"/>
              <w:jc w:val="left"/>
              <w:rPr>
                <w:rFonts w:ascii="Arial" w:hAnsi="Arial" w:cs="Arial"/>
                <w:color w:val="000000"/>
                <w:sz w:val="16"/>
                <w:szCs w:val="16"/>
              </w:rPr>
            </w:pPr>
            <w:r w:rsidRPr="00330CF0">
              <w:rPr>
                <w:rFonts w:ascii="Arial" w:hAnsi="Arial" w:cs="Arial"/>
                <w:color w:val="000000"/>
                <w:sz w:val="16"/>
                <w:szCs w:val="16"/>
              </w:rPr>
              <w:t xml:space="preserve">    s74 External Revenue (d)</w:t>
            </w:r>
          </w:p>
        </w:tc>
        <w:tc>
          <w:tcPr>
            <w:tcW w:w="769" w:type="pct"/>
            <w:tcBorders>
              <w:top w:val="nil"/>
              <w:left w:val="nil"/>
              <w:bottom w:val="nil"/>
              <w:right w:val="nil"/>
            </w:tcBorders>
            <w:shd w:val="clear" w:color="000000" w:fill="FFFFFF"/>
            <w:vAlign w:val="bottom"/>
            <w:hideMark/>
          </w:tcPr>
          <w:p w14:paraId="6A935CA3" w14:textId="77777777" w:rsidR="00330CF0" w:rsidRPr="00330CF0" w:rsidRDefault="00330CF0" w:rsidP="00330CF0">
            <w:pPr>
              <w:spacing w:after="0" w:line="240" w:lineRule="auto"/>
              <w:jc w:val="right"/>
              <w:rPr>
                <w:rFonts w:ascii="Arial" w:hAnsi="Arial" w:cs="Arial"/>
                <w:i/>
                <w:iCs/>
                <w:color w:val="000000"/>
                <w:sz w:val="16"/>
                <w:szCs w:val="16"/>
              </w:rPr>
            </w:pPr>
            <w:r w:rsidRPr="00330CF0">
              <w:rPr>
                <w:rFonts w:ascii="Arial" w:hAnsi="Arial" w:cs="Arial"/>
                <w:i/>
                <w:iCs/>
                <w:color w:val="000000"/>
                <w:sz w:val="16"/>
                <w:szCs w:val="16"/>
              </w:rPr>
              <w:t xml:space="preserve">2,331 </w:t>
            </w:r>
          </w:p>
        </w:tc>
        <w:tc>
          <w:tcPr>
            <w:tcW w:w="769" w:type="pct"/>
            <w:tcBorders>
              <w:top w:val="nil"/>
              <w:left w:val="nil"/>
              <w:bottom w:val="nil"/>
              <w:right w:val="nil"/>
            </w:tcBorders>
            <w:shd w:val="clear" w:color="000000" w:fill="E6E6E6"/>
            <w:vAlign w:val="bottom"/>
            <w:hideMark/>
          </w:tcPr>
          <w:p w14:paraId="3255D752" w14:textId="77777777" w:rsidR="00330CF0" w:rsidRPr="00330CF0" w:rsidRDefault="00330CF0" w:rsidP="00330CF0">
            <w:pPr>
              <w:spacing w:after="0" w:line="240" w:lineRule="auto"/>
              <w:jc w:val="right"/>
              <w:rPr>
                <w:rFonts w:ascii="Arial" w:hAnsi="Arial" w:cs="Arial"/>
                <w:color w:val="000000"/>
                <w:sz w:val="16"/>
                <w:szCs w:val="16"/>
              </w:rPr>
            </w:pPr>
            <w:r w:rsidRPr="00330CF0">
              <w:rPr>
                <w:rFonts w:ascii="Arial" w:hAnsi="Arial" w:cs="Arial"/>
                <w:color w:val="000000"/>
                <w:sz w:val="16"/>
                <w:szCs w:val="16"/>
              </w:rPr>
              <w:t xml:space="preserve">2,113 </w:t>
            </w:r>
          </w:p>
        </w:tc>
      </w:tr>
      <w:tr w:rsidR="00330CF0" w:rsidRPr="00330CF0" w14:paraId="090B7FB0" w14:textId="77777777" w:rsidTr="00330CF0">
        <w:trPr>
          <w:trHeight w:val="238"/>
        </w:trPr>
        <w:tc>
          <w:tcPr>
            <w:tcW w:w="3462" w:type="pct"/>
            <w:tcBorders>
              <w:top w:val="nil"/>
              <w:left w:val="nil"/>
              <w:bottom w:val="nil"/>
              <w:right w:val="nil"/>
            </w:tcBorders>
            <w:shd w:val="clear" w:color="000000" w:fill="FFFFFF"/>
            <w:vAlign w:val="bottom"/>
            <w:hideMark/>
          </w:tcPr>
          <w:p w14:paraId="7AE1ABF2" w14:textId="77777777" w:rsidR="00330CF0" w:rsidRPr="00330CF0" w:rsidRDefault="00330CF0" w:rsidP="00330CF0">
            <w:pPr>
              <w:spacing w:after="0" w:line="240" w:lineRule="auto"/>
              <w:jc w:val="left"/>
              <w:rPr>
                <w:rFonts w:ascii="Arial" w:hAnsi="Arial" w:cs="Arial"/>
                <w:color w:val="000000"/>
                <w:sz w:val="16"/>
                <w:szCs w:val="16"/>
              </w:rPr>
            </w:pPr>
            <w:r w:rsidRPr="00330CF0">
              <w:rPr>
                <w:rFonts w:ascii="Arial" w:hAnsi="Arial" w:cs="Arial"/>
                <w:color w:val="000000"/>
                <w:sz w:val="16"/>
                <w:szCs w:val="16"/>
              </w:rPr>
              <w:t xml:space="preserve">    Departmental capital budget (e)</w:t>
            </w:r>
          </w:p>
        </w:tc>
        <w:tc>
          <w:tcPr>
            <w:tcW w:w="769" w:type="pct"/>
            <w:tcBorders>
              <w:top w:val="nil"/>
              <w:left w:val="nil"/>
              <w:bottom w:val="nil"/>
              <w:right w:val="nil"/>
            </w:tcBorders>
            <w:shd w:val="clear" w:color="000000" w:fill="FFFFFF"/>
            <w:vAlign w:val="bottom"/>
            <w:hideMark/>
          </w:tcPr>
          <w:p w14:paraId="3E8E4D03" w14:textId="77777777" w:rsidR="00330CF0" w:rsidRPr="00330CF0" w:rsidRDefault="00330CF0" w:rsidP="00330CF0">
            <w:pPr>
              <w:spacing w:after="0" w:line="240" w:lineRule="auto"/>
              <w:jc w:val="right"/>
              <w:rPr>
                <w:rFonts w:ascii="Arial" w:hAnsi="Arial" w:cs="Arial"/>
                <w:i/>
                <w:iCs/>
                <w:color w:val="000000"/>
                <w:sz w:val="16"/>
                <w:szCs w:val="16"/>
              </w:rPr>
            </w:pPr>
            <w:r w:rsidRPr="00330CF0">
              <w:rPr>
                <w:rFonts w:ascii="Arial" w:hAnsi="Arial" w:cs="Arial"/>
                <w:i/>
                <w:iCs/>
                <w:color w:val="000000"/>
                <w:sz w:val="16"/>
                <w:szCs w:val="16"/>
              </w:rPr>
              <w:t xml:space="preserve">32,286 </w:t>
            </w:r>
          </w:p>
        </w:tc>
        <w:tc>
          <w:tcPr>
            <w:tcW w:w="769" w:type="pct"/>
            <w:tcBorders>
              <w:top w:val="nil"/>
              <w:left w:val="nil"/>
              <w:bottom w:val="nil"/>
              <w:right w:val="nil"/>
            </w:tcBorders>
            <w:shd w:val="clear" w:color="000000" w:fill="E6E6E6"/>
            <w:vAlign w:val="bottom"/>
            <w:hideMark/>
          </w:tcPr>
          <w:p w14:paraId="742D4DB8" w14:textId="77777777" w:rsidR="00330CF0" w:rsidRPr="00330CF0" w:rsidRDefault="00330CF0" w:rsidP="00330CF0">
            <w:pPr>
              <w:spacing w:after="0" w:line="240" w:lineRule="auto"/>
              <w:jc w:val="right"/>
              <w:rPr>
                <w:rFonts w:ascii="Arial" w:hAnsi="Arial" w:cs="Arial"/>
                <w:color w:val="000000"/>
                <w:sz w:val="16"/>
                <w:szCs w:val="16"/>
              </w:rPr>
            </w:pPr>
            <w:r w:rsidRPr="00330CF0">
              <w:rPr>
                <w:rFonts w:ascii="Arial" w:hAnsi="Arial" w:cs="Arial"/>
                <w:color w:val="000000"/>
                <w:sz w:val="16"/>
                <w:szCs w:val="16"/>
              </w:rPr>
              <w:t xml:space="preserve">31,872 </w:t>
            </w:r>
          </w:p>
        </w:tc>
      </w:tr>
      <w:tr w:rsidR="00330CF0" w:rsidRPr="00330CF0" w14:paraId="10884905" w14:textId="77777777" w:rsidTr="00330CF0">
        <w:trPr>
          <w:trHeight w:val="238"/>
        </w:trPr>
        <w:tc>
          <w:tcPr>
            <w:tcW w:w="3462" w:type="pct"/>
            <w:tcBorders>
              <w:top w:val="nil"/>
              <w:left w:val="nil"/>
              <w:bottom w:val="nil"/>
              <w:right w:val="nil"/>
            </w:tcBorders>
            <w:shd w:val="clear" w:color="000000" w:fill="FFFFFF"/>
            <w:vAlign w:val="bottom"/>
            <w:hideMark/>
          </w:tcPr>
          <w:p w14:paraId="192E2F86" w14:textId="77777777" w:rsidR="00330CF0" w:rsidRPr="00330CF0" w:rsidRDefault="00330CF0" w:rsidP="00330CF0">
            <w:pPr>
              <w:spacing w:after="0" w:line="240" w:lineRule="auto"/>
              <w:jc w:val="left"/>
              <w:rPr>
                <w:rFonts w:ascii="Arial" w:hAnsi="Arial" w:cs="Arial"/>
                <w:color w:val="000000"/>
                <w:sz w:val="16"/>
                <w:szCs w:val="16"/>
              </w:rPr>
            </w:pPr>
            <w:r w:rsidRPr="00330CF0">
              <w:rPr>
                <w:rFonts w:ascii="Arial" w:hAnsi="Arial" w:cs="Arial"/>
                <w:color w:val="000000"/>
                <w:sz w:val="16"/>
                <w:szCs w:val="16"/>
              </w:rPr>
              <w:t>Annual appropriations - other services - non-operating (f)</w:t>
            </w:r>
          </w:p>
        </w:tc>
        <w:tc>
          <w:tcPr>
            <w:tcW w:w="769" w:type="pct"/>
            <w:tcBorders>
              <w:top w:val="nil"/>
              <w:left w:val="nil"/>
              <w:bottom w:val="nil"/>
              <w:right w:val="nil"/>
            </w:tcBorders>
            <w:shd w:val="clear" w:color="000000" w:fill="FFFFFF"/>
            <w:vAlign w:val="bottom"/>
            <w:hideMark/>
          </w:tcPr>
          <w:p w14:paraId="1BE1DE15" w14:textId="77777777" w:rsidR="00330CF0" w:rsidRPr="00330CF0" w:rsidRDefault="00330CF0" w:rsidP="00330CF0">
            <w:pPr>
              <w:spacing w:after="0" w:line="240" w:lineRule="auto"/>
              <w:jc w:val="left"/>
              <w:rPr>
                <w:rFonts w:ascii="Arial" w:hAnsi="Arial" w:cs="Arial"/>
                <w:i/>
                <w:iCs/>
                <w:color w:val="000000"/>
                <w:sz w:val="16"/>
                <w:szCs w:val="16"/>
              </w:rPr>
            </w:pPr>
            <w:r w:rsidRPr="00330CF0">
              <w:rPr>
                <w:rFonts w:ascii="Arial" w:hAnsi="Arial" w:cs="Arial"/>
                <w:i/>
                <w:iCs/>
                <w:color w:val="000000"/>
                <w:sz w:val="16"/>
                <w:szCs w:val="16"/>
              </w:rPr>
              <w:t> </w:t>
            </w:r>
          </w:p>
        </w:tc>
        <w:tc>
          <w:tcPr>
            <w:tcW w:w="769" w:type="pct"/>
            <w:tcBorders>
              <w:top w:val="nil"/>
              <w:left w:val="nil"/>
              <w:bottom w:val="nil"/>
              <w:right w:val="nil"/>
            </w:tcBorders>
            <w:shd w:val="clear" w:color="000000" w:fill="E6E6E6"/>
            <w:vAlign w:val="bottom"/>
            <w:hideMark/>
          </w:tcPr>
          <w:p w14:paraId="43117A29" w14:textId="77777777" w:rsidR="00330CF0" w:rsidRPr="00330CF0" w:rsidRDefault="00330CF0" w:rsidP="00330CF0">
            <w:pPr>
              <w:spacing w:after="0" w:line="240" w:lineRule="auto"/>
              <w:jc w:val="left"/>
              <w:rPr>
                <w:rFonts w:ascii="Arial" w:hAnsi="Arial" w:cs="Arial"/>
                <w:color w:val="000000"/>
                <w:sz w:val="16"/>
                <w:szCs w:val="16"/>
              </w:rPr>
            </w:pPr>
            <w:r w:rsidRPr="00330CF0">
              <w:rPr>
                <w:rFonts w:ascii="Arial" w:hAnsi="Arial" w:cs="Arial"/>
                <w:color w:val="000000"/>
                <w:sz w:val="16"/>
                <w:szCs w:val="16"/>
              </w:rPr>
              <w:t> </w:t>
            </w:r>
          </w:p>
        </w:tc>
      </w:tr>
      <w:tr w:rsidR="00330CF0" w:rsidRPr="00330CF0" w14:paraId="62E33540" w14:textId="77777777" w:rsidTr="00330CF0">
        <w:trPr>
          <w:trHeight w:val="238"/>
        </w:trPr>
        <w:tc>
          <w:tcPr>
            <w:tcW w:w="3462" w:type="pct"/>
            <w:tcBorders>
              <w:top w:val="nil"/>
              <w:left w:val="nil"/>
              <w:bottom w:val="nil"/>
              <w:right w:val="nil"/>
            </w:tcBorders>
            <w:shd w:val="clear" w:color="000000" w:fill="FFFFFF"/>
            <w:vAlign w:val="bottom"/>
            <w:hideMark/>
          </w:tcPr>
          <w:p w14:paraId="5765FB4A" w14:textId="77777777" w:rsidR="00330CF0" w:rsidRPr="00330CF0" w:rsidRDefault="00330CF0" w:rsidP="00330CF0">
            <w:pPr>
              <w:spacing w:after="0" w:line="240" w:lineRule="auto"/>
              <w:jc w:val="left"/>
              <w:rPr>
                <w:rFonts w:ascii="Arial" w:hAnsi="Arial" w:cs="Arial"/>
                <w:color w:val="000000"/>
                <w:sz w:val="16"/>
                <w:szCs w:val="16"/>
              </w:rPr>
            </w:pPr>
            <w:r w:rsidRPr="00330CF0">
              <w:rPr>
                <w:rFonts w:ascii="Arial" w:hAnsi="Arial" w:cs="Arial"/>
                <w:color w:val="000000"/>
                <w:sz w:val="16"/>
                <w:szCs w:val="16"/>
              </w:rPr>
              <w:t xml:space="preserve">    Prior year appropriations available </w:t>
            </w:r>
          </w:p>
        </w:tc>
        <w:tc>
          <w:tcPr>
            <w:tcW w:w="769" w:type="pct"/>
            <w:tcBorders>
              <w:top w:val="nil"/>
              <w:left w:val="nil"/>
              <w:bottom w:val="nil"/>
              <w:right w:val="nil"/>
            </w:tcBorders>
            <w:shd w:val="clear" w:color="000000" w:fill="FFFFFF"/>
            <w:vAlign w:val="bottom"/>
            <w:hideMark/>
          </w:tcPr>
          <w:p w14:paraId="7E6621BE" w14:textId="77777777" w:rsidR="00330CF0" w:rsidRPr="00330CF0" w:rsidRDefault="00330CF0" w:rsidP="00330CF0">
            <w:pPr>
              <w:spacing w:after="0" w:line="240" w:lineRule="auto"/>
              <w:jc w:val="right"/>
              <w:rPr>
                <w:rFonts w:ascii="Arial" w:hAnsi="Arial" w:cs="Arial"/>
                <w:i/>
                <w:iCs/>
                <w:color w:val="000000"/>
                <w:sz w:val="16"/>
                <w:szCs w:val="16"/>
              </w:rPr>
            </w:pPr>
            <w:r w:rsidRPr="00330CF0">
              <w:rPr>
                <w:rFonts w:ascii="Arial" w:hAnsi="Arial" w:cs="Arial"/>
                <w:i/>
                <w:iCs/>
                <w:color w:val="000000"/>
                <w:sz w:val="16"/>
                <w:szCs w:val="16"/>
              </w:rPr>
              <w:t xml:space="preserve">1,100 </w:t>
            </w:r>
          </w:p>
        </w:tc>
        <w:tc>
          <w:tcPr>
            <w:tcW w:w="769" w:type="pct"/>
            <w:tcBorders>
              <w:top w:val="nil"/>
              <w:left w:val="nil"/>
              <w:bottom w:val="nil"/>
              <w:right w:val="nil"/>
            </w:tcBorders>
            <w:shd w:val="clear" w:color="000000" w:fill="E6E6E6"/>
            <w:vAlign w:val="bottom"/>
            <w:hideMark/>
          </w:tcPr>
          <w:p w14:paraId="2F296A63" w14:textId="77777777" w:rsidR="00330CF0" w:rsidRPr="00330CF0" w:rsidRDefault="00330CF0" w:rsidP="00330CF0">
            <w:pPr>
              <w:spacing w:after="0" w:line="240" w:lineRule="auto"/>
              <w:jc w:val="right"/>
              <w:rPr>
                <w:rFonts w:ascii="Arial" w:hAnsi="Arial" w:cs="Arial"/>
                <w:color w:val="000000"/>
                <w:sz w:val="16"/>
                <w:szCs w:val="16"/>
              </w:rPr>
            </w:pPr>
            <w:r w:rsidRPr="00330CF0">
              <w:rPr>
                <w:rFonts w:ascii="Arial" w:hAnsi="Arial" w:cs="Arial"/>
                <w:color w:val="000000"/>
                <w:sz w:val="16"/>
                <w:szCs w:val="16"/>
              </w:rPr>
              <w:t xml:space="preserve">- </w:t>
            </w:r>
          </w:p>
        </w:tc>
      </w:tr>
      <w:tr w:rsidR="00330CF0" w:rsidRPr="00330CF0" w14:paraId="66808CD9" w14:textId="77777777" w:rsidTr="00330CF0">
        <w:trPr>
          <w:trHeight w:val="238"/>
        </w:trPr>
        <w:tc>
          <w:tcPr>
            <w:tcW w:w="3462" w:type="pct"/>
            <w:tcBorders>
              <w:top w:val="nil"/>
              <w:left w:val="nil"/>
              <w:bottom w:val="nil"/>
              <w:right w:val="nil"/>
            </w:tcBorders>
            <w:shd w:val="clear" w:color="000000" w:fill="FFFFFF"/>
            <w:vAlign w:val="bottom"/>
            <w:hideMark/>
          </w:tcPr>
          <w:p w14:paraId="417EB78F" w14:textId="77777777" w:rsidR="00330CF0" w:rsidRPr="00330CF0" w:rsidRDefault="00330CF0" w:rsidP="00330CF0">
            <w:pPr>
              <w:spacing w:after="0" w:line="240" w:lineRule="auto"/>
              <w:jc w:val="left"/>
              <w:rPr>
                <w:rFonts w:ascii="Arial" w:hAnsi="Arial" w:cs="Arial"/>
                <w:color w:val="000000"/>
                <w:sz w:val="16"/>
                <w:szCs w:val="16"/>
              </w:rPr>
            </w:pPr>
            <w:r w:rsidRPr="00330CF0">
              <w:rPr>
                <w:rFonts w:ascii="Arial" w:hAnsi="Arial" w:cs="Arial"/>
                <w:color w:val="000000"/>
                <w:sz w:val="16"/>
                <w:szCs w:val="16"/>
              </w:rPr>
              <w:t xml:space="preserve">    Equity injection </w:t>
            </w:r>
          </w:p>
        </w:tc>
        <w:tc>
          <w:tcPr>
            <w:tcW w:w="769" w:type="pct"/>
            <w:tcBorders>
              <w:top w:val="nil"/>
              <w:left w:val="nil"/>
              <w:bottom w:val="nil"/>
              <w:right w:val="nil"/>
            </w:tcBorders>
            <w:shd w:val="clear" w:color="000000" w:fill="FFFFFF"/>
            <w:vAlign w:val="bottom"/>
            <w:hideMark/>
          </w:tcPr>
          <w:p w14:paraId="3554C496" w14:textId="77777777" w:rsidR="00330CF0" w:rsidRPr="00330CF0" w:rsidRDefault="00330CF0" w:rsidP="00330CF0">
            <w:pPr>
              <w:spacing w:after="0" w:line="240" w:lineRule="auto"/>
              <w:jc w:val="right"/>
              <w:rPr>
                <w:rFonts w:ascii="Arial" w:hAnsi="Arial" w:cs="Arial"/>
                <w:i/>
                <w:iCs/>
                <w:color w:val="000000"/>
                <w:sz w:val="16"/>
                <w:szCs w:val="16"/>
              </w:rPr>
            </w:pPr>
            <w:r w:rsidRPr="00330CF0">
              <w:rPr>
                <w:rFonts w:ascii="Arial" w:hAnsi="Arial" w:cs="Arial"/>
                <w:i/>
                <w:iCs/>
                <w:color w:val="000000"/>
                <w:sz w:val="16"/>
                <w:szCs w:val="16"/>
              </w:rPr>
              <w:t xml:space="preserve">36,200 </w:t>
            </w:r>
          </w:p>
        </w:tc>
        <w:tc>
          <w:tcPr>
            <w:tcW w:w="769" w:type="pct"/>
            <w:tcBorders>
              <w:top w:val="nil"/>
              <w:left w:val="nil"/>
              <w:bottom w:val="nil"/>
              <w:right w:val="nil"/>
            </w:tcBorders>
            <w:shd w:val="clear" w:color="000000" w:fill="E6E6E6"/>
            <w:vAlign w:val="bottom"/>
            <w:hideMark/>
          </w:tcPr>
          <w:p w14:paraId="10068DF4" w14:textId="77777777" w:rsidR="00330CF0" w:rsidRPr="00330CF0" w:rsidRDefault="00330CF0" w:rsidP="00330CF0">
            <w:pPr>
              <w:spacing w:after="0" w:line="240" w:lineRule="auto"/>
              <w:jc w:val="right"/>
              <w:rPr>
                <w:rFonts w:ascii="Arial" w:hAnsi="Arial" w:cs="Arial"/>
                <w:color w:val="000000"/>
                <w:sz w:val="16"/>
                <w:szCs w:val="16"/>
              </w:rPr>
            </w:pPr>
            <w:r w:rsidRPr="00330CF0">
              <w:rPr>
                <w:rFonts w:ascii="Arial" w:hAnsi="Arial" w:cs="Arial"/>
                <w:color w:val="000000"/>
                <w:sz w:val="16"/>
                <w:szCs w:val="16"/>
              </w:rPr>
              <w:t xml:space="preserve">1,100 </w:t>
            </w:r>
          </w:p>
        </w:tc>
      </w:tr>
      <w:tr w:rsidR="00330CF0" w:rsidRPr="00330CF0" w14:paraId="7445118C" w14:textId="77777777" w:rsidTr="00330CF0">
        <w:trPr>
          <w:trHeight w:val="238"/>
        </w:trPr>
        <w:tc>
          <w:tcPr>
            <w:tcW w:w="3462" w:type="pct"/>
            <w:tcBorders>
              <w:top w:val="nil"/>
              <w:left w:val="nil"/>
              <w:bottom w:val="nil"/>
              <w:right w:val="nil"/>
            </w:tcBorders>
            <w:shd w:val="clear" w:color="000000" w:fill="FFFFFF"/>
            <w:vAlign w:val="bottom"/>
            <w:hideMark/>
          </w:tcPr>
          <w:p w14:paraId="6CA85E69" w14:textId="77777777" w:rsidR="00330CF0" w:rsidRPr="00330CF0" w:rsidRDefault="00330CF0" w:rsidP="00330CF0">
            <w:pPr>
              <w:spacing w:after="0" w:line="240" w:lineRule="auto"/>
              <w:jc w:val="left"/>
              <w:rPr>
                <w:rFonts w:ascii="Arial" w:hAnsi="Arial" w:cs="Arial"/>
                <w:color w:val="000000"/>
                <w:sz w:val="16"/>
                <w:szCs w:val="16"/>
              </w:rPr>
            </w:pPr>
            <w:r w:rsidRPr="00330CF0">
              <w:rPr>
                <w:rFonts w:ascii="Arial" w:hAnsi="Arial" w:cs="Arial"/>
                <w:color w:val="000000"/>
                <w:sz w:val="16"/>
                <w:szCs w:val="16"/>
              </w:rPr>
              <w:t>Total departmental annual appropriations</w:t>
            </w:r>
          </w:p>
        </w:tc>
        <w:tc>
          <w:tcPr>
            <w:tcW w:w="769" w:type="pct"/>
            <w:tcBorders>
              <w:top w:val="single" w:sz="4" w:space="0" w:color="auto"/>
              <w:left w:val="nil"/>
              <w:bottom w:val="single" w:sz="4" w:space="0" w:color="auto"/>
              <w:right w:val="nil"/>
            </w:tcBorders>
            <w:shd w:val="clear" w:color="000000" w:fill="FFFFFF"/>
            <w:vAlign w:val="bottom"/>
            <w:hideMark/>
          </w:tcPr>
          <w:p w14:paraId="123ACC79" w14:textId="77777777" w:rsidR="00330CF0" w:rsidRPr="00330CF0" w:rsidRDefault="00330CF0" w:rsidP="00330CF0">
            <w:pPr>
              <w:spacing w:after="0" w:line="240" w:lineRule="auto"/>
              <w:jc w:val="right"/>
              <w:rPr>
                <w:rFonts w:ascii="Arial" w:hAnsi="Arial" w:cs="Arial"/>
                <w:i/>
                <w:iCs/>
                <w:color w:val="000000"/>
                <w:sz w:val="16"/>
                <w:szCs w:val="16"/>
              </w:rPr>
            </w:pPr>
            <w:r w:rsidRPr="00330CF0">
              <w:rPr>
                <w:rFonts w:ascii="Arial" w:hAnsi="Arial" w:cs="Arial"/>
                <w:i/>
                <w:iCs/>
                <w:color w:val="000000"/>
                <w:sz w:val="16"/>
                <w:szCs w:val="16"/>
              </w:rPr>
              <w:t xml:space="preserve">389,717 </w:t>
            </w:r>
          </w:p>
        </w:tc>
        <w:tc>
          <w:tcPr>
            <w:tcW w:w="769" w:type="pct"/>
            <w:tcBorders>
              <w:top w:val="single" w:sz="4" w:space="0" w:color="auto"/>
              <w:left w:val="nil"/>
              <w:bottom w:val="single" w:sz="4" w:space="0" w:color="auto"/>
              <w:right w:val="nil"/>
            </w:tcBorders>
            <w:shd w:val="clear" w:color="000000" w:fill="E6E6E6"/>
            <w:vAlign w:val="bottom"/>
            <w:hideMark/>
          </w:tcPr>
          <w:p w14:paraId="74C2E7D7" w14:textId="77777777" w:rsidR="00330CF0" w:rsidRPr="00330CF0" w:rsidRDefault="00330CF0" w:rsidP="00330CF0">
            <w:pPr>
              <w:spacing w:after="0" w:line="240" w:lineRule="auto"/>
              <w:jc w:val="right"/>
              <w:rPr>
                <w:rFonts w:ascii="Arial" w:hAnsi="Arial" w:cs="Arial"/>
                <w:color w:val="000000"/>
                <w:sz w:val="16"/>
                <w:szCs w:val="16"/>
              </w:rPr>
            </w:pPr>
            <w:r w:rsidRPr="00330CF0">
              <w:rPr>
                <w:rFonts w:ascii="Arial" w:hAnsi="Arial" w:cs="Arial"/>
                <w:color w:val="000000"/>
                <w:sz w:val="16"/>
                <w:szCs w:val="16"/>
              </w:rPr>
              <w:t xml:space="preserve">402,926 </w:t>
            </w:r>
          </w:p>
        </w:tc>
      </w:tr>
      <w:tr w:rsidR="00330CF0" w:rsidRPr="00330CF0" w14:paraId="29529331" w14:textId="77777777" w:rsidTr="00330CF0">
        <w:trPr>
          <w:trHeight w:val="238"/>
        </w:trPr>
        <w:tc>
          <w:tcPr>
            <w:tcW w:w="3462" w:type="pct"/>
            <w:tcBorders>
              <w:top w:val="nil"/>
              <w:left w:val="nil"/>
              <w:bottom w:val="nil"/>
              <w:right w:val="nil"/>
            </w:tcBorders>
            <w:shd w:val="clear" w:color="000000" w:fill="FFFFFF"/>
            <w:vAlign w:val="bottom"/>
            <w:hideMark/>
          </w:tcPr>
          <w:p w14:paraId="18BF1E2D" w14:textId="77777777" w:rsidR="00330CF0" w:rsidRPr="00330CF0" w:rsidRDefault="00330CF0" w:rsidP="00330CF0">
            <w:pPr>
              <w:spacing w:after="0" w:line="240" w:lineRule="auto"/>
              <w:jc w:val="left"/>
              <w:rPr>
                <w:rFonts w:ascii="Arial" w:hAnsi="Arial" w:cs="Arial"/>
                <w:b/>
                <w:bCs/>
                <w:i/>
                <w:iCs/>
                <w:color w:val="000000"/>
                <w:sz w:val="16"/>
                <w:szCs w:val="16"/>
              </w:rPr>
            </w:pPr>
            <w:r w:rsidRPr="00330CF0">
              <w:rPr>
                <w:rFonts w:ascii="Arial" w:hAnsi="Arial" w:cs="Arial"/>
                <w:b/>
                <w:bCs/>
                <w:i/>
                <w:iCs/>
                <w:color w:val="000000"/>
                <w:sz w:val="16"/>
                <w:szCs w:val="16"/>
              </w:rPr>
              <w:t>Total departmental resourcing</w:t>
            </w:r>
          </w:p>
        </w:tc>
        <w:tc>
          <w:tcPr>
            <w:tcW w:w="769" w:type="pct"/>
            <w:tcBorders>
              <w:top w:val="nil"/>
              <w:left w:val="nil"/>
              <w:bottom w:val="single" w:sz="4" w:space="0" w:color="auto"/>
              <w:right w:val="nil"/>
            </w:tcBorders>
            <w:shd w:val="clear" w:color="000000" w:fill="FFFFFF"/>
            <w:vAlign w:val="bottom"/>
            <w:hideMark/>
          </w:tcPr>
          <w:p w14:paraId="76F550A1" w14:textId="77777777" w:rsidR="00330CF0" w:rsidRPr="00330CF0" w:rsidRDefault="00330CF0" w:rsidP="00330CF0">
            <w:pPr>
              <w:spacing w:after="0" w:line="240" w:lineRule="auto"/>
              <w:jc w:val="right"/>
              <w:rPr>
                <w:rFonts w:ascii="Arial" w:hAnsi="Arial" w:cs="Arial"/>
                <w:b/>
                <w:bCs/>
                <w:i/>
                <w:iCs/>
                <w:color w:val="000000"/>
                <w:sz w:val="16"/>
                <w:szCs w:val="16"/>
              </w:rPr>
            </w:pPr>
            <w:r w:rsidRPr="00330CF0">
              <w:rPr>
                <w:rFonts w:ascii="Arial" w:hAnsi="Arial" w:cs="Arial"/>
                <w:b/>
                <w:bCs/>
                <w:i/>
                <w:iCs/>
                <w:color w:val="000000"/>
                <w:sz w:val="16"/>
                <w:szCs w:val="16"/>
              </w:rPr>
              <w:t xml:space="preserve">389,717 </w:t>
            </w:r>
          </w:p>
        </w:tc>
        <w:tc>
          <w:tcPr>
            <w:tcW w:w="769" w:type="pct"/>
            <w:tcBorders>
              <w:top w:val="nil"/>
              <w:left w:val="nil"/>
              <w:bottom w:val="single" w:sz="4" w:space="0" w:color="auto"/>
              <w:right w:val="nil"/>
            </w:tcBorders>
            <w:shd w:val="clear" w:color="000000" w:fill="E6E6E6"/>
            <w:vAlign w:val="bottom"/>
            <w:hideMark/>
          </w:tcPr>
          <w:p w14:paraId="3C2317BD" w14:textId="77777777" w:rsidR="00330CF0" w:rsidRPr="00330CF0" w:rsidRDefault="00330CF0" w:rsidP="00330CF0">
            <w:pPr>
              <w:spacing w:after="0" w:line="240" w:lineRule="auto"/>
              <w:jc w:val="right"/>
              <w:rPr>
                <w:rFonts w:ascii="Arial" w:hAnsi="Arial" w:cs="Arial"/>
                <w:b/>
                <w:bCs/>
                <w:color w:val="000000"/>
                <w:sz w:val="16"/>
                <w:szCs w:val="16"/>
              </w:rPr>
            </w:pPr>
            <w:r w:rsidRPr="00330CF0">
              <w:rPr>
                <w:rFonts w:ascii="Arial" w:hAnsi="Arial" w:cs="Arial"/>
                <w:b/>
                <w:bCs/>
                <w:color w:val="000000"/>
                <w:sz w:val="16"/>
                <w:szCs w:val="16"/>
              </w:rPr>
              <w:t xml:space="preserve">402,926 </w:t>
            </w:r>
          </w:p>
        </w:tc>
      </w:tr>
      <w:tr w:rsidR="00330CF0" w:rsidRPr="00330CF0" w14:paraId="4B3CABC3" w14:textId="77777777" w:rsidTr="00330CF0">
        <w:trPr>
          <w:trHeight w:val="238"/>
        </w:trPr>
        <w:tc>
          <w:tcPr>
            <w:tcW w:w="3462" w:type="pct"/>
            <w:tcBorders>
              <w:top w:val="nil"/>
              <w:left w:val="nil"/>
              <w:bottom w:val="nil"/>
              <w:right w:val="nil"/>
            </w:tcBorders>
            <w:shd w:val="clear" w:color="000000" w:fill="FFFFFF"/>
            <w:vAlign w:val="bottom"/>
            <w:hideMark/>
          </w:tcPr>
          <w:p w14:paraId="5FE576FF" w14:textId="77777777" w:rsidR="00330CF0" w:rsidRPr="00330CF0" w:rsidRDefault="00330CF0" w:rsidP="00330CF0">
            <w:pPr>
              <w:spacing w:after="0" w:line="240" w:lineRule="auto"/>
              <w:jc w:val="left"/>
              <w:rPr>
                <w:rFonts w:ascii="Arial" w:hAnsi="Arial" w:cs="Arial"/>
                <w:b/>
                <w:bCs/>
                <w:color w:val="000000"/>
                <w:sz w:val="16"/>
                <w:szCs w:val="16"/>
              </w:rPr>
            </w:pPr>
            <w:r w:rsidRPr="00330CF0">
              <w:rPr>
                <w:rFonts w:ascii="Arial" w:hAnsi="Arial" w:cs="Arial"/>
                <w:b/>
                <w:bCs/>
                <w:color w:val="000000"/>
                <w:sz w:val="16"/>
                <w:szCs w:val="16"/>
              </w:rPr>
              <w:t>Administered</w:t>
            </w:r>
          </w:p>
        </w:tc>
        <w:tc>
          <w:tcPr>
            <w:tcW w:w="769" w:type="pct"/>
            <w:tcBorders>
              <w:top w:val="nil"/>
              <w:left w:val="nil"/>
              <w:bottom w:val="nil"/>
              <w:right w:val="nil"/>
            </w:tcBorders>
            <w:shd w:val="clear" w:color="000000" w:fill="FFFFFF"/>
            <w:vAlign w:val="bottom"/>
            <w:hideMark/>
          </w:tcPr>
          <w:p w14:paraId="0112F752" w14:textId="77777777" w:rsidR="00330CF0" w:rsidRPr="00330CF0" w:rsidRDefault="00330CF0" w:rsidP="00330CF0">
            <w:pPr>
              <w:spacing w:after="0" w:line="240" w:lineRule="auto"/>
              <w:jc w:val="left"/>
              <w:rPr>
                <w:rFonts w:ascii="Arial" w:hAnsi="Arial" w:cs="Arial"/>
                <w:i/>
                <w:iCs/>
                <w:color w:val="000000"/>
                <w:sz w:val="16"/>
                <w:szCs w:val="16"/>
              </w:rPr>
            </w:pPr>
            <w:r w:rsidRPr="00330CF0">
              <w:rPr>
                <w:rFonts w:ascii="Arial" w:hAnsi="Arial" w:cs="Arial"/>
                <w:i/>
                <w:iCs/>
                <w:color w:val="000000"/>
                <w:sz w:val="16"/>
                <w:szCs w:val="16"/>
              </w:rPr>
              <w:t> </w:t>
            </w:r>
          </w:p>
        </w:tc>
        <w:tc>
          <w:tcPr>
            <w:tcW w:w="769" w:type="pct"/>
            <w:tcBorders>
              <w:top w:val="nil"/>
              <w:left w:val="nil"/>
              <w:bottom w:val="nil"/>
              <w:right w:val="nil"/>
            </w:tcBorders>
            <w:shd w:val="clear" w:color="000000" w:fill="E6E6E6"/>
            <w:vAlign w:val="bottom"/>
            <w:hideMark/>
          </w:tcPr>
          <w:p w14:paraId="4FA6C0BB" w14:textId="77777777" w:rsidR="00330CF0" w:rsidRPr="00330CF0" w:rsidRDefault="00330CF0" w:rsidP="00330CF0">
            <w:pPr>
              <w:spacing w:after="0" w:line="240" w:lineRule="auto"/>
              <w:jc w:val="left"/>
              <w:rPr>
                <w:rFonts w:ascii="Arial" w:hAnsi="Arial" w:cs="Arial"/>
                <w:color w:val="000000"/>
                <w:sz w:val="16"/>
                <w:szCs w:val="16"/>
              </w:rPr>
            </w:pPr>
            <w:r w:rsidRPr="00330CF0">
              <w:rPr>
                <w:rFonts w:ascii="Arial" w:hAnsi="Arial" w:cs="Arial"/>
                <w:color w:val="000000"/>
                <w:sz w:val="16"/>
                <w:szCs w:val="16"/>
              </w:rPr>
              <w:t> </w:t>
            </w:r>
          </w:p>
        </w:tc>
      </w:tr>
      <w:tr w:rsidR="00330CF0" w:rsidRPr="00330CF0" w14:paraId="7A03B326" w14:textId="77777777" w:rsidTr="00330CF0">
        <w:trPr>
          <w:trHeight w:val="200"/>
        </w:trPr>
        <w:tc>
          <w:tcPr>
            <w:tcW w:w="3462" w:type="pct"/>
            <w:tcBorders>
              <w:top w:val="nil"/>
              <w:left w:val="nil"/>
              <w:bottom w:val="nil"/>
              <w:right w:val="nil"/>
            </w:tcBorders>
            <w:shd w:val="clear" w:color="000000" w:fill="FFFFFF"/>
            <w:vAlign w:val="bottom"/>
            <w:hideMark/>
          </w:tcPr>
          <w:p w14:paraId="7196375F" w14:textId="77777777" w:rsidR="00330CF0" w:rsidRPr="00330CF0" w:rsidRDefault="00330CF0" w:rsidP="00330CF0">
            <w:pPr>
              <w:spacing w:after="0" w:line="240" w:lineRule="auto"/>
              <w:jc w:val="left"/>
              <w:rPr>
                <w:rFonts w:ascii="Arial" w:hAnsi="Arial" w:cs="Arial"/>
                <w:color w:val="000000"/>
                <w:sz w:val="16"/>
                <w:szCs w:val="16"/>
              </w:rPr>
            </w:pPr>
            <w:r w:rsidRPr="00330CF0">
              <w:rPr>
                <w:rFonts w:ascii="Arial" w:hAnsi="Arial" w:cs="Arial"/>
                <w:color w:val="000000"/>
                <w:sz w:val="16"/>
                <w:szCs w:val="16"/>
              </w:rPr>
              <w:t xml:space="preserve">   Special appropriations (g)</w:t>
            </w:r>
          </w:p>
        </w:tc>
        <w:tc>
          <w:tcPr>
            <w:tcW w:w="769" w:type="pct"/>
            <w:tcBorders>
              <w:top w:val="single" w:sz="4" w:space="0" w:color="auto"/>
              <w:left w:val="nil"/>
              <w:bottom w:val="single" w:sz="4" w:space="0" w:color="auto"/>
              <w:right w:val="nil"/>
            </w:tcBorders>
            <w:shd w:val="clear" w:color="000000" w:fill="FFFFFF"/>
            <w:vAlign w:val="bottom"/>
            <w:hideMark/>
          </w:tcPr>
          <w:p w14:paraId="2AD7280E" w14:textId="77777777" w:rsidR="00330CF0" w:rsidRPr="00330CF0" w:rsidRDefault="00330CF0" w:rsidP="00330CF0">
            <w:pPr>
              <w:spacing w:after="0" w:line="240" w:lineRule="auto"/>
              <w:jc w:val="right"/>
              <w:rPr>
                <w:rFonts w:ascii="Arial" w:hAnsi="Arial" w:cs="Arial"/>
                <w:i/>
                <w:iCs/>
                <w:color w:val="000000"/>
                <w:sz w:val="16"/>
                <w:szCs w:val="16"/>
              </w:rPr>
            </w:pPr>
            <w:r w:rsidRPr="00330CF0">
              <w:rPr>
                <w:rFonts w:ascii="Arial" w:hAnsi="Arial" w:cs="Arial"/>
                <w:i/>
                <w:iCs/>
                <w:color w:val="000000"/>
                <w:sz w:val="16"/>
                <w:szCs w:val="16"/>
              </w:rPr>
              <w:t xml:space="preserve">20 </w:t>
            </w:r>
          </w:p>
        </w:tc>
        <w:tc>
          <w:tcPr>
            <w:tcW w:w="769" w:type="pct"/>
            <w:tcBorders>
              <w:top w:val="single" w:sz="4" w:space="0" w:color="auto"/>
              <w:left w:val="nil"/>
              <w:bottom w:val="single" w:sz="4" w:space="0" w:color="auto"/>
              <w:right w:val="nil"/>
            </w:tcBorders>
            <w:shd w:val="clear" w:color="000000" w:fill="E6E6E6"/>
            <w:vAlign w:val="bottom"/>
            <w:hideMark/>
          </w:tcPr>
          <w:p w14:paraId="1B287455" w14:textId="77777777" w:rsidR="00330CF0" w:rsidRPr="00330CF0" w:rsidRDefault="00330CF0" w:rsidP="00330CF0">
            <w:pPr>
              <w:spacing w:after="0" w:line="240" w:lineRule="auto"/>
              <w:jc w:val="right"/>
              <w:rPr>
                <w:rFonts w:ascii="Arial" w:hAnsi="Arial" w:cs="Arial"/>
                <w:color w:val="000000"/>
                <w:sz w:val="16"/>
                <w:szCs w:val="16"/>
              </w:rPr>
            </w:pPr>
            <w:r w:rsidRPr="00330CF0">
              <w:rPr>
                <w:rFonts w:ascii="Arial" w:hAnsi="Arial" w:cs="Arial"/>
                <w:color w:val="000000"/>
                <w:sz w:val="16"/>
                <w:szCs w:val="16"/>
              </w:rPr>
              <w:t xml:space="preserve">20 </w:t>
            </w:r>
          </w:p>
        </w:tc>
      </w:tr>
      <w:tr w:rsidR="00330CF0" w:rsidRPr="00330CF0" w14:paraId="0154186A" w14:textId="77777777" w:rsidTr="00330CF0">
        <w:trPr>
          <w:trHeight w:val="240"/>
        </w:trPr>
        <w:tc>
          <w:tcPr>
            <w:tcW w:w="3462" w:type="pct"/>
            <w:tcBorders>
              <w:top w:val="nil"/>
              <w:left w:val="nil"/>
              <w:bottom w:val="nil"/>
              <w:right w:val="nil"/>
            </w:tcBorders>
            <w:shd w:val="clear" w:color="000000" w:fill="FFFFFF"/>
            <w:vAlign w:val="bottom"/>
            <w:hideMark/>
          </w:tcPr>
          <w:p w14:paraId="7AFCA393" w14:textId="77777777" w:rsidR="00330CF0" w:rsidRPr="00330CF0" w:rsidRDefault="00330CF0" w:rsidP="00330CF0">
            <w:pPr>
              <w:spacing w:after="0" w:line="240" w:lineRule="auto"/>
              <w:jc w:val="left"/>
              <w:rPr>
                <w:rFonts w:ascii="Arial" w:hAnsi="Arial" w:cs="Arial"/>
                <w:b/>
                <w:bCs/>
                <w:color w:val="000000"/>
                <w:sz w:val="16"/>
                <w:szCs w:val="16"/>
              </w:rPr>
            </w:pPr>
            <w:r w:rsidRPr="00330CF0">
              <w:rPr>
                <w:rFonts w:ascii="Arial" w:hAnsi="Arial" w:cs="Arial"/>
                <w:b/>
                <w:bCs/>
                <w:color w:val="000000"/>
                <w:sz w:val="16"/>
                <w:szCs w:val="16"/>
              </w:rPr>
              <w:t>Total administered resourcing (h)</w:t>
            </w:r>
          </w:p>
        </w:tc>
        <w:tc>
          <w:tcPr>
            <w:tcW w:w="769" w:type="pct"/>
            <w:tcBorders>
              <w:top w:val="nil"/>
              <w:left w:val="nil"/>
              <w:bottom w:val="single" w:sz="4" w:space="0" w:color="auto"/>
              <w:right w:val="nil"/>
            </w:tcBorders>
            <w:shd w:val="clear" w:color="000000" w:fill="FFFFFF"/>
            <w:vAlign w:val="bottom"/>
            <w:hideMark/>
          </w:tcPr>
          <w:p w14:paraId="491C3876" w14:textId="77777777" w:rsidR="00330CF0" w:rsidRPr="00330CF0" w:rsidRDefault="00330CF0" w:rsidP="00330CF0">
            <w:pPr>
              <w:spacing w:after="0" w:line="240" w:lineRule="auto"/>
              <w:jc w:val="right"/>
              <w:rPr>
                <w:rFonts w:ascii="Arial" w:hAnsi="Arial" w:cs="Arial"/>
                <w:b/>
                <w:bCs/>
                <w:i/>
                <w:iCs/>
                <w:color w:val="000000"/>
                <w:sz w:val="16"/>
                <w:szCs w:val="16"/>
              </w:rPr>
            </w:pPr>
            <w:r w:rsidRPr="00330CF0">
              <w:rPr>
                <w:rFonts w:ascii="Arial" w:hAnsi="Arial" w:cs="Arial"/>
                <w:b/>
                <w:bCs/>
                <w:i/>
                <w:iCs/>
                <w:color w:val="000000"/>
                <w:sz w:val="16"/>
                <w:szCs w:val="16"/>
              </w:rPr>
              <w:t xml:space="preserve">20 </w:t>
            </w:r>
          </w:p>
        </w:tc>
        <w:tc>
          <w:tcPr>
            <w:tcW w:w="769" w:type="pct"/>
            <w:tcBorders>
              <w:top w:val="nil"/>
              <w:left w:val="nil"/>
              <w:bottom w:val="single" w:sz="4" w:space="0" w:color="auto"/>
              <w:right w:val="nil"/>
            </w:tcBorders>
            <w:shd w:val="clear" w:color="000000" w:fill="E6E6E6"/>
            <w:vAlign w:val="bottom"/>
            <w:hideMark/>
          </w:tcPr>
          <w:p w14:paraId="5AAEDCA9" w14:textId="77777777" w:rsidR="00330CF0" w:rsidRPr="00330CF0" w:rsidRDefault="00330CF0" w:rsidP="00330CF0">
            <w:pPr>
              <w:spacing w:after="0" w:line="240" w:lineRule="auto"/>
              <w:jc w:val="right"/>
              <w:rPr>
                <w:rFonts w:ascii="Arial" w:hAnsi="Arial" w:cs="Arial"/>
                <w:b/>
                <w:bCs/>
                <w:color w:val="000000"/>
                <w:sz w:val="16"/>
                <w:szCs w:val="16"/>
              </w:rPr>
            </w:pPr>
            <w:r w:rsidRPr="00330CF0">
              <w:rPr>
                <w:rFonts w:ascii="Arial" w:hAnsi="Arial" w:cs="Arial"/>
                <w:b/>
                <w:bCs/>
                <w:color w:val="000000"/>
                <w:sz w:val="16"/>
                <w:szCs w:val="16"/>
              </w:rPr>
              <w:t xml:space="preserve">20 </w:t>
            </w:r>
          </w:p>
        </w:tc>
      </w:tr>
      <w:tr w:rsidR="00330CF0" w:rsidRPr="00330CF0" w14:paraId="2A7407D0" w14:textId="77777777" w:rsidTr="00330CF0">
        <w:trPr>
          <w:trHeight w:val="210"/>
        </w:trPr>
        <w:tc>
          <w:tcPr>
            <w:tcW w:w="3462" w:type="pct"/>
            <w:tcBorders>
              <w:top w:val="nil"/>
              <w:left w:val="nil"/>
              <w:bottom w:val="single" w:sz="4" w:space="0" w:color="auto"/>
              <w:right w:val="nil"/>
            </w:tcBorders>
            <w:shd w:val="clear" w:color="000000" w:fill="FFFFFF"/>
            <w:vAlign w:val="bottom"/>
            <w:hideMark/>
          </w:tcPr>
          <w:p w14:paraId="123945E5" w14:textId="77777777" w:rsidR="00330CF0" w:rsidRPr="00330CF0" w:rsidRDefault="00330CF0" w:rsidP="00330CF0">
            <w:pPr>
              <w:spacing w:after="0" w:line="240" w:lineRule="auto"/>
              <w:jc w:val="left"/>
              <w:rPr>
                <w:rFonts w:ascii="Arial" w:hAnsi="Arial" w:cs="Arial"/>
                <w:b/>
                <w:bCs/>
                <w:color w:val="000000"/>
                <w:sz w:val="16"/>
                <w:szCs w:val="16"/>
              </w:rPr>
            </w:pPr>
            <w:r w:rsidRPr="00330CF0">
              <w:rPr>
                <w:rFonts w:ascii="Arial" w:hAnsi="Arial" w:cs="Arial"/>
                <w:b/>
                <w:bCs/>
                <w:color w:val="000000"/>
                <w:sz w:val="16"/>
                <w:szCs w:val="16"/>
              </w:rPr>
              <w:t>Total resourcing for the ACCC</w:t>
            </w:r>
          </w:p>
        </w:tc>
        <w:tc>
          <w:tcPr>
            <w:tcW w:w="769" w:type="pct"/>
            <w:tcBorders>
              <w:top w:val="nil"/>
              <w:left w:val="nil"/>
              <w:bottom w:val="single" w:sz="4" w:space="0" w:color="auto"/>
              <w:right w:val="nil"/>
            </w:tcBorders>
            <w:shd w:val="clear" w:color="000000" w:fill="FFFFFF"/>
            <w:vAlign w:val="bottom"/>
            <w:hideMark/>
          </w:tcPr>
          <w:p w14:paraId="3A3B1C30" w14:textId="77777777" w:rsidR="00330CF0" w:rsidRPr="00330CF0" w:rsidRDefault="00330CF0" w:rsidP="00330CF0">
            <w:pPr>
              <w:spacing w:after="0" w:line="240" w:lineRule="auto"/>
              <w:jc w:val="right"/>
              <w:rPr>
                <w:rFonts w:ascii="Arial" w:hAnsi="Arial" w:cs="Arial"/>
                <w:b/>
                <w:bCs/>
                <w:i/>
                <w:iCs/>
                <w:color w:val="000000"/>
                <w:sz w:val="16"/>
                <w:szCs w:val="16"/>
              </w:rPr>
            </w:pPr>
            <w:r w:rsidRPr="00330CF0">
              <w:rPr>
                <w:rFonts w:ascii="Arial" w:hAnsi="Arial" w:cs="Arial"/>
                <w:b/>
                <w:bCs/>
                <w:i/>
                <w:iCs/>
                <w:color w:val="000000"/>
                <w:sz w:val="16"/>
                <w:szCs w:val="16"/>
              </w:rPr>
              <w:t xml:space="preserve">389,737 </w:t>
            </w:r>
          </w:p>
        </w:tc>
        <w:tc>
          <w:tcPr>
            <w:tcW w:w="769" w:type="pct"/>
            <w:tcBorders>
              <w:top w:val="nil"/>
              <w:left w:val="nil"/>
              <w:bottom w:val="single" w:sz="4" w:space="0" w:color="auto"/>
              <w:right w:val="nil"/>
            </w:tcBorders>
            <w:shd w:val="clear" w:color="000000" w:fill="E6E6E6"/>
            <w:vAlign w:val="bottom"/>
            <w:hideMark/>
          </w:tcPr>
          <w:p w14:paraId="08B5330C" w14:textId="77777777" w:rsidR="00330CF0" w:rsidRPr="00330CF0" w:rsidRDefault="00330CF0" w:rsidP="00330CF0">
            <w:pPr>
              <w:spacing w:after="0" w:line="240" w:lineRule="auto"/>
              <w:jc w:val="right"/>
              <w:rPr>
                <w:rFonts w:ascii="Arial" w:hAnsi="Arial" w:cs="Arial"/>
                <w:b/>
                <w:bCs/>
                <w:color w:val="000000"/>
                <w:sz w:val="16"/>
                <w:szCs w:val="16"/>
              </w:rPr>
            </w:pPr>
            <w:r w:rsidRPr="00330CF0">
              <w:rPr>
                <w:rFonts w:ascii="Arial" w:hAnsi="Arial" w:cs="Arial"/>
                <w:b/>
                <w:bCs/>
                <w:color w:val="000000"/>
                <w:sz w:val="16"/>
                <w:szCs w:val="16"/>
              </w:rPr>
              <w:t xml:space="preserve">402,946 </w:t>
            </w:r>
          </w:p>
        </w:tc>
      </w:tr>
      <w:tr w:rsidR="00330CF0" w:rsidRPr="00330CF0" w14:paraId="23B8ED35" w14:textId="77777777" w:rsidTr="00330CF0">
        <w:trPr>
          <w:trHeight w:val="73"/>
        </w:trPr>
        <w:tc>
          <w:tcPr>
            <w:tcW w:w="3462" w:type="pct"/>
            <w:tcBorders>
              <w:top w:val="nil"/>
              <w:left w:val="nil"/>
              <w:bottom w:val="nil"/>
              <w:right w:val="nil"/>
            </w:tcBorders>
            <w:shd w:val="clear" w:color="000000" w:fill="FFFFFF"/>
            <w:vAlign w:val="bottom"/>
            <w:hideMark/>
          </w:tcPr>
          <w:p w14:paraId="405C6FBC" w14:textId="77777777" w:rsidR="00330CF0" w:rsidRPr="00330CF0" w:rsidRDefault="00330CF0" w:rsidP="00330CF0">
            <w:pPr>
              <w:spacing w:after="0" w:line="240" w:lineRule="auto"/>
              <w:jc w:val="left"/>
              <w:rPr>
                <w:rFonts w:ascii="Arial" w:hAnsi="Arial" w:cs="Arial"/>
                <w:color w:val="000000"/>
                <w:sz w:val="16"/>
                <w:szCs w:val="16"/>
              </w:rPr>
            </w:pPr>
            <w:r w:rsidRPr="00330CF0">
              <w:rPr>
                <w:rFonts w:ascii="Arial" w:hAnsi="Arial" w:cs="Arial"/>
                <w:color w:val="000000"/>
                <w:sz w:val="16"/>
                <w:szCs w:val="16"/>
              </w:rPr>
              <w:t> </w:t>
            </w:r>
          </w:p>
        </w:tc>
        <w:tc>
          <w:tcPr>
            <w:tcW w:w="769" w:type="pct"/>
            <w:tcBorders>
              <w:top w:val="nil"/>
              <w:left w:val="nil"/>
              <w:bottom w:val="nil"/>
              <w:right w:val="nil"/>
            </w:tcBorders>
            <w:shd w:val="clear" w:color="000000" w:fill="FFFFFF"/>
            <w:vAlign w:val="bottom"/>
            <w:hideMark/>
          </w:tcPr>
          <w:p w14:paraId="3537497A" w14:textId="77777777" w:rsidR="00330CF0" w:rsidRPr="00330CF0" w:rsidRDefault="00330CF0" w:rsidP="00330CF0">
            <w:pPr>
              <w:spacing w:after="0" w:line="240" w:lineRule="auto"/>
              <w:jc w:val="left"/>
              <w:rPr>
                <w:rFonts w:ascii="Arial" w:hAnsi="Arial" w:cs="Arial"/>
                <w:i/>
                <w:iCs/>
                <w:color w:val="000000"/>
                <w:sz w:val="16"/>
                <w:szCs w:val="16"/>
              </w:rPr>
            </w:pPr>
            <w:r w:rsidRPr="00330CF0">
              <w:rPr>
                <w:rFonts w:ascii="Arial" w:hAnsi="Arial" w:cs="Arial"/>
                <w:i/>
                <w:iCs/>
                <w:color w:val="000000"/>
                <w:sz w:val="16"/>
                <w:szCs w:val="16"/>
              </w:rPr>
              <w:t> </w:t>
            </w:r>
          </w:p>
        </w:tc>
        <w:tc>
          <w:tcPr>
            <w:tcW w:w="769" w:type="pct"/>
            <w:tcBorders>
              <w:top w:val="nil"/>
              <w:left w:val="nil"/>
              <w:bottom w:val="nil"/>
              <w:right w:val="nil"/>
            </w:tcBorders>
            <w:shd w:val="clear" w:color="000000" w:fill="FFFFFF"/>
            <w:vAlign w:val="bottom"/>
            <w:hideMark/>
          </w:tcPr>
          <w:p w14:paraId="250AA06B" w14:textId="77777777" w:rsidR="00330CF0" w:rsidRPr="00330CF0" w:rsidRDefault="00330CF0" w:rsidP="00330CF0">
            <w:pPr>
              <w:spacing w:after="0" w:line="240" w:lineRule="auto"/>
              <w:jc w:val="left"/>
              <w:rPr>
                <w:rFonts w:ascii="Arial" w:hAnsi="Arial" w:cs="Arial"/>
                <w:color w:val="000000"/>
                <w:sz w:val="16"/>
                <w:szCs w:val="16"/>
              </w:rPr>
            </w:pPr>
            <w:r w:rsidRPr="00330CF0">
              <w:rPr>
                <w:rFonts w:ascii="Arial" w:hAnsi="Arial" w:cs="Arial"/>
                <w:color w:val="000000"/>
                <w:sz w:val="16"/>
                <w:szCs w:val="16"/>
              </w:rPr>
              <w:t> </w:t>
            </w:r>
          </w:p>
        </w:tc>
      </w:tr>
      <w:tr w:rsidR="00330CF0" w:rsidRPr="00330CF0" w14:paraId="0DE54C76" w14:textId="77777777" w:rsidTr="00330CF0">
        <w:trPr>
          <w:trHeight w:val="200"/>
        </w:trPr>
        <w:tc>
          <w:tcPr>
            <w:tcW w:w="3462" w:type="pct"/>
            <w:tcBorders>
              <w:top w:val="single" w:sz="4" w:space="0" w:color="auto"/>
              <w:left w:val="nil"/>
              <w:bottom w:val="nil"/>
              <w:right w:val="nil"/>
            </w:tcBorders>
            <w:shd w:val="clear" w:color="000000" w:fill="FFFFFF"/>
            <w:vAlign w:val="bottom"/>
            <w:hideMark/>
          </w:tcPr>
          <w:p w14:paraId="0870D6E9" w14:textId="77777777" w:rsidR="00330CF0" w:rsidRPr="00330CF0" w:rsidRDefault="00330CF0" w:rsidP="00330CF0">
            <w:pPr>
              <w:spacing w:after="0" w:line="240" w:lineRule="auto"/>
              <w:jc w:val="left"/>
              <w:rPr>
                <w:rFonts w:ascii="Arial" w:hAnsi="Arial" w:cs="Arial"/>
                <w:color w:val="000000"/>
                <w:sz w:val="16"/>
                <w:szCs w:val="16"/>
              </w:rPr>
            </w:pPr>
            <w:r w:rsidRPr="00330CF0">
              <w:rPr>
                <w:rFonts w:ascii="Arial" w:hAnsi="Arial" w:cs="Arial"/>
                <w:color w:val="000000"/>
                <w:sz w:val="16"/>
                <w:szCs w:val="16"/>
              </w:rPr>
              <w:t> </w:t>
            </w:r>
          </w:p>
        </w:tc>
        <w:tc>
          <w:tcPr>
            <w:tcW w:w="769" w:type="pct"/>
            <w:tcBorders>
              <w:top w:val="single" w:sz="4" w:space="0" w:color="auto"/>
              <w:left w:val="nil"/>
              <w:bottom w:val="single" w:sz="4" w:space="0" w:color="auto"/>
              <w:right w:val="nil"/>
            </w:tcBorders>
            <w:shd w:val="clear" w:color="000000" w:fill="FFFFFF"/>
            <w:vAlign w:val="bottom"/>
            <w:hideMark/>
          </w:tcPr>
          <w:p w14:paraId="6BF15526" w14:textId="77777777" w:rsidR="00330CF0" w:rsidRPr="00330CF0" w:rsidRDefault="00330CF0" w:rsidP="00330CF0">
            <w:pPr>
              <w:spacing w:after="0" w:line="240" w:lineRule="auto"/>
              <w:jc w:val="right"/>
              <w:rPr>
                <w:rFonts w:ascii="Arial" w:hAnsi="Arial" w:cs="Arial"/>
                <w:i/>
                <w:iCs/>
                <w:color w:val="000000"/>
                <w:sz w:val="16"/>
                <w:szCs w:val="16"/>
              </w:rPr>
            </w:pPr>
            <w:r w:rsidRPr="00330CF0">
              <w:rPr>
                <w:rFonts w:ascii="Arial" w:hAnsi="Arial" w:cs="Arial"/>
                <w:i/>
                <w:iCs/>
                <w:color w:val="000000"/>
                <w:sz w:val="16"/>
                <w:szCs w:val="16"/>
              </w:rPr>
              <w:t>2020-21</w:t>
            </w:r>
          </w:p>
        </w:tc>
        <w:tc>
          <w:tcPr>
            <w:tcW w:w="769" w:type="pct"/>
            <w:tcBorders>
              <w:top w:val="single" w:sz="4" w:space="0" w:color="auto"/>
              <w:left w:val="nil"/>
              <w:bottom w:val="single" w:sz="4" w:space="0" w:color="auto"/>
              <w:right w:val="nil"/>
            </w:tcBorders>
            <w:shd w:val="clear" w:color="000000" w:fill="E6E6E6"/>
            <w:vAlign w:val="bottom"/>
            <w:hideMark/>
          </w:tcPr>
          <w:p w14:paraId="245C8EF6" w14:textId="77777777" w:rsidR="00330CF0" w:rsidRPr="00330CF0" w:rsidRDefault="00330CF0" w:rsidP="00330CF0">
            <w:pPr>
              <w:spacing w:after="0" w:line="240" w:lineRule="auto"/>
              <w:jc w:val="right"/>
              <w:rPr>
                <w:rFonts w:ascii="Arial" w:hAnsi="Arial" w:cs="Arial"/>
                <w:color w:val="000000"/>
                <w:sz w:val="16"/>
                <w:szCs w:val="16"/>
              </w:rPr>
            </w:pPr>
            <w:r w:rsidRPr="00330CF0">
              <w:rPr>
                <w:rFonts w:ascii="Arial" w:hAnsi="Arial" w:cs="Arial"/>
                <w:color w:val="000000"/>
                <w:sz w:val="16"/>
                <w:szCs w:val="16"/>
              </w:rPr>
              <w:t>2021-22</w:t>
            </w:r>
          </w:p>
        </w:tc>
      </w:tr>
      <w:tr w:rsidR="00330CF0" w:rsidRPr="00330CF0" w14:paraId="31704047" w14:textId="77777777" w:rsidTr="00330CF0">
        <w:trPr>
          <w:trHeight w:val="210"/>
        </w:trPr>
        <w:tc>
          <w:tcPr>
            <w:tcW w:w="3462" w:type="pct"/>
            <w:tcBorders>
              <w:top w:val="nil"/>
              <w:left w:val="nil"/>
              <w:bottom w:val="single" w:sz="4" w:space="0" w:color="auto"/>
              <w:right w:val="nil"/>
            </w:tcBorders>
            <w:shd w:val="clear" w:color="000000" w:fill="FFFFFF"/>
            <w:vAlign w:val="bottom"/>
            <w:hideMark/>
          </w:tcPr>
          <w:p w14:paraId="30B2FD38" w14:textId="77777777" w:rsidR="00330CF0" w:rsidRPr="00330CF0" w:rsidRDefault="00330CF0" w:rsidP="00330CF0">
            <w:pPr>
              <w:spacing w:after="0" w:line="240" w:lineRule="auto"/>
              <w:jc w:val="left"/>
              <w:rPr>
                <w:rFonts w:ascii="Arial" w:hAnsi="Arial" w:cs="Arial"/>
                <w:b/>
                <w:bCs/>
                <w:color w:val="000000"/>
                <w:sz w:val="16"/>
                <w:szCs w:val="16"/>
              </w:rPr>
            </w:pPr>
            <w:r w:rsidRPr="00330CF0">
              <w:rPr>
                <w:rFonts w:ascii="Arial" w:hAnsi="Arial" w:cs="Arial"/>
                <w:b/>
                <w:bCs/>
                <w:color w:val="000000"/>
                <w:sz w:val="16"/>
                <w:szCs w:val="16"/>
              </w:rPr>
              <w:t>Average staffing level (number)</w:t>
            </w:r>
          </w:p>
        </w:tc>
        <w:tc>
          <w:tcPr>
            <w:tcW w:w="769" w:type="pct"/>
            <w:tcBorders>
              <w:top w:val="nil"/>
              <w:left w:val="nil"/>
              <w:bottom w:val="single" w:sz="4" w:space="0" w:color="auto"/>
              <w:right w:val="nil"/>
            </w:tcBorders>
            <w:shd w:val="clear" w:color="000000" w:fill="FFFFFF"/>
            <w:vAlign w:val="bottom"/>
            <w:hideMark/>
          </w:tcPr>
          <w:p w14:paraId="5DA92994" w14:textId="77777777" w:rsidR="00330CF0" w:rsidRPr="00330CF0" w:rsidRDefault="00330CF0" w:rsidP="00330CF0">
            <w:pPr>
              <w:spacing w:after="0" w:line="240" w:lineRule="auto"/>
              <w:jc w:val="right"/>
              <w:rPr>
                <w:rFonts w:ascii="Arial" w:hAnsi="Arial" w:cs="Arial"/>
                <w:i/>
                <w:iCs/>
                <w:color w:val="000000"/>
                <w:sz w:val="16"/>
                <w:szCs w:val="16"/>
              </w:rPr>
            </w:pPr>
            <w:r w:rsidRPr="00330CF0">
              <w:rPr>
                <w:rFonts w:ascii="Arial" w:hAnsi="Arial" w:cs="Arial"/>
                <w:i/>
                <w:iCs/>
                <w:color w:val="000000"/>
                <w:sz w:val="16"/>
                <w:szCs w:val="16"/>
              </w:rPr>
              <w:t xml:space="preserve">1,170 </w:t>
            </w:r>
          </w:p>
        </w:tc>
        <w:tc>
          <w:tcPr>
            <w:tcW w:w="769" w:type="pct"/>
            <w:tcBorders>
              <w:top w:val="nil"/>
              <w:left w:val="nil"/>
              <w:bottom w:val="single" w:sz="4" w:space="0" w:color="auto"/>
              <w:right w:val="nil"/>
            </w:tcBorders>
            <w:shd w:val="clear" w:color="000000" w:fill="E6E6E6"/>
            <w:vAlign w:val="bottom"/>
            <w:hideMark/>
          </w:tcPr>
          <w:p w14:paraId="3DAD039C" w14:textId="77777777" w:rsidR="00330CF0" w:rsidRPr="00330CF0" w:rsidRDefault="00330CF0" w:rsidP="00330CF0">
            <w:pPr>
              <w:spacing w:after="0" w:line="240" w:lineRule="auto"/>
              <w:jc w:val="right"/>
              <w:rPr>
                <w:rFonts w:ascii="Arial" w:hAnsi="Arial" w:cs="Arial"/>
                <w:color w:val="000000"/>
                <w:sz w:val="16"/>
                <w:szCs w:val="16"/>
              </w:rPr>
            </w:pPr>
            <w:r w:rsidRPr="00330CF0">
              <w:rPr>
                <w:rFonts w:ascii="Arial" w:hAnsi="Arial" w:cs="Arial"/>
                <w:color w:val="000000"/>
                <w:sz w:val="16"/>
                <w:szCs w:val="16"/>
              </w:rPr>
              <w:t xml:space="preserve">1,235 </w:t>
            </w:r>
          </w:p>
        </w:tc>
      </w:tr>
    </w:tbl>
    <w:p w14:paraId="38AC387F" w14:textId="6B982B36" w:rsidR="00CE4D05" w:rsidRDefault="00CE4D05" w:rsidP="00353D74"/>
    <w:p w14:paraId="26CDFA57" w14:textId="77777777" w:rsidR="00CF40E8" w:rsidRDefault="0066176D" w:rsidP="006001BD">
      <w:pPr>
        <w:pStyle w:val="TableHeading"/>
      </w:pPr>
      <w:r>
        <w:br w:type="page"/>
      </w:r>
    </w:p>
    <w:p w14:paraId="40A16C3C" w14:textId="47A3A25A" w:rsidR="00CF40E8" w:rsidRPr="00DE370B" w:rsidRDefault="00CF40E8" w:rsidP="00353D74">
      <w:pPr>
        <w:pStyle w:val="TableHeadingcontinued"/>
      </w:pPr>
      <w:r w:rsidRPr="00DE370B">
        <w:lastRenderedPageBreak/>
        <w:t>Table 1.1: Australian Competition and Consumer Commission resource statement — Budget estimates for 2021-22 as at Budget May 2021</w:t>
      </w:r>
      <w:r>
        <w:t xml:space="preserve"> (continued)</w:t>
      </w:r>
    </w:p>
    <w:p w14:paraId="55DA8C5C" w14:textId="43C3BFD8" w:rsidR="00CF40E8" w:rsidRDefault="00CF40E8" w:rsidP="00353D74">
      <w:pPr>
        <w:pStyle w:val="TableHeadingcontinued"/>
      </w:pPr>
    </w:p>
    <w:p w14:paraId="667A54E4" w14:textId="37BC0976" w:rsidR="00330CF0" w:rsidRDefault="00915A24" w:rsidP="006001BD">
      <w:pPr>
        <w:pStyle w:val="TableHeading"/>
        <w:rPr>
          <w:rFonts w:ascii="Times New Roman" w:hAnsi="Times New Roman"/>
          <w:b w:val="0"/>
          <w:color w:val="auto"/>
          <w:lang w:val="en-AU" w:eastAsia="en-AU"/>
        </w:rPr>
      </w:pPr>
      <w:r>
        <w:rPr>
          <w:lang w:val="en-AU"/>
        </w:rPr>
        <w:t>T</w:t>
      </w:r>
      <w:r w:rsidR="00C7638D" w:rsidRPr="005C4BEE">
        <w:t xml:space="preserve">hird party payments from and on behalf of </w:t>
      </w:r>
      <w:r w:rsidR="004414D0">
        <w:rPr>
          <w:lang w:val="en-AU"/>
        </w:rPr>
        <w:t>the National Competition Council (NCC)</w:t>
      </w:r>
    </w:p>
    <w:tbl>
      <w:tblPr>
        <w:tblW w:w="5000" w:type="pct"/>
        <w:tblCellMar>
          <w:left w:w="0" w:type="dxa"/>
          <w:right w:w="28" w:type="dxa"/>
        </w:tblCellMar>
        <w:tblLook w:val="04A0" w:firstRow="1" w:lastRow="0" w:firstColumn="1" w:lastColumn="0" w:noHBand="0" w:noVBand="1"/>
      </w:tblPr>
      <w:tblGrid>
        <w:gridCol w:w="5338"/>
        <w:gridCol w:w="1186"/>
        <w:gridCol w:w="1186"/>
      </w:tblGrid>
      <w:tr w:rsidR="00330CF0" w:rsidRPr="00330CF0" w14:paraId="4595AC6F" w14:textId="77777777" w:rsidTr="00330CF0">
        <w:trPr>
          <w:trHeight w:val="900"/>
        </w:trPr>
        <w:tc>
          <w:tcPr>
            <w:tcW w:w="3462" w:type="pct"/>
            <w:tcBorders>
              <w:top w:val="single" w:sz="4" w:space="0" w:color="auto"/>
              <w:left w:val="nil"/>
              <w:bottom w:val="nil"/>
              <w:right w:val="nil"/>
            </w:tcBorders>
            <w:shd w:val="clear" w:color="000000" w:fill="FFFFFF"/>
            <w:vAlign w:val="bottom"/>
            <w:hideMark/>
          </w:tcPr>
          <w:p w14:paraId="5CB48648" w14:textId="0D4335F9" w:rsidR="00330CF0" w:rsidRPr="00330CF0" w:rsidRDefault="00330CF0">
            <w:pPr>
              <w:rPr>
                <w:rFonts w:ascii="Arial" w:hAnsi="Arial" w:cs="Arial"/>
                <w:color w:val="000000"/>
                <w:sz w:val="16"/>
                <w:szCs w:val="16"/>
              </w:rPr>
            </w:pPr>
            <w:r w:rsidRPr="00330CF0">
              <w:rPr>
                <w:rFonts w:ascii="Arial" w:hAnsi="Arial" w:cs="Arial"/>
                <w:color w:val="000000"/>
                <w:sz w:val="16"/>
                <w:szCs w:val="16"/>
              </w:rPr>
              <w:t> </w:t>
            </w:r>
          </w:p>
        </w:tc>
        <w:tc>
          <w:tcPr>
            <w:tcW w:w="769" w:type="pct"/>
            <w:tcBorders>
              <w:top w:val="single" w:sz="4" w:space="0" w:color="auto"/>
              <w:left w:val="nil"/>
              <w:bottom w:val="single" w:sz="4" w:space="0" w:color="auto"/>
              <w:right w:val="nil"/>
            </w:tcBorders>
            <w:shd w:val="clear" w:color="000000" w:fill="FFFFFF"/>
            <w:hideMark/>
          </w:tcPr>
          <w:p w14:paraId="14905273" w14:textId="77777777" w:rsidR="00330CF0" w:rsidRPr="00330CF0" w:rsidRDefault="00330CF0" w:rsidP="00330CF0">
            <w:pPr>
              <w:spacing w:after="0" w:line="240" w:lineRule="auto"/>
              <w:jc w:val="right"/>
              <w:rPr>
                <w:rFonts w:ascii="Arial" w:hAnsi="Arial" w:cs="Arial"/>
                <w:i/>
                <w:iCs/>
                <w:color w:val="000000"/>
                <w:sz w:val="16"/>
                <w:szCs w:val="16"/>
              </w:rPr>
            </w:pPr>
            <w:r w:rsidRPr="00330CF0">
              <w:rPr>
                <w:rFonts w:ascii="Arial" w:hAnsi="Arial" w:cs="Arial"/>
                <w:i/>
                <w:iCs/>
                <w:color w:val="000000"/>
                <w:sz w:val="16"/>
                <w:szCs w:val="16"/>
              </w:rPr>
              <w:t>2020-21 Estimated actual</w:t>
            </w:r>
            <w:r w:rsidRPr="00330CF0">
              <w:rPr>
                <w:rFonts w:ascii="Arial" w:hAnsi="Arial" w:cs="Arial"/>
                <w:i/>
                <w:iCs/>
                <w:color w:val="000000"/>
                <w:sz w:val="16"/>
                <w:szCs w:val="16"/>
              </w:rPr>
              <w:br/>
              <w:t>$'000</w:t>
            </w:r>
          </w:p>
        </w:tc>
        <w:tc>
          <w:tcPr>
            <w:tcW w:w="769" w:type="pct"/>
            <w:tcBorders>
              <w:top w:val="single" w:sz="4" w:space="0" w:color="auto"/>
              <w:left w:val="nil"/>
              <w:bottom w:val="single" w:sz="4" w:space="0" w:color="auto"/>
              <w:right w:val="nil"/>
            </w:tcBorders>
            <w:shd w:val="clear" w:color="000000" w:fill="E6E6E6"/>
            <w:hideMark/>
          </w:tcPr>
          <w:p w14:paraId="7FB7B487" w14:textId="77777777" w:rsidR="00330CF0" w:rsidRPr="00330CF0" w:rsidRDefault="00330CF0" w:rsidP="00330CF0">
            <w:pPr>
              <w:spacing w:after="0" w:line="240" w:lineRule="auto"/>
              <w:jc w:val="right"/>
              <w:rPr>
                <w:rFonts w:ascii="Arial" w:hAnsi="Arial" w:cs="Arial"/>
                <w:color w:val="000000"/>
                <w:sz w:val="16"/>
                <w:szCs w:val="16"/>
              </w:rPr>
            </w:pPr>
            <w:r w:rsidRPr="00330CF0">
              <w:rPr>
                <w:rFonts w:ascii="Arial" w:hAnsi="Arial" w:cs="Arial"/>
                <w:color w:val="000000"/>
                <w:sz w:val="16"/>
                <w:szCs w:val="16"/>
              </w:rPr>
              <w:t>2021-22 Estimate</w:t>
            </w:r>
            <w:r w:rsidRPr="00330CF0">
              <w:rPr>
                <w:rFonts w:ascii="Arial" w:hAnsi="Arial" w:cs="Arial"/>
                <w:color w:val="000000"/>
                <w:sz w:val="16"/>
                <w:szCs w:val="16"/>
              </w:rPr>
              <w:br/>
            </w:r>
            <w:r w:rsidRPr="00330CF0">
              <w:rPr>
                <w:rFonts w:ascii="Arial" w:hAnsi="Arial" w:cs="Arial"/>
                <w:color w:val="000000"/>
                <w:sz w:val="16"/>
                <w:szCs w:val="16"/>
              </w:rPr>
              <w:br/>
              <w:t>$'000</w:t>
            </w:r>
          </w:p>
        </w:tc>
      </w:tr>
      <w:tr w:rsidR="00330CF0" w:rsidRPr="00330CF0" w14:paraId="23CE0B48" w14:textId="77777777" w:rsidTr="00330CF0">
        <w:trPr>
          <w:trHeight w:val="400"/>
        </w:trPr>
        <w:tc>
          <w:tcPr>
            <w:tcW w:w="3462" w:type="pct"/>
            <w:tcBorders>
              <w:top w:val="nil"/>
              <w:left w:val="nil"/>
              <w:bottom w:val="nil"/>
              <w:right w:val="nil"/>
            </w:tcBorders>
            <w:shd w:val="clear" w:color="000000" w:fill="FFFFFF"/>
            <w:vAlign w:val="bottom"/>
            <w:hideMark/>
          </w:tcPr>
          <w:p w14:paraId="1A04EEE0" w14:textId="77777777" w:rsidR="00330CF0" w:rsidRPr="00330CF0" w:rsidRDefault="00330CF0" w:rsidP="00330CF0">
            <w:pPr>
              <w:spacing w:after="0" w:line="240" w:lineRule="auto"/>
              <w:jc w:val="left"/>
              <w:rPr>
                <w:rFonts w:ascii="Arial" w:hAnsi="Arial" w:cs="Arial"/>
                <w:color w:val="000000"/>
                <w:sz w:val="16"/>
                <w:szCs w:val="16"/>
              </w:rPr>
            </w:pPr>
            <w:r w:rsidRPr="00330CF0">
              <w:rPr>
                <w:rFonts w:ascii="Arial" w:hAnsi="Arial" w:cs="Arial"/>
                <w:color w:val="000000"/>
                <w:sz w:val="16"/>
                <w:szCs w:val="16"/>
              </w:rPr>
              <w:t>Payments made on behalf of the NCC</w:t>
            </w:r>
            <w:r w:rsidRPr="00330CF0">
              <w:rPr>
                <w:rFonts w:ascii="Arial" w:hAnsi="Arial" w:cs="Arial"/>
                <w:color w:val="000000"/>
                <w:sz w:val="16"/>
                <w:szCs w:val="16"/>
              </w:rPr>
              <w:br/>
              <w:t xml:space="preserve">  (as disclosed in the NCCs resource statement)</w:t>
            </w:r>
          </w:p>
        </w:tc>
        <w:tc>
          <w:tcPr>
            <w:tcW w:w="769" w:type="pct"/>
            <w:tcBorders>
              <w:top w:val="nil"/>
              <w:left w:val="nil"/>
              <w:bottom w:val="nil"/>
              <w:right w:val="nil"/>
            </w:tcBorders>
            <w:shd w:val="clear" w:color="000000" w:fill="FFFFFF"/>
            <w:vAlign w:val="bottom"/>
            <w:hideMark/>
          </w:tcPr>
          <w:p w14:paraId="4A4CC4F7" w14:textId="77777777" w:rsidR="00330CF0" w:rsidRPr="00330CF0" w:rsidRDefault="00330CF0" w:rsidP="00330CF0">
            <w:pPr>
              <w:spacing w:after="0" w:line="240" w:lineRule="auto"/>
              <w:jc w:val="right"/>
              <w:rPr>
                <w:rFonts w:ascii="Arial" w:hAnsi="Arial" w:cs="Arial"/>
                <w:i/>
                <w:iCs/>
                <w:color w:val="000000"/>
                <w:sz w:val="16"/>
                <w:szCs w:val="16"/>
              </w:rPr>
            </w:pPr>
            <w:r w:rsidRPr="00330CF0">
              <w:rPr>
                <w:rFonts w:ascii="Arial" w:hAnsi="Arial" w:cs="Arial"/>
                <w:i/>
                <w:iCs/>
                <w:color w:val="000000"/>
                <w:sz w:val="16"/>
                <w:szCs w:val="16"/>
              </w:rPr>
              <w:t xml:space="preserve">1,701 </w:t>
            </w:r>
          </w:p>
        </w:tc>
        <w:tc>
          <w:tcPr>
            <w:tcW w:w="769" w:type="pct"/>
            <w:tcBorders>
              <w:top w:val="nil"/>
              <w:left w:val="nil"/>
              <w:bottom w:val="nil"/>
              <w:right w:val="nil"/>
            </w:tcBorders>
            <w:shd w:val="clear" w:color="000000" w:fill="E6E6E6"/>
            <w:vAlign w:val="bottom"/>
            <w:hideMark/>
          </w:tcPr>
          <w:p w14:paraId="7E2D1D68" w14:textId="77777777" w:rsidR="00330CF0" w:rsidRPr="00330CF0" w:rsidRDefault="00330CF0" w:rsidP="00330CF0">
            <w:pPr>
              <w:spacing w:after="0" w:line="240" w:lineRule="auto"/>
              <w:jc w:val="right"/>
              <w:rPr>
                <w:rFonts w:ascii="Arial" w:hAnsi="Arial" w:cs="Arial"/>
                <w:color w:val="000000"/>
                <w:sz w:val="16"/>
                <w:szCs w:val="16"/>
              </w:rPr>
            </w:pPr>
            <w:r w:rsidRPr="00330CF0">
              <w:rPr>
                <w:rFonts w:ascii="Arial" w:hAnsi="Arial" w:cs="Arial"/>
                <w:color w:val="000000"/>
                <w:sz w:val="16"/>
                <w:szCs w:val="16"/>
              </w:rPr>
              <w:t xml:space="preserve">1,731 </w:t>
            </w:r>
          </w:p>
        </w:tc>
      </w:tr>
      <w:tr w:rsidR="00330CF0" w:rsidRPr="00330CF0" w14:paraId="7855BC62" w14:textId="77777777" w:rsidTr="00330CF0">
        <w:trPr>
          <w:trHeight w:val="400"/>
        </w:trPr>
        <w:tc>
          <w:tcPr>
            <w:tcW w:w="3462" w:type="pct"/>
            <w:tcBorders>
              <w:top w:val="nil"/>
              <w:left w:val="nil"/>
              <w:bottom w:val="single" w:sz="4" w:space="0" w:color="auto"/>
              <w:right w:val="nil"/>
            </w:tcBorders>
            <w:shd w:val="clear" w:color="000000" w:fill="FFFFFF"/>
            <w:vAlign w:val="bottom"/>
            <w:hideMark/>
          </w:tcPr>
          <w:p w14:paraId="32937D3C" w14:textId="77777777" w:rsidR="00330CF0" w:rsidRPr="00330CF0" w:rsidRDefault="00330CF0" w:rsidP="00330CF0">
            <w:pPr>
              <w:spacing w:after="0" w:line="240" w:lineRule="auto"/>
              <w:jc w:val="left"/>
              <w:rPr>
                <w:rFonts w:ascii="Arial" w:hAnsi="Arial" w:cs="Arial"/>
                <w:color w:val="000000"/>
                <w:sz w:val="16"/>
                <w:szCs w:val="16"/>
              </w:rPr>
            </w:pPr>
            <w:r w:rsidRPr="00330CF0">
              <w:rPr>
                <w:rFonts w:ascii="Arial" w:hAnsi="Arial" w:cs="Arial"/>
                <w:color w:val="000000"/>
                <w:sz w:val="16"/>
                <w:szCs w:val="16"/>
              </w:rPr>
              <w:t xml:space="preserve">Receipts received from the NCC for the provision of services </w:t>
            </w:r>
            <w:r w:rsidRPr="00330CF0">
              <w:rPr>
                <w:rFonts w:ascii="Arial" w:hAnsi="Arial" w:cs="Arial"/>
                <w:color w:val="000000"/>
                <w:sz w:val="16"/>
                <w:szCs w:val="16"/>
              </w:rPr>
              <w:br/>
              <w:t xml:space="preserve">  (disclosed above in s74 External Revenue section above)</w:t>
            </w:r>
          </w:p>
        </w:tc>
        <w:tc>
          <w:tcPr>
            <w:tcW w:w="769" w:type="pct"/>
            <w:tcBorders>
              <w:top w:val="nil"/>
              <w:left w:val="nil"/>
              <w:bottom w:val="single" w:sz="4" w:space="0" w:color="auto"/>
              <w:right w:val="nil"/>
            </w:tcBorders>
            <w:shd w:val="clear" w:color="000000" w:fill="FFFFFF"/>
            <w:vAlign w:val="bottom"/>
            <w:hideMark/>
          </w:tcPr>
          <w:p w14:paraId="5F38237D" w14:textId="77777777" w:rsidR="00330CF0" w:rsidRPr="00330CF0" w:rsidRDefault="00330CF0" w:rsidP="00330CF0">
            <w:pPr>
              <w:spacing w:after="0" w:line="240" w:lineRule="auto"/>
              <w:jc w:val="right"/>
              <w:rPr>
                <w:rFonts w:ascii="Arial" w:hAnsi="Arial" w:cs="Arial"/>
                <w:i/>
                <w:iCs/>
                <w:color w:val="000000"/>
                <w:sz w:val="16"/>
                <w:szCs w:val="16"/>
              </w:rPr>
            </w:pPr>
            <w:r w:rsidRPr="00330CF0">
              <w:rPr>
                <w:rFonts w:ascii="Arial" w:hAnsi="Arial" w:cs="Arial"/>
                <w:i/>
                <w:iCs/>
                <w:color w:val="000000"/>
                <w:sz w:val="16"/>
                <w:szCs w:val="16"/>
              </w:rPr>
              <w:t xml:space="preserve">850 </w:t>
            </w:r>
          </w:p>
        </w:tc>
        <w:tc>
          <w:tcPr>
            <w:tcW w:w="769" w:type="pct"/>
            <w:tcBorders>
              <w:top w:val="nil"/>
              <w:left w:val="nil"/>
              <w:bottom w:val="single" w:sz="4" w:space="0" w:color="auto"/>
              <w:right w:val="nil"/>
            </w:tcBorders>
            <w:shd w:val="clear" w:color="000000" w:fill="E6E6E6"/>
            <w:vAlign w:val="bottom"/>
            <w:hideMark/>
          </w:tcPr>
          <w:p w14:paraId="07B65133" w14:textId="77777777" w:rsidR="00330CF0" w:rsidRPr="00330CF0" w:rsidRDefault="00330CF0" w:rsidP="00330CF0">
            <w:pPr>
              <w:spacing w:after="0" w:line="240" w:lineRule="auto"/>
              <w:jc w:val="right"/>
              <w:rPr>
                <w:rFonts w:ascii="Arial" w:hAnsi="Arial" w:cs="Arial"/>
                <w:color w:val="000000"/>
                <w:sz w:val="16"/>
                <w:szCs w:val="16"/>
              </w:rPr>
            </w:pPr>
            <w:r w:rsidRPr="00330CF0">
              <w:rPr>
                <w:rFonts w:ascii="Arial" w:hAnsi="Arial" w:cs="Arial"/>
                <w:color w:val="000000"/>
                <w:sz w:val="16"/>
                <w:szCs w:val="16"/>
              </w:rPr>
              <w:t xml:space="preserve">850 </w:t>
            </w:r>
          </w:p>
        </w:tc>
      </w:tr>
    </w:tbl>
    <w:p w14:paraId="501A5697" w14:textId="27104F39" w:rsidR="006001BD" w:rsidRDefault="006001BD" w:rsidP="006001BD">
      <w:pPr>
        <w:pStyle w:val="TableHeading"/>
        <w:rPr>
          <w:rFonts w:ascii="Times New Roman" w:hAnsi="Times New Roman"/>
        </w:rPr>
      </w:pPr>
    </w:p>
    <w:p w14:paraId="7353F2F2" w14:textId="7FEE2FC5" w:rsidR="00CB2844" w:rsidRPr="006001BD" w:rsidRDefault="00CB2844" w:rsidP="006001BD">
      <w:pPr>
        <w:pStyle w:val="TableGraphic"/>
        <w:rPr>
          <w:rFonts w:ascii="Arial" w:hAnsi="Arial" w:cs="Arial"/>
          <w:sz w:val="16"/>
          <w:szCs w:val="16"/>
        </w:rPr>
      </w:pPr>
      <w:r w:rsidRPr="006001BD">
        <w:rPr>
          <w:rFonts w:ascii="Arial" w:hAnsi="Arial" w:cs="Arial"/>
          <w:sz w:val="16"/>
          <w:szCs w:val="16"/>
        </w:rPr>
        <w:t>Prepared on a resourcing (that is, appropriations available) basis.</w:t>
      </w:r>
    </w:p>
    <w:p w14:paraId="0C9454F9" w14:textId="04C0D4AD" w:rsidR="00BB7E00" w:rsidRPr="00BB7E00" w:rsidRDefault="00BB7E00" w:rsidP="00BB7E00">
      <w:pPr>
        <w:pStyle w:val="ChartandTableFootnote"/>
      </w:pPr>
      <w:r w:rsidRPr="00696AA8">
        <w:t>All figures shown above are GST exclusive - these may not match figures in the cash flow statement.</w:t>
      </w:r>
    </w:p>
    <w:p w14:paraId="769C13BD" w14:textId="6BECF2B7" w:rsidR="00CB2844" w:rsidRPr="002003A1" w:rsidRDefault="00CB2844" w:rsidP="009763C1">
      <w:pPr>
        <w:pStyle w:val="ChartandTableFootnoteAlpha"/>
      </w:pPr>
      <w:r w:rsidRPr="001071C7">
        <w:t>Appr</w:t>
      </w:r>
      <w:r>
        <w:t xml:space="preserve">opriation Bill (No. 1) </w:t>
      </w:r>
      <w:r w:rsidR="00FC6CF3">
        <w:t>2021-22</w:t>
      </w:r>
      <w:r>
        <w:t>.</w:t>
      </w:r>
    </w:p>
    <w:p w14:paraId="22142EDD" w14:textId="77777777" w:rsidR="00CB2844" w:rsidRDefault="00CB2844" w:rsidP="009763C1">
      <w:pPr>
        <w:pStyle w:val="ChartandTableFootnoteAlpha"/>
        <w:rPr>
          <w:color w:val="000000"/>
        </w:rPr>
      </w:pPr>
      <w:r w:rsidRPr="001071C7">
        <w:rPr>
          <w:color w:val="000000"/>
        </w:rPr>
        <w:t>Excludes departmental capital bu</w:t>
      </w:r>
      <w:r>
        <w:rPr>
          <w:color w:val="000000"/>
        </w:rPr>
        <w:t>d</w:t>
      </w:r>
      <w:r w:rsidRPr="001071C7">
        <w:rPr>
          <w:color w:val="000000"/>
        </w:rPr>
        <w:t>get (DCB).</w:t>
      </w:r>
    </w:p>
    <w:p w14:paraId="7B569492" w14:textId="67CA9ECE" w:rsidR="00CB2844" w:rsidRPr="001071C7" w:rsidRDefault="004414D0" w:rsidP="004414D0">
      <w:pPr>
        <w:pStyle w:val="ChartandTableFootnoteAlpha"/>
        <w:rPr>
          <w:color w:val="000000"/>
        </w:rPr>
      </w:pPr>
      <w:r w:rsidRPr="004414D0">
        <w:rPr>
          <w:color w:val="000000"/>
        </w:rPr>
        <w:t xml:space="preserve">Includes transfers of appropriation to the Department of the Treasury under section 75 of the </w:t>
      </w:r>
      <w:r w:rsidRPr="00BA7262">
        <w:rPr>
          <w:i/>
          <w:iCs/>
          <w:color w:val="000000"/>
        </w:rPr>
        <w:t>Public Governance, Performance and Accountability Act 2013</w:t>
      </w:r>
      <w:r w:rsidRPr="004414D0">
        <w:rPr>
          <w:color w:val="000000"/>
        </w:rPr>
        <w:t xml:space="preserve"> (PGPA Act) as a result of a transfer of function authority.</w:t>
      </w:r>
    </w:p>
    <w:p w14:paraId="438E9F66" w14:textId="4FD6C3BA" w:rsidR="00CB2844" w:rsidRPr="001071C7" w:rsidRDefault="004414D0" w:rsidP="004414D0">
      <w:pPr>
        <w:pStyle w:val="ChartandTableFootnoteAlpha"/>
        <w:rPr>
          <w:color w:val="000000"/>
        </w:rPr>
      </w:pPr>
      <w:r w:rsidRPr="004414D0">
        <w:rPr>
          <w:color w:val="000000"/>
        </w:rPr>
        <w:t>Estimated External Revenue receipts under section 74 of the PGPA Act.</w:t>
      </w:r>
    </w:p>
    <w:p w14:paraId="7A6BBC65" w14:textId="1ECA0CC4" w:rsidR="004414D0" w:rsidRDefault="004414D0" w:rsidP="004414D0">
      <w:pPr>
        <w:pStyle w:val="ChartandTableFootnoteAlpha"/>
        <w:rPr>
          <w:color w:val="000000"/>
        </w:rPr>
      </w:pPr>
      <w:r w:rsidRPr="004414D0">
        <w:rPr>
          <w:color w:val="000000"/>
        </w:rPr>
        <w:t>Departmental capital budgets are not separately identified in Appropriation Bill (No.1) and form part of ordinary annual services items. Please refer to Table 3.5 for further details. For accounting purposes, this amount has been designated as a 'contribution by owner'.</w:t>
      </w:r>
    </w:p>
    <w:p w14:paraId="48586B62" w14:textId="1D1BA927" w:rsidR="004414D0" w:rsidRDefault="004414D0" w:rsidP="004414D0">
      <w:pPr>
        <w:pStyle w:val="ChartandTableFootnoteAlpha"/>
        <w:rPr>
          <w:color w:val="000000"/>
        </w:rPr>
      </w:pPr>
      <w:r w:rsidRPr="004414D0">
        <w:rPr>
          <w:color w:val="000000"/>
        </w:rPr>
        <w:t>Appropriation Bill (No. 2) 2021-22.</w:t>
      </w:r>
    </w:p>
    <w:p w14:paraId="4934FFEE" w14:textId="5505C030" w:rsidR="004414D0" w:rsidRPr="004414D0" w:rsidRDefault="004414D0" w:rsidP="004414D0">
      <w:pPr>
        <w:pStyle w:val="ChartandTableFootnoteAlpha"/>
        <w:rPr>
          <w:color w:val="000000"/>
        </w:rPr>
      </w:pPr>
      <w:r w:rsidRPr="004414D0">
        <w:rPr>
          <w:color w:val="000000"/>
        </w:rPr>
        <w:t>Relates to repayments not provided for under other appropriations through section 77 of the PGPA Act.</w:t>
      </w:r>
    </w:p>
    <w:p w14:paraId="16A3ACF5" w14:textId="4C6FDC85" w:rsidR="00CB2844" w:rsidRPr="001071C7" w:rsidRDefault="00CB2844" w:rsidP="004414D0">
      <w:pPr>
        <w:pStyle w:val="ChartandTableFootnoteAlpha"/>
        <w:rPr>
          <w:color w:val="000000"/>
        </w:rPr>
      </w:pPr>
      <w:r w:rsidRPr="001071C7">
        <w:rPr>
          <w:color w:val="000000"/>
        </w:rPr>
        <w:t>Excludes trust moneys held in Services for Other Entities and Trust Moneys (SOETM) and other special accounts. For further information on special accounts, please refer to Budget Paper No. 4 - Agency Resourcing. Please also see Table 2.1 for further information on outcome and program expenses broken down by various funding sources, e.g. annual appropriations, special appro</w:t>
      </w:r>
      <w:r>
        <w:rPr>
          <w:color w:val="000000"/>
        </w:rPr>
        <w:t>priations and special accounts.</w:t>
      </w:r>
    </w:p>
    <w:p w14:paraId="5E706CAA" w14:textId="77777777" w:rsidR="0008449F" w:rsidRPr="002D2711" w:rsidRDefault="00E06F9F" w:rsidP="00AD42E2">
      <w:pPr>
        <w:pStyle w:val="Heading3"/>
        <w:spacing w:before="0"/>
        <w:rPr>
          <w:smallCaps/>
          <w:sz w:val="26"/>
          <w:szCs w:val="26"/>
        </w:rPr>
      </w:pPr>
      <w:r>
        <w:br w:type="page"/>
      </w:r>
      <w:bookmarkStart w:id="15" w:name="_Toc444523511"/>
      <w:bookmarkStart w:id="16" w:name="_Toc71448317"/>
      <w:r w:rsidR="0008449F" w:rsidRPr="002D2711">
        <w:rPr>
          <w:smallCaps/>
          <w:sz w:val="26"/>
          <w:szCs w:val="26"/>
        </w:rPr>
        <w:lastRenderedPageBreak/>
        <w:t>1.3</w:t>
      </w:r>
      <w:r w:rsidR="0008449F" w:rsidRPr="002D2711">
        <w:rPr>
          <w:smallCaps/>
          <w:sz w:val="26"/>
          <w:szCs w:val="26"/>
        </w:rPr>
        <w:tab/>
        <w:t>Budget measures</w:t>
      </w:r>
      <w:bookmarkEnd w:id="15"/>
      <w:bookmarkEnd w:id="16"/>
    </w:p>
    <w:p w14:paraId="1A059944" w14:textId="6DEC616E" w:rsidR="00F20B6E" w:rsidRDefault="00DC32EC" w:rsidP="0008449F">
      <w:r w:rsidRPr="00DC32EC">
        <w:t xml:space="preserve">Budget measures </w:t>
      </w:r>
      <w:r w:rsidR="005C4BEE">
        <w:t xml:space="preserve">in Part 1 </w:t>
      </w:r>
      <w:r w:rsidRPr="00DC32EC">
        <w:t>relating to</w:t>
      </w:r>
      <w:r w:rsidR="001B03CC">
        <w:t xml:space="preserve"> </w:t>
      </w:r>
      <w:r w:rsidR="00493AB1">
        <w:t>the ACCC</w:t>
      </w:r>
      <w:r w:rsidRPr="00DC32EC">
        <w:t xml:space="preserve"> a</w:t>
      </w:r>
      <w:r w:rsidR="00CB4589">
        <w:t>re detailed in Budget Paper No. </w:t>
      </w:r>
      <w:r w:rsidRPr="00DC32EC">
        <w:t>2</w:t>
      </w:r>
      <w:r w:rsidR="00C2641F">
        <w:t xml:space="preserve"> and are summarised </w:t>
      </w:r>
      <w:r w:rsidR="002C7703">
        <w:t>below</w:t>
      </w:r>
      <w:r w:rsidR="003D4188">
        <w:t>.</w:t>
      </w:r>
    </w:p>
    <w:p w14:paraId="3EB19CB2" w14:textId="77777777" w:rsidR="00821671" w:rsidRDefault="00AF3811" w:rsidP="00821671">
      <w:pPr>
        <w:pStyle w:val="TableHeading"/>
      </w:pPr>
      <w:r w:rsidRPr="009A40DD">
        <w:t xml:space="preserve">Table 1.2: </w:t>
      </w:r>
      <w:r w:rsidR="00154DC7">
        <w:rPr>
          <w:lang w:val="en-AU"/>
        </w:rPr>
        <w:t>Australian Competition and Consumer Commission</w:t>
      </w:r>
      <w:r w:rsidR="007E6BBD" w:rsidRPr="009A40DD">
        <w:t xml:space="preserve"> </w:t>
      </w:r>
      <w:r w:rsidR="00FC6CF3">
        <w:rPr>
          <w:lang w:val="en-AU"/>
        </w:rPr>
        <w:t>2021-22</w:t>
      </w:r>
      <w:r w:rsidR="00694795">
        <w:rPr>
          <w:lang w:val="en-AU"/>
        </w:rPr>
        <w:t xml:space="preserve"> </w:t>
      </w:r>
      <w:r w:rsidRPr="009A40DD">
        <w:t>Budget measures</w:t>
      </w:r>
    </w:p>
    <w:p w14:paraId="27480BCE" w14:textId="21BE25D0" w:rsidR="004C3971" w:rsidRPr="00353D74" w:rsidRDefault="007F6CAD" w:rsidP="00353D74">
      <w:pPr>
        <w:rPr>
          <w:rFonts w:ascii="Arial" w:hAnsi="Arial" w:cs="Arial"/>
          <w:b/>
        </w:rPr>
      </w:pPr>
      <w:r w:rsidRPr="00353D74">
        <w:rPr>
          <w:rFonts w:ascii="Arial" w:hAnsi="Arial" w:cs="Arial"/>
          <w:b/>
        </w:rPr>
        <w:t xml:space="preserve">Measures announced </w:t>
      </w:r>
      <w:r w:rsidR="00FC6CF3" w:rsidRPr="00353D74">
        <w:rPr>
          <w:rFonts w:ascii="Arial" w:hAnsi="Arial" w:cs="Arial"/>
          <w:b/>
        </w:rPr>
        <w:t xml:space="preserve">since </w:t>
      </w:r>
      <w:r w:rsidRPr="00353D74">
        <w:rPr>
          <w:rFonts w:ascii="Arial" w:hAnsi="Arial" w:cs="Arial"/>
          <w:b/>
        </w:rPr>
        <w:t xml:space="preserve">the </w:t>
      </w:r>
      <w:r w:rsidR="00FC6CF3" w:rsidRPr="00353D74">
        <w:rPr>
          <w:rFonts w:ascii="Arial" w:hAnsi="Arial" w:cs="Arial"/>
          <w:b/>
        </w:rPr>
        <w:t>2020-21 Mid-Year Economic and Fiscal Outlook (MYEFO</w:t>
      </w:r>
      <w:r w:rsidR="004C3971" w:rsidRPr="00353D74">
        <w:rPr>
          <w:rFonts w:ascii="Arial" w:hAnsi="Arial" w:cs="Arial"/>
          <w:b/>
        </w:rPr>
        <w:t>)</w:t>
      </w:r>
    </w:p>
    <w:tbl>
      <w:tblPr>
        <w:tblW w:w="5000" w:type="pct"/>
        <w:tblCellMar>
          <w:left w:w="0" w:type="dxa"/>
          <w:right w:w="28" w:type="dxa"/>
        </w:tblCellMar>
        <w:tblLook w:val="04A0" w:firstRow="1" w:lastRow="0" w:firstColumn="1" w:lastColumn="0" w:noHBand="0" w:noVBand="1"/>
      </w:tblPr>
      <w:tblGrid>
        <w:gridCol w:w="2814"/>
        <w:gridCol w:w="817"/>
        <w:gridCol w:w="817"/>
        <w:gridCol w:w="817"/>
        <w:gridCol w:w="817"/>
        <w:gridCol w:w="817"/>
        <w:gridCol w:w="811"/>
      </w:tblGrid>
      <w:tr w:rsidR="004C3971" w:rsidRPr="004C3971" w14:paraId="09D7F87F" w14:textId="77777777" w:rsidTr="004C3971">
        <w:trPr>
          <w:trHeight w:val="450"/>
        </w:trPr>
        <w:tc>
          <w:tcPr>
            <w:tcW w:w="1824" w:type="pct"/>
            <w:tcBorders>
              <w:top w:val="single" w:sz="4" w:space="0" w:color="auto"/>
              <w:left w:val="nil"/>
              <w:bottom w:val="nil"/>
              <w:right w:val="nil"/>
            </w:tcBorders>
            <w:shd w:val="clear" w:color="auto" w:fill="auto"/>
            <w:noWrap/>
            <w:vAlign w:val="bottom"/>
            <w:hideMark/>
          </w:tcPr>
          <w:p w14:paraId="45A424EC" w14:textId="144B494F" w:rsidR="004C3971" w:rsidRPr="004C3971" w:rsidRDefault="004C3971" w:rsidP="004C3971">
            <w:pPr>
              <w:spacing w:after="0" w:line="240" w:lineRule="auto"/>
              <w:jc w:val="left"/>
              <w:rPr>
                <w:rFonts w:ascii="Arial" w:hAnsi="Arial" w:cs="Arial"/>
                <w:sz w:val="16"/>
                <w:szCs w:val="16"/>
              </w:rPr>
            </w:pPr>
            <w:r w:rsidRPr="004C3971">
              <w:rPr>
                <w:rFonts w:ascii="Arial" w:hAnsi="Arial" w:cs="Arial"/>
                <w:sz w:val="16"/>
                <w:szCs w:val="16"/>
              </w:rPr>
              <w:t> </w:t>
            </w:r>
          </w:p>
        </w:tc>
        <w:tc>
          <w:tcPr>
            <w:tcW w:w="530" w:type="pct"/>
            <w:tcBorders>
              <w:top w:val="single" w:sz="4" w:space="0" w:color="auto"/>
              <w:left w:val="nil"/>
              <w:bottom w:val="single" w:sz="4" w:space="0" w:color="auto"/>
              <w:right w:val="nil"/>
            </w:tcBorders>
            <w:shd w:val="clear" w:color="auto" w:fill="auto"/>
            <w:noWrap/>
            <w:vAlign w:val="bottom"/>
            <w:hideMark/>
          </w:tcPr>
          <w:p w14:paraId="45295A8F" w14:textId="77777777" w:rsidR="004C3971" w:rsidRPr="004C3971" w:rsidRDefault="004C3971" w:rsidP="004C3971">
            <w:pPr>
              <w:spacing w:after="0" w:line="240" w:lineRule="auto"/>
              <w:jc w:val="left"/>
              <w:rPr>
                <w:rFonts w:ascii="Arial" w:hAnsi="Arial" w:cs="Arial"/>
                <w:sz w:val="16"/>
                <w:szCs w:val="16"/>
              </w:rPr>
            </w:pPr>
            <w:r w:rsidRPr="004C3971">
              <w:rPr>
                <w:rFonts w:ascii="Arial" w:hAnsi="Arial" w:cs="Arial"/>
                <w:sz w:val="16"/>
                <w:szCs w:val="16"/>
              </w:rPr>
              <w:t>Program</w:t>
            </w:r>
          </w:p>
        </w:tc>
        <w:tc>
          <w:tcPr>
            <w:tcW w:w="530" w:type="pct"/>
            <w:tcBorders>
              <w:top w:val="single" w:sz="4" w:space="0" w:color="auto"/>
              <w:left w:val="nil"/>
              <w:bottom w:val="single" w:sz="4" w:space="0" w:color="auto"/>
              <w:right w:val="nil"/>
            </w:tcBorders>
            <w:shd w:val="clear" w:color="000000" w:fill="E6E6E6"/>
            <w:vAlign w:val="bottom"/>
            <w:hideMark/>
          </w:tcPr>
          <w:p w14:paraId="5E83FE35" w14:textId="77777777" w:rsidR="004C3971" w:rsidRPr="004C3971" w:rsidRDefault="004C3971" w:rsidP="004C3971">
            <w:pPr>
              <w:spacing w:after="0" w:line="240" w:lineRule="auto"/>
              <w:jc w:val="right"/>
              <w:rPr>
                <w:rFonts w:ascii="Arial" w:hAnsi="Arial" w:cs="Arial"/>
                <w:sz w:val="16"/>
                <w:szCs w:val="16"/>
              </w:rPr>
            </w:pPr>
            <w:r w:rsidRPr="004C3971">
              <w:rPr>
                <w:rFonts w:ascii="Arial" w:hAnsi="Arial" w:cs="Arial"/>
                <w:sz w:val="16"/>
                <w:szCs w:val="16"/>
              </w:rPr>
              <w:t>2020-21</w:t>
            </w:r>
            <w:r w:rsidRPr="004C3971">
              <w:rPr>
                <w:rFonts w:ascii="Arial" w:hAnsi="Arial" w:cs="Arial"/>
                <w:sz w:val="16"/>
                <w:szCs w:val="16"/>
              </w:rPr>
              <w:br/>
              <w:t>$'000</w:t>
            </w:r>
          </w:p>
        </w:tc>
        <w:tc>
          <w:tcPr>
            <w:tcW w:w="530" w:type="pct"/>
            <w:tcBorders>
              <w:top w:val="single" w:sz="4" w:space="0" w:color="auto"/>
              <w:left w:val="nil"/>
              <w:bottom w:val="single" w:sz="4" w:space="0" w:color="auto"/>
              <w:right w:val="nil"/>
            </w:tcBorders>
            <w:shd w:val="clear" w:color="auto" w:fill="auto"/>
            <w:vAlign w:val="bottom"/>
            <w:hideMark/>
          </w:tcPr>
          <w:p w14:paraId="08BC246E" w14:textId="77777777" w:rsidR="004C3971" w:rsidRPr="004C3971" w:rsidRDefault="004C3971" w:rsidP="004C3971">
            <w:pPr>
              <w:spacing w:after="0" w:line="240" w:lineRule="auto"/>
              <w:jc w:val="right"/>
              <w:rPr>
                <w:rFonts w:ascii="Arial" w:hAnsi="Arial" w:cs="Arial"/>
                <w:sz w:val="16"/>
                <w:szCs w:val="16"/>
              </w:rPr>
            </w:pPr>
            <w:r w:rsidRPr="004C3971">
              <w:rPr>
                <w:rFonts w:ascii="Arial" w:hAnsi="Arial" w:cs="Arial"/>
                <w:sz w:val="16"/>
                <w:szCs w:val="16"/>
              </w:rPr>
              <w:t>2021-22</w:t>
            </w:r>
            <w:r w:rsidRPr="004C3971">
              <w:rPr>
                <w:rFonts w:ascii="Arial" w:hAnsi="Arial" w:cs="Arial"/>
                <w:sz w:val="16"/>
                <w:szCs w:val="16"/>
              </w:rPr>
              <w:br/>
              <w:t>$'000</w:t>
            </w:r>
          </w:p>
        </w:tc>
        <w:tc>
          <w:tcPr>
            <w:tcW w:w="530" w:type="pct"/>
            <w:tcBorders>
              <w:top w:val="single" w:sz="4" w:space="0" w:color="auto"/>
              <w:left w:val="nil"/>
              <w:bottom w:val="single" w:sz="4" w:space="0" w:color="auto"/>
              <w:right w:val="nil"/>
            </w:tcBorders>
            <w:shd w:val="clear" w:color="000000" w:fill="E6E6E6"/>
            <w:vAlign w:val="bottom"/>
            <w:hideMark/>
          </w:tcPr>
          <w:p w14:paraId="34CE3607" w14:textId="77777777" w:rsidR="004C3971" w:rsidRPr="004C3971" w:rsidRDefault="004C3971" w:rsidP="004C3971">
            <w:pPr>
              <w:spacing w:after="0" w:line="240" w:lineRule="auto"/>
              <w:jc w:val="right"/>
              <w:rPr>
                <w:rFonts w:ascii="Arial" w:hAnsi="Arial" w:cs="Arial"/>
                <w:sz w:val="16"/>
                <w:szCs w:val="16"/>
              </w:rPr>
            </w:pPr>
            <w:r w:rsidRPr="004C3971">
              <w:rPr>
                <w:rFonts w:ascii="Arial" w:hAnsi="Arial" w:cs="Arial"/>
                <w:sz w:val="16"/>
                <w:szCs w:val="16"/>
              </w:rPr>
              <w:t>2022-23</w:t>
            </w:r>
            <w:r w:rsidRPr="004C3971">
              <w:rPr>
                <w:rFonts w:ascii="Arial" w:hAnsi="Arial" w:cs="Arial"/>
                <w:sz w:val="16"/>
                <w:szCs w:val="16"/>
              </w:rPr>
              <w:br/>
              <w:t>$'000</w:t>
            </w:r>
          </w:p>
        </w:tc>
        <w:tc>
          <w:tcPr>
            <w:tcW w:w="530" w:type="pct"/>
            <w:tcBorders>
              <w:top w:val="single" w:sz="4" w:space="0" w:color="auto"/>
              <w:left w:val="nil"/>
              <w:bottom w:val="single" w:sz="4" w:space="0" w:color="auto"/>
              <w:right w:val="nil"/>
            </w:tcBorders>
            <w:shd w:val="clear" w:color="auto" w:fill="auto"/>
            <w:vAlign w:val="bottom"/>
            <w:hideMark/>
          </w:tcPr>
          <w:p w14:paraId="65FB6882" w14:textId="77777777" w:rsidR="004C3971" w:rsidRPr="004C3971" w:rsidRDefault="004C3971" w:rsidP="004C3971">
            <w:pPr>
              <w:spacing w:after="0" w:line="240" w:lineRule="auto"/>
              <w:jc w:val="right"/>
              <w:rPr>
                <w:rFonts w:ascii="Arial" w:hAnsi="Arial" w:cs="Arial"/>
                <w:sz w:val="16"/>
                <w:szCs w:val="16"/>
              </w:rPr>
            </w:pPr>
            <w:r w:rsidRPr="004C3971">
              <w:rPr>
                <w:rFonts w:ascii="Arial" w:hAnsi="Arial" w:cs="Arial"/>
                <w:sz w:val="16"/>
                <w:szCs w:val="16"/>
              </w:rPr>
              <w:t>2023-24</w:t>
            </w:r>
            <w:r w:rsidRPr="004C3971">
              <w:rPr>
                <w:rFonts w:ascii="Arial" w:hAnsi="Arial" w:cs="Arial"/>
                <w:sz w:val="16"/>
                <w:szCs w:val="16"/>
              </w:rPr>
              <w:br/>
              <w:t>$'000</w:t>
            </w:r>
          </w:p>
        </w:tc>
        <w:tc>
          <w:tcPr>
            <w:tcW w:w="527" w:type="pct"/>
            <w:tcBorders>
              <w:top w:val="single" w:sz="4" w:space="0" w:color="auto"/>
              <w:left w:val="nil"/>
              <w:bottom w:val="single" w:sz="4" w:space="0" w:color="auto"/>
              <w:right w:val="nil"/>
            </w:tcBorders>
            <w:shd w:val="clear" w:color="000000" w:fill="E6E6E6"/>
            <w:vAlign w:val="bottom"/>
            <w:hideMark/>
          </w:tcPr>
          <w:p w14:paraId="78E52561" w14:textId="77777777" w:rsidR="004C3971" w:rsidRPr="004C3971" w:rsidRDefault="004C3971" w:rsidP="004C3971">
            <w:pPr>
              <w:spacing w:after="0" w:line="240" w:lineRule="auto"/>
              <w:jc w:val="right"/>
              <w:rPr>
                <w:rFonts w:ascii="Arial" w:hAnsi="Arial" w:cs="Arial"/>
                <w:sz w:val="16"/>
                <w:szCs w:val="16"/>
              </w:rPr>
            </w:pPr>
            <w:r w:rsidRPr="004C3971">
              <w:rPr>
                <w:rFonts w:ascii="Arial" w:hAnsi="Arial" w:cs="Arial"/>
                <w:sz w:val="16"/>
                <w:szCs w:val="16"/>
              </w:rPr>
              <w:t>2024-25</w:t>
            </w:r>
            <w:r w:rsidRPr="004C3971">
              <w:rPr>
                <w:rFonts w:ascii="Arial" w:hAnsi="Arial" w:cs="Arial"/>
                <w:sz w:val="16"/>
                <w:szCs w:val="16"/>
              </w:rPr>
              <w:br/>
              <w:t>$'000</w:t>
            </w:r>
          </w:p>
        </w:tc>
      </w:tr>
      <w:tr w:rsidR="004C3971" w:rsidRPr="004C3971" w14:paraId="6C17F3AB" w14:textId="77777777" w:rsidTr="004C3971">
        <w:trPr>
          <w:trHeight w:val="237"/>
        </w:trPr>
        <w:tc>
          <w:tcPr>
            <w:tcW w:w="1824" w:type="pct"/>
            <w:tcBorders>
              <w:top w:val="nil"/>
              <w:left w:val="nil"/>
              <w:bottom w:val="nil"/>
              <w:right w:val="nil"/>
            </w:tcBorders>
            <w:shd w:val="clear" w:color="auto" w:fill="auto"/>
            <w:vAlign w:val="bottom"/>
            <w:hideMark/>
          </w:tcPr>
          <w:p w14:paraId="3D64D629" w14:textId="77777777" w:rsidR="004C3971" w:rsidRPr="004C3971" w:rsidRDefault="004C3971" w:rsidP="004C3971">
            <w:pPr>
              <w:spacing w:after="0" w:line="240" w:lineRule="auto"/>
              <w:jc w:val="left"/>
              <w:rPr>
                <w:rFonts w:ascii="Arial" w:hAnsi="Arial" w:cs="Arial"/>
                <w:b/>
                <w:bCs/>
                <w:sz w:val="16"/>
                <w:szCs w:val="16"/>
              </w:rPr>
            </w:pPr>
            <w:r w:rsidRPr="004C3971">
              <w:rPr>
                <w:rFonts w:ascii="Arial" w:hAnsi="Arial" w:cs="Arial"/>
                <w:b/>
                <w:bCs/>
                <w:sz w:val="16"/>
                <w:szCs w:val="16"/>
              </w:rPr>
              <w:t xml:space="preserve">Payment measures </w:t>
            </w:r>
          </w:p>
        </w:tc>
        <w:tc>
          <w:tcPr>
            <w:tcW w:w="530" w:type="pct"/>
            <w:tcBorders>
              <w:top w:val="nil"/>
              <w:left w:val="nil"/>
              <w:bottom w:val="nil"/>
              <w:right w:val="nil"/>
            </w:tcBorders>
            <w:shd w:val="clear" w:color="auto" w:fill="auto"/>
            <w:noWrap/>
            <w:vAlign w:val="bottom"/>
            <w:hideMark/>
          </w:tcPr>
          <w:p w14:paraId="6078BB4F" w14:textId="77777777" w:rsidR="004C3971" w:rsidRPr="004C3971" w:rsidRDefault="004C3971" w:rsidP="004C3971">
            <w:pPr>
              <w:spacing w:after="0" w:line="240" w:lineRule="auto"/>
              <w:jc w:val="left"/>
              <w:rPr>
                <w:rFonts w:ascii="Arial" w:hAnsi="Arial" w:cs="Arial"/>
                <w:b/>
                <w:bCs/>
                <w:sz w:val="16"/>
                <w:szCs w:val="16"/>
              </w:rPr>
            </w:pPr>
          </w:p>
        </w:tc>
        <w:tc>
          <w:tcPr>
            <w:tcW w:w="530" w:type="pct"/>
            <w:tcBorders>
              <w:top w:val="nil"/>
              <w:left w:val="nil"/>
              <w:bottom w:val="nil"/>
              <w:right w:val="nil"/>
            </w:tcBorders>
            <w:shd w:val="clear" w:color="000000" w:fill="E6E6E6"/>
            <w:noWrap/>
            <w:vAlign w:val="bottom"/>
            <w:hideMark/>
          </w:tcPr>
          <w:p w14:paraId="12B6AC6E" w14:textId="77777777" w:rsidR="004C3971" w:rsidRPr="004C3971" w:rsidRDefault="004C3971" w:rsidP="004C3971">
            <w:pPr>
              <w:spacing w:after="0" w:line="240" w:lineRule="auto"/>
              <w:jc w:val="left"/>
              <w:rPr>
                <w:rFonts w:ascii="Arial" w:hAnsi="Arial" w:cs="Arial"/>
                <w:sz w:val="16"/>
                <w:szCs w:val="16"/>
              </w:rPr>
            </w:pPr>
            <w:r w:rsidRPr="004C3971">
              <w:rPr>
                <w:rFonts w:ascii="Arial" w:hAnsi="Arial" w:cs="Arial"/>
                <w:sz w:val="16"/>
                <w:szCs w:val="16"/>
              </w:rPr>
              <w:t> </w:t>
            </w:r>
          </w:p>
        </w:tc>
        <w:tc>
          <w:tcPr>
            <w:tcW w:w="530" w:type="pct"/>
            <w:tcBorders>
              <w:top w:val="nil"/>
              <w:left w:val="nil"/>
              <w:bottom w:val="nil"/>
              <w:right w:val="nil"/>
            </w:tcBorders>
            <w:shd w:val="clear" w:color="auto" w:fill="auto"/>
            <w:noWrap/>
            <w:vAlign w:val="bottom"/>
            <w:hideMark/>
          </w:tcPr>
          <w:p w14:paraId="0501AC91" w14:textId="77777777" w:rsidR="004C3971" w:rsidRPr="004C3971" w:rsidRDefault="004C3971" w:rsidP="004C3971">
            <w:pPr>
              <w:spacing w:after="0" w:line="240" w:lineRule="auto"/>
              <w:jc w:val="lef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2C45D76C" w14:textId="77777777" w:rsidR="004C3971" w:rsidRPr="004C3971" w:rsidRDefault="004C3971" w:rsidP="004C3971">
            <w:pPr>
              <w:spacing w:after="0" w:line="240" w:lineRule="auto"/>
              <w:jc w:val="left"/>
              <w:rPr>
                <w:rFonts w:ascii="Arial" w:hAnsi="Arial" w:cs="Arial"/>
                <w:sz w:val="16"/>
                <w:szCs w:val="16"/>
              </w:rPr>
            </w:pPr>
            <w:r w:rsidRPr="004C3971">
              <w:rPr>
                <w:rFonts w:ascii="Arial" w:hAnsi="Arial" w:cs="Arial"/>
                <w:sz w:val="16"/>
                <w:szCs w:val="16"/>
              </w:rPr>
              <w:t> </w:t>
            </w:r>
          </w:p>
        </w:tc>
        <w:tc>
          <w:tcPr>
            <w:tcW w:w="530" w:type="pct"/>
            <w:tcBorders>
              <w:top w:val="nil"/>
              <w:left w:val="nil"/>
              <w:bottom w:val="nil"/>
              <w:right w:val="nil"/>
            </w:tcBorders>
            <w:shd w:val="clear" w:color="auto" w:fill="auto"/>
            <w:noWrap/>
            <w:vAlign w:val="bottom"/>
            <w:hideMark/>
          </w:tcPr>
          <w:p w14:paraId="0E660C2D" w14:textId="77777777" w:rsidR="004C3971" w:rsidRPr="004C3971" w:rsidRDefault="004C3971" w:rsidP="004C3971">
            <w:pPr>
              <w:spacing w:after="0" w:line="240" w:lineRule="auto"/>
              <w:jc w:val="left"/>
              <w:rPr>
                <w:rFonts w:ascii="Arial" w:hAnsi="Arial" w:cs="Arial"/>
                <w:sz w:val="16"/>
                <w:szCs w:val="16"/>
              </w:rPr>
            </w:pPr>
          </w:p>
        </w:tc>
        <w:tc>
          <w:tcPr>
            <w:tcW w:w="527" w:type="pct"/>
            <w:tcBorders>
              <w:top w:val="nil"/>
              <w:left w:val="nil"/>
              <w:bottom w:val="nil"/>
              <w:right w:val="nil"/>
            </w:tcBorders>
            <w:shd w:val="clear" w:color="000000" w:fill="E6E6E6"/>
            <w:noWrap/>
            <w:vAlign w:val="bottom"/>
            <w:hideMark/>
          </w:tcPr>
          <w:p w14:paraId="7BEDC7D3" w14:textId="77777777" w:rsidR="004C3971" w:rsidRPr="004C3971" w:rsidRDefault="004C3971" w:rsidP="004C3971">
            <w:pPr>
              <w:spacing w:after="0" w:line="240" w:lineRule="auto"/>
              <w:jc w:val="left"/>
              <w:rPr>
                <w:rFonts w:ascii="Arial" w:hAnsi="Arial" w:cs="Arial"/>
                <w:sz w:val="16"/>
                <w:szCs w:val="16"/>
              </w:rPr>
            </w:pPr>
            <w:r w:rsidRPr="004C3971">
              <w:rPr>
                <w:rFonts w:ascii="Arial" w:hAnsi="Arial" w:cs="Arial"/>
                <w:sz w:val="16"/>
                <w:szCs w:val="16"/>
              </w:rPr>
              <w:t> </w:t>
            </w:r>
          </w:p>
        </w:tc>
      </w:tr>
      <w:tr w:rsidR="004C3971" w:rsidRPr="004C3971" w14:paraId="39AC9394" w14:textId="77777777" w:rsidTr="004C3971">
        <w:trPr>
          <w:trHeight w:val="450"/>
        </w:trPr>
        <w:tc>
          <w:tcPr>
            <w:tcW w:w="1824" w:type="pct"/>
            <w:tcBorders>
              <w:top w:val="nil"/>
              <w:left w:val="nil"/>
              <w:bottom w:val="nil"/>
              <w:right w:val="nil"/>
            </w:tcBorders>
            <w:shd w:val="clear" w:color="auto" w:fill="auto"/>
            <w:vAlign w:val="bottom"/>
            <w:hideMark/>
          </w:tcPr>
          <w:p w14:paraId="6DEBD770" w14:textId="710A8FE2" w:rsidR="004C3971" w:rsidRPr="004C3971" w:rsidRDefault="004C3971" w:rsidP="004C3971">
            <w:pPr>
              <w:spacing w:after="0" w:line="240" w:lineRule="auto"/>
              <w:jc w:val="left"/>
              <w:rPr>
                <w:rFonts w:ascii="Arial" w:hAnsi="Arial" w:cs="Arial"/>
                <w:sz w:val="16"/>
                <w:szCs w:val="16"/>
              </w:rPr>
            </w:pPr>
            <w:r w:rsidRPr="004C3971">
              <w:rPr>
                <w:rFonts w:ascii="Arial" w:hAnsi="Arial" w:cs="Arial"/>
                <w:sz w:val="16"/>
                <w:szCs w:val="16"/>
              </w:rPr>
              <w:t xml:space="preserve">Australian Energy Regulator - </w:t>
            </w:r>
            <w:r w:rsidRPr="004C3971">
              <w:rPr>
                <w:rFonts w:ascii="Arial" w:hAnsi="Arial" w:cs="Arial"/>
                <w:sz w:val="16"/>
                <w:szCs w:val="16"/>
              </w:rPr>
              <w:br/>
              <w:t xml:space="preserve"> </w:t>
            </w:r>
            <w:r>
              <w:rPr>
                <w:rFonts w:ascii="Arial" w:hAnsi="Arial" w:cs="Arial"/>
                <w:sz w:val="16"/>
                <w:szCs w:val="16"/>
              </w:rPr>
              <w:t xml:space="preserve"> </w:t>
            </w:r>
            <w:r w:rsidRPr="004C3971">
              <w:rPr>
                <w:rFonts w:ascii="Arial" w:hAnsi="Arial" w:cs="Arial"/>
                <w:sz w:val="16"/>
                <w:szCs w:val="16"/>
              </w:rPr>
              <w:t xml:space="preserve"> increased roles and responsibilities</w:t>
            </w:r>
          </w:p>
        </w:tc>
        <w:tc>
          <w:tcPr>
            <w:tcW w:w="530" w:type="pct"/>
            <w:tcBorders>
              <w:top w:val="nil"/>
              <w:left w:val="nil"/>
              <w:bottom w:val="nil"/>
              <w:right w:val="nil"/>
            </w:tcBorders>
            <w:shd w:val="clear" w:color="auto" w:fill="auto"/>
            <w:noWrap/>
            <w:vAlign w:val="bottom"/>
            <w:hideMark/>
          </w:tcPr>
          <w:p w14:paraId="0BB4C852" w14:textId="77777777" w:rsidR="004C3971" w:rsidRPr="004C3971" w:rsidRDefault="004C3971" w:rsidP="004C3971">
            <w:pPr>
              <w:spacing w:after="0" w:line="240" w:lineRule="auto"/>
              <w:jc w:val="lef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3175A32B" w14:textId="77777777" w:rsidR="004C3971" w:rsidRPr="004C3971" w:rsidRDefault="004C3971" w:rsidP="004C3971">
            <w:pPr>
              <w:spacing w:after="0" w:line="240" w:lineRule="auto"/>
              <w:jc w:val="left"/>
              <w:rPr>
                <w:rFonts w:ascii="Arial" w:hAnsi="Arial" w:cs="Arial"/>
                <w:sz w:val="16"/>
                <w:szCs w:val="16"/>
              </w:rPr>
            </w:pPr>
            <w:r w:rsidRPr="004C3971">
              <w:rPr>
                <w:rFonts w:ascii="Arial" w:hAnsi="Arial" w:cs="Arial"/>
                <w:sz w:val="16"/>
                <w:szCs w:val="16"/>
              </w:rPr>
              <w:t> </w:t>
            </w:r>
          </w:p>
        </w:tc>
        <w:tc>
          <w:tcPr>
            <w:tcW w:w="530" w:type="pct"/>
            <w:tcBorders>
              <w:top w:val="nil"/>
              <w:left w:val="nil"/>
              <w:bottom w:val="nil"/>
              <w:right w:val="nil"/>
            </w:tcBorders>
            <w:shd w:val="clear" w:color="auto" w:fill="auto"/>
            <w:noWrap/>
            <w:vAlign w:val="bottom"/>
            <w:hideMark/>
          </w:tcPr>
          <w:p w14:paraId="09017700" w14:textId="77777777" w:rsidR="004C3971" w:rsidRPr="004C3971" w:rsidRDefault="004C3971" w:rsidP="004C3971">
            <w:pPr>
              <w:spacing w:after="0" w:line="240" w:lineRule="auto"/>
              <w:jc w:val="lef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183EEE54" w14:textId="77777777" w:rsidR="004C3971" w:rsidRPr="004C3971" w:rsidRDefault="004C3971" w:rsidP="004C3971">
            <w:pPr>
              <w:spacing w:after="0" w:line="240" w:lineRule="auto"/>
              <w:jc w:val="left"/>
              <w:rPr>
                <w:rFonts w:ascii="Arial" w:hAnsi="Arial" w:cs="Arial"/>
                <w:sz w:val="16"/>
                <w:szCs w:val="16"/>
              </w:rPr>
            </w:pPr>
            <w:r w:rsidRPr="004C3971">
              <w:rPr>
                <w:rFonts w:ascii="Arial" w:hAnsi="Arial" w:cs="Arial"/>
                <w:sz w:val="16"/>
                <w:szCs w:val="16"/>
              </w:rPr>
              <w:t> </w:t>
            </w:r>
          </w:p>
        </w:tc>
        <w:tc>
          <w:tcPr>
            <w:tcW w:w="530" w:type="pct"/>
            <w:tcBorders>
              <w:top w:val="nil"/>
              <w:left w:val="nil"/>
              <w:bottom w:val="nil"/>
              <w:right w:val="nil"/>
            </w:tcBorders>
            <w:shd w:val="clear" w:color="auto" w:fill="auto"/>
            <w:noWrap/>
            <w:vAlign w:val="bottom"/>
            <w:hideMark/>
          </w:tcPr>
          <w:p w14:paraId="4149D040" w14:textId="77777777" w:rsidR="004C3971" w:rsidRPr="004C3971" w:rsidRDefault="004C3971" w:rsidP="004C3971">
            <w:pPr>
              <w:spacing w:after="0" w:line="240" w:lineRule="auto"/>
              <w:jc w:val="left"/>
              <w:rPr>
                <w:rFonts w:ascii="Arial" w:hAnsi="Arial" w:cs="Arial"/>
                <w:sz w:val="16"/>
                <w:szCs w:val="16"/>
              </w:rPr>
            </w:pPr>
          </w:p>
        </w:tc>
        <w:tc>
          <w:tcPr>
            <w:tcW w:w="527" w:type="pct"/>
            <w:tcBorders>
              <w:top w:val="nil"/>
              <w:left w:val="nil"/>
              <w:bottom w:val="nil"/>
              <w:right w:val="nil"/>
            </w:tcBorders>
            <w:shd w:val="clear" w:color="000000" w:fill="E6E6E6"/>
            <w:noWrap/>
            <w:vAlign w:val="bottom"/>
            <w:hideMark/>
          </w:tcPr>
          <w:p w14:paraId="47C708E2" w14:textId="77777777" w:rsidR="004C3971" w:rsidRPr="004C3971" w:rsidRDefault="004C3971" w:rsidP="004C3971">
            <w:pPr>
              <w:spacing w:after="0" w:line="240" w:lineRule="auto"/>
              <w:jc w:val="left"/>
              <w:rPr>
                <w:rFonts w:ascii="Arial" w:hAnsi="Arial" w:cs="Arial"/>
                <w:sz w:val="16"/>
                <w:szCs w:val="16"/>
              </w:rPr>
            </w:pPr>
            <w:r w:rsidRPr="004C3971">
              <w:rPr>
                <w:rFonts w:ascii="Arial" w:hAnsi="Arial" w:cs="Arial"/>
                <w:sz w:val="16"/>
                <w:szCs w:val="16"/>
              </w:rPr>
              <w:t> </w:t>
            </w:r>
          </w:p>
        </w:tc>
      </w:tr>
      <w:tr w:rsidR="004C3971" w:rsidRPr="004C3971" w14:paraId="5EBE003D" w14:textId="77777777" w:rsidTr="004C3971">
        <w:trPr>
          <w:trHeight w:val="237"/>
        </w:trPr>
        <w:tc>
          <w:tcPr>
            <w:tcW w:w="1824" w:type="pct"/>
            <w:tcBorders>
              <w:top w:val="nil"/>
              <w:left w:val="nil"/>
              <w:bottom w:val="nil"/>
              <w:right w:val="nil"/>
            </w:tcBorders>
            <w:shd w:val="clear" w:color="auto" w:fill="auto"/>
            <w:vAlign w:val="bottom"/>
            <w:hideMark/>
          </w:tcPr>
          <w:p w14:paraId="2CA66790" w14:textId="77777777" w:rsidR="004C3971" w:rsidRPr="004C3971" w:rsidRDefault="004C3971" w:rsidP="004C3971">
            <w:pPr>
              <w:spacing w:after="0" w:line="240" w:lineRule="auto"/>
              <w:ind w:firstLineChars="100" w:firstLine="160"/>
              <w:jc w:val="left"/>
              <w:rPr>
                <w:rFonts w:ascii="Arial" w:hAnsi="Arial" w:cs="Arial"/>
                <w:sz w:val="16"/>
                <w:szCs w:val="16"/>
              </w:rPr>
            </w:pPr>
            <w:r w:rsidRPr="004C3971">
              <w:rPr>
                <w:rFonts w:ascii="Arial" w:hAnsi="Arial" w:cs="Arial"/>
                <w:sz w:val="16"/>
                <w:szCs w:val="16"/>
              </w:rPr>
              <w:t>Departmental payment</w:t>
            </w:r>
          </w:p>
        </w:tc>
        <w:tc>
          <w:tcPr>
            <w:tcW w:w="530" w:type="pct"/>
            <w:tcBorders>
              <w:top w:val="nil"/>
              <w:left w:val="nil"/>
              <w:bottom w:val="nil"/>
              <w:right w:val="nil"/>
            </w:tcBorders>
            <w:shd w:val="clear" w:color="auto" w:fill="auto"/>
            <w:noWrap/>
            <w:vAlign w:val="bottom"/>
            <w:hideMark/>
          </w:tcPr>
          <w:p w14:paraId="06DFCE24" w14:textId="77777777" w:rsidR="004C3971" w:rsidRPr="004C3971" w:rsidRDefault="004C3971" w:rsidP="004C3971">
            <w:pPr>
              <w:spacing w:after="0" w:line="240" w:lineRule="auto"/>
              <w:jc w:val="center"/>
              <w:rPr>
                <w:rFonts w:ascii="Arial" w:hAnsi="Arial" w:cs="Arial"/>
                <w:sz w:val="16"/>
                <w:szCs w:val="16"/>
              </w:rPr>
            </w:pPr>
            <w:r w:rsidRPr="004C3971">
              <w:rPr>
                <w:rFonts w:ascii="Arial" w:hAnsi="Arial" w:cs="Arial"/>
                <w:sz w:val="16"/>
                <w:szCs w:val="16"/>
              </w:rPr>
              <w:t>1.2</w:t>
            </w:r>
          </w:p>
        </w:tc>
        <w:tc>
          <w:tcPr>
            <w:tcW w:w="530" w:type="pct"/>
            <w:tcBorders>
              <w:top w:val="nil"/>
              <w:left w:val="nil"/>
              <w:bottom w:val="nil"/>
              <w:right w:val="nil"/>
            </w:tcBorders>
            <w:shd w:val="clear" w:color="000000" w:fill="E6E6E6"/>
            <w:noWrap/>
            <w:vAlign w:val="bottom"/>
            <w:hideMark/>
          </w:tcPr>
          <w:p w14:paraId="52F3F1DA" w14:textId="77777777" w:rsidR="004C3971" w:rsidRPr="004C3971" w:rsidRDefault="004C3971" w:rsidP="004C3971">
            <w:pPr>
              <w:spacing w:after="0" w:line="240" w:lineRule="auto"/>
              <w:jc w:val="left"/>
              <w:rPr>
                <w:rFonts w:ascii="Arial" w:hAnsi="Arial" w:cs="Arial"/>
                <w:sz w:val="16"/>
                <w:szCs w:val="16"/>
              </w:rPr>
            </w:pPr>
            <w:r w:rsidRPr="004C3971">
              <w:rPr>
                <w:rFonts w:ascii="Arial" w:hAnsi="Arial" w:cs="Arial"/>
                <w:sz w:val="16"/>
                <w:szCs w:val="16"/>
              </w:rPr>
              <w:t xml:space="preserve">            -   </w:t>
            </w:r>
          </w:p>
        </w:tc>
        <w:tc>
          <w:tcPr>
            <w:tcW w:w="530" w:type="pct"/>
            <w:tcBorders>
              <w:top w:val="nil"/>
              <w:left w:val="nil"/>
              <w:bottom w:val="nil"/>
              <w:right w:val="nil"/>
            </w:tcBorders>
            <w:shd w:val="clear" w:color="auto" w:fill="auto"/>
            <w:noWrap/>
            <w:vAlign w:val="bottom"/>
            <w:hideMark/>
          </w:tcPr>
          <w:p w14:paraId="73920991" w14:textId="77777777" w:rsidR="004C3971" w:rsidRPr="004C3971" w:rsidRDefault="004C3971" w:rsidP="004C3971">
            <w:pPr>
              <w:spacing w:after="0" w:line="240" w:lineRule="auto"/>
              <w:jc w:val="left"/>
              <w:rPr>
                <w:rFonts w:ascii="Arial" w:hAnsi="Arial" w:cs="Arial"/>
                <w:sz w:val="16"/>
                <w:szCs w:val="16"/>
              </w:rPr>
            </w:pPr>
            <w:r w:rsidRPr="004C3971">
              <w:rPr>
                <w:rFonts w:ascii="Arial" w:hAnsi="Arial" w:cs="Arial"/>
                <w:sz w:val="16"/>
                <w:szCs w:val="16"/>
              </w:rPr>
              <w:t xml:space="preserve">    11,850 </w:t>
            </w:r>
          </w:p>
        </w:tc>
        <w:tc>
          <w:tcPr>
            <w:tcW w:w="530" w:type="pct"/>
            <w:tcBorders>
              <w:top w:val="nil"/>
              <w:left w:val="nil"/>
              <w:bottom w:val="nil"/>
              <w:right w:val="nil"/>
            </w:tcBorders>
            <w:shd w:val="clear" w:color="000000" w:fill="E6E6E6"/>
            <w:noWrap/>
            <w:vAlign w:val="bottom"/>
            <w:hideMark/>
          </w:tcPr>
          <w:p w14:paraId="4485E38E" w14:textId="77777777" w:rsidR="004C3971" w:rsidRPr="004C3971" w:rsidRDefault="004C3971" w:rsidP="004C3971">
            <w:pPr>
              <w:spacing w:after="0" w:line="240" w:lineRule="auto"/>
              <w:jc w:val="left"/>
              <w:rPr>
                <w:rFonts w:ascii="Arial" w:hAnsi="Arial" w:cs="Arial"/>
                <w:sz w:val="16"/>
                <w:szCs w:val="16"/>
              </w:rPr>
            </w:pPr>
            <w:r w:rsidRPr="004C3971">
              <w:rPr>
                <w:rFonts w:ascii="Arial" w:hAnsi="Arial" w:cs="Arial"/>
                <w:sz w:val="16"/>
                <w:szCs w:val="16"/>
              </w:rPr>
              <w:t xml:space="preserve">    11,870 </w:t>
            </w:r>
          </w:p>
        </w:tc>
        <w:tc>
          <w:tcPr>
            <w:tcW w:w="530" w:type="pct"/>
            <w:tcBorders>
              <w:top w:val="nil"/>
              <w:left w:val="nil"/>
              <w:bottom w:val="nil"/>
              <w:right w:val="nil"/>
            </w:tcBorders>
            <w:shd w:val="clear" w:color="auto" w:fill="auto"/>
            <w:noWrap/>
            <w:vAlign w:val="bottom"/>
            <w:hideMark/>
          </w:tcPr>
          <w:p w14:paraId="5F779D5E" w14:textId="77777777" w:rsidR="004C3971" w:rsidRPr="004C3971" w:rsidRDefault="004C3971" w:rsidP="004C3971">
            <w:pPr>
              <w:spacing w:after="0" w:line="240" w:lineRule="auto"/>
              <w:jc w:val="left"/>
              <w:rPr>
                <w:rFonts w:ascii="Arial" w:hAnsi="Arial" w:cs="Arial"/>
                <w:sz w:val="16"/>
                <w:szCs w:val="16"/>
              </w:rPr>
            </w:pPr>
            <w:r w:rsidRPr="004C3971">
              <w:rPr>
                <w:rFonts w:ascii="Arial" w:hAnsi="Arial" w:cs="Arial"/>
                <w:sz w:val="16"/>
                <w:szCs w:val="16"/>
              </w:rPr>
              <w:t xml:space="preserve">            -   </w:t>
            </w:r>
          </w:p>
        </w:tc>
        <w:tc>
          <w:tcPr>
            <w:tcW w:w="527" w:type="pct"/>
            <w:tcBorders>
              <w:top w:val="nil"/>
              <w:left w:val="nil"/>
              <w:bottom w:val="nil"/>
              <w:right w:val="nil"/>
            </w:tcBorders>
            <w:shd w:val="clear" w:color="000000" w:fill="E6E6E6"/>
            <w:noWrap/>
            <w:vAlign w:val="bottom"/>
            <w:hideMark/>
          </w:tcPr>
          <w:p w14:paraId="0ADD16BD" w14:textId="77777777" w:rsidR="004C3971" w:rsidRPr="004C3971" w:rsidRDefault="004C3971" w:rsidP="004C3971">
            <w:pPr>
              <w:spacing w:after="0" w:line="240" w:lineRule="auto"/>
              <w:jc w:val="left"/>
              <w:rPr>
                <w:rFonts w:ascii="Arial" w:hAnsi="Arial" w:cs="Arial"/>
                <w:sz w:val="16"/>
                <w:szCs w:val="16"/>
              </w:rPr>
            </w:pPr>
            <w:r w:rsidRPr="004C3971">
              <w:rPr>
                <w:rFonts w:ascii="Arial" w:hAnsi="Arial" w:cs="Arial"/>
                <w:sz w:val="16"/>
                <w:szCs w:val="16"/>
              </w:rPr>
              <w:t xml:space="preserve">            -   </w:t>
            </w:r>
          </w:p>
        </w:tc>
      </w:tr>
      <w:tr w:rsidR="004C3971" w:rsidRPr="004C3971" w14:paraId="6DE20CBA" w14:textId="77777777" w:rsidTr="004C3971">
        <w:trPr>
          <w:trHeight w:val="435"/>
        </w:trPr>
        <w:tc>
          <w:tcPr>
            <w:tcW w:w="1824" w:type="pct"/>
            <w:tcBorders>
              <w:top w:val="nil"/>
              <w:left w:val="nil"/>
              <w:bottom w:val="nil"/>
              <w:right w:val="nil"/>
            </w:tcBorders>
            <w:shd w:val="clear" w:color="auto" w:fill="auto"/>
            <w:vAlign w:val="bottom"/>
            <w:hideMark/>
          </w:tcPr>
          <w:p w14:paraId="3A1C0B1D" w14:textId="5AEEC27F" w:rsidR="004C3971" w:rsidRPr="004C3971" w:rsidRDefault="004C3971" w:rsidP="004C3971">
            <w:pPr>
              <w:spacing w:after="0" w:line="240" w:lineRule="auto"/>
              <w:jc w:val="left"/>
              <w:rPr>
                <w:rFonts w:ascii="Arial" w:hAnsi="Arial" w:cs="Arial"/>
                <w:sz w:val="16"/>
                <w:szCs w:val="16"/>
              </w:rPr>
            </w:pPr>
            <w:r w:rsidRPr="004C3971">
              <w:rPr>
                <w:rFonts w:ascii="Arial" w:hAnsi="Arial" w:cs="Arial"/>
                <w:sz w:val="16"/>
                <w:szCs w:val="16"/>
              </w:rPr>
              <w:t>Commonwealth's Deregulation</w:t>
            </w:r>
            <w:r w:rsidRPr="004C3971">
              <w:rPr>
                <w:rFonts w:ascii="Arial" w:hAnsi="Arial" w:cs="Arial"/>
                <w:sz w:val="16"/>
                <w:szCs w:val="16"/>
              </w:rPr>
              <w:br/>
              <w:t xml:space="preserve"> </w:t>
            </w:r>
            <w:r>
              <w:rPr>
                <w:rFonts w:ascii="Arial" w:hAnsi="Arial" w:cs="Arial"/>
                <w:sz w:val="16"/>
                <w:szCs w:val="16"/>
              </w:rPr>
              <w:t xml:space="preserve"> </w:t>
            </w:r>
            <w:r w:rsidRPr="004C3971">
              <w:rPr>
                <w:rFonts w:ascii="Arial" w:hAnsi="Arial" w:cs="Arial"/>
                <w:sz w:val="16"/>
                <w:szCs w:val="16"/>
              </w:rPr>
              <w:t>Agenda</w:t>
            </w:r>
          </w:p>
        </w:tc>
        <w:tc>
          <w:tcPr>
            <w:tcW w:w="530" w:type="pct"/>
            <w:tcBorders>
              <w:top w:val="nil"/>
              <w:left w:val="nil"/>
              <w:bottom w:val="nil"/>
              <w:right w:val="nil"/>
            </w:tcBorders>
            <w:shd w:val="clear" w:color="auto" w:fill="auto"/>
            <w:noWrap/>
            <w:vAlign w:val="bottom"/>
            <w:hideMark/>
          </w:tcPr>
          <w:p w14:paraId="60E3210A" w14:textId="77777777" w:rsidR="004C3971" w:rsidRPr="004C3971" w:rsidRDefault="004C3971" w:rsidP="004C3971">
            <w:pPr>
              <w:spacing w:after="0" w:line="240" w:lineRule="auto"/>
              <w:jc w:val="lef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04775DBE" w14:textId="77777777" w:rsidR="004C3971" w:rsidRPr="004C3971" w:rsidRDefault="004C3971" w:rsidP="004C3971">
            <w:pPr>
              <w:spacing w:after="0" w:line="240" w:lineRule="auto"/>
              <w:jc w:val="left"/>
              <w:rPr>
                <w:rFonts w:ascii="Arial" w:hAnsi="Arial" w:cs="Arial"/>
                <w:sz w:val="16"/>
                <w:szCs w:val="16"/>
              </w:rPr>
            </w:pPr>
            <w:r w:rsidRPr="004C3971">
              <w:rPr>
                <w:rFonts w:ascii="Arial" w:hAnsi="Arial" w:cs="Arial"/>
                <w:sz w:val="16"/>
                <w:szCs w:val="16"/>
              </w:rPr>
              <w:t> </w:t>
            </w:r>
          </w:p>
        </w:tc>
        <w:tc>
          <w:tcPr>
            <w:tcW w:w="530" w:type="pct"/>
            <w:tcBorders>
              <w:top w:val="nil"/>
              <w:left w:val="nil"/>
              <w:bottom w:val="nil"/>
              <w:right w:val="nil"/>
            </w:tcBorders>
            <w:shd w:val="clear" w:color="auto" w:fill="auto"/>
            <w:noWrap/>
            <w:vAlign w:val="bottom"/>
            <w:hideMark/>
          </w:tcPr>
          <w:p w14:paraId="72540515" w14:textId="77777777" w:rsidR="004C3971" w:rsidRPr="004C3971" w:rsidRDefault="004C3971" w:rsidP="004C3971">
            <w:pPr>
              <w:spacing w:after="0" w:line="240" w:lineRule="auto"/>
              <w:jc w:val="lef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1C53E646" w14:textId="77777777" w:rsidR="004C3971" w:rsidRPr="004C3971" w:rsidRDefault="004C3971" w:rsidP="004C3971">
            <w:pPr>
              <w:spacing w:after="0" w:line="240" w:lineRule="auto"/>
              <w:jc w:val="left"/>
              <w:rPr>
                <w:rFonts w:ascii="Arial" w:hAnsi="Arial" w:cs="Arial"/>
                <w:sz w:val="16"/>
                <w:szCs w:val="16"/>
              </w:rPr>
            </w:pPr>
            <w:r w:rsidRPr="004C3971">
              <w:rPr>
                <w:rFonts w:ascii="Arial" w:hAnsi="Arial" w:cs="Arial"/>
                <w:sz w:val="16"/>
                <w:szCs w:val="16"/>
              </w:rPr>
              <w:t> </w:t>
            </w:r>
          </w:p>
        </w:tc>
        <w:tc>
          <w:tcPr>
            <w:tcW w:w="530" w:type="pct"/>
            <w:tcBorders>
              <w:top w:val="nil"/>
              <w:left w:val="nil"/>
              <w:bottom w:val="nil"/>
              <w:right w:val="nil"/>
            </w:tcBorders>
            <w:shd w:val="clear" w:color="auto" w:fill="auto"/>
            <w:noWrap/>
            <w:vAlign w:val="bottom"/>
            <w:hideMark/>
          </w:tcPr>
          <w:p w14:paraId="59B5D7C8" w14:textId="77777777" w:rsidR="004C3971" w:rsidRPr="004C3971" w:rsidRDefault="004C3971" w:rsidP="004C3971">
            <w:pPr>
              <w:spacing w:after="0" w:line="240" w:lineRule="auto"/>
              <w:jc w:val="left"/>
              <w:rPr>
                <w:rFonts w:ascii="Arial" w:hAnsi="Arial" w:cs="Arial"/>
                <w:sz w:val="16"/>
                <w:szCs w:val="16"/>
              </w:rPr>
            </w:pPr>
          </w:p>
        </w:tc>
        <w:tc>
          <w:tcPr>
            <w:tcW w:w="527" w:type="pct"/>
            <w:tcBorders>
              <w:top w:val="nil"/>
              <w:left w:val="nil"/>
              <w:bottom w:val="nil"/>
              <w:right w:val="nil"/>
            </w:tcBorders>
            <w:shd w:val="clear" w:color="000000" w:fill="E6E6E6"/>
            <w:noWrap/>
            <w:vAlign w:val="bottom"/>
            <w:hideMark/>
          </w:tcPr>
          <w:p w14:paraId="3023F105" w14:textId="77777777" w:rsidR="004C3971" w:rsidRPr="004C3971" w:rsidRDefault="004C3971" w:rsidP="004C3971">
            <w:pPr>
              <w:spacing w:after="0" w:line="240" w:lineRule="auto"/>
              <w:jc w:val="left"/>
              <w:rPr>
                <w:rFonts w:ascii="Arial" w:hAnsi="Arial" w:cs="Arial"/>
                <w:sz w:val="16"/>
                <w:szCs w:val="16"/>
              </w:rPr>
            </w:pPr>
            <w:r w:rsidRPr="004C3971">
              <w:rPr>
                <w:rFonts w:ascii="Arial" w:hAnsi="Arial" w:cs="Arial"/>
                <w:sz w:val="16"/>
                <w:szCs w:val="16"/>
              </w:rPr>
              <w:t> </w:t>
            </w:r>
          </w:p>
        </w:tc>
      </w:tr>
      <w:tr w:rsidR="004C3971" w:rsidRPr="004C3971" w14:paraId="38088E3C" w14:textId="77777777" w:rsidTr="004C3971">
        <w:trPr>
          <w:trHeight w:val="237"/>
        </w:trPr>
        <w:tc>
          <w:tcPr>
            <w:tcW w:w="1824" w:type="pct"/>
            <w:tcBorders>
              <w:top w:val="nil"/>
              <w:left w:val="nil"/>
              <w:bottom w:val="nil"/>
              <w:right w:val="nil"/>
            </w:tcBorders>
            <w:shd w:val="clear" w:color="auto" w:fill="auto"/>
            <w:vAlign w:val="bottom"/>
            <w:hideMark/>
          </w:tcPr>
          <w:p w14:paraId="140F3974" w14:textId="77777777" w:rsidR="004C3971" w:rsidRPr="004C3971" w:rsidRDefault="004C3971" w:rsidP="004C3971">
            <w:pPr>
              <w:spacing w:after="0" w:line="240" w:lineRule="auto"/>
              <w:ind w:firstLineChars="100" w:firstLine="160"/>
              <w:jc w:val="left"/>
              <w:rPr>
                <w:rFonts w:ascii="Arial" w:hAnsi="Arial" w:cs="Arial"/>
                <w:sz w:val="16"/>
                <w:szCs w:val="16"/>
              </w:rPr>
            </w:pPr>
            <w:r w:rsidRPr="004C3971">
              <w:rPr>
                <w:rFonts w:ascii="Arial" w:hAnsi="Arial" w:cs="Arial"/>
                <w:sz w:val="16"/>
                <w:szCs w:val="16"/>
              </w:rPr>
              <w:t>Departmental payment</w:t>
            </w:r>
          </w:p>
        </w:tc>
        <w:tc>
          <w:tcPr>
            <w:tcW w:w="530" w:type="pct"/>
            <w:tcBorders>
              <w:top w:val="nil"/>
              <w:left w:val="nil"/>
              <w:bottom w:val="nil"/>
              <w:right w:val="nil"/>
            </w:tcBorders>
            <w:shd w:val="clear" w:color="auto" w:fill="auto"/>
            <w:noWrap/>
            <w:vAlign w:val="bottom"/>
            <w:hideMark/>
          </w:tcPr>
          <w:p w14:paraId="271BD09D" w14:textId="77777777" w:rsidR="004C3971" w:rsidRPr="004C3971" w:rsidRDefault="004C3971" w:rsidP="004C3971">
            <w:pPr>
              <w:spacing w:after="0" w:line="240" w:lineRule="auto"/>
              <w:jc w:val="center"/>
              <w:rPr>
                <w:rFonts w:ascii="Arial" w:hAnsi="Arial" w:cs="Arial"/>
                <w:sz w:val="16"/>
                <w:szCs w:val="16"/>
              </w:rPr>
            </w:pPr>
            <w:r w:rsidRPr="004C3971">
              <w:rPr>
                <w:rFonts w:ascii="Arial" w:hAnsi="Arial" w:cs="Arial"/>
                <w:sz w:val="16"/>
                <w:szCs w:val="16"/>
              </w:rPr>
              <w:t>1.2</w:t>
            </w:r>
          </w:p>
        </w:tc>
        <w:tc>
          <w:tcPr>
            <w:tcW w:w="530" w:type="pct"/>
            <w:tcBorders>
              <w:top w:val="nil"/>
              <w:left w:val="nil"/>
              <w:bottom w:val="nil"/>
              <w:right w:val="nil"/>
            </w:tcBorders>
            <w:shd w:val="clear" w:color="000000" w:fill="E6E6E6"/>
            <w:noWrap/>
            <w:vAlign w:val="bottom"/>
            <w:hideMark/>
          </w:tcPr>
          <w:p w14:paraId="711ED6B9" w14:textId="77777777" w:rsidR="004C3971" w:rsidRPr="004C3971" w:rsidRDefault="004C3971" w:rsidP="004C3971">
            <w:pPr>
              <w:spacing w:after="0" w:line="240" w:lineRule="auto"/>
              <w:jc w:val="left"/>
              <w:rPr>
                <w:rFonts w:ascii="Arial" w:hAnsi="Arial" w:cs="Arial"/>
                <w:sz w:val="16"/>
                <w:szCs w:val="16"/>
              </w:rPr>
            </w:pPr>
            <w:r w:rsidRPr="004C3971">
              <w:rPr>
                <w:rFonts w:ascii="Arial" w:hAnsi="Arial" w:cs="Arial"/>
                <w:sz w:val="16"/>
                <w:szCs w:val="16"/>
              </w:rPr>
              <w:t xml:space="preserve">            -   </w:t>
            </w:r>
          </w:p>
        </w:tc>
        <w:tc>
          <w:tcPr>
            <w:tcW w:w="530" w:type="pct"/>
            <w:tcBorders>
              <w:top w:val="nil"/>
              <w:left w:val="nil"/>
              <w:bottom w:val="nil"/>
              <w:right w:val="nil"/>
            </w:tcBorders>
            <w:shd w:val="clear" w:color="auto" w:fill="auto"/>
            <w:noWrap/>
            <w:vAlign w:val="bottom"/>
            <w:hideMark/>
          </w:tcPr>
          <w:p w14:paraId="4720602E" w14:textId="1C934432" w:rsidR="004C3971" w:rsidRPr="004C3971" w:rsidRDefault="004C3971" w:rsidP="004C3971">
            <w:pPr>
              <w:spacing w:after="0" w:line="240" w:lineRule="auto"/>
              <w:jc w:val="center"/>
              <w:rPr>
                <w:rFonts w:ascii="Arial" w:hAnsi="Arial" w:cs="Arial"/>
                <w:sz w:val="16"/>
                <w:szCs w:val="16"/>
              </w:rPr>
            </w:pPr>
            <w:r>
              <w:rPr>
                <w:rFonts w:ascii="Arial" w:hAnsi="Arial" w:cs="Arial"/>
                <w:sz w:val="16"/>
                <w:szCs w:val="16"/>
              </w:rPr>
              <w:t>1,673</w:t>
            </w:r>
          </w:p>
        </w:tc>
        <w:tc>
          <w:tcPr>
            <w:tcW w:w="530" w:type="pct"/>
            <w:tcBorders>
              <w:top w:val="nil"/>
              <w:left w:val="nil"/>
              <w:bottom w:val="nil"/>
              <w:right w:val="nil"/>
            </w:tcBorders>
            <w:shd w:val="clear" w:color="000000" w:fill="E6E6E6"/>
            <w:noWrap/>
            <w:vAlign w:val="bottom"/>
            <w:hideMark/>
          </w:tcPr>
          <w:p w14:paraId="4016B0FC" w14:textId="77777777" w:rsidR="004C3971" w:rsidRPr="004C3971" w:rsidRDefault="004C3971" w:rsidP="004C3971">
            <w:pPr>
              <w:spacing w:after="0" w:line="240" w:lineRule="auto"/>
              <w:jc w:val="left"/>
              <w:rPr>
                <w:rFonts w:ascii="Arial" w:hAnsi="Arial" w:cs="Arial"/>
                <w:sz w:val="16"/>
                <w:szCs w:val="16"/>
              </w:rPr>
            </w:pPr>
            <w:r w:rsidRPr="004C3971">
              <w:rPr>
                <w:rFonts w:ascii="Arial" w:hAnsi="Arial" w:cs="Arial"/>
                <w:sz w:val="16"/>
                <w:szCs w:val="16"/>
              </w:rPr>
              <w:t xml:space="preserve">      1,472 </w:t>
            </w:r>
          </w:p>
        </w:tc>
        <w:tc>
          <w:tcPr>
            <w:tcW w:w="530" w:type="pct"/>
            <w:tcBorders>
              <w:top w:val="nil"/>
              <w:left w:val="nil"/>
              <w:bottom w:val="nil"/>
              <w:right w:val="nil"/>
            </w:tcBorders>
            <w:shd w:val="clear" w:color="auto" w:fill="auto"/>
            <w:noWrap/>
            <w:vAlign w:val="bottom"/>
            <w:hideMark/>
          </w:tcPr>
          <w:p w14:paraId="41907915" w14:textId="77777777" w:rsidR="004C3971" w:rsidRPr="004C3971" w:rsidRDefault="004C3971" w:rsidP="004C3971">
            <w:pPr>
              <w:spacing w:after="0" w:line="240" w:lineRule="auto"/>
              <w:jc w:val="left"/>
              <w:rPr>
                <w:rFonts w:ascii="Arial" w:hAnsi="Arial" w:cs="Arial"/>
                <w:sz w:val="16"/>
                <w:szCs w:val="16"/>
              </w:rPr>
            </w:pPr>
            <w:r w:rsidRPr="004C3971">
              <w:rPr>
                <w:rFonts w:ascii="Arial" w:hAnsi="Arial" w:cs="Arial"/>
                <w:sz w:val="16"/>
                <w:szCs w:val="16"/>
              </w:rPr>
              <w:t xml:space="preserve">            -   </w:t>
            </w:r>
          </w:p>
        </w:tc>
        <w:tc>
          <w:tcPr>
            <w:tcW w:w="527" w:type="pct"/>
            <w:tcBorders>
              <w:top w:val="nil"/>
              <w:left w:val="nil"/>
              <w:bottom w:val="nil"/>
              <w:right w:val="nil"/>
            </w:tcBorders>
            <w:shd w:val="clear" w:color="000000" w:fill="E6E6E6"/>
            <w:noWrap/>
            <w:vAlign w:val="bottom"/>
            <w:hideMark/>
          </w:tcPr>
          <w:p w14:paraId="5E81E3AF" w14:textId="77777777" w:rsidR="004C3971" w:rsidRPr="004C3971" w:rsidRDefault="004C3971" w:rsidP="004C3971">
            <w:pPr>
              <w:spacing w:after="0" w:line="240" w:lineRule="auto"/>
              <w:jc w:val="left"/>
              <w:rPr>
                <w:rFonts w:ascii="Arial" w:hAnsi="Arial" w:cs="Arial"/>
                <w:sz w:val="16"/>
                <w:szCs w:val="16"/>
              </w:rPr>
            </w:pPr>
            <w:r w:rsidRPr="004C3971">
              <w:rPr>
                <w:rFonts w:ascii="Arial" w:hAnsi="Arial" w:cs="Arial"/>
                <w:sz w:val="16"/>
                <w:szCs w:val="16"/>
              </w:rPr>
              <w:t xml:space="preserve">            -   </w:t>
            </w:r>
          </w:p>
        </w:tc>
      </w:tr>
      <w:tr w:rsidR="004C3971" w:rsidRPr="004C3971" w14:paraId="3632C005" w14:textId="77777777" w:rsidTr="004C3971">
        <w:trPr>
          <w:trHeight w:val="270"/>
        </w:trPr>
        <w:tc>
          <w:tcPr>
            <w:tcW w:w="1824" w:type="pct"/>
            <w:tcBorders>
              <w:top w:val="nil"/>
              <w:left w:val="nil"/>
              <w:bottom w:val="nil"/>
              <w:right w:val="nil"/>
            </w:tcBorders>
            <w:shd w:val="clear" w:color="auto" w:fill="auto"/>
            <w:vAlign w:val="bottom"/>
            <w:hideMark/>
          </w:tcPr>
          <w:p w14:paraId="3B456F96" w14:textId="77777777" w:rsidR="004C3971" w:rsidRPr="004C3971" w:rsidRDefault="004C3971" w:rsidP="004C3971">
            <w:pPr>
              <w:spacing w:after="0" w:line="240" w:lineRule="auto"/>
              <w:jc w:val="left"/>
              <w:rPr>
                <w:rFonts w:ascii="Arial" w:hAnsi="Arial" w:cs="Arial"/>
                <w:sz w:val="16"/>
                <w:szCs w:val="16"/>
              </w:rPr>
            </w:pPr>
            <w:r w:rsidRPr="004C3971">
              <w:rPr>
                <w:rFonts w:ascii="Arial" w:hAnsi="Arial" w:cs="Arial"/>
                <w:sz w:val="16"/>
                <w:szCs w:val="16"/>
              </w:rPr>
              <w:t>Digital Economy Strategy</w:t>
            </w:r>
          </w:p>
        </w:tc>
        <w:tc>
          <w:tcPr>
            <w:tcW w:w="530" w:type="pct"/>
            <w:tcBorders>
              <w:top w:val="nil"/>
              <w:left w:val="nil"/>
              <w:bottom w:val="nil"/>
              <w:right w:val="nil"/>
            </w:tcBorders>
            <w:shd w:val="clear" w:color="auto" w:fill="auto"/>
            <w:noWrap/>
            <w:vAlign w:val="bottom"/>
            <w:hideMark/>
          </w:tcPr>
          <w:p w14:paraId="71D69486" w14:textId="77777777" w:rsidR="004C3971" w:rsidRPr="004C3971" w:rsidRDefault="004C3971" w:rsidP="004C3971">
            <w:pPr>
              <w:spacing w:after="0" w:line="240" w:lineRule="auto"/>
              <w:jc w:val="lef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500CBA03" w14:textId="77777777" w:rsidR="004C3971" w:rsidRPr="004C3971" w:rsidRDefault="004C3971" w:rsidP="004C3971">
            <w:pPr>
              <w:spacing w:after="0" w:line="240" w:lineRule="auto"/>
              <w:jc w:val="left"/>
              <w:rPr>
                <w:rFonts w:ascii="Arial" w:hAnsi="Arial" w:cs="Arial"/>
                <w:sz w:val="16"/>
                <w:szCs w:val="16"/>
              </w:rPr>
            </w:pPr>
            <w:r w:rsidRPr="004C3971">
              <w:rPr>
                <w:rFonts w:ascii="Arial" w:hAnsi="Arial" w:cs="Arial"/>
                <w:sz w:val="16"/>
                <w:szCs w:val="16"/>
              </w:rPr>
              <w:t> </w:t>
            </w:r>
          </w:p>
        </w:tc>
        <w:tc>
          <w:tcPr>
            <w:tcW w:w="530" w:type="pct"/>
            <w:tcBorders>
              <w:top w:val="nil"/>
              <w:left w:val="nil"/>
              <w:bottom w:val="nil"/>
              <w:right w:val="nil"/>
            </w:tcBorders>
            <w:shd w:val="clear" w:color="auto" w:fill="auto"/>
            <w:noWrap/>
            <w:vAlign w:val="bottom"/>
            <w:hideMark/>
          </w:tcPr>
          <w:p w14:paraId="1348DD22" w14:textId="77777777" w:rsidR="004C3971" w:rsidRPr="004C3971" w:rsidRDefault="004C3971" w:rsidP="004C3971">
            <w:pPr>
              <w:spacing w:after="0" w:line="240" w:lineRule="auto"/>
              <w:jc w:val="lef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6D58253C" w14:textId="77777777" w:rsidR="004C3971" w:rsidRPr="004C3971" w:rsidRDefault="004C3971" w:rsidP="004C3971">
            <w:pPr>
              <w:spacing w:after="0" w:line="240" w:lineRule="auto"/>
              <w:jc w:val="left"/>
              <w:rPr>
                <w:rFonts w:ascii="Arial" w:hAnsi="Arial" w:cs="Arial"/>
                <w:sz w:val="16"/>
                <w:szCs w:val="16"/>
              </w:rPr>
            </w:pPr>
            <w:r w:rsidRPr="004C3971">
              <w:rPr>
                <w:rFonts w:ascii="Arial" w:hAnsi="Arial" w:cs="Arial"/>
                <w:sz w:val="16"/>
                <w:szCs w:val="16"/>
              </w:rPr>
              <w:t> </w:t>
            </w:r>
          </w:p>
        </w:tc>
        <w:tc>
          <w:tcPr>
            <w:tcW w:w="530" w:type="pct"/>
            <w:tcBorders>
              <w:top w:val="nil"/>
              <w:left w:val="nil"/>
              <w:bottom w:val="nil"/>
              <w:right w:val="nil"/>
            </w:tcBorders>
            <w:shd w:val="clear" w:color="auto" w:fill="auto"/>
            <w:noWrap/>
            <w:vAlign w:val="bottom"/>
            <w:hideMark/>
          </w:tcPr>
          <w:p w14:paraId="69995E5D" w14:textId="77777777" w:rsidR="004C3971" w:rsidRPr="004C3971" w:rsidRDefault="004C3971" w:rsidP="004C3971">
            <w:pPr>
              <w:spacing w:after="0" w:line="240" w:lineRule="auto"/>
              <w:jc w:val="left"/>
              <w:rPr>
                <w:rFonts w:ascii="Arial" w:hAnsi="Arial" w:cs="Arial"/>
                <w:sz w:val="16"/>
                <w:szCs w:val="16"/>
              </w:rPr>
            </w:pPr>
          </w:p>
        </w:tc>
        <w:tc>
          <w:tcPr>
            <w:tcW w:w="527" w:type="pct"/>
            <w:tcBorders>
              <w:top w:val="nil"/>
              <w:left w:val="nil"/>
              <w:bottom w:val="nil"/>
              <w:right w:val="nil"/>
            </w:tcBorders>
            <w:shd w:val="clear" w:color="000000" w:fill="E6E6E6"/>
            <w:noWrap/>
            <w:vAlign w:val="bottom"/>
            <w:hideMark/>
          </w:tcPr>
          <w:p w14:paraId="3BC60175" w14:textId="77777777" w:rsidR="004C3971" w:rsidRPr="004C3971" w:rsidRDefault="004C3971" w:rsidP="004C3971">
            <w:pPr>
              <w:spacing w:after="0" w:line="240" w:lineRule="auto"/>
              <w:jc w:val="left"/>
              <w:rPr>
                <w:rFonts w:ascii="Arial" w:hAnsi="Arial" w:cs="Arial"/>
                <w:sz w:val="16"/>
                <w:szCs w:val="16"/>
              </w:rPr>
            </w:pPr>
            <w:r w:rsidRPr="004C3971">
              <w:rPr>
                <w:rFonts w:ascii="Arial" w:hAnsi="Arial" w:cs="Arial"/>
                <w:sz w:val="16"/>
                <w:szCs w:val="16"/>
              </w:rPr>
              <w:t> </w:t>
            </w:r>
          </w:p>
        </w:tc>
      </w:tr>
      <w:tr w:rsidR="004C3971" w:rsidRPr="004C3971" w14:paraId="5E436EF2" w14:textId="77777777" w:rsidTr="00EC19C7">
        <w:trPr>
          <w:trHeight w:val="237"/>
        </w:trPr>
        <w:tc>
          <w:tcPr>
            <w:tcW w:w="1824" w:type="pct"/>
            <w:tcBorders>
              <w:top w:val="nil"/>
              <w:left w:val="nil"/>
              <w:bottom w:val="nil"/>
              <w:right w:val="nil"/>
            </w:tcBorders>
            <w:shd w:val="clear" w:color="auto" w:fill="auto"/>
            <w:vAlign w:val="bottom"/>
            <w:hideMark/>
          </w:tcPr>
          <w:p w14:paraId="53FD437A" w14:textId="77777777" w:rsidR="004C3971" w:rsidRPr="004C3971" w:rsidRDefault="004C3971" w:rsidP="004C3971">
            <w:pPr>
              <w:spacing w:after="0" w:line="240" w:lineRule="auto"/>
              <w:ind w:firstLineChars="100" w:firstLine="160"/>
              <w:jc w:val="left"/>
              <w:rPr>
                <w:rFonts w:ascii="Arial" w:hAnsi="Arial" w:cs="Arial"/>
                <w:sz w:val="16"/>
                <w:szCs w:val="16"/>
              </w:rPr>
            </w:pPr>
            <w:r w:rsidRPr="004C3971">
              <w:rPr>
                <w:rFonts w:ascii="Arial" w:hAnsi="Arial" w:cs="Arial"/>
                <w:sz w:val="16"/>
                <w:szCs w:val="16"/>
              </w:rPr>
              <w:t>Departmental payment</w:t>
            </w:r>
          </w:p>
        </w:tc>
        <w:tc>
          <w:tcPr>
            <w:tcW w:w="530" w:type="pct"/>
            <w:tcBorders>
              <w:top w:val="nil"/>
              <w:left w:val="nil"/>
              <w:bottom w:val="nil"/>
              <w:right w:val="nil"/>
            </w:tcBorders>
            <w:shd w:val="clear" w:color="auto" w:fill="auto"/>
            <w:noWrap/>
            <w:vAlign w:val="bottom"/>
            <w:hideMark/>
          </w:tcPr>
          <w:p w14:paraId="361279FC" w14:textId="77777777" w:rsidR="004C3971" w:rsidRPr="004C3971" w:rsidRDefault="004C3971" w:rsidP="004C3971">
            <w:pPr>
              <w:spacing w:after="0" w:line="240" w:lineRule="auto"/>
              <w:jc w:val="center"/>
              <w:rPr>
                <w:rFonts w:ascii="Arial" w:hAnsi="Arial" w:cs="Arial"/>
                <w:sz w:val="16"/>
                <w:szCs w:val="16"/>
              </w:rPr>
            </w:pPr>
            <w:r w:rsidRPr="004C3971">
              <w:rPr>
                <w:rFonts w:ascii="Arial" w:hAnsi="Arial" w:cs="Arial"/>
                <w:sz w:val="16"/>
                <w:szCs w:val="16"/>
              </w:rPr>
              <w:t>1.1</w:t>
            </w:r>
          </w:p>
        </w:tc>
        <w:tc>
          <w:tcPr>
            <w:tcW w:w="530" w:type="pct"/>
            <w:tcBorders>
              <w:top w:val="nil"/>
              <w:left w:val="nil"/>
              <w:bottom w:val="nil"/>
              <w:right w:val="nil"/>
            </w:tcBorders>
            <w:shd w:val="clear" w:color="000000" w:fill="E6E6E6"/>
            <w:noWrap/>
            <w:vAlign w:val="bottom"/>
            <w:hideMark/>
          </w:tcPr>
          <w:p w14:paraId="7DDE8A24" w14:textId="0588EB24" w:rsidR="004C3971" w:rsidRPr="004C3971" w:rsidRDefault="00EC19C7" w:rsidP="00EC19C7">
            <w:pPr>
              <w:spacing w:after="0" w:line="240" w:lineRule="auto"/>
              <w:jc w:val="center"/>
              <w:rPr>
                <w:rFonts w:ascii="Arial" w:hAnsi="Arial" w:cs="Arial"/>
                <w:sz w:val="16"/>
                <w:szCs w:val="16"/>
              </w:rPr>
            </w:pPr>
            <w:r>
              <w:rPr>
                <w:rFonts w:ascii="Arial" w:hAnsi="Arial" w:cs="Arial"/>
                <w:sz w:val="16"/>
                <w:szCs w:val="16"/>
              </w:rPr>
              <w:t xml:space="preserve">       </w:t>
            </w:r>
            <w:r w:rsidR="004C3971" w:rsidRPr="004C3971">
              <w:rPr>
                <w:rFonts w:ascii="Arial" w:hAnsi="Arial" w:cs="Arial"/>
                <w:sz w:val="16"/>
                <w:szCs w:val="16"/>
              </w:rPr>
              <w:t>-</w:t>
            </w:r>
          </w:p>
        </w:tc>
        <w:tc>
          <w:tcPr>
            <w:tcW w:w="530" w:type="pct"/>
            <w:tcBorders>
              <w:top w:val="nil"/>
              <w:left w:val="nil"/>
              <w:bottom w:val="nil"/>
              <w:right w:val="nil"/>
            </w:tcBorders>
            <w:shd w:val="clear" w:color="auto" w:fill="auto"/>
            <w:noWrap/>
            <w:vAlign w:val="bottom"/>
            <w:hideMark/>
          </w:tcPr>
          <w:p w14:paraId="5D667FDC" w14:textId="7258B858" w:rsidR="004C3971" w:rsidRPr="004C3971" w:rsidRDefault="004C3971" w:rsidP="00EC19C7">
            <w:pPr>
              <w:spacing w:after="0" w:line="240" w:lineRule="auto"/>
              <w:jc w:val="center"/>
              <w:rPr>
                <w:rFonts w:ascii="Arial" w:hAnsi="Arial" w:cs="Arial"/>
                <w:sz w:val="16"/>
                <w:szCs w:val="16"/>
              </w:rPr>
            </w:pPr>
            <w:r w:rsidRPr="004C3971">
              <w:rPr>
                <w:rFonts w:ascii="Arial" w:hAnsi="Arial" w:cs="Arial"/>
                <w:sz w:val="16"/>
                <w:szCs w:val="16"/>
              </w:rPr>
              <w:t>43,422</w:t>
            </w:r>
          </w:p>
        </w:tc>
        <w:tc>
          <w:tcPr>
            <w:tcW w:w="530" w:type="pct"/>
            <w:tcBorders>
              <w:top w:val="nil"/>
              <w:left w:val="nil"/>
              <w:bottom w:val="nil"/>
              <w:right w:val="nil"/>
            </w:tcBorders>
            <w:shd w:val="clear" w:color="000000" w:fill="E6E6E6"/>
            <w:noWrap/>
            <w:vAlign w:val="bottom"/>
            <w:hideMark/>
          </w:tcPr>
          <w:p w14:paraId="404413A2" w14:textId="66EC69A8" w:rsidR="004C3971" w:rsidRPr="004C3971" w:rsidRDefault="004C3971" w:rsidP="00EC19C7">
            <w:pPr>
              <w:spacing w:after="0" w:line="240" w:lineRule="auto"/>
              <w:jc w:val="center"/>
              <w:rPr>
                <w:rFonts w:ascii="Arial" w:hAnsi="Arial" w:cs="Arial"/>
                <w:sz w:val="16"/>
                <w:szCs w:val="16"/>
              </w:rPr>
            </w:pPr>
            <w:r w:rsidRPr="004C3971">
              <w:rPr>
                <w:rFonts w:ascii="Arial" w:hAnsi="Arial" w:cs="Arial"/>
                <w:sz w:val="16"/>
                <w:szCs w:val="16"/>
              </w:rPr>
              <w:t>32,755</w:t>
            </w:r>
          </w:p>
        </w:tc>
        <w:tc>
          <w:tcPr>
            <w:tcW w:w="530" w:type="pct"/>
            <w:tcBorders>
              <w:top w:val="nil"/>
              <w:left w:val="nil"/>
              <w:bottom w:val="nil"/>
              <w:right w:val="nil"/>
            </w:tcBorders>
            <w:shd w:val="clear" w:color="auto" w:fill="auto"/>
            <w:noWrap/>
            <w:vAlign w:val="bottom"/>
            <w:hideMark/>
          </w:tcPr>
          <w:p w14:paraId="0EB1F93C" w14:textId="50615504" w:rsidR="004C3971" w:rsidRPr="004C3971" w:rsidRDefault="004C3971" w:rsidP="00EC19C7">
            <w:pPr>
              <w:spacing w:after="0" w:line="240" w:lineRule="auto"/>
              <w:jc w:val="center"/>
              <w:rPr>
                <w:rFonts w:ascii="Arial" w:hAnsi="Arial" w:cs="Arial"/>
                <w:sz w:val="16"/>
                <w:szCs w:val="16"/>
              </w:rPr>
            </w:pPr>
            <w:r w:rsidRPr="004C3971">
              <w:rPr>
                <w:rFonts w:ascii="Arial" w:hAnsi="Arial" w:cs="Arial"/>
                <w:sz w:val="16"/>
                <w:szCs w:val="16"/>
              </w:rPr>
              <w:t>1,811</w:t>
            </w:r>
          </w:p>
        </w:tc>
        <w:tc>
          <w:tcPr>
            <w:tcW w:w="527" w:type="pct"/>
            <w:tcBorders>
              <w:top w:val="nil"/>
              <w:left w:val="nil"/>
              <w:bottom w:val="nil"/>
              <w:right w:val="nil"/>
            </w:tcBorders>
            <w:shd w:val="clear" w:color="000000" w:fill="E6E6E6"/>
            <w:noWrap/>
            <w:vAlign w:val="bottom"/>
            <w:hideMark/>
          </w:tcPr>
          <w:p w14:paraId="5CB31BEE" w14:textId="5078FB95" w:rsidR="004C3971" w:rsidRPr="004C3971" w:rsidRDefault="004C3971" w:rsidP="00EC19C7">
            <w:pPr>
              <w:spacing w:after="0" w:line="240" w:lineRule="auto"/>
              <w:jc w:val="center"/>
              <w:rPr>
                <w:rFonts w:ascii="Arial" w:hAnsi="Arial" w:cs="Arial"/>
                <w:sz w:val="16"/>
                <w:szCs w:val="16"/>
              </w:rPr>
            </w:pPr>
            <w:r w:rsidRPr="004C3971">
              <w:rPr>
                <w:rFonts w:ascii="Arial" w:hAnsi="Arial" w:cs="Arial"/>
                <w:sz w:val="16"/>
                <w:szCs w:val="16"/>
              </w:rPr>
              <w:t>1,811</w:t>
            </w:r>
          </w:p>
        </w:tc>
      </w:tr>
      <w:tr w:rsidR="004C3971" w:rsidRPr="004C3971" w14:paraId="6EC9D38B" w14:textId="77777777" w:rsidTr="004C3971">
        <w:trPr>
          <w:trHeight w:val="225"/>
        </w:trPr>
        <w:tc>
          <w:tcPr>
            <w:tcW w:w="1824" w:type="pct"/>
            <w:tcBorders>
              <w:top w:val="nil"/>
              <w:left w:val="nil"/>
              <w:bottom w:val="nil"/>
              <w:right w:val="nil"/>
            </w:tcBorders>
            <w:shd w:val="clear" w:color="auto" w:fill="auto"/>
            <w:vAlign w:val="bottom"/>
            <w:hideMark/>
          </w:tcPr>
          <w:p w14:paraId="5C0432EC" w14:textId="77777777" w:rsidR="004C3971" w:rsidRPr="004C3971" w:rsidRDefault="004C3971" w:rsidP="004C3971">
            <w:pPr>
              <w:spacing w:after="0" w:line="240" w:lineRule="auto"/>
              <w:ind w:firstLineChars="100" w:firstLine="160"/>
              <w:jc w:val="left"/>
              <w:rPr>
                <w:rFonts w:ascii="Arial" w:hAnsi="Arial" w:cs="Arial"/>
                <w:sz w:val="16"/>
                <w:szCs w:val="16"/>
              </w:rPr>
            </w:pPr>
            <w:r w:rsidRPr="004C3971">
              <w:rPr>
                <w:rFonts w:ascii="Arial" w:hAnsi="Arial" w:cs="Arial"/>
                <w:sz w:val="16"/>
                <w:szCs w:val="16"/>
              </w:rPr>
              <w:t>Departmental payment</w:t>
            </w:r>
          </w:p>
        </w:tc>
        <w:tc>
          <w:tcPr>
            <w:tcW w:w="530" w:type="pct"/>
            <w:tcBorders>
              <w:top w:val="nil"/>
              <w:left w:val="nil"/>
              <w:bottom w:val="nil"/>
              <w:right w:val="nil"/>
            </w:tcBorders>
            <w:shd w:val="clear" w:color="auto" w:fill="auto"/>
            <w:noWrap/>
            <w:vAlign w:val="bottom"/>
            <w:hideMark/>
          </w:tcPr>
          <w:p w14:paraId="28226EFD" w14:textId="77777777" w:rsidR="004C3971" w:rsidRPr="004C3971" w:rsidRDefault="004C3971" w:rsidP="004C3971">
            <w:pPr>
              <w:spacing w:after="0" w:line="240" w:lineRule="auto"/>
              <w:jc w:val="center"/>
              <w:rPr>
                <w:rFonts w:ascii="Arial" w:hAnsi="Arial" w:cs="Arial"/>
                <w:sz w:val="16"/>
                <w:szCs w:val="16"/>
              </w:rPr>
            </w:pPr>
            <w:r w:rsidRPr="004C3971">
              <w:rPr>
                <w:rFonts w:ascii="Arial" w:hAnsi="Arial" w:cs="Arial"/>
                <w:sz w:val="16"/>
                <w:szCs w:val="16"/>
              </w:rPr>
              <w:t>1.2</w:t>
            </w:r>
          </w:p>
        </w:tc>
        <w:tc>
          <w:tcPr>
            <w:tcW w:w="530" w:type="pct"/>
            <w:tcBorders>
              <w:top w:val="nil"/>
              <w:left w:val="nil"/>
              <w:bottom w:val="nil"/>
              <w:right w:val="nil"/>
            </w:tcBorders>
            <w:shd w:val="clear" w:color="000000" w:fill="E6E6E6"/>
            <w:noWrap/>
            <w:vAlign w:val="bottom"/>
            <w:hideMark/>
          </w:tcPr>
          <w:p w14:paraId="4C089EED" w14:textId="77777777" w:rsidR="004C3971" w:rsidRPr="004C3971" w:rsidRDefault="004C3971" w:rsidP="004C3971">
            <w:pPr>
              <w:spacing w:after="0" w:line="240" w:lineRule="auto"/>
              <w:jc w:val="left"/>
              <w:rPr>
                <w:rFonts w:ascii="Arial" w:hAnsi="Arial" w:cs="Arial"/>
                <w:sz w:val="16"/>
                <w:szCs w:val="16"/>
              </w:rPr>
            </w:pPr>
            <w:r w:rsidRPr="004C3971">
              <w:rPr>
                <w:rFonts w:ascii="Arial" w:hAnsi="Arial" w:cs="Arial"/>
                <w:sz w:val="16"/>
                <w:szCs w:val="16"/>
              </w:rPr>
              <w:t xml:space="preserve">            -   </w:t>
            </w:r>
          </w:p>
        </w:tc>
        <w:tc>
          <w:tcPr>
            <w:tcW w:w="530" w:type="pct"/>
            <w:tcBorders>
              <w:top w:val="nil"/>
              <w:left w:val="nil"/>
              <w:bottom w:val="nil"/>
              <w:right w:val="nil"/>
            </w:tcBorders>
            <w:shd w:val="clear" w:color="auto" w:fill="auto"/>
            <w:noWrap/>
            <w:vAlign w:val="bottom"/>
            <w:hideMark/>
          </w:tcPr>
          <w:p w14:paraId="01C5BABA" w14:textId="77777777" w:rsidR="004C3971" w:rsidRPr="004C3971" w:rsidRDefault="004C3971" w:rsidP="004C3971">
            <w:pPr>
              <w:spacing w:after="0" w:line="240" w:lineRule="auto"/>
              <w:jc w:val="left"/>
              <w:rPr>
                <w:rFonts w:ascii="Arial" w:hAnsi="Arial" w:cs="Arial"/>
                <w:sz w:val="16"/>
                <w:szCs w:val="16"/>
              </w:rPr>
            </w:pPr>
            <w:r w:rsidRPr="004C3971">
              <w:rPr>
                <w:rFonts w:ascii="Arial" w:hAnsi="Arial" w:cs="Arial"/>
                <w:sz w:val="16"/>
                <w:szCs w:val="16"/>
              </w:rPr>
              <w:t xml:space="preserve">      1,512 </w:t>
            </w:r>
          </w:p>
        </w:tc>
        <w:tc>
          <w:tcPr>
            <w:tcW w:w="530" w:type="pct"/>
            <w:tcBorders>
              <w:top w:val="nil"/>
              <w:left w:val="nil"/>
              <w:bottom w:val="nil"/>
              <w:right w:val="nil"/>
            </w:tcBorders>
            <w:shd w:val="clear" w:color="000000" w:fill="E6E6E6"/>
            <w:noWrap/>
            <w:vAlign w:val="bottom"/>
            <w:hideMark/>
          </w:tcPr>
          <w:p w14:paraId="19990FC5" w14:textId="77777777" w:rsidR="004C3971" w:rsidRPr="004C3971" w:rsidRDefault="004C3971" w:rsidP="004C3971">
            <w:pPr>
              <w:spacing w:after="0" w:line="240" w:lineRule="auto"/>
              <w:jc w:val="left"/>
              <w:rPr>
                <w:rFonts w:ascii="Arial" w:hAnsi="Arial" w:cs="Arial"/>
                <w:sz w:val="16"/>
                <w:szCs w:val="16"/>
              </w:rPr>
            </w:pPr>
            <w:r w:rsidRPr="004C3971">
              <w:rPr>
                <w:rFonts w:ascii="Arial" w:hAnsi="Arial" w:cs="Arial"/>
                <w:sz w:val="16"/>
                <w:szCs w:val="16"/>
              </w:rPr>
              <w:t xml:space="preserve">      1,219 </w:t>
            </w:r>
          </w:p>
        </w:tc>
        <w:tc>
          <w:tcPr>
            <w:tcW w:w="530" w:type="pct"/>
            <w:tcBorders>
              <w:top w:val="nil"/>
              <w:left w:val="nil"/>
              <w:bottom w:val="nil"/>
              <w:right w:val="nil"/>
            </w:tcBorders>
            <w:shd w:val="clear" w:color="auto" w:fill="auto"/>
            <w:noWrap/>
            <w:vAlign w:val="bottom"/>
            <w:hideMark/>
          </w:tcPr>
          <w:p w14:paraId="1FFEB3C4" w14:textId="77777777" w:rsidR="004C3971" w:rsidRPr="004C3971" w:rsidRDefault="004C3971" w:rsidP="004C3971">
            <w:pPr>
              <w:spacing w:after="0" w:line="240" w:lineRule="auto"/>
              <w:jc w:val="left"/>
              <w:rPr>
                <w:rFonts w:ascii="Arial" w:hAnsi="Arial" w:cs="Arial"/>
                <w:sz w:val="16"/>
                <w:szCs w:val="16"/>
              </w:rPr>
            </w:pPr>
            <w:r w:rsidRPr="004C3971">
              <w:rPr>
                <w:rFonts w:ascii="Arial" w:hAnsi="Arial" w:cs="Arial"/>
                <w:sz w:val="16"/>
                <w:szCs w:val="16"/>
              </w:rPr>
              <w:t xml:space="preserve">            -   </w:t>
            </w:r>
          </w:p>
        </w:tc>
        <w:tc>
          <w:tcPr>
            <w:tcW w:w="527" w:type="pct"/>
            <w:tcBorders>
              <w:top w:val="nil"/>
              <w:left w:val="nil"/>
              <w:bottom w:val="nil"/>
              <w:right w:val="nil"/>
            </w:tcBorders>
            <w:shd w:val="clear" w:color="000000" w:fill="E6E6E6"/>
            <w:noWrap/>
            <w:vAlign w:val="bottom"/>
            <w:hideMark/>
          </w:tcPr>
          <w:p w14:paraId="09431D5B" w14:textId="77777777" w:rsidR="004C3971" w:rsidRPr="004C3971" w:rsidRDefault="004C3971" w:rsidP="004C3971">
            <w:pPr>
              <w:spacing w:after="0" w:line="240" w:lineRule="auto"/>
              <w:jc w:val="left"/>
              <w:rPr>
                <w:rFonts w:ascii="Arial" w:hAnsi="Arial" w:cs="Arial"/>
                <w:sz w:val="16"/>
                <w:szCs w:val="16"/>
              </w:rPr>
            </w:pPr>
            <w:r w:rsidRPr="004C3971">
              <w:rPr>
                <w:rFonts w:ascii="Arial" w:hAnsi="Arial" w:cs="Arial"/>
                <w:sz w:val="16"/>
                <w:szCs w:val="16"/>
              </w:rPr>
              <w:t xml:space="preserve">            -   </w:t>
            </w:r>
          </w:p>
        </w:tc>
      </w:tr>
      <w:tr w:rsidR="004C3971" w:rsidRPr="004C3971" w14:paraId="7956D263" w14:textId="77777777" w:rsidTr="004C3971">
        <w:trPr>
          <w:trHeight w:val="540"/>
        </w:trPr>
        <w:tc>
          <w:tcPr>
            <w:tcW w:w="1824" w:type="pct"/>
            <w:tcBorders>
              <w:top w:val="nil"/>
              <w:left w:val="nil"/>
              <w:bottom w:val="nil"/>
              <w:right w:val="nil"/>
            </w:tcBorders>
            <w:shd w:val="clear" w:color="auto" w:fill="auto"/>
            <w:vAlign w:val="bottom"/>
            <w:hideMark/>
          </w:tcPr>
          <w:p w14:paraId="4FC57122" w14:textId="14A857EF" w:rsidR="004C3971" w:rsidRPr="004C3971" w:rsidRDefault="004C3971" w:rsidP="004C3971">
            <w:pPr>
              <w:spacing w:after="0" w:line="240" w:lineRule="auto"/>
              <w:jc w:val="left"/>
              <w:rPr>
                <w:rFonts w:ascii="Arial" w:hAnsi="Arial" w:cs="Arial"/>
                <w:sz w:val="16"/>
                <w:szCs w:val="16"/>
              </w:rPr>
            </w:pPr>
            <w:r w:rsidRPr="004C3971">
              <w:rPr>
                <w:rFonts w:ascii="Arial" w:hAnsi="Arial" w:cs="Arial"/>
                <w:sz w:val="16"/>
                <w:szCs w:val="16"/>
              </w:rPr>
              <w:t>Motor Vehicle Service and Repair</w:t>
            </w:r>
            <w:r w:rsidRPr="004C3971">
              <w:rPr>
                <w:rFonts w:ascii="Arial" w:hAnsi="Arial" w:cs="Arial"/>
                <w:sz w:val="16"/>
                <w:szCs w:val="16"/>
              </w:rPr>
              <w:br/>
              <w:t xml:space="preserve"> </w:t>
            </w:r>
            <w:r>
              <w:rPr>
                <w:rFonts w:ascii="Arial" w:hAnsi="Arial" w:cs="Arial"/>
                <w:sz w:val="16"/>
                <w:szCs w:val="16"/>
              </w:rPr>
              <w:t xml:space="preserve"> </w:t>
            </w:r>
            <w:r w:rsidRPr="004C3971">
              <w:rPr>
                <w:rFonts w:ascii="Arial" w:hAnsi="Arial" w:cs="Arial"/>
                <w:sz w:val="16"/>
                <w:szCs w:val="16"/>
              </w:rPr>
              <w:t>Information Sharing Scheme</w:t>
            </w:r>
          </w:p>
        </w:tc>
        <w:tc>
          <w:tcPr>
            <w:tcW w:w="530" w:type="pct"/>
            <w:tcBorders>
              <w:top w:val="nil"/>
              <w:left w:val="nil"/>
              <w:bottom w:val="nil"/>
              <w:right w:val="nil"/>
            </w:tcBorders>
            <w:shd w:val="clear" w:color="auto" w:fill="auto"/>
            <w:noWrap/>
            <w:vAlign w:val="bottom"/>
            <w:hideMark/>
          </w:tcPr>
          <w:p w14:paraId="64920615" w14:textId="77777777" w:rsidR="004C3971" w:rsidRPr="004C3971" w:rsidRDefault="004C3971" w:rsidP="004C3971">
            <w:pPr>
              <w:spacing w:after="0" w:line="240" w:lineRule="auto"/>
              <w:jc w:val="lef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51004093" w14:textId="77777777" w:rsidR="004C3971" w:rsidRPr="004C3971" w:rsidRDefault="004C3971" w:rsidP="004C3971">
            <w:pPr>
              <w:spacing w:after="0" w:line="240" w:lineRule="auto"/>
              <w:jc w:val="left"/>
              <w:rPr>
                <w:rFonts w:ascii="Arial" w:hAnsi="Arial" w:cs="Arial"/>
                <w:sz w:val="16"/>
                <w:szCs w:val="16"/>
              </w:rPr>
            </w:pPr>
            <w:r w:rsidRPr="004C3971">
              <w:rPr>
                <w:rFonts w:ascii="Arial" w:hAnsi="Arial" w:cs="Arial"/>
                <w:sz w:val="16"/>
                <w:szCs w:val="16"/>
              </w:rPr>
              <w:t> </w:t>
            </w:r>
          </w:p>
        </w:tc>
        <w:tc>
          <w:tcPr>
            <w:tcW w:w="530" w:type="pct"/>
            <w:tcBorders>
              <w:top w:val="nil"/>
              <w:left w:val="nil"/>
              <w:bottom w:val="nil"/>
              <w:right w:val="nil"/>
            </w:tcBorders>
            <w:shd w:val="clear" w:color="auto" w:fill="auto"/>
            <w:noWrap/>
            <w:vAlign w:val="bottom"/>
            <w:hideMark/>
          </w:tcPr>
          <w:p w14:paraId="11BA254A" w14:textId="77777777" w:rsidR="004C3971" w:rsidRPr="004C3971" w:rsidRDefault="004C3971" w:rsidP="004C3971">
            <w:pPr>
              <w:spacing w:after="0" w:line="240" w:lineRule="auto"/>
              <w:jc w:val="lef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2D355237" w14:textId="77777777" w:rsidR="004C3971" w:rsidRPr="004C3971" w:rsidRDefault="004C3971" w:rsidP="004C3971">
            <w:pPr>
              <w:spacing w:after="0" w:line="240" w:lineRule="auto"/>
              <w:jc w:val="left"/>
              <w:rPr>
                <w:rFonts w:ascii="Arial" w:hAnsi="Arial" w:cs="Arial"/>
                <w:sz w:val="16"/>
                <w:szCs w:val="16"/>
              </w:rPr>
            </w:pPr>
            <w:r w:rsidRPr="004C3971">
              <w:rPr>
                <w:rFonts w:ascii="Arial" w:hAnsi="Arial" w:cs="Arial"/>
                <w:sz w:val="16"/>
                <w:szCs w:val="16"/>
              </w:rPr>
              <w:t> </w:t>
            </w:r>
          </w:p>
        </w:tc>
        <w:tc>
          <w:tcPr>
            <w:tcW w:w="530" w:type="pct"/>
            <w:tcBorders>
              <w:top w:val="nil"/>
              <w:left w:val="nil"/>
              <w:bottom w:val="nil"/>
              <w:right w:val="nil"/>
            </w:tcBorders>
            <w:shd w:val="clear" w:color="auto" w:fill="auto"/>
            <w:noWrap/>
            <w:vAlign w:val="bottom"/>
            <w:hideMark/>
          </w:tcPr>
          <w:p w14:paraId="719FC2A6" w14:textId="77777777" w:rsidR="004C3971" w:rsidRPr="004C3971" w:rsidRDefault="004C3971" w:rsidP="004C3971">
            <w:pPr>
              <w:spacing w:after="0" w:line="240" w:lineRule="auto"/>
              <w:jc w:val="left"/>
              <w:rPr>
                <w:rFonts w:ascii="Arial" w:hAnsi="Arial" w:cs="Arial"/>
                <w:sz w:val="16"/>
                <w:szCs w:val="16"/>
              </w:rPr>
            </w:pPr>
          </w:p>
        </w:tc>
        <w:tc>
          <w:tcPr>
            <w:tcW w:w="527" w:type="pct"/>
            <w:tcBorders>
              <w:top w:val="nil"/>
              <w:left w:val="nil"/>
              <w:bottom w:val="nil"/>
              <w:right w:val="nil"/>
            </w:tcBorders>
            <w:shd w:val="clear" w:color="000000" w:fill="E6E6E6"/>
            <w:noWrap/>
            <w:vAlign w:val="bottom"/>
            <w:hideMark/>
          </w:tcPr>
          <w:p w14:paraId="18FB3CC3" w14:textId="77777777" w:rsidR="004C3971" w:rsidRPr="004C3971" w:rsidRDefault="004C3971" w:rsidP="004C3971">
            <w:pPr>
              <w:spacing w:after="0" w:line="240" w:lineRule="auto"/>
              <w:jc w:val="left"/>
              <w:rPr>
                <w:rFonts w:ascii="Arial" w:hAnsi="Arial" w:cs="Arial"/>
                <w:sz w:val="16"/>
                <w:szCs w:val="16"/>
              </w:rPr>
            </w:pPr>
            <w:r w:rsidRPr="004C3971">
              <w:rPr>
                <w:rFonts w:ascii="Arial" w:hAnsi="Arial" w:cs="Arial"/>
                <w:sz w:val="16"/>
                <w:szCs w:val="16"/>
              </w:rPr>
              <w:t> </w:t>
            </w:r>
          </w:p>
        </w:tc>
      </w:tr>
      <w:tr w:rsidR="004C3971" w:rsidRPr="004C3971" w14:paraId="60B3E951" w14:textId="77777777" w:rsidTr="004C3971">
        <w:trPr>
          <w:trHeight w:val="237"/>
        </w:trPr>
        <w:tc>
          <w:tcPr>
            <w:tcW w:w="1824" w:type="pct"/>
            <w:tcBorders>
              <w:top w:val="nil"/>
              <w:left w:val="nil"/>
              <w:bottom w:val="nil"/>
              <w:right w:val="nil"/>
            </w:tcBorders>
            <w:shd w:val="clear" w:color="auto" w:fill="auto"/>
            <w:vAlign w:val="bottom"/>
            <w:hideMark/>
          </w:tcPr>
          <w:p w14:paraId="12D22018" w14:textId="77777777" w:rsidR="004C3971" w:rsidRPr="004C3971" w:rsidRDefault="004C3971" w:rsidP="004C3971">
            <w:pPr>
              <w:spacing w:after="0" w:line="240" w:lineRule="auto"/>
              <w:ind w:firstLineChars="100" w:firstLine="160"/>
              <w:jc w:val="left"/>
              <w:rPr>
                <w:rFonts w:ascii="Arial" w:hAnsi="Arial" w:cs="Arial"/>
                <w:sz w:val="16"/>
                <w:szCs w:val="16"/>
              </w:rPr>
            </w:pPr>
            <w:r w:rsidRPr="004C3971">
              <w:rPr>
                <w:rFonts w:ascii="Arial" w:hAnsi="Arial" w:cs="Arial"/>
                <w:sz w:val="16"/>
                <w:szCs w:val="16"/>
              </w:rPr>
              <w:t>Departmental payment</w:t>
            </w:r>
          </w:p>
        </w:tc>
        <w:tc>
          <w:tcPr>
            <w:tcW w:w="530" w:type="pct"/>
            <w:tcBorders>
              <w:top w:val="nil"/>
              <w:left w:val="nil"/>
              <w:bottom w:val="nil"/>
              <w:right w:val="nil"/>
            </w:tcBorders>
            <w:shd w:val="clear" w:color="auto" w:fill="auto"/>
            <w:noWrap/>
            <w:vAlign w:val="bottom"/>
            <w:hideMark/>
          </w:tcPr>
          <w:p w14:paraId="22260393" w14:textId="77777777" w:rsidR="004C3971" w:rsidRPr="004C3971" w:rsidRDefault="004C3971" w:rsidP="004C3971">
            <w:pPr>
              <w:spacing w:after="0" w:line="240" w:lineRule="auto"/>
              <w:jc w:val="center"/>
              <w:rPr>
                <w:rFonts w:ascii="Arial" w:hAnsi="Arial" w:cs="Arial"/>
                <w:sz w:val="16"/>
                <w:szCs w:val="16"/>
              </w:rPr>
            </w:pPr>
            <w:r w:rsidRPr="004C3971">
              <w:rPr>
                <w:rFonts w:ascii="Arial" w:hAnsi="Arial" w:cs="Arial"/>
                <w:sz w:val="16"/>
                <w:szCs w:val="16"/>
              </w:rPr>
              <w:t>1.2</w:t>
            </w:r>
          </w:p>
        </w:tc>
        <w:tc>
          <w:tcPr>
            <w:tcW w:w="530" w:type="pct"/>
            <w:tcBorders>
              <w:top w:val="nil"/>
              <w:left w:val="nil"/>
              <w:bottom w:val="nil"/>
              <w:right w:val="nil"/>
            </w:tcBorders>
            <w:shd w:val="clear" w:color="000000" w:fill="E6E6E6"/>
            <w:noWrap/>
            <w:vAlign w:val="bottom"/>
            <w:hideMark/>
          </w:tcPr>
          <w:p w14:paraId="2763E37D" w14:textId="77777777" w:rsidR="004C3971" w:rsidRPr="004C3971" w:rsidRDefault="004C3971" w:rsidP="004C3971">
            <w:pPr>
              <w:spacing w:after="0" w:line="240" w:lineRule="auto"/>
              <w:jc w:val="left"/>
              <w:rPr>
                <w:rFonts w:ascii="Arial" w:hAnsi="Arial" w:cs="Arial"/>
                <w:sz w:val="16"/>
                <w:szCs w:val="16"/>
              </w:rPr>
            </w:pPr>
            <w:r w:rsidRPr="004C3971">
              <w:rPr>
                <w:rFonts w:ascii="Arial" w:hAnsi="Arial" w:cs="Arial"/>
                <w:sz w:val="16"/>
                <w:szCs w:val="16"/>
              </w:rPr>
              <w:t xml:space="preserve">            -   </w:t>
            </w:r>
          </w:p>
        </w:tc>
        <w:tc>
          <w:tcPr>
            <w:tcW w:w="530" w:type="pct"/>
            <w:tcBorders>
              <w:top w:val="nil"/>
              <w:left w:val="nil"/>
              <w:bottom w:val="nil"/>
              <w:right w:val="nil"/>
            </w:tcBorders>
            <w:shd w:val="clear" w:color="auto" w:fill="auto"/>
            <w:noWrap/>
            <w:vAlign w:val="bottom"/>
            <w:hideMark/>
          </w:tcPr>
          <w:p w14:paraId="3E1AF805" w14:textId="77777777" w:rsidR="004C3971" w:rsidRPr="004C3971" w:rsidRDefault="004C3971" w:rsidP="004C3971">
            <w:pPr>
              <w:spacing w:after="0" w:line="240" w:lineRule="auto"/>
              <w:jc w:val="left"/>
              <w:rPr>
                <w:rFonts w:ascii="Arial" w:hAnsi="Arial" w:cs="Arial"/>
                <w:sz w:val="16"/>
                <w:szCs w:val="16"/>
              </w:rPr>
            </w:pPr>
            <w:r w:rsidRPr="004C3971">
              <w:rPr>
                <w:rFonts w:ascii="Arial" w:hAnsi="Arial" w:cs="Arial"/>
                <w:sz w:val="16"/>
                <w:szCs w:val="16"/>
              </w:rPr>
              <w:t xml:space="preserve">            -   </w:t>
            </w:r>
          </w:p>
        </w:tc>
        <w:tc>
          <w:tcPr>
            <w:tcW w:w="530" w:type="pct"/>
            <w:tcBorders>
              <w:top w:val="nil"/>
              <w:left w:val="nil"/>
              <w:bottom w:val="nil"/>
              <w:right w:val="nil"/>
            </w:tcBorders>
            <w:shd w:val="clear" w:color="000000" w:fill="E6E6E6"/>
            <w:noWrap/>
            <w:vAlign w:val="bottom"/>
            <w:hideMark/>
          </w:tcPr>
          <w:p w14:paraId="2BA9A7D7" w14:textId="77777777" w:rsidR="004C3971" w:rsidRPr="004C3971" w:rsidRDefault="004C3971" w:rsidP="004C3971">
            <w:pPr>
              <w:spacing w:after="0" w:line="240" w:lineRule="auto"/>
              <w:jc w:val="left"/>
              <w:rPr>
                <w:rFonts w:ascii="Arial" w:hAnsi="Arial" w:cs="Arial"/>
                <w:sz w:val="16"/>
                <w:szCs w:val="16"/>
              </w:rPr>
            </w:pPr>
            <w:r w:rsidRPr="004C3971">
              <w:rPr>
                <w:rFonts w:ascii="Arial" w:hAnsi="Arial" w:cs="Arial"/>
                <w:sz w:val="16"/>
                <w:szCs w:val="16"/>
              </w:rPr>
              <w:t xml:space="preserve">            -   </w:t>
            </w:r>
          </w:p>
        </w:tc>
        <w:tc>
          <w:tcPr>
            <w:tcW w:w="530" w:type="pct"/>
            <w:tcBorders>
              <w:top w:val="nil"/>
              <w:left w:val="nil"/>
              <w:bottom w:val="nil"/>
              <w:right w:val="nil"/>
            </w:tcBorders>
            <w:shd w:val="clear" w:color="auto" w:fill="auto"/>
            <w:noWrap/>
            <w:vAlign w:val="bottom"/>
            <w:hideMark/>
          </w:tcPr>
          <w:p w14:paraId="2698BCA6" w14:textId="77777777" w:rsidR="004C3971" w:rsidRPr="004C3971" w:rsidRDefault="004C3971" w:rsidP="004C3971">
            <w:pPr>
              <w:spacing w:after="0" w:line="240" w:lineRule="auto"/>
              <w:jc w:val="left"/>
              <w:rPr>
                <w:rFonts w:ascii="Arial" w:hAnsi="Arial" w:cs="Arial"/>
                <w:sz w:val="16"/>
                <w:szCs w:val="16"/>
              </w:rPr>
            </w:pPr>
            <w:r w:rsidRPr="004C3971">
              <w:rPr>
                <w:rFonts w:ascii="Arial" w:hAnsi="Arial" w:cs="Arial"/>
                <w:sz w:val="16"/>
                <w:szCs w:val="16"/>
              </w:rPr>
              <w:t xml:space="preserve">            -   </w:t>
            </w:r>
          </w:p>
        </w:tc>
        <w:tc>
          <w:tcPr>
            <w:tcW w:w="527" w:type="pct"/>
            <w:tcBorders>
              <w:top w:val="nil"/>
              <w:left w:val="nil"/>
              <w:bottom w:val="nil"/>
              <w:right w:val="nil"/>
            </w:tcBorders>
            <w:shd w:val="clear" w:color="000000" w:fill="E6E6E6"/>
            <w:noWrap/>
            <w:vAlign w:val="bottom"/>
            <w:hideMark/>
          </w:tcPr>
          <w:p w14:paraId="4C89E21A" w14:textId="77777777" w:rsidR="004C3971" w:rsidRPr="004C3971" w:rsidRDefault="004C3971" w:rsidP="004C3971">
            <w:pPr>
              <w:spacing w:after="0" w:line="240" w:lineRule="auto"/>
              <w:jc w:val="left"/>
              <w:rPr>
                <w:rFonts w:ascii="Arial" w:hAnsi="Arial" w:cs="Arial"/>
                <w:sz w:val="16"/>
                <w:szCs w:val="16"/>
              </w:rPr>
            </w:pPr>
            <w:r w:rsidRPr="004C3971">
              <w:rPr>
                <w:rFonts w:ascii="Arial" w:hAnsi="Arial" w:cs="Arial"/>
                <w:sz w:val="16"/>
                <w:szCs w:val="16"/>
              </w:rPr>
              <w:t xml:space="preserve">            -   </w:t>
            </w:r>
          </w:p>
        </w:tc>
      </w:tr>
      <w:tr w:rsidR="004C3971" w:rsidRPr="004C3971" w14:paraId="3ABAC9FC" w14:textId="77777777" w:rsidTr="004C3971">
        <w:trPr>
          <w:trHeight w:val="285"/>
        </w:trPr>
        <w:tc>
          <w:tcPr>
            <w:tcW w:w="1824" w:type="pct"/>
            <w:tcBorders>
              <w:top w:val="nil"/>
              <w:left w:val="nil"/>
              <w:bottom w:val="single" w:sz="4" w:space="0" w:color="auto"/>
              <w:right w:val="nil"/>
            </w:tcBorders>
            <w:shd w:val="clear" w:color="auto" w:fill="auto"/>
            <w:noWrap/>
            <w:vAlign w:val="bottom"/>
            <w:hideMark/>
          </w:tcPr>
          <w:p w14:paraId="710ABB83" w14:textId="77777777" w:rsidR="004C3971" w:rsidRPr="004C3971" w:rsidRDefault="004C3971" w:rsidP="004C3971">
            <w:pPr>
              <w:spacing w:after="0" w:line="240" w:lineRule="auto"/>
              <w:jc w:val="left"/>
              <w:rPr>
                <w:rFonts w:ascii="Arial" w:hAnsi="Arial" w:cs="Arial"/>
                <w:b/>
                <w:bCs/>
                <w:sz w:val="16"/>
                <w:szCs w:val="16"/>
              </w:rPr>
            </w:pPr>
            <w:r w:rsidRPr="004C3971">
              <w:rPr>
                <w:rFonts w:ascii="Arial" w:hAnsi="Arial" w:cs="Arial"/>
                <w:b/>
                <w:bCs/>
                <w:sz w:val="16"/>
                <w:szCs w:val="16"/>
              </w:rPr>
              <w:t>Total payment measures</w:t>
            </w:r>
          </w:p>
        </w:tc>
        <w:tc>
          <w:tcPr>
            <w:tcW w:w="530" w:type="pct"/>
            <w:tcBorders>
              <w:top w:val="nil"/>
              <w:left w:val="nil"/>
              <w:bottom w:val="single" w:sz="4" w:space="0" w:color="auto"/>
              <w:right w:val="nil"/>
            </w:tcBorders>
            <w:shd w:val="clear" w:color="auto" w:fill="auto"/>
            <w:noWrap/>
            <w:vAlign w:val="bottom"/>
            <w:hideMark/>
          </w:tcPr>
          <w:p w14:paraId="43C890CB" w14:textId="77777777" w:rsidR="004C3971" w:rsidRPr="004C3971" w:rsidRDefault="004C3971" w:rsidP="004C3971">
            <w:pPr>
              <w:spacing w:after="0" w:line="240" w:lineRule="auto"/>
              <w:jc w:val="center"/>
              <w:rPr>
                <w:rFonts w:ascii="Arial" w:hAnsi="Arial" w:cs="Arial"/>
                <w:sz w:val="16"/>
                <w:szCs w:val="16"/>
              </w:rPr>
            </w:pPr>
            <w:r w:rsidRPr="004C3971">
              <w:rPr>
                <w:rFonts w:ascii="Arial" w:hAnsi="Arial" w:cs="Arial"/>
                <w:sz w:val="16"/>
                <w:szCs w:val="16"/>
              </w:rPr>
              <w:t> </w:t>
            </w:r>
          </w:p>
        </w:tc>
        <w:tc>
          <w:tcPr>
            <w:tcW w:w="530" w:type="pct"/>
            <w:tcBorders>
              <w:top w:val="nil"/>
              <w:left w:val="nil"/>
              <w:bottom w:val="single" w:sz="4" w:space="0" w:color="auto"/>
              <w:right w:val="nil"/>
            </w:tcBorders>
            <w:shd w:val="clear" w:color="000000" w:fill="E6E6E6"/>
            <w:noWrap/>
            <w:vAlign w:val="bottom"/>
            <w:hideMark/>
          </w:tcPr>
          <w:p w14:paraId="00678D7F" w14:textId="7B13FDC6" w:rsidR="004C3971" w:rsidRPr="004C3971" w:rsidRDefault="004C3971" w:rsidP="004C3971">
            <w:pPr>
              <w:spacing w:after="0" w:line="240" w:lineRule="auto"/>
              <w:jc w:val="center"/>
              <w:rPr>
                <w:rFonts w:ascii="Arial" w:hAnsi="Arial" w:cs="Arial"/>
                <w:b/>
                <w:bCs/>
                <w:sz w:val="16"/>
                <w:szCs w:val="16"/>
              </w:rPr>
            </w:pPr>
            <w:r>
              <w:rPr>
                <w:rFonts w:ascii="Arial" w:hAnsi="Arial" w:cs="Arial"/>
                <w:b/>
                <w:bCs/>
                <w:sz w:val="16"/>
                <w:szCs w:val="16"/>
              </w:rPr>
              <w:t xml:space="preserve">      </w:t>
            </w:r>
            <w:r w:rsidR="006A00D5">
              <w:rPr>
                <w:rFonts w:ascii="Arial" w:hAnsi="Arial" w:cs="Arial"/>
                <w:b/>
                <w:bCs/>
                <w:sz w:val="16"/>
                <w:szCs w:val="16"/>
              </w:rPr>
              <w:t xml:space="preserve"> </w:t>
            </w:r>
            <w:r>
              <w:rPr>
                <w:rFonts w:ascii="Arial" w:hAnsi="Arial" w:cs="Arial"/>
                <w:b/>
                <w:bCs/>
                <w:sz w:val="16"/>
                <w:szCs w:val="16"/>
              </w:rPr>
              <w:t xml:space="preserve"> -</w:t>
            </w:r>
          </w:p>
        </w:tc>
        <w:tc>
          <w:tcPr>
            <w:tcW w:w="530" w:type="pct"/>
            <w:tcBorders>
              <w:top w:val="nil"/>
              <w:left w:val="nil"/>
              <w:bottom w:val="single" w:sz="4" w:space="0" w:color="auto"/>
              <w:right w:val="nil"/>
            </w:tcBorders>
            <w:shd w:val="clear" w:color="auto" w:fill="auto"/>
            <w:noWrap/>
            <w:vAlign w:val="bottom"/>
            <w:hideMark/>
          </w:tcPr>
          <w:p w14:paraId="1FABFB22" w14:textId="6233BD9D" w:rsidR="004C3971" w:rsidRPr="004C3971" w:rsidRDefault="004C3971" w:rsidP="004C3971">
            <w:pPr>
              <w:spacing w:after="0" w:line="240" w:lineRule="auto"/>
              <w:jc w:val="center"/>
              <w:rPr>
                <w:rFonts w:ascii="Arial" w:hAnsi="Arial" w:cs="Arial"/>
                <w:b/>
                <w:bCs/>
                <w:sz w:val="16"/>
                <w:szCs w:val="16"/>
              </w:rPr>
            </w:pPr>
            <w:r w:rsidRPr="004C3971">
              <w:rPr>
                <w:rFonts w:ascii="Arial" w:hAnsi="Arial" w:cs="Arial"/>
                <w:b/>
                <w:bCs/>
                <w:sz w:val="16"/>
                <w:szCs w:val="16"/>
              </w:rPr>
              <w:t>58,457</w:t>
            </w:r>
          </w:p>
        </w:tc>
        <w:tc>
          <w:tcPr>
            <w:tcW w:w="530" w:type="pct"/>
            <w:tcBorders>
              <w:top w:val="nil"/>
              <w:left w:val="nil"/>
              <w:bottom w:val="single" w:sz="4" w:space="0" w:color="auto"/>
              <w:right w:val="nil"/>
            </w:tcBorders>
            <w:shd w:val="clear" w:color="000000" w:fill="E6E6E6"/>
            <w:noWrap/>
            <w:vAlign w:val="bottom"/>
            <w:hideMark/>
          </w:tcPr>
          <w:p w14:paraId="23CE1176" w14:textId="75FE15A3" w:rsidR="004C3971" w:rsidRPr="004C3971" w:rsidRDefault="004C3971" w:rsidP="004C3971">
            <w:pPr>
              <w:spacing w:after="0" w:line="240" w:lineRule="auto"/>
              <w:jc w:val="center"/>
              <w:rPr>
                <w:rFonts w:ascii="Arial" w:hAnsi="Arial" w:cs="Arial"/>
                <w:b/>
                <w:bCs/>
                <w:sz w:val="16"/>
                <w:szCs w:val="16"/>
              </w:rPr>
            </w:pPr>
            <w:r>
              <w:rPr>
                <w:rFonts w:ascii="Arial" w:hAnsi="Arial" w:cs="Arial"/>
                <w:b/>
                <w:bCs/>
                <w:sz w:val="16"/>
                <w:szCs w:val="16"/>
              </w:rPr>
              <w:t>47,316</w:t>
            </w:r>
          </w:p>
        </w:tc>
        <w:tc>
          <w:tcPr>
            <w:tcW w:w="530" w:type="pct"/>
            <w:tcBorders>
              <w:top w:val="nil"/>
              <w:left w:val="nil"/>
              <w:bottom w:val="single" w:sz="4" w:space="0" w:color="auto"/>
              <w:right w:val="nil"/>
            </w:tcBorders>
            <w:shd w:val="clear" w:color="auto" w:fill="auto"/>
            <w:noWrap/>
            <w:vAlign w:val="bottom"/>
            <w:hideMark/>
          </w:tcPr>
          <w:p w14:paraId="33809005" w14:textId="2F90F3BE" w:rsidR="004C3971" w:rsidRPr="004C3971" w:rsidRDefault="004C3971" w:rsidP="004C3971">
            <w:pPr>
              <w:spacing w:after="0" w:line="240" w:lineRule="auto"/>
              <w:jc w:val="center"/>
              <w:rPr>
                <w:rFonts w:ascii="Arial" w:hAnsi="Arial" w:cs="Arial"/>
                <w:b/>
                <w:bCs/>
                <w:sz w:val="16"/>
                <w:szCs w:val="16"/>
              </w:rPr>
            </w:pPr>
            <w:r>
              <w:rPr>
                <w:rFonts w:ascii="Arial" w:hAnsi="Arial" w:cs="Arial"/>
                <w:b/>
                <w:bCs/>
                <w:sz w:val="16"/>
                <w:szCs w:val="16"/>
              </w:rPr>
              <w:t>1,811</w:t>
            </w:r>
          </w:p>
        </w:tc>
        <w:tc>
          <w:tcPr>
            <w:tcW w:w="527" w:type="pct"/>
            <w:tcBorders>
              <w:top w:val="nil"/>
              <w:left w:val="nil"/>
              <w:bottom w:val="single" w:sz="4" w:space="0" w:color="auto"/>
              <w:right w:val="nil"/>
            </w:tcBorders>
            <w:shd w:val="clear" w:color="000000" w:fill="E6E6E6"/>
            <w:noWrap/>
            <w:vAlign w:val="bottom"/>
            <w:hideMark/>
          </w:tcPr>
          <w:p w14:paraId="6621D37A" w14:textId="66E39EA8" w:rsidR="004C3971" w:rsidRPr="004C3971" w:rsidRDefault="004C3971" w:rsidP="004C3971">
            <w:pPr>
              <w:spacing w:after="0" w:line="240" w:lineRule="auto"/>
              <w:jc w:val="center"/>
              <w:rPr>
                <w:rFonts w:ascii="Arial" w:hAnsi="Arial" w:cs="Arial"/>
                <w:b/>
                <w:bCs/>
                <w:sz w:val="16"/>
                <w:szCs w:val="16"/>
              </w:rPr>
            </w:pPr>
            <w:r>
              <w:rPr>
                <w:rFonts w:ascii="Arial" w:hAnsi="Arial" w:cs="Arial"/>
                <w:b/>
                <w:bCs/>
                <w:sz w:val="16"/>
                <w:szCs w:val="16"/>
              </w:rPr>
              <w:t>1,811</w:t>
            </w:r>
          </w:p>
        </w:tc>
      </w:tr>
    </w:tbl>
    <w:p w14:paraId="541B4F30" w14:textId="3D87E738" w:rsidR="00D46D74" w:rsidRDefault="00704BB6" w:rsidP="00353D74">
      <w:pPr>
        <w:pStyle w:val="ChartandTableFootnote"/>
      </w:pPr>
      <w:r w:rsidRPr="00704BB6">
        <w:t>Prepared on a Government Finance Statistics (Underlying Cash) basis. Figures displayed as a negative (-) represent a decrease in funds and a positive (+) represent an increase in funds.</w:t>
      </w:r>
    </w:p>
    <w:p w14:paraId="0DBA277F" w14:textId="77777777" w:rsidR="00654EC2" w:rsidRPr="00D232B7" w:rsidRDefault="00C7638D" w:rsidP="00895FFF">
      <w:pPr>
        <w:pStyle w:val="TableHeadingcontinued"/>
      </w:pPr>
      <w:r>
        <w:br w:type="page"/>
      </w:r>
    </w:p>
    <w:p w14:paraId="7A414820" w14:textId="535F1094" w:rsidR="00BE7D58" w:rsidRPr="002D2711" w:rsidRDefault="00BE7D58" w:rsidP="00810C6A">
      <w:pPr>
        <w:pStyle w:val="Heading2"/>
        <w:rPr>
          <w:b w:val="0"/>
          <w:sz w:val="30"/>
          <w:szCs w:val="30"/>
        </w:rPr>
      </w:pPr>
      <w:bookmarkStart w:id="17" w:name="_Toc444523512"/>
      <w:bookmarkStart w:id="18" w:name="_Toc71448318"/>
      <w:bookmarkStart w:id="19" w:name="_Toc190682312"/>
      <w:bookmarkStart w:id="20" w:name="_Toc190682530"/>
      <w:r w:rsidRPr="002D2711">
        <w:rPr>
          <w:b w:val="0"/>
          <w:sz w:val="30"/>
          <w:szCs w:val="30"/>
        </w:rPr>
        <w:lastRenderedPageBreak/>
        <w:t xml:space="preserve">Section 2: Outcomes and </w:t>
      </w:r>
      <w:r w:rsidR="00CD3382" w:rsidRPr="002D2711">
        <w:rPr>
          <w:b w:val="0"/>
          <w:sz w:val="30"/>
          <w:szCs w:val="30"/>
        </w:rPr>
        <w:t>p</w:t>
      </w:r>
      <w:r w:rsidR="0069466B" w:rsidRPr="002D2711">
        <w:rPr>
          <w:b w:val="0"/>
          <w:sz w:val="30"/>
          <w:szCs w:val="30"/>
        </w:rPr>
        <w:t>lanned</w:t>
      </w:r>
      <w:r w:rsidRPr="002D2711">
        <w:rPr>
          <w:b w:val="0"/>
          <w:sz w:val="30"/>
          <w:szCs w:val="30"/>
        </w:rPr>
        <w:t xml:space="preserve"> performance</w:t>
      </w:r>
      <w:bookmarkEnd w:id="17"/>
      <w:bookmarkEnd w:id="18"/>
    </w:p>
    <w:p w14:paraId="3578FA59" w14:textId="77777777" w:rsidR="00BE7D58" w:rsidRPr="005E6F2B" w:rsidRDefault="00BE7D58" w:rsidP="00BE7D58">
      <w:r w:rsidRPr="005E6F2B">
        <w:t xml:space="preserve">Government outcomes are the intended results, impacts or consequences of actions by the Government on the Australian community. </w:t>
      </w:r>
      <w:r w:rsidR="004E62E4" w:rsidRPr="005E6F2B">
        <w:t xml:space="preserve">Commonwealth </w:t>
      </w:r>
      <w:r w:rsidR="00290933" w:rsidRPr="005E6F2B">
        <w:t>programs</w:t>
      </w:r>
      <w:r w:rsidR="004E62E4" w:rsidRPr="005E6F2B">
        <w:t xml:space="preserve"> are </w:t>
      </w:r>
      <w:r w:rsidR="00CC5AB0" w:rsidRPr="005E6F2B">
        <w:t xml:space="preserve">the primary vehicle </w:t>
      </w:r>
      <w:r w:rsidR="004E62E4" w:rsidRPr="005E6F2B">
        <w:t xml:space="preserve">by which </w:t>
      </w:r>
      <w:r w:rsidR="00A239CC" w:rsidRPr="005E6F2B">
        <w:t xml:space="preserve">government </w:t>
      </w:r>
      <w:r w:rsidR="007E6BBD" w:rsidRPr="005E6F2B">
        <w:t xml:space="preserve">entities </w:t>
      </w:r>
      <w:r w:rsidR="004E62E4" w:rsidRPr="005E6F2B">
        <w:t xml:space="preserve">achieve the intended results of their outcome statements. </w:t>
      </w:r>
      <w:r w:rsidR="007E6BBD" w:rsidRPr="005E6F2B">
        <w:t xml:space="preserve">Entities </w:t>
      </w:r>
      <w:r w:rsidRPr="005E6F2B">
        <w:t xml:space="preserve">are required to identify the </w:t>
      </w:r>
      <w:r w:rsidR="00290933" w:rsidRPr="005E6F2B">
        <w:t>programs</w:t>
      </w:r>
      <w:r w:rsidRPr="005E6F2B">
        <w:t xml:space="preserve"> which contribute to </w:t>
      </w:r>
      <w:r w:rsidR="00A239CC" w:rsidRPr="005E6F2B">
        <w:t xml:space="preserve">government </w:t>
      </w:r>
      <w:r w:rsidRPr="005E6F2B">
        <w:t>outcomes over the Budget and forward years.</w:t>
      </w:r>
    </w:p>
    <w:p w14:paraId="7D28F295" w14:textId="0C658FDA" w:rsidR="00A61BD0" w:rsidRDefault="00BE7D58" w:rsidP="00BE7D58">
      <w:pPr>
        <w:rPr>
          <w:i/>
          <w:color w:val="FF0000"/>
        </w:rPr>
      </w:pPr>
      <w:r w:rsidRPr="005E6F2B">
        <w:t xml:space="preserve">Each outcome is described below together with its related </w:t>
      </w:r>
      <w:r w:rsidR="00290933" w:rsidRPr="005E6F2B">
        <w:t>programs</w:t>
      </w:r>
      <w:r w:rsidRPr="005E6F2B">
        <w:t>.</w:t>
      </w:r>
      <w:r w:rsidR="001D1903" w:rsidRPr="005E6F2B">
        <w:t xml:space="preserve"> </w:t>
      </w:r>
      <w:r w:rsidR="00A61BD0" w:rsidRPr="005E6F2B">
        <w:t>The following provides detailed information on expenses for each outcome</w:t>
      </w:r>
      <w:r w:rsidR="001D1903" w:rsidRPr="005E6F2B">
        <w:t xml:space="preserve"> and </w:t>
      </w:r>
      <w:r w:rsidR="00290933" w:rsidRPr="005E6F2B">
        <w:t>program,</w:t>
      </w:r>
      <w:r w:rsidR="001D1903" w:rsidRPr="005E6F2B">
        <w:t xml:space="preserve"> further broken down by funding source</w:t>
      </w:r>
      <w:r w:rsidR="00A61BD0" w:rsidRPr="005E6F2B">
        <w:t>.</w:t>
      </w:r>
      <w:r w:rsidR="0051207B" w:rsidRPr="005E6F2B">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CE4D05" w14:paraId="2AF7CD40" w14:textId="77777777" w:rsidTr="009763C1">
        <w:tc>
          <w:tcPr>
            <w:tcW w:w="7700" w:type="dxa"/>
          </w:tcPr>
          <w:p w14:paraId="7F89E61D" w14:textId="77777777" w:rsidR="00CE4D05" w:rsidRPr="006906E4" w:rsidRDefault="00CE4D05" w:rsidP="00353D74">
            <w:pPr>
              <w:pStyle w:val="BoxText"/>
            </w:pPr>
            <w:r w:rsidRPr="006906E4">
              <w:t>Note:</w:t>
            </w:r>
          </w:p>
          <w:p w14:paraId="684DECE1" w14:textId="77777777" w:rsidR="00CE4D05" w:rsidRDefault="00CE4D05" w:rsidP="00353D74">
            <w:pPr>
              <w:pStyle w:val="BoxText"/>
            </w:pPr>
            <w:r>
              <w:t xml:space="preserve">Performance reporting requirements in the Portfolio Budget Statements are part of the Commonwealth performance framework established by the </w:t>
            </w:r>
            <w:r w:rsidRPr="00801EF6">
              <w:rPr>
                <w:i/>
              </w:rPr>
              <w:t>Public Governance, Performance and Accountability Act 2013</w:t>
            </w:r>
            <w:r>
              <w:t>. It is anticipated that the performance criteria described in Portfolio Budget Statements will be read with broader information provided in an entity’s corporate plans and annual performance statements – included in Annual Reports - to provide a complete picture of an entity’s planned and actual performance.</w:t>
            </w:r>
          </w:p>
          <w:p w14:paraId="108567CE" w14:textId="21B235AA" w:rsidR="00CE4D05" w:rsidRDefault="00CE4D05" w:rsidP="00353D74">
            <w:pPr>
              <w:pStyle w:val="BoxText"/>
            </w:pPr>
            <w:r>
              <w:t xml:space="preserve">The most recent corporate plan for </w:t>
            </w:r>
            <w:r w:rsidR="00D10EC9">
              <w:t>the ACCC</w:t>
            </w:r>
            <w:r>
              <w:t xml:space="preserve"> can be found at: </w:t>
            </w:r>
            <w:r w:rsidR="00D10EC9">
              <w:t xml:space="preserve"> </w:t>
            </w:r>
            <w:r w:rsidR="005A5CB4">
              <w:t>(</w:t>
            </w:r>
            <w:hyperlink r:id="rId16" w:history="1">
              <w:r w:rsidR="005A5CB4" w:rsidRPr="000942CC">
                <w:rPr>
                  <w:rStyle w:val="Hyperlink"/>
                </w:rPr>
                <w:t>http://www.accc.gov.au/publications/corporate-plan-priorities</w:t>
              </w:r>
            </w:hyperlink>
            <w:r w:rsidR="005A5CB4">
              <w:rPr>
                <w:rStyle w:val="Hyperlink"/>
              </w:rPr>
              <w:t>)</w:t>
            </w:r>
          </w:p>
          <w:p w14:paraId="3B724CC4" w14:textId="3712DE6A" w:rsidR="00D10EC9" w:rsidRDefault="00CE4D05" w:rsidP="00353D74">
            <w:pPr>
              <w:pStyle w:val="BoxText"/>
            </w:pPr>
            <w:r>
              <w:t xml:space="preserve">The most recent annual performance statement can be found at: </w:t>
            </w:r>
            <w:r w:rsidR="00D10EC9">
              <w:t xml:space="preserve"> </w:t>
            </w:r>
            <w:r w:rsidR="005A5CB4">
              <w:t>(</w:t>
            </w:r>
            <w:r w:rsidR="00D10EC9">
              <w:t>http://www.accc.gov.au/annualreports</w:t>
            </w:r>
            <w:r w:rsidR="005A5CB4">
              <w:t>)</w:t>
            </w:r>
          </w:p>
        </w:tc>
      </w:tr>
    </w:tbl>
    <w:p w14:paraId="33558BAE" w14:textId="77777777" w:rsidR="00810C6A" w:rsidRDefault="00810C6A" w:rsidP="00BE7D58">
      <w:pPr>
        <w:rPr>
          <w:highlight w:val="yellow"/>
        </w:rPr>
      </w:pPr>
    </w:p>
    <w:p w14:paraId="73DC6D05" w14:textId="77777777" w:rsidR="00950281" w:rsidRDefault="00950281" w:rsidP="003876AB">
      <w:pPr>
        <w:pStyle w:val="Heading3"/>
        <w:sectPr w:rsidR="00950281" w:rsidSect="0050346A">
          <w:headerReference w:type="even" r:id="rId17"/>
          <w:headerReference w:type="default" r:id="rId18"/>
          <w:headerReference w:type="first" r:id="rId19"/>
          <w:footerReference w:type="first" r:id="rId20"/>
          <w:type w:val="oddPage"/>
          <w:pgSz w:w="11906" w:h="16838" w:code="9"/>
          <w:pgMar w:top="2466" w:right="2098" w:bottom="2466" w:left="2098" w:header="1899" w:footer="1899" w:gutter="0"/>
          <w:cols w:space="708"/>
          <w:titlePg/>
          <w:docGrid w:linePitch="360"/>
        </w:sectPr>
      </w:pPr>
    </w:p>
    <w:p w14:paraId="6A4F5EB6" w14:textId="0469218B" w:rsidR="003876AB" w:rsidRPr="002D2711" w:rsidRDefault="008462FB" w:rsidP="003876AB">
      <w:pPr>
        <w:pStyle w:val="Heading3"/>
        <w:rPr>
          <w:smallCaps/>
          <w:sz w:val="26"/>
          <w:szCs w:val="26"/>
        </w:rPr>
      </w:pPr>
      <w:bookmarkStart w:id="21" w:name="_Toc444523513"/>
      <w:bookmarkStart w:id="22" w:name="_Toc71448319"/>
      <w:r w:rsidRPr="002D2711">
        <w:rPr>
          <w:smallCaps/>
          <w:sz w:val="26"/>
          <w:szCs w:val="26"/>
        </w:rPr>
        <w:lastRenderedPageBreak/>
        <w:t>2.1</w:t>
      </w:r>
      <w:r w:rsidR="003876AB" w:rsidRPr="002D2711">
        <w:rPr>
          <w:smallCaps/>
          <w:sz w:val="26"/>
          <w:szCs w:val="26"/>
        </w:rPr>
        <w:t xml:space="preserve"> </w:t>
      </w:r>
      <w:r w:rsidR="003876AB" w:rsidRPr="002D2711">
        <w:rPr>
          <w:smallCaps/>
          <w:sz w:val="26"/>
          <w:szCs w:val="26"/>
        </w:rPr>
        <w:tab/>
        <w:t xml:space="preserve">Budgeted expenses and performance for Outcome </w:t>
      </w:r>
      <w:bookmarkEnd w:id="21"/>
      <w:r w:rsidR="00AA69B4" w:rsidRPr="002D2711">
        <w:rPr>
          <w:smallCaps/>
          <w:sz w:val="26"/>
          <w:szCs w:val="26"/>
        </w:rPr>
        <w:t>1</w:t>
      </w:r>
      <w:bookmarkEnd w:id="2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BE7D58" w:rsidRPr="005E6F2B" w14:paraId="35E3DE81" w14:textId="77777777" w:rsidTr="00E3780C">
        <w:tc>
          <w:tcPr>
            <w:tcW w:w="7704" w:type="dxa"/>
            <w:shd w:val="clear" w:color="auto" w:fill="E6E6E6"/>
          </w:tcPr>
          <w:p w14:paraId="04F49424" w14:textId="46013C7A" w:rsidR="00BE7D58" w:rsidRPr="005E6F2B" w:rsidRDefault="00BE7D58" w:rsidP="00E3780C">
            <w:pPr>
              <w:pStyle w:val="TableColumnHeadingLeft"/>
              <w:jc w:val="both"/>
            </w:pPr>
            <w:r w:rsidRPr="00A455A5">
              <w:t xml:space="preserve">Outcome </w:t>
            </w:r>
            <w:r w:rsidR="00D6445A" w:rsidRPr="00A455A5">
              <w:t>1</w:t>
            </w:r>
            <w:r w:rsidRPr="00A455A5">
              <w:t xml:space="preserve">: </w:t>
            </w:r>
            <w:r w:rsidR="00F03060" w:rsidRPr="00A455A5">
              <w:t>Enhanced welfare of Australians through enforcing laws that promote competition and protect consumers, as well as taking other regulatory and related actions including monitoring and market analysis, public education, determining the terms of access to infrastructure services, and discharging regulatory responsibilities governing energy markets and networks</w:t>
            </w:r>
          </w:p>
        </w:tc>
      </w:tr>
    </w:tbl>
    <w:p w14:paraId="5DC9DFDC" w14:textId="1EE28E75" w:rsidR="00F71634" w:rsidRDefault="00F71634" w:rsidP="00AD42E2">
      <w:pPr>
        <w:pStyle w:val="SingleParagraph"/>
      </w:pPr>
    </w:p>
    <w:p w14:paraId="5A8CD9BF" w14:textId="67FB2B61" w:rsidR="00B86CCD" w:rsidRPr="00900BE5" w:rsidRDefault="00B86CCD" w:rsidP="00F00984">
      <w:pPr>
        <w:pStyle w:val="Heading5"/>
        <w:rPr>
          <w:rFonts w:ascii="Arial Bold" w:hAnsi="Arial Bold"/>
          <w:b/>
          <w:bCs w:val="0"/>
          <w:iCs w:val="0"/>
          <w:szCs w:val="20"/>
        </w:rPr>
      </w:pPr>
      <w:r w:rsidRPr="00900BE5">
        <w:rPr>
          <w:rFonts w:ascii="Arial Bold" w:hAnsi="Arial Bold"/>
          <w:b/>
          <w:bCs w:val="0"/>
          <w:iCs w:val="0"/>
          <w:szCs w:val="20"/>
        </w:rPr>
        <w:t xml:space="preserve">Budgeted expenses for Outcome </w:t>
      </w:r>
      <w:r w:rsidR="00D6445A" w:rsidRPr="00900BE5">
        <w:rPr>
          <w:rFonts w:ascii="Arial Bold" w:hAnsi="Arial Bold"/>
          <w:b/>
          <w:bCs w:val="0"/>
          <w:iCs w:val="0"/>
          <w:szCs w:val="20"/>
        </w:rPr>
        <w:t>1</w:t>
      </w:r>
    </w:p>
    <w:p w14:paraId="688A545E" w14:textId="4AAAC191" w:rsidR="0051207B" w:rsidRDefault="0051207B" w:rsidP="007333BD">
      <w:pPr>
        <w:jc w:val="left"/>
      </w:pPr>
      <w:r w:rsidRPr="00950281">
        <w:t xml:space="preserve">This table shows how much the entity intends to spend (on an accrual basis) on achieving the outcome, broken down by </w:t>
      </w:r>
      <w:r w:rsidR="00290933" w:rsidRPr="00950281">
        <w:t>program,</w:t>
      </w:r>
      <w:r w:rsidRPr="00950281">
        <w:t xml:space="preserve"> as well as by Administered an</w:t>
      </w:r>
      <w:r w:rsidR="00B166C6">
        <w:t>d Departmental funding sources.</w:t>
      </w:r>
    </w:p>
    <w:p w14:paraId="63BF8A5F" w14:textId="542A09FE" w:rsidR="006E7198" w:rsidRPr="006E7198" w:rsidRDefault="00AD42E2" w:rsidP="00914BAD">
      <w:pPr>
        <w:pStyle w:val="TableGraphic"/>
        <w:rPr>
          <w:rFonts w:ascii="Arial" w:hAnsi="Arial" w:cs="Arial"/>
          <w:b/>
        </w:rPr>
      </w:pPr>
      <w:r w:rsidRPr="00E3780C">
        <w:rPr>
          <w:rStyle w:val="TableHeadingChar"/>
        </w:rPr>
        <w:t>Table 2.</w:t>
      </w:r>
      <w:r w:rsidR="00D6445A" w:rsidRPr="00E3780C">
        <w:rPr>
          <w:rStyle w:val="TableHeadingChar"/>
        </w:rPr>
        <w:t>1</w:t>
      </w:r>
      <w:r w:rsidRPr="00E3780C">
        <w:rPr>
          <w:rStyle w:val="TableHeadingChar"/>
        </w:rPr>
        <w:t>:</w:t>
      </w:r>
      <w:r w:rsidR="00D6445A" w:rsidRPr="00E3780C">
        <w:rPr>
          <w:rStyle w:val="TableHeadingChar"/>
        </w:rPr>
        <w:t xml:space="preserve"> Budgeted expenses for Outcom</w:t>
      </w:r>
      <w:r w:rsidR="006E7198">
        <w:rPr>
          <w:rFonts w:ascii="Arial" w:hAnsi="Arial" w:cs="Arial"/>
          <w:b/>
        </w:rPr>
        <w:t>1</w:t>
      </w:r>
    </w:p>
    <w:p w14:paraId="2DBDE3CA" w14:textId="1495DC1D" w:rsidR="00C334B8" w:rsidRDefault="00C334B8" w:rsidP="00914BAD">
      <w:pPr>
        <w:pStyle w:val="TableGraphic"/>
        <w:rPr>
          <w:rFonts w:ascii="Times New Roman" w:hAnsi="Times New Roman"/>
        </w:rPr>
      </w:pPr>
    </w:p>
    <w:tbl>
      <w:tblPr>
        <w:tblW w:w="5000" w:type="pct"/>
        <w:tblCellMar>
          <w:left w:w="0" w:type="dxa"/>
          <w:right w:w="28" w:type="dxa"/>
        </w:tblCellMar>
        <w:tblLook w:val="04A0" w:firstRow="1" w:lastRow="0" w:firstColumn="1" w:lastColumn="0" w:noHBand="0" w:noVBand="1"/>
      </w:tblPr>
      <w:tblGrid>
        <w:gridCol w:w="3255"/>
        <w:gridCol w:w="891"/>
        <w:gridCol w:w="891"/>
        <w:gridCol w:w="891"/>
        <w:gridCol w:w="891"/>
        <w:gridCol w:w="891"/>
      </w:tblGrid>
      <w:tr w:rsidR="00C334B8" w:rsidRPr="00C334B8" w14:paraId="7CACF2FE" w14:textId="77777777" w:rsidTr="00C334B8">
        <w:trPr>
          <w:trHeight w:val="800"/>
        </w:trPr>
        <w:tc>
          <w:tcPr>
            <w:tcW w:w="2110" w:type="pct"/>
            <w:tcBorders>
              <w:top w:val="single" w:sz="4" w:space="0" w:color="auto"/>
              <w:left w:val="nil"/>
              <w:bottom w:val="single" w:sz="4" w:space="0" w:color="auto"/>
              <w:right w:val="nil"/>
            </w:tcBorders>
            <w:shd w:val="clear" w:color="auto" w:fill="auto"/>
            <w:vAlign w:val="center"/>
            <w:hideMark/>
          </w:tcPr>
          <w:p w14:paraId="6B098F60" w14:textId="495DC791" w:rsidR="00C334B8" w:rsidRPr="00C334B8" w:rsidRDefault="00C334B8" w:rsidP="00C334B8">
            <w:pPr>
              <w:spacing w:after="0" w:line="240" w:lineRule="auto"/>
              <w:rPr>
                <w:rFonts w:ascii="Arial" w:hAnsi="Arial" w:cs="Arial"/>
                <w:b/>
                <w:bCs/>
                <w:color w:val="000000"/>
                <w:sz w:val="16"/>
                <w:szCs w:val="16"/>
              </w:rPr>
            </w:pPr>
            <w:r w:rsidRPr="00C334B8">
              <w:rPr>
                <w:rFonts w:ascii="Arial" w:hAnsi="Arial" w:cs="Arial"/>
                <w:b/>
                <w:bCs/>
                <w:color w:val="000000"/>
                <w:sz w:val="16"/>
                <w:szCs w:val="16"/>
              </w:rPr>
              <w:t> </w:t>
            </w:r>
          </w:p>
        </w:tc>
        <w:tc>
          <w:tcPr>
            <w:tcW w:w="578" w:type="pct"/>
            <w:tcBorders>
              <w:top w:val="single" w:sz="4" w:space="0" w:color="auto"/>
              <w:left w:val="nil"/>
              <w:bottom w:val="single" w:sz="4" w:space="0" w:color="auto"/>
              <w:right w:val="nil"/>
            </w:tcBorders>
            <w:shd w:val="clear" w:color="auto" w:fill="auto"/>
            <w:hideMark/>
          </w:tcPr>
          <w:p w14:paraId="68CE4DFC"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2020-21 Estimated actual</w:t>
            </w:r>
            <w:r w:rsidRPr="00C334B8">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000000" w:fill="E6E6E6"/>
            <w:hideMark/>
          </w:tcPr>
          <w:p w14:paraId="4D929CFB"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2021-22</w:t>
            </w:r>
            <w:r w:rsidRPr="00C334B8">
              <w:rPr>
                <w:rFonts w:ascii="Arial" w:hAnsi="Arial" w:cs="Arial"/>
                <w:sz w:val="16"/>
                <w:szCs w:val="16"/>
              </w:rPr>
              <w:br/>
              <w:t>Budget</w:t>
            </w:r>
            <w:r w:rsidRPr="00C334B8">
              <w:rPr>
                <w:rFonts w:ascii="Arial" w:hAnsi="Arial" w:cs="Arial"/>
                <w:sz w:val="16"/>
                <w:szCs w:val="16"/>
              </w:rPr>
              <w:br/>
            </w:r>
            <w:r w:rsidRPr="00C334B8">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auto" w:fill="auto"/>
            <w:hideMark/>
          </w:tcPr>
          <w:p w14:paraId="0C9D1A42"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2022-23 Forward estimate</w:t>
            </w:r>
            <w:r w:rsidRPr="00C334B8">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auto" w:fill="auto"/>
            <w:hideMark/>
          </w:tcPr>
          <w:p w14:paraId="02051DFD"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2023-24 Forward estimate</w:t>
            </w:r>
            <w:r w:rsidRPr="00C334B8">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auto" w:fill="auto"/>
            <w:hideMark/>
          </w:tcPr>
          <w:p w14:paraId="195C1561"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2024-25</w:t>
            </w:r>
            <w:r w:rsidRPr="00C334B8">
              <w:rPr>
                <w:rFonts w:ascii="Arial" w:hAnsi="Arial" w:cs="Arial"/>
                <w:sz w:val="16"/>
                <w:szCs w:val="16"/>
              </w:rPr>
              <w:br/>
              <w:t>Forward estimate</w:t>
            </w:r>
            <w:r w:rsidRPr="00C334B8">
              <w:rPr>
                <w:rFonts w:ascii="Arial" w:hAnsi="Arial" w:cs="Arial"/>
                <w:sz w:val="16"/>
                <w:szCs w:val="16"/>
              </w:rPr>
              <w:br/>
              <w:t>$'000</w:t>
            </w:r>
          </w:p>
        </w:tc>
      </w:tr>
      <w:tr w:rsidR="00C334B8" w:rsidRPr="00C334B8" w14:paraId="3157ADE1" w14:textId="77777777" w:rsidTr="00C334B8">
        <w:trPr>
          <w:trHeight w:val="225"/>
        </w:trPr>
        <w:tc>
          <w:tcPr>
            <w:tcW w:w="5000" w:type="pct"/>
            <w:gridSpan w:val="6"/>
            <w:tcBorders>
              <w:top w:val="single" w:sz="4" w:space="0" w:color="auto"/>
              <w:left w:val="nil"/>
              <w:bottom w:val="single" w:sz="4" w:space="0" w:color="auto"/>
              <w:right w:val="nil"/>
            </w:tcBorders>
            <w:shd w:val="clear" w:color="000000" w:fill="E6E6E6"/>
            <w:vAlign w:val="center"/>
            <w:hideMark/>
          </w:tcPr>
          <w:p w14:paraId="11F2F96E" w14:textId="77777777" w:rsidR="00C334B8" w:rsidRPr="00C334B8" w:rsidRDefault="00C334B8" w:rsidP="00C334B8">
            <w:pPr>
              <w:spacing w:after="0" w:line="240" w:lineRule="auto"/>
              <w:jc w:val="left"/>
              <w:rPr>
                <w:rFonts w:ascii="Arial" w:hAnsi="Arial" w:cs="Arial"/>
                <w:b/>
                <w:bCs/>
                <w:sz w:val="16"/>
                <w:szCs w:val="16"/>
              </w:rPr>
            </w:pPr>
            <w:r w:rsidRPr="00C334B8">
              <w:rPr>
                <w:rFonts w:ascii="Arial" w:hAnsi="Arial" w:cs="Arial"/>
                <w:b/>
                <w:bCs/>
                <w:sz w:val="16"/>
                <w:szCs w:val="16"/>
              </w:rPr>
              <w:t>Program 1.1: Australian Competition and Consumer Commission</w:t>
            </w:r>
          </w:p>
        </w:tc>
      </w:tr>
      <w:tr w:rsidR="00C334B8" w:rsidRPr="00C334B8" w14:paraId="122EF750" w14:textId="77777777" w:rsidTr="00C334B8">
        <w:trPr>
          <w:trHeight w:val="200"/>
        </w:trPr>
        <w:tc>
          <w:tcPr>
            <w:tcW w:w="2110" w:type="pct"/>
            <w:tcBorders>
              <w:top w:val="nil"/>
              <w:left w:val="nil"/>
              <w:bottom w:val="nil"/>
              <w:right w:val="nil"/>
            </w:tcBorders>
            <w:shd w:val="clear" w:color="000000" w:fill="FFFFFF"/>
            <w:noWrap/>
            <w:vAlign w:val="bottom"/>
            <w:hideMark/>
          </w:tcPr>
          <w:p w14:paraId="0BB65E11" w14:textId="77777777" w:rsidR="00C334B8" w:rsidRPr="00C334B8" w:rsidRDefault="00C334B8" w:rsidP="00C334B8">
            <w:pPr>
              <w:spacing w:after="0" w:line="240" w:lineRule="auto"/>
              <w:jc w:val="left"/>
              <w:rPr>
                <w:rFonts w:ascii="Arial" w:hAnsi="Arial" w:cs="Arial"/>
                <w:sz w:val="16"/>
                <w:szCs w:val="16"/>
              </w:rPr>
            </w:pPr>
            <w:r w:rsidRPr="00C334B8">
              <w:rPr>
                <w:rFonts w:ascii="Arial" w:hAnsi="Arial" w:cs="Arial"/>
                <w:sz w:val="16"/>
                <w:szCs w:val="16"/>
              </w:rPr>
              <w:t>Departmental expenses</w:t>
            </w:r>
          </w:p>
        </w:tc>
        <w:tc>
          <w:tcPr>
            <w:tcW w:w="578" w:type="pct"/>
            <w:tcBorders>
              <w:top w:val="nil"/>
              <w:left w:val="nil"/>
              <w:bottom w:val="nil"/>
              <w:right w:val="nil"/>
            </w:tcBorders>
            <w:shd w:val="clear" w:color="auto" w:fill="auto"/>
            <w:noWrap/>
            <w:vAlign w:val="bottom"/>
            <w:hideMark/>
          </w:tcPr>
          <w:p w14:paraId="6E437708" w14:textId="77777777" w:rsidR="00C334B8" w:rsidRPr="00C334B8" w:rsidRDefault="00C334B8" w:rsidP="00C334B8">
            <w:pPr>
              <w:spacing w:after="0" w:line="240" w:lineRule="auto"/>
              <w:jc w:val="left"/>
              <w:rPr>
                <w:rFonts w:ascii="Arial" w:hAnsi="Arial" w:cs="Arial"/>
                <w:sz w:val="16"/>
                <w:szCs w:val="16"/>
              </w:rPr>
            </w:pPr>
          </w:p>
        </w:tc>
        <w:tc>
          <w:tcPr>
            <w:tcW w:w="578" w:type="pct"/>
            <w:tcBorders>
              <w:top w:val="nil"/>
              <w:left w:val="nil"/>
              <w:bottom w:val="nil"/>
              <w:right w:val="nil"/>
            </w:tcBorders>
            <w:shd w:val="clear" w:color="000000" w:fill="E6E6E6"/>
            <w:noWrap/>
            <w:vAlign w:val="bottom"/>
            <w:hideMark/>
          </w:tcPr>
          <w:p w14:paraId="2D3A6B56"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w:t>
            </w:r>
          </w:p>
        </w:tc>
        <w:tc>
          <w:tcPr>
            <w:tcW w:w="578" w:type="pct"/>
            <w:tcBorders>
              <w:top w:val="nil"/>
              <w:left w:val="nil"/>
              <w:bottom w:val="nil"/>
              <w:right w:val="nil"/>
            </w:tcBorders>
            <w:shd w:val="clear" w:color="auto" w:fill="auto"/>
            <w:noWrap/>
            <w:vAlign w:val="bottom"/>
            <w:hideMark/>
          </w:tcPr>
          <w:p w14:paraId="35349EC8" w14:textId="77777777" w:rsidR="00C334B8" w:rsidRPr="00C334B8" w:rsidRDefault="00C334B8" w:rsidP="00C334B8">
            <w:pPr>
              <w:spacing w:after="0" w:line="240" w:lineRule="auto"/>
              <w:jc w:val="right"/>
              <w:rPr>
                <w:rFonts w:ascii="Arial" w:hAnsi="Arial" w:cs="Arial"/>
                <w:sz w:val="16"/>
                <w:szCs w:val="16"/>
              </w:rPr>
            </w:pPr>
          </w:p>
        </w:tc>
        <w:tc>
          <w:tcPr>
            <w:tcW w:w="578" w:type="pct"/>
            <w:tcBorders>
              <w:top w:val="nil"/>
              <w:left w:val="nil"/>
              <w:bottom w:val="nil"/>
              <w:right w:val="nil"/>
            </w:tcBorders>
            <w:shd w:val="clear" w:color="auto" w:fill="auto"/>
            <w:noWrap/>
            <w:vAlign w:val="bottom"/>
            <w:hideMark/>
          </w:tcPr>
          <w:p w14:paraId="3EBC1EA5" w14:textId="77777777" w:rsidR="00C334B8" w:rsidRPr="00C334B8" w:rsidRDefault="00C334B8" w:rsidP="00C334B8">
            <w:pPr>
              <w:spacing w:after="0" w:line="240" w:lineRule="auto"/>
              <w:jc w:val="left"/>
              <w:rPr>
                <w:rFonts w:ascii="Times New Roman" w:hAnsi="Times New Roman"/>
              </w:rPr>
            </w:pPr>
          </w:p>
        </w:tc>
        <w:tc>
          <w:tcPr>
            <w:tcW w:w="578" w:type="pct"/>
            <w:tcBorders>
              <w:top w:val="nil"/>
              <w:left w:val="nil"/>
              <w:bottom w:val="nil"/>
              <w:right w:val="nil"/>
            </w:tcBorders>
            <w:shd w:val="clear" w:color="auto" w:fill="auto"/>
            <w:noWrap/>
            <w:vAlign w:val="bottom"/>
            <w:hideMark/>
          </w:tcPr>
          <w:p w14:paraId="51F07E6D" w14:textId="77777777" w:rsidR="00C334B8" w:rsidRPr="00C334B8" w:rsidRDefault="00C334B8" w:rsidP="00C334B8">
            <w:pPr>
              <w:spacing w:after="0" w:line="240" w:lineRule="auto"/>
              <w:jc w:val="left"/>
              <w:rPr>
                <w:rFonts w:ascii="Times New Roman" w:hAnsi="Times New Roman"/>
              </w:rPr>
            </w:pPr>
          </w:p>
        </w:tc>
      </w:tr>
      <w:tr w:rsidR="00C334B8" w:rsidRPr="00C334B8" w14:paraId="520FC2AC" w14:textId="77777777" w:rsidTr="00C334B8">
        <w:trPr>
          <w:trHeight w:val="200"/>
        </w:trPr>
        <w:tc>
          <w:tcPr>
            <w:tcW w:w="2110" w:type="pct"/>
            <w:tcBorders>
              <w:top w:val="nil"/>
              <w:left w:val="nil"/>
              <w:bottom w:val="nil"/>
              <w:right w:val="nil"/>
            </w:tcBorders>
            <w:shd w:val="clear" w:color="000000" w:fill="FFFFFF"/>
            <w:noWrap/>
            <w:vAlign w:val="bottom"/>
            <w:hideMark/>
          </w:tcPr>
          <w:p w14:paraId="2ED27821" w14:textId="77777777" w:rsidR="00C334B8" w:rsidRPr="00C334B8" w:rsidRDefault="00C334B8" w:rsidP="00C334B8">
            <w:pPr>
              <w:spacing w:after="0" w:line="240" w:lineRule="auto"/>
              <w:ind w:firstLineChars="100" w:firstLine="160"/>
              <w:jc w:val="left"/>
              <w:rPr>
                <w:rFonts w:ascii="Arial" w:hAnsi="Arial" w:cs="Arial"/>
                <w:sz w:val="16"/>
                <w:szCs w:val="16"/>
              </w:rPr>
            </w:pPr>
            <w:r w:rsidRPr="00C334B8">
              <w:rPr>
                <w:rFonts w:ascii="Arial" w:hAnsi="Arial" w:cs="Arial"/>
                <w:sz w:val="16"/>
                <w:szCs w:val="16"/>
              </w:rPr>
              <w:t>Departmental appropriation</w:t>
            </w:r>
          </w:p>
        </w:tc>
        <w:tc>
          <w:tcPr>
            <w:tcW w:w="578" w:type="pct"/>
            <w:tcBorders>
              <w:top w:val="nil"/>
              <w:left w:val="nil"/>
              <w:bottom w:val="nil"/>
              <w:right w:val="nil"/>
            </w:tcBorders>
            <w:shd w:val="clear" w:color="auto" w:fill="auto"/>
            <w:noWrap/>
            <w:vAlign w:val="bottom"/>
            <w:hideMark/>
          </w:tcPr>
          <w:p w14:paraId="5B574914" w14:textId="77777777" w:rsidR="00C334B8" w:rsidRPr="00C334B8" w:rsidRDefault="00C334B8" w:rsidP="00C334B8">
            <w:pPr>
              <w:spacing w:after="0" w:line="240" w:lineRule="auto"/>
              <w:jc w:val="right"/>
              <w:rPr>
                <w:rFonts w:ascii="Arial" w:hAnsi="Arial" w:cs="Arial"/>
                <w:color w:val="000000"/>
                <w:sz w:val="16"/>
                <w:szCs w:val="16"/>
              </w:rPr>
            </w:pPr>
            <w:r w:rsidRPr="00C334B8">
              <w:rPr>
                <w:rFonts w:ascii="Arial" w:hAnsi="Arial" w:cs="Arial"/>
                <w:color w:val="000000"/>
                <w:sz w:val="16"/>
                <w:szCs w:val="16"/>
              </w:rPr>
              <w:t xml:space="preserve">202,649 </w:t>
            </w:r>
          </w:p>
        </w:tc>
        <w:tc>
          <w:tcPr>
            <w:tcW w:w="578" w:type="pct"/>
            <w:tcBorders>
              <w:top w:val="nil"/>
              <w:left w:val="nil"/>
              <w:bottom w:val="nil"/>
              <w:right w:val="nil"/>
            </w:tcBorders>
            <w:shd w:val="clear" w:color="000000" w:fill="E6E6E6"/>
            <w:noWrap/>
            <w:vAlign w:val="bottom"/>
            <w:hideMark/>
          </w:tcPr>
          <w:p w14:paraId="3E9B5BDB"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210,360 </w:t>
            </w:r>
          </w:p>
        </w:tc>
        <w:tc>
          <w:tcPr>
            <w:tcW w:w="578" w:type="pct"/>
            <w:tcBorders>
              <w:top w:val="nil"/>
              <w:left w:val="nil"/>
              <w:bottom w:val="nil"/>
              <w:right w:val="nil"/>
            </w:tcBorders>
            <w:shd w:val="clear" w:color="auto" w:fill="auto"/>
            <w:noWrap/>
            <w:vAlign w:val="bottom"/>
            <w:hideMark/>
          </w:tcPr>
          <w:p w14:paraId="691FC75C"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194,498 </w:t>
            </w:r>
          </w:p>
        </w:tc>
        <w:tc>
          <w:tcPr>
            <w:tcW w:w="578" w:type="pct"/>
            <w:tcBorders>
              <w:top w:val="nil"/>
              <w:left w:val="nil"/>
              <w:bottom w:val="nil"/>
              <w:right w:val="nil"/>
            </w:tcBorders>
            <w:shd w:val="clear" w:color="auto" w:fill="auto"/>
            <w:noWrap/>
            <w:vAlign w:val="bottom"/>
            <w:hideMark/>
          </w:tcPr>
          <w:p w14:paraId="032FF65B"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177,843 </w:t>
            </w:r>
          </w:p>
        </w:tc>
        <w:tc>
          <w:tcPr>
            <w:tcW w:w="578" w:type="pct"/>
            <w:tcBorders>
              <w:top w:val="nil"/>
              <w:left w:val="nil"/>
              <w:bottom w:val="nil"/>
              <w:right w:val="nil"/>
            </w:tcBorders>
            <w:shd w:val="clear" w:color="auto" w:fill="auto"/>
            <w:noWrap/>
            <w:vAlign w:val="bottom"/>
            <w:hideMark/>
          </w:tcPr>
          <w:p w14:paraId="620AC40B"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170,775 </w:t>
            </w:r>
          </w:p>
        </w:tc>
      </w:tr>
      <w:tr w:rsidR="00C334B8" w:rsidRPr="00C334B8" w14:paraId="46BE0606" w14:textId="77777777" w:rsidTr="00C334B8">
        <w:trPr>
          <w:trHeight w:val="200"/>
        </w:trPr>
        <w:tc>
          <w:tcPr>
            <w:tcW w:w="2110" w:type="pct"/>
            <w:tcBorders>
              <w:top w:val="nil"/>
              <w:left w:val="nil"/>
              <w:bottom w:val="nil"/>
              <w:right w:val="nil"/>
            </w:tcBorders>
            <w:shd w:val="clear" w:color="000000" w:fill="FFFFFF"/>
            <w:vAlign w:val="bottom"/>
            <w:hideMark/>
          </w:tcPr>
          <w:p w14:paraId="41AC27D0" w14:textId="77777777" w:rsidR="00C334B8" w:rsidRPr="00C334B8" w:rsidRDefault="00C334B8" w:rsidP="00C334B8">
            <w:pPr>
              <w:spacing w:after="0" w:line="240" w:lineRule="auto"/>
              <w:ind w:firstLineChars="100" w:firstLine="160"/>
              <w:jc w:val="left"/>
              <w:rPr>
                <w:rFonts w:ascii="Arial" w:hAnsi="Arial" w:cs="Arial"/>
                <w:sz w:val="16"/>
                <w:szCs w:val="16"/>
              </w:rPr>
            </w:pPr>
            <w:r w:rsidRPr="00C334B8">
              <w:rPr>
                <w:rFonts w:ascii="Arial" w:hAnsi="Arial" w:cs="Arial"/>
                <w:sz w:val="16"/>
                <w:szCs w:val="16"/>
              </w:rPr>
              <w:t>s74 External Revenue (a)</w:t>
            </w:r>
          </w:p>
        </w:tc>
        <w:tc>
          <w:tcPr>
            <w:tcW w:w="578" w:type="pct"/>
            <w:tcBorders>
              <w:top w:val="nil"/>
              <w:left w:val="nil"/>
              <w:bottom w:val="nil"/>
              <w:right w:val="nil"/>
            </w:tcBorders>
            <w:shd w:val="clear" w:color="auto" w:fill="auto"/>
            <w:noWrap/>
            <w:vAlign w:val="bottom"/>
            <w:hideMark/>
          </w:tcPr>
          <w:p w14:paraId="04801C8D" w14:textId="77777777" w:rsidR="00C334B8" w:rsidRPr="00C334B8" w:rsidRDefault="00C334B8" w:rsidP="00C334B8">
            <w:pPr>
              <w:spacing w:after="0" w:line="240" w:lineRule="auto"/>
              <w:jc w:val="right"/>
              <w:rPr>
                <w:rFonts w:ascii="Arial" w:hAnsi="Arial" w:cs="Arial"/>
                <w:color w:val="000000"/>
                <w:sz w:val="16"/>
                <w:szCs w:val="16"/>
              </w:rPr>
            </w:pPr>
            <w:r w:rsidRPr="00C334B8">
              <w:rPr>
                <w:rFonts w:ascii="Arial" w:hAnsi="Arial" w:cs="Arial"/>
                <w:color w:val="000000"/>
                <w:sz w:val="16"/>
                <w:szCs w:val="16"/>
              </w:rPr>
              <w:t xml:space="preserve">1,599 </w:t>
            </w:r>
          </w:p>
        </w:tc>
        <w:tc>
          <w:tcPr>
            <w:tcW w:w="578" w:type="pct"/>
            <w:tcBorders>
              <w:top w:val="nil"/>
              <w:left w:val="nil"/>
              <w:bottom w:val="nil"/>
              <w:right w:val="nil"/>
            </w:tcBorders>
            <w:shd w:val="clear" w:color="000000" w:fill="E6E6E6"/>
            <w:noWrap/>
            <w:vAlign w:val="bottom"/>
            <w:hideMark/>
          </w:tcPr>
          <w:p w14:paraId="41D3F35D"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1,335 </w:t>
            </w:r>
          </w:p>
        </w:tc>
        <w:tc>
          <w:tcPr>
            <w:tcW w:w="578" w:type="pct"/>
            <w:tcBorders>
              <w:top w:val="nil"/>
              <w:left w:val="nil"/>
              <w:bottom w:val="nil"/>
              <w:right w:val="nil"/>
            </w:tcBorders>
            <w:shd w:val="clear" w:color="auto" w:fill="auto"/>
            <w:noWrap/>
            <w:vAlign w:val="bottom"/>
            <w:hideMark/>
          </w:tcPr>
          <w:p w14:paraId="7B2BFBB7"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575 </w:t>
            </w:r>
          </w:p>
        </w:tc>
        <w:tc>
          <w:tcPr>
            <w:tcW w:w="578" w:type="pct"/>
            <w:tcBorders>
              <w:top w:val="nil"/>
              <w:left w:val="nil"/>
              <w:bottom w:val="nil"/>
              <w:right w:val="nil"/>
            </w:tcBorders>
            <w:shd w:val="clear" w:color="auto" w:fill="auto"/>
            <w:noWrap/>
            <w:vAlign w:val="bottom"/>
            <w:hideMark/>
          </w:tcPr>
          <w:p w14:paraId="61649FE1"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1,372 </w:t>
            </w:r>
          </w:p>
        </w:tc>
        <w:tc>
          <w:tcPr>
            <w:tcW w:w="578" w:type="pct"/>
            <w:tcBorders>
              <w:top w:val="nil"/>
              <w:left w:val="nil"/>
              <w:bottom w:val="nil"/>
              <w:right w:val="nil"/>
            </w:tcBorders>
            <w:shd w:val="clear" w:color="auto" w:fill="auto"/>
            <w:noWrap/>
            <w:vAlign w:val="bottom"/>
            <w:hideMark/>
          </w:tcPr>
          <w:p w14:paraId="6C565314"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1,362 </w:t>
            </w:r>
          </w:p>
        </w:tc>
      </w:tr>
      <w:tr w:rsidR="00C334B8" w:rsidRPr="00C334B8" w14:paraId="3E984FD9" w14:textId="77777777" w:rsidTr="00C334B8">
        <w:trPr>
          <w:trHeight w:val="600"/>
        </w:trPr>
        <w:tc>
          <w:tcPr>
            <w:tcW w:w="2110" w:type="pct"/>
            <w:tcBorders>
              <w:top w:val="nil"/>
              <w:left w:val="nil"/>
              <w:bottom w:val="nil"/>
              <w:right w:val="nil"/>
            </w:tcBorders>
            <w:shd w:val="clear" w:color="auto" w:fill="auto"/>
            <w:vAlign w:val="bottom"/>
            <w:hideMark/>
          </w:tcPr>
          <w:p w14:paraId="02F9F36B" w14:textId="46F39A5A" w:rsidR="00C334B8" w:rsidRPr="00C334B8" w:rsidRDefault="00C334B8" w:rsidP="00C334B8">
            <w:pPr>
              <w:spacing w:after="0" w:line="240" w:lineRule="auto"/>
              <w:ind w:firstLineChars="100" w:firstLine="160"/>
              <w:jc w:val="left"/>
              <w:rPr>
                <w:rFonts w:ascii="Arial" w:hAnsi="Arial" w:cs="Arial"/>
                <w:sz w:val="16"/>
                <w:szCs w:val="16"/>
              </w:rPr>
            </w:pPr>
            <w:r w:rsidRPr="00C334B8">
              <w:rPr>
                <w:rFonts w:ascii="Arial" w:hAnsi="Arial" w:cs="Arial"/>
                <w:sz w:val="16"/>
                <w:szCs w:val="16"/>
              </w:rPr>
              <w:t>Expenses not requiring</w:t>
            </w:r>
            <w:r w:rsidRPr="00C334B8">
              <w:rPr>
                <w:rFonts w:ascii="Arial" w:hAnsi="Arial" w:cs="Arial"/>
                <w:sz w:val="16"/>
                <w:szCs w:val="16"/>
              </w:rPr>
              <w:br/>
              <w:t xml:space="preserve">  </w:t>
            </w:r>
            <w:r>
              <w:rPr>
                <w:rFonts w:ascii="Arial" w:hAnsi="Arial" w:cs="Arial"/>
                <w:sz w:val="16"/>
                <w:szCs w:val="16"/>
              </w:rPr>
              <w:t xml:space="preserve">  </w:t>
            </w:r>
            <w:r w:rsidRPr="00C334B8">
              <w:rPr>
                <w:rFonts w:ascii="Arial" w:hAnsi="Arial" w:cs="Arial"/>
                <w:sz w:val="16"/>
                <w:szCs w:val="16"/>
              </w:rPr>
              <w:t>appropriation in the Budget</w:t>
            </w:r>
            <w:r w:rsidRPr="00C334B8">
              <w:rPr>
                <w:rFonts w:ascii="Arial" w:hAnsi="Arial" w:cs="Arial"/>
                <w:sz w:val="16"/>
                <w:szCs w:val="16"/>
              </w:rPr>
              <w:br/>
              <w:t xml:space="preserve">    year (b)</w:t>
            </w:r>
          </w:p>
        </w:tc>
        <w:tc>
          <w:tcPr>
            <w:tcW w:w="578" w:type="pct"/>
            <w:tcBorders>
              <w:top w:val="nil"/>
              <w:left w:val="nil"/>
              <w:bottom w:val="nil"/>
              <w:right w:val="nil"/>
            </w:tcBorders>
            <w:shd w:val="clear" w:color="auto" w:fill="auto"/>
            <w:noWrap/>
            <w:vAlign w:val="bottom"/>
            <w:hideMark/>
          </w:tcPr>
          <w:p w14:paraId="49FBFE2D" w14:textId="77777777" w:rsidR="00C334B8" w:rsidRPr="00C334B8" w:rsidRDefault="00C334B8" w:rsidP="00C334B8">
            <w:pPr>
              <w:spacing w:after="0" w:line="240" w:lineRule="auto"/>
              <w:jc w:val="right"/>
              <w:rPr>
                <w:rFonts w:ascii="Arial" w:hAnsi="Arial" w:cs="Arial"/>
                <w:color w:val="000000"/>
                <w:sz w:val="16"/>
                <w:szCs w:val="16"/>
              </w:rPr>
            </w:pPr>
            <w:r w:rsidRPr="00C334B8">
              <w:rPr>
                <w:rFonts w:ascii="Arial" w:hAnsi="Arial" w:cs="Arial"/>
                <w:color w:val="000000"/>
                <w:sz w:val="16"/>
                <w:szCs w:val="16"/>
              </w:rPr>
              <w:t xml:space="preserve">11,326 </w:t>
            </w:r>
          </w:p>
        </w:tc>
        <w:tc>
          <w:tcPr>
            <w:tcW w:w="578" w:type="pct"/>
            <w:tcBorders>
              <w:top w:val="nil"/>
              <w:left w:val="nil"/>
              <w:bottom w:val="nil"/>
              <w:right w:val="nil"/>
            </w:tcBorders>
            <w:shd w:val="clear" w:color="000000" w:fill="E6E6E6"/>
            <w:noWrap/>
            <w:vAlign w:val="bottom"/>
            <w:hideMark/>
          </w:tcPr>
          <w:p w14:paraId="6352E7EE"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10,060 </w:t>
            </w:r>
          </w:p>
        </w:tc>
        <w:tc>
          <w:tcPr>
            <w:tcW w:w="578" w:type="pct"/>
            <w:tcBorders>
              <w:top w:val="nil"/>
              <w:left w:val="nil"/>
              <w:bottom w:val="nil"/>
              <w:right w:val="nil"/>
            </w:tcBorders>
            <w:shd w:val="clear" w:color="auto" w:fill="auto"/>
            <w:noWrap/>
            <w:vAlign w:val="bottom"/>
            <w:hideMark/>
          </w:tcPr>
          <w:p w14:paraId="7E986F4C" w14:textId="77777777" w:rsidR="00C334B8" w:rsidRPr="00C334B8" w:rsidRDefault="00C334B8" w:rsidP="00C334B8">
            <w:pPr>
              <w:spacing w:after="0" w:line="240" w:lineRule="auto"/>
              <w:jc w:val="right"/>
              <w:rPr>
                <w:rFonts w:ascii="Arial" w:hAnsi="Arial" w:cs="Arial"/>
                <w:color w:val="000000"/>
                <w:sz w:val="16"/>
                <w:szCs w:val="16"/>
              </w:rPr>
            </w:pPr>
            <w:r w:rsidRPr="00C334B8">
              <w:rPr>
                <w:rFonts w:ascii="Arial" w:hAnsi="Arial" w:cs="Arial"/>
                <w:color w:val="000000"/>
                <w:sz w:val="16"/>
                <w:szCs w:val="16"/>
              </w:rPr>
              <w:t xml:space="preserve">9,837 </w:t>
            </w:r>
          </w:p>
        </w:tc>
        <w:tc>
          <w:tcPr>
            <w:tcW w:w="578" w:type="pct"/>
            <w:tcBorders>
              <w:top w:val="nil"/>
              <w:left w:val="nil"/>
              <w:bottom w:val="nil"/>
              <w:right w:val="nil"/>
            </w:tcBorders>
            <w:shd w:val="clear" w:color="auto" w:fill="auto"/>
            <w:noWrap/>
            <w:vAlign w:val="bottom"/>
            <w:hideMark/>
          </w:tcPr>
          <w:p w14:paraId="38F2AEA5" w14:textId="77777777" w:rsidR="00C334B8" w:rsidRPr="00C334B8" w:rsidRDefault="00C334B8" w:rsidP="00C334B8">
            <w:pPr>
              <w:spacing w:after="0" w:line="240" w:lineRule="auto"/>
              <w:jc w:val="right"/>
              <w:rPr>
                <w:rFonts w:ascii="Arial" w:hAnsi="Arial" w:cs="Arial"/>
                <w:color w:val="000000"/>
                <w:sz w:val="16"/>
                <w:szCs w:val="16"/>
              </w:rPr>
            </w:pPr>
            <w:r w:rsidRPr="00C334B8">
              <w:rPr>
                <w:rFonts w:ascii="Arial" w:hAnsi="Arial" w:cs="Arial"/>
                <w:color w:val="000000"/>
                <w:sz w:val="16"/>
                <w:szCs w:val="16"/>
              </w:rPr>
              <w:t xml:space="preserve">9,263 </w:t>
            </w:r>
          </w:p>
        </w:tc>
        <w:tc>
          <w:tcPr>
            <w:tcW w:w="578" w:type="pct"/>
            <w:tcBorders>
              <w:top w:val="nil"/>
              <w:left w:val="nil"/>
              <w:bottom w:val="nil"/>
              <w:right w:val="nil"/>
            </w:tcBorders>
            <w:shd w:val="clear" w:color="auto" w:fill="auto"/>
            <w:noWrap/>
            <w:vAlign w:val="bottom"/>
            <w:hideMark/>
          </w:tcPr>
          <w:p w14:paraId="5122C97B" w14:textId="77777777" w:rsidR="00C334B8" w:rsidRPr="00C334B8" w:rsidRDefault="00C334B8" w:rsidP="00C334B8">
            <w:pPr>
              <w:spacing w:after="0" w:line="240" w:lineRule="auto"/>
              <w:jc w:val="right"/>
              <w:rPr>
                <w:rFonts w:ascii="Arial" w:hAnsi="Arial" w:cs="Arial"/>
                <w:color w:val="000000"/>
                <w:sz w:val="16"/>
                <w:szCs w:val="16"/>
              </w:rPr>
            </w:pPr>
            <w:r w:rsidRPr="00C334B8">
              <w:rPr>
                <w:rFonts w:ascii="Arial" w:hAnsi="Arial" w:cs="Arial"/>
                <w:color w:val="000000"/>
                <w:sz w:val="16"/>
                <w:szCs w:val="16"/>
              </w:rPr>
              <w:t xml:space="preserve">8,388 </w:t>
            </w:r>
          </w:p>
        </w:tc>
      </w:tr>
      <w:tr w:rsidR="00C334B8" w:rsidRPr="00C334B8" w14:paraId="4C40D404" w14:textId="77777777" w:rsidTr="00C334B8">
        <w:trPr>
          <w:trHeight w:val="210"/>
        </w:trPr>
        <w:tc>
          <w:tcPr>
            <w:tcW w:w="2110" w:type="pct"/>
            <w:tcBorders>
              <w:top w:val="nil"/>
              <w:left w:val="nil"/>
              <w:bottom w:val="nil"/>
              <w:right w:val="nil"/>
            </w:tcBorders>
            <w:shd w:val="clear" w:color="auto" w:fill="auto"/>
            <w:vAlign w:val="bottom"/>
            <w:hideMark/>
          </w:tcPr>
          <w:p w14:paraId="743BFB57" w14:textId="77777777" w:rsidR="00C334B8" w:rsidRPr="00C334B8" w:rsidRDefault="00C334B8" w:rsidP="00C334B8">
            <w:pPr>
              <w:spacing w:after="0" w:line="240" w:lineRule="auto"/>
              <w:jc w:val="right"/>
              <w:rPr>
                <w:rFonts w:ascii="Arial" w:hAnsi="Arial" w:cs="Arial"/>
                <w:b/>
                <w:bCs/>
                <w:sz w:val="16"/>
                <w:szCs w:val="16"/>
              </w:rPr>
            </w:pPr>
            <w:r w:rsidRPr="00C334B8">
              <w:rPr>
                <w:rFonts w:ascii="Arial" w:hAnsi="Arial" w:cs="Arial"/>
                <w:b/>
                <w:bCs/>
                <w:sz w:val="16"/>
                <w:szCs w:val="16"/>
              </w:rPr>
              <w:t>Departmental total</w:t>
            </w:r>
          </w:p>
        </w:tc>
        <w:tc>
          <w:tcPr>
            <w:tcW w:w="578" w:type="pct"/>
            <w:tcBorders>
              <w:top w:val="single" w:sz="4" w:space="0" w:color="000000"/>
              <w:left w:val="nil"/>
              <w:bottom w:val="single" w:sz="4" w:space="0" w:color="000000"/>
              <w:right w:val="nil"/>
            </w:tcBorders>
            <w:shd w:val="clear" w:color="auto" w:fill="auto"/>
            <w:noWrap/>
            <w:vAlign w:val="bottom"/>
            <w:hideMark/>
          </w:tcPr>
          <w:p w14:paraId="3C262BB2" w14:textId="77777777" w:rsidR="00C334B8" w:rsidRPr="00C334B8" w:rsidRDefault="00C334B8" w:rsidP="00C334B8">
            <w:pPr>
              <w:spacing w:after="0" w:line="240" w:lineRule="auto"/>
              <w:jc w:val="right"/>
              <w:rPr>
                <w:rFonts w:ascii="Arial" w:hAnsi="Arial" w:cs="Arial"/>
                <w:color w:val="000000"/>
                <w:sz w:val="16"/>
                <w:szCs w:val="16"/>
              </w:rPr>
            </w:pPr>
            <w:r w:rsidRPr="00C334B8">
              <w:rPr>
                <w:rFonts w:ascii="Arial" w:hAnsi="Arial" w:cs="Arial"/>
                <w:color w:val="000000"/>
                <w:sz w:val="16"/>
                <w:szCs w:val="16"/>
              </w:rPr>
              <w:t xml:space="preserve">215,574 </w:t>
            </w:r>
          </w:p>
        </w:tc>
        <w:tc>
          <w:tcPr>
            <w:tcW w:w="578" w:type="pct"/>
            <w:tcBorders>
              <w:top w:val="single" w:sz="4" w:space="0" w:color="000000"/>
              <w:left w:val="nil"/>
              <w:bottom w:val="single" w:sz="4" w:space="0" w:color="000000"/>
              <w:right w:val="nil"/>
            </w:tcBorders>
            <w:shd w:val="clear" w:color="000000" w:fill="E6E6E6"/>
            <w:noWrap/>
            <w:vAlign w:val="bottom"/>
            <w:hideMark/>
          </w:tcPr>
          <w:p w14:paraId="1F672581"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221,755 </w:t>
            </w:r>
          </w:p>
        </w:tc>
        <w:tc>
          <w:tcPr>
            <w:tcW w:w="578" w:type="pct"/>
            <w:tcBorders>
              <w:top w:val="single" w:sz="4" w:space="0" w:color="000000"/>
              <w:left w:val="nil"/>
              <w:bottom w:val="single" w:sz="4" w:space="0" w:color="000000"/>
              <w:right w:val="nil"/>
            </w:tcBorders>
            <w:shd w:val="clear" w:color="auto" w:fill="auto"/>
            <w:noWrap/>
            <w:vAlign w:val="bottom"/>
            <w:hideMark/>
          </w:tcPr>
          <w:p w14:paraId="53169789"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204,910 </w:t>
            </w:r>
          </w:p>
        </w:tc>
        <w:tc>
          <w:tcPr>
            <w:tcW w:w="578" w:type="pct"/>
            <w:tcBorders>
              <w:top w:val="single" w:sz="4" w:space="0" w:color="000000"/>
              <w:left w:val="nil"/>
              <w:bottom w:val="single" w:sz="4" w:space="0" w:color="000000"/>
              <w:right w:val="nil"/>
            </w:tcBorders>
            <w:shd w:val="clear" w:color="auto" w:fill="auto"/>
            <w:noWrap/>
            <w:vAlign w:val="bottom"/>
            <w:hideMark/>
          </w:tcPr>
          <w:p w14:paraId="24C03C29"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188,478 </w:t>
            </w:r>
          </w:p>
        </w:tc>
        <w:tc>
          <w:tcPr>
            <w:tcW w:w="578" w:type="pct"/>
            <w:tcBorders>
              <w:top w:val="single" w:sz="4" w:space="0" w:color="000000"/>
              <w:left w:val="nil"/>
              <w:bottom w:val="single" w:sz="4" w:space="0" w:color="000000"/>
              <w:right w:val="nil"/>
            </w:tcBorders>
            <w:shd w:val="clear" w:color="auto" w:fill="auto"/>
            <w:noWrap/>
            <w:vAlign w:val="bottom"/>
            <w:hideMark/>
          </w:tcPr>
          <w:p w14:paraId="7DD0BF1E"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180,525 </w:t>
            </w:r>
          </w:p>
        </w:tc>
      </w:tr>
      <w:tr w:rsidR="00C334B8" w:rsidRPr="00C334B8" w14:paraId="40DC30E3" w14:textId="77777777" w:rsidTr="00C334B8">
        <w:trPr>
          <w:trHeight w:val="210"/>
        </w:trPr>
        <w:tc>
          <w:tcPr>
            <w:tcW w:w="2110" w:type="pct"/>
            <w:tcBorders>
              <w:top w:val="nil"/>
              <w:left w:val="nil"/>
              <w:bottom w:val="single" w:sz="4" w:space="0" w:color="000000"/>
              <w:right w:val="nil"/>
            </w:tcBorders>
            <w:shd w:val="clear" w:color="auto" w:fill="auto"/>
            <w:vAlign w:val="bottom"/>
            <w:hideMark/>
          </w:tcPr>
          <w:p w14:paraId="6E126981" w14:textId="77777777" w:rsidR="00C334B8" w:rsidRPr="00C334B8" w:rsidRDefault="00C334B8" w:rsidP="00C334B8">
            <w:pPr>
              <w:spacing w:after="0" w:line="240" w:lineRule="auto"/>
              <w:jc w:val="left"/>
              <w:rPr>
                <w:rFonts w:ascii="Arial" w:hAnsi="Arial" w:cs="Arial"/>
                <w:b/>
                <w:bCs/>
                <w:sz w:val="16"/>
                <w:szCs w:val="16"/>
              </w:rPr>
            </w:pPr>
            <w:r w:rsidRPr="00C334B8">
              <w:rPr>
                <w:rFonts w:ascii="Arial" w:hAnsi="Arial" w:cs="Arial"/>
                <w:b/>
                <w:bCs/>
                <w:sz w:val="16"/>
                <w:szCs w:val="16"/>
              </w:rPr>
              <w:t>Total expenses for Program 1.1</w:t>
            </w:r>
          </w:p>
        </w:tc>
        <w:tc>
          <w:tcPr>
            <w:tcW w:w="578" w:type="pct"/>
            <w:tcBorders>
              <w:top w:val="nil"/>
              <w:left w:val="nil"/>
              <w:bottom w:val="single" w:sz="4" w:space="0" w:color="000000"/>
              <w:right w:val="nil"/>
            </w:tcBorders>
            <w:shd w:val="clear" w:color="auto" w:fill="auto"/>
            <w:noWrap/>
            <w:vAlign w:val="bottom"/>
            <w:hideMark/>
          </w:tcPr>
          <w:p w14:paraId="536661B7" w14:textId="77777777" w:rsidR="00C334B8" w:rsidRPr="00C334B8" w:rsidRDefault="00C334B8" w:rsidP="00C334B8">
            <w:pPr>
              <w:spacing w:after="0" w:line="240" w:lineRule="auto"/>
              <w:jc w:val="right"/>
              <w:rPr>
                <w:rFonts w:ascii="Arial" w:hAnsi="Arial" w:cs="Arial"/>
                <w:b/>
                <w:bCs/>
                <w:color w:val="000000"/>
                <w:sz w:val="16"/>
                <w:szCs w:val="16"/>
              </w:rPr>
            </w:pPr>
            <w:r w:rsidRPr="00C334B8">
              <w:rPr>
                <w:rFonts w:ascii="Arial" w:hAnsi="Arial" w:cs="Arial"/>
                <w:b/>
                <w:bCs/>
                <w:color w:val="000000"/>
                <w:sz w:val="16"/>
                <w:szCs w:val="16"/>
              </w:rPr>
              <w:t xml:space="preserve">215,574 </w:t>
            </w:r>
          </w:p>
        </w:tc>
        <w:tc>
          <w:tcPr>
            <w:tcW w:w="578" w:type="pct"/>
            <w:tcBorders>
              <w:top w:val="nil"/>
              <w:left w:val="nil"/>
              <w:bottom w:val="single" w:sz="4" w:space="0" w:color="000000"/>
              <w:right w:val="nil"/>
            </w:tcBorders>
            <w:shd w:val="clear" w:color="000000" w:fill="E6E6E6"/>
            <w:noWrap/>
            <w:vAlign w:val="bottom"/>
            <w:hideMark/>
          </w:tcPr>
          <w:p w14:paraId="19BF7A08" w14:textId="77777777" w:rsidR="00C334B8" w:rsidRPr="00C334B8" w:rsidRDefault="00C334B8" w:rsidP="00C334B8">
            <w:pPr>
              <w:spacing w:after="0" w:line="240" w:lineRule="auto"/>
              <w:jc w:val="right"/>
              <w:rPr>
                <w:rFonts w:ascii="Arial" w:hAnsi="Arial" w:cs="Arial"/>
                <w:b/>
                <w:bCs/>
                <w:color w:val="000000"/>
                <w:sz w:val="16"/>
                <w:szCs w:val="16"/>
              </w:rPr>
            </w:pPr>
            <w:r w:rsidRPr="00C334B8">
              <w:rPr>
                <w:rFonts w:ascii="Arial" w:hAnsi="Arial" w:cs="Arial"/>
                <w:b/>
                <w:bCs/>
                <w:color w:val="000000"/>
                <w:sz w:val="16"/>
                <w:szCs w:val="16"/>
              </w:rPr>
              <w:t xml:space="preserve">221,755 </w:t>
            </w:r>
          </w:p>
        </w:tc>
        <w:tc>
          <w:tcPr>
            <w:tcW w:w="578" w:type="pct"/>
            <w:tcBorders>
              <w:top w:val="nil"/>
              <w:left w:val="nil"/>
              <w:bottom w:val="single" w:sz="4" w:space="0" w:color="000000"/>
              <w:right w:val="nil"/>
            </w:tcBorders>
            <w:shd w:val="clear" w:color="auto" w:fill="auto"/>
            <w:noWrap/>
            <w:vAlign w:val="bottom"/>
            <w:hideMark/>
          </w:tcPr>
          <w:p w14:paraId="61B9427F" w14:textId="77777777" w:rsidR="00C334B8" w:rsidRPr="00C334B8" w:rsidRDefault="00C334B8" w:rsidP="00C334B8">
            <w:pPr>
              <w:spacing w:after="0" w:line="240" w:lineRule="auto"/>
              <w:jc w:val="right"/>
              <w:rPr>
                <w:rFonts w:ascii="Arial" w:hAnsi="Arial" w:cs="Arial"/>
                <w:b/>
                <w:bCs/>
                <w:sz w:val="16"/>
                <w:szCs w:val="16"/>
              </w:rPr>
            </w:pPr>
            <w:r w:rsidRPr="00C334B8">
              <w:rPr>
                <w:rFonts w:ascii="Arial" w:hAnsi="Arial" w:cs="Arial"/>
                <w:b/>
                <w:bCs/>
                <w:sz w:val="16"/>
                <w:szCs w:val="16"/>
              </w:rPr>
              <w:t xml:space="preserve">204,910 </w:t>
            </w:r>
          </w:p>
        </w:tc>
        <w:tc>
          <w:tcPr>
            <w:tcW w:w="578" w:type="pct"/>
            <w:tcBorders>
              <w:top w:val="nil"/>
              <w:left w:val="nil"/>
              <w:bottom w:val="single" w:sz="4" w:space="0" w:color="000000"/>
              <w:right w:val="nil"/>
            </w:tcBorders>
            <w:shd w:val="clear" w:color="auto" w:fill="auto"/>
            <w:noWrap/>
            <w:vAlign w:val="bottom"/>
            <w:hideMark/>
          </w:tcPr>
          <w:p w14:paraId="1B38E7D1" w14:textId="77777777" w:rsidR="00C334B8" w:rsidRPr="00C334B8" w:rsidRDefault="00C334B8" w:rsidP="00C334B8">
            <w:pPr>
              <w:spacing w:after="0" w:line="240" w:lineRule="auto"/>
              <w:jc w:val="right"/>
              <w:rPr>
                <w:rFonts w:ascii="Arial" w:hAnsi="Arial" w:cs="Arial"/>
                <w:b/>
                <w:bCs/>
                <w:sz w:val="16"/>
                <w:szCs w:val="16"/>
              </w:rPr>
            </w:pPr>
            <w:r w:rsidRPr="00C334B8">
              <w:rPr>
                <w:rFonts w:ascii="Arial" w:hAnsi="Arial" w:cs="Arial"/>
                <w:b/>
                <w:bCs/>
                <w:sz w:val="16"/>
                <w:szCs w:val="16"/>
              </w:rPr>
              <w:t xml:space="preserve">188,478 </w:t>
            </w:r>
          </w:p>
        </w:tc>
        <w:tc>
          <w:tcPr>
            <w:tcW w:w="578" w:type="pct"/>
            <w:tcBorders>
              <w:top w:val="nil"/>
              <w:left w:val="nil"/>
              <w:bottom w:val="single" w:sz="4" w:space="0" w:color="000000"/>
              <w:right w:val="nil"/>
            </w:tcBorders>
            <w:shd w:val="clear" w:color="auto" w:fill="auto"/>
            <w:noWrap/>
            <w:vAlign w:val="bottom"/>
            <w:hideMark/>
          </w:tcPr>
          <w:p w14:paraId="7122030E" w14:textId="77777777" w:rsidR="00C334B8" w:rsidRPr="00C334B8" w:rsidRDefault="00C334B8" w:rsidP="00C334B8">
            <w:pPr>
              <w:spacing w:after="0" w:line="240" w:lineRule="auto"/>
              <w:jc w:val="right"/>
              <w:rPr>
                <w:rFonts w:ascii="Arial" w:hAnsi="Arial" w:cs="Arial"/>
                <w:b/>
                <w:bCs/>
                <w:sz w:val="16"/>
                <w:szCs w:val="16"/>
              </w:rPr>
            </w:pPr>
            <w:r w:rsidRPr="00C334B8">
              <w:rPr>
                <w:rFonts w:ascii="Arial" w:hAnsi="Arial" w:cs="Arial"/>
                <w:b/>
                <w:bCs/>
                <w:sz w:val="16"/>
                <w:szCs w:val="16"/>
              </w:rPr>
              <w:t xml:space="preserve">180,525 </w:t>
            </w:r>
          </w:p>
        </w:tc>
      </w:tr>
      <w:tr w:rsidR="00C334B8" w:rsidRPr="00C334B8" w14:paraId="71793803" w14:textId="77777777" w:rsidTr="00C334B8">
        <w:trPr>
          <w:trHeight w:val="210"/>
        </w:trPr>
        <w:tc>
          <w:tcPr>
            <w:tcW w:w="2110" w:type="pct"/>
            <w:tcBorders>
              <w:top w:val="nil"/>
              <w:left w:val="nil"/>
              <w:bottom w:val="nil"/>
              <w:right w:val="nil"/>
            </w:tcBorders>
            <w:shd w:val="clear" w:color="auto" w:fill="auto"/>
            <w:vAlign w:val="bottom"/>
            <w:hideMark/>
          </w:tcPr>
          <w:p w14:paraId="5A4C5798" w14:textId="77777777" w:rsidR="00C334B8" w:rsidRPr="00C334B8" w:rsidRDefault="00C334B8" w:rsidP="00C334B8">
            <w:pPr>
              <w:spacing w:after="0" w:line="240" w:lineRule="auto"/>
              <w:jc w:val="right"/>
              <w:rPr>
                <w:rFonts w:ascii="Arial" w:hAnsi="Arial" w:cs="Arial"/>
                <w:b/>
                <w:bCs/>
                <w:sz w:val="16"/>
                <w:szCs w:val="16"/>
              </w:rPr>
            </w:pPr>
          </w:p>
        </w:tc>
        <w:tc>
          <w:tcPr>
            <w:tcW w:w="578" w:type="pct"/>
            <w:tcBorders>
              <w:top w:val="nil"/>
              <w:left w:val="nil"/>
              <w:bottom w:val="nil"/>
              <w:right w:val="nil"/>
            </w:tcBorders>
            <w:shd w:val="clear" w:color="auto" w:fill="auto"/>
            <w:noWrap/>
            <w:vAlign w:val="bottom"/>
            <w:hideMark/>
          </w:tcPr>
          <w:p w14:paraId="3DC947F9" w14:textId="77777777" w:rsidR="00C334B8" w:rsidRPr="00C334B8" w:rsidRDefault="00C334B8" w:rsidP="00C334B8">
            <w:pPr>
              <w:spacing w:after="0" w:line="240" w:lineRule="auto"/>
              <w:jc w:val="left"/>
              <w:rPr>
                <w:rFonts w:ascii="Times New Roman" w:hAnsi="Times New Roman"/>
              </w:rPr>
            </w:pPr>
          </w:p>
        </w:tc>
        <w:tc>
          <w:tcPr>
            <w:tcW w:w="578" w:type="pct"/>
            <w:tcBorders>
              <w:top w:val="nil"/>
              <w:left w:val="nil"/>
              <w:bottom w:val="nil"/>
              <w:right w:val="nil"/>
            </w:tcBorders>
            <w:shd w:val="clear" w:color="auto" w:fill="auto"/>
            <w:noWrap/>
            <w:vAlign w:val="bottom"/>
            <w:hideMark/>
          </w:tcPr>
          <w:p w14:paraId="6DDAE88E" w14:textId="77777777" w:rsidR="00C334B8" w:rsidRPr="00C334B8" w:rsidRDefault="00C334B8" w:rsidP="00C334B8">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vAlign w:val="bottom"/>
            <w:hideMark/>
          </w:tcPr>
          <w:p w14:paraId="02188C45" w14:textId="77777777" w:rsidR="00C334B8" w:rsidRPr="00C334B8" w:rsidRDefault="00C334B8" w:rsidP="00C334B8">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vAlign w:val="bottom"/>
            <w:hideMark/>
          </w:tcPr>
          <w:p w14:paraId="02C9F023" w14:textId="77777777" w:rsidR="00C334B8" w:rsidRPr="00C334B8" w:rsidRDefault="00C334B8" w:rsidP="00C334B8">
            <w:pPr>
              <w:spacing w:after="0" w:line="240" w:lineRule="auto"/>
              <w:jc w:val="left"/>
              <w:rPr>
                <w:rFonts w:ascii="Times New Roman" w:hAnsi="Times New Roman"/>
              </w:rPr>
            </w:pPr>
          </w:p>
        </w:tc>
        <w:tc>
          <w:tcPr>
            <w:tcW w:w="578" w:type="pct"/>
            <w:tcBorders>
              <w:top w:val="nil"/>
              <w:left w:val="nil"/>
              <w:bottom w:val="nil"/>
              <w:right w:val="nil"/>
            </w:tcBorders>
            <w:shd w:val="clear" w:color="auto" w:fill="auto"/>
            <w:noWrap/>
            <w:vAlign w:val="bottom"/>
            <w:hideMark/>
          </w:tcPr>
          <w:p w14:paraId="180E239F" w14:textId="77777777" w:rsidR="00C334B8" w:rsidRPr="00C334B8" w:rsidRDefault="00C334B8" w:rsidP="00C334B8">
            <w:pPr>
              <w:spacing w:after="0" w:line="240" w:lineRule="auto"/>
              <w:jc w:val="left"/>
              <w:rPr>
                <w:rFonts w:ascii="Times New Roman" w:hAnsi="Times New Roman"/>
              </w:rPr>
            </w:pPr>
          </w:p>
        </w:tc>
      </w:tr>
      <w:tr w:rsidR="00C334B8" w:rsidRPr="00C334B8" w14:paraId="49C3E659" w14:textId="77777777" w:rsidTr="00C334B8">
        <w:trPr>
          <w:trHeight w:val="210"/>
        </w:trPr>
        <w:tc>
          <w:tcPr>
            <w:tcW w:w="5000" w:type="pct"/>
            <w:gridSpan w:val="6"/>
            <w:tcBorders>
              <w:top w:val="single" w:sz="4" w:space="0" w:color="auto"/>
              <w:left w:val="nil"/>
              <w:bottom w:val="single" w:sz="4" w:space="0" w:color="auto"/>
              <w:right w:val="nil"/>
            </w:tcBorders>
            <w:shd w:val="clear" w:color="000000" w:fill="E6E6E6"/>
            <w:vAlign w:val="bottom"/>
            <w:hideMark/>
          </w:tcPr>
          <w:p w14:paraId="5266B894" w14:textId="77777777" w:rsidR="00C334B8" w:rsidRPr="00C334B8" w:rsidRDefault="00C334B8" w:rsidP="00C334B8">
            <w:pPr>
              <w:spacing w:after="0" w:line="240" w:lineRule="auto"/>
              <w:jc w:val="left"/>
              <w:rPr>
                <w:rFonts w:ascii="Arial" w:hAnsi="Arial" w:cs="Arial"/>
                <w:b/>
                <w:bCs/>
                <w:sz w:val="16"/>
                <w:szCs w:val="16"/>
              </w:rPr>
            </w:pPr>
            <w:r w:rsidRPr="00C334B8">
              <w:rPr>
                <w:rFonts w:ascii="Arial" w:hAnsi="Arial" w:cs="Arial"/>
                <w:b/>
                <w:bCs/>
                <w:sz w:val="16"/>
                <w:szCs w:val="16"/>
              </w:rPr>
              <w:t>Program 1.2: Australian Energy Regulator</w:t>
            </w:r>
          </w:p>
        </w:tc>
      </w:tr>
      <w:tr w:rsidR="00C334B8" w:rsidRPr="00C334B8" w14:paraId="66F24CC5" w14:textId="77777777" w:rsidTr="00C334B8">
        <w:trPr>
          <w:trHeight w:val="200"/>
        </w:trPr>
        <w:tc>
          <w:tcPr>
            <w:tcW w:w="2110" w:type="pct"/>
            <w:tcBorders>
              <w:top w:val="nil"/>
              <w:left w:val="nil"/>
              <w:bottom w:val="nil"/>
              <w:right w:val="nil"/>
            </w:tcBorders>
            <w:shd w:val="clear" w:color="000000" w:fill="FFFFFF"/>
            <w:noWrap/>
            <w:vAlign w:val="bottom"/>
            <w:hideMark/>
          </w:tcPr>
          <w:p w14:paraId="7B68C356" w14:textId="77777777" w:rsidR="00C334B8" w:rsidRPr="00C334B8" w:rsidRDefault="00C334B8" w:rsidP="00C334B8">
            <w:pPr>
              <w:spacing w:after="0" w:line="240" w:lineRule="auto"/>
              <w:jc w:val="left"/>
              <w:rPr>
                <w:rFonts w:ascii="Arial" w:hAnsi="Arial" w:cs="Arial"/>
                <w:sz w:val="16"/>
                <w:szCs w:val="16"/>
              </w:rPr>
            </w:pPr>
            <w:r w:rsidRPr="00C334B8">
              <w:rPr>
                <w:rFonts w:ascii="Arial" w:hAnsi="Arial" w:cs="Arial"/>
                <w:sz w:val="16"/>
                <w:szCs w:val="16"/>
              </w:rPr>
              <w:t>Departmental expenses</w:t>
            </w:r>
          </w:p>
        </w:tc>
        <w:tc>
          <w:tcPr>
            <w:tcW w:w="578" w:type="pct"/>
            <w:tcBorders>
              <w:top w:val="nil"/>
              <w:left w:val="nil"/>
              <w:bottom w:val="nil"/>
              <w:right w:val="nil"/>
            </w:tcBorders>
            <w:shd w:val="clear" w:color="auto" w:fill="auto"/>
            <w:noWrap/>
            <w:vAlign w:val="bottom"/>
            <w:hideMark/>
          </w:tcPr>
          <w:p w14:paraId="7D1AC6BB" w14:textId="77777777" w:rsidR="00C334B8" w:rsidRPr="00C334B8" w:rsidRDefault="00C334B8" w:rsidP="00C334B8">
            <w:pPr>
              <w:spacing w:after="0" w:line="240" w:lineRule="auto"/>
              <w:jc w:val="left"/>
              <w:rPr>
                <w:rFonts w:ascii="Arial" w:hAnsi="Arial" w:cs="Arial"/>
                <w:sz w:val="16"/>
                <w:szCs w:val="16"/>
              </w:rPr>
            </w:pPr>
          </w:p>
        </w:tc>
        <w:tc>
          <w:tcPr>
            <w:tcW w:w="578" w:type="pct"/>
            <w:tcBorders>
              <w:top w:val="nil"/>
              <w:left w:val="nil"/>
              <w:bottom w:val="nil"/>
              <w:right w:val="nil"/>
            </w:tcBorders>
            <w:shd w:val="clear" w:color="000000" w:fill="E6E6E6"/>
            <w:noWrap/>
            <w:vAlign w:val="bottom"/>
            <w:hideMark/>
          </w:tcPr>
          <w:p w14:paraId="0746E3F5"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w:t>
            </w:r>
          </w:p>
        </w:tc>
        <w:tc>
          <w:tcPr>
            <w:tcW w:w="578" w:type="pct"/>
            <w:tcBorders>
              <w:top w:val="nil"/>
              <w:left w:val="nil"/>
              <w:bottom w:val="nil"/>
              <w:right w:val="nil"/>
            </w:tcBorders>
            <w:shd w:val="clear" w:color="auto" w:fill="auto"/>
            <w:noWrap/>
            <w:vAlign w:val="bottom"/>
            <w:hideMark/>
          </w:tcPr>
          <w:p w14:paraId="45A3D065" w14:textId="77777777" w:rsidR="00C334B8" w:rsidRPr="00C334B8" w:rsidRDefault="00C334B8" w:rsidP="00C334B8">
            <w:pPr>
              <w:spacing w:after="0" w:line="240" w:lineRule="auto"/>
              <w:jc w:val="right"/>
              <w:rPr>
                <w:rFonts w:ascii="Arial" w:hAnsi="Arial" w:cs="Arial"/>
                <w:sz w:val="16"/>
                <w:szCs w:val="16"/>
              </w:rPr>
            </w:pPr>
          </w:p>
        </w:tc>
        <w:tc>
          <w:tcPr>
            <w:tcW w:w="578" w:type="pct"/>
            <w:tcBorders>
              <w:top w:val="nil"/>
              <w:left w:val="nil"/>
              <w:bottom w:val="nil"/>
              <w:right w:val="nil"/>
            </w:tcBorders>
            <w:shd w:val="clear" w:color="auto" w:fill="auto"/>
            <w:noWrap/>
            <w:vAlign w:val="bottom"/>
            <w:hideMark/>
          </w:tcPr>
          <w:p w14:paraId="387E9AD8" w14:textId="77777777" w:rsidR="00C334B8" w:rsidRPr="00C334B8" w:rsidRDefault="00C334B8" w:rsidP="00C334B8">
            <w:pPr>
              <w:spacing w:after="0" w:line="240" w:lineRule="auto"/>
              <w:jc w:val="left"/>
              <w:rPr>
                <w:rFonts w:ascii="Times New Roman" w:hAnsi="Times New Roman"/>
              </w:rPr>
            </w:pPr>
          </w:p>
        </w:tc>
        <w:tc>
          <w:tcPr>
            <w:tcW w:w="578" w:type="pct"/>
            <w:tcBorders>
              <w:top w:val="nil"/>
              <w:left w:val="nil"/>
              <w:bottom w:val="nil"/>
              <w:right w:val="nil"/>
            </w:tcBorders>
            <w:shd w:val="clear" w:color="auto" w:fill="auto"/>
            <w:noWrap/>
            <w:vAlign w:val="bottom"/>
            <w:hideMark/>
          </w:tcPr>
          <w:p w14:paraId="6C071660" w14:textId="77777777" w:rsidR="00C334B8" w:rsidRPr="00C334B8" w:rsidRDefault="00C334B8" w:rsidP="00C334B8">
            <w:pPr>
              <w:spacing w:after="0" w:line="240" w:lineRule="auto"/>
              <w:jc w:val="left"/>
              <w:rPr>
                <w:rFonts w:ascii="Times New Roman" w:hAnsi="Times New Roman"/>
              </w:rPr>
            </w:pPr>
          </w:p>
        </w:tc>
      </w:tr>
      <w:tr w:rsidR="00C334B8" w:rsidRPr="00C334B8" w14:paraId="6D70F09F" w14:textId="77777777" w:rsidTr="00C334B8">
        <w:trPr>
          <w:trHeight w:val="200"/>
        </w:trPr>
        <w:tc>
          <w:tcPr>
            <w:tcW w:w="2110" w:type="pct"/>
            <w:tcBorders>
              <w:top w:val="nil"/>
              <w:left w:val="nil"/>
              <w:bottom w:val="nil"/>
              <w:right w:val="nil"/>
            </w:tcBorders>
            <w:shd w:val="clear" w:color="000000" w:fill="FFFFFF"/>
            <w:noWrap/>
            <w:vAlign w:val="bottom"/>
            <w:hideMark/>
          </w:tcPr>
          <w:p w14:paraId="787810FB" w14:textId="77777777" w:rsidR="00C334B8" w:rsidRPr="00C334B8" w:rsidRDefault="00C334B8" w:rsidP="00C334B8">
            <w:pPr>
              <w:spacing w:after="0" w:line="240" w:lineRule="auto"/>
              <w:ind w:firstLineChars="100" w:firstLine="160"/>
              <w:jc w:val="left"/>
              <w:rPr>
                <w:rFonts w:ascii="Arial" w:hAnsi="Arial" w:cs="Arial"/>
                <w:sz w:val="16"/>
                <w:szCs w:val="16"/>
              </w:rPr>
            </w:pPr>
            <w:r w:rsidRPr="00C334B8">
              <w:rPr>
                <w:rFonts w:ascii="Arial" w:hAnsi="Arial" w:cs="Arial"/>
                <w:sz w:val="16"/>
                <w:szCs w:val="16"/>
              </w:rPr>
              <w:t>Departmental appropriation</w:t>
            </w:r>
          </w:p>
        </w:tc>
        <w:tc>
          <w:tcPr>
            <w:tcW w:w="578" w:type="pct"/>
            <w:tcBorders>
              <w:top w:val="nil"/>
              <w:left w:val="nil"/>
              <w:bottom w:val="nil"/>
              <w:right w:val="nil"/>
            </w:tcBorders>
            <w:shd w:val="clear" w:color="auto" w:fill="auto"/>
            <w:noWrap/>
            <w:vAlign w:val="bottom"/>
            <w:hideMark/>
          </w:tcPr>
          <w:p w14:paraId="31307135" w14:textId="77777777" w:rsidR="00C334B8" w:rsidRPr="00C334B8" w:rsidRDefault="00C334B8" w:rsidP="00C334B8">
            <w:pPr>
              <w:spacing w:after="0" w:line="240" w:lineRule="auto"/>
              <w:jc w:val="right"/>
              <w:rPr>
                <w:rFonts w:ascii="Arial" w:hAnsi="Arial" w:cs="Arial"/>
                <w:color w:val="000000"/>
                <w:sz w:val="16"/>
                <w:szCs w:val="16"/>
              </w:rPr>
            </w:pPr>
            <w:r w:rsidRPr="00C334B8">
              <w:rPr>
                <w:rFonts w:ascii="Arial" w:hAnsi="Arial" w:cs="Arial"/>
                <w:color w:val="000000"/>
                <w:sz w:val="16"/>
                <w:szCs w:val="16"/>
              </w:rPr>
              <w:t xml:space="preserve">64,387 </w:t>
            </w:r>
          </w:p>
        </w:tc>
        <w:tc>
          <w:tcPr>
            <w:tcW w:w="578" w:type="pct"/>
            <w:tcBorders>
              <w:top w:val="nil"/>
              <w:left w:val="nil"/>
              <w:bottom w:val="nil"/>
              <w:right w:val="nil"/>
            </w:tcBorders>
            <w:shd w:val="clear" w:color="000000" w:fill="E6E6E6"/>
            <w:noWrap/>
            <w:vAlign w:val="bottom"/>
            <w:hideMark/>
          </w:tcPr>
          <w:p w14:paraId="2A73DA31"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76,286 </w:t>
            </w:r>
          </w:p>
        </w:tc>
        <w:tc>
          <w:tcPr>
            <w:tcW w:w="578" w:type="pct"/>
            <w:tcBorders>
              <w:top w:val="nil"/>
              <w:left w:val="nil"/>
              <w:bottom w:val="nil"/>
              <w:right w:val="nil"/>
            </w:tcBorders>
            <w:shd w:val="clear" w:color="auto" w:fill="auto"/>
            <w:noWrap/>
            <w:vAlign w:val="bottom"/>
            <w:hideMark/>
          </w:tcPr>
          <w:p w14:paraId="39865EC5"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78,175 </w:t>
            </w:r>
          </w:p>
        </w:tc>
        <w:tc>
          <w:tcPr>
            <w:tcW w:w="578" w:type="pct"/>
            <w:tcBorders>
              <w:top w:val="nil"/>
              <w:left w:val="nil"/>
              <w:bottom w:val="nil"/>
              <w:right w:val="nil"/>
            </w:tcBorders>
            <w:shd w:val="clear" w:color="auto" w:fill="auto"/>
            <w:noWrap/>
            <w:vAlign w:val="bottom"/>
            <w:hideMark/>
          </w:tcPr>
          <w:p w14:paraId="72EE84A7"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64,011 </w:t>
            </w:r>
          </w:p>
        </w:tc>
        <w:tc>
          <w:tcPr>
            <w:tcW w:w="578" w:type="pct"/>
            <w:tcBorders>
              <w:top w:val="nil"/>
              <w:left w:val="nil"/>
              <w:bottom w:val="nil"/>
              <w:right w:val="nil"/>
            </w:tcBorders>
            <w:shd w:val="clear" w:color="auto" w:fill="auto"/>
            <w:noWrap/>
            <w:vAlign w:val="bottom"/>
            <w:hideMark/>
          </w:tcPr>
          <w:p w14:paraId="4363F9BF"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64,259 </w:t>
            </w:r>
          </w:p>
        </w:tc>
      </w:tr>
      <w:tr w:rsidR="00C334B8" w:rsidRPr="00C334B8" w14:paraId="0779C185" w14:textId="77777777" w:rsidTr="00C334B8">
        <w:trPr>
          <w:trHeight w:val="210"/>
        </w:trPr>
        <w:tc>
          <w:tcPr>
            <w:tcW w:w="2110" w:type="pct"/>
            <w:tcBorders>
              <w:top w:val="nil"/>
              <w:left w:val="nil"/>
              <w:bottom w:val="nil"/>
              <w:right w:val="nil"/>
            </w:tcBorders>
            <w:shd w:val="clear" w:color="auto" w:fill="auto"/>
            <w:vAlign w:val="bottom"/>
            <w:hideMark/>
          </w:tcPr>
          <w:p w14:paraId="20CBF49B" w14:textId="77777777" w:rsidR="00C334B8" w:rsidRPr="00C334B8" w:rsidRDefault="00C334B8" w:rsidP="00C334B8">
            <w:pPr>
              <w:spacing w:after="0" w:line="240" w:lineRule="auto"/>
              <w:jc w:val="right"/>
              <w:rPr>
                <w:rFonts w:ascii="Arial" w:hAnsi="Arial" w:cs="Arial"/>
                <w:b/>
                <w:bCs/>
                <w:sz w:val="16"/>
                <w:szCs w:val="16"/>
              </w:rPr>
            </w:pPr>
            <w:r w:rsidRPr="00C334B8">
              <w:rPr>
                <w:rFonts w:ascii="Arial" w:hAnsi="Arial" w:cs="Arial"/>
                <w:b/>
                <w:bCs/>
                <w:sz w:val="16"/>
                <w:szCs w:val="16"/>
              </w:rPr>
              <w:t>Departmental total</w:t>
            </w:r>
          </w:p>
        </w:tc>
        <w:tc>
          <w:tcPr>
            <w:tcW w:w="578" w:type="pct"/>
            <w:tcBorders>
              <w:top w:val="single" w:sz="4" w:space="0" w:color="auto"/>
              <w:left w:val="nil"/>
              <w:bottom w:val="single" w:sz="4" w:space="0" w:color="auto"/>
              <w:right w:val="nil"/>
            </w:tcBorders>
            <w:shd w:val="clear" w:color="auto" w:fill="auto"/>
            <w:noWrap/>
            <w:vAlign w:val="bottom"/>
            <w:hideMark/>
          </w:tcPr>
          <w:p w14:paraId="4B73A710" w14:textId="77777777" w:rsidR="00C334B8" w:rsidRPr="00C334B8" w:rsidRDefault="00C334B8" w:rsidP="00C334B8">
            <w:pPr>
              <w:spacing w:after="0" w:line="240" w:lineRule="auto"/>
              <w:jc w:val="right"/>
              <w:rPr>
                <w:rFonts w:ascii="Arial" w:hAnsi="Arial" w:cs="Arial"/>
                <w:color w:val="000000"/>
                <w:sz w:val="16"/>
                <w:szCs w:val="16"/>
              </w:rPr>
            </w:pPr>
            <w:r w:rsidRPr="00C334B8">
              <w:rPr>
                <w:rFonts w:ascii="Arial" w:hAnsi="Arial" w:cs="Arial"/>
                <w:color w:val="000000"/>
                <w:sz w:val="16"/>
                <w:szCs w:val="16"/>
              </w:rPr>
              <w:t xml:space="preserve">64,387 </w:t>
            </w:r>
          </w:p>
        </w:tc>
        <w:tc>
          <w:tcPr>
            <w:tcW w:w="578" w:type="pct"/>
            <w:tcBorders>
              <w:top w:val="single" w:sz="4" w:space="0" w:color="auto"/>
              <w:left w:val="nil"/>
              <w:bottom w:val="single" w:sz="4" w:space="0" w:color="auto"/>
              <w:right w:val="nil"/>
            </w:tcBorders>
            <w:shd w:val="clear" w:color="000000" w:fill="E6E6E6"/>
            <w:noWrap/>
            <w:vAlign w:val="bottom"/>
            <w:hideMark/>
          </w:tcPr>
          <w:p w14:paraId="2EDCF8F7"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76,286 </w:t>
            </w:r>
          </w:p>
        </w:tc>
        <w:tc>
          <w:tcPr>
            <w:tcW w:w="578" w:type="pct"/>
            <w:tcBorders>
              <w:top w:val="single" w:sz="4" w:space="0" w:color="auto"/>
              <w:left w:val="nil"/>
              <w:bottom w:val="single" w:sz="4" w:space="0" w:color="auto"/>
              <w:right w:val="nil"/>
            </w:tcBorders>
            <w:shd w:val="clear" w:color="auto" w:fill="auto"/>
            <w:noWrap/>
            <w:vAlign w:val="bottom"/>
            <w:hideMark/>
          </w:tcPr>
          <w:p w14:paraId="6E47E1A3"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78,175 </w:t>
            </w:r>
          </w:p>
        </w:tc>
        <w:tc>
          <w:tcPr>
            <w:tcW w:w="578" w:type="pct"/>
            <w:tcBorders>
              <w:top w:val="single" w:sz="4" w:space="0" w:color="auto"/>
              <w:left w:val="nil"/>
              <w:bottom w:val="single" w:sz="4" w:space="0" w:color="auto"/>
              <w:right w:val="nil"/>
            </w:tcBorders>
            <w:shd w:val="clear" w:color="auto" w:fill="auto"/>
            <w:noWrap/>
            <w:vAlign w:val="bottom"/>
            <w:hideMark/>
          </w:tcPr>
          <w:p w14:paraId="56A8161C"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64,011 </w:t>
            </w:r>
          </w:p>
        </w:tc>
        <w:tc>
          <w:tcPr>
            <w:tcW w:w="578" w:type="pct"/>
            <w:tcBorders>
              <w:top w:val="single" w:sz="4" w:space="0" w:color="auto"/>
              <w:left w:val="nil"/>
              <w:bottom w:val="single" w:sz="4" w:space="0" w:color="auto"/>
              <w:right w:val="nil"/>
            </w:tcBorders>
            <w:shd w:val="clear" w:color="auto" w:fill="auto"/>
            <w:noWrap/>
            <w:vAlign w:val="bottom"/>
            <w:hideMark/>
          </w:tcPr>
          <w:p w14:paraId="09651F98"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64,259 </w:t>
            </w:r>
          </w:p>
        </w:tc>
      </w:tr>
      <w:tr w:rsidR="00C334B8" w:rsidRPr="00C334B8" w14:paraId="3422F1DE" w14:textId="77777777" w:rsidTr="00C334B8">
        <w:trPr>
          <w:trHeight w:val="210"/>
        </w:trPr>
        <w:tc>
          <w:tcPr>
            <w:tcW w:w="2110" w:type="pct"/>
            <w:tcBorders>
              <w:top w:val="nil"/>
              <w:left w:val="nil"/>
              <w:bottom w:val="single" w:sz="4" w:space="0" w:color="000000"/>
              <w:right w:val="nil"/>
            </w:tcBorders>
            <w:shd w:val="clear" w:color="auto" w:fill="auto"/>
            <w:vAlign w:val="bottom"/>
            <w:hideMark/>
          </w:tcPr>
          <w:p w14:paraId="6501C0BD" w14:textId="77777777" w:rsidR="00C334B8" w:rsidRPr="00C334B8" w:rsidRDefault="00C334B8" w:rsidP="00C334B8">
            <w:pPr>
              <w:spacing w:after="0" w:line="240" w:lineRule="auto"/>
              <w:jc w:val="left"/>
              <w:rPr>
                <w:rFonts w:ascii="Arial" w:hAnsi="Arial" w:cs="Arial"/>
                <w:b/>
                <w:bCs/>
                <w:sz w:val="16"/>
                <w:szCs w:val="16"/>
              </w:rPr>
            </w:pPr>
            <w:r w:rsidRPr="00C334B8">
              <w:rPr>
                <w:rFonts w:ascii="Arial" w:hAnsi="Arial" w:cs="Arial"/>
                <w:b/>
                <w:bCs/>
                <w:sz w:val="16"/>
                <w:szCs w:val="16"/>
              </w:rPr>
              <w:t>Total expenses for Program 1.2</w:t>
            </w:r>
          </w:p>
        </w:tc>
        <w:tc>
          <w:tcPr>
            <w:tcW w:w="578" w:type="pct"/>
            <w:tcBorders>
              <w:top w:val="single" w:sz="4" w:space="0" w:color="auto"/>
              <w:left w:val="nil"/>
              <w:bottom w:val="single" w:sz="4" w:space="0" w:color="auto"/>
              <w:right w:val="nil"/>
            </w:tcBorders>
            <w:shd w:val="clear" w:color="auto" w:fill="auto"/>
            <w:noWrap/>
            <w:vAlign w:val="bottom"/>
            <w:hideMark/>
          </w:tcPr>
          <w:p w14:paraId="0F4C000F" w14:textId="77777777" w:rsidR="00C334B8" w:rsidRPr="00C334B8" w:rsidRDefault="00C334B8" w:rsidP="00C334B8">
            <w:pPr>
              <w:spacing w:after="0" w:line="240" w:lineRule="auto"/>
              <w:jc w:val="right"/>
              <w:rPr>
                <w:rFonts w:ascii="Arial" w:hAnsi="Arial" w:cs="Arial"/>
                <w:b/>
                <w:bCs/>
                <w:color w:val="000000"/>
                <w:sz w:val="16"/>
                <w:szCs w:val="16"/>
              </w:rPr>
            </w:pPr>
            <w:r w:rsidRPr="00C334B8">
              <w:rPr>
                <w:rFonts w:ascii="Arial" w:hAnsi="Arial" w:cs="Arial"/>
                <w:b/>
                <w:bCs/>
                <w:color w:val="000000"/>
                <w:sz w:val="16"/>
                <w:szCs w:val="16"/>
              </w:rPr>
              <w:t xml:space="preserve">64,387 </w:t>
            </w:r>
          </w:p>
        </w:tc>
        <w:tc>
          <w:tcPr>
            <w:tcW w:w="578" w:type="pct"/>
            <w:tcBorders>
              <w:top w:val="single" w:sz="4" w:space="0" w:color="auto"/>
              <w:left w:val="nil"/>
              <w:bottom w:val="single" w:sz="4" w:space="0" w:color="auto"/>
              <w:right w:val="nil"/>
            </w:tcBorders>
            <w:shd w:val="clear" w:color="000000" w:fill="E6E6E6"/>
            <w:noWrap/>
            <w:vAlign w:val="bottom"/>
            <w:hideMark/>
          </w:tcPr>
          <w:p w14:paraId="71AAFA6A" w14:textId="77777777" w:rsidR="00C334B8" w:rsidRPr="00C334B8" w:rsidRDefault="00C334B8" w:rsidP="00C334B8">
            <w:pPr>
              <w:spacing w:after="0" w:line="240" w:lineRule="auto"/>
              <w:jc w:val="right"/>
              <w:rPr>
                <w:rFonts w:ascii="Arial" w:hAnsi="Arial" w:cs="Arial"/>
                <w:b/>
                <w:bCs/>
                <w:color w:val="000000"/>
                <w:sz w:val="16"/>
                <w:szCs w:val="16"/>
              </w:rPr>
            </w:pPr>
            <w:r w:rsidRPr="00C334B8">
              <w:rPr>
                <w:rFonts w:ascii="Arial" w:hAnsi="Arial" w:cs="Arial"/>
                <w:b/>
                <w:bCs/>
                <w:color w:val="000000"/>
                <w:sz w:val="16"/>
                <w:szCs w:val="16"/>
              </w:rPr>
              <w:t xml:space="preserve">76,286 </w:t>
            </w:r>
          </w:p>
        </w:tc>
        <w:tc>
          <w:tcPr>
            <w:tcW w:w="578" w:type="pct"/>
            <w:tcBorders>
              <w:top w:val="single" w:sz="4" w:space="0" w:color="auto"/>
              <w:left w:val="nil"/>
              <w:bottom w:val="single" w:sz="4" w:space="0" w:color="auto"/>
              <w:right w:val="nil"/>
            </w:tcBorders>
            <w:shd w:val="clear" w:color="auto" w:fill="auto"/>
            <w:noWrap/>
            <w:vAlign w:val="bottom"/>
            <w:hideMark/>
          </w:tcPr>
          <w:p w14:paraId="4755B2D6" w14:textId="77777777" w:rsidR="00C334B8" w:rsidRPr="00C334B8" w:rsidRDefault="00C334B8" w:rsidP="00C334B8">
            <w:pPr>
              <w:spacing w:after="0" w:line="240" w:lineRule="auto"/>
              <w:jc w:val="right"/>
              <w:rPr>
                <w:rFonts w:ascii="Arial" w:hAnsi="Arial" w:cs="Arial"/>
                <w:b/>
                <w:bCs/>
                <w:sz w:val="16"/>
                <w:szCs w:val="16"/>
              </w:rPr>
            </w:pPr>
            <w:r w:rsidRPr="00C334B8">
              <w:rPr>
                <w:rFonts w:ascii="Arial" w:hAnsi="Arial" w:cs="Arial"/>
                <w:b/>
                <w:bCs/>
                <w:sz w:val="16"/>
                <w:szCs w:val="16"/>
              </w:rPr>
              <w:t xml:space="preserve">78,175 </w:t>
            </w:r>
          </w:p>
        </w:tc>
        <w:tc>
          <w:tcPr>
            <w:tcW w:w="578" w:type="pct"/>
            <w:tcBorders>
              <w:top w:val="single" w:sz="4" w:space="0" w:color="auto"/>
              <w:left w:val="nil"/>
              <w:bottom w:val="single" w:sz="4" w:space="0" w:color="auto"/>
              <w:right w:val="nil"/>
            </w:tcBorders>
            <w:shd w:val="clear" w:color="auto" w:fill="auto"/>
            <w:noWrap/>
            <w:vAlign w:val="bottom"/>
            <w:hideMark/>
          </w:tcPr>
          <w:p w14:paraId="3DBA9F2C" w14:textId="77777777" w:rsidR="00C334B8" w:rsidRPr="00C334B8" w:rsidRDefault="00C334B8" w:rsidP="00C334B8">
            <w:pPr>
              <w:spacing w:after="0" w:line="240" w:lineRule="auto"/>
              <w:jc w:val="right"/>
              <w:rPr>
                <w:rFonts w:ascii="Arial" w:hAnsi="Arial" w:cs="Arial"/>
                <w:b/>
                <w:bCs/>
                <w:sz w:val="16"/>
                <w:szCs w:val="16"/>
              </w:rPr>
            </w:pPr>
            <w:r w:rsidRPr="00C334B8">
              <w:rPr>
                <w:rFonts w:ascii="Arial" w:hAnsi="Arial" w:cs="Arial"/>
                <w:b/>
                <w:bCs/>
                <w:sz w:val="16"/>
                <w:szCs w:val="16"/>
              </w:rPr>
              <w:t xml:space="preserve">64,011 </w:t>
            </w:r>
          </w:p>
        </w:tc>
        <w:tc>
          <w:tcPr>
            <w:tcW w:w="578" w:type="pct"/>
            <w:tcBorders>
              <w:top w:val="single" w:sz="4" w:space="0" w:color="auto"/>
              <w:left w:val="nil"/>
              <w:bottom w:val="single" w:sz="4" w:space="0" w:color="auto"/>
              <w:right w:val="nil"/>
            </w:tcBorders>
            <w:shd w:val="clear" w:color="auto" w:fill="auto"/>
            <w:noWrap/>
            <w:vAlign w:val="bottom"/>
            <w:hideMark/>
          </w:tcPr>
          <w:p w14:paraId="3B79363F" w14:textId="77777777" w:rsidR="00C334B8" w:rsidRPr="00C334B8" w:rsidRDefault="00C334B8" w:rsidP="00C334B8">
            <w:pPr>
              <w:spacing w:after="0" w:line="240" w:lineRule="auto"/>
              <w:jc w:val="right"/>
              <w:rPr>
                <w:rFonts w:ascii="Arial" w:hAnsi="Arial" w:cs="Arial"/>
                <w:b/>
                <w:bCs/>
                <w:sz w:val="16"/>
                <w:szCs w:val="16"/>
              </w:rPr>
            </w:pPr>
            <w:r w:rsidRPr="00C334B8">
              <w:rPr>
                <w:rFonts w:ascii="Arial" w:hAnsi="Arial" w:cs="Arial"/>
                <w:b/>
                <w:bCs/>
                <w:sz w:val="16"/>
                <w:szCs w:val="16"/>
              </w:rPr>
              <w:t xml:space="preserve">64,259 </w:t>
            </w:r>
          </w:p>
        </w:tc>
      </w:tr>
    </w:tbl>
    <w:p w14:paraId="47F8903D" w14:textId="301D08CB" w:rsidR="006B013C" w:rsidRDefault="006B013C" w:rsidP="00914BAD">
      <w:pPr>
        <w:pStyle w:val="TableGraphic"/>
        <w:rPr>
          <w:rFonts w:ascii="Arial" w:hAnsi="Arial" w:cs="Arial"/>
        </w:rPr>
      </w:pPr>
    </w:p>
    <w:p w14:paraId="5D45C245" w14:textId="6F8E410D" w:rsidR="00914BAD" w:rsidRPr="00E3780C" w:rsidRDefault="00E3780C" w:rsidP="00E3780C">
      <w:r>
        <w:br w:type="page"/>
      </w:r>
    </w:p>
    <w:p w14:paraId="561C63A0" w14:textId="17CD0A9E" w:rsidR="00C334B8" w:rsidRPr="00C334B8" w:rsidRDefault="006E7198" w:rsidP="00E3780C">
      <w:pPr>
        <w:pStyle w:val="TableHeadingcontinued"/>
      </w:pPr>
      <w:r w:rsidRPr="00914BAD">
        <w:lastRenderedPageBreak/>
        <w:t>Table 2.1: Budgeted expenses for Outcome</w:t>
      </w:r>
      <w:r>
        <w:t xml:space="preserve"> 1</w:t>
      </w:r>
      <w:r w:rsidR="006B013C">
        <w:t xml:space="preserve"> (continued)</w:t>
      </w:r>
    </w:p>
    <w:tbl>
      <w:tblPr>
        <w:tblW w:w="5000" w:type="pct"/>
        <w:tblCellMar>
          <w:left w:w="0" w:type="dxa"/>
          <w:right w:w="28" w:type="dxa"/>
        </w:tblCellMar>
        <w:tblLook w:val="04A0" w:firstRow="1" w:lastRow="0" w:firstColumn="1" w:lastColumn="0" w:noHBand="0" w:noVBand="1"/>
      </w:tblPr>
      <w:tblGrid>
        <w:gridCol w:w="3255"/>
        <w:gridCol w:w="891"/>
        <w:gridCol w:w="891"/>
        <w:gridCol w:w="891"/>
        <w:gridCol w:w="891"/>
        <w:gridCol w:w="891"/>
      </w:tblGrid>
      <w:tr w:rsidR="00C334B8" w:rsidRPr="00C334B8" w14:paraId="78E19C2A" w14:textId="77777777" w:rsidTr="00C334B8">
        <w:trPr>
          <w:trHeight w:val="800"/>
        </w:trPr>
        <w:tc>
          <w:tcPr>
            <w:tcW w:w="2110" w:type="pct"/>
            <w:tcBorders>
              <w:top w:val="single" w:sz="4" w:space="0" w:color="auto"/>
              <w:left w:val="nil"/>
              <w:bottom w:val="nil"/>
              <w:right w:val="nil"/>
            </w:tcBorders>
            <w:shd w:val="clear" w:color="000000" w:fill="FFFFFF"/>
            <w:vAlign w:val="center"/>
            <w:hideMark/>
          </w:tcPr>
          <w:p w14:paraId="19A9E7DC" w14:textId="24D68E43" w:rsidR="00C334B8" w:rsidRPr="00C334B8" w:rsidRDefault="00C334B8" w:rsidP="00C334B8">
            <w:pPr>
              <w:spacing w:after="0" w:line="240" w:lineRule="auto"/>
              <w:jc w:val="left"/>
              <w:rPr>
                <w:rFonts w:ascii="Arial" w:hAnsi="Arial" w:cs="Arial"/>
                <w:b/>
                <w:bCs/>
                <w:sz w:val="16"/>
                <w:szCs w:val="16"/>
              </w:rPr>
            </w:pPr>
            <w:r w:rsidRPr="00C334B8">
              <w:rPr>
                <w:rFonts w:ascii="Arial" w:hAnsi="Arial" w:cs="Arial"/>
                <w:b/>
                <w:bCs/>
                <w:sz w:val="16"/>
                <w:szCs w:val="16"/>
              </w:rPr>
              <w:t> </w:t>
            </w:r>
          </w:p>
        </w:tc>
        <w:tc>
          <w:tcPr>
            <w:tcW w:w="578" w:type="pct"/>
            <w:tcBorders>
              <w:top w:val="single" w:sz="4" w:space="0" w:color="auto"/>
              <w:left w:val="nil"/>
              <w:bottom w:val="single" w:sz="4" w:space="0" w:color="auto"/>
              <w:right w:val="nil"/>
            </w:tcBorders>
            <w:shd w:val="clear" w:color="auto" w:fill="auto"/>
            <w:hideMark/>
          </w:tcPr>
          <w:p w14:paraId="26309B6B"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2020-21 Estimated actual</w:t>
            </w:r>
            <w:r w:rsidRPr="00C334B8">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000000" w:fill="E6E6E6"/>
            <w:hideMark/>
          </w:tcPr>
          <w:p w14:paraId="31C73010"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2021-22</w:t>
            </w:r>
            <w:r w:rsidRPr="00C334B8">
              <w:rPr>
                <w:rFonts w:ascii="Arial" w:hAnsi="Arial" w:cs="Arial"/>
                <w:sz w:val="16"/>
                <w:szCs w:val="16"/>
              </w:rPr>
              <w:br/>
              <w:t>Budget</w:t>
            </w:r>
            <w:r w:rsidRPr="00C334B8">
              <w:rPr>
                <w:rFonts w:ascii="Arial" w:hAnsi="Arial" w:cs="Arial"/>
                <w:sz w:val="16"/>
                <w:szCs w:val="16"/>
              </w:rPr>
              <w:br/>
            </w:r>
            <w:r w:rsidRPr="00C334B8">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auto" w:fill="auto"/>
            <w:hideMark/>
          </w:tcPr>
          <w:p w14:paraId="418BA7A2"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2022-23 Forward estimate</w:t>
            </w:r>
            <w:r w:rsidRPr="00C334B8">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auto" w:fill="auto"/>
            <w:hideMark/>
          </w:tcPr>
          <w:p w14:paraId="25AAD92E"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2023-24 Forward estimate</w:t>
            </w:r>
            <w:r w:rsidRPr="00C334B8">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auto" w:fill="auto"/>
            <w:hideMark/>
          </w:tcPr>
          <w:p w14:paraId="265A7FB2"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2024-25</w:t>
            </w:r>
            <w:r w:rsidRPr="00C334B8">
              <w:rPr>
                <w:rFonts w:ascii="Arial" w:hAnsi="Arial" w:cs="Arial"/>
                <w:sz w:val="16"/>
                <w:szCs w:val="16"/>
              </w:rPr>
              <w:br/>
              <w:t>Forward estimate</w:t>
            </w:r>
            <w:r w:rsidRPr="00C334B8">
              <w:rPr>
                <w:rFonts w:ascii="Arial" w:hAnsi="Arial" w:cs="Arial"/>
                <w:sz w:val="16"/>
                <w:szCs w:val="16"/>
              </w:rPr>
              <w:br/>
              <w:t>$'000</w:t>
            </w:r>
          </w:p>
        </w:tc>
      </w:tr>
      <w:tr w:rsidR="00C334B8" w:rsidRPr="00C334B8" w14:paraId="28703F9F" w14:textId="77777777" w:rsidTr="00C334B8">
        <w:trPr>
          <w:trHeight w:val="210"/>
        </w:trPr>
        <w:tc>
          <w:tcPr>
            <w:tcW w:w="5000" w:type="pct"/>
            <w:gridSpan w:val="6"/>
            <w:tcBorders>
              <w:top w:val="single" w:sz="4" w:space="0" w:color="auto"/>
              <w:left w:val="nil"/>
              <w:bottom w:val="single" w:sz="4" w:space="0" w:color="auto"/>
              <w:right w:val="nil"/>
            </w:tcBorders>
            <w:shd w:val="clear" w:color="000000" w:fill="E6E6E6"/>
            <w:vAlign w:val="center"/>
            <w:hideMark/>
          </w:tcPr>
          <w:p w14:paraId="0230E28F" w14:textId="77777777" w:rsidR="00C334B8" w:rsidRPr="00C334B8" w:rsidRDefault="00C334B8" w:rsidP="00C334B8">
            <w:pPr>
              <w:spacing w:after="0" w:line="240" w:lineRule="auto"/>
              <w:jc w:val="left"/>
              <w:rPr>
                <w:rFonts w:ascii="Arial" w:hAnsi="Arial" w:cs="Arial"/>
                <w:b/>
                <w:bCs/>
                <w:sz w:val="16"/>
                <w:szCs w:val="16"/>
              </w:rPr>
            </w:pPr>
            <w:r w:rsidRPr="00C334B8">
              <w:rPr>
                <w:rFonts w:ascii="Arial" w:hAnsi="Arial" w:cs="Arial"/>
                <w:b/>
                <w:bCs/>
                <w:sz w:val="16"/>
                <w:szCs w:val="16"/>
              </w:rPr>
              <w:t>Outcome 1 Totals by appropriation type</w:t>
            </w:r>
          </w:p>
        </w:tc>
      </w:tr>
      <w:tr w:rsidR="00C334B8" w:rsidRPr="00C334B8" w14:paraId="370BC052" w14:textId="77777777" w:rsidTr="00C334B8">
        <w:trPr>
          <w:trHeight w:val="200"/>
        </w:trPr>
        <w:tc>
          <w:tcPr>
            <w:tcW w:w="2110" w:type="pct"/>
            <w:tcBorders>
              <w:top w:val="nil"/>
              <w:left w:val="nil"/>
              <w:bottom w:val="nil"/>
              <w:right w:val="nil"/>
            </w:tcBorders>
            <w:shd w:val="clear" w:color="000000" w:fill="FFFFFF"/>
            <w:noWrap/>
            <w:vAlign w:val="center"/>
            <w:hideMark/>
          </w:tcPr>
          <w:p w14:paraId="75458F07" w14:textId="77777777" w:rsidR="00C334B8" w:rsidRPr="00C334B8" w:rsidRDefault="00C334B8" w:rsidP="00C334B8">
            <w:pPr>
              <w:spacing w:after="0" w:line="240" w:lineRule="auto"/>
              <w:jc w:val="left"/>
              <w:rPr>
                <w:rFonts w:ascii="Arial" w:hAnsi="Arial" w:cs="Arial"/>
                <w:sz w:val="16"/>
                <w:szCs w:val="16"/>
              </w:rPr>
            </w:pPr>
            <w:r w:rsidRPr="00C334B8">
              <w:rPr>
                <w:rFonts w:ascii="Arial" w:hAnsi="Arial" w:cs="Arial"/>
                <w:sz w:val="16"/>
                <w:szCs w:val="16"/>
              </w:rPr>
              <w:t>Departmental expenses</w:t>
            </w:r>
          </w:p>
        </w:tc>
        <w:tc>
          <w:tcPr>
            <w:tcW w:w="578" w:type="pct"/>
            <w:tcBorders>
              <w:top w:val="nil"/>
              <w:left w:val="nil"/>
              <w:bottom w:val="nil"/>
              <w:right w:val="nil"/>
            </w:tcBorders>
            <w:shd w:val="clear" w:color="auto" w:fill="auto"/>
            <w:noWrap/>
            <w:vAlign w:val="center"/>
            <w:hideMark/>
          </w:tcPr>
          <w:p w14:paraId="088CEF57" w14:textId="77777777" w:rsidR="00C334B8" w:rsidRPr="00C334B8" w:rsidRDefault="00C334B8" w:rsidP="00C334B8">
            <w:pPr>
              <w:spacing w:after="0" w:line="240" w:lineRule="auto"/>
              <w:jc w:val="left"/>
              <w:rPr>
                <w:rFonts w:ascii="Arial" w:hAnsi="Arial" w:cs="Arial"/>
                <w:sz w:val="16"/>
                <w:szCs w:val="16"/>
              </w:rPr>
            </w:pPr>
          </w:p>
        </w:tc>
        <w:tc>
          <w:tcPr>
            <w:tcW w:w="578" w:type="pct"/>
            <w:tcBorders>
              <w:top w:val="nil"/>
              <w:left w:val="nil"/>
              <w:bottom w:val="nil"/>
              <w:right w:val="nil"/>
            </w:tcBorders>
            <w:shd w:val="clear" w:color="000000" w:fill="E6E6E6"/>
            <w:noWrap/>
            <w:vAlign w:val="center"/>
            <w:hideMark/>
          </w:tcPr>
          <w:p w14:paraId="21C69062"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w:t>
            </w:r>
          </w:p>
        </w:tc>
        <w:tc>
          <w:tcPr>
            <w:tcW w:w="578" w:type="pct"/>
            <w:tcBorders>
              <w:top w:val="nil"/>
              <w:left w:val="nil"/>
              <w:bottom w:val="nil"/>
              <w:right w:val="nil"/>
            </w:tcBorders>
            <w:shd w:val="clear" w:color="auto" w:fill="auto"/>
            <w:noWrap/>
            <w:vAlign w:val="center"/>
            <w:hideMark/>
          </w:tcPr>
          <w:p w14:paraId="599DC6C8" w14:textId="77777777" w:rsidR="00C334B8" w:rsidRPr="00C334B8" w:rsidRDefault="00C334B8" w:rsidP="00C334B8">
            <w:pPr>
              <w:spacing w:after="0" w:line="240" w:lineRule="auto"/>
              <w:jc w:val="right"/>
              <w:rPr>
                <w:rFonts w:ascii="Arial" w:hAnsi="Arial" w:cs="Arial"/>
                <w:sz w:val="16"/>
                <w:szCs w:val="16"/>
              </w:rPr>
            </w:pPr>
          </w:p>
        </w:tc>
        <w:tc>
          <w:tcPr>
            <w:tcW w:w="578" w:type="pct"/>
            <w:tcBorders>
              <w:top w:val="nil"/>
              <w:left w:val="nil"/>
              <w:bottom w:val="nil"/>
              <w:right w:val="nil"/>
            </w:tcBorders>
            <w:shd w:val="clear" w:color="auto" w:fill="auto"/>
            <w:noWrap/>
            <w:vAlign w:val="center"/>
            <w:hideMark/>
          </w:tcPr>
          <w:p w14:paraId="14DFD5ED" w14:textId="77777777" w:rsidR="00C334B8" w:rsidRPr="00C334B8" w:rsidRDefault="00C334B8" w:rsidP="00C334B8">
            <w:pPr>
              <w:spacing w:after="0" w:line="240" w:lineRule="auto"/>
              <w:jc w:val="left"/>
              <w:rPr>
                <w:rFonts w:ascii="Times New Roman" w:hAnsi="Times New Roman"/>
              </w:rPr>
            </w:pPr>
          </w:p>
        </w:tc>
        <w:tc>
          <w:tcPr>
            <w:tcW w:w="578" w:type="pct"/>
            <w:tcBorders>
              <w:top w:val="nil"/>
              <w:left w:val="nil"/>
              <w:bottom w:val="nil"/>
              <w:right w:val="nil"/>
            </w:tcBorders>
            <w:shd w:val="clear" w:color="auto" w:fill="auto"/>
            <w:noWrap/>
            <w:vAlign w:val="center"/>
            <w:hideMark/>
          </w:tcPr>
          <w:p w14:paraId="6A1EB4D2" w14:textId="77777777" w:rsidR="00C334B8" w:rsidRPr="00C334B8" w:rsidRDefault="00C334B8" w:rsidP="00C334B8">
            <w:pPr>
              <w:spacing w:after="0" w:line="240" w:lineRule="auto"/>
              <w:jc w:val="left"/>
              <w:rPr>
                <w:rFonts w:ascii="Times New Roman" w:hAnsi="Times New Roman"/>
              </w:rPr>
            </w:pPr>
          </w:p>
        </w:tc>
      </w:tr>
      <w:tr w:rsidR="00C334B8" w:rsidRPr="00C334B8" w14:paraId="2334948C" w14:textId="77777777" w:rsidTr="00C334B8">
        <w:trPr>
          <w:trHeight w:val="200"/>
        </w:trPr>
        <w:tc>
          <w:tcPr>
            <w:tcW w:w="2110" w:type="pct"/>
            <w:tcBorders>
              <w:top w:val="nil"/>
              <w:left w:val="nil"/>
              <w:bottom w:val="nil"/>
              <w:right w:val="nil"/>
            </w:tcBorders>
            <w:shd w:val="clear" w:color="000000" w:fill="FFFFFF"/>
            <w:noWrap/>
            <w:vAlign w:val="center"/>
            <w:hideMark/>
          </w:tcPr>
          <w:p w14:paraId="58DDD012" w14:textId="77777777" w:rsidR="00C334B8" w:rsidRPr="00C334B8" w:rsidRDefault="00C334B8" w:rsidP="00C334B8">
            <w:pPr>
              <w:spacing w:after="0" w:line="240" w:lineRule="auto"/>
              <w:ind w:firstLineChars="100" w:firstLine="160"/>
              <w:jc w:val="left"/>
              <w:rPr>
                <w:rFonts w:ascii="Arial" w:hAnsi="Arial" w:cs="Arial"/>
                <w:sz w:val="16"/>
                <w:szCs w:val="16"/>
              </w:rPr>
            </w:pPr>
            <w:r w:rsidRPr="00C334B8">
              <w:rPr>
                <w:rFonts w:ascii="Arial" w:hAnsi="Arial" w:cs="Arial"/>
                <w:sz w:val="16"/>
                <w:szCs w:val="16"/>
              </w:rPr>
              <w:t>Departmental appropriation</w:t>
            </w:r>
          </w:p>
        </w:tc>
        <w:tc>
          <w:tcPr>
            <w:tcW w:w="578" w:type="pct"/>
            <w:tcBorders>
              <w:top w:val="nil"/>
              <w:left w:val="nil"/>
              <w:bottom w:val="nil"/>
              <w:right w:val="nil"/>
            </w:tcBorders>
            <w:shd w:val="clear" w:color="auto" w:fill="auto"/>
            <w:noWrap/>
            <w:vAlign w:val="center"/>
            <w:hideMark/>
          </w:tcPr>
          <w:p w14:paraId="50842AEA" w14:textId="77777777" w:rsidR="00C334B8" w:rsidRPr="00C334B8" w:rsidRDefault="00C334B8" w:rsidP="00C334B8">
            <w:pPr>
              <w:spacing w:after="0" w:line="240" w:lineRule="auto"/>
              <w:jc w:val="right"/>
              <w:rPr>
                <w:rFonts w:ascii="Arial" w:hAnsi="Arial" w:cs="Arial"/>
                <w:color w:val="000000"/>
                <w:sz w:val="16"/>
                <w:szCs w:val="16"/>
              </w:rPr>
            </w:pPr>
            <w:r w:rsidRPr="00C334B8">
              <w:rPr>
                <w:rFonts w:ascii="Arial" w:hAnsi="Arial" w:cs="Arial"/>
                <w:color w:val="000000"/>
                <w:sz w:val="16"/>
                <w:szCs w:val="16"/>
              </w:rPr>
              <w:t xml:space="preserve">267,036 </w:t>
            </w:r>
          </w:p>
        </w:tc>
        <w:tc>
          <w:tcPr>
            <w:tcW w:w="578" w:type="pct"/>
            <w:tcBorders>
              <w:top w:val="nil"/>
              <w:left w:val="nil"/>
              <w:bottom w:val="nil"/>
              <w:right w:val="nil"/>
            </w:tcBorders>
            <w:shd w:val="clear" w:color="000000" w:fill="E6E6E6"/>
            <w:noWrap/>
            <w:vAlign w:val="center"/>
            <w:hideMark/>
          </w:tcPr>
          <w:p w14:paraId="796F2DD1"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286,646 </w:t>
            </w:r>
          </w:p>
        </w:tc>
        <w:tc>
          <w:tcPr>
            <w:tcW w:w="578" w:type="pct"/>
            <w:tcBorders>
              <w:top w:val="nil"/>
              <w:left w:val="nil"/>
              <w:bottom w:val="nil"/>
              <w:right w:val="nil"/>
            </w:tcBorders>
            <w:shd w:val="clear" w:color="auto" w:fill="auto"/>
            <w:noWrap/>
            <w:vAlign w:val="center"/>
            <w:hideMark/>
          </w:tcPr>
          <w:p w14:paraId="393DB0D3"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272,673 </w:t>
            </w:r>
          </w:p>
        </w:tc>
        <w:tc>
          <w:tcPr>
            <w:tcW w:w="578" w:type="pct"/>
            <w:tcBorders>
              <w:top w:val="nil"/>
              <w:left w:val="nil"/>
              <w:bottom w:val="nil"/>
              <w:right w:val="nil"/>
            </w:tcBorders>
            <w:shd w:val="clear" w:color="auto" w:fill="auto"/>
            <w:noWrap/>
            <w:vAlign w:val="center"/>
            <w:hideMark/>
          </w:tcPr>
          <w:p w14:paraId="0EB558E9"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241,854 </w:t>
            </w:r>
          </w:p>
        </w:tc>
        <w:tc>
          <w:tcPr>
            <w:tcW w:w="578" w:type="pct"/>
            <w:tcBorders>
              <w:top w:val="nil"/>
              <w:left w:val="nil"/>
              <w:bottom w:val="nil"/>
              <w:right w:val="nil"/>
            </w:tcBorders>
            <w:shd w:val="clear" w:color="auto" w:fill="auto"/>
            <w:noWrap/>
            <w:vAlign w:val="center"/>
            <w:hideMark/>
          </w:tcPr>
          <w:p w14:paraId="5E209658"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235,034 </w:t>
            </w:r>
          </w:p>
        </w:tc>
      </w:tr>
      <w:tr w:rsidR="00C334B8" w:rsidRPr="00C334B8" w14:paraId="5A110763" w14:textId="77777777" w:rsidTr="00C334B8">
        <w:trPr>
          <w:trHeight w:val="200"/>
        </w:trPr>
        <w:tc>
          <w:tcPr>
            <w:tcW w:w="2110" w:type="pct"/>
            <w:tcBorders>
              <w:top w:val="nil"/>
              <w:left w:val="nil"/>
              <w:bottom w:val="nil"/>
              <w:right w:val="nil"/>
            </w:tcBorders>
            <w:shd w:val="clear" w:color="000000" w:fill="FFFFFF"/>
            <w:vAlign w:val="center"/>
            <w:hideMark/>
          </w:tcPr>
          <w:p w14:paraId="33338BE3" w14:textId="77777777" w:rsidR="00C334B8" w:rsidRPr="00C334B8" w:rsidRDefault="00C334B8" w:rsidP="00C334B8">
            <w:pPr>
              <w:spacing w:after="0" w:line="240" w:lineRule="auto"/>
              <w:ind w:firstLineChars="100" w:firstLine="160"/>
              <w:jc w:val="left"/>
              <w:rPr>
                <w:rFonts w:ascii="Arial" w:hAnsi="Arial" w:cs="Arial"/>
                <w:sz w:val="16"/>
                <w:szCs w:val="16"/>
              </w:rPr>
            </w:pPr>
            <w:r w:rsidRPr="00C334B8">
              <w:rPr>
                <w:rFonts w:ascii="Arial" w:hAnsi="Arial" w:cs="Arial"/>
                <w:sz w:val="16"/>
                <w:szCs w:val="16"/>
              </w:rPr>
              <w:t>s74 External Revenue (a)</w:t>
            </w:r>
          </w:p>
        </w:tc>
        <w:tc>
          <w:tcPr>
            <w:tcW w:w="578" w:type="pct"/>
            <w:tcBorders>
              <w:top w:val="nil"/>
              <w:left w:val="nil"/>
              <w:bottom w:val="nil"/>
              <w:right w:val="nil"/>
            </w:tcBorders>
            <w:shd w:val="clear" w:color="auto" w:fill="auto"/>
            <w:noWrap/>
            <w:vAlign w:val="center"/>
            <w:hideMark/>
          </w:tcPr>
          <w:p w14:paraId="5B8A52D0" w14:textId="77777777" w:rsidR="00C334B8" w:rsidRPr="00C334B8" w:rsidRDefault="00C334B8" w:rsidP="00C334B8">
            <w:pPr>
              <w:spacing w:after="0" w:line="240" w:lineRule="auto"/>
              <w:jc w:val="right"/>
              <w:rPr>
                <w:rFonts w:ascii="Arial" w:hAnsi="Arial" w:cs="Arial"/>
                <w:color w:val="000000"/>
                <w:sz w:val="16"/>
                <w:szCs w:val="16"/>
              </w:rPr>
            </w:pPr>
            <w:r w:rsidRPr="00C334B8">
              <w:rPr>
                <w:rFonts w:ascii="Arial" w:hAnsi="Arial" w:cs="Arial"/>
                <w:color w:val="000000"/>
                <w:sz w:val="16"/>
                <w:szCs w:val="16"/>
              </w:rPr>
              <w:t xml:space="preserve">1,599 </w:t>
            </w:r>
          </w:p>
        </w:tc>
        <w:tc>
          <w:tcPr>
            <w:tcW w:w="578" w:type="pct"/>
            <w:tcBorders>
              <w:top w:val="nil"/>
              <w:left w:val="nil"/>
              <w:bottom w:val="nil"/>
              <w:right w:val="nil"/>
            </w:tcBorders>
            <w:shd w:val="clear" w:color="000000" w:fill="E6E6E6"/>
            <w:noWrap/>
            <w:vAlign w:val="center"/>
            <w:hideMark/>
          </w:tcPr>
          <w:p w14:paraId="6497DD1D"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1,335 </w:t>
            </w:r>
          </w:p>
        </w:tc>
        <w:tc>
          <w:tcPr>
            <w:tcW w:w="578" w:type="pct"/>
            <w:tcBorders>
              <w:top w:val="nil"/>
              <w:left w:val="nil"/>
              <w:bottom w:val="nil"/>
              <w:right w:val="nil"/>
            </w:tcBorders>
            <w:shd w:val="clear" w:color="auto" w:fill="auto"/>
            <w:noWrap/>
            <w:vAlign w:val="center"/>
            <w:hideMark/>
          </w:tcPr>
          <w:p w14:paraId="310A7C6D" w14:textId="77777777" w:rsidR="00C334B8" w:rsidRPr="00C334B8" w:rsidRDefault="00C334B8" w:rsidP="00C334B8">
            <w:pPr>
              <w:spacing w:after="0" w:line="240" w:lineRule="auto"/>
              <w:jc w:val="right"/>
              <w:rPr>
                <w:rFonts w:ascii="Arial" w:hAnsi="Arial" w:cs="Arial"/>
                <w:color w:val="000000"/>
                <w:sz w:val="16"/>
                <w:szCs w:val="16"/>
              </w:rPr>
            </w:pPr>
            <w:r w:rsidRPr="00C334B8">
              <w:rPr>
                <w:rFonts w:ascii="Arial" w:hAnsi="Arial" w:cs="Arial"/>
                <w:color w:val="000000"/>
                <w:sz w:val="16"/>
                <w:szCs w:val="16"/>
              </w:rPr>
              <w:t xml:space="preserve">575 </w:t>
            </w:r>
          </w:p>
        </w:tc>
        <w:tc>
          <w:tcPr>
            <w:tcW w:w="578" w:type="pct"/>
            <w:tcBorders>
              <w:top w:val="nil"/>
              <w:left w:val="nil"/>
              <w:bottom w:val="nil"/>
              <w:right w:val="nil"/>
            </w:tcBorders>
            <w:shd w:val="clear" w:color="auto" w:fill="auto"/>
            <w:noWrap/>
            <w:vAlign w:val="center"/>
            <w:hideMark/>
          </w:tcPr>
          <w:p w14:paraId="7A5421BC" w14:textId="77777777" w:rsidR="00C334B8" w:rsidRPr="00C334B8" w:rsidRDefault="00C334B8" w:rsidP="00C334B8">
            <w:pPr>
              <w:spacing w:after="0" w:line="240" w:lineRule="auto"/>
              <w:jc w:val="right"/>
              <w:rPr>
                <w:rFonts w:ascii="Arial" w:hAnsi="Arial" w:cs="Arial"/>
                <w:color w:val="000000"/>
                <w:sz w:val="16"/>
                <w:szCs w:val="16"/>
              </w:rPr>
            </w:pPr>
            <w:r w:rsidRPr="00C334B8">
              <w:rPr>
                <w:rFonts w:ascii="Arial" w:hAnsi="Arial" w:cs="Arial"/>
                <w:color w:val="000000"/>
                <w:sz w:val="16"/>
                <w:szCs w:val="16"/>
              </w:rPr>
              <w:t xml:space="preserve">1,372 </w:t>
            </w:r>
          </w:p>
        </w:tc>
        <w:tc>
          <w:tcPr>
            <w:tcW w:w="578" w:type="pct"/>
            <w:tcBorders>
              <w:top w:val="nil"/>
              <w:left w:val="nil"/>
              <w:bottom w:val="nil"/>
              <w:right w:val="nil"/>
            </w:tcBorders>
            <w:shd w:val="clear" w:color="auto" w:fill="auto"/>
            <w:noWrap/>
            <w:vAlign w:val="center"/>
            <w:hideMark/>
          </w:tcPr>
          <w:p w14:paraId="089F15B9" w14:textId="77777777" w:rsidR="00C334B8" w:rsidRPr="00C334B8" w:rsidRDefault="00C334B8" w:rsidP="00C334B8">
            <w:pPr>
              <w:spacing w:after="0" w:line="240" w:lineRule="auto"/>
              <w:jc w:val="right"/>
              <w:rPr>
                <w:rFonts w:ascii="Arial" w:hAnsi="Arial" w:cs="Arial"/>
                <w:color w:val="000000"/>
                <w:sz w:val="16"/>
                <w:szCs w:val="16"/>
              </w:rPr>
            </w:pPr>
            <w:r w:rsidRPr="00C334B8">
              <w:rPr>
                <w:rFonts w:ascii="Arial" w:hAnsi="Arial" w:cs="Arial"/>
                <w:color w:val="000000"/>
                <w:sz w:val="16"/>
                <w:szCs w:val="16"/>
              </w:rPr>
              <w:t xml:space="preserve">1,362 </w:t>
            </w:r>
          </w:p>
        </w:tc>
      </w:tr>
      <w:tr w:rsidR="00C334B8" w:rsidRPr="00C334B8" w14:paraId="3DEA9039" w14:textId="77777777" w:rsidTr="00C334B8">
        <w:trPr>
          <w:trHeight w:val="600"/>
        </w:trPr>
        <w:tc>
          <w:tcPr>
            <w:tcW w:w="2110" w:type="pct"/>
            <w:tcBorders>
              <w:top w:val="nil"/>
              <w:left w:val="nil"/>
              <w:bottom w:val="nil"/>
              <w:right w:val="nil"/>
            </w:tcBorders>
            <w:shd w:val="clear" w:color="auto" w:fill="auto"/>
            <w:vAlign w:val="center"/>
            <w:hideMark/>
          </w:tcPr>
          <w:p w14:paraId="5A554F1C" w14:textId="4A5DC78E" w:rsidR="00C334B8" w:rsidRPr="00C334B8" w:rsidRDefault="00C334B8" w:rsidP="00C334B8">
            <w:pPr>
              <w:spacing w:after="0" w:line="240" w:lineRule="auto"/>
              <w:ind w:firstLineChars="100" w:firstLine="160"/>
              <w:jc w:val="left"/>
              <w:rPr>
                <w:rFonts w:ascii="Arial" w:hAnsi="Arial" w:cs="Arial"/>
                <w:sz w:val="16"/>
                <w:szCs w:val="16"/>
              </w:rPr>
            </w:pPr>
            <w:r w:rsidRPr="00C334B8">
              <w:rPr>
                <w:rFonts w:ascii="Arial" w:hAnsi="Arial" w:cs="Arial"/>
                <w:sz w:val="16"/>
                <w:szCs w:val="16"/>
              </w:rPr>
              <w:t>Expenses not requiring</w:t>
            </w:r>
            <w:r w:rsidRPr="00C334B8">
              <w:rPr>
                <w:rFonts w:ascii="Arial" w:hAnsi="Arial" w:cs="Arial"/>
                <w:sz w:val="16"/>
                <w:szCs w:val="16"/>
              </w:rPr>
              <w:br/>
              <w:t xml:space="preserve">  </w:t>
            </w:r>
            <w:r w:rsidR="001A0F41">
              <w:rPr>
                <w:rFonts w:ascii="Arial" w:hAnsi="Arial" w:cs="Arial"/>
                <w:sz w:val="16"/>
                <w:szCs w:val="16"/>
              </w:rPr>
              <w:t xml:space="preserve">  </w:t>
            </w:r>
            <w:r w:rsidRPr="00C334B8">
              <w:rPr>
                <w:rFonts w:ascii="Arial" w:hAnsi="Arial" w:cs="Arial"/>
                <w:sz w:val="16"/>
                <w:szCs w:val="16"/>
              </w:rPr>
              <w:t>appropriation in the Budget</w:t>
            </w:r>
            <w:r w:rsidRPr="00C334B8">
              <w:rPr>
                <w:rFonts w:ascii="Arial" w:hAnsi="Arial" w:cs="Arial"/>
                <w:sz w:val="16"/>
                <w:szCs w:val="16"/>
              </w:rPr>
              <w:br/>
              <w:t xml:space="preserve">    year (b)</w:t>
            </w:r>
          </w:p>
        </w:tc>
        <w:tc>
          <w:tcPr>
            <w:tcW w:w="578" w:type="pct"/>
            <w:tcBorders>
              <w:top w:val="nil"/>
              <w:left w:val="nil"/>
              <w:bottom w:val="nil"/>
              <w:right w:val="nil"/>
            </w:tcBorders>
            <w:shd w:val="clear" w:color="auto" w:fill="auto"/>
            <w:noWrap/>
            <w:vAlign w:val="center"/>
            <w:hideMark/>
          </w:tcPr>
          <w:p w14:paraId="15C8BF77" w14:textId="77777777" w:rsidR="00C334B8" w:rsidRPr="00C334B8" w:rsidRDefault="00C334B8" w:rsidP="00C334B8">
            <w:pPr>
              <w:spacing w:after="0" w:line="240" w:lineRule="auto"/>
              <w:jc w:val="right"/>
              <w:rPr>
                <w:rFonts w:ascii="Arial" w:hAnsi="Arial" w:cs="Arial"/>
                <w:color w:val="000000"/>
                <w:sz w:val="16"/>
                <w:szCs w:val="16"/>
              </w:rPr>
            </w:pPr>
            <w:r w:rsidRPr="00C334B8">
              <w:rPr>
                <w:rFonts w:ascii="Arial" w:hAnsi="Arial" w:cs="Arial"/>
                <w:color w:val="000000"/>
                <w:sz w:val="16"/>
                <w:szCs w:val="16"/>
              </w:rPr>
              <w:t xml:space="preserve">11,326 </w:t>
            </w:r>
          </w:p>
        </w:tc>
        <w:tc>
          <w:tcPr>
            <w:tcW w:w="578" w:type="pct"/>
            <w:tcBorders>
              <w:top w:val="nil"/>
              <w:left w:val="nil"/>
              <w:bottom w:val="nil"/>
              <w:right w:val="nil"/>
            </w:tcBorders>
            <w:shd w:val="clear" w:color="000000" w:fill="E6E6E6"/>
            <w:noWrap/>
            <w:vAlign w:val="center"/>
            <w:hideMark/>
          </w:tcPr>
          <w:p w14:paraId="5165E6FC"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10,060 </w:t>
            </w:r>
          </w:p>
        </w:tc>
        <w:tc>
          <w:tcPr>
            <w:tcW w:w="578" w:type="pct"/>
            <w:tcBorders>
              <w:top w:val="nil"/>
              <w:left w:val="nil"/>
              <w:bottom w:val="nil"/>
              <w:right w:val="nil"/>
            </w:tcBorders>
            <w:shd w:val="clear" w:color="auto" w:fill="auto"/>
            <w:noWrap/>
            <w:vAlign w:val="center"/>
            <w:hideMark/>
          </w:tcPr>
          <w:p w14:paraId="4D5B3893"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9,837 </w:t>
            </w:r>
          </w:p>
        </w:tc>
        <w:tc>
          <w:tcPr>
            <w:tcW w:w="578" w:type="pct"/>
            <w:tcBorders>
              <w:top w:val="nil"/>
              <w:left w:val="nil"/>
              <w:bottom w:val="nil"/>
              <w:right w:val="nil"/>
            </w:tcBorders>
            <w:shd w:val="clear" w:color="auto" w:fill="auto"/>
            <w:noWrap/>
            <w:vAlign w:val="center"/>
            <w:hideMark/>
          </w:tcPr>
          <w:p w14:paraId="3F962FE0"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9,263 </w:t>
            </w:r>
          </w:p>
        </w:tc>
        <w:tc>
          <w:tcPr>
            <w:tcW w:w="578" w:type="pct"/>
            <w:tcBorders>
              <w:top w:val="nil"/>
              <w:left w:val="nil"/>
              <w:bottom w:val="nil"/>
              <w:right w:val="nil"/>
            </w:tcBorders>
            <w:shd w:val="clear" w:color="auto" w:fill="auto"/>
            <w:noWrap/>
            <w:vAlign w:val="center"/>
            <w:hideMark/>
          </w:tcPr>
          <w:p w14:paraId="7FB7815C"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8,388 </w:t>
            </w:r>
          </w:p>
        </w:tc>
      </w:tr>
      <w:tr w:rsidR="00C334B8" w:rsidRPr="00C334B8" w14:paraId="1C4F2065" w14:textId="77777777" w:rsidTr="00C334B8">
        <w:trPr>
          <w:trHeight w:val="210"/>
        </w:trPr>
        <w:tc>
          <w:tcPr>
            <w:tcW w:w="2110" w:type="pct"/>
            <w:tcBorders>
              <w:top w:val="nil"/>
              <w:left w:val="nil"/>
              <w:bottom w:val="nil"/>
              <w:right w:val="nil"/>
            </w:tcBorders>
            <w:shd w:val="clear" w:color="auto" w:fill="auto"/>
            <w:vAlign w:val="center"/>
            <w:hideMark/>
          </w:tcPr>
          <w:p w14:paraId="6AABA077" w14:textId="77777777" w:rsidR="00C334B8" w:rsidRPr="00C334B8" w:rsidRDefault="00C334B8" w:rsidP="00C334B8">
            <w:pPr>
              <w:spacing w:after="0" w:line="240" w:lineRule="auto"/>
              <w:jc w:val="right"/>
              <w:rPr>
                <w:rFonts w:ascii="Arial" w:hAnsi="Arial" w:cs="Arial"/>
                <w:b/>
                <w:bCs/>
                <w:sz w:val="16"/>
                <w:szCs w:val="16"/>
              </w:rPr>
            </w:pPr>
            <w:r w:rsidRPr="00C334B8">
              <w:rPr>
                <w:rFonts w:ascii="Arial" w:hAnsi="Arial" w:cs="Arial"/>
                <w:b/>
                <w:bCs/>
                <w:sz w:val="16"/>
                <w:szCs w:val="16"/>
              </w:rPr>
              <w:t>Departmental total</w:t>
            </w:r>
          </w:p>
        </w:tc>
        <w:tc>
          <w:tcPr>
            <w:tcW w:w="578" w:type="pct"/>
            <w:tcBorders>
              <w:top w:val="single" w:sz="4" w:space="0" w:color="auto"/>
              <w:left w:val="nil"/>
              <w:bottom w:val="single" w:sz="4" w:space="0" w:color="auto"/>
              <w:right w:val="nil"/>
            </w:tcBorders>
            <w:shd w:val="clear" w:color="auto" w:fill="auto"/>
            <w:noWrap/>
            <w:vAlign w:val="center"/>
            <w:hideMark/>
          </w:tcPr>
          <w:p w14:paraId="5537D331" w14:textId="77777777" w:rsidR="00C334B8" w:rsidRPr="00C334B8" w:rsidRDefault="00C334B8" w:rsidP="00C334B8">
            <w:pPr>
              <w:spacing w:after="0" w:line="240" w:lineRule="auto"/>
              <w:jc w:val="right"/>
              <w:rPr>
                <w:rFonts w:ascii="Arial" w:hAnsi="Arial" w:cs="Arial"/>
                <w:color w:val="000000"/>
                <w:sz w:val="16"/>
                <w:szCs w:val="16"/>
              </w:rPr>
            </w:pPr>
            <w:r w:rsidRPr="00C334B8">
              <w:rPr>
                <w:rFonts w:ascii="Arial" w:hAnsi="Arial" w:cs="Arial"/>
                <w:color w:val="000000"/>
                <w:sz w:val="16"/>
                <w:szCs w:val="16"/>
              </w:rPr>
              <w:t xml:space="preserve">279,961 </w:t>
            </w:r>
          </w:p>
        </w:tc>
        <w:tc>
          <w:tcPr>
            <w:tcW w:w="578" w:type="pct"/>
            <w:tcBorders>
              <w:top w:val="single" w:sz="4" w:space="0" w:color="auto"/>
              <w:left w:val="nil"/>
              <w:bottom w:val="single" w:sz="4" w:space="0" w:color="auto"/>
              <w:right w:val="nil"/>
            </w:tcBorders>
            <w:shd w:val="clear" w:color="000000" w:fill="E6E6E6"/>
            <w:noWrap/>
            <w:vAlign w:val="center"/>
            <w:hideMark/>
          </w:tcPr>
          <w:p w14:paraId="59ADD019"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298,041 </w:t>
            </w:r>
          </w:p>
        </w:tc>
        <w:tc>
          <w:tcPr>
            <w:tcW w:w="578" w:type="pct"/>
            <w:tcBorders>
              <w:top w:val="single" w:sz="4" w:space="0" w:color="auto"/>
              <w:left w:val="nil"/>
              <w:bottom w:val="single" w:sz="4" w:space="0" w:color="auto"/>
              <w:right w:val="nil"/>
            </w:tcBorders>
            <w:shd w:val="clear" w:color="auto" w:fill="auto"/>
            <w:noWrap/>
            <w:vAlign w:val="center"/>
            <w:hideMark/>
          </w:tcPr>
          <w:p w14:paraId="7C152BFD" w14:textId="77777777" w:rsidR="00C334B8" w:rsidRPr="00C334B8" w:rsidRDefault="00C334B8" w:rsidP="00C334B8">
            <w:pPr>
              <w:spacing w:after="0" w:line="240" w:lineRule="auto"/>
              <w:jc w:val="right"/>
              <w:rPr>
                <w:rFonts w:ascii="Arial" w:hAnsi="Arial" w:cs="Arial"/>
                <w:color w:val="000000"/>
                <w:sz w:val="16"/>
                <w:szCs w:val="16"/>
              </w:rPr>
            </w:pPr>
            <w:r w:rsidRPr="00C334B8">
              <w:rPr>
                <w:rFonts w:ascii="Arial" w:hAnsi="Arial" w:cs="Arial"/>
                <w:color w:val="000000"/>
                <w:sz w:val="16"/>
                <w:szCs w:val="16"/>
              </w:rPr>
              <w:t xml:space="preserve">283,085 </w:t>
            </w:r>
          </w:p>
        </w:tc>
        <w:tc>
          <w:tcPr>
            <w:tcW w:w="578" w:type="pct"/>
            <w:tcBorders>
              <w:top w:val="single" w:sz="4" w:space="0" w:color="auto"/>
              <w:left w:val="nil"/>
              <w:bottom w:val="single" w:sz="4" w:space="0" w:color="auto"/>
              <w:right w:val="nil"/>
            </w:tcBorders>
            <w:shd w:val="clear" w:color="auto" w:fill="auto"/>
            <w:noWrap/>
            <w:vAlign w:val="center"/>
            <w:hideMark/>
          </w:tcPr>
          <w:p w14:paraId="5345921A" w14:textId="77777777" w:rsidR="00C334B8" w:rsidRPr="00C334B8" w:rsidRDefault="00C334B8" w:rsidP="00C334B8">
            <w:pPr>
              <w:spacing w:after="0" w:line="240" w:lineRule="auto"/>
              <w:jc w:val="right"/>
              <w:rPr>
                <w:rFonts w:ascii="Arial" w:hAnsi="Arial" w:cs="Arial"/>
                <w:color w:val="000000"/>
                <w:sz w:val="16"/>
                <w:szCs w:val="16"/>
              </w:rPr>
            </w:pPr>
            <w:r w:rsidRPr="00C334B8">
              <w:rPr>
                <w:rFonts w:ascii="Arial" w:hAnsi="Arial" w:cs="Arial"/>
                <w:color w:val="000000"/>
                <w:sz w:val="16"/>
                <w:szCs w:val="16"/>
              </w:rPr>
              <w:t xml:space="preserve">252,489 </w:t>
            </w:r>
          </w:p>
        </w:tc>
        <w:tc>
          <w:tcPr>
            <w:tcW w:w="578" w:type="pct"/>
            <w:tcBorders>
              <w:top w:val="single" w:sz="4" w:space="0" w:color="auto"/>
              <w:left w:val="nil"/>
              <w:bottom w:val="single" w:sz="4" w:space="0" w:color="auto"/>
              <w:right w:val="nil"/>
            </w:tcBorders>
            <w:shd w:val="clear" w:color="auto" w:fill="auto"/>
            <w:noWrap/>
            <w:vAlign w:val="center"/>
            <w:hideMark/>
          </w:tcPr>
          <w:p w14:paraId="2F02DFC4" w14:textId="77777777" w:rsidR="00C334B8" w:rsidRPr="00C334B8" w:rsidRDefault="00C334B8" w:rsidP="00C334B8">
            <w:pPr>
              <w:spacing w:after="0" w:line="240" w:lineRule="auto"/>
              <w:jc w:val="right"/>
              <w:rPr>
                <w:rFonts w:ascii="Arial" w:hAnsi="Arial" w:cs="Arial"/>
                <w:color w:val="000000"/>
                <w:sz w:val="16"/>
                <w:szCs w:val="16"/>
              </w:rPr>
            </w:pPr>
            <w:r w:rsidRPr="00C334B8">
              <w:rPr>
                <w:rFonts w:ascii="Arial" w:hAnsi="Arial" w:cs="Arial"/>
                <w:color w:val="000000"/>
                <w:sz w:val="16"/>
                <w:szCs w:val="16"/>
              </w:rPr>
              <w:t xml:space="preserve">244,784 </w:t>
            </w:r>
          </w:p>
        </w:tc>
      </w:tr>
      <w:tr w:rsidR="00C334B8" w:rsidRPr="00C334B8" w14:paraId="36DF3EB0" w14:textId="77777777" w:rsidTr="00C334B8">
        <w:trPr>
          <w:trHeight w:val="210"/>
        </w:trPr>
        <w:tc>
          <w:tcPr>
            <w:tcW w:w="2110" w:type="pct"/>
            <w:tcBorders>
              <w:top w:val="single" w:sz="4" w:space="0" w:color="auto"/>
              <w:left w:val="nil"/>
              <w:bottom w:val="single" w:sz="4" w:space="0" w:color="auto"/>
              <w:right w:val="nil"/>
            </w:tcBorders>
            <w:shd w:val="clear" w:color="auto" w:fill="auto"/>
            <w:noWrap/>
            <w:vAlign w:val="center"/>
            <w:hideMark/>
          </w:tcPr>
          <w:p w14:paraId="229A9364" w14:textId="77777777" w:rsidR="00C334B8" w:rsidRPr="00C334B8" w:rsidRDefault="00C334B8" w:rsidP="00C334B8">
            <w:pPr>
              <w:spacing w:after="0" w:line="240" w:lineRule="auto"/>
              <w:jc w:val="left"/>
              <w:rPr>
                <w:rFonts w:ascii="Arial" w:hAnsi="Arial" w:cs="Arial"/>
                <w:b/>
                <w:bCs/>
                <w:color w:val="000000"/>
                <w:sz w:val="16"/>
                <w:szCs w:val="16"/>
              </w:rPr>
            </w:pPr>
            <w:r w:rsidRPr="00C334B8">
              <w:rPr>
                <w:rFonts w:ascii="Arial" w:hAnsi="Arial" w:cs="Arial"/>
                <w:b/>
                <w:bCs/>
                <w:color w:val="000000"/>
                <w:sz w:val="16"/>
                <w:szCs w:val="16"/>
              </w:rPr>
              <w:t>Total expenses for Outcome 1</w:t>
            </w:r>
          </w:p>
        </w:tc>
        <w:tc>
          <w:tcPr>
            <w:tcW w:w="578" w:type="pct"/>
            <w:tcBorders>
              <w:top w:val="nil"/>
              <w:left w:val="nil"/>
              <w:bottom w:val="single" w:sz="4" w:space="0" w:color="auto"/>
              <w:right w:val="nil"/>
            </w:tcBorders>
            <w:shd w:val="clear" w:color="auto" w:fill="auto"/>
            <w:noWrap/>
            <w:vAlign w:val="center"/>
            <w:hideMark/>
          </w:tcPr>
          <w:p w14:paraId="1F152EDC" w14:textId="77777777" w:rsidR="00C334B8" w:rsidRPr="00C334B8" w:rsidRDefault="00C334B8" w:rsidP="00C334B8">
            <w:pPr>
              <w:spacing w:after="0" w:line="240" w:lineRule="auto"/>
              <w:jc w:val="right"/>
              <w:rPr>
                <w:rFonts w:ascii="Arial" w:hAnsi="Arial" w:cs="Arial"/>
                <w:b/>
                <w:bCs/>
                <w:color w:val="000000"/>
                <w:sz w:val="16"/>
                <w:szCs w:val="16"/>
              </w:rPr>
            </w:pPr>
            <w:r w:rsidRPr="00C334B8">
              <w:rPr>
                <w:rFonts w:ascii="Arial" w:hAnsi="Arial" w:cs="Arial"/>
                <w:b/>
                <w:bCs/>
                <w:color w:val="000000"/>
                <w:sz w:val="16"/>
                <w:szCs w:val="16"/>
              </w:rPr>
              <w:t xml:space="preserve">279,961 </w:t>
            </w:r>
          </w:p>
        </w:tc>
        <w:tc>
          <w:tcPr>
            <w:tcW w:w="578" w:type="pct"/>
            <w:tcBorders>
              <w:top w:val="nil"/>
              <w:left w:val="nil"/>
              <w:bottom w:val="single" w:sz="4" w:space="0" w:color="auto"/>
              <w:right w:val="nil"/>
            </w:tcBorders>
            <w:shd w:val="clear" w:color="000000" w:fill="E6E6E6"/>
            <w:noWrap/>
            <w:vAlign w:val="center"/>
            <w:hideMark/>
          </w:tcPr>
          <w:p w14:paraId="0AB364FF" w14:textId="77777777" w:rsidR="00C334B8" w:rsidRPr="00C334B8" w:rsidRDefault="00C334B8" w:rsidP="00C334B8">
            <w:pPr>
              <w:spacing w:after="0" w:line="240" w:lineRule="auto"/>
              <w:jc w:val="right"/>
              <w:rPr>
                <w:rFonts w:ascii="Arial" w:hAnsi="Arial" w:cs="Arial"/>
                <w:b/>
                <w:bCs/>
                <w:color w:val="000000"/>
                <w:sz w:val="16"/>
                <w:szCs w:val="16"/>
              </w:rPr>
            </w:pPr>
            <w:r w:rsidRPr="00C334B8">
              <w:rPr>
                <w:rFonts w:ascii="Arial" w:hAnsi="Arial" w:cs="Arial"/>
                <w:b/>
                <w:bCs/>
                <w:color w:val="000000"/>
                <w:sz w:val="16"/>
                <w:szCs w:val="16"/>
              </w:rPr>
              <w:t xml:space="preserve">298,041 </w:t>
            </w:r>
          </w:p>
        </w:tc>
        <w:tc>
          <w:tcPr>
            <w:tcW w:w="578" w:type="pct"/>
            <w:tcBorders>
              <w:top w:val="nil"/>
              <w:left w:val="nil"/>
              <w:bottom w:val="single" w:sz="4" w:space="0" w:color="auto"/>
              <w:right w:val="nil"/>
            </w:tcBorders>
            <w:shd w:val="clear" w:color="auto" w:fill="auto"/>
            <w:noWrap/>
            <w:vAlign w:val="center"/>
            <w:hideMark/>
          </w:tcPr>
          <w:p w14:paraId="1F365185" w14:textId="77777777" w:rsidR="00C334B8" w:rsidRPr="00C334B8" w:rsidRDefault="00C334B8" w:rsidP="00C334B8">
            <w:pPr>
              <w:spacing w:after="0" w:line="240" w:lineRule="auto"/>
              <w:jc w:val="right"/>
              <w:rPr>
                <w:rFonts w:ascii="Arial" w:hAnsi="Arial" w:cs="Arial"/>
                <w:b/>
                <w:bCs/>
                <w:sz w:val="16"/>
                <w:szCs w:val="16"/>
              </w:rPr>
            </w:pPr>
            <w:r w:rsidRPr="00C334B8">
              <w:rPr>
                <w:rFonts w:ascii="Arial" w:hAnsi="Arial" w:cs="Arial"/>
                <w:b/>
                <w:bCs/>
                <w:sz w:val="16"/>
                <w:szCs w:val="16"/>
              </w:rPr>
              <w:t xml:space="preserve">283,085 </w:t>
            </w:r>
          </w:p>
        </w:tc>
        <w:tc>
          <w:tcPr>
            <w:tcW w:w="578" w:type="pct"/>
            <w:tcBorders>
              <w:top w:val="nil"/>
              <w:left w:val="nil"/>
              <w:bottom w:val="single" w:sz="4" w:space="0" w:color="auto"/>
              <w:right w:val="nil"/>
            </w:tcBorders>
            <w:shd w:val="clear" w:color="auto" w:fill="auto"/>
            <w:noWrap/>
            <w:vAlign w:val="center"/>
            <w:hideMark/>
          </w:tcPr>
          <w:p w14:paraId="01E22EB7" w14:textId="77777777" w:rsidR="00C334B8" w:rsidRPr="00C334B8" w:rsidRDefault="00C334B8" w:rsidP="00C334B8">
            <w:pPr>
              <w:spacing w:after="0" w:line="240" w:lineRule="auto"/>
              <w:jc w:val="right"/>
              <w:rPr>
                <w:rFonts w:ascii="Arial" w:hAnsi="Arial" w:cs="Arial"/>
                <w:b/>
                <w:bCs/>
                <w:sz w:val="16"/>
                <w:szCs w:val="16"/>
              </w:rPr>
            </w:pPr>
            <w:r w:rsidRPr="00C334B8">
              <w:rPr>
                <w:rFonts w:ascii="Arial" w:hAnsi="Arial" w:cs="Arial"/>
                <w:b/>
                <w:bCs/>
                <w:sz w:val="16"/>
                <w:szCs w:val="16"/>
              </w:rPr>
              <w:t xml:space="preserve">252,489 </w:t>
            </w:r>
          </w:p>
        </w:tc>
        <w:tc>
          <w:tcPr>
            <w:tcW w:w="578" w:type="pct"/>
            <w:tcBorders>
              <w:top w:val="nil"/>
              <w:left w:val="nil"/>
              <w:bottom w:val="single" w:sz="4" w:space="0" w:color="auto"/>
              <w:right w:val="nil"/>
            </w:tcBorders>
            <w:shd w:val="clear" w:color="auto" w:fill="auto"/>
            <w:noWrap/>
            <w:vAlign w:val="center"/>
            <w:hideMark/>
          </w:tcPr>
          <w:p w14:paraId="5D26DC53" w14:textId="77777777" w:rsidR="00C334B8" w:rsidRPr="00C334B8" w:rsidRDefault="00C334B8" w:rsidP="00C334B8">
            <w:pPr>
              <w:spacing w:after="0" w:line="240" w:lineRule="auto"/>
              <w:jc w:val="right"/>
              <w:rPr>
                <w:rFonts w:ascii="Arial" w:hAnsi="Arial" w:cs="Arial"/>
                <w:b/>
                <w:bCs/>
                <w:sz w:val="16"/>
                <w:szCs w:val="16"/>
              </w:rPr>
            </w:pPr>
            <w:r w:rsidRPr="00C334B8">
              <w:rPr>
                <w:rFonts w:ascii="Arial" w:hAnsi="Arial" w:cs="Arial"/>
                <w:b/>
                <w:bCs/>
                <w:sz w:val="16"/>
                <w:szCs w:val="16"/>
              </w:rPr>
              <w:t xml:space="preserve">244,784 </w:t>
            </w:r>
          </w:p>
        </w:tc>
      </w:tr>
      <w:tr w:rsidR="00C334B8" w:rsidRPr="00C334B8" w14:paraId="777881D5" w14:textId="77777777" w:rsidTr="00C334B8">
        <w:trPr>
          <w:trHeight w:val="125"/>
        </w:trPr>
        <w:tc>
          <w:tcPr>
            <w:tcW w:w="2110" w:type="pct"/>
            <w:tcBorders>
              <w:top w:val="nil"/>
              <w:left w:val="nil"/>
              <w:bottom w:val="nil"/>
              <w:right w:val="nil"/>
            </w:tcBorders>
            <w:shd w:val="clear" w:color="auto" w:fill="auto"/>
            <w:noWrap/>
            <w:vAlign w:val="center"/>
            <w:hideMark/>
          </w:tcPr>
          <w:p w14:paraId="2D74AAF3" w14:textId="77777777" w:rsidR="00C334B8" w:rsidRPr="00C334B8" w:rsidRDefault="00C334B8" w:rsidP="00C334B8">
            <w:pPr>
              <w:spacing w:after="0" w:line="240" w:lineRule="auto"/>
              <w:jc w:val="right"/>
              <w:rPr>
                <w:rFonts w:ascii="Arial" w:hAnsi="Arial" w:cs="Arial"/>
                <w:b/>
                <w:bCs/>
                <w:sz w:val="16"/>
                <w:szCs w:val="16"/>
              </w:rPr>
            </w:pPr>
          </w:p>
        </w:tc>
        <w:tc>
          <w:tcPr>
            <w:tcW w:w="578" w:type="pct"/>
            <w:tcBorders>
              <w:top w:val="nil"/>
              <w:left w:val="nil"/>
              <w:bottom w:val="nil"/>
              <w:right w:val="nil"/>
            </w:tcBorders>
            <w:shd w:val="clear" w:color="auto" w:fill="auto"/>
            <w:noWrap/>
            <w:vAlign w:val="center"/>
            <w:hideMark/>
          </w:tcPr>
          <w:p w14:paraId="6FCEEAEA" w14:textId="77777777" w:rsidR="00C334B8" w:rsidRPr="00C334B8" w:rsidRDefault="00C334B8" w:rsidP="00C334B8">
            <w:pPr>
              <w:spacing w:after="0" w:line="240" w:lineRule="auto"/>
              <w:jc w:val="right"/>
              <w:rPr>
                <w:rFonts w:ascii="Arial" w:hAnsi="Arial" w:cs="Arial"/>
                <w:b/>
                <w:bCs/>
                <w:color w:val="000000"/>
                <w:sz w:val="16"/>
                <w:szCs w:val="16"/>
              </w:rPr>
            </w:pPr>
            <w:r w:rsidRPr="00C334B8">
              <w:rPr>
                <w:rFonts w:ascii="Arial" w:hAnsi="Arial" w:cs="Arial"/>
                <w:b/>
                <w:bCs/>
                <w:color w:val="000000"/>
                <w:sz w:val="16"/>
                <w:szCs w:val="16"/>
              </w:rPr>
              <w:t> </w:t>
            </w:r>
          </w:p>
        </w:tc>
        <w:tc>
          <w:tcPr>
            <w:tcW w:w="578" w:type="pct"/>
            <w:tcBorders>
              <w:top w:val="nil"/>
              <w:left w:val="nil"/>
              <w:bottom w:val="nil"/>
              <w:right w:val="nil"/>
            </w:tcBorders>
            <w:shd w:val="clear" w:color="auto" w:fill="auto"/>
            <w:noWrap/>
            <w:vAlign w:val="center"/>
            <w:hideMark/>
          </w:tcPr>
          <w:p w14:paraId="70170D83" w14:textId="77777777" w:rsidR="00C334B8" w:rsidRPr="00C334B8" w:rsidRDefault="00C334B8" w:rsidP="00C334B8">
            <w:pPr>
              <w:spacing w:after="0" w:line="240" w:lineRule="auto"/>
              <w:jc w:val="right"/>
              <w:rPr>
                <w:rFonts w:ascii="Arial" w:hAnsi="Arial" w:cs="Arial"/>
                <w:b/>
                <w:bCs/>
                <w:color w:val="000000"/>
                <w:sz w:val="16"/>
                <w:szCs w:val="16"/>
              </w:rPr>
            </w:pPr>
            <w:r w:rsidRPr="00C334B8">
              <w:rPr>
                <w:rFonts w:ascii="Arial" w:hAnsi="Arial" w:cs="Arial"/>
                <w:b/>
                <w:bCs/>
                <w:color w:val="000000"/>
                <w:sz w:val="16"/>
                <w:szCs w:val="16"/>
              </w:rPr>
              <w:t> </w:t>
            </w:r>
          </w:p>
        </w:tc>
        <w:tc>
          <w:tcPr>
            <w:tcW w:w="578" w:type="pct"/>
            <w:tcBorders>
              <w:top w:val="nil"/>
              <w:left w:val="nil"/>
              <w:bottom w:val="nil"/>
              <w:right w:val="nil"/>
            </w:tcBorders>
            <w:shd w:val="clear" w:color="auto" w:fill="auto"/>
            <w:noWrap/>
            <w:vAlign w:val="center"/>
            <w:hideMark/>
          </w:tcPr>
          <w:p w14:paraId="3F6E5A31" w14:textId="77777777" w:rsidR="00C334B8" w:rsidRPr="00C334B8" w:rsidRDefault="00C334B8" w:rsidP="00C334B8">
            <w:pPr>
              <w:spacing w:after="0" w:line="240" w:lineRule="auto"/>
              <w:jc w:val="left"/>
              <w:rPr>
                <w:rFonts w:ascii="Arial" w:hAnsi="Arial" w:cs="Arial"/>
                <w:b/>
                <w:bCs/>
                <w:sz w:val="16"/>
                <w:szCs w:val="16"/>
              </w:rPr>
            </w:pPr>
            <w:r w:rsidRPr="00C334B8">
              <w:rPr>
                <w:rFonts w:ascii="Arial" w:hAnsi="Arial" w:cs="Arial"/>
                <w:b/>
                <w:bCs/>
                <w:sz w:val="16"/>
                <w:szCs w:val="16"/>
              </w:rPr>
              <w:t> </w:t>
            </w:r>
          </w:p>
        </w:tc>
        <w:tc>
          <w:tcPr>
            <w:tcW w:w="578" w:type="pct"/>
            <w:tcBorders>
              <w:top w:val="nil"/>
              <w:left w:val="nil"/>
              <w:bottom w:val="nil"/>
              <w:right w:val="nil"/>
            </w:tcBorders>
            <w:shd w:val="clear" w:color="auto" w:fill="auto"/>
            <w:noWrap/>
            <w:vAlign w:val="center"/>
            <w:hideMark/>
          </w:tcPr>
          <w:p w14:paraId="0786F088" w14:textId="77777777" w:rsidR="00C334B8" w:rsidRPr="00C334B8" w:rsidRDefault="00C334B8" w:rsidP="00C334B8">
            <w:pPr>
              <w:spacing w:after="0" w:line="240" w:lineRule="auto"/>
              <w:jc w:val="left"/>
              <w:rPr>
                <w:rFonts w:ascii="Arial" w:hAnsi="Arial" w:cs="Arial"/>
                <w:b/>
                <w:bCs/>
                <w:sz w:val="16"/>
                <w:szCs w:val="16"/>
              </w:rPr>
            </w:pPr>
            <w:r w:rsidRPr="00C334B8">
              <w:rPr>
                <w:rFonts w:ascii="Arial" w:hAnsi="Arial" w:cs="Arial"/>
                <w:b/>
                <w:bCs/>
                <w:sz w:val="16"/>
                <w:szCs w:val="16"/>
              </w:rPr>
              <w:t> </w:t>
            </w:r>
          </w:p>
        </w:tc>
        <w:tc>
          <w:tcPr>
            <w:tcW w:w="578" w:type="pct"/>
            <w:tcBorders>
              <w:top w:val="nil"/>
              <w:left w:val="nil"/>
              <w:bottom w:val="nil"/>
              <w:right w:val="nil"/>
            </w:tcBorders>
            <w:shd w:val="clear" w:color="auto" w:fill="auto"/>
            <w:noWrap/>
            <w:vAlign w:val="center"/>
            <w:hideMark/>
          </w:tcPr>
          <w:p w14:paraId="5EC64601" w14:textId="77777777" w:rsidR="00C334B8" w:rsidRPr="00C334B8" w:rsidRDefault="00C334B8" w:rsidP="00C334B8">
            <w:pPr>
              <w:spacing w:after="0" w:line="240" w:lineRule="auto"/>
              <w:jc w:val="left"/>
              <w:rPr>
                <w:rFonts w:ascii="Arial" w:hAnsi="Arial" w:cs="Arial"/>
                <w:b/>
                <w:bCs/>
                <w:sz w:val="16"/>
                <w:szCs w:val="16"/>
              </w:rPr>
            </w:pPr>
            <w:r w:rsidRPr="00C334B8">
              <w:rPr>
                <w:rFonts w:ascii="Arial" w:hAnsi="Arial" w:cs="Arial"/>
                <w:b/>
                <w:bCs/>
                <w:sz w:val="16"/>
                <w:szCs w:val="16"/>
              </w:rPr>
              <w:t> </w:t>
            </w:r>
          </w:p>
        </w:tc>
      </w:tr>
      <w:tr w:rsidR="00C334B8" w:rsidRPr="00C334B8" w14:paraId="10DE3D87" w14:textId="77777777" w:rsidTr="00C334B8">
        <w:trPr>
          <w:trHeight w:val="200"/>
        </w:trPr>
        <w:tc>
          <w:tcPr>
            <w:tcW w:w="2110" w:type="pct"/>
            <w:tcBorders>
              <w:top w:val="single" w:sz="4" w:space="0" w:color="000000"/>
              <w:left w:val="nil"/>
              <w:bottom w:val="nil"/>
              <w:right w:val="nil"/>
            </w:tcBorders>
            <w:shd w:val="clear" w:color="auto" w:fill="auto"/>
            <w:noWrap/>
            <w:vAlign w:val="center"/>
            <w:hideMark/>
          </w:tcPr>
          <w:p w14:paraId="6519B0AD" w14:textId="77777777" w:rsidR="00C334B8" w:rsidRPr="00C334B8" w:rsidRDefault="00C334B8" w:rsidP="00C334B8">
            <w:pPr>
              <w:spacing w:after="0" w:line="240" w:lineRule="auto"/>
              <w:jc w:val="left"/>
              <w:rPr>
                <w:rFonts w:ascii="Arial" w:hAnsi="Arial" w:cs="Arial"/>
                <w:color w:val="000000"/>
                <w:sz w:val="16"/>
                <w:szCs w:val="16"/>
              </w:rPr>
            </w:pPr>
            <w:r w:rsidRPr="00C334B8">
              <w:rPr>
                <w:rFonts w:ascii="Arial" w:hAnsi="Arial" w:cs="Arial"/>
                <w:color w:val="000000"/>
                <w:sz w:val="16"/>
                <w:szCs w:val="16"/>
              </w:rPr>
              <w:t> </w:t>
            </w:r>
          </w:p>
        </w:tc>
        <w:tc>
          <w:tcPr>
            <w:tcW w:w="578" w:type="pct"/>
            <w:tcBorders>
              <w:top w:val="single" w:sz="4" w:space="0" w:color="auto"/>
              <w:left w:val="nil"/>
              <w:bottom w:val="single" w:sz="4" w:space="0" w:color="auto"/>
              <w:right w:val="nil"/>
            </w:tcBorders>
            <w:shd w:val="clear" w:color="auto" w:fill="auto"/>
            <w:noWrap/>
            <w:vAlign w:val="center"/>
            <w:hideMark/>
          </w:tcPr>
          <w:p w14:paraId="259BD70F"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2020-21</w:t>
            </w:r>
          </w:p>
        </w:tc>
        <w:tc>
          <w:tcPr>
            <w:tcW w:w="578" w:type="pct"/>
            <w:tcBorders>
              <w:top w:val="single" w:sz="4" w:space="0" w:color="auto"/>
              <w:left w:val="nil"/>
              <w:bottom w:val="single" w:sz="4" w:space="0" w:color="auto"/>
              <w:right w:val="nil"/>
            </w:tcBorders>
            <w:shd w:val="clear" w:color="000000" w:fill="E6E6E6"/>
            <w:noWrap/>
            <w:vAlign w:val="center"/>
            <w:hideMark/>
          </w:tcPr>
          <w:p w14:paraId="669617BD"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2021-22</w:t>
            </w:r>
          </w:p>
        </w:tc>
        <w:tc>
          <w:tcPr>
            <w:tcW w:w="578" w:type="pct"/>
            <w:tcBorders>
              <w:top w:val="nil"/>
              <w:left w:val="nil"/>
              <w:bottom w:val="nil"/>
              <w:right w:val="nil"/>
            </w:tcBorders>
            <w:shd w:val="clear" w:color="auto" w:fill="auto"/>
            <w:noWrap/>
            <w:vAlign w:val="center"/>
            <w:hideMark/>
          </w:tcPr>
          <w:p w14:paraId="27199DD4" w14:textId="77777777" w:rsidR="00C334B8" w:rsidRPr="00C334B8" w:rsidRDefault="00C334B8" w:rsidP="00C334B8">
            <w:pPr>
              <w:spacing w:after="0" w:line="240" w:lineRule="auto"/>
              <w:jc w:val="right"/>
              <w:rPr>
                <w:rFonts w:ascii="Arial" w:hAnsi="Arial" w:cs="Arial"/>
                <w:sz w:val="16"/>
                <w:szCs w:val="16"/>
              </w:rPr>
            </w:pPr>
          </w:p>
        </w:tc>
        <w:tc>
          <w:tcPr>
            <w:tcW w:w="578" w:type="pct"/>
            <w:tcBorders>
              <w:top w:val="nil"/>
              <w:left w:val="nil"/>
              <w:bottom w:val="nil"/>
              <w:right w:val="nil"/>
            </w:tcBorders>
            <w:shd w:val="clear" w:color="auto" w:fill="auto"/>
            <w:noWrap/>
            <w:vAlign w:val="center"/>
            <w:hideMark/>
          </w:tcPr>
          <w:p w14:paraId="1CC8A4A3" w14:textId="77777777" w:rsidR="00C334B8" w:rsidRPr="00C334B8" w:rsidRDefault="00C334B8" w:rsidP="00C334B8">
            <w:pPr>
              <w:spacing w:after="0" w:line="240" w:lineRule="auto"/>
              <w:jc w:val="left"/>
              <w:rPr>
                <w:rFonts w:ascii="Times New Roman" w:hAnsi="Times New Roman"/>
              </w:rPr>
            </w:pPr>
          </w:p>
        </w:tc>
        <w:tc>
          <w:tcPr>
            <w:tcW w:w="578" w:type="pct"/>
            <w:tcBorders>
              <w:top w:val="nil"/>
              <w:left w:val="nil"/>
              <w:bottom w:val="nil"/>
              <w:right w:val="nil"/>
            </w:tcBorders>
            <w:shd w:val="clear" w:color="auto" w:fill="auto"/>
            <w:noWrap/>
            <w:vAlign w:val="center"/>
            <w:hideMark/>
          </w:tcPr>
          <w:p w14:paraId="5860B3CA" w14:textId="77777777" w:rsidR="00C334B8" w:rsidRPr="00C334B8" w:rsidRDefault="00C334B8" w:rsidP="00C334B8">
            <w:pPr>
              <w:spacing w:after="0" w:line="240" w:lineRule="auto"/>
              <w:jc w:val="left"/>
              <w:rPr>
                <w:rFonts w:ascii="Times New Roman" w:hAnsi="Times New Roman"/>
              </w:rPr>
            </w:pPr>
          </w:p>
        </w:tc>
      </w:tr>
      <w:tr w:rsidR="00C334B8" w:rsidRPr="00C334B8" w14:paraId="377FFA2B" w14:textId="77777777" w:rsidTr="00C334B8">
        <w:trPr>
          <w:trHeight w:val="210"/>
        </w:trPr>
        <w:tc>
          <w:tcPr>
            <w:tcW w:w="2110" w:type="pct"/>
            <w:tcBorders>
              <w:top w:val="nil"/>
              <w:left w:val="nil"/>
              <w:bottom w:val="single" w:sz="4" w:space="0" w:color="000000"/>
              <w:right w:val="nil"/>
            </w:tcBorders>
            <w:shd w:val="clear" w:color="auto" w:fill="auto"/>
            <w:noWrap/>
            <w:vAlign w:val="center"/>
            <w:hideMark/>
          </w:tcPr>
          <w:p w14:paraId="38EB2229" w14:textId="77777777" w:rsidR="00C334B8" w:rsidRPr="00C334B8" w:rsidRDefault="00C334B8" w:rsidP="00C334B8">
            <w:pPr>
              <w:spacing w:after="0" w:line="240" w:lineRule="auto"/>
              <w:jc w:val="left"/>
              <w:rPr>
                <w:rFonts w:ascii="Arial" w:hAnsi="Arial" w:cs="Arial"/>
                <w:b/>
                <w:bCs/>
                <w:color w:val="000000"/>
                <w:sz w:val="16"/>
                <w:szCs w:val="16"/>
              </w:rPr>
            </w:pPr>
            <w:r w:rsidRPr="00C334B8">
              <w:rPr>
                <w:rFonts w:ascii="Arial" w:hAnsi="Arial" w:cs="Arial"/>
                <w:b/>
                <w:bCs/>
                <w:color w:val="000000"/>
                <w:sz w:val="16"/>
                <w:szCs w:val="16"/>
              </w:rPr>
              <w:t>Average staffing level (number)</w:t>
            </w:r>
          </w:p>
        </w:tc>
        <w:tc>
          <w:tcPr>
            <w:tcW w:w="578" w:type="pct"/>
            <w:tcBorders>
              <w:top w:val="nil"/>
              <w:left w:val="nil"/>
              <w:bottom w:val="single" w:sz="4" w:space="0" w:color="auto"/>
              <w:right w:val="nil"/>
            </w:tcBorders>
            <w:shd w:val="clear" w:color="auto" w:fill="auto"/>
            <w:noWrap/>
            <w:vAlign w:val="center"/>
            <w:hideMark/>
          </w:tcPr>
          <w:p w14:paraId="2F8A48A0" w14:textId="77777777" w:rsidR="00C334B8" w:rsidRPr="00C334B8" w:rsidRDefault="00C334B8" w:rsidP="00C334B8">
            <w:pPr>
              <w:spacing w:after="0" w:line="240" w:lineRule="auto"/>
              <w:jc w:val="right"/>
              <w:rPr>
                <w:rFonts w:ascii="Arial" w:hAnsi="Arial" w:cs="Arial"/>
                <w:color w:val="000000"/>
                <w:sz w:val="16"/>
                <w:szCs w:val="16"/>
              </w:rPr>
            </w:pPr>
            <w:r w:rsidRPr="00C334B8">
              <w:rPr>
                <w:rFonts w:ascii="Arial" w:hAnsi="Arial" w:cs="Arial"/>
                <w:color w:val="000000"/>
                <w:sz w:val="16"/>
                <w:szCs w:val="16"/>
              </w:rPr>
              <w:t xml:space="preserve">1,170 </w:t>
            </w:r>
          </w:p>
        </w:tc>
        <w:tc>
          <w:tcPr>
            <w:tcW w:w="578" w:type="pct"/>
            <w:tcBorders>
              <w:top w:val="nil"/>
              <w:left w:val="nil"/>
              <w:bottom w:val="single" w:sz="4" w:space="0" w:color="auto"/>
              <w:right w:val="nil"/>
            </w:tcBorders>
            <w:shd w:val="clear" w:color="000000" w:fill="E6E6E6"/>
            <w:noWrap/>
            <w:vAlign w:val="center"/>
            <w:hideMark/>
          </w:tcPr>
          <w:p w14:paraId="6710F1C6" w14:textId="77777777" w:rsidR="00C334B8" w:rsidRPr="00C334B8" w:rsidRDefault="00C334B8" w:rsidP="00C334B8">
            <w:pPr>
              <w:spacing w:after="0" w:line="240" w:lineRule="auto"/>
              <w:jc w:val="right"/>
              <w:rPr>
                <w:rFonts w:ascii="Arial" w:hAnsi="Arial" w:cs="Arial"/>
                <w:color w:val="000000"/>
                <w:sz w:val="16"/>
                <w:szCs w:val="16"/>
              </w:rPr>
            </w:pPr>
            <w:r w:rsidRPr="00C334B8">
              <w:rPr>
                <w:rFonts w:ascii="Arial" w:hAnsi="Arial" w:cs="Arial"/>
                <w:color w:val="000000"/>
                <w:sz w:val="16"/>
                <w:szCs w:val="16"/>
              </w:rPr>
              <w:t xml:space="preserve">1,235 </w:t>
            </w:r>
          </w:p>
        </w:tc>
        <w:tc>
          <w:tcPr>
            <w:tcW w:w="578" w:type="pct"/>
            <w:tcBorders>
              <w:top w:val="nil"/>
              <w:left w:val="nil"/>
              <w:bottom w:val="nil"/>
              <w:right w:val="nil"/>
            </w:tcBorders>
            <w:shd w:val="clear" w:color="auto" w:fill="auto"/>
            <w:noWrap/>
            <w:vAlign w:val="center"/>
            <w:hideMark/>
          </w:tcPr>
          <w:p w14:paraId="101815FE" w14:textId="77777777" w:rsidR="00C334B8" w:rsidRPr="00C334B8" w:rsidRDefault="00C334B8" w:rsidP="00C334B8">
            <w:pPr>
              <w:spacing w:after="0" w:line="240" w:lineRule="auto"/>
              <w:jc w:val="right"/>
              <w:rPr>
                <w:rFonts w:ascii="Arial" w:hAnsi="Arial" w:cs="Arial"/>
                <w:color w:val="000000"/>
                <w:sz w:val="16"/>
                <w:szCs w:val="16"/>
              </w:rPr>
            </w:pPr>
          </w:p>
        </w:tc>
        <w:tc>
          <w:tcPr>
            <w:tcW w:w="578" w:type="pct"/>
            <w:tcBorders>
              <w:top w:val="nil"/>
              <w:left w:val="nil"/>
              <w:bottom w:val="nil"/>
              <w:right w:val="nil"/>
            </w:tcBorders>
            <w:shd w:val="clear" w:color="auto" w:fill="auto"/>
            <w:noWrap/>
            <w:vAlign w:val="center"/>
            <w:hideMark/>
          </w:tcPr>
          <w:p w14:paraId="07107BAE" w14:textId="77777777" w:rsidR="00C334B8" w:rsidRPr="00C334B8" w:rsidRDefault="00C334B8" w:rsidP="00C334B8">
            <w:pPr>
              <w:spacing w:after="0" w:line="240" w:lineRule="auto"/>
              <w:jc w:val="left"/>
              <w:rPr>
                <w:rFonts w:ascii="Times New Roman" w:hAnsi="Times New Roman"/>
              </w:rPr>
            </w:pPr>
          </w:p>
        </w:tc>
        <w:tc>
          <w:tcPr>
            <w:tcW w:w="578" w:type="pct"/>
            <w:tcBorders>
              <w:top w:val="nil"/>
              <w:left w:val="nil"/>
              <w:bottom w:val="nil"/>
              <w:right w:val="nil"/>
            </w:tcBorders>
            <w:shd w:val="clear" w:color="auto" w:fill="auto"/>
            <w:noWrap/>
            <w:vAlign w:val="center"/>
            <w:hideMark/>
          </w:tcPr>
          <w:p w14:paraId="1E6583DA" w14:textId="77777777" w:rsidR="00C334B8" w:rsidRPr="00C334B8" w:rsidRDefault="00C334B8" w:rsidP="00C334B8">
            <w:pPr>
              <w:spacing w:after="0" w:line="240" w:lineRule="auto"/>
              <w:jc w:val="left"/>
              <w:rPr>
                <w:rFonts w:ascii="Times New Roman" w:hAnsi="Times New Roman"/>
              </w:rPr>
            </w:pPr>
          </w:p>
        </w:tc>
      </w:tr>
    </w:tbl>
    <w:p w14:paraId="156285B1" w14:textId="30DC8AFE" w:rsidR="006B013C" w:rsidRDefault="006B013C" w:rsidP="006B013C">
      <w:pPr>
        <w:spacing w:after="0" w:line="240" w:lineRule="auto"/>
        <w:rPr>
          <w:rFonts w:ascii="Times New Roman" w:hAnsi="Times New Roman"/>
        </w:rPr>
      </w:pPr>
    </w:p>
    <w:p w14:paraId="134D86B9" w14:textId="62965D87" w:rsidR="00D6445A" w:rsidRPr="00914BAD" w:rsidRDefault="00D6445A" w:rsidP="006B013C">
      <w:pPr>
        <w:spacing w:after="0" w:line="240" w:lineRule="auto"/>
        <w:rPr>
          <w:rFonts w:ascii="Arial" w:hAnsi="Arial" w:cs="Arial"/>
          <w:sz w:val="16"/>
          <w:szCs w:val="16"/>
        </w:rPr>
      </w:pPr>
      <w:r w:rsidRPr="00914BAD">
        <w:rPr>
          <w:rFonts w:ascii="Arial" w:hAnsi="Arial" w:cs="Arial"/>
          <w:sz w:val="16"/>
          <w:szCs w:val="16"/>
        </w:rPr>
        <w:t>Figures displayed as a negative (-) represent a decrease in funds and a positive (+) represent an increase in funds.</w:t>
      </w:r>
    </w:p>
    <w:p w14:paraId="64F28252" w14:textId="56E29061" w:rsidR="00B86CCD" w:rsidRPr="00950281" w:rsidRDefault="004E0308" w:rsidP="00DF4979">
      <w:pPr>
        <w:pStyle w:val="ChartandTableFootnoteAlpha"/>
        <w:numPr>
          <w:ilvl w:val="0"/>
          <w:numId w:val="13"/>
        </w:numPr>
      </w:pPr>
      <w:r w:rsidRPr="00950281">
        <w:t>E</w:t>
      </w:r>
      <w:r w:rsidR="00A805EB">
        <w:t>stimated e</w:t>
      </w:r>
      <w:r w:rsidRPr="00950281">
        <w:t xml:space="preserve">xpenses </w:t>
      </w:r>
      <w:r w:rsidR="00A805EB">
        <w:t xml:space="preserve">incurred in relation to receipts retained under section 74 of the </w:t>
      </w:r>
      <w:r w:rsidR="006922DC">
        <w:t>PGPA Act</w:t>
      </w:r>
      <w:r w:rsidR="00B86CCD" w:rsidRPr="006922DC">
        <w:t>.</w:t>
      </w:r>
    </w:p>
    <w:p w14:paraId="3CBD1701" w14:textId="42E2E7B5" w:rsidR="00D6445A" w:rsidRDefault="00D6445A" w:rsidP="00DF4979">
      <w:pPr>
        <w:pStyle w:val="ChartandTableFootnoteAlpha"/>
        <w:numPr>
          <w:ilvl w:val="0"/>
          <w:numId w:val="13"/>
        </w:numPr>
      </w:pPr>
      <w:r>
        <w:t>Expenses not requiring appropriation in the Budget year are made up of depreciation expenses, amortisation expenses, make good expenses, audit fees and Litigation Contingency Fund payments funded from equity.</w:t>
      </w:r>
    </w:p>
    <w:p w14:paraId="79AF5BBF" w14:textId="4D687E2B" w:rsidR="00B86CCD" w:rsidRPr="00446612" w:rsidRDefault="00B86CCD" w:rsidP="009763C1">
      <w:pPr>
        <w:pStyle w:val="ChartandTableFootnote"/>
      </w:pPr>
      <w:r w:rsidRPr="00446612">
        <w:t>Note: Departmental appropriation splits and totals are indicative estimates and may change in the course of the budget year as government priorities change.</w:t>
      </w:r>
    </w:p>
    <w:p w14:paraId="575FA9CB" w14:textId="77777777" w:rsidR="00B86CCD" w:rsidRPr="00446612" w:rsidRDefault="00B86CCD" w:rsidP="00B86CCD">
      <w:pPr>
        <w:pStyle w:val="NoSpacing"/>
      </w:pPr>
    </w:p>
    <w:p w14:paraId="16271191" w14:textId="4F44D9D6" w:rsidR="008E5BB7" w:rsidRDefault="00B166C6" w:rsidP="00B92B09">
      <w:pPr>
        <w:spacing w:after="0"/>
        <w:rPr>
          <w:b/>
          <w:color w:val="FF0000"/>
        </w:rPr>
      </w:pPr>
      <w:r>
        <w:rPr>
          <w:highlight w:val="yellow"/>
        </w:rPr>
        <w:br w:type="page"/>
      </w:r>
    </w:p>
    <w:p w14:paraId="3D539E05" w14:textId="46DA6469" w:rsidR="00C854F5" w:rsidRPr="006D46C5" w:rsidRDefault="008E5BB7" w:rsidP="00E5444F">
      <w:pPr>
        <w:pStyle w:val="TableHeading"/>
        <w:rPr>
          <w:lang w:val="en-AU"/>
        </w:rPr>
      </w:pPr>
      <w:bookmarkStart w:id="23" w:name="_Toc190682315"/>
      <w:bookmarkStart w:id="24" w:name="_Toc190682532"/>
      <w:bookmarkEnd w:id="19"/>
      <w:bookmarkEnd w:id="20"/>
      <w:r w:rsidRPr="00F71634">
        <w:lastRenderedPageBreak/>
        <w:t>Table 2.</w:t>
      </w:r>
      <w:r w:rsidR="00DF4979">
        <w:rPr>
          <w:lang w:val="en-AU"/>
        </w:rPr>
        <w:t>2</w:t>
      </w:r>
      <w:r w:rsidRPr="00F71634">
        <w:t xml:space="preserve">: Performance criteria for Outcome </w:t>
      </w:r>
      <w:r w:rsidR="006D46C5">
        <w:rPr>
          <w:lang w:val="en-AU"/>
        </w:rPr>
        <w:t>1</w:t>
      </w:r>
    </w:p>
    <w:p w14:paraId="4BE1F311" w14:textId="6ABAF2B3" w:rsidR="009B011E" w:rsidRDefault="00E57CA7" w:rsidP="00B166C6">
      <w:r w:rsidRPr="00B166C6">
        <w:t>Table 2.</w:t>
      </w:r>
      <w:r w:rsidR="00DF4979">
        <w:t>2</w:t>
      </w:r>
      <w:r w:rsidRPr="00B166C6">
        <w:t xml:space="preserve"> </w:t>
      </w:r>
      <w:r w:rsidR="006F0E97" w:rsidRPr="00B166C6">
        <w:t xml:space="preserve">below </w:t>
      </w:r>
      <w:r w:rsidR="00691E49" w:rsidRPr="00B166C6">
        <w:t xml:space="preserve">details the performance criteria for each </w:t>
      </w:r>
      <w:r w:rsidR="008E5BB7" w:rsidRPr="00B166C6">
        <w:t>p</w:t>
      </w:r>
      <w:r w:rsidR="006D46C5">
        <w:t>rogram associated with Outcome 1</w:t>
      </w:r>
      <w:r w:rsidR="008E5BB7" w:rsidRPr="00B166C6">
        <w:t>. It also summarises how each pro</w:t>
      </w:r>
      <w:r w:rsidR="0003503B" w:rsidRPr="00B166C6">
        <w:t xml:space="preserve">gram </w:t>
      </w:r>
      <w:r w:rsidR="00694795" w:rsidRPr="00B166C6">
        <w:t xml:space="preserve">is delivered and where </w:t>
      </w:r>
      <w:r w:rsidR="00834240">
        <w:t>2021-22</w:t>
      </w:r>
      <w:r w:rsidR="008E5BB7" w:rsidRPr="00B166C6">
        <w:t xml:space="preserve"> Budget measures have created new programs or materially changed existing programs.</w:t>
      </w:r>
    </w:p>
    <w:tbl>
      <w:tblPr>
        <w:tblW w:w="7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819"/>
        <w:gridCol w:w="1418"/>
      </w:tblGrid>
      <w:tr w:rsidR="00F03060" w:rsidRPr="00224129" w14:paraId="65172DBE" w14:textId="77777777" w:rsidTr="00F03060">
        <w:trPr>
          <w:trHeight w:val="940"/>
        </w:trPr>
        <w:tc>
          <w:tcPr>
            <w:tcW w:w="7655" w:type="dxa"/>
            <w:gridSpan w:val="3"/>
            <w:shd w:val="clear" w:color="auto" w:fill="F2F2F2"/>
          </w:tcPr>
          <w:p w14:paraId="6E94FF68" w14:textId="125F804C" w:rsidR="00F03060" w:rsidRPr="00BD1B30" w:rsidRDefault="00F03060" w:rsidP="00772E69">
            <w:pPr>
              <w:pStyle w:val="TableColumnHeadingLeft"/>
              <w:jc w:val="both"/>
            </w:pPr>
            <w:r w:rsidRPr="006906E4">
              <w:t xml:space="preserve">Outcome </w:t>
            </w:r>
            <w:r>
              <w:t>1</w:t>
            </w:r>
            <w:r w:rsidRPr="006906E4">
              <w:t xml:space="preserve"> – </w:t>
            </w:r>
            <w:r w:rsidR="001D057F" w:rsidRPr="001D057F">
              <w:rPr>
                <w:b w:val="0"/>
              </w:rPr>
              <w:t>Enhanced welfare of Australians through enforcing laws that promote competition and protect consumers, as well as taking other regulatory and related actions including monitoring and market analysis, public education, determining the terms of access to infrastructure services, and discharging regulatory responsibilities governing energy markets and networks</w:t>
            </w:r>
          </w:p>
        </w:tc>
      </w:tr>
      <w:tr w:rsidR="00F03060" w:rsidRPr="00BD1B30" w14:paraId="3B69A400" w14:textId="77777777" w:rsidTr="00F03060">
        <w:trPr>
          <w:trHeight w:val="1052"/>
        </w:trPr>
        <w:tc>
          <w:tcPr>
            <w:tcW w:w="7655" w:type="dxa"/>
            <w:gridSpan w:val="3"/>
            <w:tcBorders>
              <w:bottom w:val="single" w:sz="4" w:space="0" w:color="auto"/>
            </w:tcBorders>
            <w:shd w:val="clear" w:color="auto" w:fill="F2F2F2"/>
          </w:tcPr>
          <w:p w14:paraId="4542C0B1" w14:textId="77777777" w:rsidR="00F03060" w:rsidRPr="002D2711" w:rsidRDefault="00F03060" w:rsidP="00772E69">
            <w:pPr>
              <w:tabs>
                <w:tab w:val="left" w:pos="709"/>
              </w:tabs>
              <w:spacing w:after="0" w:line="240" w:lineRule="exact"/>
              <w:rPr>
                <w:rFonts w:ascii="Arial" w:hAnsi="Arial" w:cs="Arial"/>
                <w:b/>
                <w:sz w:val="16"/>
                <w:szCs w:val="16"/>
              </w:rPr>
            </w:pPr>
            <w:r w:rsidRPr="002D2711">
              <w:rPr>
                <w:rFonts w:ascii="Arial" w:hAnsi="Arial" w:cs="Arial"/>
                <w:b/>
                <w:sz w:val="16"/>
                <w:szCs w:val="16"/>
              </w:rPr>
              <w:t xml:space="preserve">Program 1.1 – Australian Competition and Consumer Commission </w:t>
            </w:r>
          </w:p>
          <w:p w14:paraId="2CE72B02" w14:textId="77777777" w:rsidR="00F03060" w:rsidRPr="00BD1B30" w:rsidRDefault="00F03060" w:rsidP="00772E69">
            <w:pPr>
              <w:tabs>
                <w:tab w:val="left" w:pos="709"/>
              </w:tabs>
              <w:spacing w:after="0" w:line="240" w:lineRule="exact"/>
              <w:rPr>
                <w:rFonts w:ascii="Arial" w:hAnsi="Arial" w:cs="Arial"/>
                <w:sz w:val="16"/>
                <w:szCs w:val="16"/>
              </w:rPr>
            </w:pPr>
            <w:r w:rsidRPr="002D2711">
              <w:rPr>
                <w:rFonts w:ascii="Arial" w:hAnsi="Arial" w:cs="Arial"/>
                <w:sz w:val="16"/>
                <w:szCs w:val="16"/>
              </w:rPr>
              <w:t xml:space="preserve">To achieve compliance with the </w:t>
            </w:r>
            <w:r w:rsidRPr="002D2711">
              <w:rPr>
                <w:rFonts w:ascii="Arial" w:hAnsi="Arial" w:cs="Arial"/>
                <w:i/>
                <w:sz w:val="16"/>
                <w:szCs w:val="16"/>
              </w:rPr>
              <w:t>Competition and Consumer Act 2010</w:t>
            </w:r>
            <w:r w:rsidRPr="002D2711">
              <w:rPr>
                <w:rFonts w:ascii="Arial" w:hAnsi="Arial" w:cs="Arial"/>
                <w:sz w:val="16"/>
                <w:szCs w:val="16"/>
              </w:rPr>
              <w:t xml:space="preserve"> and other legislation to protect, strengthen and supplement the way competition works in Australian markets and industries to improve the efficiency of the economy and to increase the welfare of Australians.</w:t>
            </w:r>
          </w:p>
        </w:tc>
      </w:tr>
      <w:tr w:rsidR="00F03060" w:rsidRPr="00BE49A4" w14:paraId="4C298A26" w14:textId="77777777" w:rsidTr="00F03060">
        <w:trPr>
          <w:trHeight w:val="818"/>
        </w:trPr>
        <w:tc>
          <w:tcPr>
            <w:tcW w:w="1418" w:type="dxa"/>
            <w:tcBorders>
              <w:bottom w:val="single" w:sz="4" w:space="0" w:color="auto"/>
            </w:tcBorders>
          </w:tcPr>
          <w:p w14:paraId="5EC55749" w14:textId="77777777" w:rsidR="00F03060" w:rsidRPr="002D2711" w:rsidRDefault="00F03060" w:rsidP="00772E69">
            <w:pPr>
              <w:tabs>
                <w:tab w:val="left" w:pos="709"/>
              </w:tabs>
              <w:spacing w:before="60" w:after="60" w:line="240" w:lineRule="auto"/>
              <w:rPr>
                <w:rFonts w:ascii="Arial" w:hAnsi="Arial" w:cs="Arial"/>
                <w:b/>
                <w:sz w:val="16"/>
                <w:szCs w:val="16"/>
              </w:rPr>
            </w:pPr>
            <w:r w:rsidRPr="002D2711">
              <w:rPr>
                <w:rFonts w:ascii="Arial" w:hAnsi="Arial" w:cs="Arial"/>
                <w:b/>
                <w:sz w:val="16"/>
                <w:szCs w:val="16"/>
              </w:rPr>
              <w:t>Delivery</w:t>
            </w:r>
          </w:p>
        </w:tc>
        <w:tc>
          <w:tcPr>
            <w:tcW w:w="6237" w:type="dxa"/>
            <w:gridSpan w:val="2"/>
            <w:tcBorders>
              <w:bottom w:val="single" w:sz="4" w:space="0" w:color="auto"/>
            </w:tcBorders>
          </w:tcPr>
          <w:p w14:paraId="53B269B4" w14:textId="77777777" w:rsidR="00F03060" w:rsidRPr="002D2711" w:rsidRDefault="00F03060" w:rsidP="00772E69">
            <w:pPr>
              <w:pStyle w:val="TableTextLeft"/>
              <w:jc w:val="both"/>
              <w:rPr>
                <w:rFonts w:cs="Arial"/>
                <w:sz w:val="16"/>
                <w:szCs w:val="16"/>
              </w:rPr>
            </w:pPr>
            <w:r w:rsidRPr="002D2711">
              <w:rPr>
                <w:rFonts w:cs="Arial"/>
                <w:sz w:val="16"/>
                <w:szCs w:val="16"/>
              </w:rPr>
              <w:t>The ACCC achieves Outcome 1 by using its resources to undertake the following key activities to achieve its seven strategic objectives:</w:t>
            </w:r>
          </w:p>
          <w:p w14:paraId="7E8E0497" w14:textId="77777777" w:rsidR="00F03060" w:rsidRPr="002D2711" w:rsidRDefault="00F03060" w:rsidP="00772E69">
            <w:pPr>
              <w:pStyle w:val="TableTextLeft"/>
              <w:numPr>
                <w:ilvl w:val="0"/>
                <w:numId w:val="19"/>
              </w:numPr>
              <w:spacing w:before="160" w:after="0"/>
              <w:ind w:left="227"/>
              <w:jc w:val="both"/>
              <w:rPr>
                <w:rFonts w:cs="Arial"/>
                <w:sz w:val="16"/>
                <w:szCs w:val="16"/>
              </w:rPr>
            </w:pPr>
            <w:r w:rsidRPr="002D2711">
              <w:rPr>
                <w:rFonts w:cs="Arial"/>
                <w:sz w:val="16"/>
                <w:szCs w:val="16"/>
              </w:rPr>
              <w:t>Address anti-competitive conduct and promote competition</w:t>
            </w:r>
          </w:p>
          <w:p w14:paraId="29530BC5" w14:textId="77777777" w:rsidR="00F03060" w:rsidRPr="002D2711" w:rsidRDefault="00F03060" w:rsidP="00772E69">
            <w:pPr>
              <w:pStyle w:val="CommentText"/>
              <w:numPr>
                <w:ilvl w:val="0"/>
                <w:numId w:val="18"/>
              </w:numPr>
              <w:spacing w:before="80" w:after="0" w:line="240" w:lineRule="auto"/>
              <w:rPr>
                <w:rFonts w:ascii="Arial" w:hAnsi="Arial" w:cs="Arial"/>
                <w:sz w:val="16"/>
                <w:szCs w:val="16"/>
              </w:rPr>
            </w:pPr>
            <w:r>
              <w:rPr>
                <w:rFonts w:ascii="Arial" w:hAnsi="Arial" w:cs="Arial"/>
                <w:sz w:val="16"/>
                <w:szCs w:val="16"/>
                <w:lang w:val="en-AU"/>
              </w:rPr>
              <w:t>Initiate</w:t>
            </w:r>
            <w:r w:rsidRPr="002D2711">
              <w:rPr>
                <w:rFonts w:ascii="Arial" w:hAnsi="Arial" w:cs="Arial"/>
                <w:sz w:val="16"/>
                <w:szCs w:val="16"/>
                <w:lang w:val="en-AU"/>
              </w:rPr>
              <w:t xml:space="preserve"> </w:t>
            </w:r>
            <w:r w:rsidRPr="002D2711">
              <w:rPr>
                <w:rFonts w:ascii="Arial" w:hAnsi="Arial" w:cs="Arial"/>
                <w:sz w:val="16"/>
                <w:szCs w:val="16"/>
              </w:rPr>
              <w:t xml:space="preserve">compliance and enforcement </w:t>
            </w:r>
            <w:r w:rsidRPr="002D2711">
              <w:rPr>
                <w:rFonts w:ascii="Arial" w:hAnsi="Arial" w:cs="Arial"/>
                <w:sz w:val="16"/>
                <w:szCs w:val="16"/>
                <w:lang w:val="en-AU"/>
              </w:rPr>
              <w:t xml:space="preserve">actions </w:t>
            </w:r>
            <w:r w:rsidRPr="002D2711">
              <w:rPr>
                <w:rFonts w:ascii="Arial" w:hAnsi="Arial" w:cs="Arial"/>
                <w:sz w:val="16"/>
                <w:szCs w:val="16"/>
              </w:rPr>
              <w:t>to address harm to consumers and businesses resulting from anti-competitive conduct</w:t>
            </w:r>
          </w:p>
          <w:p w14:paraId="71F7423B" w14:textId="77777777" w:rsidR="00F03060" w:rsidRPr="002D2711" w:rsidRDefault="00F03060" w:rsidP="00772E69">
            <w:pPr>
              <w:pStyle w:val="CommentText"/>
              <w:numPr>
                <w:ilvl w:val="0"/>
                <w:numId w:val="18"/>
              </w:numPr>
              <w:spacing w:before="80" w:after="0" w:line="240" w:lineRule="auto"/>
              <w:rPr>
                <w:rFonts w:ascii="Arial" w:hAnsi="Arial" w:cs="Arial"/>
                <w:sz w:val="16"/>
                <w:szCs w:val="16"/>
              </w:rPr>
            </w:pPr>
            <w:r w:rsidRPr="002D2711">
              <w:rPr>
                <w:rFonts w:ascii="Arial" w:hAnsi="Arial" w:cs="Arial"/>
                <w:sz w:val="16"/>
                <w:szCs w:val="16"/>
              </w:rPr>
              <w:t xml:space="preserve">Make decisions on authorisation, notification and certification trademark applications in the public interest  </w:t>
            </w:r>
          </w:p>
          <w:p w14:paraId="35B4BE15" w14:textId="77777777" w:rsidR="00F03060" w:rsidRPr="002D2711" w:rsidRDefault="00F03060" w:rsidP="00772E69">
            <w:pPr>
              <w:pStyle w:val="CommentText"/>
              <w:numPr>
                <w:ilvl w:val="0"/>
                <w:numId w:val="18"/>
              </w:numPr>
              <w:spacing w:before="80" w:after="0" w:line="240" w:lineRule="auto"/>
              <w:rPr>
                <w:rFonts w:ascii="Arial" w:hAnsi="Arial" w:cs="Arial"/>
                <w:sz w:val="16"/>
                <w:szCs w:val="16"/>
              </w:rPr>
            </w:pPr>
            <w:r w:rsidRPr="002D2711">
              <w:rPr>
                <w:rFonts w:ascii="Arial" w:hAnsi="Arial" w:cs="Arial"/>
                <w:sz w:val="16"/>
                <w:szCs w:val="16"/>
              </w:rPr>
              <w:t xml:space="preserve">Undertake market studies and inquiries to </w:t>
            </w:r>
            <w:r>
              <w:rPr>
                <w:rFonts w:ascii="Arial" w:hAnsi="Arial" w:cs="Arial"/>
                <w:sz w:val="16"/>
                <w:szCs w:val="16"/>
                <w:lang w:val="en-AU"/>
              </w:rPr>
              <w:t>contribute to</w:t>
            </w:r>
            <w:r w:rsidRPr="002D2711">
              <w:rPr>
                <w:rFonts w:ascii="Arial" w:hAnsi="Arial" w:cs="Arial"/>
                <w:sz w:val="16"/>
                <w:szCs w:val="16"/>
                <w:lang w:val="en-AU"/>
              </w:rPr>
              <w:t xml:space="preserve"> </w:t>
            </w:r>
            <w:r w:rsidRPr="002D2711">
              <w:rPr>
                <w:rFonts w:ascii="Arial" w:hAnsi="Arial" w:cs="Arial"/>
                <w:sz w:val="16"/>
                <w:szCs w:val="16"/>
              </w:rPr>
              <w:t>improved market outcomes</w:t>
            </w:r>
          </w:p>
          <w:p w14:paraId="71ECEDCA" w14:textId="77777777" w:rsidR="00F03060" w:rsidRPr="002D2711" w:rsidRDefault="00F03060" w:rsidP="00772E69">
            <w:pPr>
              <w:pStyle w:val="TableTextLeft"/>
              <w:numPr>
                <w:ilvl w:val="0"/>
                <w:numId w:val="19"/>
              </w:numPr>
              <w:spacing w:before="160" w:after="0"/>
              <w:ind w:left="227"/>
              <w:jc w:val="both"/>
              <w:rPr>
                <w:rFonts w:cs="Arial"/>
                <w:sz w:val="16"/>
                <w:szCs w:val="16"/>
              </w:rPr>
            </w:pPr>
            <w:r w:rsidRPr="002D2711">
              <w:rPr>
                <w:rFonts w:cs="Arial"/>
                <w:sz w:val="16"/>
                <w:szCs w:val="16"/>
              </w:rPr>
              <w:t>Prevent anti-competitive mergers</w:t>
            </w:r>
          </w:p>
          <w:p w14:paraId="296B4722" w14:textId="77777777" w:rsidR="00F03060" w:rsidRPr="002D2711" w:rsidRDefault="00F03060" w:rsidP="00772E69">
            <w:pPr>
              <w:pStyle w:val="CommentText"/>
              <w:numPr>
                <w:ilvl w:val="0"/>
                <w:numId w:val="18"/>
              </w:numPr>
              <w:spacing w:before="80" w:after="0" w:line="240" w:lineRule="auto"/>
              <w:rPr>
                <w:rFonts w:ascii="Arial" w:hAnsi="Arial" w:cs="Arial"/>
                <w:sz w:val="16"/>
                <w:szCs w:val="16"/>
              </w:rPr>
            </w:pPr>
            <w:r w:rsidRPr="002D2711">
              <w:rPr>
                <w:rFonts w:ascii="Arial" w:hAnsi="Arial" w:cs="Arial"/>
                <w:sz w:val="16"/>
                <w:szCs w:val="16"/>
              </w:rPr>
              <w:t xml:space="preserve">Assess mergers to prevent changes </w:t>
            </w:r>
            <w:r w:rsidRPr="002D2711">
              <w:rPr>
                <w:rFonts w:ascii="Arial" w:hAnsi="Arial" w:cs="Arial"/>
                <w:sz w:val="16"/>
                <w:szCs w:val="16"/>
                <w:lang w:val="en-AU"/>
              </w:rPr>
              <w:t xml:space="preserve">in market structures </w:t>
            </w:r>
            <w:r w:rsidRPr="002D2711">
              <w:rPr>
                <w:rFonts w:ascii="Arial" w:hAnsi="Arial" w:cs="Arial"/>
                <w:sz w:val="16"/>
                <w:szCs w:val="16"/>
              </w:rPr>
              <w:t>that substantially lessen competition</w:t>
            </w:r>
          </w:p>
          <w:p w14:paraId="1394BACC" w14:textId="77777777" w:rsidR="00F03060" w:rsidRPr="002D2711" w:rsidRDefault="00F03060" w:rsidP="00772E69">
            <w:pPr>
              <w:pStyle w:val="TableTextLeft"/>
              <w:numPr>
                <w:ilvl w:val="0"/>
                <w:numId w:val="19"/>
              </w:numPr>
              <w:spacing w:before="160" w:after="0"/>
              <w:ind w:left="227"/>
              <w:jc w:val="both"/>
              <w:rPr>
                <w:rFonts w:cs="Arial"/>
                <w:sz w:val="16"/>
                <w:szCs w:val="16"/>
              </w:rPr>
            </w:pPr>
            <w:r w:rsidRPr="002D2711">
              <w:rPr>
                <w:rFonts w:cs="Arial"/>
                <w:sz w:val="16"/>
                <w:szCs w:val="16"/>
              </w:rPr>
              <w:t>Improve market outcomes by reducing information asymmetries</w:t>
            </w:r>
          </w:p>
          <w:p w14:paraId="4BCED69C" w14:textId="77777777" w:rsidR="00F03060" w:rsidRPr="002D2711" w:rsidRDefault="00F03060" w:rsidP="00772E69">
            <w:pPr>
              <w:pStyle w:val="CommentText"/>
              <w:numPr>
                <w:ilvl w:val="0"/>
                <w:numId w:val="18"/>
              </w:numPr>
              <w:spacing w:before="80" w:after="0" w:line="240" w:lineRule="auto"/>
              <w:rPr>
                <w:rFonts w:ascii="Arial" w:hAnsi="Arial" w:cs="Arial"/>
                <w:sz w:val="16"/>
                <w:szCs w:val="16"/>
              </w:rPr>
            </w:pPr>
            <w:r>
              <w:rPr>
                <w:rFonts w:ascii="Arial" w:hAnsi="Arial" w:cs="Arial"/>
                <w:sz w:val="16"/>
                <w:szCs w:val="16"/>
                <w:lang w:val="en-AU"/>
              </w:rPr>
              <w:t>F</w:t>
            </w:r>
            <w:r w:rsidRPr="002D2711">
              <w:rPr>
                <w:rFonts w:ascii="Arial" w:hAnsi="Arial" w:cs="Arial"/>
                <w:sz w:val="16"/>
                <w:szCs w:val="16"/>
                <w:lang w:val="en-AU"/>
              </w:rPr>
              <w:t xml:space="preserve">acilitate </w:t>
            </w:r>
            <w:r w:rsidRPr="002D2711">
              <w:rPr>
                <w:rFonts w:ascii="Arial" w:hAnsi="Arial" w:cs="Arial"/>
                <w:sz w:val="16"/>
                <w:szCs w:val="16"/>
              </w:rPr>
              <w:t>the enabling technology solutions for the Consumer Data Right, and support participants</w:t>
            </w:r>
            <w:r w:rsidRPr="002D2711">
              <w:rPr>
                <w:rFonts w:ascii="Arial" w:hAnsi="Arial" w:cs="Arial"/>
                <w:sz w:val="16"/>
                <w:szCs w:val="16"/>
                <w:lang w:val="en-AU"/>
              </w:rPr>
              <w:t>.</w:t>
            </w:r>
            <w:r w:rsidRPr="002D2711">
              <w:rPr>
                <w:rFonts w:ascii="Arial" w:hAnsi="Arial" w:cs="Arial"/>
                <w:sz w:val="16"/>
                <w:szCs w:val="16"/>
              </w:rPr>
              <w:t xml:space="preserve"> including testing and on-boarding</w:t>
            </w:r>
          </w:p>
          <w:p w14:paraId="590C08D8" w14:textId="77777777" w:rsidR="00F03060" w:rsidRPr="002D2711" w:rsidRDefault="00F03060" w:rsidP="00772E69">
            <w:pPr>
              <w:pStyle w:val="CommentText"/>
              <w:numPr>
                <w:ilvl w:val="0"/>
                <w:numId w:val="18"/>
              </w:numPr>
              <w:spacing w:before="80" w:after="0" w:line="240" w:lineRule="auto"/>
              <w:rPr>
                <w:rFonts w:ascii="Arial" w:hAnsi="Arial" w:cs="Arial"/>
                <w:sz w:val="16"/>
                <w:szCs w:val="16"/>
              </w:rPr>
            </w:pPr>
            <w:r w:rsidRPr="002D2711">
              <w:rPr>
                <w:rFonts w:ascii="Arial" w:hAnsi="Arial" w:cs="Arial"/>
                <w:sz w:val="16"/>
                <w:szCs w:val="16"/>
              </w:rPr>
              <w:t>Accredit Consumer Data Right data recipients</w:t>
            </w:r>
          </w:p>
          <w:p w14:paraId="3DBC2F12" w14:textId="77777777" w:rsidR="00F03060" w:rsidRPr="002D2711" w:rsidRDefault="00F03060" w:rsidP="00772E69">
            <w:pPr>
              <w:pStyle w:val="CommentText"/>
              <w:numPr>
                <w:ilvl w:val="0"/>
                <w:numId w:val="18"/>
              </w:numPr>
              <w:spacing w:before="80" w:after="0" w:line="240" w:lineRule="auto"/>
              <w:rPr>
                <w:rFonts w:ascii="Arial" w:hAnsi="Arial" w:cs="Arial"/>
                <w:sz w:val="16"/>
                <w:szCs w:val="16"/>
              </w:rPr>
            </w:pPr>
            <w:r w:rsidRPr="002D2711">
              <w:rPr>
                <w:rFonts w:ascii="Arial" w:hAnsi="Arial" w:cs="Arial"/>
                <w:sz w:val="16"/>
                <w:szCs w:val="16"/>
              </w:rPr>
              <w:t>Promote compliance with and enforce the Consumer Data Right rules and standards</w:t>
            </w:r>
          </w:p>
          <w:p w14:paraId="77668EE4" w14:textId="77777777" w:rsidR="00F03060" w:rsidRPr="002D2711" w:rsidRDefault="00F03060" w:rsidP="00772E69">
            <w:pPr>
              <w:pStyle w:val="TableTextLeft"/>
              <w:numPr>
                <w:ilvl w:val="0"/>
                <w:numId w:val="19"/>
              </w:numPr>
              <w:spacing w:before="160" w:after="0"/>
              <w:ind w:left="227"/>
              <w:jc w:val="both"/>
              <w:rPr>
                <w:rFonts w:cs="Arial"/>
                <w:sz w:val="16"/>
                <w:szCs w:val="16"/>
              </w:rPr>
            </w:pPr>
            <w:r w:rsidRPr="002D2711">
              <w:rPr>
                <w:rFonts w:cs="Arial"/>
                <w:sz w:val="16"/>
                <w:szCs w:val="16"/>
              </w:rPr>
              <w:t>Protect consumers and businesses from misleading and deceptive conduct and promote fair trading</w:t>
            </w:r>
          </w:p>
          <w:p w14:paraId="3484BA5D" w14:textId="77777777" w:rsidR="00F03060" w:rsidRPr="002D2711" w:rsidRDefault="00F03060" w:rsidP="00772E69">
            <w:pPr>
              <w:pStyle w:val="CommentText"/>
              <w:numPr>
                <w:ilvl w:val="0"/>
                <w:numId w:val="18"/>
              </w:numPr>
              <w:spacing w:before="80" w:after="0" w:line="240" w:lineRule="auto"/>
              <w:rPr>
                <w:rFonts w:ascii="Arial" w:hAnsi="Arial" w:cs="Arial"/>
                <w:sz w:val="16"/>
                <w:szCs w:val="16"/>
              </w:rPr>
            </w:pPr>
            <w:r>
              <w:rPr>
                <w:rFonts w:ascii="Arial" w:hAnsi="Arial" w:cs="Arial"/>
                <w:sz w:val="16"/>
                <w:szCs w:val="16"/>
                <w:lang w:val="en-AU"/>
              </w:rPr>
              <w:t>Initiate</w:t>
            </w:r>
            <w:r w:rsidRPr="002D2711">
              <w:rPr>
                <w:rFonts w:ascii="Arial" w:hAnsi="Arial" w:cs="Arial"/>
                <w:sz w:val="16"/>
                <w:szCs w:val="16"/>
                <w:lang w:val="en-AU"/>
              </w:rPr>
              <w:t xml:space="preserve"> </w:t>
            </w:r>
            <w:r w:rsidRPr="002D2711">
              <w:rPr>
                <w:rFonts w:ascii="Arial" w:hAnsi="Arial" w:cs="Arial"/>
                <w:sz w:val="16"/>
                <w:szCs w:val="16"/>
              </w:rPr>
              <w:t xml:space="preserve">compliance and enforcement </w:t>
            </w:r>
            <w:r w:rsidRPr="002D2711">
              <w:rPr>
                <w:rFonts w:ascii="Arial" w:hAnsi="Arial" w:cs="Arial"/>
                <w:sz w:val="16"/>
                <w:szCs w:val="16"/>
                <w:lang w:val="en-AU"/>
              </w:rPr>
              <w:t xml:space="preserve">actions </w:t>
            </w:r>
            <w:r w:rsidRPr="002D2711">
              <w:rPr>
                <w:rFonts w:ascii="Arial" w:hAnsi="Arial" w:cs="Arial"/>
                <w:sz w:val="16"/>
                <w:szCs w:val="16"/>
              </w:rPr>
              <w:t>to address</w:t>
            </w:r>
            <w:r w:rsidRPr="002D2711">
              <w:rPr>
                <w:rFonts w:ascii="Arial" w:hAnsi="Arial" w:cs="Arial"/>
                <w:sz w:val="16"/>
                <w:szCs w:val="16"/>
                <w:lang w:val="en-AU"/>
              </w:rPr>
              <w:t xml:space="preserve"> </w:t>
            </w:r>
            <w:r w:rsidRPr="002D2711">
              <w:rPr>
                <w:rFonts w:ascii="Arial" w:hAnsi="Arial" w:cs="Arial"/>
                <w:sz w:val="16"/>
                <w:szCs w:val="16"/>
              </w:rPr>
              <w:t>harm to consumers and small businesses resulting from non-compliance with the Australian Consumer Law and Industry Codes</w:t>
            </w:r>
          </w:p>
          <w:p w14:paraId="62EE4D3C" w14:textId="77777777" w:rsidR="00F03060" w:rsidRPr="002D2711" w:rsidRDefault="00F03060" w:rsidP="00772E69">
            <w:pPr>
              <w:pStyle w:val="CommentText"/>
              <w:numPr>
                <w:ilvl w:val="0"/>
                <w:numId w:val="18"/>
              </w:numPr>
              <w:spacing w:before="80" w:after="0" w:line="240" w:lineRule="auto"/>
              <w:rPr>
                <w:rFonts w:ascii="Arial" w:hAnsi="Arial" w:cs="Arial"/>
                <w:sz w:val="16"/>
                <w:szCs w:val="16"/>
              </w:rPr>
            </w:pPr>
            <w:r w:rsidRPr="002D2711">
              <w:rPr>
                <w:rFonts w:ascii="Arial" w:hAnsi="Arial" w:cs="Arial"/>
                <w:sz w:val="16"/>
                <w:szCs w:val="16"/>
              </w:rPr>
              <w:t>Empower small businesses by increasing awareness of their rights under the Australian Consumer Law and Industry Codes</w:t>
            </w:r>
          </w:p>
          <w:p w14:paraId="6B15F3A0" w14:textId="77777777" w:rsidR="00F03060" w:rsidRPr="002D2711" w:rsidRDefault="00F03060" w:rsidP="00772E69">
            <w:pPr>
              <w:pStyle w:val="CommentText"/>
              <w:numPr>
                <w:ilvl w:val="0"/>
                <w:numId w:val="18"/>
              </w:numPr>
              <w:spacing w:before="80" w:after="0" w:line="240" w:lineRule="auto"/>
              <w:rPr>
                <w:rFonts w:ascii="Arial" w:hAnsi="Arial" w:cs="Arial"/>
                <w:sz w:val="16"/>
                <w:szCs w:val="16"/>
              </w:rPr>
            </w:pPr>
            <w:r w:rsidRPr="002D2711">
              <w:rPr>
                <w:rFonts w:ascii="Arial" w:hAnsi="Arial" w:cs="Arial"/>
                <w:sz w:val="16"/>
                <w:szCs w:val="16"/>
              </w:rPr>
              <w:t>Empower consumers by increasing awareness of their rights under the Australian Consumer Law</w:t>
            </w:r>
          </w:p>
          <w:p w14:paraId="4430327E" w14:textId="77777777" w:rsidR="00F03060" w:rsidRPr="002D2711" w:rsidRDefault="00F03060" w:rsidP="00772E69">
            <w:pPr>
              <w:pStyle w:val="TableTextLeft"/>
              <w:numPr>
                <w:ilvl w:val="0"/>
                <w:numId w:val="19"/>
              </w:numPr>
              <w:spacing w:before="160" w:after="0"/>
              <w:ind w:left="227"/>
              <w:jc w:val="both"/>
              <w:rPr>
                <w:rFonts w:cs="Arial"/>
                <w:sz w:val="16"/>
                <w:szCs w:val="16"/>
              </w:rPr>
            </w:pPr>
            <w:r w:rsidRPr="002D2711">
              <w:rPr>
                <w:rFonts w:cs="Arial"/>
                <w:sz w:val="16"/>
                <w:szCs w:val="16"/>
              </w:rPr>
              <w:t>Protect consumers from unsafe products</w:t>
            </w:r>
          </w:p>
          <w:p w14:paraId="080DDEDF" w14:textId="77777777" w:rsidR="00F03060" w:rsidRPr="002D2711" w:rsidRDefault="00F03060" w:rsidP="00772E69">
            <w:pPr>
              <w:pStyle w:val="CommentText"/>
              <w:numPr>
                <w:ilvl w:val="0"/>
                <w:numId w:val="18"/>
              </w:numPr>
              <w:spacing w:before="80" w:after="0" w:line="240" w:lineRule="auto"/>
              <w:rPr>
                <w:rFonts w:ascii="Arial" w:hAnsi="Arial" w:cs="Arial"/>
                <w:sz w:val="16"/>
                <w:szCs w:val="16"/>
              </w:rPr>
            </w:pPr>
            <w:r w:rsidRPr="002D2711">
              <w:rPr>
                <w:rFonts w:ascii="Arial" w:hAnsi="Arial" w:cs="Arial"/>
                <w:sz w:val="16"/>
                <w:szCs w:val="16"/>
              </w:rPr>
              <w:t>Identify safety hazards in consumer products and prioritise the risks that may result in serious injury and death</w:t>
            </w:r>
          </w:p>
          <w:p w14:paraId="172BD559" w14:textId="77777777" w:rsidR="00F03060" w:rsidRPr="002D2711" w:rsidRDefault="00F03060" w:rsidP="00772E69">
            <w:pPr>
              <w:pStyle w:val="CommentText"/>
              <w:numPr>
                <w:ilvl w:val="0"/>
                <w:numId w:val="18"/>
              </w:numPr>
              <w:spacing w:before="80" w:after="0" w:line="240" w:lineRule="auto"/>
              <w:rPr>
                <w:rFonts w:ascii="Arial" w:hAnsi="Arial" w:cs="Arial"/>
                <w:sz w:val="16"/>
                <w:szCs w:val="16"/>
              </w:rPr>
            </w:pPr>
            <w:r w:rsidRPr="002D2711">
              <w:rPr>
                <w:rFonts w:ascii="Arial" w:hAnsi="Arial" w:cs="Arial"/>
                <w:sz w:val="16"/>
                <w:szCs w:val="16"/>
              </w:rPr>
              <w:t>Address the highest priority risks of serious injury and death arising from safety hazards in consumer products through regulation, education, compliance and enforcement</w:t>
            </w:r>
            <w:r w:rsidRPr="002D2711">
              <w:rPr>
                <w:rFonts w:ascii="Arial" w:hAnsi="Arial" w:cs="Arial"/>
                <w:sz w:val="16"/>
                <w:szCs w:val="16"/>
                <w:lang w:val="en-AU"/>
              </w:rPr>
              <w:t xml:space="preserve"> actions</w:t>
            </w:r>
          </w:p>
          <w:p w14:paraId="07A483FD" w14:textId="77777777" w:rsidR="00F03060" w:rsidRPr="002D2711" w:rsidRDefault="00F03060" w:rsidP="00772E69">
            <w:pPr>
              <w:pStyle w:val="TableTextLeft"/>
              <w:numPr>
                <w:ilvl w:val="0"/>
                <w:numId w:val="19"/>
              </w:numPr>
              <w:spacing w:before="160" w:after="0"/>
              <w:ind w:left="227"/>
              <w:jc w:val="both"/>
              <w:rPr>
                <w:rFonts w:cs="Arial"/>
                <w:sz w:val="16"/>
                <w:szCs w:val="16"/>
              </w:rPr>
            </w:pPr>
            <w:r w:rsidRPr="002D2711">
              <w:rPr>
                <w:rFonts w:cs="Arial"/>
                <w:sz w:val="16"/>
                <w:szCs w:val="16"/>
              </w:rPr>
              <w:lastRenderedPageBreak/>
              <w:t>Regulate monopoly infrastructure and monitor concentrated markets in the long term interests of consumers</w:t>
            </w:r>
          </w:p>
          <w:p w14:paraId="4D682D6B" w14:textId="77777777" w:rsidR="00F03060" w:rsidRPr="002D2711" w:rsidRDefault="00F03060" w:rsidP="00772E69">
            <w:pPr>
              <w:pStyle w:val="CommentText"/>
              <w:numPr>
                <w:ilvl w:val="0"/>
                <w:numId w:val="18"/>
              </w:numPr>
              <w:spacing w:before="80" w:after="0" w:line="240" w:lineRule="auto"/>
              <w:rPr>
                <w:rFonts w:ascii="Arial" w:hAnsi="Arial" w:cs="Arial"/>
                <w:sz w:val="16"/>
                <w:szCs w:val="16"/>
              </w:rPr>
            </w:pPr>
            <w:r w:rsidRPr="002D2711">
              <w:rPr>
                <w:rFonts w:ascii="Arial" w:hAnsi="Arial" w:cs="Arial"/>
                <w:sz w:val="16"/>
                <w:szCs w:val="16"/>
                <w:lang w:val="en-AU"/>
              </w:rPr>
              <w:t xml:space="preserve">Formulate </w:t>
            </w:r>
            <w:r w:rsidRPr="002D2711">
              <w:rPr>
                <w:rFonts w:ascii="Arial" w:hAnsi="Arial" w:cs="Arial"/>
                <w:sz w:val="16"/>
                <w:szCs w:val="16"/>
              </w:rPr>
              <w:t xml:space="preserve">regulatory </w:t>
            </w:r>
            <w:r w:rsidRPr="002D2711">
              <w:rPr>
                <w:rFonts w:ascii="Arial" w:hAnsi="Arial" w:cs="Arial"/>
                <w:sz w:val="16"/>
                <w:szCs w:val="16"/>
                <w:lang w:val="en-AU"/>
              </w:rPr>
              <w:t xml:space="preserve">decisions </w:t>
            </w:r>
            <w:r w:rsidRPr="002D2711">
              <w:rPr>
                <w:rFonts w:ascii="Arial" w:hAnsi="Arial" w:cs="Arial"/>
                <w:sz w:val="16"/>
                <w:szCs w:val="16"/>
              </w:rPr>
              <w:t>that promote the long-term interests of end-users and consumers</w:t>
            </w:r>
          </w:p>
          <w:p w14:paraId="30A337AA" w14:textId="77777777" w:rsidR="00F03060" w:rsidRPr="002D2711" w:rsidRDefault="00F03060" w:rsidP="00772E69">
            <w:pPr>
              <w:pStyle w:val="CommentText"/>
              <w:numPr>
                <w:ilvl w:val="0"/>
                <w:numId w:val="18"/>
              </w:numPr>
              <w:spacing w:before="80" w:after="0" w:line="240" w:lineRule="auto"/>
              <w:rPr>
                <w:rFonts w:ascii="Arial" w:hAnsi="Arial" w:cs="Arial"/>
                <w:sz w:val="16"/>
                <w:szCs w:val="16"/>
              </w:rPr>
            </w:pPr>
            <w:r w:rsidRPr="002D2711">
              <w:rPr>
                <w:rFonts w:ascii="Arial" w:hAnsi="Arial" w:cs="Arial"/>
                <w:sz w:val="16"/>
                <w:szCs w:val="16"/>
              </w:rPr>
              <w:t>Provide industry monitoring reports to government in relation to highly concentrated or emerging markets</w:t>
            </w:r>
          </w:p>
          <w:p w14:paraId="009B4DC7" w14:textId="77777777" w:rsidR="00F03060" w:rsidRPr="002D2711" w:rsidRDefault="00F03060" w:rsidP="00772E69">
            <w:pPr>
              <w:pStyle w:val="CommentText"/>
              <w:numPr>
                <w:ilvl w:val="0"/>
                <w:numId w:val="18"/>
              </w:numPr>
              <w:spacing w:before="80" w:after="0" w:line="240" w:lineRule="auto"/>
              <w:rPr>
                <w:rFonts w:ascii="Arial" w:hAnsi="Arial" w:cs="Arial"/>
                <w:sz w:val="16"/>
                <w:szCs w:val="16"/>
              </w:rPr>
            </w:pPr>
            <w:r w:rsidRPr="002D2711">
              <w:rPr>
                <w:rFonts w:ascii="Arial" w:hAnsi="Arial" w:cs="Arial"/>
                <w:sz w:val="16"/>
                <w:szCs w:val="16"/>
              </w:rPr>
              <w:t>Improve the efficient operation of markets by enforcing industry</w:t>
            </w:r>
            <w:r w:rsidRPr="002D2711">
              <w:rPr>
                <w:rFonts w:ascii="Arial" w:hAnsi="Arial" w:cs="Arial"/>
                <w:sz w:val="16"/>
                <w:szCs w:val="16"/>
              </w:rPr>
              <w:noBreakHyphen/>
              <w:t>specific competition and market rules</w:t>
            </w:r>
          </w:p>
          <w:p w14:paraId="610376AD" w14:textId="77777777" w:rsidR="00F03060" w:rsidRPr="002D2711" w:rsidRDefault="00F03060" w:rsidP="00772E69">
            <w:pPr>
              <w:pStyle w:val="TableTextLeft"/>
              <w:numPr>
                <w:ilvl w:val="0"/>
                <w:numId w:val="19"/>
              </w:numPr>
              <w:spacing w:before="160" w:after="0"/>
              <w:ind w:left="227"/>
              <w:jc w:val="both"/>
              <w:rPr>
                <w:rFonts w:cs="Arial"/>
                <w:sz w:val="16"/>
                <w:szCs w:val="16"/>
              </w:rPr>
            </w:pPr>
            <w:r w:rsidRPr="002D2711">
              <w:rPr>
                <w:rFonts w:cs="Arial"/>
                <w:sz w:val="16"/>
                <w:szCs w:val="16"/>
              </w:rPr>
              <w:t>Improve our own systems, capabilities and ways of working</w:t>
            </w:r>
          </w:p>
          <w:p w14:paraId="5CECAB35" w14:textId="77777777" w:rsidR="00F03060" w:rsidRPr="002D2711" w:rsidRDefault="00F03060" w:rsidP="00772E69">
            <w:pPr>
              <w:pStyle w:val="CommentText"/>
              <w:numPr>
                <w:ilvl w:val="0"/>
                <w:numId w:val="18"/>
              </w:numPr>
              <w:spacing w:before="80" w:after="0" w:line="240" w:lineRule="auto"/>
              <w:rPr>
                <w:rFonts w:ascii="Arial" w:hAnsi="Arial" w:cs="Arial"/>
                <w:sz w:val="16"/>
                <w:szCs w:val="16"/>
              </w:rPr>
            </w:pPr>
            <w:r w:rsidRPr="002D2711">
              <w:rPr>
                <w:rFonts w:ascii="Arial" w:hAnsi="Arial" w:cs="Arial"/>
                <w:sz w:val="16"/>
                <w:szCs w:val="16"/>
              </w:rPr>
              <w:t>Support our people to develop and meet their full potential; and facilitate a diverse, respectful and inclusive culture</w:t>
            </w:r>
          </w:p>
          <w:p w14:paraId="7E70E5D2" w14:textId="77777777" w:rsidR="00F03060" w:rsidRPr="002D2711" w:rsidRDefault="00F03060" w:rsidP="00772E69">
            <w:pPr>
              <w:pStyle w:val="CommentText"/>
              <w:numPr>
                <w:ilvl w:val="0"/>
                <w:numId w:val="18"/>
              </w:numPr>
              <w:spacing w:before="80" w:after="0" w:line="240" w:lineRule="auto"/>
              <w:rPr>
                <w:rFonts w:ascii="Arial" w:hAnsi="Arial" w:cs="Arial"/>
                <w:sz w:val="16"/>
                <w:szCs w:val="16"/>
              </w:rPr>
            </w:pPr>
            <w:r w:rsidRPr="002D2711">
              <w:rPr>
                <w:rFonts w:ascii="Arial" w:hAnsi="Arial" w:cs="Arial"/>
                <w:sz w:val="16"/>
                <w:szCs w:val="16"/>
              </w:rPr>
              <w:t xml:space="preserve">Modernise our ICT and improve the reliability, flexibility and security of our business </w:t>
            </w:r>
            <w:r w:rsidRPr="002D2711">
              <w:rPr>
                <w:rFonts w:ascii="Arial" w:hAnsi="Arial" w:cs="Arial"/>
                <w:sz w:val="16"/>
                <w:szCs w:val="16"/>
                <w:lang w:val="en-AU"/>
              </w:rPr>
              <w:t xml:space="preserve">and data </w:t>
            </w:r>
            <w:r w:rsidRPr="002D2711">
              <w:rPr>
                <w:rFonts w:ascii="Arial" w:hAnsi="Arial" w:cs="Arial"/>
                <w:sz w:val="16"/>
                <w:szCs w:val="16"/>
              </w:rPr>
              <w:t>systems</w:t>
            </w:r>
          </w:p>
          <w:p w14:paraId="4C2D93C3" w14:textId="77777777" w:rsidR="00F03060" w:rsidRPr="002D2711" w:rsidRDefault="00F03060" w:rsidP="00772E69">
            <w:pPr>
              <w:pStyle w:val="CommentText"/>
              <w:numPr>
                <w:ilvl w:val="0"/>
                <w:numId w:val="18"/>
              </w:numPr>
              <w:spacing w:before="80" w:after="0" w:line="240" w:lineRule="auto"/>
              <w:rPr>
                <w:rFonts w:ascii="Arial" w:hAnsi="Arial" w:cs="Arial"/>
                <w:sz w:val="16"/>
                <w:szCs w:val="16"/>
              </w:rPr>
            </w:pPr>
            <w:r w:rsidRPr="002D2711">
              <w:rPr>
                <w:rFonts w:ascii="Arial" w:hAnsi="Arial" w:cs="Arial"/>
                <w:sz w:val="16"/>
                <w:szCs w:val="16"/>
              </w:rPr>
              <w:t xml:space="preserve">Adapt our ways of working to allow resources to be used flexibly to meet changing priorities and to adopt innovative practises commensurate with the level of risk    </w:t>
            </w:r>
          </w:p>
          <w:p w14:paraId="0B8A7E07" w14:textId="77777777" w:rsidR="00F03060" w:rsidRPr="002D2711" w:rsidRDefault="00F03060" w:rsidP="00772E69">
            <w:pPr>
              <w:pStyle w:val="CommentText"/>
              <w:numPr>
                <w:ilvl w:val="0"/>
                <w:numId w:val="18"/>
              </w:numPr>
              <w:spacing w:before="80" w:after="0" w:line="240" w:lineRule="auto"/>
              <w:rPr>
                <w:rFonts w:ascii="Arial" w:hAnsi="Arial" w:cs="Arial"/>
                <w:sz w:val="16"/>
                <w:szCs w:val="16"/>
              </w:rPr>
            </w:pPr>
            <w:r>
              <w:rPr>
                <w:rFonts w:ascii="Arial" w:hAnsi="Arial" w:cs="Arial"/>
                <w:sz w:val="16"/>
                <w:szCs w:val="16"/>
                <w:lang w:val="en-AU"/>
              </w:rPr>
              <w:t>Further d</w:t>
            </w:r>
            <w:r w:rsidRPr="002D2711">
              <w:rPr>
                <w:rFonts w:ascii="Arial" w:hAnsi="Arial" w:cs="Arial"/>
                <w:sz w:val="16"/>
                <w:szCs w:val="16"/>
                <w:lang w:val="en-AU"/>
              </w:rPr>
              <w:t>evelop our standing as a world-class</w:t>
            </w:r>
            <w:r w:rsidRPr="002D2711">
              <w:rPr>
                <w:rFonts w:ascii="Arial" w:hAnsi="Arial" w:cs="Arial"/>
                <w:sz w:val="16"/>
                <w:szCs w:val="16"/>
              </w:rPr>
              <w:t xml:space="preserve"> independent regulator through external engagement and internal collaboration to support robust </w:t>
            </w:r>
            <w:r w:rsidRPr="002D2711">
              <w:rPr>
                <w:rFonts w:ascii="Arial" w:hAnsi="Arial" w:cs="Arial"/>
                <w:sz w:val="16"/>
                <w:szCs w:val="16"/>
                <w:lang w:val="en-AU"/>
              </w:rPr>
              <w:t xml:space="preserve">and transparent </w:t>
            </w:r>
            <w:r w:rsidRPr="002D2711">
              <w:rPr>
                <w:rFonts w:ascii="Arial" w:hAnsi="Arial" w:cs="Arial"/>
                <w:sz w:val="16"/>
                <w:szCs w:val="16"/>
              </w:rPr>
              <w:t xml:space="preserve">decision making that is responsive to complex challenges and demands  </w:t>
            </w:r>
          </w:p>
          <w:p w14:paraId="5B119261" w14:textId="77777777" w:rsidR="00F03060" w:rsidRPr="002D2711" w:rsidRDefault="00F03060" w:rsidP="00772E69">
            <w:pPr>
              <w:pStyle w:val="CommentText"/>
              <w:spacing w:before="80" w:after="0" w:line="240" w:lineRule="auto"/>
              <w:ind w:left="340"/>
              <w:rPr>
                <w:rFonts w:ascii="Arial" w:hAnsi="Arial" w:cs="Arial"/>
                <w:sz w:val="16"/>
                <w:szCs w:val="16"/>
                <w:highlight w:val="yellow"/>
              </w:rPr>
            </w:pPr>
          </w:p>
        </w:tc>
      </w:tr>
      <w:tr w:rsidR="00F03060" w:rsidRPr="00BD1B30" w14:paraId="20877328" w14:textId="77777777" w:rsidTr="00F03060">
        <w:trPr>
          <w:trHeight w:val="309"/>
        </w:trPr>
        <w:tc>
          <w:tcPr>
            <w:tcW w:w="7655" w:type="dxa"/>
            <w:gridSpan w:val="3"/>
            <w:tcBorders>
              <w:top w:val="double" w:sz="4" w:space="0" w:color="auto"/>
              <w:bottom w:val="double" w:sz="4" w:space="0" w:color="auto"/>
            </w:tcBorders>
            <w:shd w:val="clear" w:color="auto" w:fill="FFFFFF"/>
          </w:tcPr>
          <w:p w14:paraId="70A5B7C2" w14:textId="77777777" w:rsidR="00F03060" w:rsidRPr="00BD1B30" w:rsidRDefault="00F03060" w:rsidP="00F03060">
            <w:pPr>
              <w:tabs>
                <w:tab w:val="left" w:pos="709"/>
              </w:tabs>
              <w:spacing w:before="60" w:after="60" w:line="240" w:lineRule="auto"/>
              <w:jc w:val="left"/>
              <w:rPr>
                <w:rFonts w:ascii="Arial" w:hAnsi="Arial" w:cs="Arial"/>
                <w:b/>
                <w:sz w:val="16"/>
                <w:szCs w:val="16"/>
              </w:rPr>
            </w:pPr>
            <w:r w:rsidRPr="00BD1B30">
              <w:rPr>
                <w:rFonts w:ascii="Arial" w:hAnsi="Arial" w:cs="Arial"/>
                <w:b/>
                <w:sz w:val="16"/>
                <w:szCs w:val="16"/>
              </w:rPr>
              <w:lastRenderedPageBreak/>
              <w:br w:type="page"/>
              <w:t>Performance information</w:t>
            </w:r>
          </w:p>
        </w:tc>
      </w:tr>
      <w:tr w:rsidR="00F03060" w:rsidRPr="00BE49A4" w14:paraId="6EA27B54" w14:textId="77777777" w:rsidTr="00F03060">
        <w:trPr>
          <w:trHeight w:val="670"/>
        </w:trPr>
        <w:tc>
          <w:tcPr>
            <w:tcW w:w="1418" w:type="dxa"/>
            <w:tcBorders>
              <w:top w:val="double" w:sz="4" w:space="0" w:color="auto"/>
              <w:bottom w:val="single" w:sz="4" w:space="0" w:color="auto"/>
              <w:right w:val="single" w:sz="4" w:space="0" w:color="auto"/>
            </w:tcBorders>
            <w:shd w:val="clear" w:color="auto" w:fill="FFFFFF"/>
          </w:tcPr>
          <w:p w14:paraId="07598BBE" w14:textId="77777777" w:rsidR="00F03060" w:rsidRPr="00AF63F4" w:rsidRDefault="00F03060" w:rsidP="00F03060">
            <w:pPr>
              <w:pStyle w:val="TableColumnHeadingLeft"/>
              <w:rPr>
                <w:rFonts w:cs="Arial"/>
                <w:sz w:val="16"/>
                <w:szCs w:val="16"/>
              </w:rPr>
            </w:pPr>
            <w:r w:rsidRPr="00663FD0">
              <w:rPr>
                <w:rFonts w:cs="Arial"/>
                <w:sz w:val="16"/>
                <w:szCs w:val="16"/>
              </w:rPr>
              <w:t>Year</w:t>
            </w:r>
          </w:p>
        </w:tc>
        <w:tc>
          <w:tcPr>
            <w:tcW w:w="4819" w:type="dxa"/>
            <w:tcBorders>
              <w:top w:val="double" w:sz="4" w:space="0" w:color="auto"/>
              <w:left w:val="single" w:sz="4" w:space="0" w:color="auto"/>
              <w:bottom w:val="single" w:sz="4" w:space="0" w:color="auto"/>
              <w:right w:val="single" w:sz="4" w:space="0" w:color="auto"/>
            </w:tcBorders>
            <w:shd w:val="clear" w:color="auto" w:fill="FFFFFF"/>
          </w:tcPr>
          <w:p w14:paraId="1152B312" w14:textId="77777777" w:rsidR="00F03060" w:rsidRPr="00AF63F4" w:rsidRDefault="00F03060" w:rsidP="00F03060">
            <w:pPr>
              <w:pStyle w:val="TableColumnHeadingLeft"/>
              <w:rPr>
                <w:rFonts w:cs="Arial"/>
                <w:sz w:val="16"/>
                <w:szCs w:val="16"/>
              </w:rPr>
            </w:pPr>
            <w:r w:rsidRPr="00663FD0">
              <w:rPr>
                <w:rFonts w:cs="Arial"/>
                <w:sz w:val="16"/>
                <w:szCs w:val="16"/>
              </w:rPr>
              <w:t>Performance criteria</w:t>
            </w:r>
            <w:r>
              <w:rPr>
                <w:rFonts w:cs="Arial"/>
                <w:sz w:val="16"/>
                <w:szCs w:val="16"/>
              </w:rPr>
              <w:t xml:space="preserve"> </w:t>
            </w:r>
            <w:r w:rsidRPr="002B743C">
              <w:rPr>
                <w:rFonts w:cs="Arial"/>
                <w:b w:val="0"/>
                <w:sz w:val="16"/>
                <w:szCs w:val="16"/>
                <w:vertAlign w:val="superscript"/>
              </w:rPr>
              <w:t>(a)</w:t>
            </w:r>
          </w:p>
        </w:tc>
        <w:tc>
          <w:tcPr>
            <w:tcW w:w="1418" w:type="dxa"/>
            <w:tcBorders>
              <w:top w:val="double" w:sz="4" w:space="0" w:color="auto"/>
              <w:left w:val="single" w:sz="4" w:space="0" w:color="auto"/>
              <w:bottom w:val="single" w:sz="4" w:space="0" w:color="auto"/>
            </w:tcBorders>
            <w:shd w:val="clear" w:color="auto" w:fill="FFFFFF"/>
          </w:tcPr>
          <w:p w14:paraId="2CAC721D" w14:textId="77777777" w:rsidR="00F03060" w:rsidRPr="00AF63F4" w:rsidRDefault="00F03060" w:rsidP="00F03060">
            <w:pPr>
              <w:pStyle w:val="TableColumnHeadingLeft"/>
              <w:rPr>
                <w:rFonts w:cs="Arial"/>
                <w:sz w:val="16"/>
                <w:szCs w:val="16"/>
              </w:rPr>
            </w:pPr>
            <w:r>
              <w:rPr>
                <w:rFonts w:cs="Arial"/>
                <w:sz w:val="16"/>
                <w:szCs w:val="16"/>
              </w:rPr>
              <w:t>Expected</w:t>
            </w:r>
            <w:r w:rsidRPr="00663FD0">
              <w:rPr>
                <w:rFonts w:cs="Arial"/>
                <w:sz w:val="16"/>
                <w:szCs w:val="16"/>
              </w:rPr>
              <w:t xml:space="preserve"> Achievement</w:t>
            </w:r>
            <w:r>
              <w:rPr>
                <w:rFonts w:cs="Arial"/>
                <w:sz w:val="16"/>
                <w:szCs w:val="16"/>
              </w:rPr>
              <w:t xml:space="preserve"> 2020-21 </w:t>
            </w:r>
            <w:r w:rsidRPr="00663FD0">
              <w:rPr>
                <w:rFonts w:cs="Arial"/>
                <w:sz w:val="16"/>
                <w:szCs w:val="16"/>
              </w:rPr>
              <w:t>/</w:t>
            </w:r>
            <w:r>
              <w:rPr>
                <w:rFonts w:cs="Arial"/>
                <w:sz w:val="16"/>
                <w:szCs w:val="16"/>
              </w:rPr>
              <w:t xml:space="preserve"> </w:t>
            </w:r>
            <w:r w:rsidRPr="00663FD0">
              <w:rPr>
                <w:rFonts w:cs="Arial"/>
                <w:sz w:val="16"/>
                <w:szCs w:val="16"/>
              </w:rPr>
              <w:t>Target</w:t>
            </w:r>
            <w:r>
              <w:rPr>
                <w:rFonts w:cs="Arial"/>
                <w:sz w:val="16"/>
                <w:szCs w:val="16"/>
              </w:rPr>
              <w:t xml:space="preserve"> for </w:t>
            </w:r>
            <w:r>
              <w:rPr>
                <w:rFonts w:cs="Arial"/>
                <w:sz w:val="16"/>
                <w:szCs w:val="16"/>
              </w:rPr>
              <w:br/>
              <w:t>2021-22</w:t>
            </w:r>
          </w:p>
        </w:tc>
      </w:tr>
      <w:tr w:rsidR="00F03060" w:rsidRPr="00BE49A4" w14:paraId="337653A3" w14:textId="77777777" w:rsidTr="00F03060">
        <w:trPr>
          <w:trHeight w:val="436"/>
        </w:trPr>
        <w:tc>
          <w:tcPr>
            <w:tcW w:w="1418" w:type="dxa"/>
            <w:tcBorders>
              <w:top w:val="single" w:sz="4" w:space="0" w:color="auto"/>
              <w:right w:val="single" w:sz="4" w:space="0" w:color="auto"/>
            </w:tcBorders>
          </w:tcPr>
          <w:p w14:paraId="6A623994" w14:textId="77777777" w:rsidR="00F03060" w:rsidRPr="00F45D72" w:rsidRDefault="00F03060" w:rsidP="00F03060">
            <w:pPr>
              <w:pStyle w:val="TableTextLeft"/>
              <w:rPr>
                <w:rFonts w:cs="Arial"/>
                <w:sz w:val="16"/>
                <w:szCs w:val="16"/>
              </w:rPr>
            </w:pPr>
            <w:r w:rsidRPr="00663FD0">
              <w:rPr>
                <w:rFonts w:cs="Arial"/>
                <w:sz w:val="16"/>
                <w:szCs w:val="16"/>
              </w:rPr>
              <w:t>2020-21</w:t>
            </w:r>
          </w:p>
        </w:tc>
        <w:tc>
          <w:tcPr>
            <w:tcW w:w="4819" w:type="dxa"/>
            <w:tcBorders>
              <w:top w:val="single" w:sz="4" w:space="0" w:color="auto"/>
              <w:left w:val="single" w:sz="4" w:space="0" w:color="auto"/>
              <w:bottom w:val="single" w:sz="4" w:space="0" w:color="auto"/>
              <w:right w:val="single" w:sz="4" w:space="0" w:color="auto"/>
            </w:tcBorders>
          </w:tcPr>
          <w:p w14:paraId="5547CA8A" w14:textId="77777777" w:rsidR="00F03060" w:rsidRDefault="00F03060" w:rsidP="00772E69">
            <w:pPr>
              <w:pStyle w:val="TableTextLeft"/>
              <w:spacing w:after="120"/>
              <w:jc w:val="both"/>
              <w:rPr>
                <w:rFonts w:cs="Arial"/>
                <w:sz w:val="16"/>
                <w:szCs w:val="16"/>
              </w:rPr>
            </w:pPr>
            <w:r w:rsidRPr="00F45D72">
              <w:rPr>
                <w:rFonts w:cs="Arial"/>
                <w:sz w:val="16"/>
                <w:szCs w:val="16"/>
              </w:rPr>
              <w:t>Number of competition enforcement interventions (court proceeding commenced, section 87B undertakings accepted</w:t>
            </w:r>
            <w:r>
              <w:rPr>
                <w:rFonts w:cs="Arial"/>
                <w:sz w:val="16"/>
                <w:szCs w:val="16"/>
              </w:rPr>
              <w:t>, administrative resolutions</w:t>
            </w:r>
            <w:r w:rsidRPr="00F45D72">
              <w:rPr>
                <w:rFonts w:cs="Arial"/>
                <w:sz w:val="16"/>
                <w:szCs w:val="16"/>
              </w:rPr>
              <w:t>)</w:t>
            </w:r>
          </w:p>
          <w:p w14:paraId="3E31FFED" w14:textId="77777777" w:rsidR="00F03060" w:rsidRDefault="00F03060" w:rsidP="00772E69">
            <w:pPr>
              <w:pStyle w:val="TableTextLeft"/>
              <w:spacing w:after="120"/>
              <w:jc w:val="both"/>
              <w:rPr>
                <w:rFonts w:cs="Arial"/>
                <w:sz w:val="16"/>
                <w:szCs w:val="16"/>
              </w:rPr>
            </w:pPr>
            <w:r w:rsidRPr="00BE49A4">
              <w:rPr>
                <w:rFonts w:cs="Arial"/>
                <w:sz w:val="16"/>
                <w:szCs w:val="16"/>
              </w:rPr>
              <w:t>Percentage of merger matters considered (under the informal merger review process) that were finalised by pre-assessment</w:t>
            </w:r>
          </w:p>
          <w:p w14:paraId="1F34013D" w14:textId="77777777" w:rsidR="00F03060" w:rsidRDefault="00F03060" w:rsidP="00772E69">
            <w:pPr>
              <w:pStyle w:val="TableTextLeft"/>
              <w:spacing w:after="120"/>
              <w:jc w:val="both"/>
              <w:rPr>
                <w:rFonts w:cs="Arial"/>
                <w:sz w:val="16"/>
                <w:szCs w:val="16"/>
              </w:rPr>
            </w:pPr>
            <w:r w:rsidRPr="00BE49A4">
              <w:rPr>
                <w:rFonts w:cs="Arial"/>
                <w:sz w:val="16"/>
                <w:szCs w:val="16"/>
              </w:rPr>
              <w:t>Percentage of authorisation applications assessed within statutory timeframe</w:t>
            </w:r>
            <w:r>
              <w:rPr>
                <w:rFonts w:cs="Arial"/>
                <w:sz w:val="16"/>
                <w:szCs w:val="16"/>
              </w:rPr>
              <w:t>(</w:t>
            </w:r>
            <w:r w:rsidRPr="00BE49A4">
              <w:rPr>
                <w:rFonts w:cs="Arial"/>
                <w:sz w:val="16"/>
                <w:szCs w:val="16"/>
              </w:rPr>
              <w:t>s</w:t>
            </w:r>
            <w:r>
              <w:rPr>
                <w:rFonts w:cs="Arial"/>
                <w:sz w:val="16"/>
                <w:szCs w:val="16"/>
              </w:rPr>
              <w:t>) (excluding time periods where information is outstanding)</w:t>
            </w:r>
          </w:p>
          <w:p w14:paraId="29204858" w14:textId="77777777" w:rsidR="00F03060" w:rsidRDefault="00F03060" w:rsidP="00772E69">
            <w:pPr>
              <w:pStyle w:val="TableTextLeft"/>
              <w:spacing w:after="120"/>
              <w:jc w:val="both"/>
              <w:rPr>
                <w:rFonts w:cs="Arial"/>
                <w:sz w:val="16"/>
                <w:szCs w:val="16"/>
              </w:rPr>
            </w:pPr>
            <w:r w:rsidRPr="00F45D72">
              <w:rPr>
                <w:rFonts w:cs="Arial"/>
                <w:sz w:val="16"/>
                <w:szCs w:val="16"/>
              </w:rPr>
              <w:t>Number of Australian Consumer Law enforcement interventions (court proceeding commenced, section 87B undertakings accepted, infringement notices issued</w:t>
            </w:r>
            <w:r>
              <w:rPr>
                <w:rFonts w:cs="Arial"/>
                <w:sz w:val="16"/>
                <w:szCs w:val="16"/>
              </w:rPr>
              <w:t>, administrative resolutions</w:t>
            </w:r>
            <w:r w:rsidRPr="00F45D72">
              <w:rPr>
                <w:rFonts w:cs="Arial"/>
                <w:sz w:val="16"/>
                <w:szCs w:val="16"/>
              </w:rPr>
              <w:t>)</w:t>
            </w:r>
          </w:p>
          <w:p w14:paraId="568420DF" w14:textId="77777777" w:rsidR="00F03060" w:rsidRDefault="00F03060" w:rsidP="00772E69">
            <w:pPr>
              <w:pStyle w:val="TableTextLeft"/>
              <w:spacing w:after="120"/>
              <w:jc w:val="both"/>
              <w:rPr>
                <w:sz w:val="16"/>
                <w:szCs w:val="16"/>
              </w:rPr>
            </w:pPr>
            <w:r>
              <w:rPr>
                <w:sz w:val="16"/>
                <w:szCs w:val="16"/>
              </w:rPr>
              <w:t>Number of initial and in depth investigations of emerging product safety hazards</w:t>
            </w:r>
          </w:p>
          <w:p w14:paraId="25EE011A" w14:textId="77777777" w:rsidR="00F03060" w:rsidRDefault="00F03060" w:rsidP="00772E69">
            <w:pPr>
              <w:pStyle w:val="TableTextLeft"/>
              <w:spacing w:after="360"/>
              <w:jc w:val="both"/>
              <w:rPr>
                <w:sz w:val="16"/>
                <w:szCs w:val="16"/>
              </w:rPr>
            </w:pPr>
            <w:r w:rsidRPr="00EB1E3F">
              <w:rPr>
                <w:rFonts w:cs="Arial"/>
                <w:sz w:val="16"/>
                <w:szCs w:val="16"/>
              </w:rPr>
              <w:t>Number of small business Infocentre contacts served</w:t>
            </w:r>
          </w:p>
          <w:p w14:paraId="36AD001D" w14:textId="77777777" w:rsidR="00F03060" w:rsidRDefault="00F03060" w:rsidP="00772E69">
            <w:pPr>
              <w:pStyle w:val="TableTextLeft"/>
              <w:spacing w:after="360"/>
              <w:jc w:val="both"/>
              <w:rPr>
                <w:sz w:val="16"/>
                <w:szCs w:val="16"/>
              </w:rPr>
            </w:pPr>
            <w:r w:rsidRPr="00EB1E3F">
              <w:rPr>
                <w:rFonts w:cs="Arial"/>
                <w:sz w:val="16"/>
                <w:szCs w:val="16"/>
              </w:rPr>
              <w:t>Number of Infocentre contacts served (includes Infocentre contacts served and webforms received)</w:t>
            </w:r>
          </w:p>
          <w:p w14:paraId="25EA1ED2" w14:textId="77777777" w:rsidR="00F03060" w:rsidRDefault="00F03060" w:rsidP="00772E69">
            <w:pPr>
              <w:pStyle w:val="TableTextLeft"/>
              <w:spacing w:before="0" w:after="0"/>
              <w:jc w:val="both"/>
              <w:rPr>
                <w:sz w:val="16"/>
                <w:szCs w:val="16"/>
              </w:rPr>
            </w:pPr>
            <w:r w:rsidRPr="00BE49A4">
              <w:rPr>
                <w:rFonts w:cs="Arial"/>
                <w:sz w:val="16"/>
                <w:szCs w:val="16"/>
              </w:rPr>
              <w:t>Number of major regulatory decisions</w:t>
            </w:r>
          </w:p>
          <w:p w14:paraId="21AD204E" w14:textId="77777777" w:rsidR="00F03060" w:rsidRDefault="00F03060" w:rsidP="00772E69">
            <w:pPr>
              <w:pStyle w:val="TableTextLeft"/>
              <w:spacing w:before="0" w:after="0"/>
              <w:jc w:val="both"/>
              <w:rPr>
                <w:rFonts w:cs="Arial"/>
                <w:sz w:val="16"/>
                <w:szCs w:val="16"/>
              </w:rPr>
            </w:pPr>
            <w:r w:rsidRPr="00BE49A4">
              <w:rPr>
                <w:rFonts w:cs="Arial"/>
                <w:sz w:val="16"/>
                <w:szCs w:val="16"/>
              </w:rPr>
              <w:t>Number of annual monitoring reports</w:t>
            </w:r>
          </w:p>
          <w:p w14:paraId="09BD04CA" w14:textId="77777777" w:rsidR="00F03060" w:rsidRDefault="00F03060" w:rsidP="00772E69">
            <w:pPr>
              <w:pStyle w:val="TableTextLeft"/>
              <w:spacing w:before="0" w:after="0"/>
              <w:jc w:val="both"/>
              <w:rPr>
                <w:rFonts w:cs="Arial"/>
                <w:sz w:val="16"/>
                <w:szCs w:val="16"/>
              </w:rPr>
            </w:pPr>
            <w:r w:rsidRPr="00BE49A4">
              <w:rPr>
                <w:rFonts w:cs="Arial"/>
                <w:sz w:val="16"/>
                <w:szCs w:val="16"/>
              </w:rPr>
              <w:t>Number of reports on monitoring of unleaded petroleum products</w:t>
            </w:r>
          </w:p>
          <w:p w14:paraId="336D728E" w14:textId="77777777" w:rsidR="00F03060" w:rsidRDefault="00F03060" w:rsidP="00772E69">
            <w:pPr>
              <w:pStyle w:val="TableTextLeft"/>
              <w:spacing w:before="0" w:after="0"/>
              <w:jc w:val="both"/>
              <w:rPr>
                <w:rFonts w:cs="Arial"/>
                <w:sz w:val="16"/>
                <w:szCs w:val="16"/>
              </w:rPr>
            </w:pPr>
            <w:r>
              <w:rPr>
                <w:rFonts w:cs="Arial"/>
                <w:sz w:val="16"/>
                <w:szCs w:val="16"/>
              </w:rPr>
              <w:t>Number of reports on broadband markets</w:t>
            </w:r>
          </w:p>
          <w:p w14:paraId="08D07BC5" w14:textId="77777777" w:rsidR="00F03060" w:rsidRPr="00BE49A4" w:rsidRDefault="00F03060" w:rsidP="00772E69">
            <w:pPr>
              <w:pStyle w:val="TableTextLeft"/>
              <w:spacing w:before="0" w:after="0"/>
              <w:jc w:val="both"/>
              <w:rPr>
                <w:rFonts w:cs="Arial"/>
                <w:sz w:val="16"/>
                <w:szCs w:val="16"/>
              </w:rPr>
            </w:pPr>
            <w:r>
              <w:rPr>
                <w:rFonts w:cs="Arial"/>
                <w:sz w:val="16"/>
                <w:szCs w:val="16"/>
              </w:rPr>
              <w:t>Number of completed markets studies and inquiries</w:t>
            </w:r>
          </w:p>
        </w:tc>
        <w:tc>
          <w:tcPr>
            <w:tcW w:w="1418" w:type="dxa"/>
            <w:tcBorders>
              <w:top w:val="single" w:sz="4" w:space="0" w:color="auto"/>
              <w:left w:val="single" w:sz="4" w:space="0" w:color="auto"/>
            </w:tcBorders>
          </w:tcPr>
          <w:p w14:paraId="4128E14D" w14:textId="77777777" w:rsidR="00F03060" w:rsidRDefault="00F03060" w:rsidP="00F03060">
            <w:pPr>
              <w:pStyle w:val="TableTextCentred"/>
              <w:spacing w:after="480"/>
              <w:rPr>
                <w:rFonts w:cs="Arial"/>
                <w:sz w:val="16"/>
                <w:szCs w:val="16"/>
              </w:rPr>
            </w:pPr>
            <w:r>
              <w:rPr>
                <w:rFonts w:cs="Arial"/>
                <w:sz w:val="16"/>
                <w:szCs w:val="16"/>
              </w:rPr>
              <w:t>4 - 6</w:t>
            </w:r>
          </w:p>
          <w:p w14:paraId="58580B4E" w14:textId="77777777" w:rsidR="00F03060" w:rsidRDefault="00F03060" w:rsidP="00F03060">
            <w:pPr>
              <w:pStyle w:val="TableTextCentred"/>
              <w:spacing w:after="200"/>
              <w:rPr>
                <w:rFonts w:cs="Arial"/>
                <w:sz w:val="16"/>
                <w:szCs w:val="16"/>
              </w:rPr>
            </w:pPr>
            <w:r>
              <w:rPr>
                <w:rFonts w:cs="Arial"/>
                <w:sz w:val="16"/>
                <w:szCs w:val="16"/>
              </w:rPr>
              <w:t>Will exceed target of 80%</w:t>
            </w:r>
          </w:p>
          <w:p w14:paraId="44B6A25A" w14:textId="77777777" w:rsidR="00F03060" w:rsidRDefault="00F03060" w:rsidP="00F03060">
            <w:pPr>
              <w:pStyle w:val="TableTextCentred"/>
              <w:spacing w:after="480"/>
              <w:rPr>
                <w:rFonts w:cs="Arial"/>
                <w:sz w:val="16"/>
                <w:szCs w:val="16"/>
              </w:rPr>
            </w:pPr>
            <w:r w:rsidRPr="00BE49A4">
              <w:rPr>
                <w:rFonts w:cs="Arial"/>
                <w:sz w:val="16"/>
                <w:szCs w:val="16"/>
              </w:rPr>
              <w:t>100%</w:t>
            </w:r>
          </w:p>
          <w:p w14:paraId="2D7F2991" w14:textId="77777777" w:rsidR="00F03060" w:rsidRDefault="00F03060" w:rsidP="00F03060">
            <w:pPr>
              <w:pStyle w:val="TableTextCentred"/>
              <w:spacing w:after="600"/>
              <w:rPr>
                <w:rFonts w:cs="Arial"/>
                <w:sz w:val="16"/>
                <w:szCs w:val="16"/>
              </w:rPr>
            </w:pPr>
            <w:r>
              <w:rPr>
                <w:rFonts w:cs="Arial"/>
                <w:sz w:val="16"/>
                <w:szCs w:val="16"/>
              </w:rPr>
              <w:t>35+</w:t>
            </w:r>
          </w:p>
          <w:p w14:paraId="026A7579" w14:textId="77777777" w:rsidR="00F03060" w:rsidRDefault="00F03060" w:rsidP="00F03060">
            <w:pPr>
              <w:pStyle w:val="TableTextCentred"/>
              <w:spacing w:after="180"/>
              <w:rPr>
                <w:rFonts w:cs="Arial"/>
                <w:sz w:val="16"/>
                <w:szCs w:val="16"/>
              </w:rPr>
            </w:pPr>
            <w:r>
              <w:rPr>
                <w:rFonts w:cs="Arial"/>
                <w:sz w:val="16"/>
                <w:szCs w:val="16"/>
              </w:rPr>
              <w:t>10</w:t>
            </w:r>
          </w:p>
          <w:p w14:paraId="4929559C" w14:textId="77777777" w:rsidR="00F03060" w:rsidRDefault="00F03060" w:rsidP="00F03060">
            <w:pPr>
              <w:pStyle w:val="TableTextCentred"/>
              <w:spacing w:after="120"/>
              <w:rPr>
                <w:rFonts w:cs="Arial"/>
                <w:sz w:val="16"/>
                <w:szCs w:val="16"/>
              </w:rPr>
            </w:pPr>
            <w:r>
              <w:rPr>
                <w:rFonts w:cs="Arial"/>
                <w:sz w:val="16"/>
                <w:szCs w:val="16"/>
              </w:rPr>
              <w:t>Expect to be just less than target of 12 000</w:t>
            </w:r>
          </w:p>
          <w:p w14:paraId="51C6136C" w14:textId="77777777" w:rsidR="00F03060" w:rsidRDefault="00F03060" w:rsidP="00F03060">
            <w:pPr>
              <w:pStyle w:val="TableTextCentred"/>
              <w:spacing w:after="120"/>
              <w:rPr>
                <w:rFonts w:cs="Arial"/>
                <w:sz w:val="16"/>
                <w:szCs w:val="16"/>
              </w:rPr>
            </w:pPr>
            <w:r>
              <w:rPr>
                <w:rFonts w:cs="Arial"/>
                <w:sz w:val="16"/>
                <w:szCs w:val="16"/>
              </w:rPr>
              <w:t xml:space="preserve">Will exceed target of </w:t>
            </w:r>
            <w:r>
              <w:rPr>
                <w:rFonts w:cs="Arial"/>
                <w:sz w:val="16"/>
                <w:szCs w:val="16"/>
              </w:rPr>
              <w:br/>
              <w:t>200 000</w:t>
            </w:r>
          </w:p>
          <w:p w14:paraId="36E3E73C" w14:textId="77777777" w:rsidR="00F03060" w:rsidRDefault="00F03060" w:rsidP="00F03060">
            <w:pPr>
              <w:pStyle w:val="TableTextCentred"/>
              <w:spacing w:before="0" w:after="0"/>
              <w:rPr>
                <w:rFonts w:cs="Arial"/>
                <w:sz w:val="16"/>
                <w:szCs w:val="16"/>
              </w:rPr>
            </w:pPr>
            <w:r>
              <w:rPr>
                <w:rFonts w:cs="Arial"/>
                <w:sz w:val="16"/>
                <w:szCs w:val="16"/>
              </w:rPr>
              <w:t>5</w:t>
            </w:r>
          </w:p>
          <w:p w14:paraId="602AA9D5" w14:textId="77777777" w:rsidR="00F03060" w:rsidRDefault="00F03060" w:rsidP="00F03060">
            <w:pPr>
              <w:pStyle w:val="TableTextCentred"/>
              <w:spacing w:before="0" w:after="0"/>
              <w:rPr>
                <w:rFonts w:cs="Arial"/>
                <w:sz w:val="16"/>
                <w:szCs w:val="16"/>
              </w:rPr>
            </w:pPr>
            <w:r>
              <w:rPr>
                <w:rFonts w:cs="Arial"/>
                <w:sz w:val="16"/>
                <w:szCs w:val="16"/>
              </w:rPr>
              <w:t>6</w:t>
            </w:r>
          </w:p>
          <w:p w14:paraId="5FC243B1" w14:textId="77777777" w:rsidR="00F03060" w:rsidRDefault="00F03060" w:rsidP="00F03060">
            <w:pPr>
              <w:pStyle w:val="TableTextCentred"/>
              <w:spacing w:before="0" w:after="0"/>
              <w:rPr>
                <w:rFonts w:cs="Arial"/>
                <w:sz w:val="16"/>
                <w:szCs w:val="16"/>
              </w:rPr>
            </w:pPr>
            <w:r>
              <w:rPr>
                <w:rFonts w:cs="Arial"/>
                <w:sz w:val="16"/>
                <w:szCs w:val="16"/>
              </w:rPr>
              <w:t>5</w:t>
            </w:r>
          </w:p>
          <w:p w14:paraId="3AABCC0C" w14:textId="77777777" w:rsidR="00F03060" w:rsidRDefault="00F03060" w:rsidP="00F03060">
            <w:pPr>
              <w:pStyle w:val="TableTextCentred"/>
              <w:spacing w:before="0" w:after="0"/>
              <w:rPr>
                <w:rFonts w:cs="Arial"/>
                <w:sz w:val="16"/>
                <w:szCs w:val="16"/>
              </w:rPr>
            </w:pPr>
            <w:r>
              <w:rPr>
                <w:rFonts w:cs="Arial"/>
                <w:sz w:val="16"/>
                <w:szCs w:val="16"/>
              </w:rPr>
              <w:t>10</w:t>
            </w:r>
          </w:p>
          <w:p w14:paraId="6BBFADAA" w14:textId="77777777" w:rsidR="00F03060" w:rsidRDefault="00F03060" w:rsidP="00F03060">
            <w:pPr>
              <w:pStyle w:val="TableTextCentred"/>
              <w:spacing w:before="0" w:after="0"/>
              <w:rPr>
                <w:rFonts w:cs="Arial"/>
                <w:sz w:val="16"/>
                <w:szCs w:val="16"/>
              </w:rPr>
            </w:pPr>
            <w:r>
              <w:rPr>
                <w:rFonts w:cs="Arial"/>
                <w:sz w:val="16"/>
                <w:szCs w:val="16"/>
              </w:rPr>
              <w:t>4</w:t>
            </w:r>
          </w:p>
        </w:tc>
      </w:tr>
      <w:tr w:rsidR="00F03060" w:rsidRPr="00BD1B30" w14:paraId="2CFF070A" w14:textId="77777777" w:rsidTr="00F03060">
        <w:trPr>
          <w:trHeight w:val="309"/>
        </w:trPr>
        <w:tc>
          <w:tcPr>
            <w:tcW w:w="7655" w:type="dxa"/>
            <w:gridSpan w:val="3"/>
            <w:tcBorders>
              <w:top w:val="double" w:sz="4" w:space="0" w:color="auto"/>
              <w:bottom w:val="double" w:sz="4" w:space="0" w:color="auto"/>
            </w:tcBorders>
            <w:shd w:val="clear" w:color="auto" w:fill="FFFFFF"/>
          </w:tcPr>
          <w:p w14:paraId="5D7357E0" w14:textId="77777777" w:rsidR="00F03060" w:rsidRPr="00BD1B30" w:rsidRDefault="00F03060" w:rsidP="00F03060">
            <w:pPr>
              <w:tabs>
                <w:tab w:val="left" w:pos="709"/>
              </w:tabs>
              <w:spacing w:before="60" w:after="60" w:line="240" w:lineRule="auto"/>
              <w:jc w:val="left"/>
              <w:rPr>
                <w:rFonts w:ascii="Arial" w:hAnsi="Arial" w:cs="Arial"/>
                <w:b/>
                <w:sz w:val="16"/>
                <w:szCs w:val="16"/>
              </w:rPr>
            </w:pPr>
            <w:r w:rsidRPr="00BD1B30">
              <w:rPr>
                <w:rFonts w:ascii="Arial" w:hAnsi="Arial" w:cs="Arial"/>
                <w:b/>
                <w:sz w:val="16"/>
                <w:szCs w:val="16"/>
              </w:rPr>
              <w:br w:type="page"/>
              <w:t>Performance information</w:t>
            </w:r>
          </w:p>
        </w:tc>
      </w:tr>
      <w:tr w:rsidR="00F03060" w:rsidRPr="00BE49A4" w14:paraId="4B51C3A9" w14:textId="77777777" w:rsidTr="00F03060">
        <w:trPr>
          <w:trHeight w:val="670"/>
        </w:trPr>
        <w:tc>
          <w:tcPr>
            <w:tcW w:w="1418" w:type="dxa"/>
            <w:tcBorders>
              <w:top w:val="double" w:sz="4" w:space="0" w:color="auto"/>
              <w:bottom w:val="single" w:sz="4" w:space="0" w:color="auto"/>
              <w:right w:val="single" w:sz="4" w:space="0" w:color="auto"/>
            </w:tcBorders>
            <w:shd w:val="clear" w:color="auto" w:fill="FFFFFF"/>
          </w:tcPr>
          <w:p w14:paraId="4EBDDC3B" w14:textId="77777777" w:rsidR="00F03060" w:rsidRPr="00AF63F4" w:rsidRDefault="00F03060" w:rsidP="00F03060">
            <w:pPr>
              <w:pStyle w:val="TableColumnHeadingLeft"/>
              <w:rPr>
                <w:rFonts w:cs="Arial"/>
                <w:sz w:val="16"/>
                <w:szCs w:val="16"/>
              </w:rPr>
            </w:pPr>
            <w:r w:rsidRPr="00663FD0">
              <w:rPr>
                <w:rFonts w:cs="Arial"/>
                <w:sz w:val="16"/>
                <w:szCs w:val="16"/>
              </w:rPr>
              <w:lastRenderedPageBreak/>
              <w:t>Year</w:t>
            </w:r>
          </w:p>
        </w:tc>
        <w:tc>
          <w:tcPr>
            <w:tcW w:w="4819" w:type="dxa"/>
            <w:tcBorders>
              <w:top w:val="double" w:sz="4" w:space="0" w:color="auto"/>
              <w:left w:val="single" w:sz="4" w:space="0" w:color="auto"/>
              <w:bottom w:val="single" w:sz="4" w:space="0" w:color="auto"/>
              <w:right w:val="single" w:sz="4" w:space="0" w:color="auto"/>
            </w:tcBorders>
            <w:shd w:val="clear" w:color="auto" w:fill="FFFFFF"/>
          </w:tcPr>
          <w:p w14:paraId="64B695DA" w14:textId="77777777" w:rsidR="00F03060" w:rsidRPr="00AF63F4" w:rsidRDefault="00F03060" w:rsidP="00F03060">
            <w:pPr>
              <w:pStyle w:val="TableColumnHeadingLeft"/>
              <w:rPr>
                <w:rFonts w:cs="Arial"/>
                <w:sz w:val="16"/>
                <w:szCs w:val="16"/>
              </w:rPr>
            </w:pPr>
            <w:r w:rsidRPr="00663FD0">
              <w:rPr>
                <w:rFonts w:cs="Arial"/>
                <w:sz w:val="16"/>
                <w:szCs w:val="16"/>
              </w:rPr>
              <w:t>Performance criteria</w:t>
            </w:r>
            <w:r>
              <w:rPr>
                <w:rFonts w:cs="Arial"/>
                <w:sz w:val="16"/>
                <w:szCs w:val="16"/>
              </w:rPr>
              <w:t xml:space="preserve"> </w:t>
            </w:r>
            <w:r w:rsidRPr="002B743C">
              <w:rPr>
                <w:rFonts w:cs="Arial"/>
                <w:b w:val="0"/>
                <w:sz w:val="16"/>
                <w:szCs w:val="16"/>
                <w:vertAlign w:val="superscript"/>
              </w:rPr>
              <w:t>(a)</w:t>
            </w:r>
          </w:p>
        </w:tc>
        <w:tc>
          <w:tcPr>
            <w:tcW w:w="1418" w:type="dxa"/>
            <w:tcBorders>
              <w:top w:val="double" w:sz="4" w:space="0" w:color="auto"/>
              <w:left w:val="single" w:sz="4" w:space="0" w:color="auto"/>
              <w:bottom w:val="single" w:sz="4" w:space="0" w:color="auto"/>
            </w:tcBorders>
            <w:shd w:val="clear" w:color="auto" w:fill="FFFFFF"/>
          </w:tcPr>
          <w:p w14:paraId="4B9FC4E8" w14:textId="77777777" w:rsidR="00F03060" w:rsidRPr="00AF63F4" w:rsidRDefault="00F03060" w:rsidP="00F03060">
            <w:pPr>
              <w:pStyle w:val="TableColumnHeadingLeft"/>
              <w:rPr>
                <w:rFonts w:cs="Arial"/>
                <w:sz w:val="16"/>
                <w:szCs w:val="16"/>
              </w:rPr>
            </w:pPr>
            <w:r>
              <w:rPr>
                <w:rFonts w:cs="Arial"/>
                <w:sz w:val="16"/>
                <w:szCs w:val="16"/>
              </w:rPr>
              <w:t>Expected</w:t>
            </w:r>
            <w:r w:rsidRPr="00663FD0">
              <w:rPr>
                <w:rFonts w:cs="Arial"/>
                <w:sz w:val="16"/>
                <w:szCs w:val="16"/>
              </w:rPr>
              <w:t xml:space="preserve"> Achievement</w:t>
            </w:r>
            <w:r>
              <w:rPr>
                <w:rFonts w:cs="Arial"/>
                <w:sz w:val="16"/>
                <w:szCs w:val="16"/>
              </w:rPr>
              <w:t xml:space="preserve"> 2020-21 </w:t>
            </w:r>
            <w:r w:rsidRPr="00663FD0">
              <w:rPr>
                <w:rFonts w:cs="Arial"/>
                <w:sz w:val="16"/>
                <w:szCs w:val="16"/>
              </w:rPr>
              <w:t>/</w:t>
            </w:r>
            <w:r>
              <w:rPr>
                <w:rFonts w:cs="Arial"/>
                <w:sz w:val="16"/>
                <w:szCs w:val="16"/>
              </w:rPr>
              <w:t xml:space="preserve"> </w:t>
            </w:r>
            <w:r w:rsidRPr="00663FD0">
              <w:rPr>
                <w:rFonts w:cs="Arial"/>
                <w:sz w:val="16"/>
                <w:szCs w:val="16"/>
              </w:rPr>
              <w:t>Target</w:t>
            </w:r>
            <w:r>
              <w:rPr>
                <w:rFonts w:cs="Arial"/>
                <w:sz w:val="16"/>
                <w:szCs w:val="16"/>
              </w:rPr>
              <w:t xml:space="preserve"> for </w:t>
            </w:r>
            <w:r>
              <w:rPr>
                <w:rFonts w:cs="Arial"/>
                <w:sz w:val="16"/>
                <w:szCs w:val="16"/>
              </w:rPr>
              <w:br/>
              <w:t>2021-22</w:t>
            </w:r>
          </w:p>
        </w:tc>
      </w:tr>
      <w:tr w:rsidR="00F03060" w:rsidRPr="00BE49A4" w14:paraId="171B2073" w14:textId="77777777" w:rsidTr="00F03060">
        <w:trPr>
          <w:trHeight w:val="436"/>
        </w:trPr>
        <w:tc>
          <w:tcPr>
            <w:tcW w:w="1418" w:type="dxa"/>
            <w:tcBorders>
              <w:top w:val="single" w:sz="4" w:space="0" w:color="auto"/>
              <w:right w:val="single" w:sz="4" w:space="0" w:color="auto"/>
            </w:tcBorders>
          </w:tcPr>
          <w:p w14:paraId="1ACBF9E5" w14:textId="77777777" w:rsidR="00F03060" w:rsidRPr="00F45D72" w:rsidRDefault="00F03060" w:rsidP="00F03060">
            <w:pPr>
              <w:pStyle w:val="TableTextLeft"/>
              <w:rPr>
                <w:rFonts w:cs="Arial"/>
                <w:sz w:val="16"/>
                <w:szCs w:val="16"/>
              </w:rPr>
            </w:pPr>
            <w:r w:rsidRPr="00663FD0">
              <w:rPr>
                <w:rFonts w:cs="Arial"/>
                <w:sz w:val="16"/>
                <w:szCs w:val="16"/>
              </w:rPr>
              <w:t>20</w:t>
            </w:r>
            <w:r>
              <w:rPr>
                <w:rFonts w:cs="Arial"/>
                <w:sz w:val="16"/>
                <w:szCs w:val="16"/>
              </w:rPr>
              <w:t>21-22</w:t>
            </w:r>
          </w:p>
        </w:tc>
        <w:tc>
          <w:tcPr>
            <w:tcW w:w="4819" w:type="dxa"/>
            <w:tcBorders>
              <w:top w:val="single" w:sz="4" w:space="0" w:color="auto"/>
              <w:left w:val="single" w:sz="4" w:space="0" w:color="auto"/>
              <w:bottom w:val="dotted" w:sz="4" w:space="0" w:color="auto"/>
              <w:right w:val="single" w:sz="4" w:space="0" w:color="auto"/>
            </w:tcBorders>
          </w:tcPr>
          <w:p w14:paraId="1E3E9551" w14:textId="77777777" w:rsidR="00F03060" w:rsidRDefault="00F03060" w:rsidP="00772E69">
            <w:pPr>
              <w:pStyle w:val="TableTextLeft"/>
              <w:spacing w:after="120"/>
              <w:jc w:val="both"/>
              <w:rPr>
                <w:rFonts w:cs="Arial"/>
                <w:sz w:val="16"/>
                <w:szCs w:val="16"/>
              </w:rPr>
            </w:pPr>
            <w:r w:rsidRPr="00F45D72">
              <w:rPr>
                <w:rFonts w:cs="Arial"/>
                <w:sz w:val="16"/>
                <w:szCs w:val="16"/>
              </w:rPr>
              <w:t>Number of competition enforcement interventions (court proceeding commenced, section 87B undertakings accepted</w:t>
            </w:r>
            <w:r>
              <w:rPr>
                <w:rFonts w:cs="Arial"/>
                <w:sz w:val="16"/>
                <w:szCs w:val="16"/>
              </w:rPr>
              <w:t>, administrative resolutions</w:t>
            </w:r>
            <w:r w:rsidRPr="00F45D72">
              <w:rPr>
                <w:rFonts w:cs="Arial"/>
                <w:sz w:val="16"/>
                <w:szCs w:val="16"/>
              </w:rPr>
              <w:t>)</w:t>
            </w:r>
          </w:p>
          <w:p w14:paraId="61F31712" w14:textId="77777777" w:rsidR="00F03060" w:rsidRDefault="00F03060" w:rsidP="00772E69">
            <w:pPr>
              <w:pStyle w:val="TableTextLeft"/>
              <w:spacing w:after="120"/>
              <w:jc w:val="both"/>
              <w:rPr>
                <w:rFonts w:cs="Arial"/>
                <w:sz w:val="16"/>
                <w:szCs w:val="16"/>
              </w:rPr>
            </w:pPr>
            <w:r w:rsidRPr="00BE49A4">
              <w:rPr>
                <w:rFonts w:cs="Arial"/>
                <w:sz w:val="16"/>
                <w:szCs w:val="16"/>
              </w:rPr>
              <w:t>Percentage of merger matters considered (under the informal merger review process) that were finalised by pre-assessment</w:t>
            </w:r>
          </w:p>
          <w:p w14:paraId="45C8F4CA" w14:textId="77777777" w:rsidR="00F03060" w:rsidRDefault="00F03060" w:rsidP="00772E69">
            <w:pPr>
              <w:pStyle w:val="TableTextLeft"/>
              <w:spacing w:after="120"/>
              <w:jc w:val="both"/>
              <w:rPr>
                <w:rFonts w:cs="Arial"/>
                <w:sz w:val="16"/>
                <w:szCs w:val="16"/>
              </w:rPr>
            </w:pPr>
            <w:r w:rsidRPr="00BE49A4">
              <w:rPr>
                <w:rFonts w:cs="Arial"/>
                <w:sz w:val="16"/>
                <w:szCs w:val="16"/>
              </w:rPr>
              <w:t>Percentage of authorisation applications assessed within statutory timeframe</w:t>
            </w:r>
            <w:r>
              <w:rPr>
                <w:rFonts w:cs="Arial"/>
                <w:sz w:val="16"/>
                <w:szCs w:val="16"/>
              </w:rPr>
              <w:t>(</w:t>
            </w:r>
            <w:r w:rsidRPr="00BE49A4">
              <w:rPr>
                <w:rFonts w:cs="Arial"/>
                <w:sz w:val="16"/>
                <w:szCs w:val="16"/>
              </w:rPr>
              <w:t>s</w:t>
            </w:r>
            <w:r>
              <w:rPr>
                <w:rFonts w:cs="Arial"/>
                <w:sz w:val="16"/>
                <w:szCs w:val="16"/>
              </w:rPr>
              <w:t>) (excluding time periods where information is outstanding)</w:t>
            </w:r>
          </w:p>
          <w:p w14:paraId="4963CEC3" w14:textId="77777777" w:rsidR="00F03060" w:rsidRDefault="00F03060" w:rsidP="00772E69">
            <w:pPr>
              <w:pStyle w:val="TableTextLeft"/>
              <w:spacing w:after="120"/>
              <w:jc w:val="both"/>
              <w:rPr>
                <w:rFonts w:cs="Arial"/>
                <w:sz w:val="16"/>
                <w:szCs w:val="16"/>
              </w:rPr>
            </w:pPr>
            <w:r w:rsidRPr="00F45D72">
              <w:rPr>
                <w:rFonts w:cs="Arial"/>
                <w:sz w:val="16"/>
                <w:szCs w:val="16"/>
              </w:rPr>
              <w:t>Number of Australian Consumer Law enforcement interventions (court proceeding commenced, section 87B undertakings accepted, infringement notices issued</w:t>
            </w:r>
            <w:r>
              <w:rPr>
                <w:rFonts w:cs="Arial"/>
                <w:sz w:val="16"/>
                <w:szCs w:val="16"/>
              </w:rPr>
              <w:t>, administrative resolutions</w:t>
            </w:r>
            <w:r w:rsidRPr="00F45D72">
              <w:rPr>
                <w:rFonts w:cs="Arial"/>
                <w:sz w:val="16"/>
                <w:szCs w:val="16"/>
              </w:rPr>
              <w:t>)</w:t>
            </w:r>
          </w:p>
          <w:p w14:paraId="14FFDF77" w14:textId="77777777" w:rsidR="00F03060" w:rsidRPr="00161A94" w:rsidRDefault="00F03060" w:rsidP="00772E69">
            <w:pPr>
              <w:pStyle w:val="TableTextLeft"/>
              <w:spacing w:after="120"/>
              <w:jc w:val="both"/>
              <w:rPr>
                <w:rFonts w:cs="Arial"/>
                <w:sz w:val="16"/>
                <w:szCs w:val="16"/>
              </w:rPr>
            </w:pPr>
            <w:r w:rsidRPr="00EB1E3F">
              <w:rPr>
                <w:rFonts w:cs="Arial"/>
                <w:sz w:val="16"/>
                <w:szCs w:val="16"/>
              </w:rPr>
              <w:t>Number of small business Infocentre contacts served</w:t>
            </w:r>
          </w:p>
          <w:p w14:paraId="372C9CCA" w14:textId="77777777" w:rsidR="00F03060" w:rsidRPr="00161A94" w:rsidRDefault="00F03060" w:rsidP="00772E69">
            <w:pPr>
              <w:pStyle w:val="TableTextLeft"/>
              <w:spacing w:after="120"/>
              <w:jc w:val="both"/>
              <w:rPr>
                <w:rFonts w:cs="Arial"/>
                <w:sz w:val="16"/>
                <w:szCs w:val="16"/>
              </w:rPr>
            </w:pPr>
            <w:r w:rsidRPr="00EB1E3F">
              <w:rPr>
                <w:rFonts w:cs="Arial"/>
                <w:sz w:val="16"/>
                <w:szCs w:val="16"/>
              </w:rPr>
              <w:t>Number of Infocentre contacts served (includes Infocentre contacts served and webforms received)</w:t>
            </w:r>
          </w:p>
          <w:p w14:paraId="4587D2F0" w14:textId="77777777" w:rsidR="00F03060" w:rsidRPr="00E05DB7" w:rsidRDefault="00F03060" w:rsidP="00772E69">
            <w:pPr>
              <w:pStyle w:val="TableTextLeft"/>
              <w:spacing w:after="120"/>
              <w:jc w:val="both"/>
              <w:rPr>
                <w:rFonts w:cs="Arial"/>
                <w:sz w:val="16"/>
                <w:szCs w:val="16"/>
              </w:rPr>
            </w:pPr>
            <w:r w:rsidRPr="00C1096B">
              <w:rPr>
                <w:rFonts w:cs="Arial"/>
                <w:sz w:val="16"/>
                <w:szCs w:val="16"/>
              </w:rPr>
              <w:t xml:space="preserve">Number of monitoring reports (covering electricity, gas, communications, </w:t>
            </w:r>
            <w:r>
              <w:rPr>
                <w:rFonts w:cs="Arial"/>
                <w:sz w:val="16"/>
                <w:szCs w:val="16"/>
              </w:rPr>
              <w:t xml:space="preserve">rail, </w:t>
            </w:r>
            <w:r w:rsidRPr="00C1096B">
              <w:rPr>
                <w:rFonts w:cs="Arial"/>
                <w:sz w:val="16"/>
                <w:szCs w:val="16"/>
              </w:rPr>
              <w:t xml:space="preserve">petrol, aviation </w:t>
            </w:r>
            <w:r>
              <w:rPr>
                <w:rFonts w:cs="Arial"/>
                <w:sz w:val="16"/>
                <w:szCs w:val="16"/>
              </w:rPr>
              <w:t xml:space="preserve">ports and stevedoring </w:t>
            </w:r>
            <w:r w:rsidRPr="00C1096B">
              <w:rPr>
                <w:rFonts w:cs="Arial"/>
                <w:sz w:val="16"/>
                <w:szCs w:val="16"/>
              </w:rPr>
              <w:t>sectors)</w:t>
            </w:r>
          </w:p>
        </w:tc>
        <w:tc>
          <w:tcPr>
            <w:tcW w:w="1418" w:type="dxa"/>
            <w:tcBorders>
              <w:top w:val="single" w:sz="4" w:space="0" w:color="auto"/>
              <w:left w:val="single" w:sz="4" w:space="0" w:color="auto"/>
            </w:tcBorders>
          </w:tcPr>
          <w:p w14:paraId="06B42E10" w14:textId="77777777" w:rsidR="00F03060" w:rsidRPr="00E51A97" w:rsidRDefault="00F03060" w:rsidP="00F03060">
            <w:pPr>
              <w:pStyle w:val="TableTextCentred"/>
              <w:spacing w:after="480"/>
              <w:rPr>
                <w:rFonts w:cs="Arial"/>
                <w:sz w:val="16"/>
                <w:szCs w:val="16"/>
              </w:rPr>
            </w:pPr>
            <w:r w:rsidRPr="00E51A97">
              <w:rPr>
                <w:rFonts w:cs="Arial"/>
                <w:sz w:val="16"/>
                <w:szCs w:val="16"/>
              </w:rPr>
              <w:t>6+</w:t>
            </w:r>
          </w:p>
          <w:p w14:paraId="4957CC5E" w14:textId="77777777" w:rsidR="00F03060" w:rsidRPr="00E51A97" w:rsidRDefault="00F03060" w:rsidP="00F03060">
            <w:pPr>
              <w:pStyle w:val="TableTextCentred"/>
              <w:spacing w:after="360"/>
              <w:rPr>
                <w:rFonts w:cs="Arial"/>
                <w:sz w:val="16"/>
                <w:szCs w:val="16"/>
              </w:rPr>
            </w:pPr>
            <w:r w:rsidRPr="00E51A97">
              <w:rPr>
                <w:rFonts w:cs="Arial"/>
                <w:sz w:val="16"/>
                <w:szCs w:val="16"/>
              </w:rPr>
              <w:t>80%</w:t>
            </w:r>
          </w:p>
          <w:p w14:paraId="48480099" w14:textId="77777777" w:rsidR="00F03060" w:rsidRPr="00E51A97" w:rsidRDefault="00F03060" w:rsidP="00F03060">
            <w:pPr>
              <w:pStyle w:val="TableTextCentred"/>
              <w:spacing w:after="480"/>
              <w:rPr>
                <w:rFonts w:cs="Arial"/>
                <w:sz w:val="16"/>
                <w:szCs w:val="16"/>
              </w:rPr>
            </w:pPr>
            <w:r w:rsidRPr="00E51A97">
              <w:rPr>
                <w:rFonts w:cs="Arial"/>
                <w:sz w:val="16"/>
                <w:szCs w:val="16"/>
              </w:rPr>
              <w:t>100%</w:t>
            </w:r>
          </w:p>
          <w:p w14:paraId="0D4BCE3E" w14:textId="77777777" w:rsidR="00F03060" w:rsidRDefault="00F03060" w:rsidP="00F03060">
            <w:pPr>
              <w:pStyle w:val="TableTextCentred"/>
              <w:spacing w:after="600"/>
              <w:rPr>
                <w:rFonts w:cs="Arial"/>
                <w:sz w:val="16"/>
                <w:szCs w:val="16"/>
              </w:rPr>
            </w:pPr>
            <w:r w:rsidRPr="00E51A97">
              <w:rPr>
                <w:rFonts w:cs="Arial"/>
                <w:sz w:val="16"/>
                <w:szCs w:val="16"/>
              </w:rPr>
              <w:t>40+</w:t>
            </w:r>
          </w:p>
          <w:p w14:paraId="3033E024" w14:textId="77777777" w:rsidR="00F03060" w:rsidRDefault="00F03060" w:rsidP="00F03060">
            <w:pPr>
              <w:pStyle w:val="TableTextCentred"/>
              <w:spacing w:after="240"/>
              <w:rPr>
                <w:rFonts w:cs="Arial"/>
                <w:sz w:val="16"/>
                <w:szCs w:val="16"/>
              </w:rPr>
            </w:pPr>
            <w:r>
              <w:rPr>
                <w:rFonts w:cs="Arial"/>
                <w:sz w:val="16"/>
                <w:szCs w:val="16"/>
              </w:rPr>
              <w:t>8 000</w:t>
            </w:r>
          </w:p>
          <w:p w14:paraId="512A80B8" w14:textId="77777777" w:rsidR="00F03060" w:rsidRDefault="00F03060" w:rsidP="00F03060">
            <w:pPr>
              <w:pStyle w:val="TableTextCentred"/>
              <w:spacing w:after="360"/>
              <w:rPr>
                <w:rFonts w:cs="Arial"/>
                <w:sz w:val="16"/>
                <w:szCs w:val="16"/>
              </w:rPr>
            </w:pPr>
            <w:r>
              <w:rPr>
                <w:rFonts w:cs="Arial"/>
                <w:sz w:val="16"/>
                <w:szCs w:val="16"/>
              </w:rPr>
              <w:t>200 000</w:t>
            </w:r>
          </w:p>
          <w:p w14:paraId="66990329" w14:textId="77777777" w:rsidR="00F03060" w:rsidRPr="00E05DB7" w:rsidRDefault="00F03060" w:rsidP="00F03060">
            <w:pPr>
              <w:pStyle w:val="TableTextCentred"/>
              <w:spacing w:after="120"/>
              <w:rPr>
                <w:rFonts w:cs="Arial"/>
                <w:i/>
                <w:sz w:val="16"/>
                <w:szCs w:val="16"/>
              </w:rPr>
            </w:pPr>
            <w:r w:rsidRPr="00E05DB7">
              <w:rPr>
                <w:rFonts w:cs="Arial"/>
                <w:i/>
                <w:sz w:val="16"/>
                <w:szCs w:val="16"/>
              </w:rPr>
              <w:t>22</w:t>
            </w:r>
          </w:p>
        </w:tc>
      </w:tr>
      <w:tr w:rsidR="00F03060" w:rsidRPr="00BE49A4" w14:paraId="4C87FF06" w14:textId="77777777" w:rsidTr="00F03060">
        <w:trPr>
          <w:trHeight w:val="436"/>
        </w:trPr>
        <w:tc>
          <w:tcPr>
            <w:tcW w:w="1418" w:type="dxa"/>
            <w:tcBorders>
              <w:top w:val="single" w:sz="4" w:space="0" w:color="auto"/>
              <w:right w:val="single" w:sz="4" w:space="0" w:color="auto"/>
            </w:tcBorders>
          </w:tcPr>
          <w:p w14:paraId="06B8AC7B" w14:textId="77777777" w:rsidR="00F03060" w:rsidRPr="00663FD0" w:rsidRDefault="00F03060" w:rsidP="00F03060">
            <w:pPr>
              <w:pStyle w:val="TableTextLeft"/>
              <w:rPr>
                <w:rFonts w:cs="Arial"/>
                <w:sz w:val="16"/>
                <w:szCs w:val="16"/>
              </w:rPr>
            </w:pPr>
            <w:r w:rsidRPr="00663FD0">
              <w:rPr>
                <w:rFonts w:cs="Arial"/>
                <w:sz w:val="16"/>
                <w:szCs w:val="16"/>
              </w:rPr>
              <w:t>20</w:t>
            </w:r>
            <w:r>
              <w:rPr>
                <w:rFonts w:cs="Arial"/>
                <w:sz w:val="16"/>
                <w:szCs w:val="16"/>
              </w:rPr>
              <w:t xml:space="preserve">22-23 </w:t>
            </w:r>
            <w:r w:rsidRPr="00663FD0">
              <w:rPr>
                <w:rFonts w:cs="Arial"/>
                <w:sz w:val="16"/>
                <w:szCs w:val="16"/>
              </w:rPr>
              <w:t xml:space="preserve"> and beyond</w:t>
            </w:r>
          </w:p>
        </w:tc>
        <w:tc>
          <w:tcPr>
            <w:tcW w:w="4819" w:type="dxa"/>
            <w:tcBorders>
              <w:top w:val="single" w:sz="4" w:space="0" w:color="auto"/>
              <w:left w:val="single" w:sz="4" w:space="0" w:color="auto"/>
              <w:bottom w:val="dotted" w:sz="4" w:space="0" w:color="auto"/>
              <w:right w:val="single" w:sz="4" w:space="0" w:color="auto"/>
            </w:tcBorders>
          </w:tcPr>
          <w:p w14:paraId="75BD8FD8" w14:textId="77777777" w:rsidR="00F03060" w:rsidRPr="00663FD0" w:rsidRDefault="00F03060" w:rsidP="00F03060">
            <w:pPr>
              <w:pStyle w:val="TableTextLeft"/>
              <w:rPr>
                <w:rFonts w:cs="Arial"/>
                <w:sz w:val="16"/>
                <w:szCs w:val="16"/>
              </w:rPr>
            </w:pPr>
            <w:r w:rsidRPr="00DA5229">
              <w:rPr>
                <w:rFonts w:cs="Arial"/>
                <w:sz w:val="16"/>
                <w:szCs w:val="16"/>
              </w:rPr>
              <w:t>As per 20</w:t>
            </w:r>
            <w:r>
              <w:rPr>
                <w:rFonts w:cs="Arial"/>
                <w:sz w:val="16"/>
                <w:szCs w:val="16"/>
              </w:rPr>
              <w:t xml:space="preserve">21-22 </w:t>
            </w:r>
          </w:p>
        </w:tc>
        <w:tc>
          <w:tcPr>
            <w:tcW w:w="1418" w:type="dxa"/>
            <w:tcBorders>
              <w:top w:val="single" w:sz="4" w:space="0" w:color="auto"/>
              <w:left w:val="single" w:sz="4" w:space="0" w:color="auto"/>
            </w:tcBorders>
          </w:tcPr>
          <w:p w14:paraId="04445546" w14:textId="77777777" w:rsidR="00F03060" w:rsidRPr="00BE49A4" w:rsidRDefault="00F03060" w:rsidP="00F03060">
            <w:pPr>
              <w:pStyle w:val="TableTextLeft"/>
              <w:jc w:val="center"/>
              <w:rPr>
                <w:rFonts w:cs="Arial"/>
                <w:sz w:val="16"/>
                <w:szCs w:val="16"/>
              </w:rPr>
            </w:pPr>
          </w:p>
        </w:tc>
      </w:tr>
      <w:tr w:rsidR="00F03060" w:rsidRPr="00BE49A4" w14:paraId="454B441E" w14:textId="77777777" w:rsidTr="00F03060">
        <w:trPr>
          <w:trHeight w:val="1390"/>
        </w:trPr>
        <w:tc>
          <w:tcPr>
            <w:tcW w:w="1418" w:type="dxa"/>
          </w:tcPr>
          <w:p w14:paraId="184F638C" w14:textId="77777777" w:rsidR="00F03060" w:rsidRPr="00BE49A4" w:rsidRDefault="00F03060" w:rsidP="00F03060">
            <w:pPr>
              <w:pStyle w:val="TableTextLeft"/>
              <w:rPr>
                <w:rFonts w:cs="Arial"/>
                <w:b/>
                <w:sz w:val="16"/>
                <w:szCs w:val="16"/>
              </w:rPr>
            </w:pPr>
            <w:r w:rsidRPr="00BE49A4">
              <w:rPr>
                <w:rFonts w:cs="Arial"/>
                <w:b/>
                <w:sz w:val="16"/>
                <w:szCs w:val="16"/>
              </w:rPr>
              <w:t>Purpose</w:t>
            </w:r>
          </w:p>
        </w:tc>
        <w:tc>
          <w:tcPr>
            <w:tcW w:w="6237" w:type="dxa"/>
            <w:gridSpan w:val="2"/>
          </w:tcPr>
          <w:p w14:paraId="38AAA795" w14:textId="77777777" w:rsidR="00F03060" w:rsidRDefault="00F03060" w:rsidP="00772E69">
            <w:pPr>
              <w:pStyle w:val="TableTextLeft"/>
              <w:spacing w:line="240" w:lineRule="exact"/>
              <w:jc w:val="both"/>
              <w:rPr>
                <w:rFonts w:cs="Arial"/>
                <w:sz w:val="16"/>
                <w:szCs w:val="16"/>
              </w:rPr>
            </w:pPr>
            <w:r w:rsidRPr="007A6322">
              <w:rPr>
                <w:rFonts w:cs="Arial"/>
                <w:sz w:val="16"/>
                <w:szCs w:val="16"/>
              </w:rPr>
              <w:t xml:space="preserve">The ACCC’s purpose is to </w:t>
            </w:r>
            <w:r>
              <w:rPr>
                <w:rFonts w:cs="Arial"/>
                <w:sz w:val="16"/>
                <w:szCs w:val="16"/>
              </w:rPr>
              <w:t>make</w:t>
            </w:r>
            <w:r w:rsidRPr="00BE49A4">
              <w:rPr>
                <w:rFonts w:cs="Arial"/>
                <w:sz w:val="16"/>
                <w:szCs w:val="16"/>
              </w:rPr>
              <w:t xml:space="preserve"> markets work for consumers, now and in the future</w:t>
            </w:r>
            <w:r>
              <w:rPr>
                <w:rFonts w:cs="Arial"/>
                <w:sz w:val="16"/>
                <w:szCs w:val="16"/>
              </w:rPr>
              <w:t>.</w:t>
            </w:r>
          </w:p>
          <w:p w14:paraId="05EBE20A" w14:textId="77777777" w:rsidR="00F03060" w:rsidRPr="00D75C78" w:rsidRDefault="00F03060" w:rsidP="00772E69">
            <w:pPr>
              <w:pStyle w:val="TableTextLeft"/>
              <w:spacing w:line="240" w:lineRule="exact"/>
              <w:jc w:val="both"/>
              <w:rPr>
                <w:rFonts w:cs="Arial"/>
                <w:i/>
                <w:sz w:val="16"/>
                <w:szCs w:val="16"/>
              </w:rPr>
            </w:pPr>
            <w:r w:rsidRPr="00BE49A4">
              <w:rPr>
                <w:rFonts w:cs="Arial"/>
                <w:sz w:val="16"/>
                <w:szCs w:val="16"/>
              </w:rPr>
              <w:t xml:space="preserve">The ACCC enforces </w:t>
            </w:r>
            <w:r w:rsidRPr="007303F4">
              <w:rPr>
                <w:rFonts w:cs="Arial"/>
                <w:sz w:val="16"/>
                <w:szCs w:val="16"/>
              </w:rPr>
              <w:t xml:space="preserve">the </w:t>
            </w:r>
            <w:r w:rsidRPr="00124F05">
              <w:rPr>
                <w:rFonts w:cs="Arial"/>
                <w:sz w:val="16"/>
                <w:szCs w:val="16"/>
              </w:rPr>
              <w:t>CCA</w:t>
            </w:r>
            <w:r w:rsidRPr="007303F4">
              <w:rPr>
                <w:rFonts w:cs="Arial"/>
                <w:sz w:val="16"/>
                <w:szCs w:val="16"/>
              </w:rPr>
              <w:t xml:space="preserve"> and</w:t>
            </w:r>
            <w:r w:rsidRPr="00BE49A4">
              <w:rPr>
                <w:rFonts w:cs="Arial"/>
                <w:sz w:val="16"/>
                <w:szCs w:val="16"/>
              </w:rPr>
              <w:t xml:space="preserve"> a range of additional legislation, promoting competition, fair trading</w:t>
            </w:r>
            <w:r>
              <w:rPr>
                <w:rFonts w:cs="Arial"/>
                <w:sz w:val="16"/>
                <w:szCs w:val="16"/>
              </w:rPr>
              <w:t xml:space="preserve">, consumer protection </w:t>
            </w:r>
            <w:r w:rsidRPr="00BE49A4">
              <w:rPr>
                <w:rFonts w:cs="Arial"/>
                <w:sz w:val="16"/>
                <w:szCs w:val="16"/>
              </w:rPr>
              <w:t>and regulating national infrastructure for the benefit of all Australians.</w:t>
            </w:r>
            <w:r w:rsidRPr="00BE49A4">
              <w:rPr>
                <w:rFonts w:cs="Arial"/>
                <w:i/>
                <w:sz w:val="16"/>
                <w:szCs w:val="16"/>
              </w:rPr>
              <w:t xml:space="preserve"> </w:t>
            </w:r>
            <w:r>
              <w:rPr>
                <w:rFonts w:cs="Arial"/>
                <w:i/>
                <w:sz w:val="16"/>
                <w:szCs w:val="16"/>
              </w:rPr>
              <w:t xml:space="preserve"> </w:t>
            </w:r>
          </w:p>
        </w:tc>
      </w:tr>
    </w:tbl>
    <w:p w14:paraId="0C5C8968" w14:textId="6058B995" w:rsidR="00DF4979" w:rsidRPr="00772E69" w:rsidRDefault="00F03060" w:rsidP="00316FB8">
      <w:pPr>
        <w:pStyle w:val="ListParagraph"/>
        <w:numPr>
          <w:ilvl w:val="0"/>
          <w:numId w:val="21"/>
        </w:numPr>
        <w:spacing w:after="0" w:line="240" w:lineRule="auto"/>
        <w:ind w:hanging="248"/>
        <w:rPr>
          <w:rFonts w:ascii="Arial" w:hAnsi="Arial" w:cs="Arial"/>
          <w:i/>
          <w:color w:val="000000"/>
          <w:sz w:val="16"/>
          <w:szCs w:val="16"/>
          <w:lang w:val="x-none" w:eastAsia="x-none"/>
        </w:rPr>
      </w:pPr>
      <w:r w:rsidRPr="00E507B9">
        <w:rPr>
          <w:rFonts w:ascii="Arial" w:hAnsi="Arial" w:cs="Arial"/>
          <w:color w:val="000000"/>
          <w:sz w:val="16"/>
          <w:szCs w:val="16"/>
          <w:lang w:val="x-none" w:eastAsia="x-none"/>
        </w:rPr>
        <w:t xml:space="preserve">New or modified performance criteria that reflect new or materially changed programs are shown in </w:t>
      </w:r>
      <w:r w:rsidRPr="00E507B9">
        <w:rPr>
          <w:rFonts w:ascii="Arial" w:hAnsi="Arial" w:cs="Arial"/>
          <w:i/>
          <w:color w:val="000000"/>
          <w:sz w:val="16"/>
          <w:szCs w:val="16"/>
          <w:lang w:val="x-none" w:eastAsia="x-none"/>
        </w:rPr>
        <w:t>italics.</w:t>
      </w:r>
    </w:p>
    <w:p w14:paraId="6DAE36B7" w14:textId="37D48541" w:rsidR="00CD7202" w:rsidRPr="008940C9" w:rsidRDefault="00CD7202" w:rsidP="00316FB8">
      <w:pPr>
        <w:tabs>
          <w:tab w:val="left" w:pos="284"/>
        </w:tabs>
        <w:spacing w:after="0" w:line="240" w:lineRule="auto"/>
        <w:rPr>
          <w:rFonts w:ascii="Arial" w:eastAsia="Calibri" w:hAnsi="Arial" w:cs="Arial"/>
          <w:sz w:val="16"/>
          <w:szCs w:val="16"/>
          <w:lang w:val="x-none" w:eastAsia="x-none"/>
        </w:rPr>
      </w:pPr>
      <w:r>
        <w:t>The above program is linked to the</w:t>
      </w:r>
      <w:r w:rsidR="00456561">
        <w:t xml:space="preserve"> Department of Health (Program 1.8</w:t>
      </w:r>
      <w:r>
        <w:t xml:space="preserve"> – </w:t>
      </w:r>
      <w:r w:rsidR="00456561">
        <w:t>Health Protection, Emergency Response and Regulation)</w:t>
      </w:r>
      <w:r>
        <w:t xml:space="preserve"> and the Department of Industry, Science, Energy and Resources (Program 1.2 – Growing </w:t>
      </w:r>
      <w:r w:rsidR="00CE7083">
        <w:t>innovative and competitive businesses, industries and regions</w:t>
      </w:r>
      <w:r>
        <w:t xml:space="preserve"> and Program 3.1 </w:t>
      </w:r>
      <w:r w:rsidR="00CE7083">
        <w:t>–</w:t>
      </w:r>
      <w:r>
        <w:t xml:space="preserve"> </w:t>
      </w:r>
      <w:r w:rsidR="00CE7083">
        <w:t>Supporting reliable, secure and affordable energy</w:t>
      </w:r>
      <w:r>
        <w:t>).</w:t>
      </w:r>
    </w:p>
    <w:p w14:paraId="55101FCA" w14:textId="6348052A" w:rsidR="00316FB8" w:rsidRDefault="00316FB8">
      <w:pPr>
        <w:spacing w:after="0" w:line="240" w:lineRule="auto"/>
        <w:jc w:val="left"/>
      </w:pPr>
      <w:r>
        <w:br w:type="page"/>
      </w:r>
    </w:p>
    <w:p w14:paraId="04A12EB9" w14:textId="75E43C20" w:rsidR="00DF4979" w:rsidRDefault="00DF4979" w:rsidP="00DF4979">
      <w:pPr>
        <w:spacing w:after="0"/>
      </w:pPr>
    </w:p>
    <w:p w14:paraId="0806C838" w14:textId="7A94AFAA" w:rsidR="00DF4979" w:rsidRDefault="00DF4979" w:rsidP="00DF4979">
      <w:pPr>
        <w:pStyle w:val="TableHeading"/>
        <w:rPr>
          <w:lang w:val="en-AU"/>
        </w:rPr>
      </w:pPr>
      <w:r>
        <w:t>Table 2.</w:t>
      </w:r>
      <w:r>
        <w:rPr>
          <w:lang w:val="en-AU"/>
        </w:rPr>
        <w:t>2:</w:t>
      </w:r>
      <w:r w:rsidRPr="00A8510B">
        <w:t xml:space="preserve"> Performance criteria for Outcome </w:t>
      </w:r>
      <w:r w:rsidRPr="00A8510B">
        <w:rPr>
          <w:lang w:val="en-AU"/>
        </w:rPr>
        <w:t>1</w:t>
      </w:r>
      <w:r>
        <w:rPr>
          <w:lang w:val="en-AU"/>
        </w:rPr>
        <w:t xml:space="preserve"> (continued)</w:t>
      </w:r>
    </w:p>
    <w:p w14:paraId="3523F7D5" w14:textId="77777777" w:rsidR="00E01AB5" w:rsidRPr="00E01AB5" w:rsidRDefault="00E01AB5" w:rsidP="00E01AB5">
      <w:pPr>
        <w:pStyle w:val="TableGraphic"/>
        <w:rPr>
          <w:lang w:eastAsia="x-none"/>
        </w:rPr>
      </w:pP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4828"/>
        <w:gridCol w:w="1701"/>
      </w:tblGrid>
      <w:tr w:rsidR="00E01AB5" w:rsidRPr="00224129" w14:paraId="3581643B" w14:textId="77777777" w:rsidTr="006171C3">
        <w:tc>
          <w:tcPr>
            <w:tcW w:w="7797" w:type="dxa"/>
            <w:gridSpan w:val="3"/>
            <w:tcBorders>
              <w:bottom w:val="single" w:sz="4" w:space="0" w:color="auto"/>
            </w:tcBorders>
            <w:shd w:val="clear" w:color="auto" w:fill="F2F2F2"/>
          </w:tcPr>
          <w:p w14:paraId="2B22789D" w14:textId="77777777" w:rsidR="00E01AB5" w:rsidRPr="002D2711" w:rsidRDefault="00E01AB5" w:rsidP="00772E69">
            <w:pPr>
              <w:tabs>
                <w:tab w:val="left" w:pos="709"/>
              </w:tabs>
              <w:spacing w:after="0" w:line="240" w:lineRule="exact"/>
              <w:rPr>
                <w:rFonts w:ascii="Arial" w:hAnsi="Arial" w:cs="Arial"/>
                <w:sz w:val="16"/>
                <w:szCs w:val="16"/>
              </w:rPr>
            </w:pPr>
            <w:r w:rsidRPr="002D2711">
              <w:rPr>
                <w:rFonts w:ascii="Arial" w:hAnsi="Arial" w:cs="Arial"/>
                <w:b/>
                <w:sz w:val="16"/>
                <w:szCs w:val="16"/>
              </w:rPr>
              <w:t>Program 1.2 - Australian Energy Regulator</w:t>
            </w:r>
            <w:r w:rsidRPr="002D2711">
              <w:rPr>
                <w:rFonts w:ascii="Arial" w:hAnsi="Arial" w:cs="Arial"/>
                <w:sz w:val="16"/>
                <w:szCs w:val="16"/>
              </w:rPr>
              <w:t xml:space="preserve"> </w:t>
            </w:r>
          </w:p>
          <w:p w14:paraId="6479F38D" w14:textId="77777777" w:rsidR="00E01AB5" w:rsidRPr="007A1562" w:rsidRDefault="00E01AB5" w:rsidP="00772E69">
            <w:pPr>
              <w:tabs>
                <w:tab w:val="left" w:pos="709"/>
              </w:tabs>
              <w:spacing w:after="0" w:line="240" w:lineRule="exact"/>
              <w:rPr>
                <w:rFonts w:ascii="Arial" w:hAnsi="Arial" w:cs="Arial"/>
                <w:sz w:val="16"/>
                <w:szCs w:val="16"/>
              </w:rPr>
            </w:pPr>
            <w:r w:rsidRPr="002D2711">
              <w:rPr>
                <w:rFonts w:ascii="Arial" w:hAnsi="Arial" w:cs="Arial"/>
                <w:sz w:val="16"/>
                <w:szCs w:val="16"/>
              </w:rPr>
              <w:t>The AER’s priorities and work program are guided by the objectives of national energy legislation and rules and the five core outcomes for the energy system established by the COAG Energy Council’s Strategic Plan. The common objective through the legislation is to promote efficient investment in, and efficient operation and use of, energy services for the long-term interests of end users of energy with respect to price, quality, safety, reliability and security.</w:t>
            </w:r>
          </w:p>
        </w:tc>
      </w:tr>
      <w:tr w:rsidR="00E01AB5" w:rsidRPr="00224129" w14:paraId="7468747F" w14:textId="77777777" w:rsidTr="006171C3">
        <w:tc>
          <w:tcPr>
            <w:tcW w:w="1268" w:type="dxa"/>
            <w:tcBorders>
              <w:bottom w:val="single" w:sz="4" w:space="0" w:color="auto"/>
            </w:tcBorders>
          </w:tcPr>
          <w:p w14:paraId="3FEEF683" w14:textId="77777777" w:rsidR="00E01AB5" w:rsidRPr="007A1562" w:rsidRDefault="00E01AB5" w:rsidP="006171C3">
            <w:pPr>
              <w:tabs>
                <w:tab w:val="left" w:pos="709"/>
              </w:tabs>
              <w:spacing w:after="0"/>
              <w:jc w:val="left"/>
              <w:rPr>
                <w:rFonts w:ascii="Arial" w:hAnsi="Arial" w:cs="Arial"/>
                <w:b/>
                <w:sz w:val="16"/>
                <w:szCs w:val="16"/>
              </w:rPr>
            </w:pPr>
            <w:r w:rsidRPr="007A1562">
              <w:rPr>
                <w:rFonts w:ascii="Arial" w:hAnsi="Arial" w:cs="Arial"/>
                <w:b/>
                <w:sz w:val="16"/>
                <w:szCs w:val="16"/>
              </w:rPr>
              <w:t>Delivery</w:t>
            </w:r>
          </w:p>
        </w:tc>
        <w:tc>
          <w:tcPr>
            <w:tcW w:w="6529" w:type="dxa"/>
            <w:gridSpan w:val="2"/>
            <w:tcBorders>
              <w:bottom w:val="single" w:sz="4" w:space="0" w:color="auto"/>
            </w:tcBorders>
          </w:tcPr>
          <w:p w14:paraId="4D73D994" w14:textId="77777777" w:rsidR="00E01AB5" w:rsidRPr="007A1562" w:rsidRDefault="00E01AB5" w:rsidP="006171C3">
            <w:pPr>
              <w:tabs>
                <w:tab w:val="left" w:pos="709"/>
              </w:tabs>
              <w:spacing w:before="60" w:after="60" w:line="240" w:lineRule="auto"/>
              <w:jc w:val="left"/>
              <w:rPr>
                <w:rFonts w:ascii="Arial" w:hAnsi="Arial" w:cs="Arial"/>
                <w:sz w:val="16"/>
                <w:szCs w:val="16"/>
              </w:rPr>
            </w:pPr>
            <w:r>
              <w:rPr>
                <w:rFonts w:ascii="Arial" w:hAnsi="Arial" w:cs="Arial"/>
                <w:sz w:val="16"/>
                <w:szCs w:val="16"/>
              </w:rPr>
              <w:t>The AER achieves Outcome 1 by:</w:t>
            </w:r>
          </w:p>
          <w:p w14:paraId="40BD8CF1" w14:textId="77777777" w:rsidR="00C65870" w:rsidRPr="00C65870" w:rsidRDefault="00E01AB5" w:rsidP="00C65870">
            <w:pPr>
              <w:pStyle w:val="TableTextLeft"/>
              <w:numPr>
                <w:ilvl w:val="0"/>
                <w:numId w:val="18"/>
              </w:numPr>
              <w:rPr>
                <w:sz w:val="16"/>
              </w:rPr>
            </w:pPr>
            <w:r w:rsidRPr="00C65870">
              <w:rPr>
                <w:sz w:val="16"/>
              </w:rPr>
              <w:t>Wholesale energy market regulation: monitoring, investigating and enforcing compliance with national energy legislation and rules in wholesale electricity and gas markets. We monitor participant bidding and rebidding, market dispatch and prices, network constraints and outages, demand forecasts and forecasts of production and capacity. We also report on market activity.</w:t>
            </w:r>
          </w:p>
          <w:p w14:paraId="185B2CA9" w14:textId="77777777" w:rsidR="00C65870" w:rsidRPr="00C65870" w:rsidRDefault="00E01AB5" w:rsidP="00C65870">
            <w:pPr>
              <w:pStyle w:val="TableTextLeft"/>
              <w:numPr>
                <w:ilvl w:val="0"/>
                <w:numId w:val="18"/>
              </w:numPr>
              <w:rPr>
                <w:sz w:val="16"/>
              </w:rPr>
            </w:pPr>
            <w:r w:rsidRPr="00C65870">
              <w:rPr>
                <w:sz w:val="16"/>
              </w:rPr>
              <w:t>Energy networks regulation: regulating electricity networks and natural gas pipelines by setting the maximum amount of revenue they can earn, with reference to factors including projected demand, age of infrastructure, operating and financial costs, and network reliability and safety standards.</w:t>
            </w:r>
          </w:p>
          <w:p w14:paraId="70985315" w14:textId="77777777" w:rsidR="00C65870" w:rsidRPr="00C65870" w:rsidRDefault="00E01AB5" w:rsidP="00C65870">
            <w:pPr>
              <w:pStyle w:val="TableTextLeft"/>
              <w:numPr>
                <w:ilvl w:val="0"/>
                <w:numId w:val="18"/>
              </w:numPr>
              <w:rPr>
                <w:sz w:val="16"/>
              </w:rPr>
            </w:pPr>
            <w:r w:rsidRPr="00C65870">
              <w:rPr>
                <w:sz w:val="16"/>
              </w:rPr>
              <w:t>Retail energy market regulation: regulating retail electricity and gas markets in jurisdictions that have commenced the National Energy Retail Law: Tasmania (for electricity customers only), the Australian Capital Territory, South Australia, New South Wales and Queensland.</w:t>
            </w:r>
          </w:p>
          <w:p w14:paraId="2B63D843" w14:textId="77777777" w:rsidR="00C65870" w:rsidRPr="00C65870" w:rsidRDefault="00E01AB5" w:rsidP="00C65870">
            <w:pPr>
              <w:pStyle w:val="TableTextLeft"/>
              <w:numPr>
                <w:ilvl w:val="0"/>
                <w:numId w:val="18"/>
              </w:numPr>
              <w:rPr>
                <w:sz w:val="16"/>
              </w:rPr>
            </w:pPr>
            <w:r w:rsidRPr="00C65870">
              <w:rPr>
                <w:sz w:val="16"/>
              </w:rPr>
              <w:t>Consumer protection: empowering consumers to make informed choices about their energy supplier, including through a price comparison website, Energy Made Easy, setting the Default Market Offer to protect consumers from high prices and encourage participation in the market, approving retailer policies to assist customers facing financial hardship, and operating a retailer of last resort scheme if a retailer fails.</w:t>
            </w:r>
          </w:p>
          <w:p w14:paraId="5B1FF78B" w14:textId="5B717A0B" w:rsidR="00E01AB5" w:rsidRPr="000103F6" w:rsidRDefault="00E01AB5" w:rsidP="00C65870">
            <w:pPr>
              <w:pStyle w:val="TableTextLeft"/>
              <w:numPr>
                <w:ilvl w:val="0"/>
                <w:numId w:val="18"/>
              </w:numPr>
            </w:pPr>
            <w:r w:rsidRPr="00C65870">
              <w:rPr>
                <w:sz w:val="16"/>
              </w:rPr>
              <w:t>Policy and advocacy: advocating for improvements to energy laws across participating jurisdictions, as well as positive changes to the behaviour of energy businesses and consumers. This includes simplifying the retail market regulatory framework to encourage effective competition and reduce cost to serve.</w:t>
            </w:r>
          </w:p>
        </w:tc>
      </w:tr>
      <w:tr w:rsidR="00E01AB5" w:rsidRPr="00F71634" w14:paraId="45B9612E" w14:textId="77777777" w:rsidTr="006171C3">
        <w:tc>
          <w:tcPr>
            <w:tcW w:w="7797" w:type="dxa"/>
            <w:gridSpan w:val="3"/>
            <w:tcBorders>
              <w:top w:val="double" w:sz="4" w:space="0" w:color="auto"/>
              <w:bottom w:val="double" w:sz="4" w:space="0" w:color="auto"/>
            </w:tcBorders>
          </w:tcPr>
          <w:p w14:paraId="664A26A4" w14:textId="77777777" w:rsidR="00E01AB5" w:rsidRPr="002D2711" w:rsidRDefault="00E01AB5" w:rsidP="006171C3">
            <w:pPr>
              <w:tabs>
                <w:tab w:val="left" w:pos="709"/>
              </w:tabs>
              <w:spacing w:before="60" w:after="60" w:line="240" w:lineRule="auto"/>
              <w:jc w:val="left"/>
              <w:rPr>
                <w:rFonts w:ascii="Arial" w:hAnsi="Arial" w:cs="Arial"/>
                <w:b/>
                <w:sz w:val="16"/>
                <w:szCs w:val="16"/>
              </w:rPr>
            </w:pPr>
            <w:r w:rsidRPr="002D2711">
              <w:rPr>
                <w:rFonts w:ascii="Arial" w:hAnsi="Arial" w:cs="Arial"/>
                <w:b/>
                <w:sz w:val="16"/>
                <w:szCs w:val="16"/>
              </w:rPr>
              <w:t>Performance information</w:t>
            </w:r>
          </w:p>
        </w:tc>
      </w:tr>
      <w:tr w:rsidR="00E01AB5" w:rsidRPr="006071EF" w14:paraId="4B00BFE6" w14:textId="77777777" w:rsidTr="006171C3">
        <w:tc>
          <w:tcPr>
            <w:tcW w:w="1268" w:type="dxa"/>
            <w:tcBorders>
              <w:top w:val="single" w:sz="4" w:space="0" w:color="auto"/>
              <w:bottom w:val="single" w:sz="4" w:space="0" w:color="auto"/>
              <w:right w:val="single" w:sz="4" w:space="0" w:color="auto"/>
            </w:tcBorders>
          </w:tcPr>
          <w:p w14:paraId="73D2085C" w14:textId="77777777" w:rsidR="00E01AB5" w:rsidRPr="002D2711" w:rsidRDefault="00E01AB5" w:rsidP="006171C3">
            <w:pPr>
              <w:pStyle w:val="TableColumnHeadingLeft"/>
              <w:rPr>
                <w:rFonts w:cs="Arial"/>
                <w:sz w:val="16"/>
                <w:szCs w:val="16"/>
              </w:rPr>
            </w:pPr>
            <w:r w:rsidRPr="002D2711">
              <w:rPr>
                <w:rFonts w:cs="Arial"/>
                <w:sz w:val="16"/>
                <w:szCs w:val="16"/>
              </w:rPr>
              <w:t>Year</w:t>
            </w:r>
          </w:p>
        </w:tc>
        <w:tc>
          <w:tcPr>
            <w:tcW w:w="4828" w:type="dxa"/>
            <w:tcBorders>
              <w:top w:val="single" w:sz="4" w:space="0" w:color="auto"/>
              <w:left w:val="single" w:sz="4" w:space="0" w:color="auto"/>
              <w:bottom w:val="single" w:sz="4" w:space="0" w:color="auto"/>
              <w:right w:val="single" w:sz="4" w:space="0" w:color="auto"/>
            </w:tcBorders>
          </w:tcPr>
          <w:p w14:paraId="5B97ABC7" w14:textId="77777777" w:rsidR="00E01AB5" w:rsidRPr="002D2711" w:rsidRDefault="00E01AB5" w:rsidP="006171C3">
            <w:pPr>
              <w:pStyle w:val="TableColumnHeadingLeft"/>
              <w:rPr>
                <w:rFonts w:cs="Arial"/>
                <w:sz w:val="16"/>
                <w:szCs w:val="16"/>
              </w:rPr>
            </w:pPr>
            <w:r w:rsidRPr="002D2711">
              <w:rPr>
                <w:rFonts w:cs="Arial"/>
                <w:sz w:val="16"/>
                <w:szCs w:val="16"/>
              </w:rPr>
              <w:t xml:space="preserve">Performance criteria </w:t>
            </w:r>
            <w:r w:rsidRPr="002840BE">
              <w:rPr>
                <w:rFonts w:cs="Arial"/>
                <w:b w:val="0"/>
                <w:sz w:val="16"/>
                <w:szCs w:val="16"/>
                <w:vertAlign w:val="superscript"/>
              </w:rPr>
              <w:t>(a)</w:t>
            </w:r>
          </w:p>
        </w:tc>
        <w:tc>
          <w:tcPr>
            <w:tcW w:w="1701" w:type="dxa"/>
            <w:tcBorders>
              <w:top w:val="single" w:sz="4" w:space="0" w:color="auto"/>
              <w:left w:val="single" w:sz="4" w:space="0" w:color="auto"/>
              <w:bottom w:val="single" w:sz="4" w:space="0" w:color="auto"/>
            </w:tcBorders>
          </w:tcPr>
          <w:p w14:paraId="64A5E2F5" w14:textId="77777777" w:rsidR="00E01AB5" w:rsidRPr="002D2711" w:rsidRDefault="00E01AB5" w:rsidP="006171C3">
            <w:pPr>
              <w:pStyle w:val="TableColumnHeadingLeft"/>
              <w:rPr>
                <w:rFonts w:cs="Arial"/>
                <w:sz w:val="16"/>
                <w:szCs w:val="16"/>
              </w:rPr>
            </w:pPr>
            <w:r w:rsidRPr="002D2711">
              <w:rPr>
                <w:rFonts w:cs="Arial"/>
                <w:sz w:val="16"/>
                <w:szCs w:val="16"/>
              </w:rPr>
              <w:t xml:space="preserve">Expected Achievement </w:t>
            </w:r>
            <w:r w:rsidRPr="002D2711">
              <w:rPr>
                <w:rFonts w:cs="Arial"/>
                <w:sz w:val="16"/>
                <w:szCs w:val="16"/>
              </w:rPr>
              <w:br/>
              <w:t>2020-21 / Targets for 2021-22</w:t>
            </w:r>
          </w:p>
        </w:tc>
      </w:tr>
      <w:tr w:rsidR="00E01AB5" w:rsidRPr="00A84A52" w14:paraId="35964F04" w14:textId="77777777" w:rsidTr="006171C3">
        <w:trPr>
          <w:trHeight w:val="585"/>
        </w:trPr>
        <w:tc>
          <w:tcPr>
            <w:tcW w:w="1268" w:type="dxa"/>
            <w:tcBorders>
              <w:top w:val="single" w:sz="4" w:space="0" w:color="auto"/>
              <w:left w:val="single" w:sz="4" w:space="0" w:color="auto"/>
              <w:bottom w:val="single" w:sz="4" w:space="0" w:color="auto"/>
              <w:right w:val="single" w:sz="4" w:space="0" w:color="auto"/>
            </w:tcBorders>
          </w:tcPr>
          <w:p w14:paraId="76CEADCC" w14:textId="77777777" w:rsidR="00E01AB5" w:rsidRPr="002D2711" w:rsidRDefault="00E01AB5" w:rsidP="006171C3">
            <w:pPr>
              <w:tabs>
                <w:tab w:val="left" w:pos="709"/>
              </w:tabs>
              <w:spacing w:before="60" w:after="60"/>
              <w:rPr>
                <w:rFonts w:ascii="Arial" w:hAnsi="Arial" w:cs="Arial"/>
                <w:sz w:val="16"/>
                <w:szCs w:val="16"/>
              </w:rPr>
            </w:pPr>
            <w:r w:rsidRPr="002D2711">
              <w:rPr>
                <w:rFonts w:ascii="Arial" w:hAnsi="Arial" w:cs="Arial"/>
                <w:sz w:val="16"/>
                <w:szCs w:val="16"/>
              </w:rPr>
              <w:t>2020-21</w:t>
            </w:r>
          </w:p>
        </w:tc>
        <w:tc>
          <w:tcPr>
            <w:tcW w:w="4828" w:type="dxa"/>
            <w:tcBorders>
              <w:top w:val="single" w:sz="4" w:space="0" w:color="auto"/>
              <w:left w:val="single" w:sz="4" w:space="0" w:color="auto"/>
              <w:bottom w:val="single" w:sz="4" w:space="0" w:color="auto"/>
              <w:right w:val="single" w:sz="4" w:space="0" w:color="auto"/>
            </w:tcBorders>
          </w:tcPr>
          <w:p w14:paraId="71EE63BE" w14:textId="77777777" w:rsidR="00E01AB5" w:rsidRPr="002D2711" w:rsidRDefault="00E01AB5" w:rsidP="00772E69">
            <w:pPr>
              <w:tabs>
                <w:tab w:val="left" w:pos="709"/>
              </w:tabs>
              <w:spacing w:before="60" w:after="60" w:line="240" w:lineRule="auto"/>
              <w:rPr>
                <w:rFonts w:ascii="Arial" w:hAnsi="Arial" w:cs="Arial"/>
                <w:color w:val="000000"/>
                <w:sz w:val="16"/>
                <w:szCs w:val="16"/>
              </w:rPr>
            </w:pPr>
            <w:r w:rsidRPr="002D2711">
              <w:rPr>
                <w:rFonts w:ascii="Arial" w:hAnsi="Arial" w:cs="Arial"/>
                <w:color w:val="000000"/>
                <w:sz w:val="16"/>
                <w:szCs w:val="16"/>
              </w:rPr>
              <w:t>Proportion of stakeholder survey respondents that Strongly Agree / Agree with the statements:</w:t>
            </w:r>
          </w:p>
          <w:p w14:paraId="61755AF2" w14:textId="77777777" w:rsidR="00E01AB5" w:rsidRPr="002D2711" w:rsidRDefault="00E01AB5" w:rsidP="00772E69">
            <w:pPr>
              <w:pStyle w:val="ListParagraph"/>
              <w:numPr>
                <w:ilvl w:val="3"/>
                <w:numId w:val="17"/>
              </w:numPr>
              <w:tabs>
                <w:tab w:val="left" w:pos="340"/>
                <w:tab w:val="left" w:pos="709"/>
              </w:tabs>
              <w:spacing w:before="60" w:after="60" w:line="240" w:lineRule="auto"/>
              <w:ind w:left="295" w:hanging="230"/>
              <w:contextualSpacing w:val="0"/>
              <w:jc w:val="both"/>
              <w:rPr>
                <w:rFonts w:ascii="Arial" w:hAnsi="Arial" w:cs="Arial"/>
                <w:sz w:val="16"/>
                <w:szCs w:val="16"/>
              </w:rPr>
            </w:pPr>
            <w:r w:rsidRPr="002D2711">
              <w:rPr>
                <w:rFonts w:ascii="Arial" w:hAnsi="Arial" w:cs="Arial"/>
                <w:sz w:val="16"/>
                <w:szCs w:val="16"/>
              </w:rPr>
              <w:t xml:space="preserve">The AER supports and protects energy consumers, particularly those in vulnerable circumstances </w:t>
            </w:r>
          </w:p>
          <w:p w14:paraId="6E2ED78B" w14:textId="77777777" w:rsidR="00E01AB5" w:rsidRPr="002D2711" w:rsidRDefault="00E01AB5" w:rsidP="00772E69">
            <w:pPr>
              <w:pStyle w:val="ListParagraph"/>
              <w:numPr>
                <w:ilvl w:val="3"/>
                <w:numId w:val="17"/>
              </w:numPr>
              <w:tabs>
                <w:tab w:val="left" w:pos="340"/>
                <w:tab w:val="left" w:pos="709"/>
              </w:tabs>
              <w:spacing w:before="60" w:after="120" w:line="240" w:lineRule="auto"/>
              <w:ind w:left="295" w:hanging="230"/>
              <w:contextualSpacing w:val="0"/>
              <w:jc w:val="both"/>
              <w:rPr>
                <w:rFonts w:ascii="Arial" w:hAnsi="Arial" w:cs="Arial"/>
                <w:sz w:val="16"/>
                <w:szCs w:val="16"/>
              </w:rPr>
            </w:pPr>
            <w:r w:rsidRPr="002D2711">
              <w:rPr>
                <w:rFonts w:ascii="Arial" w:hAnsi="Arial" w:cs="Arial"/>
                <w:sz w:val="16"/>
                <w:szCs w:val="16"/>
              </w:rPr>
              <w:t xml:space="preserve">The AER demonstrates a sound knowledge and understanding of energy consumers </w:t>
            </w:r>
          </w:p>
          <w:p w14:paraId="160FE357" w14:textId="77777777" w:rsidR="00E01AB5" w:rsidRPr="002D2711" w:rsidRDefault="00E01AB5" w:rsidP="00772E69">
            <w:pPr>
              <w:pStyle w:val="ListParagraph"/>
              <w:numPr>
                <w:ilvl w:val="3"/>
                <w:numId w:val="17"/>
              </w:numPr>
              <w:tabs>
                <w:tab w:val="left" w:pos="340"/>
                <w:tab w:val="left" w:pos="709"/>
              </w:tabs>
              <w:spacing w:before="60" w:after="60" w:line="240" w:lineRule="auto"/>
              <w:ind w:left="295" w:hanging="230"/>
              <w:contextualSpacing w:val="0"/>
              <w:jc w:val="both"/>
              <w:rPr>
                <w:rFonts w:ascii="Arial" w:hAnsi="Arial" w:cs="Arial"/>
                <w:sz w:val="16"/>
                <w:szCs w:val="16"/>
              </w:rPr>
            </w:pPr>
            <w:r w:rsidRPr="002D2711">
              <w:rPr>
                <w:rFonts w:ascii="Arial" w:hAnsi="Arial" w:cs="Arial"/>
                <w:sz w:val="16"/>
                <w:szCs w:val="16"/>
              </w:rPr>
              <w:t>The AER equips consumers to participate effectively, and protects those who are unable to safeguard their own interests</w:t>
            </w:r>
          </w:p>
          <w:p w14:paraId="7A912D2F" w14:textId="77777777" w:rsidR="00E01AB5" w:rsidRPr="002D2711" w:rsidRDefault="00E01AB5" w:rsidP="00772E69">
            <w:pPr>
              <w:tabs>
                <w:tab w:val="left" w:pos="709"/>
              </w:tabs>
              <w:spacing w:before="240" w:after="120" w:line="240" w:lineRule="auto"/>
              <w:rPr>
                <w:rFonts w:ascii="Arial" w:hAnsi="Arial" w:cs="Arial"/>
                <w:sz w:val="16"/>
                <w:szCs w:val="16"/>
              </w:rPr>
            </w:pPr>
            <w:r w:rsidRPr="002D2711">
              <w:rPr>
                <w:rFonts w:ascii="Arial" w:hAnsi="Arial" w:cs="Arial"/>
                <w:sz w:val="16"/>
                <w:szCs w:val="16"/>
              </w:rPr>
              <w:t>Number of people completing their search on Energy Made Easy (EME)</w:t>
            </w:r>
          </w:p>
          <w:p w14:paraId="2E7F6733" w14:textId="77777777" w:rsidR="00E01AB5" w:rsidRPr="002D2711" w:rsidRDefault="00E01AB5" w:rsidP="00772E69">
            <w:pPr>
              <w:tabs>
                <w:tab w:val="left" w:pos="709"/>
              </w:tabs>
              <w:spacing w:before="60" w:after="60" w:line="240" w:lineRule="auto"/>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14:paraId="68A6E492" w14:textId="77777777" w:rsidR="00E01AB5" w:rsidRPr="002D2711" w:rsidRDefault="00E01AB5" w:rsidP="006171C3">
            <w:pPr>
              <w:tabs>
                <w:tab w:val="left" w:pos="709"/>
              </w:tabs>
              <w:spacing w:before="60" w:after="300" w:line="240" w:lineRule="auto"/>
              <w:jc w:val="center"/>
              <w:rPr>
                <w:rFonts w:ascii="Arial" w:hAnsi="Arial" w:cs="Arial"/>
                <w:sz w:val="16"/>
                <w:szCs w:val="16"/>
              </w:rPr>
            </w:pPr>
          </w:p>
          <w:p w14:paraId="659B9518" w14:textId="77777777" w:rsidR="00E01AB5" w:rsidRPr="002D2711" w:rsidRDefault="00E01AB5" w:rsidP="006171C3">
            <w:pPr>
              <w:tabs>
                <w:tab w:val="left" w:pos="709"/>
              </w:tabs>
              <w:spacing w:before="60" w:after="120" w:line="240" w:lineRule="auto"/>
              <w:jc w:val="center"/>
              <w:rPr>
                <w:rFonts w:ascii="Arial" w:hAnsi="Arial" w:cs="Arial"/>
                <w:sz w:val="16"/>
                <w:szCs w:val="16"/>
              </w:rPr>
            </w:pPr>
            <w:r w:rsidRPr="002D2711">
              <w:rPr>
                <w:rFonts w:ascii="Arial" w:hAnsi="Arial" w:cs="Arial"/>
                <w:sz w:val="16"/>
                <w:szCs w:val="16"/>
              </w:rPr>
              <w:t>Survey results due May 2021</w:t>
            </w:r>
          </w:p>
          <w:p w14:paraId="1CB3B4AE" w14:textId="77777777" w:rsidR="00E01AB5" w:rsidRPr="002D2711" w:rsidRDefault="00E01AB5" w:rsidP="006171C3">
            <w:pPr>
              <w:tabs>
                <w:tab w:val="left" w:pos="709"/>
              </w:tabs>
              <w:spacing w:before="60" w:after="180" w:line="240" w:lineRule="auto"/>
              <w:jc w:val="center"/>
              <w:rPr>
                <w:rFonts w:ascii="Arial" w:hAnsi="Arial" w:cs="Arial"/>
                <w:sz w:val="16"/>
                <w:szCs w:val="16"/>
              </w:rPr>
            </w:pPr>
            <w:r w:rsidRPr="002D2711">
              <w:rPr>
                <w:rFonts w:ascii="Arial" w:hAnsi="Arial" w:cs="Arial"/>
                <w:sz w:val="16"/>
                <w:szCs w:val="16"/>
              </w:rPr>
              <w:t>Survey results due May 2021</w:t>
            </w:r>
          </w:p>
          <w:p w14:paraId="35272D76" w14:textId="77777777" w:rsidR="00E01AB5" w:rsidRPr="002D2711" w:rsidRDefault="00E01AB5" w:rsidP="006171C3">
            <w:pPr>
              <w:tabs>
                <w:tab w:val="left" w:pos="709"/>
              </w:tabs>
              <w:spacing w:before="60" w:after="480" w:line="240" w:lineRule="auto"/>
              <w:jc w:val="center"/>
              <w:rPr>
                <w:rFonts w:ascii="Arial" w:hAnsi="Arial" w:cs="Arial"/>
                <w:sz w:val="16"/>
                <w:szCs w:val="16"/>
              </w:rPr>
            </w:pPr>
            <w:r w:rsidRPr="002D2711">
              <w:rPr>
                <w:rFonts w:ascii="Arial" w:hAnsi="Arial" w:cs="Arial"/>
                <w:sz w:val="16"/>
                <w:szCs w:val="16"/>
              </w:rPr>
              <w:t>N/A</w:t>
            </w:r>
            <w:r w:rsidRPr="002D2711">
              <w:rPr>
                <w:rFonts w:ascii="Arial" w:hAnsi="Arial" w:cs="Arial"/>
                <w:sz w:val="16"/>
                <w:szCs w:val="16"/>
                <w:vertAlign w:val="superscript"/>
              </w:rPr>
              <w:t>(b)</w:t>
            </w:r>
          </w:p>
          <w:p w14:paraId="3B07CED3" w14:textId="77777777" w:rsidR="00E01AB5" w:rsidRPr="002D2711" w:rsidRDefault="00E01AB5" w:rsidP="006171C3">
            <w:pPr>
              <w:tabs>
                <w:tab w:val="left" w:pos="709"/>
              </w:tabs>
              <w:spacing w:before="60" w:line="240" w:lineRule="auto"/>
              <w:jc w:val="center"/>
              <w:rPr>
                <w:rFonts w:ascii="Arial" w:hAnsi="Arial" w:cs="Arial"/>
                <w:sz w:val="16"/>
                <w:szCs w:val="16"/>
              </w:rPr>
            </w:pPr>
            <w:r w:rsidRPr="002D2711">
              <w:rPr>
                <w:rFonts w:ascii="Arial" w:hAnsi="Arial" w:cs="Arial"/>
                <w:sz w:val="16"/>
                <w:szCs w:val="16"/>
              </w:rPr>
              <w:t>Expect to achieve target of &gt; 2019-20 number (698,737)</w:t>
            </w:r>
          </w:p>
        </w:tc>
      </w:tr>
      <w:tr w:rsidR="00E01AB5" w:rsidRPr="00F71634" w14:paraId="6ABA1909" w14:textId="77777777" w:rsidTr="006171C3">
        <w:tc>
          <w:tcPr>
            <w:tcW w:w="7797" w:type="dxa"/>
            <w:gridSpan w:val="3"/>
            <w:tcBorders>
              <w:top w:val="double" w:sz="4" w:space="0" w:color="auto"/>
              <w:bottom w:val="double" w:sz="4" w:space="0" w:color="auto"/>
            </w:tcBorders>
          </w:tcPr>
          <w:p w14:paraId="6262288A" w14:textId="77777777" w:rsidR="00E01AB5" w:rsidRPr="002D2711" w:rsidRDefault="00E01AB5" w:rsidP="006171C3">
            <w:pPr>
              <w:tabs>
                <w:tab w:val="left" w:pos="709"/>
              </w:tabs>
              <w:spacing w:before="60" w:after="60" w:line="240" w:lineRule="auto"/>
              <w:jc w:val="left"/>
              <w:rPr>
                <w:rFonts w:ascii="Arial" w:hAnsi="Arial" w:cs="Arial"/>
                <w:b/>
                <w:sz w:val="16"/>
                <w:szCs w:val="16"/>
              </w:rPr>
            </w:pPr>
            <w:r w:rsidRPr="002D2711">
              <w:rPr>
                <w:rFonts w:ascii="Arial" w:hAnsi="Arial" w:cs="Arial"/>
                <w:b/>
                <w:sz w:val="16"/>
                <w:szCs w:val="16"/>
              </w:rPr>
              <w:t>Performance information</w:t>
            </w:r>
          </w:p>
        </w:tc>
      </w:tr>
      <w:tr w:rsidR="00E01AB5" w:rsidRPr="006071EF" w14:paraId="144E6205" w14:textId="77777777" w:rsidTr="006171C3">
        <w:tc>
          <w:tcPr>
            <w:tcW w:w="1268" w:type="dxa"/>
            <w:tcBorders>
              <w:top w:val="single" w:sz="4" w:space="0" w:color="auto"/>
              <w:bottom w:val="single" w:sz="4" w:space="0" w:color="auto"/>
              <w:right w:val="single" w:sz="4" w:space="0" w:color="auto"/>
            </w:tcBorders>
          </w:tcPr>
          <w:p w14:paraId="005F657C" w14:textId="77777777" w:rsidR="00E01AB5" w:rsidRPr="002D2711" w:rsidRDefault="00E01AB5" w:rsidP="006171C3">
            <w:pPr>
              <w:pStyle w:val="TableColumnHeadingLeft"/>
              <w:rPr>
                <w:rFonts w:cs="Arial"/>
                <w:sz w:val="16"/>
                <w:szCs w:val="16"/>
              </w:rPr>
            </w:pPr>
            <w:r w:rsidRPr="002D2711">
              <w:rPr>
                <w:rFonts w:cs="Arial"/>
                <w:sz w:val="16"/>
                <w:szCs w:val="16"/>
              </w:rPr>
              <w:lastRenderedPageBreak/>
              <w:t>Year</w:t>
            </w:r>
          </w:p>
        </w:tc>
        <w:tc>
          <w:tcPr>
            <w:tcW w:w="4828" w:type="dxa"/>
            <w:tcBorders>
              <w:top w:val="single" w:sz="4" w:space="0" w:color="auto"/>
              <w:left w:val="single" w:sz="4" w:space="0" w:color="auto"/>
              <w:bottom w:val="single" w:sz="4" w:space="0" w:color="auto"/>
              <w:right w:val="single" w:sz="4" w:space="0" w:color="auto"/>
            </w:tcBorders>
          </w:tcPr>
          <w:p w14:paraId="66C4F925" w14:textId="77777777" w:rsidR="00E01AB5" w:rsidRPr="002D2711" w:rsidRDefault="00E01AB5" w:rsidP="006171C3">
            <w:pPr>
              <w:pStyle w:val="TableColumnHeadingLeft"/>
              <w:rPr>
                <w:rFonts w:cs="Arial"/>
                <w:sz w:val="16"/>
                <w:szCs w:val="16"/>
              </w:rPr>
            </w:pPr>
            <w:r w:rsidRPr="002D2711">
              <w:rPr>
                <w:rFonts w:cs="Arial"/>
                <w:sz w:val="16"/>
                <w:szCs w:val="16"/>
              </w:rPr>
              <w:t xml:space="preserve">Performance criteria </w:t>
            </w:r>
            <w:r w:rsidRPr="00FB1FAC">
              <w:rPr>
                <w:rFonts w:cs="Arial"/>
                <w:b w:val="0"/>
                <w:sz w:val="16"/>
                <w:szCs w:val="16"/>
                <w:vertAlign w:val="superscript"/>
              </w:rPr>
              <w:t>(a)</w:t>
            </w:r>
          </w:p>
        </w:tc>
        <w:tc>
          <w:tcPr>
            <w:tcW w:w="1701" w:type="dxa"/>
            <w:tcBorders>
              <w:top w:val="single" w:sz="4" w:space="0" w:color="auto"/>
              <w:left w:val="single" w:sz="4" w:space="0" w:color="auto"/>
              <w:bottom w:val="single" w:sz="4" w:space="0" w:color="auto"/>
            </w:tcBorders>
          </w:tcPr>
          <w:p w14:paraId="2D96FC00" w14:textId="77777777" w:rsidR="00E01AB5" w:rsidRPr="002D2711" w:rsidRDefault="00E01AB5" w:rsidP="006171C3">
            <w:pPr>
              <w:pStyle w:val="TableColumnHeadingLeft"/>
              <w:rPr>
                <w:rFonts w:cs="Arial"/>
                <w:sz w:val="16"/>
                <w:szCs w:val="16"/>
              </w:rPr>
            </w:pPr>
            <w:r w:rsidRPr="002D2711">
              <w:rPr>
                <w:rFonts w:cs="Arial"/>
                <w:sz w:val="16"/>
                <w:szCs w:val="16"/>
              </w:rPr>
              <w:t xml:space="preserve">Expected Achievement </w:t>
            </w:r>
            <w:r w:rsidRPr="002D2711">
              <w:rPr>
                <w:rFonts w:cs="Arial"/>
                <w:sz w:val="16"/>
                <w:szCs w:val="16"/>
              </w:rPr>
              <w:br/>
              <w:t>2020-21 / Targets for 2021-22</w:t>
            </w:r>
          </w:p>
        </w:tc>
      </w:tr>
      <w:tr w:rsidR="00E01AB5" w:rsidRPr="00A84A52" w14:paraId="40460757" w14:textId="77777777" w:rsidTr="006171C3">
        <w:trPr>
          <w:trHeight w:val="585"/>
        </w:trPr>
        <w:tc>
          <w:tcPr>
            <w:tcW w:w="1268" w:type="dxa"/>
            <w:tcBorders>
              <w:top w:val="single" w:sz="4" w:space="0" w:color="auto"/>
              <w:left w:val="single" w:sz="4" w:space="0" w:color="auto"/>
              <w:bottom w:val="single" w:sz="4" w:space="0" w:color="auto"/>
              <w:right w:val="single" w:sz="4" w:space="0" w:color="auto"/>
            </w:tcBorders>
          </w:tcPr>
          <w:p w14:paraId="1E132160" w14:textId="77777777" w:rsidR="00E01AB5" w:rsidRPr="002D2711" w:rsidRDefault="00E01AB5" w:rsidP="006171C3">
            <w:pPr>
              <w:tabs>
                <w:tab w:val="left" w:pos="709"/>
              </w:tabs>
              <w:spacing w:before="60" w:after="60"/>
              <w:jc w:val="left"/>
              <w:rPr>
                <w:rFonts w:ascii="Arial" w:hAnsi="Arial" w:cs="Arial"/>
                <w:sz w:val="16"/>
                <w:szCs w:val="16"/>
              </w:rPr>
            </w:pPr>
          </w:p>
        </w:tc>
        <w:tc>
          <w:tcPr>
            <w:tcW w:w="4828" w:type="dxa"/>
            <w:tcBorders>
              <w:top w:val="single" w:sz="4" w:space="0" w:color="auto"/>
              <w:left w:val="single" w:sz="4" w:space="0" w:color="auto"/>
              <w:bottom w:val="single" w:sz="4" w:space="0" w:color="auto"/>
              <w:right w:val="single" w:sz="4" w:space="0" w:color="auto"/>
            </w:tcBorders>
          </w:tcPr>
          <w:p w14:paraId="5EF42542" w14:textId="77777777" w:rsidR="00E01AB5" w:rsidRPr="002D2711" w:rsidRDefault="00E01AB5" w:rsidP="00772E69">
            <w:pPr>
              <w:tabs>
                <w:tab w:val="left" w:pos="709"/>
              </w:tabs>
              <w:spacing w:before="60" w:after="120" w:line="240" w:lineRule="auto"/>
              <w:rPr>
                <w:rFonts w:ascii="Arial" w:hAnsi="Arial" w:cs="Arial"/>
                <w:sz w:val="16"/>
                <w:szCs w:val="16"/>
              </w:rPr>
            </w:pPr>
            <w:r w:rsidRPr="002D2711">
              <w:rPr>
                <w:rFonts w:ascii="Arial" w:hAnsi="Arial" w:cs="Arial"/>
                <w:sz w:val="16"/>
                <w:szCs w:val="16"/>
              </w:rPr>
              <w:t>Percentage of new and amended retailer hardship policies assessed within 12 weeks of AER receiving all relevant information</w:t>
            </w:r>
          </w:p>
          <w:p w14:paraId="57463675" w14:textId="272F798A" w:rsidR="00E01AB5" w:rsidRPr="002D2711" w:rsidRDefault="00E01AB5" w:rsidP="00772E69">
            <w:pPr>
              <w:tabs>
                <w:tab w:val="left" w:pos="709"/>
              </w:tabs>
              <w:spacing w:before="240" w:after="120" w:line="240" w:lineRule="auto"/>
              <w:rPr>
                <w:rFonts w:ascii="Arial" w:hAnsi="Arial" w:cs="Arial"/>
                <w:sz w:val="16"/>
                <w:szCs w:val="16"/>
              </w:rPr>
            </w:pPr>
            <w:r w:rsidRPr="002D2711">
              <w:rPr>
                <w:rFonts w:ascii="Arial" w:hAnsi="Arial" w:cs="Arial"/>
                <w:sz w:val="16"/>
                <w:szCs w:val="16"/>
              </w:rPr>
              <w:t>Percentage of retail authorisation and exemptions applications to sell energy assessed within 16 weeks of receiving all relevant information</w:t>
            </w:r>
            <w:r w:rsidR="00C8201E">
              <w:rPr>
                <w:rFonts w:ascii="Arial" w:hAnsi="Arial" w:cs="Arial"/>
                <w:sz w:val="16"/>
                <w:szCs w:val="16"/>
              </w:rPr>
              <w:t xml:space="preserve"> </w:t>
            </w:r>
            <w:r w:rsidRPr="00C8201E">
              <w:rPr>
                <w:rFonts w:ascii="Arial" w:hAnsi="Arial" w:cs="Arial"/>
                <w:sz w:val="16"/>
                <w:szCs w:val="16"/>
                <w:vertAlign w:val="superscript"/>
              </w:rPr>
              <w:t>(b)</w:t>
            </w:r>
          </w:p>
          <w:p w14:paraId="3BA40C68" w14:textId="77777777" w:rsidR="00E01AB5" w:rsidRPr="002D2711" w:rsidRDefault="00E01AB5" w:rsidP="00772E69">
            <w:pPr>
              <w:tabs>
                <w:tab w:val="left" w:pos="709"/>
              </w:tabs>
              <w:spacing w:before="60" w:after="60" w:line="240" w:lineRule="auto"/>
              <w:rPr>
                <w:rFonts w:ascii="Arial" w:hAnsi="Arial" w:cs="Arial"/>
                <w:sz w:val="16"/>
                <w:szCs w:val="16"/>
              </w:rPr>
            </w:pPr>
            <w:r w:rsidRPr="002D2711">
              <w:rPr>
                <w:rFonts w:ascii="Arial" w:hAnsi="Arial" w:cs="Arial"/>
                <w:sz w:val="16"/>
                <w:szCs w:val="16"/>
              </w:rPr>
              <w:t>Percentage of market reports published within agreed/statutory timeframes:</w:t>
            </w:r>
          </w:p>
          <w:p w14:paraId="1F7CCCD2" w14:textId="77777777" w:rsidR="00E01AB5" w:rsidRPr="002D2711" w:rsidRDefault="00E01AB5" w:rsidP="00772E69">
            <w:pPr>
              <w:pStyle w:val="ListParagraph"/>
              <w:numPr>
                <w:ilvl w:val="0"/>
                <w:numId w:val="16"/>
              </w:numPr>
              <w:tabs>
                <w:tab w:val="left" w:pos="340"/>
                <w:tab w:val="left" w:pos="709"/>
              </w:tabs>
              <w:spacing w:before="60" w:after="60" w:line="240" w:lineRule="auto"/>
              <w:contextualSpacing w:val="0"/>
              <w:jc w:val="both"/>
              <w:rPr>
                <w:rFonts w:ascii="Arial" w:eastAsia="Times New Roman" w:hAnsi="Arial" w:cs="Arial"/>
                <w:sz w:val="16"/>
                <w:szCs w:val="16"/>
                <w:lang w:eastAsia="en-AU"/>
              </w:rPr>
            </w:pPr>
            <w:r w:rsidRPr="002D2711">
              <w:rPr>
                <w:rFonts w:ascii="Arial" w:eastAsia="Times New Roman" w:hAnsi="Arial" w:cs="Arial"/>
                <w:sz w:val="16"/>
                <w:szCs w:val="16"/>
                <w:lang w:eastAsia="en-AU"/>
              </w:rPr>
              <w:t>Weekly Wholesale Markets</w:t>
            </w:r>
          </w:p>
          <w:p w14:paraId="11CA625E" w14:textId="77777777" w:rsidR="00E01AB5" w:rsidRPr="002D2711" w:rsidRDefault="00E01AB5" w:rsidP="00772E69">
            <w:pPr>
              <w:pStyle w:val="ListParagraph"/>
              <w:numPr>
                <w:ilvl w:val="0"/>
                <w:numId w:val="16"/>
              </w:numPr>
              <w:tabs>
                <w:tab w:val="left" w:pos="340"/>
                <w:tab w:val="left" w:pos="709"/>
              </w:tabs>
              <w:spacing w:before="60" w:after="60" w:line="240" w:lineRule="auto"/>
              <w:contextualSpacing w:val="0"/>
              <w:jc w:val="both"/>
              <w:rPr>
                <w:rFonts w:ascii="Arial" w:eastAsia="Times New Roman" w:hAnsi="Arial" w:cs="Arial"/>
                <w:sz w:val="16"/>
                <w:szCs w:val="16"/>
                <w:lang w:eastAsia="en-AU"/>
              </w:rPr>
            </w:pPr>
            <w:r w:rsidRPr="002D2711">
              <w:rPr>
                <w:rFonts w:ascii="Arial" w:eastAsia="Times New Roman" w:hAnsi="Arial" w:cs="Arial"/>
                <w:sz w:val="16"/>
                <w:szCs w:val="16"/>
                <w:lang w:eastAsia="en-AU"/>
              </w:rPr>
              <w:t>Quarterly Retail &amp; Wholesale Market Performance</w:t>
            </w:r>
          </w:p>
          <w:p w14:paraId="1C2C6DF7" w14:textId="77777777" w:rsidR="00E01AB5" w:rsidRPr="002D2711" w:rsidRDefault="00E01AB5" w:rsidP="00772E69">
            <w:pPr>
              <w:pStyle w:val="ListParagraph"/>
              <w:numPr>
                <w:ilvl w:val="0"/>
                <w:numId w:val="16"/>
              </w:numPr>
              <w:tabs>
                <w:tab w:val="left" w:pos="340"/>
                <w:tab w:val="left" w:pos="709"/>
              </w:tabs>
              <w:spacing w:before="60" w:after="60" w:line="240" w:lineRule="auto"/>
              <w:contextualSpacing w:val="0"/>
              <w:jc w:val="both"/>
              <w:rPr>
                <w:rFonts w:ascii="Arial" w:eastAsia="Times New Roman" w:hAnsi="Arial" w:cs="Arial"/>
                <w:sz w:val="16"/>
                <w:szCs w:val="16"/>
                <w:lang w:eastAsia="en-AU"/>
              </w:rPr>
            </w:pPr>
            <w:r w:rsidRPr="002D2711">
              <w:rPr>
                <w:rFonts w:ascii="Arial" w:eastAsia="Times New Roman" w:hAnsi="Arial" w:cs="Arial"/>
                <w:sz w:val="16"/>
                <w:szCs w:val="16"/>
                <w:lang w:eastAsia="en-AU"/>
              </w:rPr>
              <w:t>Annual Retail Markets</w:t>
            </w:r>
          </w:p>
          <w:p w14:paraId="6F8370F3" w14:textId="77777777" w:rsidR="00E01AB5" w:rsidRPr="002D2711" w:rsidRDefault="00E01AB5" w:rsidP="00772E69">
            <w:pPr>
              <w:pStyle w:val="ListParagraph"/>
              <w:numPr>
                <w:ilvl w:val="0"/>
                <w:numId w:val="16"/>
              </w:numPr>
              <w:tabs>
                <w:tab w:val="left" w:pos="340"/>
                <w:tab w:val="left" w:pos="709"/>
              </w:tabs>
              <w:spacing w:before="60" w:after="60" w:line="240" w:lineRule="auto"/>
              <w:contextualSpacing w:val="0"/>
              <w:jc w:val="both"/>
              <w:rPr>
                <w:rFonts w:ascii="Arial" w:eastAsia="Times New Roman" w:hAnsi="Arial" w:cs="Arial"/>
                <w:sz w:val="16"/>
                <w:szCs w:val="16"/>
                <w:lang w:eastAsia="en-AU"/>
              </w:rPr>
            </w:pPr>
            <w:r w:rsidRPr="002D2711">
              <w:rPr>
                <w:rFonts w:ascii="Arial" w:eastAsia="Times New Roman" w:hAnsi="Arial" w:cs="Arial"/>
                <w:sz w:val="16"/>
                <w:szCs w:val="16"/>
                <w:lang w:eastAsia="en-AU"/>
              </w:rPr>
              <w:t>Annual Retail Compliance</w:t>
            </w:r>
          </w:p>
          <w:p w14:paraId="2090FA6A" w14:textId="77777777" w:rsidR="00E01AB5" w:rsidRPr="002D2711" w:rsidRDefault="00E01AB5" w:rsidP="00772E69">
            <w:pPr>
              <w:pStyle w:val="ListParagraph"/>
              <w:numPr>
                <w:ilvl w:val="0"/>
                <w:numId w:val="16"/>
              </w:numPr>
              <w:tabs>
                <w:tab w:val="left" w:pos="340"/>
                <w:tab w:val="left" w:pos="709"/>
              </w:tabs>
              <w:spacing w:before="60" w:after="60" w:line="240" w:lineRule="auto"/>
              <w:contextualSpacing w:val="0"/>
              <w:jc w:val="both"/>
              <w:rPr>
                <w:rFonts w:ascii="Arial" w:eastAsia="Times New Roman" w:hAnsi="Arial" w:cs="Arial"/>
                <w:sz w:val="16"/>
                <w:szCs w:val="16"/>
                <w:lang w:eastAsia="en-AU"/>
              </w:rPr>
            </w:pPr>
            <w:r w:rsidRPr="002D2711">
              <w:rPr>
                <w:rFonts w:ascii="Arial" w:eastAsia="Times New Roman" w:hAnsi="Arial" w:cs="Arial"/>
                <w:sz w:val="16"/>
                <w:szCs w:val="16"/>
                <w:lang w:eastAsia="en-AU"/>
              </w:rPr>
              <w:t>Annual State of the Energy Market</w:t>
            </w:r>
          </w:p>
          <w:p w14:paraId="74E369C7" w14:textId="77777777" w:rsidR="00E01AB5" w:rsidRPr="002D2711" w:rsidRDefault="00E01AB5" w:rsidP="00772E69">
            <w:pPr>
              <w:pStyle w:val="ListParagraph"/>
              <w:numPr>
                <w:ilvl w:val="0"/>
                <w:numId w:val="16"/>
              </w:numPr>
              <w:tabs>
                <w:tab w:val="left" w:pos="340"/>
                <w:tab w:val="left" w:pos="709"/>
              </w:tabs>
              <w:spacing w:before="60" w:after="60" w:line="240" w:lineRule="auto"/>
              <w:contextualSpacing w:val="0"/>
              <w:jc w:val="both"/>
              <w:rPr>
                <w:rFonts w:ascii="Arial" w:eastAsia="Times New Roman" w:hAnsi="Arial" w:cs="Arial"/>
                <w:sz w:val="16"/>
                <w:szCs w:val="16"/>
                <w:lang w:eastAsia="en-AU"/>
              </w:rPr>
            </w:pPr>
            <w:r w:rsidRPr="002D2711">
              <w:rPr>
                <w:rFonts w:ascii="Arial" w:eastAsia="Times New Roman" w:hAnsi="Arial" w:cs="Arial"/>
                <w:sz w:val="16"/>
                <w:szCs w:val="16"/>
                <w:lang w:eastAsia="en-AU"/>
              </w:rPr>
              <w:t>Biennial Wholesale Electricity Market</w:t>
            </w:r>
          </w:p>
          <w:p w14:paraId="535DFD1D" w14:textId="77777777" w:rsidR="00E01AB5" w:rsidRPr="002D2711" w:rsidRDefault="00E01AB5" w:rsidP="00772E69">
            <w:pPr>
              <w:pStyle w:val="ListParagraph"/>
              <w:numPr>
                <w:ilvl w:val="0"/>
                <w:numId w:val="16"/>
              </w:numPr>
              <w:tabs>
                <w:tab w:val="left" w:pos="340"/>
                <w:tab w:val="left" w:pos="709"/>
              </w:tabs>
              <w:spacing w:before="60" w:after="120" w:line="240" w:lineRule="auto"/>
              <w:contextualSpacing w:val="0"/>
              <w:jc w:val="both"/>
              <w:rPr>
                <w:rFonts w:ascii="Arial" w:eastAsia="Times New Roman" w:hAnsi="Arial" w:cs="Arial"/>
                <w:sz w:val="16"/>
                <w:szCs w:val="16"/>
                <w:lang w:eastAsia="en-AU"/>
              </w:rPr>
            </w:pPr>
            <w:r w:rsidRPr="002D2711">
              <w:rPr>
                <w:rFonts w:ascii="Arial" w:eastAsia="Times New Roman" w:hAnsi="Arial" w:cs="Arial"/>
                <w:sz w:val="16"/>
                <w:szCs w:val="16"/>
                <w:lang w:eastAsia="en-AU"/>
              </w:rPr>
              <w:t>High Price Events.</w:t>
            </w:r>
          </w:p>
          <w:p w14:paraId="57C42B42" w14:textId="77777777" w:rsidR="00E01AB5" w:rsidRPr="002D2711" w:rsidRDefault="00E01AB5" w:rsidP="00772E69">
            <w:pPr>
              <w:tabs>
                <w:tab w:val="left" w:pos="709"/>
              </w:tabs>
              <w:spacing w:before="60" w:after="120" w:line="240" w:lineRule="auto"/>
              <w:rPr>
                <w:rFonts w:ascii="Arial" w:hAnsi="Arial" w:cs="Arial"/>
                <w:sz w:val="16"/>
                <w:szCs w:val="16"/>
              </w:rPr>
            </w:pPr>
            <w:r w:rsidRPr="002D2711">
              <w:rPr>
                <w:rFonts w:ascii="Arial" w:hAnsi="Arial" w:cs="Arial"/>
                <w:sz w:val="16"/>
                <w:szCs w:val="16"/>
              </w:rPr>
              <w:t>Percentage of revenue reset determinations for electricity networks and gas pipelines completed within statutory timeframes</w:t>
            </w:r>
          </w:p>
          <w:p w14:paraId="1BBC6822" w14:textId="77777777" w:rsidR="00E01AB5" w:rsidRPr="002D2711" w:rsidRDefault="00E01AB5" w:rsidP="00772E69">
            <w:pPr>
              <w:tabs>
                <w:tab w:val="left" w:pos="709"/>
              </w:tabs>
              <w:spacing w:before="60" w:after="60" w:line="240" w:lineRule="auto"/>
              <w:rPr>
                <w:rFonts w:ascii="Arial" w:hAnsi="Arial" w:cs="Arial"/>
                <w:color w:val="000000"/>
                <w:sz w:val="16"/>
                <w:szCs w:val="16"/>
              </w:rPr>
            </w:pPr>
            <w:r w:rsidRPr="002D2711">
              <w:rPr>
                <w:rFonts w:ascii="Arial" w:hAnsi="Arial" w:cs="Arial"/>
                <w:sz w:val="16"/>
                <w:szCs w:val="16"/>
              </w:rPr>
              <w:t>Number of completed revenue decisions for electricity networks and gas pipelines</w:t>
            </w:r>
          </w:p>
        </w:tc>
        <w:tc>
          <w:tcPr>
            <w:tcW w:w="1701" w:type="dxa"/>
            <w:tcBorders>
              <w:top w:val="single" w:sz="4" w:space="0" w:color="auto"/>
              <w:left w:val="single" w:sz="4" w:space="0" w:color="auto"/>
              <w:bottom w:val="single" w:sz="4" w:space="0" w:color="auto"/>
              <w:right w:val="single" w:sz="4" w:space="0" w:color="auto"/>
            </w:tcBorders>
          </w:tcPr>
          <w:p w14:paraId="25F39C12" w14:textId="77777777" w:rsidR="00E01AB5" w:rsidRPr="002D2711" w:rsidRDefault="00E01AB5" w:rsidP="006171C3">
            <w:pPr>
              <w:tabs>
                <w:tab w:val="left" w:pos="709"/>
              </w:tabs>
              <w:spacing w:before="60" w:after="600" w:line="240" w:lineRule="auto"/>
              <w:jc w:val="center"/>
              <w:rPr>
                <w:rFonts w:ascii="Arial" w:hAnsi="Arial" w:cs="Arial"/>
                <w:sz w:val="16"/>
                <w:szCs w:val="16"/>
              </w:rPr>
            </w:pPr>
            <w:r w:rsidRPr="002D2711">
              <w:rPr>
                <w:rFonts w:ascii="Arial" w:hAnsi="Arial" w:cs="Arial"/>
                <w:sz w:val="16"/>
                <w:szCs w:val="16"/>
              </w:rPr>
              <w:t>100%</w:t>
            </w:r>
          </w:p>
          <w:p w14:paraId="0DB72F77" w14:textId="77777777" w:rsidR="00E01AB5" w:rsidRPr="002D2711" w:rsidRDefault="00E01AB5" w:rsidP="006171C3">
            <w:pPr>
              <w:tabs>
                <w:tab w:val="left" w:pos="709"/>
              </w:tabs>
              <w:spacing w:before="60" w:after="480" w:line="240" w:lineRule="auto"/>
              <w:jc w:val="center"/>
              <w:rPr>
                <w:rFonts w:ascii="Arial" w:hAnsi="Arial" w:cs="Arial"/>
                <w:sz w:val="16"/>
                <w:szCs w:val="16"/>
              </w:rPr>
            </w:pPr>
            <w:r w:rsidRPr="002D2711">
              <w:rPr>
                <w:rFonts w:ascii="Arial" w:hAnsi="Arial" w:cs="Arial"/>
                <w:sz w:val="16"/>
                <w:szCs w:val="16"/>
              </w:rPr>
              <w:t xml:space="preserve">90 – 99% </w:t>
            </w:r>
          </w:p>
          <w:p w14:paraId="47A4A24D" w14:textId="77777777" w:rsidR="00E01AB5" w:rsidRPr="002D2711" w:rsidRDefault="00E01AB5" w:rsidP="006171C3">
            <w:pPr>
              <w:tabs>
                <w:tab w:val="left" w:pos="709"/>
              </w:tabs>
              <w:spacing w:before="60" w:after="480" w:line="240" w:lineRule="auto"/>
              <w:jc w:val="center"/>
              <w:rPr>
                <w:rFonts w:ascii="Arial" w:hAnsi="Arial" w:cs="Arial"/>
                <w:sz w:val="16"/>
                <w:szCs w:val="16"/>
              </w:rPr>
            </w:pPr>
            <w:r w:rsidRPr="002D2711">
              <w:rPr>
                <w:rFonts w:ascii="Arial" w:hAnsi="Arial" w:cs="Arial"/>
                <w:sz w:val="16"/>
                <w:szCs w:val="16"/>
              </w:rPr>
              <w:t>Expect to achieve the target of 100%</w:t>
            </w:r>
          </w:p>
          <w:p w14:paraId="11F3350C" w14:textId="77777777" w:rsidR="00E01AB5" w:rsidRPr="002D2711" w:rsidRDefault="00E01AB5" w:rsidP="006171C3">
            <w:pPr>
              <w:tabs>
                <w:tab w:val="left" w:pos="709"/>
              </w:tabs>
              <w:spacing w:before="60" w:after="480" w:line="240" w:lineRule="auto"/>
              <w:jc w:val="center"/>
              <w:rPr>
                <w:rFonts w:ascii="Arial" w:hAnsi="Arial" w:cs="Arial"/>
                <w:sz w:val="16"/>
                <w:szCs w:val="16"/>
              </w:rPr>
            </w:pPr>
          </w:p>
          <w:p w14:paraId="3A46D55E" w14:textId="77777777" w:rsidR="00E01AB5" w:rsidRPr="002D2711" w:rsidRDefault="00E01AB5" w:rsidP="006171C3">
            <w:pPr>
              <w:tabs>
                <w:tab w:val="left" w:pos="709"/>
              </w:tabs>
              <w:spacing w:before="60" w:after="600" w:line="240" w:lineRule="auto"/>
              <w:jc w:val="center"/>
              <w:rPr>
                <w:rFonts w:ascii="Arial" w:hAnsi="Arial" w:cs="Arial"/>
                <w:sz w:val="16"/>
                <w:szCs w:val="16"/>
              </w:rPr>
            </w:pPr>
          </w:p>
          <w:p w14:paraId="4A743FFA" w14:textId="77777777" w:rsidR="00E01AB5" w:rsidRPr="002D2711" w:rsidRDefault="00E01AB5" w:rsidP="006171C3">
            <w:pPr>
              <w:tabs>
                <w:tab w:val="left" w:pos="709"/>
              </w:tabs>
              <w:spacing w:before="360" w:after="480" w:line="240" w:lineRule="auto"/>
              <w:jc w:val="center"/>
              <w:rPr>
                <w:rFonts w:ascii="Arial" w:hAnsi="Arial" w:cs="Arial"/>
                <w:sz w:val="16"/>
                <w:szCs w:val="16"/>
              </w:rPr>
            </w:pPr>
            <w:r w:rsidRPr="002D2711">
              <w:rPr>
                <w:rFonts w:ascii="Arial" w:hAnsi="Arial" w:cs="Arial"/>
                <w:sz w:val="16"/>
                <w:szCs w:val="16"/>
              </w:rPr>
              <w:t>100%</w:t>
            </w:r>
          </w:p>
          <w:p w14:paraId="68C748F0" w14:textId="77777777" w:rsidR="00E01AB5" w:rsidRPr="002D2711" w:rsidRDefault="00E01AB5" w:rsidP="006171C3">
            <w:pPr>
              <w:tabs>
                <w:tab w:val="left" w:pos="709"/>
              </w:tabs>
              <w:spacing w:before="60" w:after="360" w:line="240" w:lineRule="auto"/>
              <w:jc w:val="center"/>
              <w:rPr>
                <w:rFonts w:ascii="Arial" w:hAnsi="Arial" w:cs="Arial"/>
                <w:sz w:val="16"/>
                <w:szCs w:val="16"/>
              </w:rPr>
            </w:pPr>
            <w:r w:rsidRPr="002D2711">
              <w:rPr>
                <w:rFonts w:ascii="Arial" w:hAnsi="Arial" w:cs="Arial"/>
                <w:sz w:val="16"/>
                <w:szCs w:val="16"/>
              </w:rPr>
              <w:t>8</w:t>
            </w:r>
          </w:p>
        </w:tc>
      </w:tr>
      <w:tr w:rsidR="00E01AB5" w:rsidRPr="00A84A52" w14:paraId="588CD175" w14:textId="77777777" w:rsidTr="006171C3">
        <w:trPr>
          <w:trHeight w:val="585"/>
        </w:trPr>
        <w:tc>
          <w:tcPr>
            <w:tcW w:w="1268" w:type="dxa"/>
            <w:tcBorders>
              <w:top w:val="single" w:sz="4" w:space="0" w:color="auto"/>
              <w:left w:val="single" w:sz="4" w:space="0" w:color="auto"/>
              <w:bottom w:val="single" w:sz="4" w:space="0" w:color="auto"/>
              <w:right w:val="single" w:sz="4" w:space="0" w:color="auto"/>
            </w:tcBorders>
          </w:tcPr>
          <w:p w14:paraId="59945A83" w14:textId="77777777" w:rsidR="00E01AB5" w:rsidRPr="002D2711" w:rsidRDefault="00E01AB5" w:rsidP="006171C3">
            <w:pPr>
              <w:tabs>
                <w:tab w:val="left" w:pos="709"/>
              </w:tabs>
              <w:spacing w:before="60" w:after="60"/>
              <w:jc w:val="left"/>
              <w:rPr>
                <w:rFonts w:ascii="Arial" w:hAnsi="Arial" w:cs="Arial"/>
                <w:sz w:val="16"/>
                <w:szCs w:val="16"/>
              </w:rPr>
            </w:pPr>
            <w:r w:rsidRPr="002D2711">
              <w:rPr>
                <w:rFonts w:ascii="Arial" w:hAnsi="Arial" w:cs="Arial"/>
                <w:sz w:val="16"/>
                <w:szCs w:val="16"/>
              </w:rPr>
              <w:t>2021-22</w:t>
            </w:r>
          </w:p>
        </w:tc>
        <w:tc>
          <w:tcPr>
            <w:tcW w:w="4828" w:type="dxa"/>
            <w:tcBorders>
              <w:top w:val="single" w:sz="4" w:space="0" w:color="auto"/>
              <w:left w:val="single" w:sz="4" w:space="0" w:color="auto"/>
              <w:bottom w:val="single" w:sz="4" w:space="0" w:color="auto"/>
              <w:right w:val="single" w:sz="4" w:space="0" w:color="auto"/>
            </w:tcBorders>
          </w:tcPr>
          <w:p w14:paraId="2B613F7D" w14:textId="77777777" w:rsidR="00E01AB5" w:rsidRPr="002D2711" w:rsidRDefault="00E01AB5" w:rsidP="00772E69">
            <w:pPr>
              <w:tabs>
                <w:tab w:val="left" w:pos="709"/>
              </w:tabs>
              <w:spacing w:before="60" w:after="60" w:line="240" w:lineRule="auto"/>
              <w:rPr>
                <w:rFonts w:ascii="Arial" w:hAnsi="Arial" w:cs="Arial"/>
                <w:color w:val="000000"/>
                <w:sz w:val="16"/>
                <w:szCs w:val="16"/>
              </w:rPr>
            </w:pPr>
            <w:r w:rsidRPr="002D2711">
              <w:rPr>
                <w:rFonts w:ascii="Arial" w:hAnsi="Arial" w:cs="Arial"/>
                <w:color w:val="000000"/>
                <w:sz w:val="16"/>
                <w:szCs w:val="16"/>
              </w:rPr>
              <w:t>Proportion of stakeholder survey respondents that agree with the statements:</w:t>
            </w:r>
          </w:p>
          <w:p w14:paraId="4CCD6777" w14:textId="77777777" w:rsidR="00E01AB5" w:rsidRPr="002D2711" w:rsidRDefault="00E01AB5" w:rsidP="00772E69">
            <w:pPr>
              <w:pStyle w:val="ListParagraph"/>
              <w:numPr>
                <w:ilvl w:val="3"/>
                <w:numId w:val="17"/>
              </w:numPr>
              <w:tabs>
                <w:tab w:val="left" w:pos="340"/>
                <w:tab w:val="left" w:pos="709"/>
              </w:tabs>
              <w:spacing w:before="60" w:after="60" w:line="240" w:lineRule="auto"/>
              <w:ind w:left="295" w:hanging="230"/>
              <w:contextualSpacing w:val="0"/>
              <w:jc w:val="both"/>
              <w:rPr>
                <w:rFonts w:ascii="Arial" w:hAnsi="Arial" w:cs="Arial"/>
                <w:sz w:val="16"/>
                <w:szCs w:val="16"/>
              </w:rPr>
            </w:pPr>
            <w:r w:rsidRPr="002D2711">
              <w:rPr>
                <w:rFonts w:ascii="Arial" w:hAnsi="Arial" w:cs="Arial"/>
                <w:sz w:val="16"/>
                <w:szCs w:val="16"/>
              </w:rPr>
              <w:t xml:space="preserve">The AER supports and protects energy consumers, particularly those in vulnerable circumstances </w:t>
            </w:r>
          </w:p>
          <w:p w14:paraId="7F071DE3" w14:textId="77777777" w:rsidR="00E01AB5" w:rsidRPr="002D2711" w:rsidRDefault="00E01AB5" w:rsidP="00772E69">
            <w:pPr>
              <w:pStyle w:val="ListParagraph"/>
              <w:numPr>
                <w:ilvl w:val="3"/>
                <w:numId w:val="17"/>
              </w:numPr>
              <w:tabs>
                <w:tab w:val="left" w:pos="340"/>
                <w:tab w:val="left" w:pos="709"/>
              </w:tabs>
              <w:spacing w:before="60" w:after="120" w:line="240" w:lineRule="auto"/>
              <w:ind w:left="295" w:hanging="230"/>
              <w:contextualSpacing w:val="0"/>
              <w:jc w:val="both"/>
              <w:rPr>
                <w:rFonts w:ascii="Arial" w:hAnsi="Arial" w:cs="Arial"/>
                <w:sz w:val="16"/>
                <w:szCs w:val="16"/>
              </w:rPr>
            </w:pPr>
            <w:r w:rsidRPr="002D2711">
              <w:rPr>
                <w:rFonts w:ascii="Arial" w:hAnsi="Arial" w:cs="Arial"/>
                <w:sz w:val="16"/>
                <w:szCs w:val="16"/>
              </w:rPr>
              <w:t xml:space="preserve">The AER demonstrates a sound knowledge and understanding of energy consumers </w:t>
            </w:r>
          </w:p>
          <w:p w14:paraId="4F128F9D" w14:textId="77777777" w:rsidR="00E01AB5" w:rsidRPr="002D2711" w:rsidRDefault="00E01AB5" w:rsidP="00772E69">
            <w:pPr>
              <w:tabs>
                <w:tab w:val="left" w:pos="709"/>
              </w:tabs>
              <w:spacing w:before="60" w:after="120" w:line="240" w:lineRule="auto"/>
              <w:rPr>
                <w:rFonts w:ascii="Arial" w:hAnsi="Arial" w:cs="Arial"/>
                <w:sz w:val="16"/>
                <w:szCs w:val="16"/>
              </w:rPr>
            </w:pPr>
            <w:r w:rsidRPr="002D2711">
              <w:rPr>
                <w:rFonts w:ascii="Arial" w:hAnsi="Arial" w:cs="Arial"/>
                <w:sz w:val="16"/>
                <w:szCs w:val="16"/>
              </w:rPr>
              <w:t>Number of people completing their plan search on Energy Made Easy (EME)</w:t>
            </w:r>
          </w:p>
          <w:p w14:paraId="161C6782" w14:textId="77777777" w:rsidR="00E01AB5" w:rsidRPr="002D2711" w:rsidRDefault="00E01AB5" w:rsidP="00772E69">
            <w:pPr>
              <w:tabs>
                <w:tab w:val="left" w:pos="709"/>
              </w:tabs>
              <w:spacing w:before="60" w:after="120" w:line="240" w:lineRule="auto"/>
              <w:rPr>
                <w:rFonts w:ascii="Arial" w:hAnsi="Arial" w:cs="Arial"/>
                <w:sz w:val="16"/>
                <w:szCs w:val="16"/>
              </w:rPr>
            </w:pPr>
            <w:r w:rsidRPr="002D2711">
              <w:rPr>
                <w:rFonts w:ascii="Arial" w:hAnsi="Arial" w:cs="Arial"/>
                <w:sz w:val="16"/>
                <w:szCs w:val="16"/>
              </w:rPr>
              <w:t>Percentage of new and amended retailer hardship policies assessed within 12 weeks of AER receiving all relevant information</w:t>
            </w:r>
          </w:p>
          <w:p w14:paraId="5ABBA82A" w14:textId="77777777" w:rsidR="00E01AB5" w:rsidRPr="002D2711" w:rsidRDefault="00E01AB5" w:rsidP="00772E69">
            <w:pPr>
              <w:tabs>
                <w:tab w:val="left" w:pos="709"/>
              </w:tabs>
              <w:spacing w:before="60" w:after="120" w:line="240" w:lineRule="auto"/>
              <w:rPr>
                <w:rFonts w:ascii="Arial" w:hAnsi="Arial" w:cs="Arial"/>
                <w:sz w:val="16"/>
                <w:szCs w:val="16"/>
              </w:rPr>
            </w:pPr>
            <w:r w:rsidRPr="002D2711">
              <w:rPr>
                <w:rFonts w:ascii="Arial" w:hAnsi="Arial" w:cs="Arial"/>
                <w:sz w:val="16"/>
                <w:szCs w:val="16"/>
              </w:rPr>
              <w:t>Percentage of retail authorisation and exemptions applications to sell energy assessed within 16 weeks of receiving all relevant information</w:t>
            </w:r>
          </w:p>
          <w:p w14:paraId="6C2F271A" w14:textId="77777777" w:rsidR="00E01AB5" w:rsidRPr="002D2711" w:rsidRDefault="00E01AB5" w:rsidP="00772E69">
            <w:pPr>
              <w:tabs>
                <w:tab w:val="left" w:pos="709"/>
              </w:tabs>
              <w:spacing w:before="60" w:after="60" w:line="240" w:lineRule="auto"/>
              <w:rPr>
                <w:rFonts w:ascii="Arial" w:hAnsi="Arial" w:cs="Arial"/>
                <w:sz w:val="16"/>
                <w:szCs w:val="16"/>
              </w:rPr>
            </w:pPr>
            <w:r w:rsidRPr="002D2711">
              <w:rPr>
                <w:rFonts w:ascii="Arial" w:hAnsi="Arial" w:cs="Arial"/>
                <w:sz w:val="16"/>
                <w:szCs w:val="16"/>
              </w:rPr>
              <w:t>Percentage of market reports published within agreed/statutory timeframes:</w:t>
            </w:r>
          </w:p>
          <w:p w14:paraId="67FBF419" w14:textId="77777777" w:rsidR="00E01AB5" w:rsidRPr="002D2711" w:rsidRDefault="00E01AB5" w:rsidP="00772E69">
            <w:pPr>
              <w:pStyle w:val="ListParagraph"/>
              <w:numPr>
                <w:ilvl w:val="0"/>
                <w:numId w:val="16"/>
              </w:numPr>
              <w:tabs>
                <w:tab w:val="left" w:pos="340"/>
                <w:tab w:val="left" w:pos="709"/>
              </w:tabs>
              <w:spacing w:before="60" w:after="60" w:line="240" w:lineRule="auto"/>
              <w:contextualSpacing w:val="0"/>
              <w:jc w:val="both"/>
              <w:rPr>
                <w:rFonts w:ascii="Arial" w:eastAsia="Times New Roman" w:hAnsi="Arial" w:cs="Arial"/>
                <w:sz w:val="16"/>
                <w:szCs w:val="16"/>
                <w:lang w:eastAsia="en-AU"/>
              </w:rPr>
            </w:pPr>
            <w:r w:rsidRPr="002D2711">
              <w:rPr>
                <w:rFonts w:ascii="Arial" w:eastAsia="Times New Roman" w:hAnsi="Arial" w:cs="Arial"/>
                <w:sz w:val="16"/>
                <w:szCs w:val="16"/>
                <w:lang w:eastAsia="en-AU"/>
              </w:rPr>
              <w:t>Weekly Wholesale Markets</w:t>
            </w:r>
          </w:p>
          <w:p w14:paraId="47D05366" w14:textId="77777777" w:rsidR="00E01AB5" w:rsidRPr="002D2711" w:rsidRDefault="00E01AB5" w:rsidP="00772E69">
            <w:pPr>
              <w:pStyle w:val="ListParagraph"/>
              <w:numPr>
                <w:ilvl w:val="0"/>
                <w:numId w:val="16"/>
              </w:numPr>
              <w:tabs>
                <w:tab w:val="left" w:pos="340"/>
                <w:tab w:val="left" w:pos="709"/>
              </w:tabs>
              <w:spacing w:before="60" w:after="60" w:line="240" w:lineRule="auto"/>
              <w:contextualSpacing w:val="0"/>
              <w:jc w:val="both"/>
              <w:rPr>
                <w:rFonts w:ascii="Arial" w:eastAsia="Times New Roman" w:hAnsi="Arial" w:cs="Arial"/>
                <w:sz w:val="16"/>
                <w:szCs w:val="16"/>
                <w:lang w:eastAsia="en-AU"/>
              </w:rPr>
            </w:pPr>
            <w:r w:rsidRPr="002D2711">
              <w:rPr>
                <w:rFonts w:ascii="Arial" w:eastAsia="Times New Roman" w:hAnsi="Arial" w:cs="Arial"/>
                <w:sz w:val="16"/>
                <w:szCs w:val="16"/>
                <w:lang w:eastAsia="en-AU"/>
              </w:rPr>
              <w:t>Quarterly Retail &amp; Wholesale Market Performance</w:t>
            </w:r>
          </w:p>
          <w:p w14:paraId="1E1C549C" w14:textId="77777777" w:rsidR="00E01AB5" w:rsidRPr="002D2711" w:rsidRDefault="00E01AB5" w:rsidP="00772E69">
            <w:pPr>
              <w:pStyle w:val="ListParagraph"/>
              <w:numPr>
                <w:ilvl w:val="0"/>
                <w:numId w:val="16"/>
              </w:numPr>
              <w:tabs>
                <w:tab w:val="left" w:pos="340"/>
                <w:tab w:val="left" w:pos="709"/>
              </w:tabs>
              <w:spacing w:before="60" w:after="60" w:line="240" w:lineRule="auto"/>
              <w:contextualSpacing w:val="0"/>
              <w:jc w:val="both"/>
              <w:rPr>
                <w:rFonts w:ascii="Arial" w:eastAsia="Times New Roman" w:hAnsi="Arial" w:cs="Arial"/>
                <w:sz w:val="16"/>
                <w:szCs w:val="16"/>
                <w:lang w:eastAsia="en-AU"/>
              </w:rPr>
            </w:pPr>
            <w:r w:rsidRPr="002D2711">
              <w:rPr>
                <w:rFonts w:ascii="Arial" w:eastAsia="Times New Roman" w:hAnsi="Arial" w:cs="Arial"/>
                <w:sz w:val="16"/>
                <w:szCs w:val="16"/>
                <w:lang w:eastAsia="en-AU"/>
              </w:rPr>
              <w:t xml:space="preserve">Annual Retail Markets </w:t>
            </w:r>
          </w:p>
          <w:p w14:paraId="3FE6B55F" w14:textId="77777777" w:rsidR="00E01AB5" w:rsidRPr="002D2711" w:rsidRDefault="00E01AB5" w:rsidP="00772E69">
            <w:pPr>
              <w:pStyle w:val="ListParagraph"/>
              <w:numPr>
                <w:ilvl w:val="0"/>
                <w:numId w:val="16"/>
              </w:numPr>
              <w:tabs>
                <w:tab w:val="left" w:pos="340"/>
                <w:tab w:val="left" w:pos="709"/>
              </w:tabs>
              <w:spacing w:before="60" w:after="60" w:line="240" w:lineRule="auto"/>
              <w:contextualSpacing w:val="0"/>
              <w:jc w:val="both"/>
              <w:rPr>
                <w:rFonts w:ascii="Arial" w:eastAsia="Times New Roman" w:hAnsi="Arial" w:cs="Arial"/>
                <w:sz w:val="16"/>
                <w:szCs w:val="16"/>
                <w:lang w:eastAsia="en-AU"/>
              </w:rPr>
            </w:pPr>
            <w:r w:rsidRPr="002D2711">
              <w:rPr>
                <w:rFonts w:ascii="Arial" w:eastAsia="Times New Roman" w:hAnsi="Arial" w:cs="Arial"/>
                <w:sz w:val="16"/>
                <w:szCs w:val="16"/>
                <w:lang w:eastAsia="en-AU"/>
              </w:rPr>
              <w:t>Annual Retail Compliance</w:t>
            </w:r>
          </w:p>
          <w:p w14:paraId="10C8C90B" w14:textId="77777777" w:rsidR="00E01AB5" w:rsidRPr="002D2711" w:rsidRDefault="00E01AB5" w:rsidP="00772E69">
            <w:pPr>
              <w:pStyle w:val="ListParagraph"/>
              <w:numPr>
                <w:ilvl w:val="0"/>
                <w:numId w:val="16"/>
              </w:numPr>
              <w:tabs>
                <w:tab w:val="left" w:pos="340"/>
                <w:tab w:val="left" w:pos="709"/>
              </w:tabs>
              <w:spacing w:before="60" w:after="60" w:line="240" w:lineRule="auto"/>
              <w:contextualSpacing w:val="0"/>
              <w:jc w:val="both"/>
              <w:rPr>
                <w:rFonts w:ascii="Arial" w:eastAsia="Times New Roman" w:hAnsi="Arial" w:cs="Arial"/>
                <w:sz w:val="16"/>
                <w:szCs w:val="16"/>
                <w:lang w:eastAsia="en-AU"/>
              </w:rPr>
            </w:pPr>
            <w:r w:rsidRPr="002D2711">
              <w:rPr>
                <w:rFonts w:ascii="Arial" w:eastAsia="Times New Roman" w:hAnsi="Arial" w:cs="Arial"/>
                <w:sz w:val="16"/>
                <w:szCs w:val="16"/>
                <w:lang w:eastAsia="en-AU"/>
              </w:rPr>
              <w:t>Annual State of the Energy Market</w:t>
            </w:r>
          </w:p>
          <w:p w14:paraId="01D56213" w14:textId="77777777" w:rsidR="00E01AB5" w:rsidRPr="002D2711" w:rsidRDefault="00E01AB5" w:rsidP="00772E69">
            <w:pPr>
              <w:pStyle w:val="ListParagraph"/>
              <w:numPr>
                <w:ilvl w:val="0"/>
                <w:numId w:val="16"/>
              </w:numPr>
              <w:tabs>
                <w:tab w:val="left" w:pos="340"/>
                <w:tab w:val="left" w:pos="709"/>
              </w:tabs>
              <w:spacing w:before="60" w:after="60" w:line="240" w:lineRule="auto"/>
              <w:contextualSpacing w:val="0"/>
              <w:jc w:val="both"/>
              <w:rPr>
                <w:rFonts w:ascii="Arial" w:eastAsia="Times New Roman" w:hAnsi="Arial" w:cs="Arial"/>
                <w:sz w:val="16"/>
                <w:szCs w:val="16"/>
                <w:lang w:eastAsia="en-AU"/>
              </w:rPr>
            </w:pPr>
            <w:r w:rsidRPr="002D2711">
              <w:rPr>
                <w:rFonts w:ascii="Arial" w:eastAsia="Times New Roman" w:hAnsi="Arial" w:cs="Arial"/>
                <w:sz w:val="16"/>
                <w:szCs w:val="16"/>
                <w:lang w:eastAsia="en-AU"/>
              </w:rPr>
              <w:t>Biennial Wholesale Electricity Market</w:t>
            </w:r>
          </w:p>
          <w:p w14:paraId="7220136B" w14:textId="77777777" w:rsidR="00E01AB5" w:rsidRPr="000654D8" w:rsidRDefault="00E01AB5" w:rsidP="00772E69">
            <w:pPr>
              <w:pStyle w:val="ListParagraph"/>
              <w:numPr>
                <w:ilvl w:val="0"/>
                <w:numId w:val="16"/>
              </w:numPr>
              <w:tabs>
                <w:tab w:val="left" w:pos="340"/>
                <w:tab w:val="left" w:pos="709"/>
              </w:tabs>
              <w:spacing w:before="60" w:after="120" w:line="240" w:lineRule="auto"/>
              <w:contextualSpacing w:val="0"/>
              <w:jc w:val="both"/>
              <w:rPr>
                <w:rFonts w:ascii="Arial" w:eastAsia="Times New Roman" w:hAnsi="Arial" w:cs="Arial"/>
                <w:sz w:val="16"/>
                <w:szCs w:val="16"/>
                <w:lang w:eastAsia="en-AU"/>
              </w:rPr>
            </w:pPr>
            <w:r w:rsidRPr="002D2711">
              <w:rPr>
                <w:rFonts w:ascii="Arial" w:eastAsia="Times New Roman" w:hAnsi="Arial" w:cs="Arial"/>
                <w:sz w:val="16"/>
                <w:szCs w:val="16"/>
                <w:lang w:eastAsia="en-AU"/>
              </w:rPr>
              <w:t>High Price Events.</w:t>
            </w:r>
          </w:p>
        </w:tc>
        <w:tc>
          <w:tcPr>
            <w:tcW w:w="1701" w:type="dxa"/>
            <w:tcBorders>
              <w:top w:val="single" w:sz="4" w:space="0" w:color="auto"/>
              <w:left w:val="single" w:sz="4" w:space="0" w:color="auto"/>
              <w:bottom w:val="single" w:sz="4" w:space="0" w:color="auto"/>
              <w:right w:val="single" w:sz="4" w:space="0" w:color="auto"/>
            </w:tcBorders>
          </w:tcPr>
          <w:p w14:paraId="5395E9A2" w14:textId="77777777" w:rsidR="00E01AB5" w:rsidRPr="002D2711" w:rsidRDefault="00E01AB5" w:rsidP="006171C3">
            <w:pPr>
              <w:tabs>
                <w:tab w:val="left" w:pos="709"/>
              </w:tabs>
              <w:spacing w:before="60" w:after="360" w:line="240" w:lineRule="auto"/>
              <w:jc w:val="center"/>
              <w:rPr>
                <w:rFonts w:ascii="Arial" w:hAnsi="Arial" w:cs="Arial"/>
                <w:sz w:val="16"/>
                <w:szCs w:val="16"/>
              </w:rPr>
            </w:pPr>
          </w:p>
          <w:p w14:paraId="3930BCB3" w14:textId="77777777" w:rsidR="00E01AB5" w:rsidRPr="002D2711" w:rsidRDefault="00E01AB5" w:rsidP="006171C3">
            <w:pPr>
              <w:tabs>
                <w:tab w:val="left" w:pos="709"/>
              </w:tabs>
              <w:spacing w:before="60" w:after="120" w:line="240" w:lineRule="auto"/>
              <w:jc w:val="center"/>
              <w:rPr>
                <w:rFonts w:ascii="Arial" w:hAnsi="Arial" w:cs="Arial"/>
                <w:sz w:val="16"/>
                <w:szCs w:val="16"/>
              </w:rPr>
            </w:pPr>
            <w:r w:rsidRPr="002D2711">
              <w:rPr>
                <w:rFonts w:ascii="Arial" w:hAnsi="Arial" w:cs="Arial"/>
                <w:sz w:val="16"/>
                <w:szCs w:val="16"/>
              </w:rPr>
              <w:t xml:space="preserve">&gt; 2021 stakeholder survey result </w:t>
            </w:r>
          </w:p>
          <w:p w14:paraId="1DC3F87E" w14:textId="77777777" w:rsidR="00E01AB5" w:rsidRPr="002D2711" w:rsidRDefault="00E01AB5" w:rsidP="006171C3">
            <w:pPr>
              <w:tabs>
                <w:tab w:val="left" w:pos="709"/>
              </w:tabs>
              <w:spacing w:before="60" w:after="120" w:line="240" w:lineRule="auto"/>
              <w:jc w:val="center"/>
              <w:rPr>
                <w:rFonts w:ascii="Arial" w:hAnsi="Arial" w:cs="Arial"/>
                <w:sz w:val="16"/>
                <w:szCs w:val="16"/>
              </w:rPr>
            </w:pPr>
            <w:r w:rsidRPr="002D2711">
              <w:rPr>
                <w:rFonts w:ascii="Arial" w:hAnsi="Arial" w:cs="Arial"/>
                <w:sz w:val="16"/>
                <w:szCs w:val="16"/>
              </w:rPr>
              <w:t>&gt; 2021 stakeholder survey result</w:t>
            </w:r>
          </w:p>
          <w:p w14:paraId="0220CEF9" w14:textId="77777777" w:rsidR="00E01AB5" w:rsidRPr="002D2711" w:rsidRDefault="00E01AB5" w:rsidP="006171C3">
            <w:pPr>
              <w:tabs>
                <w:tab w:val="left" w:pos="709"/>
              </w:tabs>
              <w:spacing w:before="60" w:after="360" w:line="240" w:lineRule="auto"/>
              <w:jc w:val="center"/>
              <w:rPr>
                <w:rFonts w:ascii="Arial" w:hAnsi="Arial" w:cs="Arial"/>
                <w:sz w:val="16"/>
                <w:szCs w:val="16"/>
              </w:rPr>
            </w:pPr>
            <w:r w:rsidRPr="002D2711">
              <w:rPr>
                <w:rFonts w:ascii="Arial" w:hAnsi="Arial" w:cs="Arial"/>
                <w:sz w:val="16"/>
                <w:szCs w:val="16"/>
              </w:rPr>
              <w:t>&gt; 2020-21 result</w:t>
            </w:r>
          </w:p>
          <w:p w14:paraId="3FB0C7BA" w14:textId="77777777" w:rsidR="00E01AB5" w:rsidRPr="002D2711" w:rsidRDefault="00E01AB5" w:rsidP="006171C3">
            <w:pPr>
              <w:tabs>
                <w:tab w:val="left" w:pos="709"/>
              </w:tabs>
              <w:spacing w:before="60" w:after="480" w:line="240" w:lineRule="auto"/>
              <w:jc w:val="center"/>
              <w:rPr>
                <w:rFonts w:ascii="Arial" w:hAnsi="Arial" w:cs="Arial"/>
                <w:sz w:val="16"/>
                <w:szCs w:val="16"/>
              </w:rPr>
            </w:pPr>
            <w:r w:rsidRPr="002D2711">
              <w:rPr>
                <w:rFonts w:ascii="Arial" w:hAnsi="Arial" w:cs="Arial"/>
                <w:sz w:val="16"/>
                <w:szCs w:val="16"/>
              </w:rPr>
              <w:t>100%</w:t>
            </w:r>
          </w:p>
          <w:p w14:paraId="7BEAF6EC" w14:textId="77777777" w:rsidR="00E01AB5" w:rsidRDefault="00E01AB5" w:rsidP="006171C3">
            <w:pPr>
              <w:tabs>
                <w:tab w:val="left" w:pos="709"/>
              </w:tabs>
              <w:spacing w:before="60" w:after="480" w:line="240" w:lineRule="auto"/>
              <w:jc w:val="center"/>
              <w:rPr>
                <w:rFonts w:ascii="Arial" w:hAnsi="Arial" w:cs="Arial"/>
                <w:sz w:val="16"/>
                <w:szCs w:val="16"/>
              </w:rPr>
            </w:pPr>
            <w:r w:rsidRPr="002D2711">
              <w:rPr>
                <w:rFonts w:ascii="Arial" w:hAnsi="Arial" w:cs="Arial"/>
                <w:sz w:val="16"/>
                <w:szCs w:val="16"/>
              </w:rPr>
              <w:t>100%</w:t>
            </w:r>
          </w:p>
          <w:p w14:paraId="000FB01A" w14:textId="77777777" w:rsidR="00E01AB5" w:rsidRPr="002D2711" w:rsidRDefault="00E01AB5" w:rsidP="006171C3">
            <w:pPr>
              <w:tabs>
                <w:tab w:val="left" w:pos="709"/>
              </w:tabs>
              <w:spacing w:before="60" w:after="480" w:line="240" w:lineRule="auto"/>
              <w:jc w:val="center"/>
              <w:rPr>
                <w:rFonts w:ascii="Arial" w:hAnsi="Arial" w:cs="Arial"/>
                <w:sz w:val="16"/>
                <w:szCs w:val="16"/>
              </w:rPr>
            </w:pPr>
            <w:r>
              <w:rPr>
                <w:rFonts w:ascii="Arial" w:hAnsi="Arial" w:cs="Arial"/>
                <w:sz w:val="16"/>
                <w:szCs w:val="16"/>
              </w:rPr>
              <w:t>100%</w:t>
            </w:r>
          </w:p>
          <w:p w14:paraId="74E38C5D" w14:textId="77777777" w:rsidR="00E01AB5" w:rsidRPr="002D2711" w:rsidRDefault="00E01AB5" w:rsidP="006171C3">
            <w:pPr>
              <w:tabs>
                <w:tab w:val="left" w:pos="709"/>
              </w:tabs>
              <w:spacing w:before="60" w:after="360" w:line="240" w:lineRule="auto"/>
              <w:jc w:val="center"/>
              <w:rPr>
                <w:rFonts w:ascii="Arial" w:hAnsi="Arial" w:cs="Arial"/>
                <w:sz w:val="16"/>
                <w:szCs w:val="16"/>
              </w:rPr>
            </w:pPr>
          </w:p>
        </w:tc>
      </w:tr>
      <w:tr w:rsidR="00E01AB5" w:rsidRPr="00F71634" w14:paraId="65E299BD" w14:textId="77777777" w:rsidTr="006171C3">
        <w:tc>
          <w:tcPr>
            <w:tcW w:w="7797" w:type="dxa"/>
            <w:gridSpan w:val="3"/>
            <w:tcBorders>
              <w:top w:val="double" w:sz="4" w:space="0" w:color="auto"/>
              <w:bottom w:val="double" w:sz="4" w:space="0" w:color="auto"/>
            </w:tcBorders>
          </w:tcPr>
          <w:p w14:paraId="2D4C5EEE" w14:textId="77777777" w:rsidR="00E01AB5" w:rsidRPr="002D2711" w:rsidRDefault="00E01AB5" w:rsidP="006171C3">
            <w:pPr>
              <w:tabs>
                <w:tab w:val="left" w:pos="709"/>
              </w:tabs>
              <w:spacing w:before="60" w:after="60" w:line="240" w:lineRule="auto"/>
              <w:jc w:val="left"/>
              <w:rPr>
                <w:rFonts w:ascii="Arial" w:hAnsi="Arial" w:cs="Arial"/>
                <w:b/>
                <w:sz w:val="16"/>
                <w:szCs w:val="16"/>
              </w:rPr>
            </w:pPr>
            <w:r w:rsidRPr="002D2711">
              <w:rPr>
                <w:rFonts w:ascii="Arial" w:hAnsi="Arial" w:cs="Arial"/>
                <w:b/>
                <w:sz w:val="16"/>
                <w:szCs w:val="16"/>
              </w:rPr>
              <w:t>Performance information</w:t>
            </w:r>
          </w:p>
        </w:tc>
      </w:tr>
      <w:tr w:rsidR="00E01AB5" w:rsidRPr="006071EF" w14:paraId="702C6603" w14:textId="77777777" w:rsidTr="006171C3">
        <w:tc>
          <w:tcPr>
            <w:tcW w:w="1268" w:type="dxa"/>
            <w:tcBorders>
              <w:top w:val="single" w:sz="4" w:space="0" w:color="auto"/>
              <w:bottom w:val="single" w:sz="4" w:space="0" w:color="auto"/>
              <w:right w:val="single" w:sz="4" w:space="0" w:color="auto"/>
            </w:tcBorders>
          </w:tcPr>
          <w:p w14:paraId="4130DA3A" w14:textId="77777777" w:rsidR="00E01AB5" w:rsidRPr="002D2711" w:rsidRDefault="00E01AB5" w:rsidP="006171C3">
            <w:pPr>
              <w:pStyle w:val="TableColumnHeadingLeft"/>
              <w:rPr>
                <w:rFonts w:cs="Arial"/>
                <w:sz w:val="16"/>
                <w:szCs w:val="16"/>
              </w:rPr>
            </w:pPr>
            <w:r w:rsidRPr="002D2711">
              <w:rPr>
                <w:rFonts w:cs="Arial"/>
                <w:sz w:val="16"/>
                <w:szCs w:val="16"/>
              </w:rPr>
              <w:lastRenderedPageBreak/>
              <w:t>Year</w:t>
            </w:r>
          </w:p>
        </w:tc>
        <w:tc>
          <w:tcPr>
            <w:tcW w:w="4828" w:type="dxa"/>
            <w:tcBorders>
              <w:top w:val="single" w:sz="4" w:space="0" w:color="auto"/>
              <w:left w:val="single" w:sz="4" w:space="0" w:color="auto"/>
              <w:bottom w:val="single" w:sz="4" w:space="0" w:color="auto"/>
              <w:right w:val="single" w:sz="4" w:space="0" w:color="auto"/>
            </w:tcBorders>
          </w:tcPr>
          <w:p w14:paraId="0A30B27F" w14:textId="77777777" w:rsidR="00E01AB5" w:rsidRPr="002D2711" w:rsidRDefault="00E01AB5" w:rsidP="006171C3">
            <w:pPr>
              <w:pStyle w:val="TableColumnHeadingLeft"/>
              <w:rPr>
                <w:rFonts w:cs="Arial"/>
                <w:sz w:val="16"/>
                <w:szCs w:val="16"/>
              </w:rPr>
            </w:pPr>
            <w:r w:rsidRPr="002D2711">
              <w:rPr>
                <w:rFonts w:cs="Arial"/>
                <w:sz w:val="16"/>
                <w:szCs w:val="16"/>
              </w:rPr>
              <w:t xml:space="preserve">Performance criteria </w:t>
            </w:r>
            <w:r w:rsidRPr="00FB1FAC">
              <w:rPr>
                <w:rFonts w:cs="Arial"/>
                <w:b w:val="0"/>
                <w:sz w:val="16"/>
                <w:szCs w:val="16"/>
                <w:vertAlign w:val="superscript"/>
              </w:rPr>
              <w:t>(a)</w:t>
            </w:r>
          </w:p>
        </w:tc>
        <w:tc>
          <w:tcPr>
            <w:tcW w:w="1701" w:type="dxa"/>
            <w:tcBorders>
              <w:top w:val="single" w:sz="4" w:space="0" w:color="auto"/>
              <w:left w:val="single" w:sz="4" w:space="0" w:color="auto"/>
              <w:bottom w:val="single" w:sz="4" w:space="0" w:color="auto"/>
            </w:tcBorders>
          </w:tcPr>
          <w:p w14:paraId="093C7A4C" w14:textId="77777777" w:rsidR="00E01AB5" w:rsidRPr="002D2711" w:rsidRDefault="00E01AB5" w:rsidP="006171C3">
            <w:pPr>
              <w:pStyle w:val="TableColumnHeadingLeft"/>
              <w:rPr>
                <w:rFonts w:cs="Arial"/>
                <w:sz w:val="16"/>
                <w:szCs w:val="16"/>
              </w:rPr>
            </w:pPr>
            <w:r w:rsidRPr="002D2711">
              <w:rPr>
                <w:rFonts w:cs="Arial"/>
                <w:sz w:val="16"/>
                <w:szCs w:val="16"/>
              </w:rPr>
              <w:t xml:space="preserve">Expected Achievement </w:t>
            </w:r>
            <w:r w:rsidRPr="002D2711">
              <w:rPr>
                <w:rFonts w:cs="Arial"/>
                <w:sz w:val="16"/>
                <w:szCs w:val="16"/>
              </w:rPr>
              <w:br/>
              <w:t>2020-21 / Targets for 2021-22</w:t>
            </w:r>
          </w:p>
        </w:tc>
      </w:tr>
      <w:tr w:rsidR="00E01AB5" w:rsidRPr="00A84A52" w14:paraId="2F24BF4B" w14:textId="77777777" w:rsidTr="006171C3">
        <w:trPr>
          <w:trHeight w:val="585"/>
        </w:trPr>
        <w:tc>
          <w:tcPr>
            <w:tcW w:w="1268" w:type="dxa"/>
            <w:tcBorders>
              <w:top w:val="single" w:sz="4" w:space="0" w:color="auto"/>
              <w:left w:val="single" w:sz="4" w:space="0" w:color="auto"/>
              <w:bottom w:val="single" w:sz="4" w:space="0" w:color="auto"/>
              <w:right w:val="single" w:sz="4" w:space="0" w:color="auto"/>
            </w:tcBorders>
          </w:tcPr>
          <w:p w14:paraId="725267F7" w14:textId="77777777" w:rsidR="00E01AB5" w:rsidRPr="002D2711" w:rsidRDefault="00E01AB5" w:rsidP="006171C3">
            <w:pPr>
              <w:tabs>
                <w:tab w:val="left" w:pos="709"/>
              </w:tabs>
              <w:spacing w:before="60" w:after="60"/>
              <w:jc w:val="left"/>
              <w:rPr>
                <w:rFonts w:ascii="Arial" w:hAnsi="Arial" w:cs="Arial"/>
                <w:sz w:val="16"/>
                <w:szCs w:val="16"/>
              </w:rPr>
            </w:pPr>
          </w:p>
        </w:tc>
        <w:tc>
          <w:tcPr>
            <w:tcW w:w="4828" w:type="dxa"/>
            <w:tcBorders>
              <w:top w:val="single" w:sz="4" w:space="0" w:color="auto"/>
              <w:left w:val="single" w:sz="4" w:space="0" w:color="auto"/>
              <w:bottom w:val="single" w:sz="4" w:space="0" w:color="auto"/>
              <w:right w:val="single" w:sz="4" w:space="0" w:color="auto"/>
            </w:tcBorders>
          </w:tcPr>
          <w:p w14:paraId="5E6B57B4" w14:textId="77777777" w:rsidR="00E01AB5" w:rsidRPr="002D2711" w:rsidRDefault="00E01AB5" w:rsidP="00772E69">
            <w:pPr>
              <w:tabs>
                <w:tab w:val="left" w:pos="709"/>
              </w:tabs>
              <w:spacing w:after="100" w:afterAutospacing="1" w:line="240" w:lineRule="auto"/>
              <w:rPr>
                <w:rFonts w:ascii="Arial" w:hAnsi="Arial" w:cs="Arial"/>
                <w:sz w:val="16"/>
                <w:szCs w:val="16"/>
              </w:rPr>
            </w:pPr>
            <w:r w:rsidRPr="002D2711">
              <w:rPr>
                <w:rFonts w:ascii="Arial" w:hAnsi="Arial" w:cs="Arial"/>
                <w:sz w:val="16"/>
                <w:szCs w:val="16"/>
              </w:rPr>
              <w:t>Percentage of revenue reset determinations for electricity networks and gas pipelines completed within statutory timeframes</w:t>
            </w:r>
          </w:p>
        </w:tc>
        <w:tc>
          <w:tcPr>
            <w:tcW w:w="1701" w:type="dxa"/>
            <w:tcBorders>
              <w:top w:val="single" w:sz="4" w:space="0" w:color="auto"/>
              <w:left w:val="single" w:sz="4" w:space="0" w:color="auto"/>
              <w:bottom w:val="single" w:sz="4" w:space="0" w:color="auto"/>
              <w:right w:val="single" w:sz="4" w:space="0" w:color="auto"/>
            </w:tcBorders>
          </w:tcPr>
          <w:p w14:paraId="571080A9" w14:textId="77777777" w:rsidR="00E01AB5" w:rsidRPr="002D2711" w:rsidRDefault="00E01AB5" w:rsidP="006171C3">
            <w:pPr>
              <w:tabs>
                <w:tab w:val="left" w:pos="709"/>
              </w:tabs>
              <w:spacing w:before="60" w:after="60"/>
              <w:jc w:val="center"/>
              <w:rPr>
                <w:rFonts w:ascii="Arial" w:hAnsi="Arial" w:cs="Arial"/>
                <w:sz w:val="16"/>
                <w:szCs w:val="16"/>
              </w:rPr>
            </w:pPr>
            <w:r>
              <w:rPr>
                <w:rFonts w:ascii="Arial" w:hAnsi="Arial" w:cs="Arial"/>
                <w:sz w:val="16"/>
                <w:szCs w:val="16"/>
              </w:rPr>
              <w:t>100%</w:t>
            </w:r>
          </w:p>
        </w:tc>
      </w:tr>
      <w:tr w:rsidR="00E01AB5" w:rsidRPr="00A84A52" w14:paraId="01E3A09D" w14:textId="77777777" w:rsidTr="006171C3">
        <w:trPr>
          <w:trHeight w:val="585"/>
        </w:trPr>
        <w:tc>
          <w:tcPr>
            <w:tcW w:w="1268" w:type="dxa"/>
            <w:tcBorders>
              <w:top w:val="single" w:sz="4" w:space="0" w:color="auto"/>
              <w:left w:val="single" w:sz="4" w:space="0" w:color="auto"/>
              <w:bottom w:val="single" w:sz="4" w:space="0" w:color="auto"/>
              <w:right w:val="single" w:sz="4" w:space="0" w:color="auto"/>
            </w:tcBorders>
          </w:tcPr>
          <w:p w14:paraId="2FCB694D" w14:textId="77777777" w:rsidR="00E01AB5" w:rsidRPr="002D2711" w:rsidRDefault="00E01AB5" w:rsidP="006171C3">
            <w:pPr>
              <w:tabs>
                <w:tab w:val="left" w:pos="709"/>
              </w:tabs>
              <w:spacing w:before="60" w:after="60"/>
              <w:jc w:val="left"/>
              <w:rPr>
                <w:rFonts w:ascii="Arial" w:hAnsi="Arial" w:cs="Arial"/>
                <w:sz w:val="16"/>
                <w:szCs w:val="16"/>
              </w:rPr>
            </w:pPr>
            <w:r w:rsidRPr="002D2711">
              <w:rPr>
                <w:rFonts w:ascii="Arial" w:hAnsi="Arial" w:cs="Arial"/>
                <w:sz w:val="16"/>
                <w:szCs w:val="16"/>
              </w:rPr>
              <w:t>2022-23 and beyond</w:t>
            </w:r>
          </w:p>
        </w:tc>
        <w:tc>
          <w:tcPr>
            <w:tcW w:w="4828" w:type="dxa"/>
            <w:tcBorders>
              <w:top w:val="single" w:sz="4" w:space="0" w:color="auto"/>
              <w:left w:val="single" w:sz="4" w:space="0" w:color="auto"/>
              <w:bottom w:val="single" w:sz="4" w:space="0" w:color="auto"/>
              <w:right w:val="single" w:sz="4" w:space="0" w:color="auto"/>
            </w:tcBorders>
          </w:tcPr>
          <w:p w14:paraId="29938CA2" w14:textId="77777777" w:rsidR="00E01AB5" w:rsidRPr="002D2711" w:rsidRDefault="00E01AB5" w:rsidP="00772E69">
            <w:pPr>
              <w:tabs>
                <w:tab w:val="left" w:pos="709"/>
              </w:tabs>
              <w:spacing w:before="60" w:after="60"/>
              <w:rPr>
                <w:rFonts w:ascii="Arial" w:hAnsi="Arial" w:cs="Arial"/>
                <w:sz w:val="16"/>
                <w:szCs w:val="16"/>
              </w:rPr>
            </w:pPr>
            <w:r w:rsidRPr="002D2711">
              <w:rPr>
                <w:rFonts w:ascii="Arial" w:hAnsi="Arial" w:cs="Arial"/>
                <w:sz w:val="16"/>
                <w:szCs w:val="16"/>
              </w:rPr>
              <w:t>As per 2021-22</w:t>
            </w:r>
          </w:p>
        </w:tc>
        <w:tc>
          <w:tcPr>
            <w:tcW w:w="1701" w:type="dxa"/>
            <w:tcBorders>
              <w:top w:val="single" w:sz="4" w:space="0" w:color="auto"/>
              <w:left w:val="single" w:sz="4" w:space="0" w:color="auto"/>
              <w:bottom w:val="single" w:sz="4" w:space="0" w:color="auto"/>
              <w:right w:val="single" w:sz="4" w:space="0" w:color="auto"/>
            </w:tcBorders>
          </w:tcPr>
          <w:p w14:paraId="1C86FEA4" w14:textId="77777777" w:rsidR="00E01AB5" w:rsidRPr="002D2711" w:rsidRDefault="00E01AB5" w:rsidP="006171C3">
            <w:pPr>
              <w:tabs>
                <w:tab w:val="left" w:pos="709"/>
              </w:tabs>
              <w:spacing w:before="60" w:after="60"/>
              <w:jc w:val="center"/>
              <w:rPr>
                <w:rFonts w:ascii="Arial" w:hAnsi="Arial" w:cs="Arial"/>
                <w:sz w:val="16"/>
                <w:szCs w:val="16"/>
              </w:rPr>
            </w:pPr>
          </w:p>
        </w:tc>
      </w:tr>
      <w:tr w:rsidR="00E01AB5" w:rsidRPr="00224129" w14:paraId="34D3060E" w14:textId="77777777" w:rsidTr="006171C3">
        <w:tc>
          <w:tcPr>
            <w:tcW w:w="1268" w:type="dxa"/>
          </w:tcPr>
          <w:p w14:paraId="14956202" w14:textId="77777777" w:rsidR="00E01AB5" w:rsidRPr="002D2711" w:rsidRDefault="00E01AB5" w:rsidP="006171C3">
            <w:pPr>
              <w:tabs>
                <w:tab w:val="left" w:pos="709"/>
              </w:tabs>
              <w:spacing w:after="0"/>
              <w:jc w:val="left"/>
              <w:rPr>
                <w:rFonts w:ascii="Arial" w:hAnsi="Arial" w:cs="Arial"/>
                <w:b/>
                <w:sz w:val="16"/>
                <w:szCs w:val="16"/>
              </w:rPr>
            </w:pPr>
            <w:r w:rsidRPr="002D2711">
              <w:rPr>
                <w:rFonts w:ascii="Arial" w:hAnsi="Arial" w:cs="Arial"/>
                <w:b/>
                <w:sz w:val="16"/>
                <w:szCs w:val="16"/>
              </w:rPr>
              <w:t xml:space="preserve">Purposes </w:t>
            </w:r>
          </w:p>
        </w:tc>
        <w:tc>
          <w:tcPr>
            <w:tcW w:w="6529" w:type="dxa"/>
            <w:gridSpan w:val="2"/>
          </w:tcPr>
          <w:p w14:paraId="41DD9855" w14:textId="77777777" w:rsidR="00E01AB5" w:rsidRPr="002D2711" w:rsidRDefault="00E01AB5" w:rsidP="006171C3">
            <w:pPr>
              <w:tabs>
                <w:tab w:val="left" w:pos="709"/>
              </w:tabs>
              <w:spacing w:before="60" w:after="60"/>
              <w:rPr>
                <w:rFonts w:ascii="Arial" w:hAnsi="Arial" w:cs="Arial"/>
                <w:sz w:val="16"/>
                <w:szCs w:val="16"/>
              </w:rPr>
            </w:pPr>
            <w:r w:rsidRPr="002D2711">
              <w:rPr>
                <w:rFonts w:ascii="Arial" w:hAnsi="Arial" w:cs="Arial"/>
                <w:sz w:val="16"/>
                <w:szCs w:val="16"/>
              </w:rPr>
              <w:t>The AER exists so that energy consumers are better off, now and in the future.</w:t>
            </w:r>
          </w:p>
          <w:p w14:paraId="6D29C8CC" w14:textId="77777777" w:rsidR="00E01AB5" w:rsidRDefault="00E01AB5" w:rsidP="006171C3">
            <w:pPr>
              <w:tabs>
                <w:tab w:val="left" w:pos="709"/>
              </w:tabs>
              <w:spacing w:after="0" w:line="240" w:lineRule="auto"/>
              <w:rPr>
                <w:rFonts w:ascii="Arial" w:hAnsi="Arial" w:cs="Arial"/>
                <w:sz w:val="16"/>
                <w:szCs w:val="16"/>
              </w:rPr>
            </w:pPr>
            <w:r w:rsidRPr="002D2711">
              <w:rPr>
                <w:rFonts w:ascii="Arial" w:hAnsi="Arial" w:cs="Arial"/>
                <w:sz w:val="16"/>
                <w:szCs w:val="16"/>
              </w:rPr>
              <w:t>The AER is striving to be a high high-performing regulator that is independent, open and accountable; builds trust in Australia’s energy system; takes considered risks; ensures the regime is fit for purpose; and engages actively with stakeholders.</w:t>
            </w:r>
          </w:p>
          <w:p w14:paraId="770924BB" w14:textId="77777777" w:rsidR="00E01AB5" w:rsidRPr="002D2711" w:rsidRDefault="00E01AB5" w:rsidP="006171C3">
            <w:pPr>
              <w:tabs>
                <w:tab w:val="left" w:pos="709"/>
              </w:tabs>
              <w:spacing w:after="0" w:line="240" w:lineRule="auto"/>
              <w:rPr>
                <w:rFonts w:ascii="Arial" w:hAnsi="Arial" w:cs="Arial"/>
                <w:sz w:val="16"/>
                <w:szCs w:val="16"/>
              </w:rPr>
            </w:pPr>
          </w:p>
        </w:tc>
      </w:tr>
    </w:tbl>
    <w:p w14:paraId="1E9C2520" w14:textId="77777777" w:rsidR="00E01AB5" w:rsidRPr="00316FB8" w:rsidRDefault="00E01AB5" w:rsidP="00E01AB5">
      <w:pPr>
        <w:pStyle w:val="ListParagraph"/>
        <w:numPr>
          <w:ilvl w:val="0"/>
          <w:numId w:val="23"/>
        </w:numPr>
        <w:spacing w:after="0" w:line="240" w:lineRule="auto"/>
        <w:ind w:hanging="218"/>
        <w:rPr>
          <w:rFonts w:ascii="Arial" w:hAnsi="Arial" w:cs="Arial"/>
          <w:i/>
          <w:color w:val="000000"/>
          <w:sz w:val="16"/>
          <w:szCs w:val="16"/>
          <w:lang w:val="x-none" w:eastAsia="x-none"/>
        </w:rPr>
      </w:pPr>
      <w:r w:rsidRPr="00316FB8">
        <w:rPr>
          <w:rFonts w:ascii="Arial" w:hAnsi="Arial" w:cs="Arial"/>
          <w:color w:val="000000"/>
          <w:sz w:val="16"/>
          <w:szCs w:val="16"/>
          <w:lang w:val="x-none" w:eastAsia="x-none"/>
        </w:rPr>
        <w:t xml:space="preserve">New or modified performance criteria that reflect new or materially changed programs are shown in </w:t>
      </w:r>
      <w:r w:rsidRPr="00316FB8">
        <w:rPr>
          <w:rFonts w:ascii="Arial" w:hAnsi="Arial" w:cs="Arial"/>
          <w:i/>
          <w:color w:val="000000"/>
          <w:sz w:val="16"/>
          <w:szCs w:val="16"/>
          <w:lang w:val="x-none" w:eastAsia="x-none"/>
        </w:rPr>
        <w:t>italics.</w:t>
      </w:r>
    </w:p>
    <w:p w14:paraId="6748EE86" w14:textId="77777777" w:rsidR="00E01AB5" w:rsidRPr="00316FB8" w:rsidRDefault="00E01AB5" w:rsidP="00E01AB5">
      <w:pPr>
        <w:pStyle w:val="ListParagraph"/>
        <w:numPr>
          <w:ilvl w:val="0"/>
          <w:numId w:val="23"/>
        </w:numPr>
        <w:tabs>
          <w:tab w:val="left" w:pos="284"/>
        </w:tabs>
        <w:spacing w:after="0" w:line="240" w:lineRule="auto"/>
        <w:ind w:hanging="218"/>
        <w:rPr>
          <w:rFonts w:ascii="Arial" w:hAnsi="Arial" w:cs="Arial"/>
          <w:color w:val="000000"/>
          <w:sz w:val="16"/>
          <w:szCs w:val="16"/>
          <w:lang w:val="x-none" w:eastAsia="x-none"/>
        </w:rPr>
      </w:pPr>
      <w:r w:rsidRPr="00316FB8">
        <w:rPr>
          <w:rFonts w:ascii="Arial" w:hAnsi="Arial" w:cs="Arial"/>
          <w:color w:val="000000"/>
          <w:sz w:val="16"/>
          <w:szCs w:val="16"/>
          <w:lang w:val="x-none" w:eastAsia="x-none"/>
        </w:rPr>
        <w:t xml:space="preserve">This question was not asked in the 2021 AER stakeholder survey.  This indictor will not be used in future. </w:t>
      </w:r>
    </w:p>
    <w:p w14:paraId="1C484B8E" w14:textId="77777777" w:rsidR="00CD7202" w:rsidRDefault="00CD7202" w:rsidP="00316FB8">
      <w:pPr>
        <w:tabs>
          <w:tab w:val="left" w:pos="284"/>
        </w:tabs>
        <w:spacing w:after="0" w:line="240" w:lineRule="auto"/>
      </w:pPr>
    </w:p>
    <w:p w14:paraId="0CF359DD" w14:textId="745EFA32" w:rsidR="00DF4979" w:rsidRPr="00B166C6" w:rsidRDefault="00CD7202" w:rsidP="00772E69">
      <w:pPr>
        <w:tabs>
          <w:tab w:val="left" w:pos="284"/>
        </w:tabs>
        <w:spacing w:after="0" w:line="240" w:lineRule="auto"/>
      </w:pPr>
      <w:r>
        <w:t>The above program is linked to the Department of Industry, Science, Energy and Resources (</w:t>
      </w:r>
      <w:r w:rsidR="00456561">
        <w:t>Program 3.1 – Supporting reliable, secure and affordable energy</w:t>
      </w:r>
      <w:r w:rsidR="00772E69">
        <w:t>).</w:t>
      </w:r>
    </w:p>
    <w:bookmarkEnd w:id="23"/>
    <w:bookmarkEnd w:id="24"/>
    <w:p w14:paraId="2CCE6976" w14:textId="77777777" w:rsidR="002F530C" w:rsidRPr="002D2711" w:rsidRDefault="002F530C" w:rsidP="00AD42E2">
      <w:pPr>
        <w:pStyle w:val="Heading2"/>
        <w:rPr>
          <w:b w:val="0"/>
          <w:sz w:val="30"/>
          <w:szCs w:val="30"/>
        </w:rPr>
      </w:pPr>
      <w:r w:rsidRPr="00C3303C">
        <w:rPr>
          <w:rFonts w:ascii="Book Antiqua" w:hAnsi="Book Antiqua"/>
          <w:i/>
          <w:color w:val="FF0000"/>
          <w:sz w:val="20"/>
        </w:rPr>
        <w:br w:type="page"/>
      </w:r>
      <w:bookmarkStart w:id="25" w:name="_Toc444523516"/>
      <w:bookmarkStart w:id="26" w:name="_Toc71448320"/>
      <w:r w:rsidRPr="002D2711">
        <w:rPr>
          <w:b w:val="0"/>
          <w:sz w:val="30"/>
          <w:szCs w:val="30"/>
        </w:rPr>
        <w:lastRenderedPageBreak/>
        <w:t>Section 3: Budgeted financial statements</w:t>
      </w:r>
      <w:bookmarkEnd w:id="25"/>
      <w:bookmarkEnd w:id="26"/>
    </w:p>
    <w:p w14:paraId="05B0A338" w14:textId="2CF5B8FD" w:rsidR="00A6388E" w:rsidRDefault="00CF5085" w:rsidP="005328A9">
      <w:r>
        <w:t>Section 3</w:t>
      </w:r>
      <w:r w:rsidR="0027614D">
        <w:t xml:space="preserve"> presents budgeted financial statements which provide a comprehensive snapshot of</w:t>
      </w:r>
      <w:r w:rsidR="001B03CC">
        <w:t xml:space="preserve"> entity </w:t>
      </w:r>
      <w:r w:rsidR="0027614D">
        <w:t xml:space="preserve">finances for the </w:t>
      </w:r>
      <w:r w:rsidR="002A1CC2">
        <w:t>2021-22</w:t>
      </w:r>
      <w:r w:rsidR="00294E5F">
        <w:rPr>
          <w:color w:val="00B050"/>
        </w:rPr>
        <w:t xml:space="preserve"> </w:t>
      </w:r>
      <w:r w:rsidR="0027614D">
        <w:t>budget year</w:t>
      </w:r>
      <w:r w:rsidR="007118AC">
        <w:t>, including the impact of budget measures and resourcing on financial statements</w:t>
      </w:r>
      <w:r w:rsidR="00B04964">
        <w:t>.</w:t>
      </w:r>
    </w:p>
    <w:p w14:paraId="64725C88" w14:textId="77777777" w:rsidR="00E4582E" w:rsidRPr="002D2711" w:rsidRDefault="007118AC" w:rsidP="005328A9">
      <w:pPr>
        <w:pStyle w:val="Heading3"/>
        <w:rPr>
          <w:smallCaps/>
          <w:sz w:val="26"/>
          <w:szCs w:val="26"/>
        </w:rPr>
      </w:pPr>
      <w:bookmarkStart w:id="27" w:name="_Toc190682317"/>
      <w:bookmarkStart w:id="28" w:name="_Toc444523517"/>
      <w:bookmarkStart w:id="29" w:name="_Toc71448321"/>
      <w:r w:rsidRPr="002D2711">
        <w:rPr>
          <w:smallCaps/>
          <w:sz w:val="26"/>
          <w:szCs w:val="26"/>
        </w:rPr>
        <w:t>3.1</w:t>
      </w:r>
      <w:r w:rsidR="00E4582E" w:rsidRPr="002D2711">
        <w:rPr>
          <w:smallCaps/>
          <w:sz w:val="26"/>
          <w:szCs w:val="26"/>
        </w:rPr>
        <w:tab/>
        <w:t>Budgeted financial statements</w:t>
      </w:r>
      <w:bookmarkEnd w:id="27"/>
      <w:bookmarkEnd w:id="28"/>
      <w:bookmarkEnd w:id="29"/>
    </w:p>
    <w:p w14:paraId="1254A84C" w14:textId="77777777" w:rsidR="00E4582E" w:rsidRPr="002D2711" w:rsidRDefault="00A23BC2" w:rsidP="00E4582E">
      <w:pPr>
        <w:pStyle w:val="Heading4"/>
        <w:rPr>
          <w:sz w:val="22"/>
          <w:szCs w:val="22"/>
        </w:rPr>
      </w:pPr>
      <w:r w:rsidRPr="002D2711">
        <w:rPr>
          <w:sz w:val="22"/>
          <w:szCs w:val="22"/>
        </w:rPr>
        <w:t>3.</w:t>
      </w:r>
      <w:r w:rsidR="007118AC" w:rsidRPr="002D2711">
        <w:rPr>
          <w:sz w:val="22"/>
          <w:szCs w:val="22"/>
        </w:rPr>
        <w:t>1</w:t>
      </w:r>
      <w:r w:rsidRPr="002D2711">
        <w:rPr>
          <w:sz w:val="22"/>
          <w:szCs w:val="22"/>
        </w:rPr>
        <w:t>.1</w:t>
      </w:r>
      <w:r w:rsidR="005F29CD" w:rsidRPr="002D2711">
        <w:rPr>
          <w:sz w:val="22"/>
          <w:szCs w:val="22"/>
        </w:rPr>
        <w:tab/>
      </w:r>
      <w:r w:rsidR="00E4582E" w:rsidRPr="002D2711">
        <w:rPr>
          <w:sz w:val="22"/>
          <w:szCs w:val="22"/>
        </w:rPr>
        <w:t xml:space="preserve">Differences </w:t>
      </w:r>
      <w:r w:rsidR="007118AC" w:rsidRPr="002D2711">
        <w:rPr>
          <w:sz w:val="22"/>
          <w:szCs w:val="22"/>
        </w:rPr>
        <w:t>between</w:t>
      </w:r>
      <w:r w:rsidR="00E4582E" w:rsidRPr="002D2711">
        <w:rPr>
          <w:sz w:val="22"/>
          <w:szCs w:val="22"/>
        </w:rPr>
        <w:t xml:space="preserve"> </w:t>
      </w:r>
      <w:r w:rsidR="000216BF" w:rsidRPr="002D2711">
        <w:rPr>
          <w:sz w:val="22"/>
          <w:szCs w:val="22"/>
        </w:rPr>
        <w:t>entity resourcing and financial statements</w:t>
      </w:r>
    </w:p>
    <w:p w14:paraId="6E2833F7" w14:textId="77777777" w:rsidR="00A305D4" w:rsidRDefault="00A305D4" w:rsidP="00A305D4">
      <w:r w:rsidRPr="00A305D4">
        <w:t>The entity resource statement is prepared on a cash basis and provides a view of cash/appropriations resources available to the ACCC whilst the financial statements are prepared on an accrual basis.</w:t>
      </w:r>
    </w:p>
    <w:p w14:paraId="72E6F94B" w14:textId="77777777" w:rsidR="00E4582E" w:rsidRPr="002D2711" w:rsidRDefault="00A23BC2" w:rsidP="00E4582E">
      <w:pPr>
        <w:pStyle w:val="Heading4"/>
        <w:rPr>
          <w:sz w:val="22"/>
          <w:szCs w:val="22"/>
        </w:rPr>
      </w:pPr>
      <w:r w:rsidRPr="002D2711">
        <w:rPr>
          <w:sz w:val="22"/>
          <w:szCs w:val="22"/>
        </w:rPr>
        <w:t>3.</w:t>
      </w:r>
      <w:r w:rsidR="007118AC" w:rsidRPr="002D2711">
        <w:rPr>
          <w:sz w:val="22"/>
          <w:szCs w:val="22"/>
        </w:rPr>
        <w:t>1</w:t>
      </w:r>
      <w:r w:rsidRPr="002D2711">
        <w:rPr>
          <w:sz w:val="22"/>
          <w:szCs w:val="22"/>
        </w:rPr>
        <w:t>.2</w:t>
      </w:r>
      <w:r w:rsidR="005F29CD" w:rsidRPr="002D2711">
        <w:rPr>
          <w:sz w:val="22"/>
          <w:szCs w:val="22"/>
        </w:rPr>
        <w:tab/>
      </w:r>
      <w:r w:rsidR="003B7C64" w:rsidRPr="002D2711">
        <w:rPr>
          <w:sz w:val="22"/>
          <w:szCs w:val="22"/>
        </w:rPr>
        <w:t xml:space="preserve">Explanatory notes and analysis </w:t>
      </w:r>
      <w:r w:rsidR="00E4582E" w:rsidRPr="002D2711">
        <w:rPr>
          <w:sz w:val="22"/>
          <w:szCs w:val="22"/>
        </w:rPr>
        <w:t xml:space="preserve">of </w:t>
      </w:r>
      <w:r w:rsidR="000216BF" w:rsidRPr="002D2711">
        <w:rPr>
          <w:sz w:val="22"/>
          <w:szCs w:val="22"/>
        </w:rPr>
        <w:t>budgeted financial statements</w:t>
      </w:r>
    </w:p>
    <w:p w14:paraId="2C5B68D6" w14:textId="2135BBD5" w:rsidR="00C21BF4" w:rsidRDefault="00C21BF4" w:rsidP="00772E69">
      <w:r>
        <w:t xml:space="preserve">Total appropriation revenue for </w:t>
      </w:r>
      <w:r w:rsidRPr="00C21BF4">
        <w:t>2021-22 is estimated to be $286.7 million. This</w:t>
      </w:r>
      <w:r>
        <w:t xml:space="preserve"> has increased </w:t>
      </w:r>
      <w:r w:rsidRPr="00C21BF4">
        <w:t>from $2</w:t>
      </w:r>
      <w:r w:rsidR="00A305D4">
        <w:t>51</w:t>
      </w:r>
      <w:r w:rsidRPr="00C21BF4">
        <w:t>.</w:t>
      </w:r>
      <w:r w:rsidR="00A305D4">
        <w:t>9</w:t>
      </w:r>
      <w:r w:rsidRPr="00C21BF4">
        <w:t xml:space="preserve"> million as</w:t>
      </w:r>
      <w:r>
        <w:t xml:space="preserve"> reported in the </w:t>
      </w:r>
      <w:r w:rsidR="00A305D4">
        <w:t xml:space="preserve">2020-21 </w:t>
      </w:r>
      <w:r>
        <w:t xml:space="preserve">Portfolio Additional Estimates Statements </w:t>
      </w:r>
      <w:r w:rsidR="00A305D4">
        <w:t>(PAES)</w:t>
      </w:r>
      <w:r>
        <w:t xml:space="preserve">. </w:t>
      </w:r>
      <w:r w:rsidR="004E6578">
        <w:t xml:space="preserve">The total capital budget for 2021-22, which exists to cover the </w:t>
      </w:r>
      <w:r w:rsidR="004E6578" w:rsidRPr="004E6578">
        <w:t xml:space="preserve">purchase of non-financial assets, </w:t>
      </w:r>
      <w:r w:rsidR="00A305D4" w:rsidRPr="004E6578">
        <w:t>is estimated to be $</w:t>
      </w:r>
      <w:r w:rsidR="004E6578" w:rsidRPr="004E6578">
        <w:t>32.5m</w:t>
      </w:r>
      <w:r w:rsidR="00A305D4" w:rsidRPr="004E6578">
        <w:t>. This has increased from $</w:t>
      </w:r>
      <w:r w:rsidR="004E6578" w:rsidRPr="004E6578">
        <w:t>10.3m</w:t>
      </w:r>
      <w:r w:rsidR="00A305D4" w:rsidRPr="004E6578">
        <w:t xml:space="preserve"> as reported</w:t>
      </w:r>
      <w:r w:rsidR="00A305D4">
        <w:t xml:space="preserve"> in the 2020-21 PAES. </w:t>
      </w:r>
      <w:r>
        <w:t>The increase</w:t>
      </w:r>
      <w:r w:rsidR="00A305D4">
        <w:t>s in operating and capital funding</w:t>
      </w:r>
      <w:r>
        <w:t xml:space="preserve"> </w:t>
      </w:r>
      <w:r w:rsidR="00E01AB5">
        <w:t>are p</w:t>
      </w:r>
      <w:r w:rsidR="00A305D4">
        <w:t xml:space="preserve">rimarily </w:t>
      </w:r>
      <w:r>
        <w:t xml:space="preserve">due to </w:t>
      </w:r>
      <w:r w:rsidR="00A305D4">
        <w:t xml:space="preserve">the </w:t>
      </w:r>
      <w:r>
        <w:t>new budget measures</w:t>
      </w:r>
      <w:r w:rsidR="00A305D4">
        <w:t xml:space="preserve"> reported under Table 1.2. </w:t>
      </w:r>
    </w:p>
    <w:p w14:paraId="5AB939E3" w14:textId="77777777" w:rsidR="00A305D4" w:rsidRPr="0087176A" w:rsidRDefault="00A305D4" w:rsidP="00772E69">
      <w:r w:rsidRPr="0087176A">
        <w:t>The primary financial asset relates to receivables</w:t>
      </w:r>
      <w:r>
        <w:t xml:space="preserve">, and are used </w:t>
      </w:r>
      <w:r w:rsidRPr="0087176A">
        <w:t>to fund the ACCC’s capital program, employee entitlements, creditors and to provide working capital.</w:t>
      </w:r>
    </w:p>
    <w:p w14:paraId="0EEEB0FB" w14:textId="77777777" w:rsidR="00A305D4" w:rsidRPr="0087176A" w:rsidRDefault="00A305D4" w:rsidP="00772E69">
      <w:r>
        <w:t>Non-financial assets</w:t>
      </w:r>
      <w:r w:rsidRPr="0087176A">
        <w:t xml:space="preserve"> represent future benefits that the ACCC will consume in producing outputs. The reported value represents the purchase price paid less depreciation incurred to date in using the asset.</w:t>
      </w:r>
      <w:r>
        <w:t xml:space="preserve"> Buildings largely represent the recognition of the ACCC’s long-term office accommodation leases under </w:t>
      </w:r>
      <w:r w:rsidRPr="0009727F">
        <w:rPr>
          <w:i/>
          <w:lang w:eastAsia="x-none"/>
        </w:rPr>
        <w:t>AASB 16-Leases.</w:t>
      </w:r>
    </w:p>
    <w:p w14:paraId="760835CB" w14:textId="77777777" w:rsidR="00A305D4" w:rsidRPr="0087176A" w:rsidRDefault="00A305D4" w:rsidP="00772E69">
      <w:r w:rsidRPr="0087176A">
        <w:t>Provisions and payables include:</w:t>
      </w:r>
    </w:p>
    <w:p w14:paraId="340497D2" w14:textId="77777777" w:rsidR="00A305D4" w:rsidRDefault="00A305D4" w:rsidP="00772E69">
      <w:pPr>
        <w:pStyle w:val="Bullet"/>
      </w:pPr>
      <w:r w:rsidRPr="0087176A">
        <w:t xml:space="preserve">employee entitlements arising from services rendered by employees. The liability includes unpaid annual leave and long service leave; </w:t>
      </w:r>
    </w:p>
    <w:p w14:paraId="2F411C7F" w14:textId="77777777" w:rsidR="00A305D4" w:rsidRPr="0009727F" w:rsidRDefault="00A305D4" w:rsidP="00772E69">
      <w:pPr>
        <w:pStyle w:val="Bullet"/>
      </w:pPr>
      <w:r>
        <w:rPr>
          <w:lang w:val="en-AU"/>
        </w:rPr>
        <w:t xml:space="preserve">long-term office accommodation lease liabilities under </w:t>
      </w:r>
      <w:r w:rsidRPr="0009727F">
        <w:rPr>
          <w:i/>
          <w:lang w:val="en-AU"/>
        </w:rPr>
        <w:t>AASB16 – Leases;</w:t>
      </w:r>
      <w:r>
        <w:rPr>
          <w:i/>
          <w:lang w:val="en-AU"/>
        </w:rPr>
        <w:t xml:space="preserve"> </w:t>
      </w:r>
      <w:r>
        <w:rPr>
          <w:lang w:val="en-AU"/>
        </w:rPr>
        <w:t>and</w:t>
      </w:r>
    </w:p>
    <w:p w14:paraId="776FCDF0" w14:textId="2C7D6B17" w:rsidR="00A305D4" w:rsidRDefault="00A305D4" w:rsidP="00772E69">
      <w:pPr>
        <w:pStyle w:val="Bullet"/>
      </w:pPr>
      <w:r w:rsidRPr="0087176A">
        <w:t>unpaid expenses as at balance date.</w:t>
      </w:r>
    </w:p>
    <w:p w14:paraId="7D60AC36" w14:textId="47728889" w:rsidR="00E4582E" w:rsidRPr="002D2711" w:rsidRDefault="000A6897" w:rsidP="004B3650">
      <w:pPr>
        <w:pStyle w:val="Heading3"/>
      </w:pPr>
      <w:r>
        <w:br w:type="page"/>
      </w:r>
      <w:bookmarkStart w:id="30" w:name="_Toc444523518"/>
      <w:bookmarkStart w:id="31" w:name="_Toc71448322"/>
      <w:r w:rsidR="00E4582E" w:rsidRPr="002D2711">
        <w:rPr>
          <w:rStyle w:val="TableHeadingChar"/>
          <w:rFonts w:ascii="Arial Bold" w:hAnsi="Arial Bold"/>
          <w:smallCaps/>
          <w:sz w:val="26"/>
          <w:szCs w:val="26"/>
        </w:rPr>
        <w:lastRenderedPageBreak/>
        <w:t>3.2.</w:t>
      </w:r>
      <w:r w:rsidR="005F29CD" w:rsidRPr="002D2711">
        <w:rPr>
          <w:rStyle w:val="TableHeadingChar"/>
          <w:rFonts w:ascii="Arial Bold" w:hAnsi="Arial Bold"/>
          <w:smallCaps/>
          <w:sz w:val="26"/>
          <w:szCs w:val="26"/>
        </w:rPr>
        <w:tab/>
      </w:r>
      <w:r w:rsidR="00E4582E" w:rsidRPr="002D2711">
        <w:rPr>
          <w:rStyle w:val="TableHeadingChar"/>
          <w:rFonts w:ascii="Arial Bold" w:hAnsi="Arial Bold"/>
          <w:smallCaps/>
          <w:sz w:val="26"/>
          <w:szCs w:val="26"/>
        </w:rPr>
        <w:t xml:space="preserve">Budgeted </w:t>
      </w:r>
      <w:r w:rsidR="00F626C2" w:rsidRPr="002D2711">
        <w:rPr>
          <w:rStyle w:val="TableHeadingChar"/>
          <w:rFonts w:ascii="Arial Bold" w:hAnsi="Arial Bold"/>
          <w:smallCaps/>
          <w:sz w:val="26"/>
          <w:szCs w:val="26"/>
        </w:rPr>
        <w:t>financial statements tables</w:t>
      </w:r>
      <w:bookmarkEnd w:id="30"/>
      <w:bookmarkEnd w:id="31"/>
    </w:p>
    <w:p w14:paraId="2A727B39" w14:textId="618D845E" w:rsidR="00C334B8" w:rsidRPr="00545D76" w:rsidRDefault="00E855E0" w:rsidP="00392DD1">
      <w:pPr>
        <w:pStyle w:val="TableGraphic"/>
        <w:rPr>
          <w:rFonts w:ascii="Arial" w:hAnsi="Arial"/>
          <w:b/>
        </w:rPr>
      </w:pPr>
      <w:r w:rsidRPr="00545D76">
        <w:rPr>
          <w:rFonts w:ascii="Arial" w:hAnsi="Arial"/>
          <w:b/>
        </w:rPr>
        <w:t>Table</w:t>
      </w:r>
      <w:r w:rsidR="00971CBF" w:rsidRPr="00545D76">
        <w:rPr>
          <w:rFonts w:ascii="Arial" w:hAnsi="Arial"/>
          <w:b/>
        </w:rPr>
        <w:t xml:space="preserve"> 3.</w:t>
      </w:r>
      <w:r w:rsidRPr="00545D76">
        <w:rPr>
          <w:rFonts w:ascii="Arial" w:hAnsi="Arial"/>
          <w:b/>
        </w:rPr>
        <w:t>1</w:t>
      </w:r>
      <w:r w:rsidR="001352EE" w:rsidRPr="00545D76">
        <w:rPr>
          <w:rFonts w:ascii="Arial" w:hAnsi="Arial"/>
          <w:b/>
        </w:rPr>
        <w:t>:</w:t>
      </w:r>
      <w:r w:rsidRPr="00545D76">
        <w:rPr>
          <w:rFonts w:ascii="Arial" w:hAnsi="Arial"/>
          <w:b/>
        </w:rPr>
        <w:t xml:space="preserve"> Comprehensive </w:t>
      </w:r>
      <w:r w:rsidR="00F626C2" w:rsidRPr="00545D76">
        <w:rPr>
          <w:rFonts w:ascii="Arial" w:hAnsi="Arial"/>
          <w:b/>
        </w:rPr>
        <w:t>income statement (showing net cost of services</w:t>
      </w:r>
      <w:r w:rsidRPr="00545D76">
        <w:rPr>
          <w:rFonts w:ascii="Arial" w:hAnsi="Arial"/>
          <w:b/>
        </w:rPr>
        <w:t>)</w:t>
      </w:r>
      <w:r w:rsidR="004A1224" w:rsidRPr="00545D76">
        <w:rPr>
          <w:rFonts w:ascii="Arial" w:hAnsi="Arial"/>
          <w:b/>
        </w:rPr>
        <w:t xml:space="preserve"> </w:t>
      </w:r>
      <w:r w:rsidR="00C62C39" w:rsidRPr="00545D76">
        <w:rPr>
          <w:rFonts w:ascii="Arial" w:hAnsi="Arial"/>
          <w:b/>
        </w:rPr>
        <w:t>for the period ended 30 June</w:t>
      </w:r>
    </w:p>
    <w:tbl>
      <w:tblPr>
        <w:tblW w:w="5000" w:type="pct"/>
        <w:tblCellMar>
          <w:left w:w="0" w:type="dxa"/>
          <w:right w:w="28" w:type="dxa"/>
        </w:tblCellMar>
        <w:tblLook w:val="04A0" w:firstRow="1" w:lastRow="0" w:firstColumn="1" w:lastColumn="0" w:noHBand="0" w:noVBand="1"/>
      </w:tblPr>
      <w:tblGrid>
        <w:gridCol w:w="3255"/>
        <w:gridCol w:w="891"/>
        <w:gridCol w:w="891"/>
        <w:gridCol w:w="891"/>
        <w:gridCol w:w="891"/>
        <w:gridCol w:w="891"/>
      </w:tblGrid>
      <w:tr w:rsidR="00C334B8" w:rsidRPr="00C334B8" w14:paraId="7510AD2B" w14:textId="77777777" w:rsidTr="00C334B8">
        <w:trPr>
          <w:trHeight w:val="800"/>
        </w:trPr>
        <w:tc>
          <w:tcPr>
            <w:tcW w:w="2110" w:type="pct"/>
            <w:tcBorders>
              <w:top w:val="single" w:sz="4" w:space="0" w:color="auto"/>
              <w:left w:val="nil"/>
              <w:bottom w:val="nil"/>
              <w:right w:val="nil"/>
            </w:tcBorders>
            <w:shd w:val="clear" w:color="auto" w:fill="auto"/>
            <w:noWrap/>
            <w:hideMark/>
          </w:tcPr>
          <w:p w14:paraId="0DCA280E" w14:textId="3D66C3CE" w:rsidR="00C334B8" w:rsidRPr="00C334B8" w:rsidRDefault="00C334B8">
            <w:pPr>
              <w:rPr>
                <w:rFonts w:ascii="Arial" w:hAnsi="Arial" w:cs="Arial"/>
                <w:b/>
                <w:bCs/>
                <w:sz w:val="16"/>
                <w:szCs w:val="16"/>
              </w:rPr>
            </w:pPr>
            <w:r w:rsidRPr="00C334B8">
              <w:rPr>
                <w:rFonts w:ascii="Arial" w:hAnsi="Arial" w:cs="Arial"/>
                <w:b/>
                <w:bCs/>
                <w:sz w:val="16"/>
                <w:szCs w:val="16"/>
              </w:rPr>
              <w:t> </w:t>
            </w:r>
          </w:p>
        </w:tc>
        <w:tc>
          <w:tcPr>
            <w:tcW w:w="578" w:type="pct"/>
            <w:tcBorders>
              <w:top w:val="single" w:sz="4" w:space="0" w:color="auto"/>
              <w:left w:val="nil"/>
              <w:bottom w:val="single" w:sz="4" w:space="0" w:color="auto"/>
              <w:right w:val="nil"/>
            </w:tcBorders>
            <w:shd w:val="clear" w:color="auto" w:fill="auto"/>
            <w:hideMark/>
          </w:tcPr>
          <w:p w14:paraId="1F6F4BDF"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2020-21 Estimated actual</w:t>
            </w:r>
            <w:r w:rsidRPr="00C334B8">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000000" w:fill="E6E6E6"/>
            <w:hideMark/>
          </w:tcPr>
          <w:p w14:paraId="0BBE78FD"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2021-22</w:t>
            </w:r>
            <w:r w:rsidRPr="00C334B8">
              <w:rPr>
                <w:rFonts w:ascii="Arial" w:hAnsi="Arial" w:cs="Arial"/>
                <w:sz w:val="16"/>
                <w:szCs w:val="16"/>
              </w:rPr>
              <w:br/>
              <w:t>Budget</w:t>
            </w:r>
            <w:r w:rsidRPr="00C334B8">
              <w:rPr>
                <w:rFonts w:ascii="Arial" w:hAnsi="Arial" w:cs="Arial"/>
                <w:sz w:val="16"/>
                <w:szCs w:val="16"/>
              </w:rPr>
              <w:br/>
            </w:r>
            <w:r w:rsidRPr="00C334B8">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auto" w:fill="auto"/>
            <w:hideMark/>
          </w:tcPr>
          <w:p w14:paraId="2534469F"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2022-23 Forward estimate</w:t>
            </w:r>
            <w:r w:rsidRPr="00C334B8">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auto" w:fill="auto"/>
            <w:hideMark/>
          </w:tcPr>
          <w:p w14:paraId="61860AE4"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2023-24 Forward estimate</w:t>
            </w:r>
            <w:r w:rsidRPr="00C334B8">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auto" w:fill="auto"/>
            <w:hideMark/>
          </w:tcPr>
          <w:p w14:paraId="6E5CB174"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2024-25</w:t>
            </w:r>
            <w:r w:rsidRPr="00C334B8">
              <w:rPr>
                <w:rFonts w:ascii="Arial" w:hAnsi="Arial" w:cs="Arial"/>
                <w:sz w:val="16"/>
                <w:szCs w:val="16"/>
              </w:rPr>
              <w:br/>
              <w:t>Forward estimate</w:t>
            </w:r>
            <w:r w:rsidRPr="00C334B8">
              <w:rPr>
                <w:rFonts w:ascii="Arial" w:hAnsi="Arial" w:cs="Arial"/>
                <w:sz w:val="16"/>
                <w:szCs w:val="16"/>
              </w:rPr>
              <w:br/>
              <w:t>$'000</w:t>
            </w:r>
          </w:p>
        </w:tc>
      </w:tr>
      <w:tr w:rsidR="00C334B8" w:rsidRPr="00C334B8" w14:paraId="1C33E413" w14:textId="77777777" w:rsidTr="00C334B8">
        <w:trPr>
          <w:trHeight w:val="210"/>
        </w:trPr>
        <w:tc>
          <w:tcPr>
            <w:tcW w:w="2110" w:type="pct"/>
            <w:tcBorders>
              <w:top w:val="nil"/>
              <w:left w:val="nil"/>
              <w:bottom w:val="nil"/>
              <w:right w:val="nil"/>
            </w:tcBorders>
            <w:shd w:val="clear" w:color="auto" w:fill="auto"/>
            <w:noWrap/>
            <w:vAlign w:val="bottom"/>
            <w:hideMark/>
          </w:tcPr>
          <w:p w14:paraId="1BD0388B" w14:textId="77777777" w:rsidR="00C334B8" w:rsidRPr="00C334B8" w:rsidRDefault="00C334B8" w:rsidP="00C334B8">
            <w:pPr>
              <w:spacing w:after="0" w:line="240" w:lineRule="auto"/>
              <w:jc w:val="left"/>
              <w:rPr>
                <w:rFonts w:ascii="Arial" w:hAnsi="Arial" w:cs="Arial"/>
                <w:b/>
                <w:bCs/>
                <w:sz w:val="16"/>
                <w:szCs w:val="16"/>
              </w:rPr>
            </w:pPr>
            <w:r w:rsidRPr="00C334B8">
              <w:rPr>
                <w:rFonts w:ascii="Arial" w:hAnsi="Arial" w:cs="Arial"/>
                <w:b/>
                <w:bCs/>
                <w:sz w:val="16"/>
                <w:szCs w:val="16"/>
              </w:rPr>
              <w:t>EXPENSES</w:t>
            </w:r>
          </w:p>
        </w:tc>
        <w:tc>
          <w:tcPr>
            <w:tcW w:w="578" w:type="pct"/>
            <w:tcBorders>
              <w:top w:val="nil"/>
              <w:left w:val="nil"/>
              <w:bottom w:val="nil"/>
              <w:right w:val="nil"/>
            </w:tcBorders>
            <w:shd w:val="clear" w:color="auto" w:fill="auto"/>
            <w:noWrap/>
            <w:vAlign w:val="bottom"/>
            <w:hideMark/>
          </w:tcPr>
          <w:p w14:paraId="1E15F1F5" w14:textId="77777777" w:rsidR="00C334B8" w:rsidRPr="00C334B8" w:rsidRDefault="00C334B8" w:rsidP="00C334B8">
            <w:pPr>
              <w:spacing w:after="0" w:line="240" w:lineRule="auto"/>
              <w:jc w:val="left"/>
              <w:rPr>
                <w:rFonts w:ascii="Arial" w:hAnsi="Arial" w:cs="Arial"/>
                <w:b/>
                <w:bCs/>
                <w:sz w:val="16"/>
                <w:szCs w:val="16"/>
              </w:rPr>
            </w:pPr>
          </w:p>
        </w:tc>
        <w:tc>
          <w:tcPr>
            <w:tcW w:w="578" w:type="pct"/>
            <w:tcBorders>
              <w:top w:val="nil"/>
              <w:left w:val="nil"/>
              <w:bottom w:val="nil"/>
              <w:right w:val="nil"/>
            </w:tcBorders>
            <w:shd w:val="clear" w:color="000000" w:fill="E6E6E6"/>
            <w:noWrap/>
            <w:vAlign w:val="bottom"/>
            <w:hideMark/>
          </w:tcPr>
          <w:p w14:paraId="4AF00617" w14:textId="77777777" w:rsidR="00C334B8" w:rsidRPr="00C334B8" w:rsidRDefault="00C334B8" w:rsidP="00C334B8">
            <w:pPr>
              <w:spacing w:after="0" w:line="240" w:lineRule="auto"/>
              <w:jc w:val="right"/>
              <w:rPr>
                <w:rFonts w:ascii="Arial" w:hAnsi="Arial" w:cs="Arial"/>
                <w:b/>
                <w:bCs/>
                <w:sz w:val="16"/>
                <w:szCs w:val="16"/>
              </w:rPr>
            </w:pPr>
            <w:r w:rsidRPr="00C334B8">
              <w:rPr>
                <w:rFonts w:ascii="Arial" w:hAnsi="Arial" w:cs="Arial"/>
                <w:b/>
                <w:bCs/>
                <w:sz w:val="16"/>
                <w:szCs w:val="16"/>
              </w:rPr>
              <w:t> </w:t>
            </w:r>
          </w:p>
        </w:tc>
        <w:tc>
          <w:tcPr>
            <w:tcW w:w="578" w:type="pct"/>
            <w:tcBorders>
              <w:top w:val="nil"/>
              <w:left w:val="nil"/>
              <w:bottom w:val="nil"/>
              <w:right w:val="nil"/>
            </w:tcBorders>
            <w:shd w:val="clear" w:color="auto" w:fill="auto"/>
            <w:noWrap/>
            <w:vAlign w:val="bottom"/>
            <w:hideMark/>
          </w:tcPr>
          <w:p w14:paraId="75268222" w14:textId="77777777" w:rsidR="00C334B8" w:rsidRPr="00C334B8" w:rsidRDefault="00C334B8" w:rsidP="00C334B8">
            <w:pPr>
              <w:spacing w:after="0" w:line="240" w:lineRule="auto"/>
              <w:jc w:val="right"/>
              <w:rPr>
                <w:rFonts w:ascii="Arial" w:hAnsi="Arial" w:cs="Arial"/>
                <w:b/>
                <w:bCs/>
                <w:sz w:val="16"/>
                <w:szCs w:val="16"/>
              </w:rPr>
            </w:pPr>
          </w:p>
        </w:tc>
        <w:tc>
          <w:tcPr>
            <w:tcW w:w="578" w:type="pct"/>
            <w:tcBorders>
              <w:top w:val="nil"/>
              <w:left w:val="nil"/>
              <w:bottom w:val="nil"/>
              <w:right w:val="nil"/>
            </w:tcBorders>
            <w:shd w:val="clear" w:color="auto" w:fill="auto"/>
            <w:noWrap/>
            <w:vAlign w:val="bottom"/>
            <w:hideMark/>
          </w:tcPr>
          <w:p w14:paraId="615B5420" w14:textId="77777777" w:rsidR="00C334B8" w:rsidRPr="00C334B8" w:rsidRDefault="00C334B8" w:rsidP="00C334B8">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vAlign w:val="bottom"/>
            <w:hideMark/>
          </w:tcPr>
          <w:p w14:paraId="07B7408C" w14:textId="77777777" w:rsidR="00C334B8" w:rsidRPr="00C334B8" w:rsidRDefault="00C334B8" w:rsidP="00C334B8">
            <w:pPr>
              <w:spacing w:after="0" w:line="240" w:lineRule="auto"/>
              <w:jc w:val="right"/>
              <w:rPr>
                <w:rFonts w:ascii="Times New Roman" w:hAnsi="Times New Roman"/>
              </w:rPr>
            </w:pPr>
          </w:p>
        </w:tc>
      </w:tr>
      <w:tr w:rsidR="00C334B8" w:rsidRPr="00C334B8" w14:paraId="765BB9FE" w14:textId="77777777" w:rsidTr="00C334B8">
        <w:trPr>
          <w:trHeight w:val="200"/>
        </w:trPr>
        <w:tc>
          <w:tcPr>
            <w:tcW w:w="2110" w:type="pct"/>
            <w:tcBorders>
              <w:top w:val="nil"/>
              <w:left w:val="nil"/>
              <w:bottom w:val="nil"/>
              <w:right w:val="nil"/>
            </w:tcBorders>
            <w:shd w:val="clear" w:color="auto" w:fill="auto"/>
            <w:noWrap/>
            <w:vAlign w:val="bottom"/>
            <w:hideMark/>
          </w:tcPr>
          <w:p w14:paraId="0DC15CA3" w14:textId="77777777" w:rsidR="00C334B8" w:rsidRPr="00C334B8" w:rsidRDefault="00C334B8" w:rsidP="00C334B8">
            <w:pPr>
              <w:spacing w:after="0" w:line="240" w:lineRule="auto"/>
              <w:ind w:firstLineChars="100" w:firstLine="160"/>
              <w:jc w:val="left"/>
              <w:rPr>
                <w:rFonts w:ascii="Arial" w:hAnsi="Arial" w:cs="Arial"/>
                <w:sz w:val="16"/>
                <w:szCs w:val="16"/>
              </w:rPr>
            </w:pPr>
            <w:r w:rsidRPr="00C334B8">
              <w:rPr>
                <w:rFonts w:ascii="Arial" w:hAnsi="Arial" w:cs="Arial"/>
                <w:sz w:val="16"/>
                <w:szCs w:val="16"/>
              </w:rPr>
              <w:t>Employee benefits</w:t>
            </w:r>
          </w:p>
        </w:tc>
        <w:tc>
          <w:tcPr>
            <w:tcW w:w="578" w:type="pct"/>
            <w:tcBorders>
              <w:top w:val="nil"/>
              <w:left w:val="nil"/>
              <w:bottom w:val="nil"/>
              <w:right w:val="nil"/>
            </w:tcBorders>
            <w:shd w:val="clear" w:color="auto" w:fill="auto"/>
            <w:noWrap/>
            <w:vAlign w:val="bottom"/>
            <w:hideMark/>
          </w:tcPr>
          <w:p w14:paraId="4E0B8160"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156,039 </w:t>
            </w:r>
          </w:p>
        </w:tc>
        <w:tc>
          <w:tcPr>
            <w:tcW w:w="578" w:type="pct"/>
            <w:tcBorders>
              <w:top w:val="nil"/>
              <w:left w:val="nil"/>
              <w:bottom w:val="nil"/>
              <w:right w:val="nil"/>
            </w:tcBorders>
            <w:shd w:val="clear" w:color="000000" w:fill="E6E6E6"/>
            <w:noWrap/>
            <w:vAlign w:val="bottom"/>
            <w:hideMark/>
          </w:tcPr>
          <w:p w14:paraId="2A6F2781"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165,219 </w:t>
            </w:r>
          </w:p>
        </w:tc>
        <w:tc>
          <w:tcPr>
            <w:tcW w:w="578" w:type="pct"/>
            <w:tcBorders>
              <w:top w:val="nil"/>
              <w:left w:val="nil"/>
              <w:bottom w:val="nil"/>
              <w:right w:val="nil"/>
            </w:tcBorders>
            <w:shd w:val="clear" w:color="auto" w:fill="auto"/>
            <w:noWrap/>
            <w:vAlign w:val="bottom"/>
            <w:hideMark/>
          </w:tcPr>
          <w:p w14:paraId="054B3B5C"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157,447 </w:t>
            </w:r>
          </w:p>
        </w:tc>
        <w:tc>
          <w:tcPr>
            <w:tcW w:w="578" w:type="pct"/>
            <w:tcBorders>
              <w:top w:val="nil"/>
              <w:left w:val="nil"/>
              <w:bottom w:val="nil"/>
              <w:right w:val="nil"/>
            </w:tcBorders>
            <w:shd w:val="clear" w:color="auto" w:fill="auto"/>
            <w:noWrap/>
            <w:vAlign w:val="bottom"/>
            <w:hideMark/>
          </w:tcPr>
          <w:p w14:paraId="3230F471"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141,474 </w:t>
            </w:r>
          </w:p>
        </w:tc>
        <w:tc>
          <w:tcPr>
            <w:tcW w:w="578" w:type="pct"/>
            <w:tcBorders>
              <w:top w:val="nil"/>
              <w:left w:val="nil"/>
              <w:bottom w:val="nil"/>
              <w:right w:val="nil"/>
            </w:tcBorders>
            <w:shd w:val="clear" w:color="auto" w:fill="auto"/>
            <w:noWrap/>
            <w:vAlign w:val="bottom"/>
            <w:hideMark/>
          </w:tcPr>
          <w:p w14:paraId="1B1E597C"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137,466 </w:t>
            </w:r>
          </w:p>
        </w:tc>
      </w:tr>
      <w:tr w:rsidR="00C334B8" w:rsidRPr="00C334B8" w14:paraId="0A21A7FE" w14:textId="77777777" w:rsidTr="00C334B8">
        <w:trPr>
          <w:trHeight w:val="200"/>
        </w:trPr>
        <w:tc>
          <w:tcPr>
            <w:tcW w:w="2110" w:type="pct"/>
            <w:tcBorders>
              <w:top w:val="nil"/>
              <w:left w:val="nil"/>
              <w:bottom w:val="nil"/>
              <w:right w:val="nil"/>
            </w:tcBorders>
            <w:shd w:val="clear" w:color="auto" w:fill="auto"/>
            <w:noWrap/>
            <w:vAlign w:val="bottom"/>
            <w:hideMark/>
          </w:tcPr>
          <w:p w14:paraId="37FB3E35" w14:textId="77777777" w:rsidR="00C334B8" w:rsidRPr="00C334B8" w:rsidRDefault="00C334B8" w:rsidP="00C334B8">
            <w:pPr>
              <w:spacing w:after="0" w:line="240" w:lineRule="auto"/>
              <w:ind w:firstLineChars="100" w:firstLine="160"/>
              <w:jc w:val="left"/>
              <w:rPr>
                <w:rFonts w:ascii="Arial" w:hAnsi="Arial" w:cs="Arial"/>
                <w:sz w:val="16"/>
                <w:szCs w:val="16"/>
              </w:rPr>
            </w:pPr>
            <w:r w:rsidRPr="00C334B8">
              <w:rPr>
                <w:rFonts w:ascii="Arial" w:hAnsi="Arial" w:cs="Arial"/>
                <w:sz w:val="16"/>
                <w:szCs w:val="16"/>
              </w:rPr>
              <w:t>Suppliers</w:t>
            </w:r>
          </w:p>
        </w:tc>
        <w:tc>
          <w:tcPr>
            <w:tcW w:w="578" w:type="pct"/>
            <w:tcBorders>
              <w:top w:val="nil"/>
              <w:left w:val="nil"/>
              <w:bottom w:val="nil"/>
              <w:right w:val="nil"/>
            </w:tcBorders>
            <w:shd w:val="clear" w:color="auto" w:fill="auto"/>
            <w:noWrap/>
            <w:vAlign w:val="bottom"/>
            <w:hideMark/>
          </w:tcPr>
          <w:p w14:paraId="3C8E57B0"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99,559 </w:t>
            </w:r>
          </w:p>
        </w:tc>
        <w:tc>
          <w:tcPr>
            <w:tcW w:w="578" w:type="pct"/>
            <w:tcBorders>
              <w:top w:val="nil"/>
              <w:left w:val="nil"/>
              <w:bottom w:val="nil"/>
              <w:right w:val="nil"/>
            </w:tcBorders>
            <w:shd w:val="clear" w:color="000000" w:fill="E6E6E6"/>
            <w:noWrap/>
            <w:vAlign w:val="bottom"/>
            <w:hideMark/>
          </w:tcPr>
          <w:p w14:paraId="3BC6CC03"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108,816 </w:t>
            </w:r>
          </w:p>
        </w:tc>
        <w:tc>
          <w:tcPr>
            <w:tcW w:w="578" w:type="pct"/>
            <w:tcBorders>
              <w:top w:val="nil"/>
              <w:left w:val="nil"/>
              <w:bottom w:val="nil"/>
              <w:right w:val="nil"/>
            </w:tcBorders>
            <w:shd w:val="clear" w:color="auto" w:fill="auto"/>
            <w:noWrap/>
            <w:vAlign w:val="bottom"/>
            <w:hideMark/>
          </w:tcPr>
          <w:p w14:paraId="548D5718"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101,348 </w:t>
            </w:r>
          </w:p>
        </w:tc>
        <w:tc>
          <w:tcPr>
            <w:tcW w:w="578" w:type="pct"/>
            <w:tcBorders>
              <w:top w:val="nil"/>
              <w:left w:val="nil"/>
              <w:bottom w:val="nil"/>
              <w:right w:val="nil"/>
            </w:tcBorders>
            <w:shd w:val="clear" w:color="auto" w:fill="auto"/>
            <w:noWrap/>
            <w:vAlign w:val="bottom"/>
            <w:hideMark/>
          </w:tcPr>
          <w:p w14:paraId="4D5322E9"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86,979 </w:t>
            </w:r>
          </w:p>
        </w:tc>
        <w:tc>
          <w:tcPr>
            <w:tcW w:w="578" w:type="pct"/>
            <w:tcBorders>
              <w:top w:val="nil"/>
              <w:left w:val="nil"/>
              <w:bottom w:val="nil"/>
              <w:right w:val="nil"/>
            </w:tcBorders>
            <w:shd w:val="clear" w:color="auto" w:fill="auto"/>
            <w:noWrap/>
            <w:vAlign w:val="bottom"/>
            <w:hideMark/>
          </w:tcPr>
          <w:p w14:paraId="096F33C4"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83,282 </w:t>
            </w:r>
          </w:p>
        </w:tc>
      </w:tr>
      <w:tr w:rsidR="00C334B8" w:rsidRPr="00C334B8" w14:paraId="461CCF32" w14:textId="77777777" w:rsidTr="00C334B8">
        <w:trPr>
          <w:trHeight w:val="200"/>
        </w:trPr>
        <w:tc>
          <w:tcPr>
            <w:tcW w:w="2110" w:type="pct"/>
            <w:tcBorders>
              <w:top w:val="nil"/>
              <w:left w:val="nil"/>
              <w:bottom w:val="nil"/>
              <w:right w:val="nil"/>
            </w:tcBorders>
            <w:shd w:val="clear" w:color="auto" w:fill="auto"/>
            <w:noWrap/>
            <w:vAlign w:val="bottom"/>
            <w:hideMark/>
          </w:tcPr>
          <w:p w14:paraId="4836812E" w14:textId="77777777" w:rsidR="00C334B8" w:rsidRPr="00C334B8" w:rsidRDefault="00C334B8" w:rsidP="00C334B8">
            <w:pPr>
              <w:spacing w:after="0" w:line="240" w:lineRule="auto"/>
              <w:ind w:firstLineChars="100" w:firstLine="160"/>
              <w:jc w:val="left"/>
              <w:rPr>
                <w:rFonts w:ascii="Arial" w:hAnsi="Arial" w:cs="Arial"/>
                <w:sz w:val="16"/>
                <w:szCs w:val="16"/>
              </w:rPr>
            </w:pPr>
            <w:r w:rsidRPr="00C334B8">
              <w:rPr>
                <w:rFonts w:ascii="Arial" w:hAnsi="Arial" w:cs="Arial"/>
                <w:sz w:val="16"/>
                <w:szCs w:val="16"/>
              </w:rPr>
              <w:t>Depreciation and amortisation (a)</w:t>
            </w:r>
          </w:p>
        </w:tc>
        <w:tc>
          <w:tcPr>
            <w:tcW w:w="578" w:type="pct"/>
            <w:tcBorders>
              <w:top w:val="nil"/>
              <w:left w:val="nil"/>
              <w:bottom w:val="nil"/>
              <w:right w:val="nil"/>
            </w:tcBorders>
            <w:shd w:val="clear" w:color="auto" w:fill="auto"/>
            <w:noWrap/>
            <w:vAlign w:val="bottom"/>
            <w:hideMark/>
          </w:tcPr>
          <w:p w14:paraId="6E06AD9B"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23,419 </w:t>
            </w:r>
          </w:p>
        </w:tc>
        <w:tc>
          <w:tcPr>
            <w:tcW w:w="578" w:type="pct"/>
            <w:tcBorders>
              <w:top w:val="nil"/>
              <w:left w:val="nil"/>
              <w:bottom w:val="nil"/>
              <w:right w:val="nil"/>
            </w:tcBorders>
            <w:shd w:val="clear" w:color="000000" w:fill="E6E6E6"/>
            <w:noWrap/>
            <w:vAlign w:val="bottom"/>
            <w:hideMark/>
          </w:tcPr>
          <w:p w14:paraId="113F02BB"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23,195 </w:t>
            </w:r>
          </w:p>
        </w:tc>
        <w:tc>
          <w:tcPr>
            <w:tcW w:w="578" w:type="pct"/>
            <w:tcBorders>
              <w:top w:val="nil"/>
              <w:left w:val="nil"/>
              <w:bottom w:val="nil"/>
              <w:right w:val="nil"/>
            </w:tcBorders>
            <w:shd w:val="clear" w:color="auto" w:fill="auto"/>
            <w:noWrap/>
            <w:vAlign w:val="bottom"/>
            <w:hideMark/>
          </w:tcPr>
          <w:p w14:paraId="3958774E"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23,375 </w:t>
            </w:r>
          </w:p>
        </w:tc>
        <w:tc>
          <w:tcPr>
            <w:tcW w:w="578" w:type="pct"/>
            <w:tcBorders>
              <w:top w:val="nil"/>
              <w:left w:val="nil"/>
              <w:bottom w:val="nil"/>
              <w:right w:val="nil"/>
            </w:tcBorders>
            <w:shd w:val="clear" w:color="auto" w:fill="auto"/>
            <w:noWrap/>
            <w:vAlign w:val="bottom"/>
            <w:hideMark/>
          </w:tcPr>
          <w:p w14:paraId="11E5CE18"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23,341 </w:t>
            </w:r>
          </w:p>
        </w:tc>
        <w:tc>
          <w:tcPr>
            <w:tcW w:w="578" w:type="pct"/>
            <w:tcBorders>
              <w:top w:val="nil"/>
              <w:left w:val="nil"/>
              <w:bottom w:val="nil"/>
              <w:right w:val="nil"/>
            </w:tcBorders>
            <w:shd w:val="clear" w:color="auto" w:fill="auto"/>
            <w:noWrap/>
            <w:vAlign w:val="bottom"/>
            <w:hideMark/>
          </w:tcPr>
          <w:p w14:paraId="382031A1"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23,341 </w:t>
            </w:r>
          </w:p>
        </w:tc>
      </w:tr>
      <w:tr w:rsidR="00C334B8" w:rsidRPr="00C334B8" w14:paraId="633D6038" w14:textId="77777777" w:rsidTr="00C334B8">
        <w:trPr>
          <w:trHeight w:val="200"/>
        </w:trPr>
        <w:tc>
          <w:tcPr>
            <w:tcW w:w="2110" w:type="pct"/>
            <w:tcBorders>
              <w:top w:val="nil"/>
              <w:left w:val="nil"/>
              <w:bottom w:val="nil"/>
              <w:right w:val="nil"/>
            </w:tcBorders>
            <w:shd w:val="clear" w:color="auto" w:fill="auto"/>
            <w:noWrap/>
            <w:vAlign w:val="bottom"/>
            <w:hideMark/>
          </w:tcPr>
          <w:p w14:paraId="5A45859B" w14:textId="77777777" w:rsidR="00C334B8" w:rsidRPr="00C334B8" w:rsidRDefault="00C334B8" w:rsidP="00C334B8">
            <w:pPr>
              <w:spacing w:after="0" w:line="240" w:lineRule="auto"/>
              <w:ind w:firstLineChars="100" w:firstLine="160"/>
              <w:jc w:val="left"/>
              <w:rPr>
                <w:rFonts w:ascii="Arial" w:hAnsi="Arial" w:cs="Arial"/>
                <w:sz w:val="16"/>
                <w:szCs w:val="16"/>
              </w:rPr>
            </w:pPr>
            <w:r w:rsidRPr="00C334B8">
              <w:rPr>
                <w:rFonts w:ascii="Arial" w:hAnsi="Arial" w:cs="Arial"/>
                <w:sz w:val="16"/>
                <w:szCs w:val="16"/>
              </w:rPr>
              <w:t>Finance costs</w:t>
            </w:r>
          </w:p>
        </w:tc>
        <w:tc>
          <w:tcPr>
            <w:tcW w:w="578" w:type="pct"/>
            <w:tcBorders>
              <w:top w:val="nil"/>
              <w:left w:val="nil"/>
              <w:bottom w:val="nil"/>
              <w:right w:val="nil"/>
            </w:tcBorders>
            <w:shd w:val="clear" w:color="auto" w:fill="auto"/>
            <w:noWrap/>
            <w:vAlign w:val="bottom"/>
            <w:hideMark/>
          </w:tcPr>
          <w:p w14:paraId="38238059"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944 </w:t>
            </w:r>
          </w:p>
        </w:tc>
        <w:tc>
          <w:tcPr>
            <w:tcW w:w="578" w:type="pct"/>
            <w:tcBorders>
              <w:top w:val="nil"/>
              <w:left w:val="nil"/>
              <w:bottom w:val="nil"/>
              <w:right w:val="nil"/>
            </w:tcBorders>
            <w:shd w:val="clear" w:color="000000" w:fill="E6E6E6"/>
            <w:noWrap/>
            <w:vAlign w:val="bottom"/>
            <w:hideMark/>
          </w:tcPr>
          <w:p w14:paraId="44FFA588"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811 </w:t>
            </w:r>
          </w:p>
        </w:tc>
        <w:tc>
          <w:tcPr>
            <w:tcW w:w="578" w:type="pct"/>
            <w:tcBorders>
              <w:top w:val="nil"/>
              <w:left w:val="nil"/>
              <w:bottom w:val="nil"/>
              <w:right w:val="nil"/>
            </w:tcBorders>
            <w:shd w:val="clear" w:color="auto" w:fill="auto"/>
            <w:noWrap/>
            <w:vAlign w:val="bottom"/>
            <w:hideMark/>
          </w:tcPr>
          <w:p w14:paraId="1E7E2C06" w14:textId="77777777" w:rsidR="00C334B8" w:rsidRPr="00C334B8" w:rsidRDefault="00C334B8" w:rsidP="00C334B8">
            <w:pPr>
              <w:spacing w:after="0" w:line="240" w:lineRule="auto"/>
              <w:jc w:val="right"/>
              <w:rPr>
                <w:rFonts w:ascii="Arial" w:hAnsi="Arial" w:cs="Arial"/>
                <w:color w:val="000000"/>
                <w:sz w:val="16"/>
                <w:szCs w:val="16"/>
              </w:rPr>
            </w:pPr>
            <w:r w:rsidRPr="00C334B8">
              <w:rPr>
                <w:rFonts w:ascii="Arial" w:hAnsi="Arial" w:cs="Arial"/>
                <w:color w:val="000000"/>
                <w:sz w:val="16"/>
                <w:szCs w:val="16"/>
              </w:rPr>
              <w:t xml:space="preserve">915 </w:t>
            </w:r>
          </w:p>
        </w:tc>
        <w:tc>
          <w:tcPr>
            <w:tcW w:w="578" w:type="pct"/>
            <w:tcBorders>
              <w:top w:val="nil"/>
              <w:left w:val="nil"/>
              <w:bottom w:val="nil"/>
              <w:right w:val="nil"/>
            </w:tcBorders>
            <w:shd w:val="clear" w:color="auto" w:fill="auto"/>
            <w:noWrap/>
            <w:vAlign w:val="bottom"/>
            <w:hideMark/>
          </w:tcPr>
          <w:p w14:paraId="696B9EF2" w14:textId="77777777" w:rsidR="00C334B8" w:rsidRPr="00C334B8" w:rsidRDefault="00C334B8" w:rsidP="00C334B8">
            <w:pPr>
              <w:spacing w:after="0" w:line="240" w:lineRule="auto"/>
              <w:jc w:val="right"/>
              <w:rPr>
                <w:rFonts w:ascii="Arial" w:hAnsi="Arial" w:cs="Arial"/>
                <w:color w:val="000000"/>
                <w:sz w:val="16"/>
                <w:szCs w:val="16"/>
              </w:rPr>
            </w:pPr>
            <w:r w:rsidRPr="00C334B8">
              <w:rPr>
                <w:rFonts w:ascii="Arial" w:hAnsi="Arial" w:cs="Arial"/>
                <w:color w:val="000000"/>
                <w:sz w:val="16"/>
                <w:szCs w:val="16"/>
              </w:rPr>
              <w:t xml:space="preserve">695 </w:t>
            </w:r>
          </w:p>
        </w:tc>
        <w:tc>
          <w:tcPr>
            <w:tcW w:w="578" w:type="pct"/>
            <w:tcBorders>
              <w:top w:val="nil"/>
              <w:left w:val="nil"/>
              <w:bottom w:val="nil"/>
              <w:right w:val="nil"/>
            </w:tcBorders>
            <w:shd w:val="clear" w:color="auto" w:fill="auto"/>
            <w:noWrap/>
            <w:vAlign w:val="bottom"/>
            <w:hideMark/>
          </w:tcPr>
          <w:p w14:paraId="60BD8FAA" w14:textId="77777777" w:rsidR="00C334B8" w:rsidRPr="00C334B8" w:rsidRDefault="00C334B8" w:rsidP="00C334B8">
            <w:pPr>
              <w:spacing w:after="0" w:line="240" w:lineRule="auto"/>
              <w:jc w:val="right"/>
              <w:rPr>
                <w:rFonts w:ascii="Arial" w:hAnsi="Arial" w:cs="Arial"/>
                <w:color w:val="000000"/>
                <w:sz w:val="16"/>
                <w:szCs w:val="16"/>
              </w:rPr>
            </w:pPr>
            <w:r w:rsidRPr="00C334B8">
              <w:rPr>
                <w:rFonts w:ascii="Arial" w:hAnsi="Arial" w:cs="Arial"/>
                <w:color w:val="000000"/>
                <w:sz w:val="16"/>
                <w:szCs w:val="16"/>
              </w:rPr>
              <w:t xml:space="preserve">695 </w:t>
            </w:r>
          </w:p>
        </w:tc>
      </w:tr>
      <w:tr w:rsidR="00C334B8" w:rsidRPr="00C334B8" w14:paraId="01C9D311" w14:textId="77777777" w:rsidTr="00C334B8">
        <w:trPr>
          <w:trHeight w:val="210"/>
        </w:trPr>
        <w:tc>
          <w:tcPr>
            <w:tcW w:w="2110" w:type="pct"/>
            <w:tcBorders>
              <w:top w:val="nil"/>
              <w:left w:val="nil"/>
              <w:bottom w:val="nil"/>
              <w:right w:val="nil"/>
            </w:tcBorders>
            <w:shd w:val="clear" w:color="auto" w:fill="auto"/>
            <w:noWrap/>
            <w:vAlign w:val="bottom"/>
            <w:hideMark/>
          </w:tcPr>
          <w:p w14:paraId="44A14106" w14:textId="77777777" w:rsidR="00C334B8" w:rsidRPr="00C334B8" w:rsidRDefault="00C334B8" w:rsidP="00C334B8">
            <w:pPr>
              <w:spacing w:after="0" w:line="240" w:lineRule="auto"/>
              <w:jc w:val="left"/>
              <w:rPr>
                <w:rFonts w:ascii="Arial" w:hAnsi="Arial" w:cs="Arial"/>
                <w:b/>
                <w:bCs/>
                <w:sz w:val="16"/>
                <w:szCs w:val="16"/>
              </w:rPr>
            </w:pPr>
            <w:r w:rsidRPr="00C334B8">
              <w:rPr>
                <w:rFonts w:ascii="Arial" w:hAnsi="Arial" w:cs="Arial"/>
                <w:b/>
                <w:bCs/>
                <w:sz w:val="16"/>
                <w:szCs w:val="16"/>
              </w:rPr>
              <w:t>Total expenses</w:t>
            </w:r>
          </w:p>
        </w:tc>
        <w:tc>
          <w:tcPr>
            <w:tcW w:w="578" w:type="pct"/>
            <w:tcBorders>
              <w:top w:val="single" w:sz="4" w:space="0" w:color="auto"/>
              <w:left w:val="nil"/>
              <w:bottom w:val="single" w:sz="4" w:space="0" w:color="auto"/>
              <w:right w:val="nil"/>
            </w:tcBorders>
            <w:shd w:val="clear" w:color="auto" w:fill="auto"/>
            <w:noWrap/>
            <w:vAlign w:val="bottom"/>
            <w:hideMark/>
          </w:tcPr>
          <w:p w14:paraId="7948669B" w14:textId="77777777" w:rsidR="00C334B8" w:rsidRPr="00C334B8" w:rsidRDefault="00C334B8" w:rsidP="00C334B8">
            <w:pPr>
              <w:spacing w:after="0" w:line="240" w:lineRule="auto"/>
              <w:jc w:val="right"/>
              <w:rPr>
                <w:rFonts w:ascii="Arial" w:hAnsi="Arial" w:cs="Arial"/>
                <w:b/>
                <w:bCs/>
                <w:sz w:val="16"/>
                <w:szCs w:val="16"/>
              </w:rPr>
            </w:pPr>
            <w:r w:rsidRPr="00C334B8">
              <w:rPr>
                <w:rFonts w:ascii="Arial" w:hAnsi="Arial" w:cs="Arial"/>
                <w:b/>
                <w:bCs/>
                <w:sz w:val="16"/>
                <w:szCs w:val="16"/>
              </w:rPr>
              <w:t xml:space="preserve">279,961 </w:t>
            </w:r>
          </w:p>
        </w:tc>
        <w:tc>
          <w:tcPr>
            <w:tcW w:w="578" w:type="pct"/>
            <w:tcBorders>
              <w:top w:val="single" w:sz="4" w:space="0" w:color="auto"/>
              <w:left w:val="nil"/>
              <w:bottom w:val="single" w:sz="4" w:space="0" w:color="auto"/>
              <w:right w:val="nil"/>
            </w:tcBorders>
            <w:shd w:val="clear" w:color="000000" w:fill="E6E6E6"/>
            <w:noWrap/>
            <w:vAlign w:val="bottom"/>
            <w:hideMark/>
          </w:tcPr>
          <w:p w14:paraId="699549EF" w14:textId="77777777" w:rsidR="00C334B8" w:rsidRPr="00C334B8" w:rsidRDefault="00C334B8" w:rsidP="00C334B8">
            <w:pPr>
              <w:spacing w:after="0" w:line="240" w:lineRule="auto"/>
              <w:jc w:val="right"/>
              <w:rPr>
                <w:rFonts w:ascii="Arial" w:hAnsi="Arial" w:cs="Arial"/>
                <w:b/>
                <w:bCs/>
                <w:sz w:val="16"/>
                <w:szCs w:val="16"/>
              </w:rPr>
            </w:pPr>
            <w:r w:rsidRPr="00C334B8">
              <w:rPr>
                <w:rFonts w:ascii="Arial" w:hAnsi="Arial" w:cs="Arial"/>
                <w:b/>
                <w:bCs/>
                <w:sz w:val="16"/>
                <w:szCs w:val="16"/>
              </w:rPr>
              <w:t xml:space="preserve">298,041 </w:t>
            </w:r>
          </w:p>
        </w:tc>
        <w:tc>
          <w:tcPr>
            <w:tcW w:w="578" w:type="pct"/>
            <w:tcBorders>
              <w:top w:val="single" w:sz="4" w:space="0" w:color="auto"/>
              <w:left w:val="nil"/>
              <w:bottom w:val="single" w:sz="4" w:space="0" w:color="auto"/>
              <w:right w:val="nil"/>
            </w:tcBorders>
            <w:shd w:val="clear" w:color="auto" w:fill="auto"/>
            <w:noWrap/>
            <w:vAlign w:val="bottom"/>
            <w:hideMark/>
          </w:tcPr>
          <w:p w14:paraId="1F4238F5" w14:textId="77777777" w:rsidR="00C334B8" w:rsidRPr="00C334B8" w:rsidRDefault="00C334B8" w:rsidP="00C334B8">
            <w:pPr>
              <w:spacing w:after="0" w:line="240" w:lineRule="auto"/>
              <w:jc w:val="right"/>
              <w:rPr>
                <w:rFonts w:ascii="Arial" w:hAnsi="Arial" w:cs="Arial"/>
                <w:b/>
                <w:bCs/>
                <w:sz w:val="16"/>
                <w:szCs w:val="16"/>
              </w:rPr>
            </w:pPr>
            <w:r w:rsidRPr="00C334B8">
              <w:rPr>
                <w:rFonts w:ascii="Arial" w:hAnsi="Arial" w:cs="Arial"/>
                <w:b/>
                <w:bCs/>
                <w:sz w:val="16"/>
                <w:szCs w:val="16"/>
              </w:rPr>
              <w:t xml:space="preserve">283,085 </w:t>
            </w:r>
          </w:p>
        </w:tc>
        <w:tc>
          <w:tcPr>
            <w:tcW w:w="578" w:type="pct"/>
            <w:tcBorders>
              <w:top w:val="single" w:sz="4" w:space="0" w:color="auto"/>
              <w:left w:val="nil"/>
              <w:bottom w:val="single" w:sz="4" w:space="0" w:color="auto"/>
              <w:right w:val="nil"/>
            </w:tcBorders>
            <w:shd w:val="clear" w:color="auto" w:fill="auto"/>
            <w:noWrap/>
            <w:vAlign w:val="bottom"/>
            <w:hideMark/>
          </w:tcPr>
          <w:p w14:paraId="4A8FCE65" w14:textId="77777777" w:rsidR="00C334B8" w:rsidRPr="00C334B8" w:rsidRDefault="00C334B8" w:rsidP="00C334B8">
            <w:pPr>
              <w:spacing w:after="0" w:line="240" w:lineRule="auto"/>
              <w:jc w:val="right"/>
              <w:rPr>
                <w:rFonts w:ascii="Arial" w:hAnsi="Arial" w:cs="Arial"/>
                <w:b/>
                <w:bCs/>
                <w:sz w:val="16"/>
                <w:szCs w:val="16"/>
              </w:rPr>
            </w:pPr>
            <w:r w:rsidRPr="00C334B8">
              <w:rPr>
                <w:rFonts w:ascii="Arial" w:hAnsi="Arial" w:cs="Arial"/>
                <w:b/>
                <w:bCs/>
                <w:sz w:val="16"/>
                <w:szCs w:val="16"/>
              </w:rPr>
              <w:t xml:space="preserve">252,489 </w:t>
            </w:r>
          </w:p>
        </w:tc>
        <w:tc>
          <w:tcPr>
            <w:tcW w:w="578" w:type="pct"/>
            <w:tcBorders>
              <w:top w:val="single" w:sz="4" w:space="0" w:color="auto"/>
              <w:left w:val="nil"/>
              <w:bottom w:val="single" w:sz="4" w:space="0" w:color="auto"/>
              <w:right w:val="nil"/>
            </w:tcBorders>
            <w:shd w:val="clear" w:color="auto" w:fill="auto"/>
            <w:noWrap/>
            <w:vAlign w:val="bottom"/>
            <w:hideMark/>
          </w:tcPr>
          <w:p w14:paraId="09EDC5CC" w14:textId="77777777" w:rsidR="00C334B8" w:rsidRPr="00C334B8" w:rsidRDefault="00C334B8" w:rsidP="00C334B8">
            <w:pPr>
              <w:spacing w:after="0" w:line="240" w:lineRule="auto"/>
              <w:jc w:val="right"/>
              <w:rPr>
                <w:rFonts w:ascii="Arial" w:hAnsi="Arial" w:cs="Arial"/>
                <w:b/>
                <w:bCs/>
                <w:sz w:val="16"/>
                <w:szCs w:val="16"/>
              </w:rPr>
            </w:pPr>
            <w:r w:rsidRPr="00C334B8">
              <w:rPr>
                <w:rFonts w:ascii="Arial" w:hAnsi="Arial" w:cs="Arial"/>
                <w:b/>
                <w:bCs/>
                <w:sz w:val="16"/>
                <w:szCs w:val="16"/>
              </w:rPr>
              <w:t xml:space="preserve">244,784 </w:t>
            </w:r>
          </w:p>
        </w:tc>
      </w:tr>
      <w:tr w:rsidR="00C334B8" w:rsidRPr="00C334B8" w14:paraId="44B8989B" w14:textId="77777777" w:rsidTr="00C334B8">
        <w:trPr>
          <w:trHeight w:val="210"/>
        </w:trPr>
        <w:tc>
          <w:tcPr>
            <w:tcW w:w="2110" w:type="pct"/>
            <w:tcBorders>
              <w:top w:val="nil"/>
              <w:left w:val="nil"/>
              <w:bottom w:val="nil"/>
              <w:right w:val="nil"/>
            </w:tcBorders>
            <w:shd w:val="clear" w:color="auto" w:fill="auto"/>
            <w:noWrap/>
            <w:vAlign w:val="bottom"/>
            <w:hideMark/>
          </w:tcPr>
          <w:p w14:paraId="36B2F03E" w14:textId="77777777" w:rsidR="00C334B8" w:rsidRPr="00C334B8" w:rsidRDefault="00C334B8" w:rsidP="00C334B8">
            <w:pPr>
              <w:spacing w:after="0" w:line="240" w:lineRule="auto"/>
              <w:jc w:val="left"/>
              <w:rPr>
                <w:rFonts w:ascii="Arial" w:hAnsi="Arial" w:cs="Arial"/>
                <w:b/>
                <w:bCs/>
                <w:sz w:val="16"/>
                <w:szCs w:val="16"/>
              </w:rPr>
            </w:pPr>
            <w:r w:rsidRPr="00C334B8">
              <w:rPr>
                <w:rFonts w:ascii="Arial" w:hAnsi="Arial" w:cs="Arial"/>
                <w:b/>
                <w:bCs/>
                <w:sz w:val="16"/>
                <w:szCs w:val="16"/>
              </w:rPr>
              <w:t xml:space="preserve">LESS: </w:t>
            </w:r>
          </w:p>
        </w:tc>
        <w:tc>
          <w:tcPr>
            <w:tcW w:w="578" w:type="pct"/>
            <w:tcBorders>
              <w:top w:val="nil"/>
              <w:left w:val="nil"/>
              <w:bottom w:val="nil"/>
              <w:right w:val="nil"/>
            </w:tcBorders>
            <w:shd w:val="clear" w:color="auto" w:fill="auto"/>
            <w:noWrap/>
            <w:vAlign w:val="bottom"/>
            <w:hideMark/>
          </w:tcPr>
          <w:p w14:paraId="09B755CB" w14:textId="77777777" w:rsidR="00C334B8" w:rsidRPr="00C334B8" w:rsidRDefault="00C334B8" w:rsidP="00C334B8">
            <w:pPr>
              <w:spacing w:after="0" w:line="240" w:lineRule="auto"/>
              <w:jc w:val="left"/>
              <w:rPr>
                <w:rFonts w:ascii="Arial" w:hAnsi="Arial" w:cs="Arial"/>
                <w:b/>
                <w:bCs/>
                <w:sz w:val="16"/>
                <w:szCs w:val="16"/>
              </w:rPr>
            </w:pPr>
          </w:p>
        </w:tc>
        <w:tc>
          <w:tcPr>
            <w:tcW w:w="578" w:type="pct"/>
            <w:tcBorders>
              <w:top w:val="nil"/>
              <w:left w:val="nil"/>
              <w:bottom w:val="nil"/>
              <w:right w:val="nil"/>
            </w:tcBorders>
            <w:shd w:val="clear" w:color="000000" w:fill="E6E6E6"/>
            <w:noWrap/>
            <w:vAlign w:val="bottom"/>
            <w:hideMark/>
          </w:tcPr>
          <w:p w14:paraId="5962FA00" w14:textId="77777777" w:rsidR="00C334B8" w:rsidRPr="00C334B8" w:rsidRDefault="00C334B8" w:rsidP="00C334B8">
            <w:pPr>
              <w:spacing w:after="0" w:line="240" w:lineRule="auto"/>
              <w:jc w:val="right"/>
              <w:rPr>
                <w:rFonts w:ascii="Arial" w:hAnsi="Arial" w:cs="Arial"/>
                <w:b/>
                <w:bCs/>
                <w:sz w:val="16"/>
                <w:szCs w:val="16"/>
              </w:rPr>
            </w:pPr>
            <w:r w:rsidRPr="00C334B8">
              <w:rPr>
                <w:rFonts w:ascii="Arial" w:hAnsi="Arial" w:cs="Arial"/>
                <w:b/>
                <w:bCs/>
                <w:sz w:val="16"/>
                <w:szCs w:val="16"/>
              </w:rPr>
              <w:t> </w:t>
            </w:r>
          </w:p>
        </w:tc>
        <w:tc>
          <w:tcPr>
            <w:tcW w:w="578" w:type="pct"/>
            <w:tcBorders>
              <w:top w:val="nil"/>
              <w:left w:val="nil"/>
              <w:bottom w:val="nil"/>
              <w:right w:val="nil"/>
            </w:tcBorders>
            <w:shd w:val="clear" w:color="auto" w:fill="auto"/>
            <w:noWrap/>
            <w:vAlign w:val="bottom"/>
            <w:hideMark/>
          </w:tcPr>
          <w:p w14:paraId="451DC71D" w14:textId="77777777" w:rsidR="00C334B8" w:rsidRPr="00C334B8" w:rsidRDefault="00C334B8" w:rsidP="00C334B8">
            <w:pPr>
              <w:spacing w:after="0" w:line="240" w:lineRule="auto"/>
              <w:jc w:val="right"/>
              <w:rPr>
                <w:rFonts w:ascii="Arial" w:hAnsi="Arial" w:cs="Arial"/>
                <w:b/>
                <w:bCs/>
                <w:sz w:val="16"/>
                <w:szCs w:val="16"/>
              </w:rPr>
            </w:pPr>
          </w:p>
        </w:tc>
        <w:tc>
          <w:tcPr>
            <w:tcW w:w="578" w:type="pct"/>
            <w:tcBorders>
              <w:top w:val="nil"/>
              <w:left w:val="nil"/>
              <w:bottom w:val="nil"/>
              <w:right w:val="nil"/>
            </w:tcBorders>
            <w:shd w:val="clear" w:color="auto" w:fill="auto"/>
            <w:noWrap/>
            <w:vAlign w:val="bottom"/>
            <w:hideMark/>
          </w:tcPr>
          <w:p w14:paraId="226C79B4" w14:textId="77777777" w:rsidR="00C334B8" w:rsidRPr="00C334B8" w:rsidRDefault="00C334B8" w:rsidP="00C334B8">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vAlign w:val="bottom"/>
            <w:hideMark/>
          </w:tcPr>
          <w:p w14:paraId="3685C3E2" w14:textId="77777777" w:rsidR="00C334B8" w:rsidRPr="00C334B8" w:rsidRDefault="00C334B8" w:rsidP="00C334B8">
            <w:pPr>
              <w:spacing w:after="0" w:line="240" w:lineRule="auto"/>
              <w:jc w:val="right"/>
              <w:rPr>
                <w:rFonts w:ascii="Times New Roman" w:hAnsi="Times New Roman"/>
              </w:rPr>
            </w:pPr>
          </w:p>
        </w:tc>
      </w:tr>
      <w:tr w:rsidR="00C334B8" w:rsidRPr="00C334B8" w14:paraId="66246832" w14:textId="77777777" w:rsidTr="00C334B8">
        <w:trPr>
          <w:trHeight w:val="210"/>
        </w:trPr>
        <w:tc>
          <w:tcPr>
            <w:tcW w:w="2110" w:type="pct"/>
            <w:tcBorders>
              <w:top w:val="nil"/>
              <w:left w:val="nil"/>
              <w:bottom w:val="nil"/>
              <w:right w:val="nil"/>
            </w:tcBorders>
            <w:shd w:val="clear" w:color="auto" w:fill="auto"/>
            <w:noWrap/>
            <w:vAlign w:val="bottom"/>
            <w:hideMark/>
          </w:tcPr>
          <w:p w14:paraId="78C35489" w14:textId="77777777" w:rsidR="00C334B8" w:rsidRPr="00C334B8" w:rsidRDefault="00C334B8" w:rsidP="00C334B8">
            <w:pPr>
              <w:spacing w:after="0" w:line="240" w:lineRule="auto"/>
              <w:jc w:val="left"/>
              <w:rPr>
                <w:rFonts w:ascii="Arial" w:hAnsi="Arial" w:cs="Arial"/>
                <w:b/>
                <w:bCs/>
                <w:sz w:val="16"/>
                <w:szCs w:val="16"/>
              </w:rPr>
            </w:pPr>
            <w:r w:rsidRPr="00C334B8">
              <w:rPr>
                <w:rFonts w:ascii="Arial" w:hAnsi="Arial" w:cs="Arial"/>
                <w:b/>
                <w:bCs/>
                <w:sz w:val="16"/>
                <w:szCs w:val="16"/>
              </w:rPr>
              <w:t>OWN-SOURCE INCOME</w:t>
            </w:r>
          </w:p>
        </w:tc>
        <w:tc>
          <w:tcPr>
            <w:tcW w:w="578" w:type="pct"/>
            <w:tcBorders>
              <w:top w:val="nil"/>
              <w:left w:val="nil"/>
              <w:bottom w:val="nil"/>
              <w:right w:val="nil"/>
            </w:tcBorders>
            <w:shd w:val="clear" w:color="auto" w:fill="auto"/>
            <w:noWrap/>
            <w:vAlign w:val="bottom"/>
            <w:hideMark/>
          </w:tcPr>
          <w:p w14:paraId="788F10FD" w14:textId="77777777" w:rsidR="00C334B8" w:rsidRPr="00C334B8" w:rsidRDefault="00C334B8" w:rsidP="00C334B8">
            <w:pPr>
              <w:spacing w:after="0" w:line="240" w:lineRule="auto"/>
              <w:jc w:val="left"/>
              <w:rPr>
                <w:rFonts w:ascii="Arial" w:hAnsi="Arial" w:cs="Arial"/>
                <w:b/>
                <w:bCs/>
                <w:sz w:val="16"/>
                <w:szCs w:val="16"/>
              </w:rPr>
            </w:pPr>
          </w:p>
        </w:tc>
        <w:tc>
          <w:tcPr>
            <w:tcW w:w="578" w:type="pct"/>
            <w:tcBorders>
              <w:top w:val="nil"/>
              <w:left w:val="nil"/>
              <w:bottom w:val="nil"/>
              <w:right w:val="nil"/>
            </w:tcBorders>
            <w:shd w:val="clear" w:color="000000" w:fill="E6E6E6"/>
            <w:noWrap/>
            <w:vAlign w:val="bottom"/>
            <w:hideMark/>
          </w:tcPr>
          <w:p w14:paraId="238BB89E" w14:textId="77777777" w:rsidR="00C334B8" w:rsidRPr="00C334B8" w:rsidRDefault="00C334B8" w:rsidP="00C334B8">
            <w:pPr>
              <w:spacing w:after="0" w:line="240" w:lineRule="auto"/>
              <w:jc w:val="right"/>
              <w:rPr>
                <w:rFonts w:ascii="Arial" w:hAnsi="Arial" w:cs="Arial"/>
                <w:b/>
                <w:bCs/>
                <w:sz w:val="16"/>
                <w:szCs w:val="16"/>
              </w:rPr>
            </w:pPr>
            <w:r w:rsidRPr="00C334B8">
              <w:rPr>
                <w:rFonts w:ascii="Arial" w:hAnsi="Arial" w:cs="Arial"/>
                <w:b/>
                <w:bCs/>
                <w:sz w:val="16"/>
                <w:szCs w:val="16"/>
              </w:rPr>
              <w:t> </w:t>
            </w:r>
          </w:p>
        </w:tc>
        <w:tc>
          <w:tcPr>
            <w:tcW w:w="578" w:type="pct"/>
            <w:tcBorders>
              <w:top w:val="nil"/>
              <w:left w:val="nil"/>
              <w:bottom w:val="nil"/>
              <w:right w:val="nil"/>
            </w:tcBorders>
            <w:shd w:val="clear" w:color="auto" w:fill="auto"/>
            <w:noWrap/>
            <w:vAlign w:val="bottom"/>
            <w:hideMark/>
          </w:tcPr>
          <w:p w14:paraId="42363EDE" w14:textId="77777777" w:rsidR="00C334B8" w:rsidRPr="00C334B8" w:rsidRDefault="00C334B8" w:rsidP="00C334B8">
            <w:pPr>
              <w:spacing w:after="0" w:line="240" w:lineRule="auto"/>
              <w:jc w:val="right"/>
              <w:rPr>
                <w:rFonts w:ascii="Arial" w:hAnsi="Arial" w:cs="Arial"/>
                <w:b/>
                <w:bCs/>
                <w:sz w:val="16"/>
                <w:szCs w:val="16"/>
              </w:rPr>
            </w:pPr>
          </w:p>
        </w:tc>
        <w:tc>
          <w:tcPr>
            <w:tcW w:w="578" w:type="pct"/>
            <w:tcBorders>
              <w:top w:val="nil"/>
              <w:left w:val="nil"/>
              <w:bottom w:val="nil"/>
              <w:right w:val="nil"/>
            </w:tcBorders>
            <w:shd w:val="clear" w:color="auto" w:fill="auto"/>
            <w:noWrap/>
            <w:vAlign w:val="bottom"/>
            <w:hideMark/>
          </w:tcPr>
          <w:p w14:paraId="3616B0B4" w14:textId="77777777" w:rsidR="00C334B8" w:rsidRPr="00C334B8" w:rsidRDefault="00C334B8" w:rsidP="00C334B8">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vAlign w:val="bottom"/>
            <w:hideMark/>
          </w:tcPr>
          <w:p w14:paraId="1F85AC01" w14:textId="77777777" w:rsidR="00C334B8" w:rsidRPr="00C334B8" w:rsidRDefault="00C334B8" w:rsidP="00C334B8">
            <w:pPr>
              <w:spacing w:after="0" w:line="240" w:lineRule="auto"/>
              <w:jc w:val="right"/>
              <w:rPr>
                <w:rFonts w:ascii="Times New Roman" w:hAnsi="Times New Roman"/>
              </w:rPr>
            </w:pPr>
          </w:p>
        </w:tc>
      </w:tr>
      <w:tr w:rsidR="00C334B8" w:rsidRPr="00C334B8" w14:paraId="21E90F34" w14:textId="77777777" w:rsidTr="00C334B8">
        <w:trPr>
          <w:trHeight w:val="210"/>
        </w:trPr>
        <w:tc>
          <w:tcPr>
            <w:tcW w:w="2110" w:type="pct"/>
            <w:tcBorders>
              <w:top w:val="nil"/>
              <w:left w:val="nil"/>
              <w:bottom w:val="nil"/>
              <w:right w:val="nil"/>
            </w:tcBorders>
            <w:shd w:val="clear" w:color="auto" w:fill="auto"/>
            <w:noWrap/>
            <w:vAlign w:val="bottom"/>
            <w:hideMark/>
          </w:tcPr>
          <w:p w14:paraId="1DBE2B18" w14:textId="77777777" w:rsidR="00C334B8" w:rsidRPr="00C334B8" w:rsidRDefault="00C334B8" w:rsidP="00C334B8">
            <w:pPr>
              <w:spacing w:after="0" w:line="240" w:lineRule="auto"/>
              <w:jc w:val="left"/>
              <w:rPr>
                <w:rFonts w:ascii="Arial" w:hAnsi="Arial" w:cs="Arial"/>
                <w:b/>
                <w:bCs/>
                <w:sz w:val="16"/>
                <w:szCs w:val="16"/>
              </w:rPr>
            </w:pPr>
            <w:r w:rsidRPr="00C334B8">
              <w:rPr>
                <w:rFonts w:ascii="Arial" w:hAnsi="Arial" w:cs="Arial"/>
                <w:b/>
                <w:bCs/>
                <w:sz w:val="16"/>
                <w:szCs w:val="16"/>
              </w:rPr>
              <w:t>Own-source revenue</w:t>
            </w:r>
          </w:p>
        </w:tc>
        <w:tc>
          <w:tcPr>
            <w:tcW w:w="578" w:type="pct"/>
            <w:tcBorders>
              <w:top w:val="nil"/>
              <w:left w:val="nil"/>
              <w:bottom w:val="nil"/>
              <w:right w:val="nil"/>
            </w:tcBorders>
            <w:shd w:val="clear" w:color="auto" w:fill="auto"/>
            <w:noWrap/>
            <w:vAlign w:val="bottom"/>
            <w:hideMark/>
          </w:tcPr>
          <w:p w14:paraId="238804E6" w14:textId="77777777" w:rsidR="00C334B8" w:rsidRPr="00C334B8" w:rsidRDefault="00C334B8" w:rsidP="00C334B8">
            <w:pPr>
              <w:spacing w:after="0" w:line="240" w:lineRule="auto"/>
              <w:jc w:val="left"/>
              <w:rPr>
                <w:rFonts w:ascii="Arial" w:hAnsi="Arial" w:cs="Arial"/>
                <w:b/>
                <w:bCs/>
                <w:sz w:val="16"/>
                <w:szCs w:val="16"/>
              </w:rPr>
            </w:pPr>
          </w:p>
        </w:tc>
        <w:tc>
          <w:tcPr>
            <w:tcW w:w="578" w:type="pct"/>
            <w:tcBorders>
              <w:top w:val="nil"/>
              <w:left w:val="nil"/>
              <w:bottom w:val="nil"/>
              <w:right w:val="nil"/>
            </w:tcBorders>
            <w:shd w:val="clear" w:color="000000" w:fill="E6E6E6"/>
            <w:noWrap/>
            <w:vAlign w:val="bottom"/>
            <w:hideMark/>
          </w:tcPr>
          <w:p w14:paraId="3430A27A" w14:textId="77777777" w:rsidR="00C334B8" w:rsidRPr="00C334B8" w:rsidRDefault="00C334B8" w:rsidP="00C334B8">
            <w:pPr>
              <w:spacing w:after="0" w:line="240" w:lineRule="auto"/>
              <w:jc w:val="right"/>
              <w:rPr>
                <w:rFonts w:ascii="Arial" w:hAnsi="Arial" w:cs="Arial"/>
                <w:b/>
                <w:bCs/>
                <w:sz w:val="16"/>
                <w:szCs w:val="16"/>
              </w:rPr>
            </w:pPr>
            <w:r w:rsidRPr="00C334B8">
              <w:rPr>
                <w:rFonts w:ascii="Arial" w:hAnsi="Arial" w:cs="Arial"/>
                <w:b/>
                <w:bCs/>
                <w:sz w:val="16"/>
                <w:szCs w:val="16"/>
              </w:rPr>
              <w:t> </w:t>
            </w:r>
          </w:p>
        </w:tc>
        <w:tc>
          <w:tcPr>
            <w:tcW w:w="578" w:type="pct"/>
            <w:tcBorders>
              <w:top w:val="nil"/>
              <w:left w:val="nil"/>
              <w:bottom w:val="nil"/>
              <w:right w:val="nil"/>
            </w:tcBorders>
            <w:shd w:val="clear" w:color="auto" w:fill="auto"/>
            <w:noWrap/>
            <w:vAlign w:val="bottom"/>
            <w:hideMark/>
          </w:tcPr>
          <w:p w14:paraId="48D601A1" w14:textId="77777777" w:rsidR="00C334B8" w:rsidRPr="00C334B8" w:rsidRDefault="00C334B8" w:rsidP="00C334B8">
            <w:pPr>
              <w:spacing w:after="0" w:line="240" w:lineRule="auto"/>
              <w:jc w:val="right"/>
              <w:rPr>
                <w:rFonts w:ascii="Arial" w:hAnsi="Arial" w:cs="Arial"/>
                <w:b/>
                <w:bCs/>
                <w:sz w:val="16"/>
                <w:szCs w:val="16"/>
              </w:rPr>
            </w:pPr>
          </w:p>
        </w:tc>
        <w:tc>
          <w:tcPr>
            <w:tcW w:w="578" w:type="pct"/>
            <w:tcBorders>
              <w:top w:val="nil"/>
              <w:left w:val="nil"/>
              <w:bottom w:val="nil"/>
              <w:right w:val="nil"/>
            </w:tcBorders>
            <w:shd w:val="clear" w:color="auto" w:fill="auto"/>
            <w:noWrap/>
            <w:vAlign w:val="bottom"/>
            <w:hideMark/>
          </w:tcPr>
          <w:p w14:paraId="55095920" w14:textId="77777777" w:rsidR="00C334B8" w:rsidRPr="00C334B8" w:rsidRDefault="00C334B8" w:rsidP="00C334B8">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vAlign w:val="bottom"/>
            <w:hideMark/>
          </w:tcPr>
          <w:p w14:paraId="62AD0015" w14:textId="77777777" w:rsidR="00C334B8" w:rsidRPr="00C334B8" w:rsidRDefault="00C334B8" w:rsidP="00C334B8">
            <w:pPr>
              <w:spacing w:after="0" w:line="240" w:lineRule="auto"/>
              <w:jc w:val="right"/>
              <w:rPr>
                <w:rFonts w:ascii="Times New Roman" w:hAnsi="Times New Roman"/>
              </w:rPr>
            </w:pPr>
          </w:p>
        </w:tc>
      </w:tr>
      <w:tr w:rsidR="00C334B8" w:rsidRPr="00C334B8" w14:paraId="7E056DFD" w14:textId="77777777" w:rsidTr="00C334B8">
        <w:trPr>
          <w:trHeight w:val="400"/>
        </w:trPr>
        <w:tc>
          <w:tcPr>
            <w:tcW w:w="2110" w:type="pct"/>
            <w:tcBorders>
              <w:top w:val="nil"/>
              <w:left w:val="nil"/>
              <w:bottom w:val="nil"/>
              <w:right w:val="nil"/>
            </w:tcBorders>
            <w:shd w:val="clear" w:color="auto" w:fill="auto"/>
            <w:vAlign w:val="bottom"/>
            <w:hideMark/>
          </w:tcPr>
          <w:p w14:paraId="04F9151C" w14:textId="6824FBA6" w:rsidR="00C334B8" w:rsidRPr="00C334B8" w:rsidRDefault="00C334B8" w:rsidP="00C334B8">
            <w:pPr>
              <w:spacing w:after="0" w:line="240" w:lineRule="auto"/>
              <w:ind w:firstLineChars="100" w:firstLine="160"/>
              <w:jc w:val="left"/>
              <w:rPr>
                <w:rFonts w:ascii="Arial" w:hAnsi="Arial" w:cs="Arial"/>
                <w:sz w:val="16"/>
                <w:szCs w:val="16"/>
              </w:rPr>
            </w:pPr>
            <w:r w:rsidRPr="00C334B8">
              <w:rPr>
                <w:rFonts w:ascii="Arial" w:hAnsi="Arial" w:cs="Arial"/>
                <w:sz w:val="16"/>
                <w:szCs w:val="16"/>
              </w:rPr>
              <w:t>Sale of goods and rendering of</w:t>
            </w:r>
            <w:r w:rsidRPr="00C334B8">
              <w:rPr>
                <w:rFonts w:ascii="Arial" w:hAnsi="Arial" w:cs="Arial"/>
                <w:sz w:val="16"/>
                <w:szCs w:val="16"/>
              </w:rPr>
              <w:br/>
              <w:t xml:space="preserve"> </w:t>
            </w:r>
            <w:r>
              <w:rPr>
                <w:rFonts w:ascii="Arial" w:hAnsi="Arial" w:cs="Arial"/>
                <w:sz w:val="16"/>
                <w:szCs w:val="16"/>
              </w:rPr>
              <w:t xml:space="preserve">    </w:t>
            </w:r>
            <w:r w:rsidRPr="00C334B8">
              <w:rPr>
                <w:rFonts w:ascii="Arial" w:hAnsi="Arial" w:cs="Arial"/>
                <w:sz w:val="16"/>
                <w:szCs w:val="16"/>
              </w:rPr>
              <w:t xml:space="preserve"> services</w:t>
            </w:r>
          </w:p>
        </w:tc>
        <w:tc>
          <w:tcPr>
            <w:tcW w:w="578" w:type="pct"/>
            <w:tcBorders>
              <w:top w:val="nil"/>
              <w:left w:val="nil"/>
              <w:bottom w:val="nil"/>
              <w:right w:val="nil"/>
            </w:tcBorders>
            <w:shd w:val="clear" w:color="auto" w:fill="auto"/>
            <w:noWrap/>
            <w:vAlign w:val="bottom"/>
            <w:hideMark/>
          </w:tcPr>
          <w:p w14:paraId="62AB9721"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1,532 </w:t>
            </w:r>
          </w:p>
        </w:tc>
        <w:tc>
          <w:tcPr>
            <w:tcW w:w="578" w:type="pct"/>
            <w:tcBorders>
              <w:top w:val="nil"/>
              <w:left w:val="nil"/>
              <w:bottom w:val="nil"/>
              <w:right w:val="nil"/>
            </w:tcBorders>
            <w:shd w:val="clear" w:color="000000" w:fill="E6E6E6"/>
            <w:noWrap/>
            <w:vAlign w:val="bottom"/>
            <w:hideMark/>
          </w:tcPr>
          <w:p w14:paraId="6BD1C386"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1,277 </w:t>
            </w:r>
          </w:p>
        </w:tc>
        <w:tc>
          <w:tcPr>
            <w:tcW w:w="578" w:type="pct"/>
            <w:tcBorders>
              <w:top w:val="nil"/>
              <w:left w:val="nil"/>
              <w:bottom w:val="nil"/>
              <w:right w:val="nil"/>
            </w:tcBorders>
            <w:shd w:val="clear" w:color="auto" w:fill="auto"/>
            <w:noWrap/>
            <w:vAlign w:val="bottom"/>
            <w:hideMark/>
          </w:tcPr>
          <w:p w14:paraId="6946D327"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526 </w:t>
            </w:r>
          </w:p>
        </w:tc>
        <w:tc>
          <w:tcPr>
            <w:tcW w:w="578" w:type="pct"/>
            <w:tcBorders>
              <w:top w:val="nil"/>
              <w:left w:val="nil"/>
              <w:bottom w:val="nil"/>
              <w:right w:val="nil"/>
            </w:tcBorders>
            <w:shd w:val="clear" w:color="auto" w:fill="auto"/>
            <w:noWrap/>
            <w:vAlign w:val="bottom"/>
            <w:hideMark/>
          </w:tcPr>
          <w:p w14:paraId="5D1F7986"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1,333 </w:t>
            </w:r>
          </w:p>
        </w:tc>
        <w:tc>
          <w:tcPr>
            <w:tcW w:w="578" w:type="pct"/>
            <w:tcBorders>
              <w:top w:val="nil"/>
              <w:left w:val="nil"/>
              <w:bottom w:val="nil"/>
              <w:right w:val="nil"/>
            </w:tcBorders>
            <w:shd w:val="clear" w:color="auto" w:fill="auto"/>
            <w:noWrap/>
            <w:vAlign w:val="bottom"/>
            <w:hideMark/>
          </w:tcPr>
          <w:p w14:paraId="1B85FB46"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1,333 </w:t>
            </w:r>
          </w:p>
        </w:tc>
      </w:tr>
      <w:tr w:rsidR="00C334B8" w:rsidRPr="00C334B8" w14:paraId="254926CC" w14:textId="77777777" w:rsidTr="00C334B8">
        <w:trPr>
          <w:trHeight w:val="200"/>
        </w:trPr>
        <w:tc>
          <w:tcPr>
            <w:tcW w:w="2110" w:type="pct"/>
            <w:tcBorders>
              <w:top w:val="nil"/>
              <w:left w:val="nil"/>
              <w:bottom w:val="nil"/>
              <w:right w:val="nil"/>
            </w:tcBorders>
            <w:shd w:val="clear" w:color="auto" w:fill="auto"/>
            <w:noWrap/>
            <w:vAlign w:val="bottom"/>
            <w:hideMark/>
          </w:tcPr>
          <w:p w14:paraId="315980A4" w14:textId="77777777" w:rsidR="00C334B8" w:rsidRPr="00C334B8" w:rsidRDefault="00C334B8" w:rsidP="00C334B8">
            <w:pPr>
              <w:spacing w:after="0" w:line="240" w:lineRule="auto"/>
              <w:ind w:firstLineChars="100" w:firstLine="160"/>
              <w:jc w:val="left"/>
              <w:rPr>
                <w:rFonts w:ascii="Arial" w:hAnsi="Arial" w:cs="Arial"/>
                <w:sz w:val="16"/>
                <w:szCs w:val="16"/>
              </w:rPr>
            </w:pPr>
            <w:r w:rsidRPr="00C334B8">
              <w:rPr>
                <w:rFonts w:ascii="Arial" w:hAnsi="Arial" w:cs="Arial"/>
                <w:sz w:val="16"/>
                <w:szCs w:val="16"/>
              </w:rPr>
              <w:t>Sublease interest income</w:t>
            </w:r>
          </w:p>
        </w:tc>
        <w:tc>
          <w:tcPr>
            <w:tcW w:w="578" w:type="pct"/>
            <w:tcBorders>
              <w:top w:val="nil"/>
              <w:left w:val="nil"/>
              <w:bottom w:val="nil"/>
              <w:right w:val="nil"/>
            </w:tcBorders>
            <w:shd w:val="clear" w:color="auto" w:fill="auto"/>
            <w:noWrap/>
            <w:vAlign w:val="bottom"/>
            <w:hideMark/>
          </w:tcPr>
          <w:p w14:paraId="51A8E5A0"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67 </w:t>
            </w:r>
          </w:p>
        </w:tc>
        <w:tc>
          <w:tcPr>
            <w:tcW w:w="578" w:type="pct"/>
            <w:tcBorders>
              <w:top w:val="nil"/>
              <w:left w:val="nil"/>
              <w:bottom w:val="nil"/>
              <w:right w:val="nil"/>
            </w:tcBorders>
            <w:shd w:val="clear" w:color="000000" w:fill="E6E6E6"/>
            <w:noWrap/>
            <w:vAlign w:val="bottom"/>
            <w:hideMark/>
          </w:tcPr>
          <w:p w14:paraId="577E00FE"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58 </w:t>
            </w:r>
          </w:p>
        </w:tc>
        <w:tc>
          <w:tcPr>
            <w:tcW w:w="578" w:type="pct"/>
            <w:tcBorders>
              <w:top w:val="nil"/>
              <w:left w:val="nil"/>
              <w:bottom w:val="nil"/>
              <w:right w:val="nil"/>
            </w:tcBorders>
            <w:shd w:val="clear" w:color="auto" w:fill="auto"/>
            <w:noWrap/>
            <w:vAlign w:val="bottom"/>
            <w:hideMark/>
          </w:tcPr>
          <w:p w14:paraId="17F8F042"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49 </w:t>
            </w:r>
          </w:p>
        </w:tc>
        <w:tc>
          <w:tcPr>
            <w:tcW w:w="578" w:type="pct"/>
            <w:tcBorders>
              <w:top w:val="nil"/>
              <w:left w:val="nil"/>
              <w:bottom w:val="nil"/>
              <w:right w:val="nil"/>
            </w:tcBorders>
            <w:shd w:val="clear" w:color="auto" w:fill="auto"/>
            <w:noWrap/>
            <w:vAlign w:val="bottom"/>
            <w:hideMark/>
          </w:tcPr>
          <w:p w14:paraId="4425E19A"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39 </w:t>
            </w:r>
          </w:p>
        </w:tc>
        <w:tc>
          <w:tcPr>
            <w:tcW w:w="578" w:type="pct"/>
            <w:tcBorders>
              <w:top w:val="nil"/>
              <w:left w:val="nil"/>
              <w:bottom w:val="nil"/>
              <w:right w:val="nil"/>
            </w:tcBorders>
            <w:shd w:val="clear" w:color="auto" w:fill="auto"/>
            <w:noWrap/>
            <w:vAlign w:val="bottom"/>
            <w:hideMark/>
          </w:tcPr>
          <w:p w14:paraId="7C4CB1AD"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29 </w:t>
            </w:r>
          </w:p>
        </w:tc>
      </w:tr>
      <w:tr w:rsidR="00C334B8" w:rsidRPr="00C334B8" w14:paraId="3389170F" w14:textId="77777777" w:rsidTr="00C334B8">
        <w:trPr>
          <w:trHeight w:val="210"/>
        </w:trPr>
        <w:tc>
          <w:tcPr>
            <w:tcW w:w="2110" w:type="pct"/>
            <w:tcBorders>
              <w:top w:val="nil"/>
              <w:left w:val="nil"/>
              <w:bottom w:val="nil"/>
              <w:right w:val="nil"/>
            </w:tcBorders>
            <w:shd w:val="clear" w:color="auto" w:fill="auto"/>
            <w:noWrap/>
            <w:vAlign w:val="bottom"/>
            <w:hideMark/>
          </w:tcPr>
          <w:p w14:paraId="026217C9" w14:textId="77777777" w:rsidR="00C334B8" w:rsidRPr="00C334B8" w:rsidRDefault="00C334B8" w:rsidP="00C334B8">
            <w:pPr>
              <w:spacing w:after="0" w:line="240" w:lineRule="auto"/>
              <w:jc w:val="left"/>
              <w:rPr>
                <w:rFonts w:ascii="Arial" w:hAnsi="Arial" w:cs="Arial"/>
                <w:b/>
                <w:bCs/>
                <w:sz w:val="16"/>
                <w:szCs w:val="16"/>
              </w:rPr>
            </w:pPr>
            <w:r w:rsidRPr="00C334B8">
              <w:rPr>
                <w:rFonts w:ascii="Arial" w:hAnsi="Arial" w:cs="Arial"/>
                <w:b/>
                <w:bCs/>
                <w:sz w:val="16"/>
                <w:szCs w:val="16"/>
              </w:rPr>
              <w:t>Total own-source revenue</w:t>
            </w:r>
          </w:p>
        </w:tc>
        <w:tc>
          <w:tcPr>
            <w:tcW w:w="578" w:type="pct"/>
            <w:tcBorders>
              <w:top w:val="single" w:sz="4" w:space="0" w:color="auto"/>
              <w:left w:val="nil"/>
              <w:bottom w:val="single" w:sz="4" w:space="0" w:color="auto"/>
              <w:right w:val="nil"/>
            </w:tcBorders>
            <w:shd w:val="clear" w:color="auto" w:fill="auto"/>
            <w:noWrap/>
            <w:vAlign w:val="bottom"/>
            <w:hideMark/>
          </w:tcPr>
          <w:p w14:paraId="08372BED" w14:textId="77777777" w:rsidR="00C334B8" w:rsidRPr="00C334B8" w:rsidRDefault="00C334B8" w:rsidP="00C334B8">
            <w:pPr>
              <w:spacing w:after="0" w:line="240" w:lineRule="auto"/>
              <w:jc w:val="right"/>
              <w:rPr>
                <w:rFonts w:ascii="Arial" w:hAnsi="Arial" w:cs="Arial"/>
                <w:b/>
                <w:bCs/>
                <w:sz w:val="16"/>
                <w:szCs w:val="16"/>
              </w:rPr>
            </w:pPr>
            <w:r w:rsidRPr="00C334B8">
              <w:rPr>
                <w:rFonts w:ascii="Arial" w:hAnsi="Arial" w:cs="Arial"/>
                <w:b/>
                <w:bCs/>
                <w:sz w:val="16"/>
                <w:szCs w:val="16"/>
              </w:rPr>
              <w:t xml:space="preserve">1,599 </w:t>
            </w:r>
          </w:p>
        </w:tc>
        <w:tc>
          <w:tcPr>
            <w:tcW w:w="578" w:type="pct"/>
            <w:tcBorders>
              <w:top w:val="single" w:sz="4" w:space="0" w:color="auto"/>
              <w:left w:val="nil"/>
              <w:bottom w:val="single" w:sz="4" w:space="0" w:color="auto"/>
              <w:right w:val="nil"/>
            </w:tcBorders>
            <w:shd w:val="clear" w:color="000000" w:fill="E6E6E6"/>
            <w:noWrap/>
            <w:vAlign w:val="bottom"/>
            <w:hideMark/>
          </w:tcPr>
          <w:p w14:paraId="479CD587" w14:textId="77777777" w:rsidR="00C334B8" w:rsidRPr="00C334B8" w:rsidRDefault="00C334B8" w:rsidP="00C334B8">
            <w:pPr>
              <w:spacing w:after="0" w:line="240" w:lineRule="auto"/>
              <w:jc w:val="right"/>
              <w:rPr>
                <w:rFonts w:ascii="Arial" w:hAnsi="Arial" w:cs="Arial"/>
                <w:b/>
                <w:bCs/>
                <w:sz w:val="16"/>
                <w:szCs w:val="16"/>
              </w:rPr>
            </w:pPr>
            <w:r w:rsidRPr="00C334B8">
              <w:rPr>
                <w:rFonts w:ascii="Arial" w:hAnsi="Arial" w:cs="Arial"/>
                <w:b/>
                <w:bCs/>
                <w:sz w:val="16"/>
                <w:szCs w:val="16"/>
              </w:rPr>
              <w:t xml:space="preserve">1,335 </w:t>
            </w:r>
          </w:p>
        </w:tc>
        <w:tc>
          <w:tcPr>
            <w:tcW w:w="578" w:type="pct"/>
            <w:tcBorders>
              <w:top w:val="single" w:sz="4" w:space="0" w:color="auto"/>
              <w:left w:val="nil"/>
              <w:bottom w:val="single" w:sz="4" w:space="0" w:color="auto"/>
              <w:right w:val="nil"/>
            </w:tcBorders>
            <w:shd w:val="clear" w:color="auto" w:fill="auto"/>
            <w:noWrap/>
            <w:vAlign w:val="bottom"/>
            <w:hideMark/>
          </w:tcPr>
          <w:p w14:paraId="66B86FE0" w14:textId="77777777" w:rsidR="00C334B8" w:rsidRPr="00C334B8" w:rsidRDefault="00C334B8" w:rsidP="00C334B8">
            <w:pPr>
              <w:spacing w:after="0" w:line="240" w:lineRule="auto"/>
              <w:jc w:val="right"/>
              <w:rPr>
                <w:rFonts w:ascii="Arial" w:hAnsi="Arial" w:cs="Arial"/>
                <w:b/>
                <w:bCs/>
                <w:sz w:val="16"/>
                <w:szCs w:val="16"/>
              </w:rPr>
            </w:pPr>
            <w:r w:rsidRPr="00C334B8">
              <w:rPr>
                <w:rFonts w:ascii="Arial" w:hAnsi="Arial" w:cs="Arial"/>
                <w:b/>
                <w:bCs/>
                <w:sz w:val="16"/>
                <w:szCs w:val="16"/>
              </w:rPr>
              <w:t xml:space="preserve">575 </w:t>
            </w:r>
          </w:p>
        </w:tc>
        <w:tc>
          <w:tcPr>
            <w:tcW w:w="578" w:type="pct"/>
            <w:tcBorders>
              <w:top w:val="single" w:sz="4" w:space="0" w:color="auto"/>
              <w:left w:val="nil"/>
              <w:bottom w:val="single" w:sz="4" w:space="0" w:color="auto"/>
              <w:right w:val="nil"/>
            </w:tcBorders>
            <w:shd w:val="clear" w:color="auto" w:fill="auto"/>
            <w:noWrap/>
            <w:vAlign w:val="bottom"/>
            <w:hideMark/>
          </w:tcPr>
          <w:p w14:paraId="4CA8DF1B" w14:textId="77777777" w:rsidR="00C334B8" w:rsidRPr="00C334B8" w:rsidRDefault="00C334B8" w:rsidP="00C334B8">
            <w:pPr>
              <w:spacing w:after="0" w:line="240" w:lineRule="auto"/>
              <w:jc w:val="right"/>
              <w:rPr>
                <w:rFonts w:ascii="Arial" w:hAnsi="Arial" w:cs="Arial"/>
                <w:b/>
                <w:bCs/>
                <w:sz w:val="16"/>
                <w:szCs w:val="16"/>
              </w:rPr>
            </w:pPr>
            <w:r w:rsidRPr="00C334B8">
              <w:rPr>
                <w:rFonts w:ascii="Arial" w:hAnsi="Arial" w:cs="Arial"/>
                <w:b/>
                <w:bCs/>
                <w:sz w:val="16"/>
                <w:szCs w:val="16"/>
              </w:rPr>
              <w:t xml:space="preserve">1,372 </w:t>
            </w:r>
          </w:p>
        </w:tc>
        <w:tc>
          <w:tcPr>
            <w:tcW w:w="578" w:type="pct"/>
            <w:tcBorders>
              <w:top w:val="single" w:sz="4" w:space="0" w:color="auto"/>
              <w:left w:val="nil"/>
              <w:bottom w:val="single" w:sz="4" w:space="0" w:color="auto"/>
              <w:right w:val="nil"/>
            </w:tcBorders>
            <w:shd w:val="clear" w:color="auto" w:fill="auto"/>
            <w:noWrap/>
            <w:vAlign w:val="bottom"/>
            <w:hideMark/>
          </w:tcPr>
          <w:p w14:paraId="0583FCE2" w14:textId="77777777" w:rsidR="00C334B8" w:rsidRPr="00C334B8" w:rsidRDefault="00C334B8" w:rsidP="00C334B8">
            <w:pPr>
              <w:spacing w:after="0" w:line="240" w:lineRule="auto"/>
              <w:jc w:val="right"/>
              <w:rPr>
                <w:rFonts w:ascii="Arial" w:hAnsi="Arial" w:cs="Arial"/>
                <w:b/>
                <w:bCs/>
                <w:sz w:val="16"/>
                <w:szCs w:val="16"/>
              </w:rPr>
            </w:pPr>
            <w:r w:rsidRPr="00C334B8">
              <w:rPr>
                <w:rFonts w:ascii="Arial" w:hAnsi="Arial" w:cs="Arial"/>
                <w:b/>
                <w:bCs/>
                <w:sz w:val="16"/>
                <w:szCs w:val="16"/>
              </w:rPr>
              <w:t xml:space="preserve">1,362 </w:t>
            </w:r>
          </w:p>
        </w:tc>
      </w:tr>
      <w:tr w:rsidR="00C334B8" w:rsidRPr="00C334B8" w14:paraId="1E733E6A" w14:textId="77777777" w:rsidTr="00C334B8">
        <w:trPr>
          <w:trHeight w:val="210"/>
        </w:trPr>
        <w:tc>
          <w:tcPr>
            <w:tcW w:w="2110" w:type="pct"/>
            <w:tcBorders>
              <w:top w:val="nil"/>
              <w:left w:val="nil"/>
              <w:bottom w:val="nil"/>
              <w:right w:val="nil"/>
            </w:tcBorders>
            <w:shd w:val="clear" w:color="auto" w:fill="auto"/>
            <w:noWrap/>
            <w:vAlign w:val="bottom"/>
            <w:hideMark/>
          </w:tcPr>
          <w:p w14:paraId="2D4673B1" w14:textId="77777777" w:rsidR="00C334B8" w:rsidRPr="00C334B8" w:rsidRDefault="00C334B8" w:rsidP="00C334B8">
            <w:pPr>
              <w:spacing w:after="0" w:line="240" w:lineRule="auto"/>
              <w:jc w:val="left"/>
              <w:rPr>
                <w:rFonts w:ascii="Arial" w:hAnsi="Arial" w:cs="Arial"/>
                <w:b/>
                <w:bCs/>
                <w:sz w:val="16"/>
                <w:szCs w:val="16"/>
              </w:rPr>
            </w:pPr>
            <w:r w:rsidRPr="00C334B8">
              <w:rPr>
                <w:rFonts w:ascii="Arial" w:hAnsi="Arial" w:cs="Arial"/>
                <w:b/>
                <w:bCs/>
                <w:sz w:val="16"/>
                <w:szCs w:val="16"/>
              </w:rPr>
              <w:t>Gains</w:t>
            </w:r>
          </w:p>
        </w:tc>
        <w:tc>
          <w:tcPr>
            <w:tcW w:w="578" w:type="pct"/>
            <w:tcBorders>
              <w:top w:val="nil"/>
              <w:left w:val="nil"/>
              <w:bottom w:val="nil"/>
              <w:right w:val="nil"/>
            </w:tcBorders>
            <w:shd w:val="clear" w:color="auto" w:fill="auto"/>
            <w:noWrap/>
            <w:vAlign w:val="bottom"/>
            <w:hideMark/>
          </w:tcPr>
          <w:p w14:paraId="02D10D98" w14:textId="77777777" w:rsidR="00C334B8" w:rsidRPr="00C334B8" w:rsidRDefault="00C334B8" w:rsidP="00C334B8">
            <w:pPr>
              <w:spacing w:after="0" w:line="240" w:lineRule="auto"/>
              <w:jc w:val="left"/>
              <w:rPr>
                <w:rFonts w:ascii="Arial" w:hAnsi="Arial" w:cs="Arial"/>
                <w:b/>
                <w:bCs/>
                <w:sz w:val="16"/>
                <w:szCs w:val="16"/>
              </w:rPr>
            </w:pPr>
          </w:p>
        </w:tc>
        <w:tc>
          <w:tcPr>
            <w:tcW w:w="578" w:type="pct"/>
            <w:tcBorders>
              <w:top w:val="nil"/>
              <w:left w:val="nil"/>
              <w:bottom w:val="nil"/>
              <w:right w:val="nil"/>
            </w:tcBorders>
            <w:shd w:val="clear" w:color="000000" w:fill="E6E6E6"/>
            <w:noWrap/>
            <w:vAlign w:val="bottom"/>
            <w:hideMark/>
          </w:tcPr>
          <w:p w14:paraId="29032DDA" w14:textId="77777777" w:rsidR="00C334B8" w:rsidRPr="00C334B8" w:rsidRDefault="00C334B8" w:rsidP="00C334B8">
            <w:pPr>
              <w:spacing w:after="0" w:line="240" w:lineRule="auto"/>
              <w:jc w:val="right"/>
              <w:rPr>
                <w:rFonts w:ascii="Arial" w:hAnsi="Arial" w:cs="Arial"/>
                <w:b/>
                <w:bCs/>
                <w:sz w:val="16"/>
                <w:szCs w:val="16"/>
              </w:rPr>
            </w:pPr>
            <w:r w:rsidRPr="00C334B8">
              <w:rPr>
                <w:rFonts w:ascii="Arial" w:hAnsi="Arial" w:cs="Arial"/>
                <w:b/>
                <w:bCs/>
                <w:sz w:val="16"/>
                <w:szCs w:val="16"/>
              </w:rPr>
              <w:t> </w:t>
            </w:r>
          </w:p>
        </w:tc>
        <w:tc>
          <w:tcPr>
            <w:tcW w:w="578" w:type="pct"/>
            <w:tcBorders>
              <w:top w:val="nil"/>
              <w:left w:val="nil"/>
              <w:bottom w:val="nil"/>
              <w:right w:val="nil"/>
            </w:tcBorders>
            <w:shd w:val="clear" w:color="auto" w:fill="auto"/>
            <w:noWrap/>
            <w:vAlign w:val="bottom"/>
            <w:hideMark/>
          </w:tcPr>
          <w:p w14:paraId="7A02CF6C" w14:textId="77777777" w:rsidR="00C334B8" w:rsidRPr="00C334B8" w:rsidRDefault="00C334B8" w:rsidP="00C334B8">
            <w:pPr>
              <w:spacing w:after="0" w:line="240" w:lineRule="auto"/>
              <w:jc w:val="right"/>
              <w:rPr>
                <w:rFonts w:ascii="Arial" w:hAnsi="Arial" w:cs="Arial"/>
                <w:b/>
                <w:bCs/>
                <w:sz w:val="16"/>
                <w:szCs w:val="16"/>
              </w:rPr>
            </w:pPr>
          </w:p>
        </w:tc>
        <w:tc>
          <w:tcPr>
            <w:tcW w:w="578" w:type="pct"/>
            <w:tcBorders>
              <w:top w:val="nil"/>
              <w:left w:val="nil"/>
              <w:bottom w:val="nil"/>
              <w:right w:val="nil"/>
            </w:tcBorders>
            <w:shd w:val="clear" w:color="auto" w:fill="auto"/>
            <w:noWrap/>
            <w:vAlign w:val="bottom"/>
            <w:hideMark/>
          </w:tcPr>
          <w:p w14:paraId="58DC6129" w14:textId="77777777" w:rsidR="00C334B8" w:rsidRPr="00C334B8" w:rsidRDefault="00C334B8" w:rsidP="00C334B8">
            <w:pPr>
              <w:spacing w:after="0" w:line="240" w:lineRule="auto"/>
              <w:jc w:val="right"/>
              <w:rPr>
                <w:rFonts w:ascii="Times New Roman" w:hAnsi="Times New Roman"/>
              </w:rPr>
            </w:pPr>
          </w:p>
        </w:tc>
        <w:tc>
          <w:tcPr>
            <w:tcW w:w="578" w:type="pct"/>
            <w:tcBorders>
              <w:top w:val="nil"/>
              <w:left w:val="nil"/>
              <w:bottom w:val="nil"/>
              <w:right w:val="nil"/>
            </w:tcBorders>
            <w:shd w:val="clear" w:color="auto" w:fill="auto"/>
            <w:noWrap/>
            <w:vAlign w:val="bottom"/>
            <w:hideMark/>
          </w:tcPr>
          <w:p w14:paraId="198856B6" w14:textId="77777777" w:rsidR="00C334B8" w:rsidRPr="00C334B8" w:rsidRDefault="00C334B8" w:rsidP="00C334B8">
            <w:pPr>
              <w:spacing w:after="0" w:line="240" w:lineRule="auto"/>
              <w:jc w:val="right"/>
              <w:rPr>
                <w:rFonts w:ascii="Times New Roman" w:hAnsi="Times New Roman"/>
              </w:rPr>
            </w:pPr>
          </w:p>
        </w:tc>
      </w:tr>
      <w:tr w:rsidR="00C334B8" w:rsidRPr="00C334B8" w14:paraId="3D6A6D15" w14:textId="77777777" w:rsidTr="00C334B8">
        <w:trPr>
          <w:trHeight w:val="200"/>
        </w:trPr>
        <w:tc>
          <w:tcPr>
            <w:tcW w:w="2110" w:type="pct"/>
            <w:tcBorders>
              <w:top w:val="nil"/>
              <w:left w:val="nil"/>
              <w:bottom w:val="nil"/>
              <w:right w:val="nil"/>
            </w:tcBorders>
            <w:shd w:val="clear" w:color="auto" w:fill="auto"/>
            <w:noWrap/>
            <w:vAlign w:val="bottom"/>
            <w:hideMark/>
          </w:tcPr>
          <w:p w14:paraId="462E281F" w14:textId="77777777" w:rsidR="00C334B8" w:rsidRPr="00C334B8" w:rsidRDefault="00C334B8" w:rsidP="00C334B8">
            <w:pPr>
              <w:spacing w:after="0" w:line="240" w:lineRule="auto"/>
              <w:ind w:firstLineChars="100" w:firstLine="160"/>
              <w:jc w:val="left"/>
              <w:rPr>
                <w:rFonts w:ascii="Arial" w:hAnsi="Arial" w:cs="Arial"/>
                <w:sz w:val="16"/>
                <w:szCs w:val="16"/>
              </w:rPr>
            </w:pPr>
            <w:r w:rsidRPr="00C334B8">
              <w:rPr>
                <w:rFonts w:ascii="Arial" w:hAnsi="Arial" w:cs="Arial"/>
                <w:sz w:val="16"/>
                <w:szCs w:val="16"/>
              </w:rPr>
              <w:t>Other</w:t>
            </w:r>
          </w:p>
        </w:tc>
        <w:tc>
          <w:tcPr>
            <w:tcW w:w="578" w:type="pct"/>
            <w:tcBorders>
              <w:top w:val="nil"/>
              <w:left w:val="nil"/>
              <w:bottom w:val="nil"/>
              <w:right w:val="nil"/>
            </w:tcBorders>
            <w:shd w:val="clear" w:color="auto" w:fill="auto"/>
            <w:noWrap/>
            <w:vAlign w:val="bottom"/>
            <w:hideMark/>
          </w:tcPr>
          <w:p w14:paraId="73C60F44"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115 </w:t>
            </w:r>
          </w:p>
        </w:tc>
        <w:tc>
          <w:tcPr>
            <w:tcW w:w="578" w:type="pct"/>
            <w:tcBorders>
              <w:top w:val="nil"/>
              <w:left w:val="nil"/>
              <w:bottom w:val="nil"/>
              <w:right w:val="nil"/>
            </w:tcBorders>
            <w:shd w:val="clear" w:color="000000" w:fill="E6E6E6"/>
            <w:noWrap/>
            <w:vAlign w:val="bottom"/>
            <w:hideMark/>
          </w:tcPr>
          <w:p w14:paraId="10449406"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115 </w:t>
            </w:r>
          </w:p>
        </w:tc>
        <w:tc>
          <w:tcPr>
            <w:tcW w:w="578" w:type="pct"/>
            <w:tcBorders>
              <w:top w:val="nil"/>
              <w:left w:val="nil"/>
              <w:bottom w:val="nil"/>
              <w:right w:val="nil"/>
            </w:tcBorders>
            <w:shd w:val="clear" w:color="auto" w:fill="auto"/>
            <w:noWrap/>
            <w:vAlign w:val="bottom"/>
            <w:hideMark/>
          </w:tcPr>
          <w:p w14:paraId="31EF6872"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115 </w:t>
            </w:r>
          </w:p>
        </w:tc>
        <w:tc>
          <w:tcPr>
            <w:tcW w:w="578" w:type="pct"/>
            <w:tcBorders>
              <w:top w:val="nil"/>
              <w:left w:val="nil"/>
              <w:bottom w:val="nil"/>
              <w:right w:val="nil"/>
            </w:tcBorders>
            <w:shd w:val="clear" w:color="auto" w:fill="auto"/>
            <w:noWrap/>
            <w:vAlign w:val="bottom"/>
            <w:hideMark/>
          </w:tcPr>
          <w:p w14:paraId="4886B514"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115 </w:t>
            </w:r>
          </w:p>
        </w:tc>
        <w:tc>
          <w:tcPr>
            <w:tcW w:w="578" w:type="pct"/>
            <w:tcBorders>
              <w:top w:val="nil"/>
              <w:left w:val="nil"/>
              <w:bottom w:val="nil"/>
              <w:right w:val="nil"/>
            </w:tcBorders>
            <w:shd w:val="clear" w:color="auto" w:fill="auto"/>
            <w:noWrap/>
            <w:vAlign w:val="bottom"/>
            <w:hideMark/>
          </w:tcPr>
          <w:p w14:paraId="72DDAE08"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115 </w:t>
            </w:r>
          </w:p>
        </w:tc>
      </w:tr>
      <w:tr w:rsidR="00C334B8" w:rsidRPr="00C334B8" w14:paraId="4E593DA0" w14:textId="77777777" w:rsidTr="00C334B8">
        <w:trPr>
          <w:trHeight w:val="210"/>
        </w:trPr>
        <w:tc>
          <w:tcPr>
            <w:tcW w:w="2110" w:type="pct"/>
            <w:tcBorders>
              <w:top w:val="nil"/>
              <w:left w:val="nil"/>
              <w:bottom w:val="nil"/>
              <w:right w:val="nil"/>
            </w:tcBorders>
            <w:shd w:val="clear" w:color="auto" w:fill="auto"/>
            <w:noWrap/>
            <w:vAlign w:val="bottom"/>
            <w:hideMark/>
          </w:tcPr>
          <w:p w14:paraId="36E781FE" w14:textId="77777777" w:rsidR="00C334B8" w:rsidRPr="00C334B8" w:rsidRDefault="00C334B8" w:rsidP="00C334B8">
            <w:pPr>
              <w:spacing w:after="0" w:line="240" w:lineRule="auto"/>
              <w:jc w:val="left"/>
              <w:rPr>
                <w:rFonts w:ascii="Arial" w:hAnsi="Arial" w:cs="Arial"/>
                <w:b/>
                <w:bCs/>
                <w:sz w:val="16"/>
                <w:szCs w:val="16"/>
              </w:rPr>
            </w:pPr>
            <w:r w:rsidRPr="00C334B8">
              <w:rPr>
                <w:rFonts w:ascii="Arial" w:hAnsi="Arial" w:cs="Arial"/>
                <w:b/>
                <w:bCs/>
                <w:sz w:val="16"/>
                <w:szCs w:val="16"/>
              </w:rPr>
              <w:t>Total gains</w:t>
            </w:r>
          </w:p>
        </w:tc>
        <w:tc>
          <w:tcPr>
            <w:tcW w:w="578" w:type="pct"/>
            <w:tcBorders>
              <w:top w:val="single" w:sz="4" w:space="0" w:color="auto"/>
              <w:left w:val="nil"/>
              <w:bottom w:val="single" w:sz="4" w:space="0" w:color="auto"/>
              <w:right w:val="nil"/>
            </w:tcBorders>
            <w:shd w:val="clear" w:color="auto" w:fill="auto"/>
            <w:noWrap/>
            <w:vAlign w:val="bottom"/>
            <w:hideMark/>
          </w:tcPr>
          <w:p w14:paraId="6A72AC10" w14:textId="77777777" w:rsidR="00C334B8" w:rsidRPr="00C334B8" w:rsidRDefault="00C334B8" w:rsidP="00C334B8">
            <w:pPr>
              <w:spacing w:after="0" w:line="240" w:lineRule="auto"/>
              <w:jc w:val="right"/>
              <w:rPr>
                <w:rFonts w:ascii="Arial" w:hAnsi="Arial" w:cs="Arial"/>
                <w:b/>
                <w:bCs/>
                <w:sz w:val="16"/>
                <w:szCs w:val="16"/>
              </w:rPr>
            </w:pPr>
            <w:r w:rsidRPr="00C334B8">
              <w:rPr>
                <w:rFonts w:ascii="Arial" w:hAnsi="Arial" w:cs="Arial"/>
                <w:b/>
                <w:bCs/>
                <w:sz w:val="16"/>
                <w:szCs w:val="16"/>
              </w:rPr>
              <w:t xml:space="preserve">115 </w:t>
            </w:r>
          </w:p>
        </w:tc>
        <w:tc>
          <w:tcPr>
            <w:tcW w:w="578" w:type="pct"/>
            <w:tcBorders>
              <w:top w:val="single" w:sz="4" w:space="0" w:color="auto"/>
              <w:left w:val="nil"/>
              <w:bottom w:val="single" w:sz="4" w:space="0" w:color="auto"/>
              <w:right w:val="nil"/>
            </w:tcBorders>
            <w:shd w:val="clear" w:color="000000" w:fill="E6E6E6"/>
            <w:noWrap/>
            <w:vAlign w:val="bottom"/>
            <w:hideMark/>
          </w:tcPr>
          <w:p w14:paraId="4C3FC3E5" w14:textId="77777777" w:rsidR="00C334B8" w:rsidRPr="00C334B8" w:rsidRDefault="00C334B8" w:rsidP="00C334B8">
            <w:pPr>
              <w:spacing w:after="0" w:line="240" w:lineRule="auto"/>
              <w:jc w:val="right"/>
              <w:rPr>
                <w:rFonts w:ascii="Arial" w:hAnsi="Arial" w:cs="Arial"/>
                <w:b/>
                <w:bCs/>
                <w:sz w:val="16"/>
                <w:szCs w:val="16"/>
              </w:rPr>
            </w:pPr>
            <w:r w:rsidRPr="00C334B8">
              <w:rPr>
                <w:rFonts w:ascii="Arial" w:hAnsi="Arial" w:cs="Arial"/>
                <w:b/>
                <w:bCs/>
                <w:sz w:val="16"/>
                <w:szCs w:val="16"/>
              </w:rPr>
              <w:t xml:space="preserve">115 </w:t>
            </w:r>
          </w:p>
        </w:tc>
        <w:tc>
          <w:tcPr>
            <w:tcW w:w="578" w:type="pct"/>
            <w:tcBorders>
              <w:top w:val="single" w:sz="4" w:space="0" w:color="auto"/>
              <w:left w:val="nil"/>
              <w:bottom w:val="single" w:sz="4" w:space="0" w:color="auto"/>
              <w:right w:val="nil"/>
            </w:tcBorders>
            <w:shd w:val="clear" w:color="auto" w:fill="auto"/>
            <w:noWrap/>
            <w:vAlign w:val="bottom"/>
            <w:hideMark/>
          </w:tcPr>
          <w:p w14:paraId="454AF91D" w14:textId="77777777" w:rsidR="00C334B8" w:rsidRPr="00C334B8" w:rsidRDefault="00C334B8" w:rsidP="00C334B8">
            <w:pPr>
              <w:spacing w:after="0" w:line="240" w:lineRule="auto"/>
              <w:jc w:val="right"/>
              <w:rPr>
                <w:rFonts w:ascii="Arial" w:hAnsi="Arial" w:cs="Arial"/>
                <w:b/>
                <w:bCs/>
                <w:sz w:val="16"/>
                <w:szCs w:val="16"/>
              </w:rPr>
            </w:pPr>
            <w:r w:rsidRPr="00C334B8">
              <w:rPr>
                <w:rFonts w:ascii="Arial" w:hAnsi="Arial" w:cs="Arial"/>
                <w:b/>
                <w:bCs/>
                <w:sz w:val="16"/>
                <w:szCs w:val="16"/>
              </w:rPr>
              <w:t xml:space="preserve">115 </w:t>
            </w:r>
          </w:p>
        </w:tc>
        <w:tc>
          <w:tcPr>
            <w:tcW w:w="578" w:type="pct"/>
            <w:tcBorders>
              <w:top w:val="single" w:sz="4" w:space="0" w:color="auto"/>
              <w:left w:val="nil"/>
              <w:bottom w:val="single" w:sz="4" w:space="0" w:color="auto"/>
              <w:right w:val="nil"/>
            </w:tcBorders>
            <w:shd w:val="clear" w:color="auto" w:fill="auto"/>
            <w:noWrap/>
            <w:vAlign w:val="bottom"/>
            <w:hideMark/>
          </w:tcPr>
          <w:p w14:paraId="6843ADF7" w14:textId="77777777" w:rsidR="00C334B8" w:rsidRPr="00C334B8" w:rsidRDefault="00C334B8" w:rsidP="00C334B8">
            <w:pPr>
              <w:spacing w:after="0" w:line="240" w:lineRule="auto"/>
              <w:jc w:val="right"/>
              <w:rPr>
                <w:rFonts w:ascii="Arial" w:hAnsi="Arial" w:cs="Arial"/>
                <w:b/>
                <w:bCs/>
                <w:sz w:val="16"/>
                <w:szCs w:val="16"/>
              </w:rPr>
            </w:pPr>
            <w:r w:rsidRPr="00C334B8">
              <w:rPr>
                <w:rFonts w:ascii="Arial" w:hAnsi="Arial" w:cs="Arial"/>
                <w:b/>
                <w:bCs/>
                <w:sz w:val="16"/>
                <w:szCs w:val="16"/>
              </w:rPr>
              <w:t xml:space="preserve">115 </w:t>
            </w:r>
          </w:p>
        </w:tc>
        <w:tc>
          <w:tcPr>
            <w:tcW w:w="578" w:type="pct"/>
            <w:tcBorders>
              <w:top w:val="single" w:sz="4" w:space="0" w:color="auto"/>
              <w:left w:val="nil"/>
              <w:bottom w:val="single" w:sz="4" w:space="0" w:color="auto"/>
              <w:right w:val="nil"/>
            </w:tcBorders>
            <w:shd w:val="clear" w:color="auto" w:fill="auto"/>
            <w:noWrap/>
            <w:vAlign w:val="bottom"/>
            <w:hideMark/>
          </w:tcPr>
          <w:p w14:paraId="0775D42C" w14:textId="77777777" w:rsidR="00C334B8" w:rsidRPr="00C334B8" w:rsidRDefault="00C334B8" w:rsidP="00C334B8">
            <w:pPr>
              <w:spacing w:after="0" w:line="240" w:lineRule="auto"/>
              <w:jc w:val="right"/>
              <w:rPr>
                <w:rFonts w:ascii="Arial" w:hAnsi="Arial" w:cs="Arial"/>
                <w:b/>
                <w:bCs/>
                <w:sz w:val="16"/>
                <w:szCs w:val="16"/>
              </w:rPr>
            </w:pPr>
            <w:r w:rsidRPr="00C334B8">
              <w:rPr>
                <w:rFonts w:ascii="Arial" w:hAnsi="Arial" w:cs="Arial"/>
                <w:b/>
                <w:bCs/>
                <w:sz w:val="16"/>
                <w:szCs w:val="16"/>
              </w:rPr>
              <w:t xml:space="preserve">115 </w:t>
            </w:r>
          </w:p>
        </w:tc>
      </w:tr>
      <w:tr w:rsidR="00C334B8" w:rsidRPr="00C334B8" w14:paraId="2F365863" w14:textId="77777777" w:rsidTr="00C334B8">
        <w:trPr>
          <w:trHeight w:val="210"/>
        </w:trPr>
        <w:tc>
          <w:tcPr>
            <w:tcW w:w="2110" w:type="pct"/>
            <w:tcBorders>
              <w:top w:val="nil"/>
              <w:left w:val="nil"/>
              <w:bottom w:val="nil"/>
              <w:right w:val="nil"/>
            </w:tcBorders>
            <w:shd w:val="clear" w:color="auto" w:fill="auto"/>
            <w:noWrap/>
            <w:vAlign w:val="bottom"/>
            <w:hideMark/>
          </w:tcPr>
          <w:p w14:paraId="509E1251" w14:textId="77777777" w:rsidR="00C334B8" w:rsidRPr="00C334B8" w:rsidRDefault="00C334B8" w:rsidP="00C334B8">
            <w:pPr>
              <w:spacing w:after="0" w:line="240" w:lineRule="auto"/>
              <w:jc w:val="left"/>
              <w:rPr>
                <w:rFonts w:ascii="Arial" w:hAnsi="Arial" w:cs="Arial"/>
                <w:b/>
                <w:bCs/>
                <w:sz w:val="16"/>
                <w:szCs w:val="16"/>
              </w:rPr>
            </w:pPr>
            <w:r w:rsidRPr="00C334B8">
              <w:rPr>
                <w:rFonts w:ascii="Arial" w:hAnsi="Arial" w:cs="Arial"/>
                <w:b/>
                <w:bCs/>
                <w:sz w:val="16"/>
                <w:szCs w:val="16"/>
              </w:rPr>
              <w:t>Total own-source income</w:t>
            </w:r>
          </w:p>
        </w:tc>
        <w:tc>
          <w:tcPr>
            <w:tcW w:w="578" w:type="pct"/>
            <w:tcBorders>
              <w:top w:val="nil"/>
              <w:left w:val="nil"/>
              <w:bottom w:val="single" w:sz="4" w:space="0" w:color="auto"/>
              <w:right w:val="nil"/>
            </w:tcBorders>
            <w:shd w:val="clear" w:color="auto" w:fill="auto"/>
            <w:noWrap/>
            <w:vAlign w:val="bottom"/>
            <w:hideMark/>
          </w:tcPr>
          <w:p w14:paraId="5B319C8B" w14:textId="77777777" w:rsidR="00C334B8" w:rsidRPr="00C334B8" w:rsidRDefault="00C334B8" w:rsidP="00C334B8">
            <w:pPr>
              <w:spacing w:after="0" w:line="240" w:lineRule="auto"/>
              <w:jc w:val="right"/>
              <w:rPr>
                <w:rFonts w:ascii="Arial" w:hAnsi="Arial" w:cs="Arial"/>
                <w:b/>
                <w:bCs/>
                <w:sz w:val="16"/>
                <w:szCs w:val="16"/>
              </w:rPr>
            </w:pPr>
            <w:r w:rsidRPr="00C334B8">
              <w:rPr>
                <w:rFonts w:ascii="Arial" w:hAnsi="Arial" w:cs="Arial"/>
                <w:b/>
                <w:bCs/>
                <w:sz w:val="16"/>
                <w:szCs w:val="16"/>
              </w:rPr>
              <w:t xml:space="preserve">1,714 </w:t>
            </w:r>
          </w:p>
        </w:tc>
        <w:tc>
          <w:tcPr>
            <w:tcW w:w="578" w:type="pct"/>
            <w:tcBorders>
              <w:top w:val="nil"/>
              <w:left w:val="nil"/>
              <w:bottom w:val="single" w:sz="4" w:space="0" w:color="auto"/>
              <w:right w:val="nil"/>
            </w:tcBorders>
            <w:shd w:val="clear" w:color="000000" w:fill="E6E6E6"/>
            <w:noWrap/>
            <w:vAlign w:val="bottom"/>
            <w:hideMark/>
          </w:tcPr>
          <w:p w14:paraId="194F68A6" w14:textId="77777777" w:rsidR="00C334B8" w:rsidRPr="00C334B8" w:rsidRDefault="00C334B8" w:rsidP="00C334B8">
            <w:pPr>
              <w:spacing w:after="0" w:line="240" w:lineRule="auto"/>
              <w:jc w:val="right"/>
              <w:rPr>
                <w:rFonts w:ascii="Arial" w:hAnsi="Arial" w:cs="Arial"/>
                <w:b/>
                <w:bCs/>
                <w:sz w:val="16"/>
                <w:szCs w:val="16"/>
              </w:rPr>
            </w:pPr>
            <w:r w:rsidRPr="00C334B8">
              <w:rPr>
                <w:rFonts w:ascii="Arial" w:hAnsi="Arial" w:cs="Arial"/>
                <w:b/>
                <w:bCs/>
                <w:sz w:val="16"/>
                <w:szCs w:val="16"/>
              </w:rPr>
              <w:t xml:space="preserve">1,450 </w:t>
            </w:r>
          </w:p>
        </w:tc>
        <w:tc>
          <w:tcPr>
            <w:tcW w:w="578" w:type="pct"/>
            <w:tcBorders>
              <w:top w:val="nil"/>
              <w:left w:val="nil"/>
              <w:bottom w:val="single" w:sz="4" w:space="0" w:color="auto"/>
              <w:right w:val="nil"/>
            </w:tcBorders>
            <w:shd w:val="clear" w:color="auto" w:fill="auto"/>
            <w:noWrap/>
            <w:vAlign w:val="bottom"/>
            <w:hideMark/>
          </w:tcPr>
          <w:p w14:paraId="166E6E37" w14:textId="77777777" w:rsidR="00C334B8" w:rsidRPr="00C334B8" w:rsidRDefault="00C334B8" w:rsidP="00C334B8">
            <w:pPr>
              <w:spacing w:after="0" w:line="240" w:lineRule="auto"/>
              <w:jc w:val="right"/>
              <w:rPr>
                <w:rFonts w:ascii="Arial" w:hAnsi="Arial" w:cs="Arial"/>
                <w:b/>
                <w:bCs/>
                <w:sz w:val="16"/>
                <w:szCs w:val="16"/>
              </w:rPr>
            </w:pPr>
            <w:r w:rsidRPr="00C334B8">
              <w:rPr>
                <w:rFonts w:ascii="Arial" w:hAnsi="Arial" w:cs="Arial"/>
                <w:b/>
                <w:bCs/>
                <w:sz w:val="16"/>
                <w:szCs w:val="16"/>
              </w:rPr>
              <w:t xml:space="preserve">690 </w:t>
            </w:r>
          </w:p>
        </w:tc>
        <w:tc>
          <w:tcPr>
            <w:tcW w:w="578" w:type="pct"/>
            <w:tcBorders>
              <w:top w:val="nil"/>
              <w:left w:val="nil"/>
              <w:bottom w:val="single" w:sz="4" w:space="0" w:color="auto"/>
              <w:right w:val="nil"/>
            </w:tcBorders>
            <w:shd w:val="clear" w:color="auto" w:fill="auto"/>
            <w:noWrap/>
            <w:vAlign w:val="bottom"/>
            <w:hideMark/>
          </w:tcPr>
          <w:p w14:paraId="2586F984" w14:textId="77777777" w:rsidR="00C334B8" w:rsidRPr="00C334B8" w:rsidRDefault="00C334B8" w:rsidP="00C334B8">
            <w:pPr>
              <w:spacing w:after="0" w:line="240" w:lineRule="auto"/>
              <w:jc w:val="right"/>
              <w:rPr>
                <w:rFonts w:ascii="Arial" w:hAnsi="Arial" w:cs="Arial"/>
                <w:b/>
                <w:bCs/>
                <w:sz w:val="16"/>
                <w:szCs w:val="16"/>
              </w:rPr>
            </w:pPr>
            <w:r w:rsidRPr="00C334B8">
              <w:rPr>
                <w:rFonts w:ascii="Arial" w:hAnsi="Arial" w:cs="Arial"/>
                <w:b/>
                <w:bCs/>
                <w:sz w:val="16"/>
                <w:szCs w:val="16"/>
              </w:rPr>
              <w:t xml:space="preserve">1,487 </w:t>
            </w:r>
          </w:p>
        </w:tc>
        <w:tc>
          <w:tcPr>
            <w:tcW w:w="578" w:type="pct"/>
            <w:tcBorders>
              <w:top w:val="nil"/>
              <w:left w:val="nil"/>
              <w:bottom w:val="single" w:sz="4" w:space="0" w:color="auto"/>
              <w:right w:val="nil"/>
            </w:tcBorders>
            <w:shd w:val="clear" w:color="auto" w:fill="auto"/>
            <w:noWrap/>
            <w:vAlign w:val="bottom"/>
            <w:hideMark/>
          </w:tcPr>
          <w:p w14:paraId="461F0602" w14:textId="77777777" w:rsidR="00C334B8" w:rsidRPr="00C334B8" w:rsidRDefault="00C334B8" w:rsidP="00C334B8">
            <w:pPr>
              <w:spacing w:after="0" w:line="240" w:lineRule="auto"/>
              <w:jc w:val="right"/>
              <w:rPr>
                <w:rFonts w:ascii="Arial" w:hAnsi="Arial" w:cs="Arial"/>
                <w:b/>
                <w:bCs/>
                <w:sz w:val="16"/>
                <w:szCs w:val="16"/>
              </w:rPr>
            </w:pPr>
            <w:r w:rsidRPr="00C334B8">
              <w:rPr>
                <w:rFonts w:ascii="Arial" w:hAnsi="Arial" w:cs="Arial"/>
                <w:b/>
                <w:bCs/>
                <w:sz w:val="16"/>
                <w:szCs w:val="16"/>
              </w:rPr>
              <w:t xml:space="preserve">1,477 </w:t>
            </w:r>
          </w:p>
        </w:tc>
      </w:tr>
      <w:tr w:rsidR="00C334B8" w:rsidRPr="00C334B8" w14:paraId="731D4F60" w14:textId="77777777" w:rsidTr="00C334B8">
        <w:trPr>
          <w:trHeight w:val="420"/>
        </w:trPr>
        <w:tc>
          <w:tcPr>
            <w:tcW w:w="2110" w:type="pct"/>
            <w:tcBorders>
              <w:top w:val="nil"/>
              <w:left w:val="nil"/>
              <w:bottom w:val="nil"/>
              <w:right w:val="nil"/>
            </w:tcBorders>
            <w:shd w:val="clear" w:color="auto" w:fill="auto"/>
            <w:vAlign w:val="bottom"/>
            <w:hideMark/>
          </w:tcPr>
          <w:p w14:paraId="52E9A9C0" w14:textId="77777777" w:rsidR="00C334B8" w:rsidRPr="00C334B8" w:rsidRDefault="00C334B8" w:rsidP="00C334B8">
            <w:pPr>
              <w:spacing w:after="0" w:line="240" w:lineRule="auto"/>
              <w:jc w:val="left"/>
              <w:rPr>
                <w:rFonts w:ascii="Arial" w:hAnsi="Arial" w:cs="Arial"/>
                <w:b/>
                <w:bCs/>
                <w:color w:val="000000"/>
                <w:sz w:val="16"/>
                <w:szCs w:val="16"/>
              </w:rPr>
            </w:pPr>
            <w:r w:rsidRPr="00C334B8">
              <w:rPr>
                <w:rFonts w:ascii="Arial" w:hAnsi="Arial" w:cs="Arial"/>
                <w:b/>
                <w:bCs/>
                <w:color w:val="000000"/>
                <w:sz w:val="16"/>
                <w:szCs w:val="16"/>
              </w:rPr>
              <w:t>Net (cost of)/contribution by</w:t>
            </w:r>
            <w:r w:rsidRPr="00C334B8">
              <w:rPr>
                <w:rFonts w:ascii="Arial" w:hAnsi="Arial" w:cs="Arial"/>
                <w:b/>
                <w:bCs/>
                <w:color w:val="000000"/>
                <w:sz w:val="16"/>
                <w:szCs w:val="16"/>
              </w:rPr>
              <w:br/>
              <w:t xml:space="preserve">  services</w:t>
            </w:r>
          </w:p>
        </w:tc>
        <w:tc>
          <w:tcPr>
            <w:tcW w:w="578" w:type="pct"/>
            <w:tcBorders>
              <w:top w:val="nil"/>
              <w:left w:val="nil"/>
              <w:bottom w:val="single" w:sz="4" w:space="0" w:color="auto"/>
              <w:right w:val="nil"/>
            </w:tcBorders>
            <w:shd w:val="clear" w:color="auto" w:fill="auto"/>
            <w:noWrap/>
            <w:vAlign w:val="bottom"/>
            <w:hideMark/>
          </w:tcPr>
          <w:p w14:paraId="69221825" w14:textId="77777777" w:rsidR="00C334B8" w:rsidRPr="00C334B8" w:rsidRDefault="00C334B8" w:rsidP="00C334B8">
            <w:pPr>
              <w:spacing w:after="0" w:line="240" w:lineRule="auto"/>
              <w:jc w:val="right"/>
              <w:rPr>
                <w:rFonts w:ascii="Arial" w:hAnsi="Arial" w:cs="Arial"/>
                <w:b/>
                <w:bCs/>
                <w:sz w:val="16"/>
                <w:szCs w:val="16"/>
              </w:rPr>
            </w:pPr>
            <w:r w:rsidRPr="00C334B8">
              <w:rPr>
                <w:rFonts w:ascii="Arial" w:hAnsi="Arial" w:cs="Arial"/>
                <w:b/>
                <w:bCs/>
                <w:sz w:val="16"/>
                <w:szCs w:val="16"/>
              </w:rPr>
              <w:t>(278,247)</w:t>
            </w:r>
          </w:p>
        </w:tc>
        <w:tc>
          <w:tcPr>
            <w:tcW w:w="578" w:type="pct"/>
            <w:tcBorders>
              <w:top w:val="nil"/>
              <w:left w:val="nil"/>
              <w:bottom w:val="single" w:sz="4" w:space="0" w:color="auto"/>
              <w:right w:val="nil"/>
            </w:tcBorders>
            <w:shd w:val="clear" w:color="000000" w:fill="E6E6E6"/>
            <w:noWrap/>
            <w:vAlign w:val="bottom"/>
            <w:hideMark/>
          </w:tcPr>
          <w:p w14:paraId="5C0524C6" w14:textId="77777777" w:rsidR="00C334B8" w:rsidRPr="00C334B8" w:rsidRDefault="00C334B8" w:rsidP="00C334B8">
            <w:pPr>
              <w:spacing w:after="0" w:line="240" w:lineRule="auto"/>
              <w:jc w:val="right"/>
              <w:rPr>
                <w:rFonts w:ascii="Arial" w:hAnsi="Arial" w:cs="Arial"/>
                <w:b/>
                <w:bCs/>
                <w:sz w:val="16"/>
                <w:szCs w:val="16"/>
              </w:rPr>
            </w:pPr>
            <w:r w:rsidRPr="00C334B8">
              <w:rPr>
                <w:rFonts w:ascii="Arial" w:hAnsi="Arial" w:cs="Arial"/>
                <w:b/>
                <w:bCs/>
                <w:sz w:val="16"/>
                <w:szCs w:val="16"/>
              </w:rPr>
              <w:t>(296,591)</w:t>
            </w:r>
          </w:p>
        </w:tc>
        <w:tc>
          <w:tcPr>
            <w:tcW w:w="578" w:type="pct"/>
            <w:tcBorders>
              <w:top w:val="nil"/>
              <w:left w:val="nil"/>
              <w:bottom w:val="single" w:sz="4" w:space="0" w:color="auto"/>
              <w:right w:val="nil"/>
            </w:tcBorders>
            <w:shd w:val="clear" w:color="auto" w:fill="auto"/>
            <w:noWrap/>
            <w:vAlign w:val="bottom"/>
            <w:hideMark/>
          </w:tcPr>
          <w:p w14:paraId="4C6097E5" w14:textId="77777777" w:rsidR="00C334B8" w:rsidRPr="00C334B8" w:rsidRDefault="00C334B8" w:rsidP="00C334B8">
            <w:pPr>
              <w:spacing w:after="0" w:line="240" w:lineRule="auto"/>
              <w:jc w:val="right"/>
              <w:rPr>
                <w:rFonts w:ascii="Arial" w:hAnsi="Arial" w:cs="Arial"/>
                <w:b/>
                <w:bCs/>
                <w:sz w:val="16"/>
                <w:szCs w:val="16"/>
              </w:rPr>
            </w:pPr>
            <w:r w:rsidRPr="00C334B8">
              <w:rPr>
                <w:rFonts w:ascii="Arial" w:hAnsi="Arial" w:cs="Arial"/>
                <w:b/>
                <w:bCs/>
                <w:sz w:val="16"/>
                <w:szCs w:val="16"/>
              </w:rPr>
              <w:t>(282,395)</w:t>
            </w:r>
          </w:p>
        </w:tc>
        <w:tc>
          <w:tcPr>
            <w:tcW w:w="578" w:type="pct"/>
            <w:tcBorders>
              <w:top w:val="nil"/>
              <w:left w:val="nil"/>
              <w:bottom w:val="single" w:sz="4" w:space="0" w:color="auto"/>
              <w:right w:val="nil"/>
            </w:tcBorders>
            <w:shd w:val="clear" w:color="auto" w:fill="auto"/>
            <w:noWrap/>
            <w:vAlign w:val="bottom"/>
            <w:hideMark/>
          </w:tcPr>
          <w:p w14:paraId="30B00F79" w14:textId="77777777" w:rsidR="00C334B8" w:rsidRPr="00C334B8" w:rsidRDefault="00C334B8" w:rsidP="00C334B8">
            <w:pPr>
              <w:spacing w:after="0" w:line="240" w:lineRule="auto"/>
              <w:jc w:val="right"/>
              <w:rPr>
                <w:rFonts w:ascii="Arial" w:hAnsi="Arial" w:cs="Arial"/>
                <w:b/>
                <w:bCs/>
                <w:sz w:val="16"/>
                <w:szCs w:val="16"/>
              </w:rPr>
            </w:pPr>
            <w:r w:rsidRPr="00C334B8">
              <w:rPr>
                <w:rFonts w:ascii="Arial" w:hAnsi="Arial" w:cs="Arial"/>
                <w:b/>
                <w:bCs/>
                <w:sz w:val="16"/>
                <w:szCs w:val="16"/>
              </w:rPr>
              <w:t>(251,002)</w:t>
            </w:r>
          </w:p>
        </w:tc>
        <w:tc>
          <w:tcPr>
            <w:tcW w:w="578" w:type="pct"/>
            <w:tcBorders>
              <w:top w:val="nil"/>
              <w:left w:val="nil"/>
              <w:bottom w:val="single" w:sz="4" w:space="0" w:color="auto"/>
              <w:right w:val="nil"/>
            </w:tcBorders>
            <w:shd w:val="clear" w:color="auto" w:fill="auto"/>
            <w:noWrap/>
            <w:vAlign w:val="bottom"/>
            <w:hideMark/>
          </w:tcPr>
          <w:p w14:paraId="6D4E6248" w14:textId="77777777" w:rsidR="00C334B8" w:rsidRPr="00C334B8" w:rsidRDefault="00C334B8" w:rsidP="00C334B8">
            <w:pPr>
              <w:spacing w:after="0" w:line="240" w:lineRule="auto"/>
              <w:jc w:val="right"/>
              <w:rPr>
                <w:rFonts w:ascii="Arial" w:hAnsi="Arial" w:cs="Arial"/>
                <w:b/>
                <w:bCs/>
                <w:sz w:val="16"/>
                <w:szCs w:val="16"/>
              </w:rPr>
            </w:pPr>
            <w:r w:rsidRPr="00C334B8">
              <w:rPr>
                <w:rFonts w:ascii="Arial" w:hAnsi="Arial" w:cs="Arial"/>
                <w:b/>
                <w:bCs/>
                <w:sz w:val="16"/>
                <w:szCs w:val="16"/>
              </w:rPr>
              <w:t>(243,307)</w:t>
            </w:r>
          </w:p>
        </w:tc>
      </w:tr>
      <w:tr w:rsidR="00C334B8" w:rsidRPr="00C334B8" w14:paraId="78460DC3" w14:textId="77777777" w:rsidTr="00C334B8">
        <w:trPr>
          <w:trHeight w:val="200"/>
        </w:trPr>
        <w:tc>
          <w:tcPr>
            <w:tcW w:w="2110" w:type="pct"/>
            <w:tcBorders>
              <w:top w:val="nil"/>
              <w:left w:val="nil"/>
              <w:bottom w:val="nil"/>
              <w:right w:val="nil"/>
            </w:tcBorders>
            <w:shd w:val="clear" w:color="auto" w:fill="auto"/>
            <w:noWrap/>
            <w:vAlign w:val="bottom"/>
            <w:hideMark/>
          </w:tcPr>
          <w:p w14:paraId="467B1361" w14:textId="77777777" w:rsidR="00C334B8" w:rsidRPr="00C334B8" w:rsidRDefault="00C334B8" w:rsidP="00C334B8">
            <w:pPr>
              <w:spacing w:after="0" w:line="240" w:lineRule="auto"/>
              <w:ind w:firstLineChars="100" w:firstLine="160"/>
              <w:jc w:val="left"/>
              <w:rPr>
                <w:rFonts w:ascii="Arial" w:hAnsi="Arial" w:cs="Arial"/>
                <w:sz w:val="16"/>
                <w:szCs w:val="16"/>
              </w:rPr>
            </w:pPr>
            <w:r w:rsidRPr="00C334B8">
              <w:rPr>
                <w:rFonts w:ascii="Arial" w:hAnsi="Arial" w:cs="Arial"/>
                <w:sz w:val="16"/>
                <w:szCs w:val="16"/>
              </w:rPr>
              <w:t>Revenue from Government</w:t>
            </w:r>
          </w:p>
        </w:tc>
        <w:tc>
          <w:tcPr>
            <w:tcW w:w="578" w:type="pct"/>
            <w:tcBorders>
              <w:top w:val="nil"/>
              <w:left w:val="nil"/>
              <w:bottom w:val="single" w:sz="4" w:space="0" w:color="auto"/>
              <w:right w:val="nil"/>
            </w:tcBorders>
            <w:shd w:val="clear" w:color="auto" w:fill="auto"/>
            <w:noWrap/>
            <w:vAlign w:val="bottom"/>
            <w:hideMark/>
          </w:tcPr>
          <w:p w14:paraId="7AA353AA"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267,036 </w:t>
            </w:r>
          </w:p>
        </w:tc>
        <w:tc>
          <w:tcPr>
            <w:tcW w:w="578" w:type="pct"/>
            <w:tcBorders>
              <w:top w:val="nil"/>
              <w:left w:val="nil"/>
              <w:bottom w:val="single" w:sz="4" w:space="0" w:color="auto"/>
              <w:right w:val="nil"/>
            </w:tcBorders>
            <w:shd w:val="clear" w:color="000000" w:fill="E6E6E6"/>
            <w:noWrap/>
            <w:vAlign w:val="bottom"/>
            <w:hideMark/>
          </w:tcPr>
          <w:p w14:paraId="66CDA262"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286,646 </w:t>
            </w:r>
          </w:p>
        </w:tc>
        <w:tc>
          <w:tcPr>
            <w:tcW w:w="578" w:type="pct"/>
            <w:tcBorders>
              <w:top w:val="nil"/>
              <w:left w:val="nil"/>
              <w:bottom w:val="single" w:sz="4" w:space="0" w:color="auto"/>
              <w:right w:val="nil"/>
            </w:tcBorders>
            <w:shd w:val="clear" w:color="auto" w:fill="auto"/>
            <w:noWrap/>
            <w:vAlign w:val="bottom"/>
            <w:hideMark/>
          </w:tcPr>
          <w:p w14:paraId="79DB6CBA"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272,673 </w:t>
            </w:r>
          </w:p>
        </w:tc>
        <w:tc>
          <w:tcPr>
            <w:tcW w:w="578" w:type="pct"/>
            <w:tcBorders>
              <w:top w:val="nil"/>
              <w:left w:val="nil"/>
              <w:bottom w:val="single" w:sz="4" w:space="0" w:color="auto"/>
              <w:right w:val="nil"/>
            </w:tcBorders>
            <w:shd w:val="clear" w:color="auto" w:fill="auto"/>
            <w:noWrap/>
            <w:vAlign w:val="bottom"/>
            <w:hideMark/>
          </w:tcPr>
          <w:p w14:paraId="71E727AF"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241,854 </w:t>
            </w:r>
          </w:p>
        </w:tc>
        <w:tc>
          <w:tcPr>
            <w:tcW w:w="578" w:type="pct"/>
            <w:tcBorders>
              <w:top w:val="nil"/>
              <w:left w:val="nil"/>
              <w:bottom w:val="single" w:sz="4" w:space="0" w:color="auto"/>
              <w:right w:val="nil"/>
            </w:tcBorders>
            <w:shd w:val="clear" w:color="auto" w:fill="auto"/>
            <w:noWrap/>
            <w:vAlign w:val="bottom"/>
            <w:hideMark/>
          </w:tcPr>
          <w:p w14:paraId="4BEA5830"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235,034 </w:t>
            </w:r>
          </w:p>
        </w:tc>
      </w:tr>
      <w:tr w:rsidR="00C334B8" w:rsidRPr="00C334B8" w14:paraId="72907247" w14:textId="77777777" w:rsidTr="00C334B8">
        <w:trPr>
          <w:trHeight w:val="420"/>
        </w:trPr>
        <w:tc>
          <w:tcPr>
            <w:tcW w:w="2110" w:type="pct"/>
            <w:tcBorders>
              <w:top w:val="nil"/>
              <w:left w:val="nil"/>
              <w:bottom w:val="single" w:sz="4" w:space="0" w:color="auto"/>
              <w:right w:val="nil"/>
            </w:tcBorders>
            <w:shd w:val="clear" w:color="auto" w:fill="auto"/>
            <w:vAlign w:val="bottom"/>
            <w:hideMark/>
          </w:tcPr>
          <w:p w14:paraId="328AFA5C" w14:textId="77777777" w:rsidR="00C334B8" w:rsidRPr="00C334B8" w:rsidRDefault="00C334B8" w:rsidP="00C334B8">
            <w:pPr>
              <w:spacing w:after="0" w:line="240" w:lineRule="auto"/>
              <w:jc w:val="left"/>
              <w:rPr>
                <w:rFonts w:ascii="Arial" w:hAnsi="Arial" w:cs="Arial"/>
                <w:b/>
                <w:bCs/>
                <w:sz w:val="16"/>
                <w:szCs w:val="16"/>
              </w:rPr>
            </w:pPr>
            <w:r w:rsidRPr="00C334B8">
              <w:rPr>
                <w:rFonts w:ascii="Arial" w:hAnsi="Arial" w:cs="Arial"/>
                <w:b/>
                <w:bCs/>
                <w:sz w:val="16"/>
                <w:szCs w:val="16"/>
              </w:rPr>
              <w:t>Surplus/(deficit) attributable to the</w:t>
            </w:r>
            <w:r w:rsidRPr="00C334B8">
              <w:rPr>
                <w:rFonts w:ascii="Arial" w:hAnsi="Arial" w:cs="Arial"/>
                <w:b/>
                <w:bCs/>
                <w:sz w:val="16"/>
                <w:szCs w:val="16"/>
              </w:rPr>
              <w:br/>
              <w:t xml:space="preserve">  Australian Government</w:t>
            </w:r>
          </w:p>
        </w:tc>
        <w:tc>
          <w:tcPr>
            <w:tcW w:w="578" w:type="pct"/>
            <w:tcBorders>
              <w:top w:val="nil"/>
              <w:left w:val="nil"/>
              <w:bottom w:val="single" w:sz="4" w:space="0" w:color="auto"/>
              <w:right w:val="nil"/>
            </w:tcBorders>
            <w:shd w:val="clear" w:color="auto" w:fill="auto"/>
            <w:noWrap/>
            <w:vAlign w:val="bottom"/>
            <w:hideMark/>
          </w:tcPr>
          <w:p w14:paraId="18B37377" w14:textId="77777777" w:rsidR="00C334B8" w:rsidRPr="00C334B8" w:rsidRDefault="00C334B8" w:rsidP="00C334B8">
            <w:pPr>
              <w:spacing w:after="0" w:line="240" w:lineRule="auto"/>
              <w:jc w:val="right"/>
              <w:rPr>
                <w:rFonts w:ascii="Arial" w:hAnsi="Arial" w:cs="Arial"/>
                <w:b/>
                <w:bCs/>
                <w:sz w:val="16"/>
                <w:szCs w:val="16"/>
              </w:rPr>
            </w:pPr>
            <w:r w:rsidRPr="00C334B8">
              <w:rPr>
                <w:rFonts w:ascii="Arial" w:hAnsi="Arial" w:cs="Arial"/>
                <w:b/>
                <w:bCs/>
                <w:sz w:val="16"/>
                <w:szCs w:val="16"/>
              </w:rPr>
              <w:t>(11,211)</w:t>
            </w:r>
          </w:p>
        </w:tc>
        <w:tc>
          <w:tcPr>
            <w:tcW w:w="578" w:type="pct"/>
            <w:tcBorders>
              <w:top w:val="nil"/>
              <w:left w:val="nil"/>
              <w:bottom w:val="single" w:sz="4" w:space="0" w:color="auto"/>
              <w:right w:val="nil"/>
            </w:tcBorders>
            <w:shd w:val="clear" w:color="000000" w:fill="E6E6E6"/>
            <w:noWrap/>
            <w:vAlign w:val="bottom"/>
            <w:hideMark/>
          </w:tcPr>
          <w:p w14:paraId="3761601E" w14:textId="77777777" w:rsidR="00C334B8" w:rsidRPr="00C334B8" w:rsidRDefault="00C334B8" w:rsidP="00C334B8">
            <w:pPr>
              <w:spacing w:after="0" w:line="240" w:lineRule="auto"/>
              <w:jc w:val="right"/>
              <w:rPr>
                <w:rFonts w:ascii="Arial" w:hAnsi="Arial" w:cs="Arial"/>
                <w:b/>
                <w:bCs/>
                <w:sz w:val="16"/>
                <w:szCs w:val="16"/>
              </w:rPr>
            </w:pPr>
            <w:r w:rsidRPr="00C334B8">
              <w:rPr>
                <w:rFonts w:ascii="Arial" w:hAnsi="Arial" w:cs="Arial"/>
                <w:b/>
                <w:bCs/>
                <w:sz w:val="16"/>
                <w:szCs w:val="16"/>
              </w:rPr>
              <w:t>(9,945)</w:t>
            </w:r>
          </w:p>
        </w:tc>
        <w:tc>
          <w:tcPr>
            <w:tcW w:w="578" w:type="pct"/>
            <w:tcBorders>
              <w:top w:val="nil"/>
              <w:left w:val="nil"/>
              <w:bottom w:val="single" w:sz="4" w:space="0" w:color="auto"/>
              <w:right w:val="nil"/>
            </w:tcBorders>
            <w:shd w:val="clear" w:color="auto" w:fill="auto"/>
            <w:noWrap/>
            <w:vAlign w:val="bottom"/>
            <w:hideMark/>
          </w:tcPr>
          <w:p w14:paraId="2DB1281B" w14:textId="77777777" w:rsidR="00C334B8" w:rsidRPr="00C334B8" w:rsidRDefault="00C334B8" w:rsidP="00C334B8">
            <w:pPr>
              <w:spacing w:after="0" w:line="240" w:lineRule="auto"/>
              <w:jc w:val="right"/>
              <w:rPr>
                <w:rFonts w:ascii="Arial" w:hAnsi="Arial" w:cs="Arial"/>
                <w:b/>
                <w:bCs/>
                <w:sz w:val="16"/>
                <w:szCs w:val="16"/>
              </w:rPr>
            </w:pPr>
            <w:r w:rsidRPr="00C334B8">
              <w:rPr>
                <w:rFonts w:ascii="Arial" w:hAnsi="Arial" w:cs="Arial"/>
                <w:b/>
                <w:bCs/>
                <w:sz w:val="16"/>
                <w:szCs w:val="16"/>
              </w:rPr>
              <w:t>(9,722)</w:t>
            </w:r>
          </w:p>
        </w:tc>
        <w:tc>
          <w:tcPr>
            <w:tcW w:w="578" w:type="pct"/>
            <w:tcBorders>
              <w:top w:val="nil"/>
              <w:left w:val="nil"/>
              <w:bottom w:val="single" w:sz="4" w:space="0" w:color="auto"/>
              <w:right w:val="nil"/>
            </w:tcBorders>
            <w:shd w:val="clear" w:color="auto" w:fill="auto"/>
            <w:noWrap/>
            <w:vAlign w:val="bottom"/>
            <w:hideMark/>
          </w:tcPr>
          <w:p w14:paraId="005C590C" w14:textId="77777777" w:rsidR="00C334B8" w:rsidRPr="00C334B8" w:rsidRDefault="00C334B8" w:rsidP="00C334B8">
            <w:pPr>
              <w:spacing w:after="0" w:line="240" w:lineRule="auto"/>
              <w:jc w:val="right"/>
              <w:rPr>
                <w:rFonts w:ascii="Arial" w:hAnsi="Arial" w:cs="Arial"/>
                <w:b/>
                <w:bCs/>
                <w:sz w:val="16"/>
                <w:szCs w:val="16"/>
              </w:rPr>
            </w:pPr>
            <w:r w:rsidRPr="00C334B8">
              <w:rPr>
                <w:rFonts w:ascii="Arial" w:hAnsi="Arial" w:cs="Arial"/>
                <w:b/>
                <w:bCs/>
                <w:sz w:val="16"/>
                <w:szCs w:val="16"/>
              </w:rPr>
              <w:t>(9,148)</w:t>
            </w:r>
          </w:p>
        </w:tc>
        <w:tc>
          <w:tcPr>
            <w:tcW w:w="578" w:type="pct"/>
            <w:tcBorders>
              <w:top w:val="nil"/>
              <w:left w:val="nil"/>
              <w:bottom w:val="single" w:sz="4" w:space="0" w:color="auto"/>
              <w:right w:val="nil"/>
            </w:tcBorders>
            <w:shd w:val="clear" w:color="auto" w:fill="auto"/>
            <w:noWrap/>
            <w:vAlign w:val="bottom"/>
            <w:hideMark/>
          </w:tcPr>
          <w:p w14:paraId="71D0CE8A" w14:textId="77777777" w:rsidR="00C334B8" w:rsidRPr="00C334B8" w:rsidRDefault="00C334B8" w:rsidP="00C334B8">
            <w:pPr>
              <w:spacing w:after="0" w:line="240" w:lineRule="auto"/>
              <w:jc w:val="right"/>
              <w:rPr>
                <w:rFonts w:ascii="Arial" w:hAnsi="Arial" w:cs="Arial"/>
                <w:b/>
                <w:bCs/>
                <w:sz w:val="16"/>
                <w:szCs w:val="16"/>
              </w:rPr>
            </w:pPr>
            <w:r w:rsidRPr="00C334B8">
              <w:rPr>
                <w:rFonts w:ascii="Arial" w:hAnsi="Arial" w:cs="Arial"/>
                <w:b/>
                <w:bCs/>
                <w:sz w:val="16"/>
                <w:szCs w:val="16"/>
              </w:rPr>
              <w:t>(8,273)</w:t>
            </w:r>
          </w:p>
        </w:tc>
      </w:tr>
    </w:tbl>
    <w:p w14:paraId="4F64D5A8" w14:textId="4E0644E3" w:rsidR="003F367E" w:rsidRPr="003F367E" w:rsidRDefault="003F367E" w:rsidP="00772E69">
      <w:pPr>
        <w:pStyle w:val="TableGraphic"/>
        <w:rPr>
          <w:noProof/>
        </w:rPr>
      </w:pPr>
    </w:p>
    <w:p w14:paraId="1B98AEE7" w14:textId="77777777" w:rsidR="00146B5E" w:rsidRDefault="007742FF" w:rsidP="00772E69">
      <w:pPr>
        <w:pStyle w:val="TableHeadingcontinued"/>
        <w:rPr>
          <w:snapToGrid w:val="0"/>
        </w:rPr>
      </w:pPr>
      <w:r>
        <w:br w:type="page"/>
      </w:r>
      <w:r w:rsidR="00146B5E" w:rsidRPr="00E855E0">
        <w:lastRenderedPageBreak/>
        <w:t>Table</w:t>
      </w:r>
      <w:r w:rsidR="00146B5E">
        <w:t xml:space="preserve"> 3.</w:t>
      </w:r>
      <w:r w:rsidR="00146B5E" w:rsidRPr="00E855E0">
        <w:t>1</w:t>
      </w:r>
      <w:r w:rsidR="00146B5E">
        <w:t>:</w:t>
      </w:r>
      <w:r w:rsidR="00146B5E" w:rsidRPr="00E855E0">
        <w:t xml:space="preserve"> Comprehensive income statement (showing net cost of services)</w:t>
      </w:r>
      <w:r w:rsidR="00146B5E">
        <w:t xml:space="preserve"> </w:t>
      </w:r>
      <w:r w:rsidR="00146B5E">
        <w:rPr>
          <w:snapToGrid w:val="0"/>
        </w:rPr>
        <w:t>for the period ended 30 June</w:t>
      </w:r>
      <w:r w:rsidR="00765A82">
        <w:rPr>
          <w:snapToGrid w:val="0"/>
        </w:rPr>
        <w:t xml:space="preserve"> (continued)</w:t>
      </w:r>
    </w:p>
    <w:p w14:paraId="4B7A8D9D" w14:textId="77777777" w:rsidR="00A965CD" w:rsidRPr="003819E1" w:rsidRDefault="00A965CD" w:rsidP="00772E69">
      <w:pPr>
        <w:pStyle w:val="TableHeadingcontinued"/>
        <w:rPr>
          <w:rFonts w:cs="Arial"/>
        </w:rPr>
      </w:pPr>
    </w:p>
    <w:p w14:paraId="77970617" w14:textId="000B569C" w:rsidR="00C334B8" w:rsidRDefault="007742FF" w:rsidP="00C334B8">
      <w:pPr>
        <w:pStyle w:val="TableGraphic"/>
        <w:rPr>
          <w:rFonts w:ascii="Times New Roman" w:hAnsi="Times New Roman"/>
        </w:rPr>
      </w:pPr>
      <w:r w:rsidRPr="00B07754">
        <w:rPr>
          <w:rFonts w:ascii="Arial" w:hAnsi="Arial" w:cs="Arial"/>
          <w:b/>
        </w:rPr>
        <w:t>Note: Impact of net cash appropriation arrangements</w:t>
      </w:r>
    </w:p>
    <w:tbl>
      <w:tblPr>
        <w:tblW w:w="5000" w:type="pct"/>
        <w:tblCellMar>
          <w:left w:w="0" w:type="dxa"/>
          <w:right w:w="28" w:type="dxa"/>
        </w:tblCellMar>
        <w:tblLook w:val="04A0" w:firstRow="1" w:lastRow="0" w:firstColumn="1" w:lastColumn="0" w:noHBand="0" w:noVBand="1"/>
      </w:tblPr>
      <w:tblGrid>
        <w:gridCol w:w="3230"/>
        <w:gridCol w:w="896"/>
        <w:gridCol w:w="896"/>
        <w:gridCol w:w="896"/>
        <w:gridCol w:w="896"/>
        <w:gridCol w:w="896"/>
      </w:tblGrid>
      <w:tr w:rsidR="00C334B8" w:rsidRPr="00C334B8" w14:paraId="6405FF99" w14:textId="77777777" w:rsidTr="00C334B8">
        <w:trPr>
          <w:trHeight w:val="800"/>
        </w:trPr>
        <w:tc>
          <w:tcPr>
            <w:tcW w:w="2093" w:type="pct"/>
            <w:tcBorders>
              <w:top w:val="single" w:sz="4" w:space="0" w:color="auto"/>
              <w:left w:val="nil"/>
              <w:bottom w:val="nil"/>
              <w:right w:val="nil"/>
            </w:tcBorders>
            <w:shd w:val="clear" w:color="auto" w:fill="auto"/>
            <w:vAlign w:val="bottom"/>
            <w:hideMark/>
          </w:tcPr>
          <w:p w14:paraId="59C63F07" w14:textId="7688C268" w:rsidR="00C334B8" w:rsidRPr="00C334B8" w:rsidRDefault="00C334B8">
            <w:pPr>
              <w:rPr>
                <w:rFonts w:ascii="Arial" w:hAnsi="Arial" w:cs="Arial"/>
                <w:sz w:val="16"/>
                <w:szCs w:val="16"/>
              </w:rPr>
            </w:pPr>
            <w:r w:rsidRPr="00C334B8">
              <w:rPr>
                <w:rFonts w:ascii="Arial" w:hAnsi="Arial" w:cs="Arial"/>
                <w:sz w:val="16"/>
                <w:szCs w:val="16"/>
              </w:rPr>
              <w:t> </w:t>
            </w:r>
          </w:p>
        </w:tc>
        <w:tc>
          <w:tcPr>
            <w:tcW w:w="581" w:type="pct"/>
            <w:tcBorders>
              <w:top w:val="single" w:sz="4" w:space="0" w:color="auto"/>
              <w:left w:val="nil"/>
              <w:bottom w:val="single" w:sz="4" w:space="0" w:color="auto"/>
              <w:right w:val="nil"/>
            </w:tcBorders>
            <w:shd w:val="clear" w:color="auto" w:fill="auto"/>
            <w:vAlign w:val="center"/>
            <w:hideMark/>
          </w:tcPr>
          <w:p w14:paraId="256CC556" w14:textId="77777777" w:rsidR="00C334B8" w:rsidRPr="00C334B8" w:rsidRDefault="00C334B8" w:rsidP="00C334B8">
            <w:pPr>
              <w:spacing w:after="0" w:line="240" w:lineRule="auto"/>
              <w:jc w:val="right"/>
              <w:rPr>
                <w:rFonts w:ascii="Arial" w:hAnsi="Arial" w:cs="Arial"/>
                <w:color w:val="000000"/>
                <w:sz w:val="16"/>
                <w:szCs w:val="16"/>
              </w:rPr>
            </w:pPr>
            <w:r w:rsidRPr="00C334B8">
              <w:rPr>
                <w:rFonts w:ascii="Arial" w:hAnsi="Arial" w:cs="Arial"/>
                <w:color w:val="000000"/>
                <w:sz w:val="16"/>
                <w:szCs w:val="16"/>
              </w:rPr>
              <w:t>2020-21 Estimated actual</w:t>
            </w:r>
            <w:r w:rsidRPr="00C334B8">
              <w:rPr>
                <w:rFonts w:ascii="Arial" w:hAnsi="Arial" w:cs="Arial"/>
                <w:color w:val="000000"/>
                <w:sz w:val="16"/>
                <w:szCs w:val="16"/>
              </w:rPr>
              <w:br/>
              <w:t>$'000</w:t>
            </w:r>
          </w:p>
        </w:tc>
        <w:tc>
          <w:tcPr>
            <w:tcW w:w="581" w:type="pct"/>
            <w:tcBorders>
              <w:top w:val="single" w:sz="4" w:space="0" w:color="auto"/>
              <w:left w:val="nil"/>
              <w:bottom w:val="single" w:sz="4" w:space="0" w:color="auto"/>
              <w:right w:val="nil"/>
            </w:tcBorders>
            <w:shd w:val="clear" w:color="000000" w:fill="E6E6E6"/>
            <w:vAlign w:val="center"/>
            <w:hideMark/>
          </w:tcPr>
          <w:p w14:paraId="58DB4D41" w14:textId="77777777" w:rsidR="00C334B8" w:rsidRPr="00C334B8" w:rsidRDefault="00C334B8" w:rsidP="00C334B8">
            <w:pPr>
              <w:spacing w:after="0" w:line="240" w:lineRule="auto"/>
              <w:jc w:val="right"/>
              <w:rPr>
                <w:rFonts w:ascii="Arial" w:hAnsi="Arial" w:cs="Arial"/>
                <w:color w:val="000000"/>
                <w:sz w:val="16"/>
                <w:szCs w:val="16"/>
              </w:rPr>
            </w:pPr>
            <w:r w:rsidRPr="00C334B8">
              <w:rPr>
                <w:rFonts w:ascii="Arial" w:hAnsi="Arial" w:cs="Arial"/>
                <w:color w:val="000000"/>
                <w:sz w:val="16"/>
                <w:szCs w:val="16"/>
              </w:rPr>
              <w:t>2021-22</w:t>
            </w:r>
            <w:r w:rsidRPr="00C334B8">
              <w:rPr>
                <w:rFonts w:ascii="Arial" w:hAnsi="Arial" w:cs="Arial"/>
                <w:color w:val="000000"/>
                <w:sz w:val="16"/>
                <w:szCs w:val="16"/>
              </w:rPr>
              <w:br/>
              <w:t>Budget</w:t>
            </w:r>
            <w:r w:rsidRPr="00C334B8">
              <w:rPr>
                <w:rFonts w:ascii="Arial" w:hAnsi="Arial" w:cs="Arial"/>
                <w:color w:val="000000"/>
                <w:sz w:val="16"/>
                <w:szCs w:val="16"/>
              </w:rPr>
              <w:br/>
            </w:r>
            <w:r w:rsidRPr="00C334B8">
              <w:rPr>
                <w:rFonts w:ascii="Arial" w:hAnsi="Arial" w:cs="Arial"/>
                <w:color w:val="000000"/>
                <w:sz w:val="16"/>
                <w:szCs w:val="16"/>
              </w:rPr>
              <w:br/>
              <w:t>$'000</w:t>
            </w:r>
          </w:p>
        </w:tc>
        <w:tc>
          <w:tcPr>
            <w:tcW w:w="581" w:type="pct"/>
            <w:tcBorders>
              <w:top w:val="single" w:sz="4" w:space="0" w:color="auto"/>
              <w:left w:val="nil"/>
              <w:bottom w:val="single" w:sz="4" w:space="0" w:color="auto"/>
              <w:right w:val="nil"/>
            </w:tcBorders>
            <w:shd w:val="clear" w:color="auto" w:fill="auto"/>
            <w:vAlign w:val="center"/>
            <w:hideMark/>
          </w:tcPr>
          <w:p w14:paraId="702FAEB9" w14:textId="77777777" w:rsidR="00C334B8" w:rsidRPr="00C334B8" w:rsidRDefault="00C334B8" w:rsidP="00C334B8">
            <w:pPr>
              <w:spacing w:after="0" w:line="240" w:lineRule="auto"/>
              <w:jc w:val="right"/>
              <w:rPr>
                <w:rFonts w:ascii="Arial" w:hAnsi="Arial" w:cs="Arial"/>
                <w:color w:val="000000"/>
                <w:sz w:val="16"/>
                <w:szCs w:val="16"/>
              </w:rPr>
            </w:pPr>
            <w:r w:rsidRPr="00C334B8">
              <w:rPr>
                <w:rFonts w:ascii="Arial" w:hAnsi="Arial" w:cs="Arial"/>
                <w:color w:val="000000"/>
                <w:sz w:val="16"/>
                <w:szCs w:val="16"/>
              </w:rPr>
              <w:t>2022-23 Forward estimate</w:t>
            </w:r>
            <w:r w:rsidRPr="00C334B8">
              <w:rPr>
                <w:rFonts w:ascii="Arial" w:hAnsi="Arial" w:cs="Arial"/>
                <w:color w:val="000000"/>
                <w:sz w:val="16"/>
                <w:szCs w:val="16"/>
              </w:rPr>
              <w:br/>
              <w:t>$'000</w:t>
            </w:r>
          </w:p>
        </w:tc>
        <w:tc>
          <w:tcPr>
            <w:tcW w:w="581" w:type="pct"/>
            <w:tcBorders>
              <w:top w:val="single" w:sz="4" w:space="0" w:color="auto"/>
              <w:left w:val="nil"/>
              <w:bottom w:val="single" w:sz="4" w:space="0" w:color="auto"/>
              <w:right w:val="nil"/>
            </w:tcBorders>
            <w:shd w:val="clear" w:color="auto" w:fill="auto"/>
            <w:vAlign w:val="center"/>
            <w:hideMark/>
          </w:tcPr>
          <w:p w14:paraId="704ECF90" w14:textId="77777777" w:rsidR="00C334B8" w:rsidRPr="00C334B8" w:rsidRDefault="00C334B8" w:rsidP="00C334B8">
            <w:pPr>
              <w:spacing w:after="0" w:line="240" w:lineRule="auto"/>
              <w:jc w:val="right"/>
              <w:rPr>
                <w:rFonts w:ascii="Arial" w:hAnsi="Arial" w:cs="Arial"/>
                <w:color w:val="000000"/>
                <w:sz w:val="16"/>
                <w:szCs w:val="16"/>
              </w:rPr>
            </w:pPr>
            <w:r w:rsidRPr="00C334B8">
              <w:rPr>
                <w:rFonts w:ascii="Arial" w:hAnsi="Arial" w:cs="Arial"/>
                <w:color w:val="000000"/>
                <w:sz w:val="16"/>
                <w:szCs w:val="16"/>
              </w:rPr>
              <w:t>2023-24 Forward estimate</w:t>
            </w:r>
            <w:r w:rsidRPr="00C334B8">
              <w:rPr>
                <w:rFonts w:ascii="Arial" w:hAnsi="Arial" w:cs="Arial"/>
                <w:color w:val="000000"/>
                <w:sz w:val="16"/>
                <w:szCs w:val="16"/>
              </w:rPr>
              <w:br/>
              <w:t>$'000</w:t>
            </w:r>
          </w:p>
        </w:tc>
        <w:tc>
          <w:tcPr>
            <w:tcW w:w="581" w:type="pct"/>
            <w:tcBorders>
              <w:top w:val="single" w:sz="4" w:space="0" w:color="auto"/>
              <w:left w:val="nil"/>
              <w:bottom w:val="single" w:sz="4" w:space="0" w:color="auto"/>
              <w:right w:val="nil"/>
            </w:tcBorders>
            <w:shd w:val="clear" w:color="auto" w:fill="auto"/>
            <w:vAlign w:val="center"/>
            <w:hideMark/>
          </w:tcPr>
          <w:p w14:paraId="1A7DB7EF" w14:textId="77777777" w:rsidR="00C334B8" w:rsidRPr="00C334B8" w:rsidRDefault="00C334B8" w:rsidP="00C334B8">
            <w:pPr>
              <w:spacing w:after="0" w:line="240" w:lineRule="auto"/>
              <w:jc w:val="right"/>
              <w:rPr>
                <w:rFonts w:ascii="Arial" w:hAnsi="Arial" w:cs="Arial"/>
                <w:color w:val="000000"/>
                <w:sz w:val="16"/>
                <w:szCs w:val="16"/>
              </w:rPr>
            </w:pPr>
            <w:r w:rsidRPr="00C334B8">
              <w:rPr>
                <w:rFonts w:ascii="Arial" w:hAnsi="Arial" w:cs="Arial"/>
                <w:color w:val="000000"/>
                <w:sz w:val="16"/>
                <w:szCs w:val="16"/>
              </w:rPr>
              <w:t>2024-25</w:t>
            </w:r>
            <w:r w:rsidRPr="00C334B8">
              <w:rPr>
                <w:rFonts w:ascii="Arial" w:hAnsi="Arial" w:cs="Arial"/>
                <w:color w:val="000000"/>
                <w:sz w:val="16"/>
                <w:szCs w:val="16"/>
              </w:rPr>
              <w:br/>
              <w:t>Forward estimate</w:t>
            </w:r>
            <w:r w:rsidRPr="00C334B8">
              <w:rPr>
                <w:rFonts w:ascii="Arial" w:hAnsi="Arial" w:cs="Arial"/>
                <w:color w:val="000000"/>
                <w:sz w:val="16"/>
                <w:szCs w:val="16"/>
              </w:rPr>
              <w:br/>
              <w:t>$'000</w:t>
            </w:r>
          </w:p>
        </w:tc>
      </w:tr>
      <w:tr w:rsidR="00C334B8" w:rsidRPr="00C334B8" w14:paraId="2F2E13A2" w14:textId="77777777" w:rsidTr="00C334B8">
        <w:trPr>
          <w:trHeight w:val="920"/>
        </w:trPr>
        <w:tc>
          <w:tcPr>
            <w:tcW w:w="2093" w:type="pct"/>
            <w:tcBorders>
              <w:top w:val="nil"/>
              <w:left w:val="nil"/>
              <w:bottom w:val="nil"/>
              <w:right w:val="nil"/>
            </w:tcBorders>
            <w:shd w:val="clear" w:color="auto" w:fill="auto"/>
            <w:vAlign w:val="bottom"/>
            <w:hideMark/>
          </w:tcPr>
          <w:p w14:paraId="552B7E20" w14:textId="77777777" w:rsidR="00C334B8" w:rsidRPr="00C334B8" w:rsidRDefault="00C334B8" w:rsidP="00C334B8">
            <w:pPr>
              <w:spacing w:after="0" w:line="240" w:lineRule="auto"/>
              <w:jc w:val="left"/>
              <w:rPr>
                <w:rFonts w:ascii="Arial" w:hAnsi="Arial" w:cs="Arial"/>
                <w:b/>
                <w:bCs/>
                <w:color w:val="000000"/>
                <w:sz w:val="16"/>
                <w:szCs w:val="16"/>
              </w:rPr>
            </w:pPr>
            <w:r w:rsidRPr="00C334B8">
              <w:rPr>
                <w:rFonts w:ascii="Arial" w:hAnsi="Arial" w:cs="Arial"/>
                <w:b/>
                <w:bCs/>
                <w:color w:val="000000"/>
                <w:sz w:val="16"/>
                <w:szCs w:val="16"/>
              </w:rPr>
              <w:t>Total comprehensive income/(loss)</w:t>
            </w:r>
            <w:r w:rsidRPr="00C334B8">
              <w:rPr>
                <w:rFonts w:ascii="Arial" w:hAnsi="Arial" w:cs="Arial"/>
                <w:b/>
                <w:bCs/>
                <w:color w:val="000000"/>
                <w:sz w:val="16"/>
                <w:szCs w:val="16"/>
              </w:rPr>
              <w:br/>
              <w:t xml:space="preserve">  less depreciation/amortisation</w:t>
            </w:r>
            <w:r w:rsidRPr="00C334B8">
              <w:rPr>
                <w:rFonts w:ascii="Arial" w:hAnsi="Arial" w:cs="Arial"/>
                <w:b/>
                <w:bCs/>
                <w:color w:val="000000"/>
                <w:sz w:val="16"/>
                <w:szCs w:val="16"/>
              </w:rPr>
              <w:br/>
              <w:t xml:space="preserve">  expenses previously funded</w:t>
            </w:r>
            <w:r w:rsidRPr="00C334B8">
              <w:rPr>
                <w:rFonts w:ascii="Arial" w:hAnsi="Arial" w:cs="Arial"/>
                <w:b/>
                <w:bCs/>
                <w:color w:val="000000"/>
                <w:sz w:val="16"/>
                <w:szCs w:val="16"/>
              </w:rPr>
              <w:br/>
              <w:t xml:space="preserve">  through revenue appropriations</w:t>
            </w:r>
          </w:p>
        </w:tc>
        <w:tc>
          <w:tcPr>
            <w:tcW w:w="581" w:type="pct"/>
            <w:tcBorders>
              <w:top w:val="nil"/>
              <w:left w:val="nil"/>
              <w:bottom w:val="nil"/>
              <w:right w:val="nil"/>
            </w:tcBorders>
            <w:shd w:val="clear" w:color="auto" w:fill="auto"/>
            <w:noWrap/>
            <w:vAlign w:val="bottom"/>
            <w:hideMark/>
          </w:tcPr>
          <w:p w14:paraId="009280E6" w14:textId="77777777" w:rsidR="00C334B8" w:rsidRPr="00C334B8" w:rsidRDefault="00C334B8" w:rsidP="00C334B8">
            <w:pPr>
              <w:spacing w:after="0" w:line="240" w:lineRule="auto"/>
              <w:jc w:val="right"/>
              <w:rPr>
                <w:rFonts w:ascii="Arial" w:hAnsi="Arial" w:cs="Arial"/>
                <w:b/>
                <w:bCs/>
                <w:color w:val="000000"/>
                <w:sz w:val="16"/>
                <w:szCs w:val="16"/>
              </w:rPr>
            </w:pPr>
            <w:r w:rsidRPr="00C334B8">
              <w:rPr>
                <w:rFonts w:ascii="Arial" w:hAnsi="Arial" w:cs="Arial"/>
                <w:b/>
                <w:bCs/>
                <w:color w:val="000000"/>
                <w:sz w:val="16"/>
                <w:szCs w:val="16"/>
              </w:rPr>
              <w:t>(732)</w:t>
            </w:r>
          </w:p>
        </w:tc>
        <w:tc>
          <w:tcPr>
            <w:tcW w:w="581" w:type="pct"/>
            <w:tcBorders>
              <w:top w:val="nil"/>
              <w:left w:val="nil"/>
              <w:bottom w:val="nil"/>
              <w:right w:val="nil"/>
            </w:tcBorders>
            <w:shd w:val="clear" w:color="000000" w:fill="E6E6E6"/>
            <w:noWrap/>
            <w:vAlign w:val="bottom"/>
            <w:hideMark/>
          </w:tcPr>
          <w:p w14:paraId="0F67A0EB" w14:textId="77777777" w:rsidR="00C334B8" w:rsidRPr="00C334B8" w:rsidRDefault="00C334B8" w:rsidP="00C334B8">
            <w:pPr>
              <w:spacing w:after="0" w:line="240" w:lineRule="auto"/>
              <w:jc w:val="right"/>
              <w:rPr>
                <w:rFonts w:ascii="Arial" w:hAnsi="Arial" w:cs="Arial"/>
                <w:b/>
                <w:bCs/>
                <w:color w:val="000000"/>
                <w:sz w:val="16"/>
                <w:szCs w:val="16"/>
              </w:rPr>
            </w:pPr>
            <w:r w:rsidRPr="00C334B8">
              <w:rPr>
                <w:rFonts w:ascii="Arial" w:hAnsi="Arial" w:cs="Arial"/>
                <w:b/>
                <w:bCs/>
                <w:color w:val="000000"/>
                <w:sz w:val="16"/>
                <w:szCs w:val="16"/>
              </w:rPr>
              <w:t>(778)</w:t>
            </w:r>
          </w:p>
        </w:tc>
        <w:tc>
          <w:tcPr>
            <w:tcW w:w="581" w:type="pct"/>
            <w:tcBorders>
              <w:top w:val="nil"/>
              <w:left w:val="nil"/>
              <w:bottom w:val="nil"/>
              <w:right w:val="nil"/>
            </w:tcBorders>
            <w:shd w:val="clear" w:color="auto" w:fill="auto"/>
            <w:noWrap/>
            <w:vAlign w:val="bottom"/>
            <w:hideMark/>
          </w:tcPr>
          <w:p w14:paraId="1595150B" w14:textId="77777777" w:rsidR="00C334B8" w:rsidRPr="00C334B8" w:rsidRDefault="00C334B8" w:rsidP="00C334B8">
            <w:pPr>
              <w:spacing w:after="0" w:line="240" w:lineRule="auto"/>
              <w:jc w:val="right"/>
              <w:rPr>
                <w:rFonts w:ascii="Arial" w:hAnsi="Arial" w:cs="Arial"/>
                <w:b/>
                <w:bCs/>
                <w:color w:val="000000"/>
                <w:sz w:val="16"/>
                <w:szCs w:val="16"/>
              </w:rPr>
            </w:pPr>
            <w:r w:rsidRPr="00C334B8">
              <w:rPr>
                <w:rFonts w:ascii="Arial" w:hAnsi="Arial" w:cs="Arial"/>
                <w:b/>
                <w:bCs/>
                <w:color w:val="000000"/>
                <w:sz w:val="16"/>
                <w:szCs w:val="16"/>
              </w:rPr>
              <w:t>(825)</w:t>
            </w:r>
          </w:p>
        </w:tc>
        <w:tc>
          <w:tcPr>
            <w:tcW w:w="581" w:type="pct"/>
            <w:tcBorders>
              <w:top w:val="nil"/>
              <w:left w:val="nil"/>
              <w:bottom w:val="nil"/>
              <w:right w:val="nil"/>
            </w:tcBorders>
            <w:shd w:val="clear" w:color="auto" w:fill="auto"/>
            <w:noWrap/>
            <w:vAlign w:val="bottom"/>
            <w:hideMark/>
          </w:tcPr>
          <w:p w14:paraId="1354F26C" w14:textId="77777777" w:rsidR="00C334B8" w:rsidRPr="00C334B8" w:rsidRDefault="00C334B8" w:rsidP="00C334B8">
            <w:pPr>
              <w:spacing w:after="0" w:line="240" w:lineRule="auto"/>
              <w:jc w:val="right"/>
              <w:rPr>
                <w:rFonts w:ascii="Arial" w:hAnsi="Arial" w:cs="Arial"/>
                <w:b/>
                <w:bCs/>
                <w:color w:val="000000"/>
                <w:sz w:val="16"/>
                <w:szCs w:val="16"/>
              </w:rPr>
            </w:pPr>
            <w:r w:rsidRPr="00C334B8">
              <w:rPr>
                <w:rFonts w:ascii="Arial" w:hAnsi="Arial" w:cs="Arial"/>
                <w:b/>
                <w:bCs/>
                <w:color w:val="000000"/>
                <w:sz w:val="16"/>
                <w:szCs w:val="16"/>
              </w:rPr>
              <w:t>(875)</w:t>
            </w:r>
          </w:p>
        </w:tc>
        <w:tc>
          <w:tcPr>
            <w:tcW w:w="581" w:type="pct"/>
            <w:tcBorders>
              <w:top w:val="nil"/>
              <w:left w:val="nil"/>
              <w:bottom w:val="nil"/>
              <w:right w:val="nil"/>
            </w:tcBorders>
            <w:shd w:val="clear" w:color="auto" w:fill="auto"/>
            <w:noWrap/>
            <w:vAlign w:val="bottom"/>
            <w:hideMark/>
          </w:tcPr>
          <w:p w14:paraId="3CE4C388" w14:textId="77777777" w:rsidR="00C334B8" w:rsidRPr="00C334B8" w:rsidRDefault="00C334B8" w:rsidP="00C334B8">
            <w:pPr>
              <w:spacing w:after="0" w:line="240" w:lineRule="auto"/>
              <w:jc w:val="right"/>
              <w:rPr>
                <w:rFonts w:ascii="Arial" w:hAnsi="Arial" w:cs="Arial"/>
                <w:b/>
                <w:bCs/>
                <w:color w:val="000000"/>
                <w:sz w:val="16"/>
                <w:szCs w:val="16"/>
              </w:rPr>
            </w:pPr>
            <w:r w:rsidRPr="00C334B8">
              <w:rPr>
                <w:rFonts w:ascii="Arial" w:hAnsi="Arial" w:cs="Arial"/>
                <w:b/>
                <w:bCs/>
                <w:color w:val="000000"/>
                <w:sz w:val="16"/>
                <w:szCs w:val="16"/>
              </w:rPr>
              <w:t xml:space="preserve">- </w:t>
            </w:r>
          </w:p>
        </w:tc>
      </w:tr>
      <w:tr w:rsidR="00C334B8" w:rsidRPr="00C334B8" w14:paraId="15F0BCA7" w14:textId="77777777" w:rsidTr="00C334B8">
        <w:trPr>
          <w:trHeight w:val="600"/>
        </w:trPr>
        <w:tc>
          <w:tcPr>
            <w:tcW w:w="2093" w:type="pct"/>
            <w:tcBorders>
              <w:top w:val="nil"/>
              <w:left w:val="nil"/>
              <w:bottom w:val="nil"/>
              <w:right w:val="nil"/>
            </w:tcBorders>
            <w:shd w:val="clear" w:color="auto" w:fill="auto"/>
            <w:vAlign w:val="bottom"/>
            <w:hideMark/>
          </w:tcPr>
          <w:p w14:paraId="15B3FA22" w14:textId="77777777" w:rsidR="00C334B8" w:rsidRPr="00C334B8" w:rsidRDefault="00C334B8" w:rsidP="00C334B8">
            <w:pPr>
              <w:spacing w:after="0" w:line="240" w:lineRule="auto"/>
              <w:ind w:firstLineChars="100" w:firstLine="160"/>
              <w:jc w:val="left"/>
              <w:rPr>
                <w:rFonts w:ascii="Arial" w:hAnsi="Arial" w:cs="Arial"/>
                <w:color w:val="000000"/>
                <w:sz w:val="16"/>
                <w:szCs w:val="16"/>
              </w:rPr>
            </w:pPr>
            <w:r w:rsidRPr="00C334B8">
              <w:rPr>
                <w:rFonts w:ascii="Arial" w:hAnsi="Arial" w:cs="Arial"/>
                <w:color w:val="000000"/>
                <w:sz w:val="16"/>
                <w:szCs w:val="16"/>
              </w:rPr>
              <w:t>plus: depreciation/amortisation</w:t>
            </w:r>
            <w:r w:rsidRPr="00C334B8">
              <w:rPr>
                <w:rFonts w:ascii="Arial" w:hAnsi="Arial" w:cs="Arial"/>
                <w:color w:val="000000"/>
                <w:sz w:val="16"/>
                <w:szCs w:val="16"/>
              </w:rPr>
              <w:br/>
              <w:t xml:space="preserve">  expenses previously funded through</w:t>
            </w:r>
            <w:r w:rsidRPr="00C334B8">
              <w:rPr>
                <w:rFonts w:ascii="Arial" w:hAnsi="Arial" w:cs="Arial"/>
                <w:color w:val="000000"/>
                <w:sz w:val="16"/>
                <w:szCs w:val="16"/>
              </w:rPr>
              <w:br/>
              <w:t xml:space="preserve">    revenue appropriations (a)</w:t>
            </w:r>
          </w:p>
        </w:tc>
        <w:tc>
          <w:tcPr>
            <w:tcW w:w="581" w:type="pct"/>
            <w:tcBorders>
              <w:top w:val="nil"/>
              <w:left w:val="nil"/>
              <w:bottom w:val="nil"/>
              <w:right w:val="nil"/>
            </w:tcBorders>
            <w:shd w:val="clear" w:color="auto" w:fill="auto"/>
            <w:noWrap/>
            <w:vAlign w:val="bottom"/>
            <w:hideMark/>
          </w:tcPr>
          <w:p w14:paraId="348F9A62"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10,427 </w:t>
            </w:r>
          </w:p>
        </w:tc>
        <w:tc>
          <w:tcPr>
            <w:tcW w:w="581" w:type="pct"/>
            <w:tcBorders>
              <w:top w:val="nil"/>
              <w:left w:val="nil"/>
              <w:bottom w:val="nil"/>
              <w:right w:val="nil"/>
            </w:tcBorders>
            <w:shd w:val="clear" w:color="000000" w:fill="E6E6E6"/>
            <w:noWrap/>
            <w:vAlign w:val="bottom"/>
            <w:hideMark/>
          </w:tcPr>
          <w:p w14:paraId="042265A4"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9,967 </w:t>
            </w:r>
          </w:p>
        </w:tc>
        <w:tc>
          <w:tcPr>
            <w:tcW w:w="581" w:type="pct"/>
            <w:tcBorders>
              <w:top w:val="nil"/>
              <w:left w:val="nil"/>
              <w:bottom w:val="nil"/>
              <w:right w:val="nil"/>
            </w:tcBorders>
            <w:shd w:val="clear" w:color="auto" w:fill="auto"/>
            <w:noWrap/>
            <w:vAlign w:val="bottom"/>
            <w:hideMark/>
          </w:tcPr>
          <w:p w14:paraId="36A1F55B"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9,370 </w:t>
            </w:r>
          </w:p>
        </w:tc>
        <w:tc>
          <w:tcPr>
            <w:tcW w:w="581" w:type="pct"/>
            <w:tcBorders>
              <w:top w:val="nil"/>
              <w:left w:val="nil"/>
              <w:bottom w:val="nil"/>
              <w:right w:val="nil"/>
            </w:tcBorders>
            <w:shd w:val="clear" w:color="auto" w:fill="auto"/>
            <w:noWrap/>
            <w:vAlign w:val="bottom"/>
            <w:hideMark/>
          </w:tcPr>
          <w:p w14:paraId="7E4E8769"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9,355 </w:t>
            </w:r>
          </w:p>
        </w:tc>
        <w:tc>
          <w:tcPr>
            <w:tcW w:w="581" w:type="pct"/>
            <w:tcBorders>
              <w:top w:val="nil"/>
              <w:left w:val="nil"/>
              <w:bottom w:val="nil"/>
              <w:right w:val="nil"/>
            </w:tcBorders>
            <w:shd w:val="clear" w:color="auto" w:fill="auto"/>
            <w:noWrap/>
            <w:vAlign w:val="bottom"/>
            <w:hideMark/>
          </w:tcPr>
          <w:p w14:paraId="25ADC1CE"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9,355 </w:t>
            </w:r>
          </w:p>
        </w:tc>
      </w:tr>
      <w:tr w:rsidR="00C334B8" w:rsidRPr="00C334B8" w14:paraId="15AE7B49" w14:textId="77777777" w:rsidTr="00C334B8">
        <w:trPr>
          <w:trHeight w:val="400"/>
        </w:trPr>
        <w:tc>
          <w:tcPr>
            <w:tcW w:w="2093" w:type="pct"/>
            <w:tcBorders>
              <w:top w:val="nil"/>
              <w:left w:val="nil"/>
              <w:bottom w:val="nil"/>
              <w:right w:val="nil"/>
            </w:tcBorders>
            <w:shd w:val="clear" w:color="auto" w:fill="auto"/>
            <w:vAlign w:val="bottom"/>
            <w:hideMark/>
          </w:tcPr>
          <w:p w14:paraId="4F820AB7" w14:textId="77777777" w:rsidR="00C334B8" w:rsidRPr="00C334B8" w:rsidRDefault="00C334B8" w:rsidP="00C334B8">
            <w:pPr>
              <w:spacing w:after="0" w:line="240" w:lineRule="auto"/>
              <w:ind w:firstLineChars="100" w:firstLine="160"/>
              <w:jc w:val="left"/>
              <w:rPr>
                <w:rFonts w:ascii="Arial" w:hAnsi="Arial" w:cs="Arial"/>
                <w:color w:val="000000"/>
                <w:sz w:val="16"/>
                <w:szCs w:val="16"/>
              </w:rPr>
            </w:pPr>
            <w:r w:rsidRPr="00C334B8">
              <w:rPr>
                <w:rFonts w:ascii="Arial" w:hAnsi="Arial" w:cs="Arial"/>
                <w:color w:val="000000"/>
                <w:sz w:val="16"/>
                <w:szCs w:val="16"/>
              </w:rPr>
              <w:t>plus: depreciation/amortisation</w:t>
            </w:r>
            <w:r w:rsidRPr="00C334B8">
              <w:rPr>
                <w:rFonts w:ascii="Arial" w:hAnsi="Arial" w:cs="Arial"/>
                <w:color w:val="000000"/>
                <w:sz w:val="16"/>
                <w:szCs w:val="16"/>
              </w:rPr>
              <w:br/>
              <w:t xml:space="preserve">  expenses for ROU (b)</w:t>
            </w:r>
          </w:p>
        </w:tc>
        <w:tc>
          <w:tcPr>
            <w:tcW w:w="581" w:type="pct"/>
            <w:tcBorders>
              <w:top w:val="nil"/>
              <w:left w:val="nil"/>
              <w:bottom w:val="nil"/>
              <w:right w:val="nil"/>
            </w:tcBorders>
            <w:shd w:val="clear" w:color="auto" w:fill="auto"/>
            <w:noWrap/>
            <w:vAlign w:val="bottom"/>
            <w:hideMark/>
          </w:tcPr>
          <w:p w14:paraId="4AE1E339"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12,992 </w:t>
            </w:r>
          </w:p>
        </w:tc>
        <w:tc>
          <w:tcPr>
            <w:tcW w:w="581" w:type="pct"/>
            <w:tcBorders>
              <w:top w:val="nil"/>
              <w:left w:val="nil"/>
              <w:bottom w:val="nil"/>
              <w:right w:val="nil"/>
            </w:tcBorders>
            <w:shd w:val="clear" w:color="000000" w:fill="E6E6E6"/>
            <w:noWrap/>
            <w:vAlign w:val="bottom"/>
            <w:hideMark/>
          </w:tcPr>
          <w:p w14:paraId="56D6EC41"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13,228 </w:t>
            </w:r>
          </w:p>
        </w:tc>
        <w:tc>
          <w:tcPr>
            <w:tcW w:w="581" w:type="pct"/>
            <w:tcBorders>
              <w:top w:val="nil"/>
              <w:left w:val="nil"/>
              <w:bottom w:val="nil"/>
              <w:right w:val="nil"/>
            </w:tcBorders>
            <w:shd w:val="clear" w:color="auto" w:fill="auto"/>
            <w:noWrap/>
            <w:vAlign w:val="bottom"/>
            <w:hideMark/>
          </w:tcPr>
          <w:p w14:paraId="0E325EB2"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14,005 </w:t>
            </w:r>
          </w:p>
        </w:tc>
        <w:tc>
          <w:tcPr>
            <w:tcW w:w="581" w:type="pct"/>
            <w:tcBorders>
              <w:top w:val="nil"/>
              <w:left w:val="nil"/>
              <w:bottom w:val="nil"/>
              <w:right w:val="nil"/>
            </w:tcBorders>
            <w:shd w:val="clear" w:color="auto" w:fill="auto"/>
            <w:noWrap/>
            <w:vAlign w:val="bottom"/>
            <w:hideMark/>
          </w:tcPr>
          <w:p w14:paraId="3D67876A"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13,986 </w:t>
            </w:r>
          </w:p>
        </w:tc>
        <w:tc>
          <w:tcPr>
            <w:tcW w:w="581" w:type="pct"/>
            <w:tcBorders>
              <w:top w:val="nil"/>
              <w:left w:val="nil"/>
              <w:bottom w:val="nil"/>
              <w:right w:val="nil"/>
            </w:tcBorders>
            <w:shd w:val="clear" w:color="auto" w:fill="auto"/>
            <w:noWrap/>
            <w:vAlign w:val="bottom"/>
            <w:hideMark/>
          </w:tcPr>
          <w:p w14:paraId="47C2C28D"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13,986 </w:t>
            </w:r>
          </w:p>
        </w:tc>
      </w:tr>
      <w:tr w:rsidR="00C334B8" w:rsidRPr="00C334B8" w14:paraId="6574C855" w14:textId="77777777" w:rsidTr="00C334B8">
        <w:trPr>
          <w:trHeight w:val="400"/>
        </w:trPr>
        <w:tc>
          <w:tcPr>
            <w:tcW w:w="2093" w:type="pct"/>
            <w:tcBorders>
              <w:top w:val="nil"/>
              <w:left w:val="nil"/>
              <w:bottom w:val="nil"/>
              <w:right w:val="nil"/>
            </w:tcBorders>
            <w:shd w:val="clear" w:color="auto" w:fill="auto"/>
            <w:vAlign w:val="bottom"/>
            <w:hideMark/>
          </w:tcPr>
          <w:p w14:paraId="61BC4DC0" w14:textId="77777777" w:rsidR="00C334B8" w:rsidRPr="00C334B8" w:rsidRDefault="00C334B8" w:rsidP="00C334B8">
            <w:pPr>
              <w:spacing w:after="0" w:line="240" w:lineRule="auto"/>
              <w:ind w:firstLineChars="100" w:firstLine="160"/>
              <w:jc w:val="left"/>
              <w:rPr>
                <w:rFonts w:ascii="Arial" w:hAnsi="Arial" w:cs="Arial"/>
                <w:color w:val="000000"/>
                <w:sz w:val="16"/>
                <w:szCs w:val="16"/>
              </w:rPr>
            </w:pPr>
            <w:r w:rsidRPr="00C334B8">
              <w:rPr>
                <w:rFonts w:ascii="Arial" w:hAnsi="Arial" w:cs="Arial"/>
                <w:color w:val="000000"/>
                <w:sz w:val="16"/>
                <w:szCs w:val="16"/>
              </w:rPr>
              <w:t>less: principal repayments on leased</w:t>
            </w:r>
            <w:r w:rsidRPr="00C334B8">
              <w:rPr>
                <w:rFonts w:ascii="Arial" w:hAnsi="Arial" w:cs="Arial"/>
                <w:color w:val="000000"/>
                <w:sz w:val="16"/>
                <w:szCs w:val="16"/>
              </w:rPr>
              <w:br/>
              <w:t xml:space="preserve">  assets (b)</w:t>
            </w:r>
          </w:p>
        </w:tc>
        <w:tc>
          <w:tcPr>
            <w:tcW w:w="581" w:type="pct"/>
            <w:tcBorders>
              <w:top w:val="nil"/>
              <w:left w:val="nil"/>
              <w:bottom w:val="nil"/>
              <w:right w:val="nil"/>
            </w:tcBorders>
            <w:shd w:val="clear" w:color="auto" w:fill="auto"/>
            <w:noWrap/>
            <w:vAlign w:val="bottom"/>
            <w:hideMark/>
          </w:tcPr>
          <w:p w14:paraId="0FFF9B5D"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12,940 </w:t>
            </w:r>
          </w:p>
        </w:tc>
        <w:tc>
          <w:tcPr>
            <w:tcW w:w="581" w:type="pct"/>
            <w:tcBorders>
              <w:top w:val="nil"/>
              <w:left w:val="nil"/>
              <w:bottom w:val="nil"/>
              <w:right w:val="nil"/>
            </w:tcBorders>
            <w:shd w:val="clear" w:color="000000" w:fill="E6E6E6"/>
            <w:noWrap/>
            <w:vAlign w:val="bottom"/>
            <w:hideMark/>
          </w:tcPr>
          <w:p w14:paraId="5BF805BE"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14,028 </w:t>
            </w:r>
          </w:p>
        </w:tc>
        <w:tc>
          <w:tcPr>
            <w:tcW w:w="581" w:type="pct"/>
            <w:tcBorders>
              <w:top w:val="nil"/>
              <w:left w:val="nil"/>
              <w:bottom w:val="nil"/>
              <w:right w:val="nil"/>
            </w:tcBorders>
            <w:shd w:val="clear" w:color="auto" w:fill="auto"/>
            <w:noWrap/>
            <w:vAlign w:val="bottom"/>
            <w:hideMark/>
          </w:tcPr>
          <w:p w14:paraId="55012463"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14,478 </w:t>
            </w:r>
          </w:p>
        </w:tc>
        <w:tc>
          <w:tcPr>
            <w:tcW w:w="581" w:type="pct"/>
            <w:tcBorders>
              <w:top w:val="nil"/>
              <w:left w:val="nil"/>
              <w:bottom w:val="nil"/>
              <w:right w:val="nil"/>
            </w:tcBorders>
            <w:shd w:val="clear" w:color="auto" w:fill="auto"/>
            <w:noWrap/>
            <w:vAlign w:val="bottom"/>
            <w:hideMark/>
          </w:tcPr>
          <w:p w14:paraId="27DDC60E"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15,068 </w:t>
            </w:r>
          </w:p>
        </w:tc>
        <w:tc>
          <w:tcPr>
            <w:tcW w:w="581" w:type="pct"/>
            <w:tcBorders>
              <w:top w:val="nil"/>
              <w:left w:val="nil"/>
              <w:bottom w:val="nil"/>
              <w:right w:val="nil"/>
            </w:tcBorders>
            <w:shd w:val="clear" w:color="auto" w:fill="auto"/>
            <w:noWrap/>
            <w:vAlign w:val="bottom"/>
            <w:hideMark/>
          </w:tcPr>
          <w:p w14:paraId="0203C3A2" w14:textId="77777777" w:rsidR="00C334B8" w:rsidRPr="00C334B8" w:rsidRDefault="00C334B8" w:rsidP="00C334B8">
            <w:pPr>
              <w:spacing w:after="0" w:line="240" w:lineRule="auto"/>
              <w:jc w:val="right"/>
              <w:rPr>
                <w:rFonts w:ascii="Arial" w:hAnsi="Arial" w:cs="Arial"/>
                <w:sz w:val="16"/>
                <w:szCs w:val="16"/>
              </w:rPr>
            </w:pPr>
            <w:r w:rsidRPr="00C334B8">
              <w:rPr>
                <w:rFonts w:ascii="Arial" w:hAnsi="Arial" w:cs="Arial"/>
                <w:sz w:val="16"/>
                <w:szCs w:val="16"/>
              </w:rPr>
              <w:t xml:space="preserve">15,068 </w:t>
            </w:r>
          </w:p>
        </w:tc>
      </w:tr>
      <w:tr w:rsidR="00C334B8" w:rsidRPr="00C334B8" w14:paraId="7A6772CC" w14:textId="77777777" w:rsidTr="00C334B8">
        <w:trPr>
          <w:trHeight w:val="675"/>
        </w:trPr>
        <w:tc>
          <w:tcPr>
            <w:tcW w:w="2093" w:type="pct"/>
            <w:tcBorders>
              <w:top w:val="nil"/>
              <w:left w:val="nil"/>
              <w:bottom w:val="single" w:sz="4" w:space="0" w:color="auto"/>
              <w:right w:val="nil"/>
            </w:tcBorders>
            <w:shd w:val="clear" w:color="auto" w:fill="auto"/>
            <w:vAlign w:val="bottom"/>
            <w:hideMark/>
          </w:tcPr>
          <w:p w14:paraId="4C3664B5" w14:textId="77777777" w:rsidR="00C334B8" w:rsidRPr="00C334B8" w:rsidRDefault="00C334B8" w:rsidP="00C334B8">
            <w:pPr>
              <w:spacing w:after="0" w:line="240" w:lineRule="auto"/>
              <w:jc w:val="left"/>
              <w:rPr>
                <w:rFonts w:ascii="Arial" w:hAnsi="Arial" w:cs="Arial"/>
                <w:b/>
                <w:bCs/>
                <w:color w:val="000000"/>
                <w:sz w:val="16"/>
                <w:szCs w:val="16"/>
              </w:rPr>
            </w:pPr>
            <w:r w:rsidRPr="00C334B8">
              <w:rPr>
                <w:rFonts w:ascii="Arial" w:hAnsi="Arial" w:cs="Arial"/>
                <w:b/>
                <w:bCs/>
                <w:color w:val="000000"/>
                <w:sz w:val="16"/>
                <w:szCs w:val="16"/>
              </w:rPr>
              <w:t>Total comprehensive income/(loss)</w:t>
            </w:r>
            <w:r w:rsidRPr="00C334B8">
              <w:rPr>
                <w:rFonts w:ascii="Arial" w:hAnsi="Arial" w:cs="Arial"/>
                <w:b/>
                <w:bCs/>
                <w:color w:val="000000"/>
                <w:sz w:val="16"/>
                <w:szCs w:val="16"/>
              </w:rPr>
              <w:br/>
              <w:t xml:space="preserve">  - as per the statement of</w:t>
            </w:r>
            <w:r w:rsidRPr="00C334B8">
              <w:rPr>
                <w:rFonts w:ascii="Arial" w:hAnsi="Arial" w:cs="Arial"/>
                <w:b/>
                <w:bCs/>
                <w:color w:val="000000"/>
                <w:sz w:val="16"/>
                <w:szCs w:val="16"/>
              </w:rPr>
              <w:br/>
              <w:t xml:space="preserve">  comprehensive income</w:t>
            </w:r>
          </w:p>
        </w:tc>
        <w:tc>
          <w:tcPr>
            <w:tcW w:w="581" w:type="pct"/>
            <w:tcBorders>
              <w:top w:val="single" w:sz="4" w:space="0" w:color="auto"/>
              <w:left w:val="nil"/>
              <w:bottom w:val="single" w:sz="4" w:space="0" w:color="auto"/>
              <w:right w:val="nil"/>
            </w:tcBorders>
            <w:shd w:val="clear" w:color="auto" w:fill="auto"/>
            <w:vAlign w:val="bottom"/>
            <w:hideMark/>
          </w:tcPr>
          <w:p w14:paraId="5DC25FF3" w14:textId="77777777" w:rsidR="00C334B8" w:rsidRPr="00C334B8" w:rsidRDefault="00C334B8" w:rsidP="00C334B8">
            <w:pPr>
              <w:spacing w:after="0" w:line="240" w:lineRule="auto"/>
              <w:jc w:val="right"/>
              <w:rPr>
                <w:rFonts w:ascii="Arial" w:hAnsi="Arial" w:cs="Arial"/>
                <w:b/>
                <w:bCs/>
                <w:sz w:val="16"/>
                <w:szCs w:val="16"/>
              </w:rPr>
            </w:pPr>
            <w:r w:rsidRPr="00C334B8">
              <w:rPr>
                <w:rFonts w:ascii="Arial" w:hAnsi="Arial" w:cs="Arial"/>
                <w:b/>
                <w:bCs/>
                <w:sz w:val="16"/>
                <w:szCs w:val="16"/>
              </w:rPr>
              <w:t>(11,211)</w:t>
            </w:r>
          </w:p>
        </w:tc>
        <w:tc>
          <w:tcPr>
            <w:tcW w:w="581" w:type="pct"/>
            <w:tcBorders>
              <w:top w:val="single" w:sz="4" w:space="0" w:color="auto"/>
              <w:left w:val="nil"/>
              <w:bottom w:val="single" w:sz="4" w:space="0" w:color="auto"/>
              <w:right w:val="nil"/>
            </w:tcBorders>
            <w:shd w:val="clear" w:color="000000" w:fill="E6E6E6"/>
            <w:vAlign w:val="bottom"/>
            <w:hideMark/>
          </w:tcPr>
          <w:p w14:paraId="04E7D236" w14:textId="77777777" w:rsidR="00C334B8" w:rsidRPr="00C334B8" w:rsidRDefault="00C334B8" w:rsidP="00C334B8">
            <w:pPr>
              <w:spacing w:after="0" w:line="240" w:lineRule="auto"/>
              <w:jc w:val="right"/>
              <w:rPr>
                <w:rFonts w:ascii="Arial" w:hAnsi="Arial" w:cs="Arial"/>
                <w:b/>
                <w:bCs/>
                <w:sz w:val="16"/>
                <w:szCs w:val="16"/>
              </w:rPr>
            </w:pPr>
            <w:r w:rsidRPr="00C334B8">
              <w:rPr>
                <w:rFonts w:ascii="Arial" w:hAnsi="Arial" w:cs="Arial"/>
                <w:b/>
                <w:bCs/>
                <w:sz w:val="16"/>
                <w:szCs w:val="16"/>
              </w:rPr>
              <w:t>(9,945)</w:t>
            </w:r>
          </w:p>
        </w:tc>
        <w:tc>
          <w:tcPr>
            <w:tcW w:w="581" w:type="pct"/>
            <w:tcBorders>
              <w:top w:val="single" w:sz="4" w:space="0" w:color="auto"/>
              <w:left w:val="nil"/>
              <w:bottom w:val="single" w:sz="4" w:space="0" w:color="auto"/>
              <w:right w:val="nil"/>
            </w:tcBorders>
            <w:shd w:val="clear" w:color="auto" w:fill="auto"/>
            <w:vAlign w:val="bottom"/>
            <w:hideMark/>
          </w:tcPr>
          <w:p w14:paraId="4C78086E" w14:textId="77777777" w:rsidR="00C334B8" w:rsidRPr="00C334B8" w:rsidRDefault="00C334B8" w:rsidP="00C334B8">
            <w:pPr>
              <w:spacing w:after="0" w:line="240" w:lineRule="auto"/>
              <w:jc w:val="right"/>
              <w:rPr>
                <w:rFonts w:ascii="Arial" w:hAnsi="Arial" w:cs="Arial"/>
                <w:b/>
                <w:bCs/>
                <w:sz w:val="16"/>
                <w:szCs w:val="16"/>
              </w:rPr>
            </w:pPr>
            <w:r w:rsidRPr="00C334B8">
              <w:rPr>
                <w:rFonts w:ascii="Arial" w:hAnsi="Arial" w:cs="Arial"/>
                <w:b/>
                <w:bCs/>
                <w:sz w:val="16"/>
                <w:szCs w:val="16"/>
              </w:rPr>
              <w:t>(9,722)</w:t>
            </w:r>
          </w:p>
        </w:tc>
        <w:tc>
          <w:tcPr>
            <w:tcW w:w="581" w:type="pct"/>
            <w:tcBorders>
              <w:top w:val="single" w:sz="4" w:space="0" w:color="auto"/>
              <w:left w:val="nil"/>
              <w:bottom w:val="single" w:sz="4" w:space="0" w:color="auto"/>
              <w:right w:val="nil"/>
            </w:tcBorders>
            <w:shd w:val="clear" w:color="auto" w:fill="auto"/>
            <w:vAlign w:val="bottom"/>
            <w:hideMark/>
          </w:tcPr>
          <w:p w14:paraId="33E8413F" w14:textId="77777777" w:rsidR="00C334B8" w:rsidRPr="00C334B8" w:rsidRDefault="00C334B8" w:rsidP="00C334B8">
            <w:pPr>
              <w:spacing w:after="0" w:line="240" w:lineRule="auto"/>
              <w:jc w:val="right"/>
              <w:rPr>
                <w:rFonts w:ascii="Arial" w:hAnsi="Arial" w:cs="Arial"/>
                <w:b/>
                <w:bCs/>
                <w:sz w:val="16"/>
                <w:szCs w:val="16"/>
              </w:rPr>
            </w:pPr>
            <w:r w:rsidRPr="00C334B8">
              <w:rPr>
                <w:rFonts w:ascii="Arial" w:hAnsi="Arial" w:cs="Arial"/>
                <w:b/>
                <w:bCs/>
                <w:sz w:val="16"/>
                <w:szCs w:val="16"/>
              </w:rPr>
              <w:t>(9,148)</w:t>
            </w:r>
          </w:p>
        </w:tc>
        <w:tc>
          <w:tcPr>
            <w:tcW w:w="581" w:type="pct"/>
            <w:tcBorders>
              <w:top w:val="single" w:sz="4" w:space="0" w:color="auto"/>
              <w:left w:val="nil"/>
              <w:bottom w:val="single" w:sz="4" w:space="0" w:color="auto"/>
              <w:right w:val="nil"/>
            </w:tcBorders>
            <w:shd w:val="clear" w:color="auto" w:fill="auto"/>
            <w:vAlign w:val="bottom"/>
            <w:hideMark/>
          </w:tcPr>
          <w:p w14:paraId="701BED31" w14:textId="77777777" w:rsidR="00C334B8" w:rsidRPr="00C334B8" w:rsidRDefault="00C334B8" w:rsidP="00C334B8">
            <w:pPr>
              <w:spacing w:after="0" w:line="240" w:lineRule="auto"/>
              <w:jc w:val="right"/>
              <w:rPr>
                <w:rFonts w:ascii="Arial" w:hAnsi="Arial" w:cs="Arial"/>
                <w:b/>
                <w:bCs/>
                <w:sz w:val="16"/>
                <w:szCs w:val="16"/>
              </w:rPr>
            </w:pPr>
            <w:r w:rsidRPr="00C334B8">
              <w:rPr>
                <w:rFonts w:ascii="Arial" w:hAnsi="Arial" w:cs="Arial"/>
                <w:b/>
                <w:bCs/>
                <w:sz w:val="16"/>
                <w:szCs w:val="16"/>
              </w:rPr>
              <w:t>(8,273)</w:t>
            </w:r>
          </w:p>
        </w:tc>
      </w:tr>
    </w:tbl>
    <w:p w14:paraId="78676DE0" w14:textId="36629C1A" w:rsidR="008618E9" w:rsidRPr="008618E9" w:rsidRDefault="008618E9" w:rsidP="008618E9">
      <w:pPr>
        <w:pStyle w:val="Source"/>
        <w:rPr>
          <w:rFonts w:cs="Arial"/>
          <w:noProof/>
        </w:rPr>
      </w:pPr>
      <w:r w:rsidRPr="009D54F3">
        <w:rPr>
          <w:rFonts w:cs="Arial"/>
        </w:rPr>
        <w:t>Prepared on Australian Accounting Standards basis.</w:t>
      </w:r>
    </w:p>
    <w:p w14:paraId="6F55C966" w14:textId="5910E67F" w:rsidR="00D52088" w:rsidRPr="00683E40" w:rsidRDefault="003A3E7B" w:rsidP="00683E40">
      <w:pPr>
        <w:pStyle w:val="TableGraphic"/>
        <w:numPr>
          <w:ilvl w:val="0"/>
          <w:numId w:val="25"/>
        </w:numPr>
        <w:ind w:left="284" w:hanging="284"/>
        <w:rPr>
          <w:rFonts w:ascii="Arial" w:hAnsi="Arial" w:cs="Arial"/>
          <w:sz w:val="16"/>
          <w:szCs w:val="16"/>
        </w:rPr>
      </w:pPr>
      <w:r w:rsidRPr="00683E40">
        <w:rPr>
          <w:rFonts w:ascii="Arial" w:hAnsi="Arial" w:cs="Arial"/>
          <w:sz w:val="16"/>
          <w:szCs w:val="16"/>
        </w:rPr>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w:t>
      </w:r>
      <w:r w:rsidR="00146B5E" w:rsidRPr="00683E40">
        <w:rPr>
          <w:rFonts w:ascii="Arial" w:hAnsi="Arial" w:cs="Arial"/>
          <w:sz w:val="16"/>
          <w:szCs w:val="16"/>
        </w:rPr>
        <w:t>, or DCB) provided through Bill </w:t>
      </w:r>
      <w:r w:rsidRPr="00683E40">
        <w:rPr>
          <w:rFonts w:ascii="Arial" w:hAnsi="Arial" w:cs="Arial"/>
          <w:sz w:val="16"/>
          <w:szCs w:val="16"/>
        </w:rPr>
        <w:t>1 equity appropriations. For information regarding DCBs, please refer to Table</w:t>
      </w:r>
      <w:r w:rsidR="00971CBF" w:rsidRPr="00683E40">
        <w:rPr>
          <w:rFonts w:ascii="Arial" w:hAnsi="Arial" w:cs="Arial"/>
          <w:sz w:val="16"/>
          <w:szCs w:val="16"/>
        </w:rPr>
        <w:t xml:space="preserve"> 3.</w:t>
      </w:r>
      <w:r w:rsidRPr="00683E40">
        <w:rPr>
          <w:rFonts w:ascii="Arial" w:hAnsi="Arial" w:cs="Arial"/>
          <w:sz w:val="16"/>
          <w:szCs w:val="16"/>
        </w:rPr>
        <w:t>5 Departmental Capital Budget Statement.</w:t>
      </w:r>
    </w:p>
    <w:p w14:paraId="6CE75816" w14:textId="44402537" w:rsidR="00E75A0F" w:rsidRPr="00772E69" w:rsidRDefault="00D52088" w:rsidP="00096568">
      <w:pPr>
        <w:pStyle w:val="ChartandTableFootnoteAlpha"/>
        <w:numPr>
          <w:ilvl w:val="0"/>
          <w:numId w:val="25"/>
        </w:numPr>
        <w:ind w:left="284" w:hanging="284"/>
      </w:pPr>
      <w:r w:rsidRPr="00D52088">
        <w:t>Applies leases under AASB 16 Leases.</w:t>
      </w:r>
    </w:p>
    <w:p w14:paraId="64DD2F1D" w14:textId="70AAC6B7" w:rsidR="003171B2" w:rsidRPr="003171B2" w:rsidRDefault="000A24C4" w:rsidP="00772E69">
      <w:pPr>
        <w:pStyle w:val="TableHeading"/>
        <w:rPr>
          <w:rFonts w:ascii="Times New Roman" w:hAnsi="Times New Roman"/>
        </w:rPr>
      </w:pPr>
      <w:r>
        <w:br w:type="page"/>
      </w:r>
      <w:r w:rsidR="00525AB1" w:rsidRPr="00F541D3">
        <w:lastRenderedPageBreak/>
        <w:t>Table</w:t>
      </w:r>
      <w:r w:rsidR="00971CBF" w:rsidRPr="00F541D3">
        <w:t xml:space="preserve"> 3.</w:t>
      </w:r>
      <w:r w:rsidR="00525AB1" w:rsidRPr="00F541D3">
        <w:t xml:space="preserve">2: Budgeted </w:t>
      </w:r>
      <w:r w:rsidR="00F626C2" w:rsidRPr="00F541D3">
        <w:t xml:space="preserve">departmental balance sheet </w:t>
      </w:r>
      <w:r w:rsidR="00525AB1" w:rsidRPr="00F541D3">
        <w:t>(as at 30 June</w:t>
      </w:r>
      <w:r w:rsidR="00CE082B">
        <w:t>)</w:t>
      </w:r>
    </w:p>
    <w:tbl>
      <w:tblPr>
        <w:tblW w:w="5000" w:type="pct"/>
        <w:tblCellMar>
          <w:left w:w="0" w:type="dxa"/>
          <w:right w:w="28" w:type="dxa"/>
        </w:tblCellMar>
        <w:tblLook w:val="04A0" w:firstRow="1" w:lastRow="0" w:firstColumn="1" w:lastColumn="0" w:noHBand="0" w:noVBand="1"/>
      </w:tblPr>
      <w:tblGrid>
        <w:gridCol w:w="3255"/>
        <w:gridCol w:w="891"/>
        <w:gridCol w:w="891"/>
        <w:gridCol w:w="891"/>
        <w:gridCol w:w="891"/>
        <w:gridCol w:w="891"/>
      </w:tblGrid>
      <w:tr w:rsidR="003171B2" w:rsidRPr="003171B2" w14:paraId="0381EFA8" w14:textId="77777777" w:rsidTr="003171B2">
        <w:trPr>
          <w:trHeight w:val="800"/>
        </w:trPr>
        <w:tc>
          <w:tcPr>
            <w:tcW w:w="2110" w:type="pct"/>
            <w:tcBorders>
              <w:top w:val="single" w:sz="4" w:space="0" w:color="auto"/>
              <w:left w:val="nil"/>
              <w:bottom w:val="nil"/>
              <w:right w:val="nil"/>
            </w:tcBorders>
            <w:shd w:val="clear" w:color="auto" w:fill="auto"/>
            <w:noWrap/>
            <w:hideMark/>
          </w:tcPr>
          <w:p w14:paraId="11A69662" w14:textId="6F9FE9E7" w:rsidR="003171B2" w:rsidRPr="003171B2" w:rsidRDefault="003171B2" w:rsidP="003171B2">
            <w:pPr>
              <w:spacing w:after="0" w:line="240" w:lineRule="auto"/>
              <w:jc w:val="left"/>
              <w:rPr>
                <w:rFonts w:ascii="Arial" w:hAnsi="Arial" w:cs="Arial"/>
                <w:b/>
                <w:bCs/>
                <w:sz w:val="16"/>
                <w:szCs w:val="16"/>
              </w:rPr>
            </w:pPr>
            <w:r w:rsidRPr="003171B2">
              <w:rPr>
                <w:rFonts w:ascii="Arial" w:hAnsi="Arial" w:cs="Arial"/>
                <w:b/>
                <w:bCs/>
                <w:sz w:val="16"/>
                <w:szCs w:val="16"/>
              </w:rPr>
              <w:t> </w:t>
            </w:r>
          </w:p>
        </w:tc>
        <w:tc>
          <w:tcPr>
            <w:tcW w:w="578" w:type="pct"/>
            <w:tcBorders>
              <w:top w:val="single" w:sz="4" w:space="0" w:color="auto"/>
              <w:left w:val="nil"/>
              <w:bottom w:val="single" w:sz="4" w:space="0" w:color="auto"/>
              <w:right w:val="nil"/>
            </w:tcBorders>
            <w:shd w:val="clear" w:color="auto" w:fill="auto"/>
            <w:hideMark/>
          </w:tcPr>
          <w:p w14:paraId="3EE3EF64" w14:textId="77777777" w:rsidR="003171B2" w:rsidRPr="003171B2" w:rsidRDefault="003171B2" w:rsidP="003171B2">
            <w:pPr>
              <w:spacing w:after="0" w:line="240" w:lineRule="auto"/>
              <w:jc w:val="right"/>
              <w:rPr>
                <w:rFonts w:ascii="Arial" w:hAnsi="Arial" w:cs="Arial"/>
                <w:sz w:val="16"/>
                <w:szCs w:val="16"/>
              </w:rPr>
            </w:pPr>
            <w:r w:rsidRPr="003171B2">
              <w:rPr>
                <w:rFonts w:ascii="Arial" w:hAnsi="Arial" w:cs="Arial"/>
                <w:sz w:val="16"/>
                <w:szCs w:val="16"/>
              </w:rPr>
              <w:t>2020-21 Estimated actual</w:t>
            </w:r>
            <w:r w:rsidRPr="003171B2">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000000" w:fill="E6E6E6"/>
            <w:hideMark/>
          </w:tcPr>
          <w:p w14:paraId="4963953C" w14:textId="77777777" w:rsidR="003171B2" w:rsidRPr="003171B2" w:rsidRDefault="003171B2" w:rsidP="003171B2">
            <w:pPr>
              <w:spacing w:after="0" w:line="240" w:lineRule="auto"/>
              <w:jc w:val="right"/>
              <w:rPr>
                <w:rFonts w:ascii="Arial" w:hAnsi="Arial" w:cs="Arial"/>
                <w:sz w:val="16"/>
                <w:szCs w:val="16"/>
              </w:rPr>
            </w:pPr>
            <w:r w:rsidRPr="003171B2">
              <w:rPr>
                <w:rFonts w:ascii="Arial" w:hAnsi="Arial" w:cs="Arial"/>
                <w:sz w:val="16"/>
                <w:szCs w:val="16"/>
              </w:rPr>
              <w:t>2021-22</w:t>
            </w:r>
            <w:r w:rsidRPr="003171B2">
              <w:rPr>
                <w:rFonts w:ascii="Arial" w:hAnsi="Arial" w:cs="Arial"/>
                <w:sz w:val="16"/>
                <w:szCs w:val="16"/>
              </w:rPr>
              <w:br/>
              <w:t>Budget</w:t>
            </w:r>
            <w:r w:rsidRPr="003171B2">
              <w:rPr>
                <w:rFonts w:ascii="Arial" w:hAnsi="Arial" w:cs="Arial"/>
                <w:sz w:val="16"/>
                <w:szCs w:val="16"/>
              </w:rPr>
              <w:br/>
            </w:r>
            <w:r w:rsidRPr="003171B2">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auto" w:fill="auto"/>
            <w:hideMark/>
          </w:tcPr>
          <w:p w14:paraId="0C610AB2" w14:textId="77777777" w:rsidR="003171B2" w:rsidRPr="003171B2" w:rsidRDefault="003171B2" w:rsidP="003171B2">
            <w:pPr>
              <w:spacing w:after="0" w:line="240" w:lineRule="auto"/>
              <w:jc w:val="right"/>
              <w:rPr>
                <w:rFonts w:ascii="Arial" w:hAnsi="Arial" w:cs="Arial"/>
                <w:sz w:val="16"/>
                <w:szCs w:val="16"/>
              </w:rPr>
            </w:pPr>
            <w:r w:rsidRPr="003171B2">
              <w:rPr>
                <w:rFonts w:ascii="Arial" w:hAnsi="Arial" w:cs="Arial"/>
                <w:sz w:val="16"/>
                <w:szCs w:val="16"/>
              </w:rPr>
              <w:t>2022-23 Forward estimate</w:t>
            </w:r>
            <w:r w:rsidRPr="003171B2">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auto" w:fill="auto"/>
            <w:hideMark/>
          </w:tcPr>
          <w:p w14:paraId="01E417B9" w14:textId="77777777" w:rsidR="003171B2" w:rsidRPr="003171B2" w:rsidRDefault="003171B2" w:rsidP="003171B2">
            <w:pPr>
              <w:spacing w:after="0" w:line="240" w:lineRule="auto"/>
              <w:jc w:val="right"/>
              <w:rPr>
                <w:rFonts w:ascii="Arial" w:hAnsi="Arial" w:cs="Arial"/>
                <w:sz w:val="16"/>
                <w:szCs w:val="16"/>
              </w:rPr>
            </w:pPr>
            <w:r w:rsidRPr="003171B2">
              <w:rPr>
                <w:rFonts w:ascii="Arial" w:hAnsi="Arial" w:cs="Arial"/>
                <w:sz w:val="16"/>
                <w:szCs w:val="16"/>
              </w:rPr>
              <w:t>2023-24 Forward estimate</w:t>
            </w:r>
            <w:r w:rsidRPr="003171B2">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auto" w:fill="auto"/>
            <w:hideMark/>
          </w:tcPr>
          <w:p w14:paraId="266ECB82" w14:textId="77777777" w:rsidR="003171B2" w:rsidRPr="003171B2" w:rsidRDefault="003171B2" w:rsidP="003171B2">
            <w:pPr>
              <w:spacing w:after="0" w:line="240" w:lineRule="auto"/>
              <w:jc w:val="right"/>
              <w:rPr>
                <w:rFonts w:ascii="Arial" w:hAnsi="Arial" w:cs="Arial"/>
                <w:sz w:val="16"/>
                <w:szCs w:val="16"/>
              </w:rPr>
            </w:pPr>
            <w:r w:rsidRPr="003171B2">
              <w:rPr>
                <w:rFonts w:ascii="Arial" w:hAnsi="Arial" w:cs="Arial"/>
                <w:sz w:val="16"/>
                <w:szCs w:val="16"/>
              </w:rPr>
              <w:t>2024-25</w:t>
            </w:r>
            <w:r w:rsidRPr="003171B2">
              <w:rPr>
                <w:rFonts w:ascii="Arial" w:hAnsi="Arial" w:cs="Arial"/>
                <w:sz w:val="16"/>
                <w:szCs w:val="16"/>
              </w:rPr>
              <w:br/>
              <w:t>Forward estimate</w:t>
            </w:r>
            <w:r w:rsidRPr="003171B2">
              <w:rPr>
                <w:rFonts w:ascii="Arial" w:hAnsi="Arial" w:cs="Arial"/>
                <w:sz w:val="16"/>
                <w:szCs w:val="16"/>
              </w:rPr>
              <w:br/>
              <w:t>$'000</w:t>
            </w:r>
          </w:p>
        </w:tc>
      </w:tr>
      <w:tr w:rsidR="003171B2" w:rsidRPr="003171B2" w14:paraId="236D3898" w14:textId="77777777" w:rsidTr="003171B2">
        <w:trPr>
          <w:trHeight w:val="210"/>
        </w:trPr>
        <w:tc>
          <w:tcPr>
            <w:tcW w:w="2110" w:type="pct"/>
            <w:tcBorders>
              <w:top w:val="nil"/>
              <w:left w:val="nil"/>
              <w:bottom w:val="nil"/>
              <w:right w:val="nil"/>
            </w:tcBorders>
            <w:shd w:val="clear" w:color="auto" w:fill="auto"/>
            <w:noWrap/>
            <w:vAlign w:val="bottom"/>
            <w:hideMark/>
          </w:tcPr>
          <w:p w14:paraId="2AD3B7B4" w14:textId="77777777" w:rsidR="003171B2" w:rsidRPr="003171B2" w:rsidRDefault="003171B2" w:rsidP="003171B2">
            <w:pPr>
              <w:spacing w:after="0" w:line="240" w:lineRule="auto"/>
              <w:jc w:val="left"/>
              <w:rPr>
                <w:rFonts w:ascii="Arial" w:hAnsi="Arial" w:cs="Arial"/>
                <w:b/>
                <w:bCs/>
                <w:color w:val="000000"/>
                <w:sz w:val="16"/>
                <w:szCs w:val="16"/>
              </w:rPr>
            </w:pPr>
            <w:r w:rsidRPr="003171B2">
              <w:rPr>
                <w:rFonts w:ascii="Arial" w:hAnsi="Arial" w:cs="Arial"/>
                <w:b/>
                <w:bCs/>
                <w:color w:val="000000"/>
                <w:sz w:val="16"/>
                <w:szCs w:val="16"/>
              </w:rPr>
              <w:t>ASSETS</w:t>
            </w:r>
          </w:p>
        </w:tc>
        <w:tc>
          <w:tcPr>
            <w:tcW w:w="578" w:type="pct"/>
            <w:tcBorders>
              <w:top w:val="nil"/>
              <w:left w:val="nil"/>
              <w:bottom w:val="nil"/>
              <w:right w:val="nil"/>
            </w:tcBorders>
            <w:shd w:val="clear" w:color="auto" w:fill="auto"/>
            <w:noWrap/>
            <w:vAlign w:val="bottom"/>
            <w:hideMark/>
          </w:tcPr>
          <w:p w14:paraId="173B4CA9" w14:textId="77777777" w:rsidR="003171B2" w:rsidRPr="003171B2" w:rsidRDefault="003171B2" w:rsidP="003171B2">
            <w:pPr>
              <w:spacing w:after="0" w:line="240" w:lineRule="auto"/>
              <w:jc w:val="lef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bottom"/>
            <w:hideMark/>
          </w:tcPr>
          <w:p w14:paraId="58F8A1D2" w14:textId="77777777" w:rsidR="003171B2" w:rsidRPr="003171B2" w:rsidRDefault="003171B2" w:rsidP="003171B2">
            <w:pPr>
              <w:spacing w:after="0" w:line="240" w:lineRule="auto"/>
              <w:jc w:val="left"/>
              <w:rPr>
                <w:rFonts w:ascii="Arial" w:hAnsi="Arial" w:cs="Arial"/>
                <w:color w:val="000000"/>
                <w:sz w:val="16"/>
                <w:szCs w:val="16"/>
              </w:rPr>
            </w:pPr>
            <w:r w:rsidRPr="003171B2">
              <w:rPr>
                <w:rFonts w:ascii="Arial" w:hAnsi="Arial" w:cs="Arial"/>
                <w:color w:val="000000"/>
                <w:sz w:val="16"/>
                <w:szCs w:val="16"/>
              </w:rPr>
              <w:t> </w:t>
            </w:r>
          </w:p>
        </w:tc>
        <w:tc>
          <w:tcPr>
            <w:tcW w:w="578" w:type="pct"/>
            <w:tcBorders>
              <w:top w:val="nil"/>
              <w:left w:val="nil"/>
              <w:bottom w:val="nil"/>
              <w:right w:val="nil"/>
            </w:tcBorders>
            <w:shd w:val="clear" w:color="auto" w:fill="auto"/>
            <w:noWrap/>
            <w:vAlign w:val="bottom"/>
            <w:hideMark/>
          </w:tcPr>
          <w:p w14:paraId="5564D87E" w14:textId="77777777" w:rsidR="003171B2" w:rsidRPr="003171B2" w:rsidRDefault="003171B2" w:rsidP="003171B2">
            <w:pPr>
              <w:spacing w:after="0" w:line="240" w:lineRule="auto"/>
              <w:jc w:val="lef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18D2467F" w14:textId="77777777" w:rsidR="003171B2" w:rsidRPr="003171B2" w:rsidRDefault="003171B2" w:rsidP="003171B2">
            <w:pPr>
              <w:spacing w:after="0" w:line="240" w:lineRule="auto"/>
              <w:jc w:val="left"/>
              <w:rPr>
                <w:rFonts w:ascii="Times New Roman" w:hAnsi="Times New Roman"/>
              </w:rPr>
            </w:pPr>
          </w:p>
        </w:tc>
        <w:tc>
          <w:tcPr>
            <w:tcW w:w="578" w:type="pct"/>
            <w:tcBorders>
              <w:top w:val="nil"/>
              <w:left w:val="nil"/>
              <w:bottom w:val="nil"/>
              <w:right w:val="nil"/>
            </w:tcBorders>
            <w:shd w:val="clear" w:color="auto" w:fill="auto"/>
            <w:noWrap/>
            <w:vAlign w:val="bottom"/>
            <w:hideMark/>
          </w:tcPr>
          <w:p w14:paraId="55E73F1E" w14:textId="77777777" w:rsidR="003171B2" w:rsidRPr="003171B2" w:rsidRDefault="003171B2" w:rsidP="003171B2">
            <w:pPr>
              <w:spacing w:after="0" w:line="240" w:lineRule="auto"/>
              <w:jc w:val="left"/>
              <w:rPr>
                <w:rFonts w:ascii="Times New Roman" w:hAnsi="Times New Roman"/>
              </w:rPr>
            </w:pPr>
          </w:p>
        </w:tc>
      </w:tr>
      <w:tr w:rsidR="003171B2" w:rsidRPr="003171B2" w14:paraId="3F24F24F" w14:textId="77777777" w:rsidTr="003171B2">
        <w:trPr>
          <w:trHeight w:val="210"/>
        </w:trPr>
        <w:tc>
          <w:tcPr>
            <w:tcW w:w="2110" w:type="pct"/>
            <w:tcBorders>
              <w:top w:val="nil"/>
              <w:left w:val="nil"/>
              <w:bottom w:val="nil"/>
              <w:right w:val="nil"/>
            </w:tcBorders>
            <w:shd w:val="clear" w:color="auto" w:fill="auto"/>
            <w:noWrap/>
            <w:vAlign w:val="bottom"/>
            <w:hideMark/>
          </w:tcPr>
          <w:p w14:paraId="3020D8C4" w14:textId="77777777" w:rsidR="003171B2" w:rsidRPr="003171B2" w:rsidRDefault="003171B2" w:rsidP="003171B2">
            <w:pPr>
              <w:spacing w:after="0" w:line="240" w:lineRule="auto"/>
              <w:jc w:val="left"/>
              <w:rPr>
                <w:rFonts w:ascii="Arial" w:hAnsi="Arial" w:cs="Arial"/>
                <w:b/>
                <w:bCs/>
                <w:color w:val="000000"/>
                <w:sz w:val="16"/>
                <w:szCs w:val="16"/>
              </w:rPr>
            </w:pPr>
            <w:r w:rsidRPr="003171B2">
              <w:rPr>
                <w:rFonts w:ascii="Arial" w:hAnsi="Arial" w:cs="Arial"/>
                <w:b/>
                <w:bCs/>
                <w:color w:val="000000"/>
                <w:sz w:val="16"/>
                <w:szCs w:val="16"/>
              </w:rPr>
              <w:t>Financial assets</w:t>
            </w:r>
          </w:p>
        </w:tc>
        <w:tc>
          <w:tcPr>
            <w:tcW w:w="578" w:type="pct"/>
            <w:tcBorders>
              <w:top w:val="nil"/>
              <w:left w:val="nil"/>
              <w:bottom w:val="nil"/>
              <w:right w:val="nil"/>
            </w:tcBorders>
            <w:shd w:val="clear" w:color="auto" w:fill="auto"/>
            <w:noWrap/>
            <w:vAlign w:val="bottom"/>
            <w:hideMark/>
          </w:tcPr>
          <w:p w14:paraId="77289DDC" w14:textId="77777777" w:rsidR="003171B2" w:rsidRPr="003171B2" w:rsidRDefault="003171B2" w:rsidP="003171B2">
            <w:pPr>
              <w:spacing w:after="0" w:line="240" w:lineRule="auto"/>
              <w:jc w:val="lef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bottom"/>
            <w:hideMark/>
          </w:tcPr>
          <w:p w14:paraId="6C3CE5C6" w14:textId="77777777" w:rsidR="003171B2" w:rsidRPr="003171B2" w:rsidRDefault="003171B2" w:rsidP="003171B2">
            <w:pPr>
              <w:spacing w:after="0" w:line="240" w:lineRule="auto"/>
              <w:jc w:val="left"/>
              <w:rPr>
                <w:rFonts w:ascii="Arial" w:hAnsi="Arial" w:cs="Arial"/>
                <w:color w:val="000000"/>
                <w:sz w:val="16"/>
                <w:szCs w:val="16"/>
              </w:rPr>
            </w:pPr>
            <w:r w:rsidRPr="003171B2">
              <w:rPr>
                <w:rFonts w:ascii="Arial" w:hAnsi="Arial" w:cs="Arial"/>
                <w:color w:val="000000"/>
                <w:sz w:val="16"/>
                <w:szCs w:val="16"/>
              </w:rPr>
              <w:t> </w:t>
            </w:r>
          </w:p>
        </w:tc>
        <w:tc>
          <w:tcPr>
            <w:tcW w:w="578" w:type="pct"/>
            <w:tcBorders>
              <w:top w:val="nil"/>
              <w:left w:val="nil"/>
              <w:bottom w:val="nil"/>
              <w:right w:val="nil"/>
            </w:tcBorders>
            <w:shd w:val="clear" w:color="auto" w:fill="auto"/>
            <w:noWrap/>
            <w:vAlign w:val="bottom"/>
            <w:hideMark/>
          </w:tcPr>
          <w:p w14:paraId="7747C9A6" w14:textId="77777777" w:rsidR="003171B2" w:rsidRPr="003171B2" w:rsidRDefault="003171B2" w:rsidP="003171B2">
            <w:pPr>
              <w:spacing w:after="0" w:line="240" w:lineRule="auto"/>
              <w:jc w:val="lef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180FD4BA" w14:textId="77777777" w:rsidR="003171B2" w:rsidRPr="003171B2" w:rsidRDefault="003171B2" w:rsidP="003171B2">
            <w:pPr>
              <w:spacing w:after="0" w:line="240" w:lineRule="auto"/>
              <w:jc w:val="left"/>
              <w:rPr>
                <w:rFonts w:ascii="Times New Roman" w:hAnsi="Times New Roman"/>
              </w:rPr>
            </w:pPr>
          </w:p>
        </w:tc>
        <w:tc>
          <w:tcPr>
            <w:tcW w:w="578" w:type="pct"/>
            <w:tcBorders>
              <w:top w:val="nil"/>
              <w:left w:val="nil"/>
              <w:bottom w:val="nil"/>
              <w:right w:val="nil"/>
            </w:tcBorders>
            <w:shd w:val="clear" w:color="auto" w:fill="auto"/>
            <w:noWrap/>
            <w:vAlign w:val="bottom"/>
            <w:hideMark/>
          </w:tcPr>
          <w:p w14:paraId="32609AF2" w14:textId="77777777" w:rsidR="003171B2" w:rsidRPr="003171B2" w:rsidRDefault="003171B2" w:rsidP="003171B2">
            <w:pPr>
              <w:spacing w:after="0" w:line="240" w:lineRule="auto"/>
              <w:jc w:val="left"/>
              <w:rPr>
                <w:rFonts w:ascii="Times New Roman" w:hAnsi="Times New Roman"/>
              </w:rPr>
            </w:pPr>
          </w:p>
        </w:tc>
      </w:tr>
      <w:tr w:rsidR="003171B2" w:rsidRPr="003171B2" w14:paraId="32FDF6C9" w14:textId="77777777" w:rsidTr="003171B2">
        <w:trPr>
          <w:trHeight w:val="200"/>
        </w:trPr>
        <w:tc>
          <w:tcPr>
            <w:tcW w:w="2110" w:type="pct"/>
            <w:tcBorders>
              <w:top w:val="nil"/>
              <w:left w:val="nil"/>
              <w:bottom w:val="nil"/>
              <w:right w:val="nil"/>
            </w:tcBorders>
            <w:shd w:val="clear" w:color="auto" w:fill="auto"/>
            <w:noWrap/>
            <w:vAlign w:val="bottom"/>
            <w:hideMark/>
          </w:tcPr>
          <w:p w14:paraId="0770839D" w14:textId="77777777" w:rsidR="003171B2" w:rsidRPr="003171B2" w:rsidRDefault="003171B2" w:rsidP="003171B2">
            <w:pPr>
              <w:spacing w:after="0" w:line="240" w:lineRule="auto"/>
              <w:ind w:firstLineChars="100" w:firstLine="160"/>
              <w:jc w:val="left"/>
              <w:rPr>
                <w:rFonts w:ascii="Arial" w:hAnsi="Arial" w:cs="Arial"/>
                <w:color w:val="000000"/>
                <w:sz w:val="16"/>
                <w:szCs w:val="16"/>
              </w:rPr>
            </w:pPr>
            <w:r w:rsidRPr="003171B2">
              <w:rPr>
                <w:rFonts w:ascii="Arial" w:hAnsi="Arial" w:cs="Arial"/>
                <w:color w:val="000000"/>
                <w:sz w:val="16"/>
                <w:szCs w:val="16"/>
              </w:rPr>
              <w:t xml:space="preserve">Cash </w:t>
            </w:r>
            <w:r w:rsidRPr="003171B2">
              <w:rPr>
                <w:rFonts w:ascii="Arial" w:hAnsi="Arial" w:cs="Arial"/>
                <w:sz w:val="16"/>
                <w:szCs w:val="16"/>
              </w:rPr>
              <w:t>and cash equivalents</w:t>
            </w:r>
          </w:p>
        </w:tc>
        <w:tc>
          <w:tcPr>
            <w:tcW w:w="578" w:type="pct"/>
            <w:tcBorders>
              <w:top w:val="nil"/>
              <w:left w:val="nil"/>
              <w:bottom w:val="nil"/>
              <w:right w:val="nil"/>
            </w:tcBorders>
            <w:shd w:val="clear" w:color="auto" w:fill="auto"/>
            <w:noWrap/>
            <w:vAlign w:val="bottom"/>
            <w:hideMark/>
          </w:tcPr>
          <w:p w14:paraId="0275D962"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1,164</w:t>
            </w:r>
          </w:p>
        </w:tc>
        <w:tc>
          <w:tcPr>
            <w:tcW w:w="578" w:type="pct"/>
            <w:tcBorders>
              <w:top w:val="nil"/>
              <w:left w:val="nil"/>
              <w:bottom w:val="nil"/>
              <w:right w:val="nil"/>
            </w:tcBorders>
            <w:shd w:val="clear" w:color="000000" w:fill="E6E6E6"/>
            <w:noWrap/>
            <w:vAlign w:val="bottom"/>
            <w:hideMark/>
          </w:tcPr>
          <w:p w14:paraId="7E2132AE"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1,164</w:t>
            </w:r>
          </w:p>
        </w:tc>
        <w:tc>
          <w:tcPr>
            <w:tcW w:w="578" w:type="pct"/>
            <w:tcBorders>
              <w:top w:val="nil"/>
              <w:left w:val="nil"/>
              <w:bottom w:val="nil"/>
              <w:right w:val="nil"/>
            </w:tcBorders>
            <w:shd w:val="clear" w:color="auto" w:fill="auto"/>
            <w:noWrap/>
            <w:vAlign w:val="bottom"/>
            <w:hideMark/>
          </w:tcPr>
          <w:p w14:paraId="5AA23240"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1,164</w:t>
            </w:r>
          </w:p>
        </w:tc>
        <w:tc>
          <w:tcPr>
            <w:tcW w:w="578" w:type="pct"/>
            <w:tcBorders>
              <w:top w:val="nil"/>
              <w:left w:val="nil"/>
              <w:bottom w:val="nil"/>
              <w:right w:val="nil"/>
            </w:tcBorders>
            <w:shd w:val="clear" w:color="auto" w:fill="auto"/>
            <w:noWrap/>
            <w:vAlign w:val="bottom"/>
            <w:hideMark/>
          </w:tcPr>
          <w:p w14:paraId="1B6EA788"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1,164</w:t>
            </w:r>
          </w:p>
        </w:tc>
        <w:tc>
          <w:tcPr>
            <w:tcW w:w="578" w:type="pct"/>
            <w:tcBorders>
              <w:top w:val="nil"/>
              <w:left w:val="nil"/>
              <w:bottom w:val="nil"/>
              <w:right w:val="nil"/>
            </w:tcBorders>
            <w:shd w:val="clear" w:color="auto" w:fill="auto"/>
            <w:noWrap/>
            <w:vAlign w:val="bottom"/>
            <w:hideMark/>
          </w:tcPr>
          <w:p w14:paraId="7F1DBD8E"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1,164</w:t>
            </w:r>
          </w:p>
        </w:tc>
      </w:tr>
      <w:tr w:rsidR="003171B2" w:rsidRPr="003171B2" w14:paraId="1510EDDA" w14:textId="77777777" w:rsidTr="003171B2">
        <w:trPr>
          <w:trHeight w:val="200"/>
        </w:trPr>
        <w:tc>
          <w:tcPr>
            <w:tcW w:w="2110" w:type="pct"/>
            <w:tcBorders>
              <w:top w:val="nil"/>
              <w:left w:val="nil"/>
              <w:bottom w:val="nil"/>
              <w:right w:val="nil"/>
            </w:tcBorders>
            <w:shd w:val="clear" w:color="auto" w:fill="auto"/>
            <w:noWrap/>
            <w:vAlign w:val="bottom"/>
            <w:hideMark/>
          </w:tcPr>
          <w:p w14:paraId="53F13CC8" w14:textId="77777777" w:rsidR="003171B2" w:rsidRPr="003171B2" w:rsidRDefault="003171B2" w:rsidP="003171B2">
            <w:pPr>
              <w:spacing w:after="0" w:line="240" w:lineRule="auto"/>
              <w:ind w:firstLineChars="100" w:firstLine="160"/>
              <w:jc w:val="left"/>
              <w:rPr>
                <w:rFonts w:ascii="Arial" w:hAnsi="Arial" w:cs="Arial"/>
                <w:sz w:val="16"/>
                <w:szCs w:val="16"/>
              </w:rPr>
            </w:pPr>
            <w:r w:rsidRPr="003171B2">
              <w:rPr>
                <w:rFonts w:ascii="Arial" w:hAnsi="Arial" w:cs="Arial"/>
                <w:sz w:val="16"/>
                <w:szCs w:val="16"/>
              </w:rPr>
              <w:t>Trade and other receivables</w:t>
            </w:r>
          </w:p>
        </w:tc>
        <w:tc>
          <w:tcPr>
            <w:tcW w:w="578" w:type="pct"/>
            <w:tcBorders>
              <w:top w:val="nil"/>
              <w:left w:val="nil"/>
              <w:bottom w:val="nil"/>
              <w:right w:val="nil"/>
            </w:tcBorders>
            <w:shd w:val="clear" w:color="auto" w:fill="auto"/>
            <w:noWrap/>
            <w:vAlign w:val="bottom"/>
            <w:hideMark/>
          </w:tcPr>
          <w:p w14:paraId="68B5B499"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80,031</w:t>
            </w:r>
          </w:p>
        </w:tc>
        <w:tc>
          <w:tcPr>
            <w:tcW w:w="578" w:type="pct"/>
            <w:tcBorders>
              <w:top w:val="nil"/>
              <w:left w:val="nil"/>
              <w:bottom w:val="nil"/>
              <w:right w:val="nil"/>
            </w:tcBorders>
            <w:shd w:val="clear" w:color="000000" w:fill="E6E6E6"/>
            <w:noWrap/>
            <w:vAlign w:val="bottom"/>
            <w:hideMark/>
          </w:tcPr>
          <w:p w14:paraId="1DDE39A9"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76,470</w:t>
            </w:r>
          </w:p>
        </w:tc>
        <w:tc>
          <w:tcPr>
            <w:tcW w:w="578" w:type="pct"/>
            <w:tcBorders>
              <w:top w:val="nil"/>
              <w:left w:val="nil"/>
              <w:bottom w:val="nil"/>
              <w:right w:val="nil"/>
            </w:tcBorders>
            <w:shd w:val="clear" w:color="auto" w:fill="auto"/>
            <w:noWrap/>
            <w:vAlign w:val="bottom"/>
            <w:hideMark/>
          </w:tcPr>
          <w:p w14:paraId="7156C755"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72,563</w:t>
            </w:r>
          </w:p>
        </w:tc>
        <w:tc>
          <w:tcPr>
            <w:tcW w:w="578" w:type="pct"/>
            <w:tcBorders>
              <w:top w:val="nil"/>
              <w:left w:val="nil"/>
              <w:bottom w:val="nil"/>
              <w:right w:val="nil"/>
            </w:tcBorders>
            <w:shd w:val="clear" w:color="auto" w:fill="auto"/>
            <w:noWrap/>
            <w:vAlign w:val="bottom"/>
            <w:hideMark/>
          </w:tcPr>
          <w:p w14:paraId="2929F7E6"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72,188</w:t>
            </w:r>
          </w:p>
        </w:tc>
        <w:tc>
          <w:tcPr>
            <w:tcW w:w="578" w:type="pct"/>
            <w:tcBorders>
              <w:top w:val="nil"/>
              <w:left w:val="nil"/>
              <w:bottom w:val="nil"/>
              <w:right w:val="nil"/>
            </w:tcBorders>
            <w:shd w:val="clear" w:color="auto" w:fill="auto"/>
            <w:noWrap/>
            <w:vAlign w:val="bottom"/>
            <w:hideMark/>
          </w:tcPr>
          <w:p w14:paraId="4A17FB4F"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72,688</w:t>
            </w:r>
          </w:p>
        </w:tc>
      </w:tr>
      <w:tr w:rsidR="003171B2" w:rsidRPr="003171B2" w14:paraId="29001E0A" w14:textId="77777777" w:rsidTr="003171B2">
        <w:trPr>
          <w:trHeight w:val="200"/>
        </w:trPr>
        <w:tc>
          <w:tcPr>
            <w:tcW w:w="2110" w:type="pct"/>
            <w:tcBorders>
              <w:top w:val="nil"/>
              <w:left w:val="nil"/>
              <w:bottom w:val="nil"/>
              <w:right w:val="nil"/>
            </w:tcBorders>
            <w:shd w:val="clear" w:color="auto" w:fill="auto"/>
            <w:noWrap/>
            <w:vAlign w:val="bottom"/>
            <w:hideMark/>
          </w:tcPr>
          <w:p w14:paraId="45818A1A" w14:textId="77777777" w:rsidR="003171B2" w:rsidRPr="003171B2" w:rsidRDefault="003171B2" w:rsidP="003171B2">
            <w:pPr>
              <w:spacing w:after="0" w:line="240" w:lineRule="auto"/>
              <w:jc w:val="left"/>
              <w:rPr>
                <w:rFonts w:ascii="Arial" w:hAnsi="Arial" w:cs="Arial"/>
                <w:b/>
                <w:bCs/>
                <w:i/>
                <w:iCs/>
                <w:color w:val="000000"/>
                <w:sz w:val="16"/>
                <w:szCs w:val="16"/>
              </w:rPr>
            </w:pPr>
            <w:r w:rsidRPr="003171B2">
              <w:rPr>
                <w:rFonts w:ascii="Arial" w:hAnsi="Arial" w:cs="Arial"/>
                <w:b/>
                <w:bCs/>
                <w:i/>
                <w:iCs/>
                <w:color w:val="000000"/>
                <w:sz w:val="16"/>
                <w:szCs w:val="16"/>
              </w:rPr>
              <w:t>Total financial assets</w:t>
            </w:r>
          </w:p>
        </w:tc>
        <w:tc>
          <w:tcPr>
            <w:tcW w:w="578" w:type="pct"/>
            <w:tcBorders>
              <w:top w:val="single" w:sz="4" w:space="0" w:color="000000"/>
              <w:left w:val="nil"/>
              <w:bottom w:val="single" w:sz="4" w:space="0" w:color="000000"/>
              <w:right w:val="nil"/>
            </w:tcBorders>
            <w:shd w:val="clear" w:color="auto" w:fill="auto"/>
            <w:noWrap/>
            <w:vAlign w:val="bottom"/>
            <w:hideMark/>
          </w:tcPr>
          <w:p w14:paraId="159BF358" w14:textId="77777777" w:rsidR="003171B2" w:rsidRPr="003171B2" w:rsidRDefault="003171B2" w:rsidP="003171B2">
            <w:pPr>
              <w:spacing w:after="0" w:line="240" w:lineRule="auto"/>
              <w:jc w:val="left"/>
              <w:rPr>
                <w:rFonts w:ascii="Arial" w:hAnsi="Arial" w:cs="Arial"/>
                <w:b/>
                <w:bCs/>
                <w:i/>
                <w:iCs/>
                <w:color w:val="000000"/>
                <w:sz w:val="16"/>
                <w:szCs w:val="16"/>
              </w:rPr>
            </w:pPr>
            <w:r w:rsidRPr="003171B2">
              <w:rPr>
                <w:rFonts w:ascii="Arial" w:hAnsi="Arial" w:cs="Arial"/>
                <w:b/>
                <w:bCs/>
                <w:i/>
                <w:iCs/>
                <w:color w:val="000000"/>
                <w:sz w:val="16"/>
                <w:szCs w:val="16"/>
              </w:rPr>
              <w:t xml:space="preserve">       81,195 </w:t>
            </w:r>
          </w:p>
        </w:tc>
        <w:tc>
          <w:tcPr>
            <w:tcW w:w="578" w:type="pct"/>
            <w:tcBorders>
              <w:top w:val="single" w:sz="4" w:space="0" w:color="000000"/>
              <w:left w:val="nil"/>
              <w:bottom w:val="single" w:sz="4" w:space="0" w:color="000000"/>
              <w:right w:val="nil"/>
            </w:tcBorders>
            <w:shd w:val="clear" w:color="000000" w:fill="E6E6E6"/>
            <w:noWrap/>
            <w:vAlign w:val="bottom"/>
            <w:hideMark/>
          </w:tcPr>
          <w:p w14:paraId="1AD34007" w14:textId="77777777" w:rsidR="003171B2" w:rsidRPr="003171B2" w:rsidRDefault="003171B2" w:rsidP="003171B2">
            <w:pPr>
              <w:spacing w:after="0" w:line="240" w:lineRule="auto"/>
              <w:jc w:val="left"/>
              <w:rPr>
                <w:rFonts w:ascii="Arial" w:hAnsi="Arial" w:cs="Arial"/>
                <w:b/>
                <w:bCs/>
                <w:i/>
                <w:iCs/>
                <w:color w:val="000000"/>
                <w:sz w:val="16"/>
                <w:szCs w:val="16"/>
              </w:rPr>
            </w:pPr>
            <w:r w:rsidRPr="003171B2">
              <w:rPr>
                <w:rFonts w:ascii="Arial" w:hAnsi="Arial" w:cs="Arial"/>
                <w:b/>
                <w:bCs/>
                <w:i/>
                <w:iCs/>
                <w:color w:val="000000"/>
                <w:sz w:val="16"/>
                <w:szCs w:val="16"/>
              </w:rPr>
              <w:t xml:space="preserve">       77,634 </w:t>
            </w:r>
          </w:p>
        </w:tc>
        <w:tc>
          <w:tcPr>
            <w:tcW w:w="578" w:type="pct"/>
            <w:tcBorders>
              <w:top w:val="single" w:sz="4" w:space="0" w:color="000000"/>
              <w:left w:val="nil"/>
              <w:bottom w:val="single" w:sz="4" w:space="0" w:color="000000"/>
              <w:right w:val="nil"/>
            </w:tcBorders>
            <w:shd w:val="clear" w:color="auto" w:fill="auto"/>
            <w:noWrap/>
            <w:vAlign w:val="bottom"/>
            <w:hideMark/>
          </w:tcPr>
          <w:p w14:paraId="354C03D7" w14:textId="77777777" w:rsidR="003171B2" w:rsidRPr="003171B2" w:rsidRDefault="003171B2" w:rsidP="003171B2">
            <w:pPr>
              <w:spacing w:after="0" w:line="240" w:lineRule="auto"/>
              <w:jc w:val="left"/>
              <w:rPr>
                <w:rFonts w:ascii="Arial" w:hAnsi="Arial" w:cs="Arial"/>
                <w:b/>
                <w:bCs/>
                <w:i/>
                <w:iCs/>
                <w:color w:val="000000"/>
                <w:sz w:val="16"/>
                <w:szCs w:val="16"/>
              </w:rPr>
            </w:pPr>
            <w:r w:rsidRPr="003171B2">
              <w:rPr>
                <w:rFonts w:ascii="Arial" w:hAnsi="Arial" w:cs="Arial"/>
                <w:b/>
                <w:bCs/>
                <w:i/>
                <w:iCs/>
                <w:color w:val="000000"/>
                <w:sz w:val="16"/>
                <w:szCs w:val="16"/>
              </w:rPr>
              <w:t xml:space="preserve">       73,727 </w:t>
            </w:r>
          </w:p>
        </w:tc>
        <w:tc>
          <w:tcPr>
            <w:tcW w:w="578" w:type="pct"/>
            <w:tcBorders>
              <w:top w:val="single" w:sz="4" w:space="0" w:color="000000"/>
              <w:left w:val="nil"/>
              <w:bottom w:val="single" w:sz="4" w:space="0" w:color="000000"/>
              <w:right w:val="nil"/>
            </w:tcBorders>
            <w:shd w:val="clear" w:color="auto" w:fill="auto"/>
            <w:noWrap/>
            <w:vAlign w:val="bottom"/>
            <w:hideMark/>
          </w:tcPr>
          <w:p w14:paraId="403C2AE5" w14:textId="77777777" w:rsidR="003171B2" w:rsidRPr="003171B2" w:rsidRDefault="003171B2" w:rsidP="003171B2">
            <w:pPr>
              <w:spacing w:after="0" w:line="240" w:lineRule="auto"/>
              <w:jc w:val="left"/>
              <w:rPr>
                <w:rFonts w:ascii="Arial" w:hAnsi="Arial" w:cs="Arial"/>
                <w:b/>
                <w:bCs/>
                <w:i/>
                <w:iCs/>
                <w:color w:val="000000"/>
                <w:sz w:val="16"/>
                <w:szCs w:val="16"/>
              </w:rPr>
            </w:pPr>
            <w:r w:rsidRPr="003171B2">
              <w:rPr>
                <w:rFonts w:ascii="Arial" w:hAnsi="Arial" w:cs="Arial"/>
                <w:b/>
                <w:bCs/>
                <w:i/>
                <w:iCs/>
                <w:color w:val="000000"/>
                <w:sz w:val="16"/>
                <w:szCs w:val="16"/>
              </w:rPr>
              <w:t xml:space="preserve">       73,352 </w:t>
            </w:r>
          </w:p>
        </w:tc>
        <w:tc>
          <w:tcPr>
            <w:tcW w:w="578" w:type="pct"/>
            <w:tcBorders>
              <w:top w:val="single" w:sz="4" w:space="0" w:color="000000"/>
              <w:left w:val="nil"/>
              <w:bottom w:val="single" w:sz="4" w:space="0" w:color="000000"/>
              <w:right w:val="nil"/>
            </w:tcBorders>
            <w:shd w:val="clear" w:color="auto" w:fill="auto"/>
            <w:noWrap/>
            <w:vAlign w:val="bottom"/>
            <w:hideMark/>
          </w:tcPr>
          <w:p w14:paraId="5F465A39" w14:textId="77777777" w:rsidR="003171B2" w:rsidRPr="003171B2" w:rsidRDefault="003171B2" w:rsidP="003171B2">
            <w:pPr>
              <w:spacing w:after="0" w:line="240" w:lineRule="auto"/>
              <w:jc w:val="left"/>
              <w:rPr>
                <w:rFonts w:ascii="Arial" w:hAnsi="Arial" w:cs="Arial"/>
                <w:b/>
                <w:bCs/>
                <w:i/>
                <w:iCs/>
                <w:color w:val="000000"/>
                <w:sz w:val="16"/>
                <w:szCs w:val="16"/>
              </w:rPr>
            </w:pPr>
            <w:r w:rsidRPr="003171B2">
              <w:rPr>
                <w:rFonts w:ascii="Arial" w:hAnsi="Arial" w:cs="Arial"/>
                <w:b/>
                <w:bCs/>
                <w:i/>
                <w:iCs/>
                <w:color w:val="000000"/>
                <w:sz w:val="16"/>
                <w:szCs w:val="16"/>
              </w:rPr>
              <w:t xml:space="preserve">       73,852 </w:t>
            </w:r>
          </w:p>
        </w:tc>
      </w:tr>
      <w:tr w:rsidR="003171B2" w:rsidRPr="003171B2" w14:paraId="420C86F1" w14:textId="77777777" w:rsidTr="003171B2">
        <w:trPr>
          <w:trHeight w:val="210"/>
        </w:trPr>
        <w:tc>
          <w:tcPr>
            <w:tcW w:w="2110" w:type="pct"/>
            <w:tcBorders>
              <w:top w:val="nil"/>
              <w:left w:val="nil"/>
              <w:bottom w:val="nil"/>
              <w:right w:val="nil"/>
            </w:tcBorders>
            <w:shd w:val="clear" w:color="auto" w:fill="auto"/>
            <w:noWrap/>
            <w:vAlign w:val="bottom"/>
            <w:hideMark/>
          </w:tcPr>
          <w:p w14:paraId="048D3D9A" w14:textId="77777777" w:rsidR="003171B2" w:rsidRPr="003171B2" w:rsidRDefault="003171B2" w:rsidP="003171B2">
            <w:pPr>
              <w:spacing w:after="0" w:line="240" w:lineRule="auto"/>
              <w:jc w:val="left"/>
              <w:rPr>
                <w:rFonts w:ascii="Arial" w:hAnsi="Arial" w:cs="Arial"/>
                <w:b/>
                <w:bCs/>
                <w:color w:val="000000"/>
                <w:sz w:val="16"/>
                <w:szCs w:val="16"/>
              </w:rPr>
            </w:pPr>
            <w:r w:rsidRPr="003171B2">
              <w:rPr>
                <w:rFonts w:ascii="Arial" w:hAnsi="Arial" w:cs="Arial"/>
                <w:b/>
                <w:bCs/>
                <w:color w:val="000000"/>
                <w:sz w:val="16"/>
                <w:szCs w:val="16"/>
              </w:rPr>
              <w:t>Non-financial assets</w:t>
            </w:r>
          </w:p>
        </w:tc>
        <w:tc>
          <w:tcPr>
            <w:tcW w:w="578" w:type="pct"/>
            <w:tcBorders>
              <w:top w:val="nil"/>
              <w:left w:val="nil"/>
              <w:bottom w:val="nil"/>
              <w:right w:val="nil"/>
            </w:tcBorders>
            <w:shd w:val="clear" w:color="auto" w:fill="auto"/>
            <w:noWrap/>
            <w:vAlign w:val="bottom"/>
            <w:hideMark/>
          </w:tcPr>
          <w:p w14:paraId="3980F9DD" w14:textId="77777777" w:rsidR="003171B2" w:rsidRPr="003171B2" w:rsidRDefault="003171B2" w:rsidP="003171B2">
            <w:pPr>
              <w:spacing w:after="0" w:line="240" w:lineRule="auto"/>
              <w:jc w:val="lef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bottom"/>
            <w:hideMark/>
          </w:tcPr>
          <w:p w14:paraId="23FE609D" w14:textId="77777777" w:rsidR="003171B2" w:rsidRPr="003171B2" w:rsidRDefault="003171B2" w:rsidP="003171B2">
            <w:pPr>
              <w:spacing w:after="0" w:line="240" w:lineRule="auto"/>
              <w:jc w:val="left"/>
              <w:rPr>
                <w:rFonts w:ascii="Arial" w:hAnsi="Arial" w:cs="Arial"/>
                <w:color w:val="000000"/>
                <w:sz w:val="16"/>
                <w:szCs w:val="16"/>
              </w:rPr>
            </w:pPr>
            <w:r w:rsidRPr="003171B2">
              <w:rPr>
                <w:rFonts w:ascii="Arial" w:hAnsi="Arial" w:cs="Arial"/>
                <w:color w:val="000000"/>
                <w:sz w:val="16"/>
                <w:szCs w:val="16"/>
              </w:rPr>
              <w:t> </w:t>
            </w:r>
          </w:p>
        </w:tc>
        <w:tc>
          <w:tcPr>
            <w:tcW w:w="578" w:type="pct"/>
            <w:tcBorders>
              <w:top w:val="nil"/>
              <w:left w:val="nil"/>
              <w:bottom w:val="nil"/>
              <w:right w:val="nil"/>
            </w:tcBorders>
            <w:shd w:val="clear" w:color="auto" w:fill="auto"/>
            <w:noWrap/>
            <w:vAlign w:val="bottom"/>
            <w:hideMark/>
          </w:tcPr>
          <w:p w14:paraId="70CD2BE4" w14:textId="77777777" w:rsidR="003171B2" w:rsidRPr="003171B2" w:rsidRDefault="003171B2" w:rsidP="003171B2">
            <w:pPr>
              <w:spacing w:after="0" w:line="240" w:lineRule="auto"/>
              <w:jc w:val="lef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0A19C743" w14:textId="77777777" w:rsidR="003171B2" w:rsidRPr="003171B2" w:rsidRDefault="003171B2" w:rsidP="003171B2">
            <w:pPr>
              <w:spacing w:after="0" w:line="240" w:lineRule="auto"/>
              <w:jc w:val="left"/>
              <w:rPr>
                <w:rFonts w:ascii="Times New Roman" w:hAnsi="Times New Roman"/>
              </w:rPr>
            </w:pPr>
          </w:p>
        </w:tc>
        <w:tc>
          <w:tcPr>
            <w:tcW w:w="578" w:type="pct"/>
            <w:tcBorders>
              <w:top w:val="nil"/>
              <w:left w:val="nil"/>
              <w:bottom w:val="nil"/>
              <w:right w:val="nil"/>
            </w:tcBorders>
            <w:shd w:val="clear" w:color="auto" w:fill="auto"/>
            <w:noWrap/>
            <w:vAlign w:val="bottom"/>
            <w:hideMark/>
          </w:tcPr>
          <w:p w14:paraId="19FE0B84" w14:textId="77777777" w:rsidR="003171B2" w:rsidRPr="003171B2" w:rsidRDefault="003171B2" w:rsidP="003171B2">
            <w:pPr>
              <w:spacing w:after="0" w:line="240" w:lineRule="auto"/>
              <w:jc w:val="left"/>
              <w:rPr>
                <w:rFonts w:ascii="Times New Roman" w:hAnsi="Times New Roman"/>
              </w:rPr>
            </w:pPr>
          </w:p>
        </w:tc>
      </w:tr>
      <w:tr w:rsidR="003171B2" w:rsidRPr="003171B2" w14:paraId="6AF7F896" w14:textId="77777777" w:rsidTr="003171B2">
        <w:trPr>
          <w:trHeight w:val="200"/>
        </w:trPr>
        <w:tc>
          <w:tcPr>
            <w:tcW w:w="2110" w:type="pct"/>
            <w:tcBorders>
              <w:top w:val="nil"/>
              <w:left w:val="nil"/>
              <w:bottom w:val="nil"/>
              <w:right w:val="nil"/>
            </w:tcBorders>
            <w:shd w:val="clear" w:color="auto" w:fill="auto"/>
            <w:noWrap/>
            <w:vAlign w:val="bottom"/>
            <w:hideMark/>
          </w:tcPr>
          <w:p w14:paraId="75A1AA08" w14:textId="77777777" w:rsidR="003171B2" w:rsidRPr="003171B2" w:rsidRDefault="003171B2" w:rsidP="003171B2">
            <w:pPr>
              <w:spacing w:after="0" w:line="240" w:lineRule="auto"/>
              <w:ind w:firstLineChars="100" w:firstLine="160"/>
              <w:jc w:val="left"/>
              <w:rPr>
                <w:rFonts w:ascii="Arial" w:hAnsi="Arial" w:cs="Arial"/>
                <w:color w:val="000000"/>
                <w:sz w:val="16"/>
                <w:szCs w:val="16"/>
              </w:rPr>
            </w:pPr>
            <w:r w:rsidRPr="003171B2">
              <w:rPr>
                <w:rFonts w:ascii="Arial" w:hAnsi="Arial" w:cs="Arial"/>
                <w:color w:val="000000"/>
                <w:sz w:val="16"/>
                <w:szCs w:val="16"/>
              </w:rPr>
              <w:t>Land and buildings</w:t>
            </w:r>
          </w:p>
        </w:tc>
        <w:tc>
          <w:tcPr>
            <w:tcW w:w="578" w:type="pct"/>
            <w:tcBorders>
              <w:top w:val="nil"/>
              <w:left w:val="nil"/>
              <w:bottom w:val="nil"/>
              <w:right w:val="nil"/>
            </w:tcBorders>
            <w:shd w:val="clear" w:color="auto" w:fill="auto"/>
            <w:noWrap/>
            <w:vAlign w:val="bottom"/>
            <w:hideMark/>
          </w:tcPr>
          <w:p w14:paraId="5604F6FB"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82,878</w:t>
            </w:r>
          </w:p>
        </w:tc>
        <w:tc>
          <w:tcPr>
            <w:tcW w:w="578" w:type="pct"/>
            <w:tcBorders>
              <w:top w:val="nil"/>
              <w:left w:val="nil"/>
              <w:bottom w:val="nil"/>
              <w:right w:val="nil"/>
            </w:tcBorders>
            <w:shd w:val="clear" w:color="000000" w:fill="E6E6E6"/>
            <w:noWrap/>
            <w:vAlign w:val="bottom"/>
            <w:hideMark/>
          </w:tcPr>
          <w:p w14:paraId="1783E19D"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69,872</w:t>
            </w:r>
          </w:p>
        </w:tc>
        <w:tc>
          <w:tcPr>
            <w:tcW w:w="578" w:type="pct"/>
            <w:tcBorders>
              <w:top w:val="nil"/>
              <w:left w:val="nil"/>
              <w:bottom w:val="nil"/>
              <w:right w:val="nil"/>
            </w:tcBorders>
            <w:shd w:val="clear" w:color="auto" w:fill="auto"/>
            <w:noWrap/>
            <w:vAlign w:val="bottom"/>
            <w:hideMark/>
          </w:tcPr>
          <w:p w14:paraId="39730320"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78,120</w:t>
            </w:r>
          </w:p>
        </w:tc>
        <w:tc>
          <w:tcPr>
            <w:tcW w:w="578" w:type="pct"/>
            <w:tcBorders>
              <w:top w:val="nil"/>
              <w:left w:val="nil"/>
              <w:bottom w:val="nil"/>
              <w:right w:val="nil"/>
            </w:tcBorders>
            <w:shd w:val="clear" w:color="auto" w:fill="auto"/>
            <w:noWrap/>
            <w:vAlign w:val="bottom"/>
            <w:hideMark/>
          </w:tcPr>
          <w:p w14:paraId="0C4BBA38"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61,751</w:t>
            </w:r>
          </w:p>
        </w:tc>
        <w:tc>
          <w:tcPr>
            <w:tcW w:w="578" w:type="pct"/>
            <w:tcBorders>
              <w:top w:val="nil"/>
              <w:left w:val="nil"/>
              <w:bottom w:val="nil"/>
              <w:right w:val="nil"/>
            </w:tcBorders>
            <w:shd w:val="clear" w:color="auto" w:fill="auto"/>
            <w:noWrap/>
            <w:vAlign w:val="bottom"/>
            <w:hideMark/>
          </w:tcPr>
          <w:p w14:paraId="5033B6C8"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45,998</w:t>
            </w:r>
          </w:p>
        </w:tc>
      </w:tr>
      <w:tr w:rsidR="003171B2" w:rsidRPr="003171B2" w14:paraId="75679254" w14:textId="77777777" w:rsidTr="003171B2">
        <w:trPr>
          <w:trHeight w:val="200"/>
        </w:trPr>
        <w:tc>
          <w:tcPr>
            <w:tcW w:w="2110" w:type="pct"/>
            <w:tcBorders>
              <w:top w:val="nil"/>
              <w:left w:val="nil"/>
              <w:bottom w:val="nil"/>
              <w:right w:val="nil"/>
            </w:tcBorders>
            <w:shd w:val="clear" w:color="auto" w:fill="auto"/>
            <w:noWrap/>
            <w:vAlign w:val="bottom"/>
            <w:hideMark/>
          </w:tcPr>
          <w:p w14:paraId="46087BD7" w14:textId="77777777" w:rsidR="003171B2" w:rsidRPr="003171B2" w:rsidRDefault="003171B2" w:rsidP="003171B2">
            <w:pPr>
              <w:spacing w:after="0" w:line="240" w:lineRule="auto"/>
              <w:ind w:firstLineChars="100" w:firstLine="160"/>
              <w:jc w:val="left"/>
              <w:rPr>
                <w:rFonts w:ascii="Arial" w:hAnsi="Arial" w:cs="Arial"/>
                <w:color w:val="000000"/>
                <w:sz w:val="16"/>
                <w:szCs w:val="16"/>
              </w:rPr>
            </w:pPr>
            <w:r w:rsidRPr="003171B2">
              <w:rPr>
                <w:rFonts w:ascii="Arial" w:hAnsi="Arial" w:cs="Arial"/>
                <w:color w:val="000000"/>
                <w:sz w:val="16"/>
                <w:szCs w:val="16"/>
              </w:rPr>
              <w:t>Property, plant and equipment</w:t>
            </w:r>
          </w:p>
        </w:tc>
        <w:tc>
          <w:tcPr>
            <w:tcW w:w="578" w:type="pct"/>
            <w:tcBorders>
              <w:top w:val="nil"/>
              <w:left w:val="nil"/>
              <w:bottom w:val="nil"/>
              <w:right w:val="nil"/>
            </w:tcBorders>
            <w:shd w:val="clear" w:color="auto" w:fill="auto"/>
            <w:noWrap/>
            <w:vAlign w:val="bottom"/>
            <w:hideMark/>
          </w:tcPr>
          <w:p w14:paraId="4E83CFEE"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6,196</w:t>
            </w:r>
          </w:p>
        </w:tc>
        <w:tc>
          <w:tcPr>
            <w:tcW w:w="578" w:type="pct"/>
            <w:tcBorders>
              <w:top w:val="nil"/>
              <w:left w:val="nil"/>
              <w:bottom w:val="nil"/>
              <w:right w:val="nil"/>
            </w:tcBorders>
            <w:shd w:val="clear" w:color="000000" w:fill="E6E6E6"/>
            <w:noWrap/>
            <w:vAlign w:val="bottom"/>
            <w:hideMark/>
          </w:tcPr>
          <w:p w14:paraId="31CCBBB9"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5,440</w:t>
            </w:r>
          </w:p>
        </w:tc>
        <w:tc>
          <w:tcPr>
            <w:tcW w:w="578" w:type="pct"/>
            <w:tcBorders>
              <w:top w:val="nil"/>
              <w:left w:val="nil"/>
              <w:bottom w:val="nil"/>
              <w:right w:val="nil"/>
            </w:tcBorders>
            <w:shd w:val="clear" w:color="auto" w:fill="auto"/>
            <w:noWrap/>
            <w:vAlign w:val="bottom"/>
            <w:hideMark/>
          </w:tcPr>
          <w:p w14:paraId="164A6F04"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7,370</w:t>
            </w:r>
          </w:p>
        </w:tc>
        <w:tc>
          <w:tcPr>
            <w:tcW w:w="578" w:type="pct"/>
            <w:tcBorders>
              <w:top w:val="nil"/>
              <w:left w:val="nil"/>
              <w:bottom w:val="nil"/>
              <w:right w:val="nil"/>
            </w:tcBorders>
            <w:shd w:val="clear" w:color="auto" w:fill="auto"/>
            <w:noWrap/>
            <w:vAlign w:val="bottom"/>
            <w:hideMark/>
          </w:tcPr>
          <w:p w14:paraId="4091B8E1"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9,075</w:t>
            </w:r>
          </w:p>
        </w:tc>
        <w:tc>
          <w:tcPr>
            <w:tcW w:w="578" w:type="pct"/>
            <w:tcBorders>
              <w:top w:val="nil"/>
              <w:left w:val="nil"/>
              <w:bottom w:val="nil"/>
              <w:right w:val="nil"/>
            </w:tcBorders>
            <w:shd w:val="clear" w:color="auto" w:fill="auto"/>
            <w:noWrap/>
            <w:vAlign w:val="bottom"/>
            <w:hideMark/>
          </w:tcPr>
          <w:p w14:paraId="316E7412"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9,645</w:t>
            </w:r>
          </w:p>
        </w:tc>
      </w:tr>
      <w:tr w:rsidR="003171B2" w:rsidRPr="003171B2" w14:paraId="6937F91A" w14:textId="77777777" w:rsidTr="003171B2">
        <w:trPr>
          <w:trHeight w:val="200"/>
        </w:trPr>
        <w:tc>
          <w:tcPr>
            <w:tcW w:w="2110" w:type="pct"/>
            <w:tcBorders>
              <w:top w:val="nil"/>
              <w:left w:val="nil"/>
              <w:bottom w:val="nil"/>
              <w:right w:val="nil"/>
            </w:tcBorders>
            <w:shd w:val="clear" w:color="auto" w:fill="auto"/>
            <w:noWrap/>
            <w:vAlign w:val="bottom"/>
            <w:hideMark/>
          </w:tcPr>
          <w:p w14:paraId="21659EC6" w14:textId="77777777" w:rsidR="003171B2" w:rsidRPr="003171B2" w:rsidRDefault="003171B2" w:rsidP="003171B2">
            <w:pPr>
              <w:spacing w:after="0" w:line="240" w:lineRule="auto"/>
              <w:ind w:firstLineChars="100" w:firstLine="160"/>
              <w:jc w:val="left"/>
              <w:rPr>
                <w:rFonts w:ascii="Arial" w:hAnsi="Arial" w:cs="Arial"/>
                <w:color w:val="000000"/>
                <w:sz w:val="16"/>
                <w:szCs w:val="16"/>
              </w:rPr>
            </w:pPr>
            <w:r w:rsidRPr="003171B2">
              <w:rPr>
                <w:rFonts w:ascii="Arial" w:hAnsi="Arial" w:cs="Arial"/>
                <w:color w:val="000000"/>
                <w:sz w:val="16"/>
                <w:szCs w:val="16"/>
              </w:rPr>
              <w:t>Intangibles</w:t>
            </w:r>
          </w:p>
        </w:tc>
        <w:tc>
          <w:tcPr>
            <w:tcW w:w="578" w:type="pct"/>
            <w:tcBorders>
              <w:top w:val="nil"/>
              <w:left w:val="nil"/>
              <w:bottom w:val="nil"/>
              <w:right w:val="nil"/>
            </w:tcBorders>
            <w:shd w:val="clear" w:color="auto" w:fill="auto"/>
            <w:noWrap/>
            <w:vAlign w:val="bottom"/>
            <w:hideMark/>
          </w:tcPr>
          <w:p w14:paraId="5288C7F4"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38,856</w:t>
            </w:r>
          </w:p>
        </w:tc>
        <w:tc>
          <w:tcPr>
            <w:tcW w:w="578" w:type="pct"/>
            <w:tcBorders>
              <w:top w:val="nil"/>
              <w:left w:val="nil"/>
              <w:bottom w:val="nil"/>
              <w:right w:val="nil"/>
            </w:tcBorders>
            <w:shd w:val="clear" w:color="000000" w:fill="E6E6E6"/>
            <w:noWrap/>
            <w:vAlign w:val="bottom"/>
            <w:hideMark/>
          </w:tcPr>
          <w:p w14:paraId="646BB40E"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62,391</w:t>
            </w:r>
          </w:p>
        </w:tc>
        <w:tc>
          <w:tcPr>
            <w:tcW w:w="578" w:type="pct"/>
            <w:tcBorders>
              <w:top w:val="nil"/>
              <w:left w:val="nil"/>
              <w:bottom w:val="nil"/>
              <w:right w:val="nil"/>
            </w:tcBorders>
            <w:shd w:val="clear" w:color="auto" w:fill="auto"/>
            <w:noWrap/>
            <w:vAlign w:val="bottom"/>
            <w:hideMark/>
          </w:tcPr>
          <w:p w14:paraId="12E763D1"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81,387</w:t>
            </w:r>
          </w:p>
        </w:tc>
        <w:tc>
          <w:tcPr>
            <w:tcW w:w="578" w:type="pct"/>
            <w:tcBorders>
              <w:top w:val="nil"/>
              <w:left w:val="nil"/>
              <w:bottom w:val="nil"/>
              <w:right w:val="nil"/>
            </w:tcBorders>
            <w:shd w:val="clear" w:color="auto" w:fill="auto"/>
            <w:noWrap/>
            <w:vAlign w:val="bottom"/>
            <w:hideMark/>
          </w:tcPr>
          <w:p w14:paraId="51ECFD86"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85,242</w:t>
            </w:r>
          </w:p>
        </w:tc>
        <w:tc>
          <w:tcPr>
            <w:tcW w:w="578" w:type="pct"/>
            <w:tcBorders>
              <w:top w:val="nil"/>
              <w:left w:val="nil"/>
              <w:bottom w:val="nil"/>
              <w:right w:val="nil"/>
            </w:tcBorders>
            <w:shd w:val="clear" w:color="auto" w:fill="auto"/>
            <w:noWrap/>
            <w:vAlign w:val="bottom"/>
            <w:hideMark/>
          </w:tcPr>
          <w:p w14:paraId="0BC6EB27"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86,958</w:t>
            </w:r>
          </w:p>
        </w:tc>
      </w:tr>
      <w:tr w:rsidR="003171B2" w:rsidRPr="003171B2" w14:paraId="1340B61A" w14:textId="77777777" w:rsidTr="003171B2">
        <w:trPr>
          <w:trHeight w:val="200"/>
        </w:trPr>
        <w:tc>
          <w:tcPr>
            <w:tcW w:w="2110" w:type="pct"/>
            <w:tcBorders>
              <w:top w:val="nil"/>
              <w:left w:val="nil"/>
              <w:bottom w:val="nil"/>
              <w:right w:val="nil"/>
            </w:tcBorders>
            <w:shd w:val="clear" w:color="auto" w:fill="auto"/>
            <w:noWrap/>
            <w:vAlign w:val="bottom"/>
            <w:hideMark/>
          </w:tcPr>
          <w:p w14:paraId="235C54A8" w14:textId="77777777" w:rsidR="003171B2" w:rsidRPr="003171B2" w:rsidRDefault="003171B2" w:rsidP="003171B2">
            <w:pPr>
              <w:spacing w:after="0" w:line="240" w:lineRule="auto"/>
              <w:ind w:firstLineChars="100" w:firstLine="160"/>
              <w:jc w:val="left"/>
              <w:rPr>
                <w:rFonts w:ascii="Arial" w:hAnsi="Arial" w:cs="Arial"/>
                <w:color w:val="000000"/>
                <w:sz w:val="16"/>
                <w:szCs w:val="16"/>
              </w:rPr>
            </w:pPr>
            <w:r w:rsidRPr="003171B2">
              <w:rPr>
                <w:rFonts w:ascii="Arial" w:hAnsi="Arial" w:cs="Arial"/>
                <w:color w:val="000000"/>
                <w:sz w:val="16"/>
                <w:szCs w:val="16"/>
              </w:rPr>
              <w:t>Other non-financial assets</w:t>
            </w:r>
          </w:p>
        </w:tc>
        <w:tc>
          <w:tcPr>
            <w:tcW w:w="578" w:type="pct"/>
            <w:tcBorders>
              <w:top w:val="nil"/>
              <w:left w:val="nil"/>
              <w:bottom w:val="nil"/>
              <w:right w:val="nil"/>
            </w:tcBorders>
            <w:shd w:val="clear" w:color="auto" w:fill="auto"/>
            <w:noWrap/>
            <w:vAlign w:val="bottom"/>
            <w:hideMark/>
          </w:tcPr>
          <w:p w14:paraId="28286E53"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1,627</w:t>
            </w:r>
          </w:p>
        </w:tc>
        <w:tc>
          <w:tcPr>
            <w:tcW w:w="578" w:type="pct"/>
            <w:tcBorders>
              <w:top w:val="nil"/>
              <w:left w:val="nil"/>
              <w:bottom w:val="nil"/>
              <w:right w:val="nil"/>
            </w:tcBorders>
            <w:shd w:val="clear" w:color="000000" w:fill="E6E6E6"/>
            <w:noWrap/>
            <w:vAlign w:val="bottom"/>
            <w:hideMark/>
          </w:tcPr>
          <w:p w14:paraId="321D2FF5"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1,627</w:t>
            </w:r>
          </w:p>
        </w:tc>
        <w:tc>
          <w:tcPr>
            <w:tcW w:w="578" w:type="pct"/>
            <w:tcBorders>
              <w:top w:val="nil"/>
              <w:left w:val="nil"/>
              <w:bottom w:val="nil"/>
              <w:right w:val="nil"/>
            </w:tcBorders>
            <w:shd w:val="clear" w:color="auto" w:fill="auto"/>
            <w:noWrap/>
            <w:vAlign w:val="bottom"/>
            <w:hideMark/>
          </w:tcPr>
          <w:p w14:paraId="24C5A09F"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1,627</w:t>
            </w:r>
          </w:p>
        </w:tc>
        <w:tc>
          <w:tcPr>
            <w:tcW w:w="578" w:type="pct"/>
            <w:tcBorders>
              <w:top w:val="nil"/>
              <w:left w:val="nil"/>
              <w:bottom w:val="nil"/>
              <w:right w:val="nil"/>
            </w:tcBorders>
            <w:shd w:val="clear" w:color="auto" w:fill="auto"/>
            <w:noWrap/>
            <w:vAlign w:val="bottom"/>
            <w:hideMark/>
          </w:tcPr>
          <w:p w14:paraId="4CAFCCB3"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1,627</w:t>
            </w:r>
          </w:p>
        </w:tc>
        <w:tc>
          <w:tcPr>
            <w:tcW w:w="578" w:type="pct"/>
            <w:tcBorders>
              <w:top w:val="nil"/>
              <w:left w:val="nil"/>
              <w:bottom w:val="nil"/>
              <w:right w:val="nil"/>
            </w:tcBorders>
            <w:shd w:val="clear" w:color="auto" w:fill="auto"/>
            <w:noWrap/>
            <w:vAlign w:val="bottom"/>
            <w:hideMark/>
          </w:tcPr>
          <w:p w14:paraId="0F4CE02C"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1,627</w:t>
            </w:r>
          </w:p>
        </w:tc>
      </w:tr>
      <w:tr w:rsidR="003171B2" w:rsidRPr="003171B2" w14:paraId="151FFD0F" w14:textId="77777777" w:rsidTr="003171B2">
        <w:trPr>
          <w:trHeight w:val="200"/>
        </w:trPr>
        <w:tc>
          <w:tcPr>
            <w:tcW w:w="2110" w:type="pct"/>
            <w:tcBorders>
              <w:top w:val="nil"/>
              <w:left w:val="nil"/>
              <w:bottom w:val="nil"/>
              <w:right w:val="nil"/>
            </w:tcBorders>
            <w:shd w:val="clear" w:color="auto" w:fill="auto"/>
            <w:noWrap/>
            <w:vAlign w:val="bottom"/>
            <w:hideMark/>
          </w:tcPr>
          <w:p w14:paraId="3496CD2D" w14:textId="77777777" w:rsidR="003171B2" w:rsidRPr="003171B2" w:rsidRDefault="003171B2" w:rsidP="003171B2">
            <w:pPr>
              <w:spacing w:after="0" w:line="240" w:lineRule="auto"/>
              <w:jc w:val="left"/>
              <w:rPr>
                <w:rFonts w:ascii="Arial" w:hAnsi="Arial" w:cs="Arial"/>
                <w:b/>
                <w:bCs/>
                <w:i/>
                <w:iCs/>
                <w:color w:val="000000"/>
                <w:sz w:val="16"/>
                <w:szCs w:val="16"/>
              </w:rPr>
            </w:pPr>
            <w:r w:rsidRPr="003171B2">
              <w:rPr>
                <w:rFonts w:ascii="Arial" w:hAnsi="Arial" w:cs="Arial"/>
                <w:b/>
                <w:bCs/>
                <w:i/>
                <w:iCs/>
                <w:color w:val="000000"/>
                <w:sz w:val="16"/>
                <w:szCs w:val="16"/>
              </w:rPr>
              <w:t>Total non-financial assets</w:t>
            </w:r>
          </w:p>
        </w:tc>
        <w:tc>
          <w:tcPr>
            <w:tcW w:w="578" w:type="pct"/>
            <w:tcBorders>
              <w:top w:val="single" w:sz="4" w:space="0" w:color="000000"/>
              <w:left w:val="nil"/>
              <w:bottom w:val="single" w:sz="4" w:space="0" w:color="000000"/>
              <w:right w:val="nil"/>
            </w:tcBorders>
            <w:shd w:val="clear" w:color="auto" w:fill="auto"/>
            <w:noWrap/>
            <w:vAlign w:val="bottom"/>
            <w:hideMark/>
          </w:tcPr>
          <w:p w14:paraId="184A0700" w14:textId="77777777" w:rsidR="003171B2" w:rsidRPr="003171B2" w:rsidRDefault="003171B2" w:rsidP="003171B2">
            <w:pPr>
              <w:spacing w:after="0" w:line="240" w:lineRule="auto"/>
              <w:jc w:val="left"/>
              <w:rPr>
                <w:rFonts w:ascii="Arial" w:hAnsi="Arial" w:cs="Arial"/>
                <w:b/>
                <w:bCs/>
                <w:i/>
                <w:iCs/>
                <w:color w:val="000000"/>
                <w:sz w:val="16"/>
                <w:szCs w:val="16"/>
              </w:rPr>
            </w:pPr>
            <w:r w:rsidRPr="003171B2">
              <w:rPr>
                <w:rFonts w:ascii="Arial" w:hAnsi="Arial" w:cs="Arial"/>
                <w:b/>
                <w:bCs/>
                <w:i/>
                <w:iCs/>
                <w:color w:val="000000"/>
                <w:sz w:val="16"/>
                <w:szCs w:val="16"/>
              </w:rPr>
              <w:t xml:space="preserve">    129,557 </w:t>
            </w:r>
          </w:p>
        </w:tc>
        <w:tc>
          <w:tcPr>
            <w:tcW w:w="578" w:type="pct"/>
            <w:tcBorders>
              <w:top w:val="single" w:sz="4" w:space="0" w:color="000000"/>
              <w:left w:val="nil"/>
              <w:bottom w:val="single" w:sz="4" w:space="0" w:color="000000"/>
              <w:right w:val="nil"/>
            </w:tcBorders>
            <w:shd w:val="clear" w:color="000000" w:fill="E6E6E6"/>
            <w:noWrap/>
            <w:vAlign w:val="bottom"/>
            <w:hideMark/>
          </w:tcPr>
          <w:p w14:paraId="6AFB41B2" w14:textId="77777777" w:rsidR="003171B2" w:rsidRPr="003171B2" w:rsidRDefault="003171B2" w:rsidP="003171B2">
            <w:pPr>
              <w:spacing w:after="0" w:line="240" w:lineRule="auto"/>
              <w:jc w:val="left"/>
              <w:rPr>
                <w:rFonts w:ascii="Arial" w:hAnsi="Arial" w:cs="Arial"/>
                <w:b/>
                <w:bCs/>
                <w:i/>
                <w:iCs/>
                <w:color w:val="000000"/>
                <w:sz w:val="16"/>
                <w:szCs w:val="16"/>
              </w:rPr>
            </w:pPr>
            <w:r w:rsidRPr="003171B2">
              <w:rPr>
                <w:rFonts w:ascii="Arial" w:hAnsi="Arial" w:cs="Arial"/>
                <w:b/>
                <w:bCs/>
                <w:i/>
                <w:iCs/>
                <w:color w:val="000000"/>
                <w:sz w:val="16"/>
                <w:szCs w:val="16"/>
              </w:rPr>
              <w:t xml:space="preserve">    139,330 </w:t>
            </w:r>
          </w:p>
        </w:tc>
        <w:tc>
          <w:tcPr>
            <w:tcW w:w="578" w:type="pct"/>
            <w:tcBorders>
              <w:top w:val="single" w:sz="4" w:space="0" w:color="000000"/>
              <w:left w:val="nil"/>
              <w:bottom w:val="single" w:sz="4" w:space="0" w:color="000000"/>
              <w:right w:val="nil"/>
            </w:tcBorders>
            <w:shd w:val="clear" w:color="auto" w:fill="auto"/>
            <w:noWrap/>
            <w:vAlign w:val="bottom"/>
            <w:hideMark/>
          </w:tcPr>
          <w:p w14:paraId="44143A6E" w14:textId="77777777" w:rsidR="003171B2" w:rsidRPr="003171B2" w:rsidRDefault="003171B2" w:rsidP="003171B2">
            <w:pPr>
              <w:spacing w:after="0" w:line="240" w:lineRule="auto"/>
              <w:jc w:val="left"/>
              <w:rPr>
                <w:rFonts w:ascii="Arial" w:hAnsi="Arial" w:cs="Arial"/>
                <w:b/>
                <w:bCs/>
                <w:i/>
                <w:iCs/>
                <w:color w:val="000000"/>
                <w:sz w:val="16"/>
                <w:szCs w:val="16"/>
              </w:rPr>
            </w:pPr>
            <w:r w:rsidRPr="003171B2">
              <w:rPr>
                <w:rFonts w:ascii="Arial" w:hAnsi="Arial" w:cs="Arial"/>
                <w:b/>
                <w:bCs/>
                <w:i/>
                <w:iCs/>
                <w:color w:val="000000"/>
                <w:sz w:val="16"/>
                <w:szCs w:val="16"/>
              </w:rPr>
              <w:t xml:space="preserve">    168,504 </w:t>
            </w:r>
          </w:p>
        </w:tc>
        <w:tc>
          <w:tcPr>
            <w:tcW w:w="578" w:type="pct"/>
            <w:tcBorders>
              <w:top w:val="single" w:sz="4" w:space="0" w:color="000000"/>
              <w:left w:val="nil"/>
              <w:bottom w:val="single" w:sz="4" w:space="0" w:color="000000"/>
              <w:right w:val="nil"/>
            </w:tcBorders>
            <w:shd w:val="clear" w:color="auto" w:fill="auto"/>
            <w:noWrap/>
            <w:vAlign w:val="bottom"/>
            <w:hideMark/>
          </w:tcPr>
          <w:p w14:paraId="57127609" w14:textId="77777777" w:rsidR="003171B2" w:rsidRPr="003171B2" w:rsidRDefault="003171B2" w:rsidP="003171B2">
            <w:pPr>
              <w:spacing w:after="0" w:line="240" w:lineRule="auto"/>
              <w:jc w:val="left"/>
              <w:rPr>
                <w:rFonts w:ascii="Arial" w:hAnsi="Arial" w:cs="Arial"/>
                <w:b/>
                <w:bCs/>
                <w:i/>
                <w:iCs/>
                <w:color w:val="000000"/>
                <w:sz w:val="16"/>
                <w:szCs w:val="16"/>
              </w:rPr>
            </w:pPr>
            <w:r w:rsidRPr="003171B2">
              <w:rPr>
                <w:rFonts w:ascii="Arial" w:hAnsi="Arial" w:cs="Arial"/>
                <w:b/>
                <w:bCs/>
                <w:i/>
                <w:iCs/>
                <w:color w:val="000000"/>
                <w:sz w:val="16"/>
                <w:szCs w:val="16"/>
              </w:rPr>
              <w:t xml:space="preserve">    157,695 </w:t>
            </w:r>
          </w:p>
        </w:tc>
        <w:tc>
          <w:tcPr>
            <w:tcW w:w="578" w:type="pct"/>
            <w:tcBorders>
              <w:top w:val="single" w:sz="4" w:space="0" w:color="000000"/>
              <w:left w:val="nil"/>
              <w:bottom w:val="single" w:sz="4" w:space="0" w:color="000000"/>
              <w:right w:val="nil"/>
            </w:tcBorders>
            <w:shd w:val="clear" w:color="auto" w:fill="auto"/>
            <w:noWrap/>
            <w:vAlign w:val="bottom"/>
            <w:hideMark/>
          </w:tcPr>
          <w:p w14:paraId="7A471C92" w14:textId="77777777" w:rsidR="003171B2" w:rsidRPr="003171B2" w:rsidRDefault="003171B2" w:rsidP="003171B2">
            <w:pPr>
              <w:spacing w:after="0" w:line="240" w:lineRule="auto"/>
              <w:jc w:val="left"/>
              <w:rPr>
                <w:rFonts w:ascii="Arial" w:hAnsi="Arial" w:cs="Arial"/>
                <w:b/>
                <w:bCs/>
                <w:i/>
                <w:iCs/>
                <w:color w:val="000000"/>
                <w:sz w:val="16"/>
                <w:szCs w:val="16"/>
              </w:rPr>
            </w:pPr>
            <w:r w:rsidRPr="003171B2">
              <w:rPr>
                <w:rFonts w:ascii="Arial" w:hAnsi="Arial" w:cs="Arial"/>
                <w:b/>
                <w:bCs/>
                <w:i/>
                <w:iCs/>
                <w:color w:val="000000"/>
                <w:sz w:val="16"/>
                <w:szCs w:val="16"/>
              </w:rPr>
              <w:t xml:space="preserve">    144,228 </w:t>
            </w:r>
          </w:p>
        </w:tc>
      </w:tr>
      <w:tr w:rsidR="003171B2" w:rsidRPr="003171B2" w14:paraId="2C823E42" w14:textId="77777777" w:rsidTr="003171B2">
        <w:trPr>
          <w:trHeight w:val="210"/>
        </w:trPr>
        <w:tc>
          <w:tcPr>
            <w:tcW w:w="2110" w:type="pct"/>
            <w:tcBorders>
              <w:top w:val="nil"/>
              <w:left w:val="nil"/>
              <w:bottom w:val="nil"/>
              <w:right w:val="nil"/>
            </w:tcBorders>
            <w:shd w:val="clear" w:color="auto" w:fill="auto"/>
            <w:noWrap/>
            <w:vAlign w:val="bottom"/>
            <w:hideMark/>
          </w:tcPr>
          <w:p w14:paraId="073BF135" w14:textId="77777777" w:rsidR="003171B2" w:rsidRPr="003171B2" w:rsidRDefault="003171B2" w:rsidP="003171B2">
            <w:pPr>
              <w:spacing w:after="0" w:line="240" w:lineRule="auto"/>
              <w:jc w:val="left"/>
              <w:rPr>
                <w:rFonts w:ascii="Arial" w:hAnsi="Arial" w:cs="Arial"/>
                <w:b/>
                <w:bCs/>
                <w:color w:val="000000"/>
                <w:sz w:val="16"/>
                <w:szCs w:val="16"/>
              </w:rPr>
            </w:pPr>
            <w:r w:rsidRPr="003171B2">
              <w:rPr>
                <w:rFonts w:ascii="Arial" w:hAnsi="Arial" w:cs="Arial"/>
                <w:b/>
                <w:bCs/>
                <w:color w:val="000000"/>
                <w:sz w:val="16"/>
                <w:szCs w:val="16"/>
              </w:rPr>
              <w:t>Total assets</w:t>
            </w:r>
          </w:p>
        </w:tc>
        <w:tc>
          <w:tcPr>
            <w:tcW w:w="578" w:type="pct"/>
            <w:tcBorders>
              <w:top w:val="nil"/>
              <w:left w:val="nil"/>
              <w:bottom w:val="single" w:sz="4" w:space="0" w:color="000000"/>
              <w:right w:val="nil"/>
            </w:tcBorders>
            <w:shd w:val="clear" w:color="auto" w:fill="auto"/>
            <w:noWrap/>
            <w:vAlign w:val="bottom"/>
            <w:hideMark/>
          </w:tcPr>
          <w:p w14:paraId="21A1400B" w14:textId="77777777" w:rsidR="003171B2" w:rsidRPr="003171B2" w:rsidRDefault="003171B2" w:rsidP="003171B2">
            <w:pPr>
              <w:spacing w:after="0" w:line="240" w:lineRule="auto"/>
              <w:jc w:val="left"/>
              <w:rPr>
                <w:rFonts w:ascii="Arial" w:hAnsi="Arial" w:cs="Arial"/>
                <w:b/>
                <w:bCs/>
                <w:color w:val="000000"/>
                <w:sz w:val="16"/>
                <w:szCs w:val="16"/>
              </w:rPr>
            </w:pPr>
            <w:r w:rsidRPr="003171B2">
              <w:rPr>
                <w:rFonts w:ascii="Arial" w:hAnsi="Arial" w:cs="Arial"/>
                <w:b/>
                <w:bCs/>
                <w:color w:val="000000"/>
                <w:sz w:val="16"/>
                <w:szCs w:val="16"/>
              </w:rPr>
              <w:t xml:space="preserve">     210,752 </w:t>
            </w:r>
          </w:p>
        </w:tc>
        <w:tc>
          <w:tcPr>
            <w:tcW w:w="578" w:type="pct"/>
            <w:tcBorders>
              <w:top w:val="nil"/>
              <w:left w:val="nil"/>
              <w:bottom w:val="single" w:sz="4" w:space="0" w:color="000000"/>
              <w:right w:val="nil"/>
            </w:tcBorders>
            <w:shd w:val="clear" w:color="000000" w:fill="E6E6E6"/>
            <w:noWrap/>
            <w:vAlign w:val="bottom"/>
            <w:hideMark/>
          </w:tcPr>
          <w:p w14:paraId="4222ABE8" w14:textId="77777777" w:rsidR="003171B2" w:rsidRPr="003171B2" w:rsidRDefault="003171B2" w:rsidP="003171B2">
            <w:pPr>
              <w:spacing w:after="0" w:line="240" w:lineRule="auto"/>
              <w:jc w:val="left"/>
              <w:rPr>
                <w:rFonts w:ascii="Arial" w:hAnsi="Arial" w:cs="Arial"/>
                <w:b/>
                <w:bCs/>
                <w:color w:val="000000"/>
                <w:sz w:val="16"/>
                <w:szCs w:val="16"/>
              </w:rPr>
            </w:pPr>
            <w:r w:rsidRPr="003171B2">
              <w:rPr>
                <w:rFonts w:ascii="Arial" w:hAnsi="Arial" w:cs="Arial"/>
                <w:b/>
                <w:bCs/>
                <w:color w:val="000000"/>
                <w:sz w:val="16"/>
                <w:szCs w:val="16"/>
              </w:rPr>
              <w:t xml:space="preserve">     216,964 </w:t>
            </w:r>
          </w:p>
        </w:tc>
        <w:tc>
          <w:tcPr>
            <w:tcW w:w="578" w:type="pct"/>
            <w:tcBorders>
              <w:top w:val="nil"/>
              <w:left w:val="nil"/>
              <w:bottom w:val="single" w:sz="4" w:space="0" w:color="000000"/>
              <w:right w:val="nil"/>
            </w:tcBorders>
            <w:shd w:val="clear" w:color="auto" w:fill="auto"/>
            <w:noWrap/>
            <w:vAlign w:val="bottom"/>
            <w:hideMark/>
          </w:tcPr>
          <w:p w14:paraId="4729A8D1" w14:textId="77777777" w:rsidR="003171B2" w:rsidRPr="003171B2" w:rsidRDefault="003171B2" w:rsidP="003171B2">
            <w:pPr>
              <w:spacing w:after="0" w:line="240" w:lineRule="auto"/>
              <w:jc w:val="left"/>
              <w:rPr>
                <w:rFonts w:ascii="Arial" w:hAnsi="Arial" w:cs="Arial"/>
                <w:b/>
                <w:bCs/>
                <w:color w:val="000000"/>
                <w:sz w:val="16"/>
                <w:szCs w:val="16"/>
              </w:rPr>
            </w:pPr>
            <w:r w:rsidRPr="003171B2">
              <w:rPr>
                <w:rFonts w:ascii="Arial" w:hAnsi="Arial" w:cs="Arial"/>
                <w:b/>
                <w:bCs/>
                <w:color w:val="000000"/>
                <w:sz w:val="16"/>
                <w:szCs w:val="16"/>
              </w:rPr>
              <w:t xml:space="preserve">     242,231 </w:t>
            </w:r>
          </w:p>
        </w:tc>
        <w:tc>
          <w:tcPr>
            <w:tcW w:w="578" w:type="pct"/>
            <w:tcBorders>
              <w:top w:val="nil"/>
              <w:left w:val="nil"/>
              <w:bottom w:val="single" w:sz="4" w:space="0" w:color="000000"/>
              <w:right w:val="nil"/>
            </w:tcBorders>
            <w:shd w:val="clear" w:color="auto" w:fill="auto"/>
            <w:noWrap/>
            <w:vAlign w:val="bottom"/>
            <w:hideMark/>
          </w:tcPr>
          <w:p w14:paraId="243E22FC" w14:textId="77777777" w:rsidR="003171B2" w:rsidRPr="003171B2" w:rsidRDefault="003171B2" w:rsidP="003171B2">
            <w:pPr>
              <w:spacing w:after="0" w:line="240" w:lineRule="auto"/>
              <w:jc w:val="left"/>
              <w:rPr>
                <w:rFonts w:ascii="Arial" w:hAnsi="Arial" w:cs="Arial"/>
                <w:b/>
                <w:bCs/>
                <w:color w:val="000000"/>
                <w:sz w:val="16"/>
                <w:szCs w:val="16"/>
              </w:rPr>
            </w:pPr>
            <w:r w:rsidRPr="003171B2">
              <w:rPr>
                <w:rFonts w:ascii="Arial" w:hAnsi="Arial" w:cs="Arial"/>
                <w:b/>
                <w:bCs/>
                <w:color w:val="000000"/>
                <w:sz w:val="16"/>
                <w:szCs w:val="16"/>
              </w:rPr>
              <w:t xml:space="preserve">     231,047 </w:t>
            </w:r>
          </w:p>
        </w:tc>
        <w:tc>
          <w:tcPr>
            <w:tcW w:w="578" w:type="pct"/>
            <w:tcBorders>
              <w:top w:val="nil"/>
              <w:left w:val="nil"/>
              <w:bottom w:val="single" w:sz="4" w:space="0" w:color="000000"/>
              <w:right w:val="nil"/>
            </w:tcBorders>
            <w:shd w:val="clear" w:color="auto" w:fill="auto"/>
            <w:noWrap/>
            <w:vAlign w:val="bottom"/>
            <w:hideMark/>
          </w:tcPr>
          <w:p w14:paraId="7ED0D4D7" w14:textId="77777777" w:rsidR="003171B2" w:rsidRPr="003171B2" w:rsidRDefault="003171B2" w:rsidP="003171B2">
            <w:pPr>
              <w:spacing w:after="0" w:line="240" w:lineRule="auto"/>
              <w:jc w:val="left"/>
              <w:rPr>
                <w:rFonts w:ascii="Arial" w:hAnsi="Arial" w:cs="Arial"/>
                <w:b/>
                <w:bCs/>
                <w:color w:val="000000"/>
                <w:sz w:val="16"/>
                <w:szCs w:val="16"/>
              </w:rPr>
            </w:pPr>
            <w:r w:rsidRPr="003171B2">
              <w:rPr>
                <w:rFonts w:ascii="Arial" w:hAnsi="Arial" w:cs="Arial"/>
                <w:b/>
                <w:bCs/>
                <w:color w:val="000000"/>
                <w:sz w:val="16"/>
                <w:szCs w:val="16"/>
              </w:rPr>
              <w:t xml:space="preserve">     218,080 </w:t>
            </w:r>
          </w:p>
        </w:tc>
      </w:tr>
      <w:tr w:rsidR="003171B2" w:rsidRPr="003171B2" w14:paraId="1A67D10B" w14:textId="77777777" w:rsidTr="003171B2">
        <w:trPr>
          <w:trHeight w:val="210"/>
        </w:trPr>
        <w:tc>
          <w:tcPr>
            <w:tcW w:w="2110" w:type="pct"/>
            <w:tcBorders>
              <w:top w:val="nil"/>
              <w:left w:val="nil"/>
              <w:bottom w:val="nil"/>
              <w:right w:val="nil"/>
            </w:tcBorders>
            <w:shd w:val="clear" w:color="auto" w:fill="auto"/>
            <w:noWrap/>
            <w:vAlign w:val="bottom"/>
            <w:hideMark/>
          </w:tcPr>
          <w:p w14:paraId="1B9B3116" w14:textId="77777777" w:rsidR="003171B2" w:rsidRPr="003171B2" w:rsidRDefault="003171B2" w:rsidP="003171B2">
            <w:pPr>
              <w:spacing w:after="0" w:line="240" w:lineRule="auto"/>
              <w:jc w:val="left"/>
              <w:rPr>
                <w:rFonts w:ascii="Arial" w:hAnsi="Arial" w:cs="Arial"/>
                <w:b/>
                <w:bCs/>
                <w:color w:val="000000"/>
                <w:sz w:val="16"/>
                <w:szCs w:val="16"/>
              </w:rPr>
            </w:pPr>
            <w:r w:rsidRPr="003171B2">
              <w:rPr>
                <w:rFonts w:ascii="Arial" w:hAnsi="Arial" w:cs="Arial"/>
                <w:b/>
                <w:bCs/>
                <w:color w:val="000000"/>
                <w:sz w:val="16"/>
                <w:szCs w:val="16"/>
              </w:rPr>
              <w:t>LIABILITIES</w:t>
            </w:r>
          </w:p>
        </w:tc>
        <w:tc>
          <w:tcPr>
            <w:tcW w:w="578" w:type="pct"/>
            <w:tcBorders>
              <w:top w:val="nil"/>
              <w:left w:val="nil"/>
              <w:bottom w:val="nil"/>
              <w:right w:val="nil"/>
            </w:tcBorders>
            <w:shd w:val="clear" w:color="auto" w:fill="auto"/>
            <w:noWrap/>
            <w:vAlign w:val="bottom"/>
            <w:hideMark/>
          </w:tcPr>
          <w:p w14:paraId="2BB6DAEE" w14:textId="77777777" w:rsidR="003171B2" w:rsidRPr="003171B2" w:rsidRDefault="003171B2" w:rsidP="003171B2">
            <w:pPr>
              <w:spacing w:after="0" w:line="240" w:lineRule="auto"/>
              <w:jc w:val="lef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bottom"/>
            <w:hideMark/>
          </w:tcPr>
          <w:p w14:paraId="20F9B04F" w14:textId="77777777" w:rsidR="003171B2" w:rsidRPr="003171B2" w:rsidRDefault="003171B2" w:rsidP="003171B2">
            <w:pPr>
              <w:spacing w:after="0" w:line="240" w:lineRule="auto"/>
              <w:jc w:val="left"/>
              <w:rPr>
                <w:rFonts w:ascii="Arial" w:hAnsi="Arial" w:cs="Arial"/>
                <w:color w:val="000000"/>
                <w:sz w:val="16"/>
                <w:szCs w:val="16"/>
              </w:rPr>
            </w:pPr>
            <w:r w:rsidRPr="003171B2">
              <w:rPr>
                <w:rFonts w:ascii="Arial" w:hAnsi="Arial" w:cs="Arial"/>
                <w:color w:val="000000"/>
                <w:sz w:val="16"/>
                <w:szCs w:val="16"/>
              </w:rPr>
              <w:t> </w:t>
            </w:r>
          </w:p>
        </w:tc>
        <w:tc>
          <w:tcPr>
            <w:tcW w:w="578" w:type="pct"/>
            <w:tcBorders>
              <w:top w:val="nil"/>
              <w:left w:val="nil"/>
              <w:bottom w:val="nil"/>
              <w:right w:val="nil"/>
            </w:tcBorders>
            <w:shd w:val="clear" w:color="auto" w:fill="auto"/>
            <w:noWrap/>
            <w:vAlign w:val="bottom"/>
            <w:hideMark/>
          </w:tcPr>
          <w:p w14:paraId="25ED83FE" w14:textId="77777777" w:rsidR="003171B2" w:rsidRPr="003171B2" w:rsidRDefault="003171B2" w:rsidP="003171B2">
            <w:pPr>
              <w:spacing w:after="0" w:line="240" w:lineRule="auto"/>
              <w:jc w:val="lef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23ED7114" w14:textId="77777777" w:rsidR="003171B2" w:rsidRPr="003171B2" w:rsidRDefault="003171B2" w:rsidP="003171B2">
            <w:pPr>
              <w:spacing w:after="0" w:line="240" w:lineRule="auto"/>
              <w:jc w:val="left"/>
              <w:rPr>
                <w:rFonts w:ascii="Times New Roman" w:hAnsi="Times New Roman"/>
              </w:rPr>
            </w:pPr>
          </w:p>
        </w:tc>
        <w:tc>
          <w:tcPr>
            <w:tcW w:w="578" w:type="pct"/>
            <w:tcBorders>
              <w:top w:val="nil"/>
              <w:left w:val="nil"/>
              <w:bottom w:val="nil"/>
              <w:right w:val="nil"/>
            </w:tcBorders>
            <w:shd w:val="clear" w:color="auto" w:fill="auto"/>
            <w:noWrap/>
            <w:vAlign w:val="bottom"/>
            <w:hideMark/>
          </w:tcPr>
          <w:p w14:paraId="6717E2E1" w14:textId="77777777" w:rsidR="003171B2" w:rsidRPr="003171B2" w:rsidRDefault="003171B2" w:rsidP="003171B2">
            <w:pPr>
              <w:spacing w:after="0" w:line="240" w:lineRule="auto"/>
              <w:jc w:val="left"/>
              <w:rPr>
                <w:rFonts w:ascii="Times New Roman" w:hAnsi="Times New Roman"/>
              </w:rPr>
            </w:pPr>
          </w:p>
        </w:tc>
      </w:tr>
      <w:tr w:rsidR="003171B2" w:rsidRPr="003171B2" w14:paraId="1B0769D8" w14:textId="77777777" w:rsidTr="003171B2">
        <w:trPr>
          <w:trHeight w:val="210"/>
        </w:trPr>
        <w:tc>
          <w:tcPr>
            <w:tcW w:w="2110" w:type="pct"/>
            <w:tcBorders>
              <w:top w:val="nil"/>
              <w:left w:val="nil"/>
              <w:bottom w:val="nil"/>
              <w:right w:val="nil"/>
            </w:tcBorders>
            <w:shd w:val="clear" w:color="auto" w:fill="auto"/>
            <w:noWrap/>
            <w:vAlign w:val="bottom"/>
            <w:hideMark/>
          </w:tcPr>
          <w:p w14:paraId="1BCB5DC7" w14:textId="77777777" w:rsidR="003171B2" w:rsidRPr="003171B2" w:rsidRDefault="003171B2" w:rsidP="003171B2">
            <w:pPr>
              <w:spacing w:after="0" w:line="240" w:lineRule="auto"/>
              <w:jc w:val="left"/>
              <w:rPr>
                <w:rFonts w:ascii="Arial" w:hAnsi="Arial" w:cs="Arial"/>
                <w:b/>
                <w:bCs/>
                <w:color w:val="000000"/>
                <w:sz w:val="16"/>
                <w:szCs w:val="16"/>
              </w:rPr>
            </w:pPr>
            <w:r w:rsidRPr="003171B2">
              <w:rPr>
                <w:rFonts w:ascii="Arial" w:hAnsi="Arial" w:cs="Arial"/>
                <w:b/>
                <w:bCs/>
                <w:color w:val="000000"/>
                <w:sz w:val="16"/>
                <w:szCs w:val="16"/>
              </w:rPr>
              <w:t>Payables</w:t>
            </w:r>
          </w:p>
        </w:tc>
        <w:tc>
          <w:tcPr>
            <w:tcW w:w="578" w:type="pct"/>
            <w:tcBorders>
              <w:top w:val="nil"/>
              <w:left w:val="nil"/>
              <w:bottom w:val="nil"/>
              <w:right w:val="nil"/>
            </w:tcBorders>
            <w:shd w:val="clear" w:color="auto" w:fill="auto"/>
            <w:noWrap/>
            <w:vAlign w:val="bottom"/>
            <w:hideMark/>
          </w:tcPr>
          <w:p w14:paraId="63D95968" w14:textId="77777777" w:rsidR="003171B2" w:rsidRPr="003171B2" w:rsidRDefault="003171B2" w:rsidP="003171B2">
            <w:pPr>
              <w:spacing w:after="0" w:line="240" w:lineRule="auto"/>
              <w:jc w:val="lef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bottom"/>
            <w:hideMark/>
          </w:tcPr>
          <w:p w14:paraId="2447DAE0" w14:textId="77777777" w:rsidR="003171B2" w:rsidRPr="003171B2" w:rsidRDefault="003171B2" w:rsidP="003171B2">
            <w:pPr>
              <w:spacing w:after="0" w:line="240" w:lineRule="auto"/>
              <w:jc w:val="left"/>
              <w:rPr>
                <w:rFonts w:ascii="Arial" w:hAnsi="Arial" w:cs="Arial"/>
                <w:color w:val="000000"/>
                <w:sz w:val="16"/>
                <w:szCs w:val="16"/>
              </w:rPr>
            </w:pPr>
            <w:r w:rsidRPr="003171B2">
              <w:rPr>
                <w:rFonts w:ascii="Arial" w:hAnsi="Arial" w:cs="Arial"/>
                <w:color w:val="000000"/>
                <w:sz w:val="16"/>
                <w:szCs w:val="16"/>
              </w:rPr>
              <w:t> </w:t>
            </w:r>
          </w:p>
        </w:tc>
        <w:tc>
          <w:tcPr>
            <w:tcW w:w="578" w:type="pct"/>
            <w:tcBorders>
              <w:top w:val="nil"/>
              <w:left w:val="nil"/>
              <w:bottom w:val="nil"/>
              <w:right w:val="nil"/>
            </w:tcBorders>
            <w:shd w:val="clear" w:color="auto" w:fill="auto"/>
            <w:noWrap/>
            <w:vAlign w:val="bottom"/>
            <w:hideMark/>
          </w:tcPr>
          <w:p w14:paraId="73A49305" w14:textId="77777777" w:rsidR="003171B2" w:rsidRPr="003171B2" w:rsidRDefault="003171B2" w:rsidP="003171B2">
            <w:pPr>
              <w:spacing w:after="0" w:line="240" w:lineRule="auto"/>
              <w:jc w:val="lef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0BA92A3F" w14:textId="77777777" w:rsidR="003171B2" w:rsidRPr="003171B2" w:rsidRDefault="003171B2" w:rsidP="003171B2">
            <w:pPr>
              <w:spacing w:after="0" w:line="240" w:lineRule="auto"/>
              <w:jc w:val="left"/>
              <w:rPr>
                <w:rFonts w:ascii="Times New Roman" w:hAnsi="Times New Roman"/>
              </w:rPr>
            </w:pPr>
          </w:p>
        </w:tc>
        <w:tc>
          <w:tcPr>
            <w:tcW w:w="578" w:type="pct"/>
            <w:tcBorders>
              <w:top w:val="nil"/>
              <w:left w:val="nil"/>
              <w:bottom w:val="nil"/>
              <w:right w:val="nil"/>
            </w:tcBorders>
            <w:shd w:val="clear" w:color="auto" w:fill="auto"/>
            <w:noWrap/>
            <w:vAlign w:val="bottom"/>
            <w:hideMark/>
          </w:tcPr>
          <w:p w14:paraId="73C65713" w14:textId="77777777" w:rsidR="003171B2" w:rsidRPr="003171B2" w:rsidRDefault="003171B2" w:rsidP="003171B2">
            <w:pPr>
              <w:spacing w:after="0" w:line="240" w:lineRule="auto"/>
              <w:jc w:val="left"/>
              <w:rPr>
                <w:rFonts w:ascii="Times New Roman" w:hAnsi="Times New Roman"/>
              </w:rPr>
            </w:pPr>
          </w:p>
        </w:tc>
      </w:tr>
      <w:tr w:rsidR="003171B2" w:rsidRPr="003171B2" w14:paraId="09A6FE9E" w14:textId="77777777" w:rsidTr="003171B2">
        <w:trPr>
          <w:trHeight w:val="200"/>
        </w:trPr>
        <w:tc>
          <w:tcPr>
            <w:tcW w:w="2110" w:type="pct"/>
            <w:tcBorders>
              <w:top w:val="nil"/>
              <w:left w:val="nil"/>
              <w:bottom w:val="nil"/>
              <w:right w:val="nil"/>
            </w:tcBorders>
            <w:shd w:val="clear" w:color="auto" w:fill="auto"/>
            <w:noWrap/>
            <w:vAlign w:val="bottom"/>
            <w:hideMark/>
          </w:tcPr>
          <w:p w14:paraId="0674335A" w14:textId="77777777" w:rsidR="003171B2" w:rsidRPr="003171B2" w:rsidRDefault="003171B2" w:rsidP="003171B2">
            <w:pPr>
              <w:spacing w:after="0" w:line="240" w:lineRule="auto"/>
              <w:ind w:firstLineChars="100" w:firstLine="160"/>
              <w:jc w:val="left"/>
              <w:rPr>
                <w:rFonts w:ascii="Arial" w:hAnsi="Arial" w:cs="Arial"/>
                <w:color w:val="000000"/>
                <w:sz w:val="16"/>
                <w:szCs w:val="16"/>
              </w:rPr>
            </w:pPr>
            <w:r w:rsidRPr="003171B2">
              <w:rPr>
                <w:rFonts w:ascii="Arial" w:hAnsi="Arial" w:cs="Arial"/>
                <w:color w:val="000000"/>
                <w:sz w:val="16"/>
                <w:szCs w:val="16"/>
              </w:rPr>
              <w:t>Suppliers</w:t>
            </w:r>
          </w:p>
        </w:tc>
        <w:tc>
          <w:tcPr>
            <w:tcW w:w="578" w:type="pct"/>
            <w:tcBorders>
              <w:top w:val="nil"/>
              <w:left w:val="nil"/>
              <w:bottom w:val="nil"/>
              <w:right w:val="nil"/>
            </w:tcBorders>
            <w:shd w:val="clear" w:color="auto" w:fill="auto"/>
            <w:noWrap/>
            <w:vAlign w:val="bottom"/>
            <w:hideMark/>
          </w:tcPr>
          <w:p w14:paraId="32E2B9CB"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17,163</w:t>
            </w:r>
          </w:p>
        </w:tc>
        <w:tc>
          <w:tcPr>
            <w:tcW w:w="578" w:type="pct"/>
            <w:tcBorders>
              <w:top w:val="nil"/>
              <w:left w:val="nil"/>
              <w:bottom w:val="nil"/>
              <w:right w:val="nil"/>
            </w:tcBorders>
            <w:shd w:val="clear" w:color="000000" w:fill="E6E6E6"/>
            <w:noWrap/>
            <w:vAlign w:val="bottom"/>
            <w:hideMark/>
          </w:tcPr>
          <w:p w14:paraId="3EFE8021"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16,989</w:t>
            </w:r>
          </w:p>
        </w:tc>
        <w:tc>
          <w:tcPr>
            <w:tcW w:w="578" w:type="pct"/>
            <w:tcBorders>
              <w:top w:val="nil"/>
              <w:left w:val="nil"/>
              <w:bottom w:val="nil"/>
              <w:right w:val="nil"/>
            </w:tcBorders>
            <w:shd w:val="clear" w:color="auto" w:fill="auto"/>
            <w:noWrap/>
            <w:vAlign w:val="bottom"/>
            <w:hideMark/>
          </w:tcPr>
          <w:p w14:paraId="44865498"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16,432</w:t>
            </w:r>
          </w:p>
        </w:tc>
        <w:tc>
          <w:tcPr>
            <w:tcW w:w="578" w:type="pct"/>
            <w:tcBorders>
              <w:top w:val="nil"/>
              <w:left w:val="nil"/>
              <w:bottom w:val="nil"/>
              <w:right w:val="nil"/>
            </w:tcBorders>
            <w:shd w:val="clear" w:color="auto" w:fill="auto"/>
            <w:noWrap/>
            <w:vAlign w:val="bottom"/>
            <w:hideMark/>
          </w:tcPr>
          <w:p w14:paraId="7068268E"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16,432</w:t>
            </w:r>
          </w:p>
        </w:tc>
        <w:tc>
          <w:tcPr>
            <w:tcW w:w="578" w:type="pct"/>
            <w:tcBorders>
              <w:top w:val="nil"/>
              <w:left w:val="nil"/>
              <w:bottom w:val="nil"/>
              <w:right w:val="nil"/>
            </w:tcBorders>
            <w:shd w:val="clear" w:color="auto" w:fill="auto"/>
            <w:noWrap/>
            <w:vAlign w:val="bottom"/>
            <w:hideMark/>
          </w:tcPr>
          <w:p w14:paraId="669BFF88"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16,432</w:t>
            </w:r>
          </w:p>
        </w:tc>
      </w:tr>
      <w:tr w:rsidR="003171B2" w:rsidRPr="003171B2" w14:paraId="0429A85C" w14:textId="77777777" w:rsidTr="003171B2">
        <w:trPr>
          <w:trHeight w:val="200"/>
        </w:trPr>
        <w:tc>
          <w:tcPr>
            <w:tcW w:w="2110" w:type="pct"/>
            <w:tcBorders>
              <w:top w:val="nil"/>
              <w:left w:val="nil"/>
              <w:bottom w:val="nil"/>
              <w:right w:val="nil"/>
            </w:tcBorders>
            <w:shd w:val="clear" w:color="auto" w:fill="auto"/>
            <w:noWrap/>
            <w:vAlign w:val="bottom"/>
            <w:hideMark/>
          </w:tcPr>
          <w:p w14:paraId="6682B0B0" w14:textId="77777777" w:rsidR="003171B2" w:rsidRPr="003171B2" w:rsidRDefault="003171B2" w:rsidP="003171B2">
            <w:pPr>
              <w:spacing w:after="0" w:line="240" w:lineRule="auto"/>
              <w:ind w:firstLineChars="100" w:firstLine="160"/>
              <w:jc w:val="left"/>
              <w:rPr>
                <w:rFonts w:ascii="Arial" w:hAnsi="Arial" w:cs="Arial"/>
                <w:color w:val="000000"/>
                <w:sz w:val="16"/>
                <w:szCs w:val="16"/>
              </w:rPr>
            </w:pPr>
            <w:r w:rsidRPr="003171B2">
              <w:rPr>
                <w:rFonts w:ascii="Arial" w:hAnsi="Arial" w:cs="Arial"/>
                <w:color w:val="000000"/>
                <w:sz w:val="16"/>
                <w:szCs w:val="16"/>
              </w:rPr>
              <w:t>Other payables</w:t>
            </w:r>
          </w:p>
        </w:tc>
        <w:tc>
          <w:tcPr>
            <w:tcW w:w="578" w:type="pct"/>
            <w:tcBorders>
              <w:top w:val="nil"/>
              <w:left w:val="nil"/>
              <w:bottom w:val="nil"/>
              <w:right w:val="nil"/>
            </w:tcBorders>
            <w:shd w:val="clear" w:color="auto" w:fill="auto"/>
            <w:noWrap/>
            <w:vAlign w:val="bottom"/>
            <w:hideMark/>
          </w:tcPr>
          <w:p w14:paraId="3EC1401B"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7,714</w:t>
            </w:r>
          </w:p>
        </w:tc>
        <w:tc>
          <w:tcPr>
            <w:tcW w:w="578" w:type="pct"/>
            <w:tcBorders>
              <w:top w:val="nil"/>
              <w:left w:val="nil"/>
              <w:bottom w:val="nil"/>
              <w:right w:val="nil"/>
            </w:tcBorders>
            <w:shd w:val="clear" w:color="000000" w:fill="E6E6E6"/>
            <w:noWrap/>
            <w:vAlign w:val="bottom"/>
            <w:hideMark/>
          </w:tcPr>
          <w:p w14:paraId="16C5226E"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4,848</w:t>
            </w:r>
          </w:p>
        </w:tc>
        <w:tc>
          <w:tcPr>
            <w:tcW w:w="578" w:type="pct"/>
            <w:tcBorders>
              <w:top w:val="nil"/>
              <w:left w:val="nil"/>
              <w:bottom w:val="nil"/>
              <w:right w:val="nil"/>
            </w:tcBorders>
            <w:shd w:val="clear" w:color="auto" w:fill="auto"/>
            <w:noWrap/>
            <w:vAlign w:val="bottom"/>
            <w:hideMark/>
          </w:tcPr>
          <w:p w14:paraId="23C6888A"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4,848</w:t>
            </w:r>
          </w:p>
        </w:tc>
        <w:tc>
          <w:tcPr>
            <w:tcW w:w="578" w:type="pct"/>
            <w:tcBorders>
              <w:top w:val="nil"/>
              <w:left w:val="nil"/>
              <w:bottom w:val="nil"/>
              <w:right w:val="nil"/>
            </w:tcBorders>
            <w:shd w:val="clear" w:color="auto" w:fill="auto"/>
            <w:noWrap/>
            <w:vAlign w:val="bottom"/>
            <w:hideMark/>
          </w:tcPr>
          <w:p w14:paraId="1270E0EA"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4,848</w:t>
            </w:r>
          </w:p>
        </w:tc>
        <w:tc>
          <w:tcPr>
            <w:tcW w:w="578" w:type="pct"/>
            <w:tcBorders>
              <w:top w:val="nil"/>
              <w:left w:val="nil"/>
              <w:bottom w:val="nil"/>
              <w:right w:val="nil"/>
            </w:tcBorders>
            <w:shd w:val="clear" w:color="auto" w:fill="auto"/>
            <w:noWrap/>
            <w:vAlign w:val="bottom"/>
            <w:hideMark/>
          </w:tcPr>
          <w:p w14:paraId="0F712F20"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4,848</w:t>
            </w:r>
          </w:p>
        </w:tc>
      </w:tr>
      <w:tr w:rsidR="003171B2" w:rsidRPr="003171B2" w14:paraId="519ECDB3" w14:textId="77777777" w:rsidTr="003171B2">
        <w:trPr>
          <w:trHeight w:val="200"/>
        </w:trPr>
        <w:tc>
          <w:tcPr>
            <w:tcW w:w="2110" w:type="pct"/>
            <w:tcBorders>
              <w:top w:val="nil"/>
              <w:left w:val="nil"/>
              <w:bottom w:val="nil"/>
              <w:right w:val="nil"/>
            </w:tcBorders>
            <w:shd w:val="clear" w:color="auto" w:fill="auto"/>
            <w:noWrap/>
            <w:vAlign w:val="bottom"/>
            <w:hideMark/>
          </w:tcPr>
          <w:p w14:paraId="4D2C7AB5" w14:textId="77777777" w:rsidR="003171B2" w:rsidRPr="003171B2" w:rsidRDefault="003171B2" w:rsidP="003171B2">
            <w:pPr>
              <w:spacing w:after="0" w:line="240" w:lineRule="auto"/>
              <w:jc w:val="left"/>
              <w:rPr>
                <w:rFonts w:ascii="Arial" w:hAnsi="Arial" w:cs="Arial"/>
                <w:b/>
                <w:bCs/>
                <w:i/>
                <w:iCs/>
                <w:color w:val="000000"/>
                <w:sz w:val="16"/>
                <w:szCs w:val="16"/>
              </w:rPr>
            </w:pPr>
            <w:r w:rsidRPr="003171B2">
              <w:rPr>
                <w:rFonts w:ascii="Arial" w:hAnsi="Arial" w:cs="Arial"/>
                <w:b/>
                <w:bCs/>
                <w:i/>
                <w:iCs/>
                <w:color w:val="000000"/>
                <w:sz w:val="16"/>
                <w:szCs w:val="16"/>
              </w:rPr>
              <w:t>Total payables</w:t>
            </w:r>
          </w:p>
        </w:tc>
        <w:tc>
          <w:tcPr>
            <w:tcW w:w="578" w:type="pct"/>
            <w:tcBorders>
              <w:top w:val="single" w:sz="4" w:space="0" w:color="000000"/>
              <w:left w:val="nil"/>
              <w:bottom w:val="single" w:sz="4" w:space="0" w:color="000000"/>
              <w:right w:val="nil"/>
            </w:tcBorders>
            <w:shd w:val="clear" w:color="auto" w:fill="auto"/>
            <w:noWrap/>
            <w:vAlign w:val="bottom"/>
            <w:hideMark/>
          </w:tcPr>
          <w:p w14:paraId="3E6C4ED1" w14:textId="77777777" w:rsidR="003171B2" w:rsidRPr="003171B2" w:rsidRDefault="003171B2" w:rsidP="003171B2">
            <w:pPr>
              <w:spacing w:after="0" w:line="240" w:lineRule="auto"/>
              <w:jc w:val="left"/>
              <w:rPr>
                <w:rFonts w:ascii="Arial" w:hAnsi="Arial" w:cs="Arial"/>
                <w:b/>
                <w:bCs/>
                <w:i/>
                <w:iCs/>
                <w:color w:val="000000"/>
                <w:sz w:val="16"/>
                <w:szCs w:val="16"/>
              </w:rPr>
            </w:pPr>
            <w:r w:rsidRPr="003171B2">
              <w:rPr>
                <w:rFonts w:ascii="Arial" w:hAnsi="Arial" w:cs="Arial"/>
                <w:b/>
                <w:bCs/>
                <w:i/>
                <w:iCs/>
                <w:color w:val="000000"/>
                <w:sz w:val="16"/>
                <w:szCs w:val="16"/>
              </w:rPr>
              <w:t xml:space="preserve">       24,877 </w:t>
            </w:r>
          </w:p>
        </w:tc>
        <w:tc>
          <w:tcPr>
            <w:tcW w:w="578" w:type="pct"/>
            <w:tcBorders>
              <w:top w:val="single" w:sz="4" w:space="0" w:color="000000"/>
              <w:left w:val="nil"/>
              <w:bottom w:val="single" w:sz="4" w:space="0" w:color="000000"/>
              <w:right w:val="nil"/>
            </w:tcBorders>
            <w:shd w:val="clear" w:color="000000" w:fill="E6E6E6"/>
            <w:noWrap/>
            <w:vAlign w:val="bottom"/>
            <w:hideMark/>
          </w:tcPr>
          <w:p w14:paraId="5C187254" w14:textId="77777777" w:rsidR="003171B2" w:rsidRPr="003171B2" w:rsidRDefault="003171B2" w:rsidP="003171B2">
            <w:pPr>
              <w:spacing w:after="0" w:line="240" w:lineRule="auto"/>
              <w:jc w:val="left"/>
              <w:rPr>
                <w:rFonts w:ascii="Arial" w:hAnsi="Arial" w:cs="Arial"/>
                <w:b/>
                <w:bCs/>
                <w:i/>
                <w:iCs/>
                <w:color w:val="000000"/>
                <w:sz w:val="16"/>
                <w:szCs w:val="16"/>
              </w:rPr>
            </w:pPr>
            <w:r w:rsidRPr="003171B2">
              <w:rPr>
                <w:rFonts w:ascii="Arial" w:hAnsi="Arial" w:cs="Arial"/>
                <w:b/>
                <w:bCs/>
                <w:i/>
                <w:iCs/>
                <w:color w:val="000000"/>
                <w:sz w:val="16"/>
                <w:szCs w:val="16"/>
              </w:rPr>
              <w:t xml:space="preserve">       21,837 </w:t>
            </w:r>
          </w:p>
        </w:tc>
        <w:tc>
          <w:tcPr>
            <w:tcW w:w="578" w:type="pct"/>
            <w:tcBorders>
              <w:top w:val="single" w:sz="4" w:space="0" w:color="000000"/>
              <w:left w:val="nil"/>
              <w:bottom w:val="single" w:sz="4" w:space="0" w:color="000000"/>
              <w:right w:val="nil"/>
            </w:tcBorders>
            <w:shd w:val="clear" w:color="auto" w:fill="auto"/>
            <w:noWrap/>
            <w:vAlign w:val="bottom"/>
            <w:hideMark/>
          </w:tcPr>
          <w:p w14:paraId="30E6E884" w14:textId="77777777" w:rsidR="003171B2" w:rsidRPr="003171B2" w:rsidRDefault="003171B2" w:rsidP="003171B2">
            <w:pPr>
              <w:spacing w:after="0" w:line="240" w:lineRule="auto"/>
              <w:jc w:val="left"/>
              <w:rPr>
                <w:rFonts w:ascii="Arial" w:hAnsi="Arial" w:cs="Arial"/>
                <w:b/>
                <w:bCs/>
                <w:i/>
                <w:iCs/>
                <w:color w:val="000000"/>
                <w:sz w:val="16"/>
                <w:szCs w:val="16"/>
              </w:rPr>
            </w:pPr>
            <w:r w:rsidRPr="003171B2">
              <w:rPr>
                <w:rFonts w:ascii="Arial" w:hAnsi="Arial" w:cs="Arial"/>
                <w:b/>
                <w:bCs/>
                <w:i/>
                <w:iCs/>
                <w:color w:val="000000"/>
                <w:sz w:val="16"/>
                <w:szCs w:val="16"/>
              </w:rPr>
              <w:t xml:space="preserve">       21,280 </w:t>
            </w:r>
          </w:p>
        </w:tc>
        <w:tc>
          <w:tcPr>
            <w:tcW w:w="578" w:type="pct"/>
            <w:tcBorders>
              <w:top w:val="single" w:sz="4" w:space="0" w:color="000000"/>
              <w:left w:val="nil"/>
              <w:bottom w:val="single" w:sz="4" w:space="0" w:color="000000"/>
              <w:right w:val="nil"/>
            </w:tcBorders>
            <w:shd w:val="clear" w:color="auto" w:fill="auto"/>
            <w:noWrap/>
            <w:vAlign w:val="bottom"/>
            <w:hideMark/>
          </w:tcPr>
          <w:p w14:paraId="2572EE4A" w14:textId="77777777" w:rsidR="003171B2" w:rsidRPr="003171B2" w:rsidRDefault="003171B2" w:rsidP="003171B2">
            <w:pPr>
              <w:spacing w:after="0" w:line="240" w:lineRule="auto"/>
              <w:jc w:val="left"/>
              <w:rPr>
                <w:rFonts w:ascii="Arial" w:hAnsi="Arial" w:cs="Arial"/>
                <w:b/>
                <w:bCs/>
                <w:i/>
                <w:iCs/>
                <w:color w:val="000000"/>
                <w:sz w:val="16"/>
                <w:szCs w:val="16"/>
              </w:rPr>
            </w:pPr>
            <w:r w:rsidRPr="003171B2">
              <w:rPr>
                <w:rFonts w:ascii="Arial" w:hAnsi="Arial" w:cs="Arial"/>
                <w:b/>
                <w:bCs/>
                <w:i/>
                <w:iCs/>
                <w:color w:val="000000"/>
                <w:sz w:val="16"/>
                <w:szCs w:val="16"/>
              </w:rPr>
              <w:t xml:space="preserve">       21,280 </w:t>
            </w:r>
          </w:p>
        </w:tc>
        <w:tc>
          <w:tcPr>
            <w:tcW w:w="578" w:type="pct"/>
            <w:tcBorders>
              <w:top w:val="single" w:sz="4" w:space="0" w:color="000000"/>
              <w:left w:val="nil"/>
              <w:bottom w:val="single" w:sz="4" w:space="0" w:color="000000"/>
              <w:right w:val="nil"/>
            </w:tcBorders>
            <w:shd w:val="clear" w:color="auto" w:fill="auto"/>
            <w:noWrap/>
            <w:vAlign w:val="bottom"/>
            <w:hideMark/>
          </w:tcPr>
          <w:p w14:paraId="452C5AA9" w14:textId="77777777" w:rsidR="003171B2" w:rsidRPr="003171B2" w:rsidRDefault="003171B2" w:rsidP="003171B2">
            <w:pPr>
              <w:spacing w:after="0" w:line="240" w:lineRule="auto"/>
              <w:jc w:val="left"/>
              <w:rPr>
                <w:rFonts w:ascii="Arial" w:hAnsi="Arial" w:cs="Arial"/>
                <w:b/>
                <w:bCs/>
                <w:i/>
                <w:iCs/>
                <w:color w:val="000000"/>
                <w:sz w:val="16"/>
                <w:szCs w:val="16"/>
              </w:rPr>
            </w:pPr>
            <w:r w:rsidRPr="003171B2">
              <w:rPr>
                <w:rFonts w:ascii="Arial" w:hAnsi="Arial" w:cs="Arial"/>
                <w:b/>
                <w:bCs/>
                <w:i/>
                <w:iCs/>
                <w:color w:val="000000"/>
                <w:sz w:val="16"/>
                <w:szCs w:val="16"/>
              </w:rPr>
              <w:t xml:space="preserve">       21,280 </w:t>
            </w:r>
          </w:p>
        </w:tc>
      </w:tr>
      <w:tr w:rsidR="003171B2" w:rsidRPr="003171B2" w14:paraId="3087F153" w14:textId="77777777" w:rsidTr="003171B2">
        <w:trPr>
          <w:trHeight w:val="210"/>
        </w:trPr>
        <w:tc>
          <w:tcPr>
            <w:tcW w:w="2110" w:type="pct"/>
            <w:tcBorders>
              <w:top w:val="nil"/>
              <w:left w:val="nil"/>
              <w:bottom w:val="nil"/>
              <w:right w:val="nil"/>
            </w:tcBorders>
            <w:shd w:val="clear" w:color="auto" w:fill="auto"/>
            <w:noWrap/>
            <w:vAlign w:val="bottom"/>
            <w:hideMark/>
          </w:tcPr>
          <w:p w14:paraId="544630BB" w14:textId="77777777" w:rsidR="003171B2" w:rsidRPr="003171B2" w:rsidRDefault="003171B2" w:rsidP="003171B2">
            <w:pPr>
              <w:spacing w:after="0" w:line="240" w:lineRule="auto"/>
              <w:jc w:val="left"/>
              <w:rPr>
                <w:rFonts w:ascii="Arial" w:hAnsi="Arial" w:cs="Arial"/>
                <w:b/>
                <w:bCs/>
                <w:color w:val="000000"/>
                <w:sz w:val="16"/>
                <w:szCs w:val="16"/>
              </w:rPr>
            </w:pPr>
            <w:r w:rsidRPr="003171B2">
              <w:rPr>
                <w:rFonts w:ascii="Arial" w:hAnsi="Arial" w:cs="Arial"/>
                <w:b/>
                <w:bCs/>
                <w:color w:val="000000"/>
                <w:sz w:val="16"/>
                <w:szCs w:val="16"/>
              </w:rPr>
              <w:t>Interest bearing liabilities</w:t>
            </w:r>
          </w:p>
        </w:tc>
        <w:tc>
          <w:tcPr>
            <w:tcW w:w="578" w:type="pct"/>
            <w:tcBorders>
              <w:top w:val="nil"/>
              <w:left w:val="nil"/>
              <w:bottom w:val="nil"/>
              <w:right w:val="nil"/>
            </w:tcBorders>
            <w:shd w:val="clear" w:color="auto" w:fill="auto"/>
            <w:noWrap/>
            <w:vAlign w:val="bottom"/>
            <w:hideMark/>
          </w:tcPr>
          <w:p w14:paraId="23C85492" w14:textId="77777777" w:rsidR="003171B2" w:rsidRPr="003171B2" w:rsidRDefault="003171B2" w:rsidP="003171B2">
            <w:pPr>
              <w:spacing w:after="0" w:line="240" w:lineRule="auto"/>
              <w:jc w:val="lef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bottom"/>
            <w:hideMark/>
          </w:tcPr>
          <w:p w14:paraId="57612853" w14:textId="77777777" w:rsidR="003171B2" w:rsidRPr="003171B2" w:rsidRDefault="003171B2" w:rsidP="003171B2">
            <w:pPr>
              <w:spacing w:after="0" w:line="240" w:lineRule="auto"/>
              <w:jc w:val="left"/>
              <w:rPr>
                <w:rFonts w:ascii="Arial" w:hAnsi="Arial" w:cs="Arial"/>
                <w:color w:val="000000"/>
                <w:sz w:val="16"/>
                <w:szCs w:val="16"/>
              </w:rPr>
            </w:pPr>
            <w:r w:rsidRPr="003171B2">
              <w:rPr>
                <w:rFonts w:ascii="Arial" w:hAnsi="Arial" w:cs="Arial"/>
                <w:color w:val="000000"/>
                <w:sz w:val="16"/>
                <w:szCs w:val="16"/>
              </w:rPr>
              <w:t> </w:t>
            </w:r>
          </w:p>
        </w:tc>
        <w:tc>
          <w:tcPr>
            <w:tcW w:w="578" w:type="pct"/>
            <w:tcBorders>
              <w:top w:val="nil"/>
              <w:left w:val="nil"/>
              <w:bottom w:val="nil"/>
              <w:right w:val="nil"/>
            </w:tcBorders>
            <w:shd w:val="clear" w:color="auto" w:fill="auto"/>
            <w:noWrap/>
            <w:vAlign w:val="bottom"/>
            <w:hideMark/>
          </w:tcPr>
          <w:p w14:paraId="4554D656" w14:textId="77777777" w:rsidR="003171B2" w:rsidRPr="003171B2" w:rsidRDefault="003171B2" w:rsidP="003171B2">
            <w:pPr>
              <w:spacing w:after="0" w:line="240" w:lineRule="auto"/>
              <w:jc w:val="lef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62AF8771" w14:textId="77777777" w:rsidR="003171B2" w:rsidRPr="003171B2" w:rsidRDefault="003171B2" w:rsidP="003171B2">
            <w:pPr>
              <w:spacing w:after="0" w:line="240" w:lineRule="auto"/>
              <w:jc w:val="left"/>
              <w:rPr>
                <w:rFonts w:ascii="Times New Roman" w:hAnsi="Times New Roman"/>
              </w:rPr>
            </w:pPr>
          </w:p>
        </w:tc>
        <w:tc>
          <w:tcPr>
            <w:tcW w:w="578" w:type="pct"/>
            <w:tcBorders>
              <w:top w:val="nil"/>
              <w:left w:val="nil"/>
              <w:bottom w:val="nil"/>
              <w:right w:val="nil"/>
            </w:tcBorders>
            <w:shd w:val="clear" w:color="auto" w:fill="auto"/>
            <w:noWrap/>
            <w:vAlign w:val="bottom"/>
            <w:hideMark/>
          </w:tcPr>
          <w:p w14:paraId="02EBF0F7" w14:textId="77777777" w:rsidR="003171B2" w:rsidRPr="003171B2" w:rsidRDefault="003171B2" w:rsidP="003171B2">
            <w:pPr>
              <w:spacing w:after="0" w:line="240" w:lineRule="auto"/>
              <w:jc w:val="left"/>
              <w:rPr>
                <w:rFonts w:ascii="Times New Roman" w:hAnsi="Times New Roman"/>
              </w:rPr>
            </w:pPr>
          </w:p>
        </w:tc>
      </w:tr>
      <w:tr w:rsidR="003171B2" w:rsidRPr="003171B2" w14:paraId="4B6E8D0E" w14:textId="77777777" w:rsidTr="003171B2">
        <w:trPr>
          <w:trHeight w:val="200"/>
        </w:trPr>
        <w:tc>
          <w:tcPr>
            <w:tcW w:w="2110" w:type="pct"/>
            <w:tcBorders>
              <w:top w:val="nil"/>
              <w:left w:val="nil"/>
              <w:bottom w:val="nil"/>
              <w:right w:val="nil"/>
            </w:tcBorders>
            <w:shd w:val="clear" w:color="auto" w:fill="auto"/>
            <w:noWrap/>
            <w:vAlign w:val="bottom"/>
            <w:hideMark/>
          </w:tcPr>
          <w:p w14:paraId="6A41BC78" w14:textId="77777777" w:rsidR="003171B2" w:rsidRPr="003171B2" w:rsidRDefault="003171B2" w:rsidP="003171B2">
            <w:pPr>
              <w:spacing w:after="0" w:line="240" w:lineRule="auto"/>
              <w:ind w:firstLineChars="100" w:firstLine="160"/>
              <w:jc w:val="left"/>
              <w:rPr>
                <w:rFonts w:ascii="Arial" w:hAnsi="Arial" w:cs="Arial"/>
                <w:color w:val="000000"/>
                <w:sz w:val="16"/>
                <w:szCs w:val="16"/>
              </w:rPr>
            </w:pPr>
            <w:r w:rsidRPr="003171B2">
              <w:rPr>
                <w:rFonts w:ascii="Arial" w:hAnsi="Arial" w:cs="Arial"/>
                <w:color w:val="000000"/>
                <w:sz w:val="16"/>
                <w:szCs w:val="16"/>
              </w:rPr>
              <w:t>Leases</w:t>
            </w:r>
          </w:p>
        </w:tc>
        <w:tc>
          <w:tcPr>
            <w:tcW w:w="578" w:type="pct"/>
            <w:tcBorders>
              <w:top w:val="nil"/>
              <w:left w:val="nil"/>
              <w:bottom w:val="nil"/>
              <w:right w:val="nil"/>
            </w:tcBorders>
            <w:shd w:val="clear" w:color="auto" w:fill="auto"/>
            <w:noWrap/>
            <w:vAlign w:val="bottom"/>
            <w:hideMark/>
          </w:tcPr>
          <w:p w14:paraId="76E824BA"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78,163</w:t>
            </w:r>
          </w:p>
        </w:tc>
        <w:tc>
          <w:tcPr>
            <w:tcW w:w="578" w:type="pct"/>
            <w:tcBorders>
              <w:top w:val="nil"/>
              <w:left w:val="nil"/>
              <w:bottom w:val="nil"/>
              <w:right w:val="nil"/>
            </w:tcBorders>
            <w:shd w:val="clear" w:color="000000" w:fill="E6E6E6"/>
            <w:noWrap/>
            <w:vAlign w:val="bottom"/>
            <w:hideMark/>
          </w:tcPr>
          <w:p w14:paraId="42D5EB4E"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64,631</w:t>
            </w:r>
          </w:p>
        </w:tc>
        <w:tc>
          <w:tcPr>
            <w:tcW w:w="578" w:type="pct"/>
            <w:tcBorders>
              <w:top w:val="nil"/>
              <w:left w:val="nil"/>
              <w:bottom w:val="nil"/>
              <w:right w:val="nil"/>
            </w:tcBorders>
            <w:shd w:val="clear" w:color="auto" w:fill="auto"/>
            <w:noWrap/>
            <w:vAlign w:val="bottom"/>
            <w:hideMark/>
          </w:tcPr>
          <w:p w14:paraId="23B0F35E"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75,038</w:t>
            </w:r>
          </w:p>
        </w:tc>
        <w:tc>
          <w:tcPr>
            <w:tcW w:w="578" w:type="pct"/>
            <w:tcBorders>
              <w:top w:val="nil"/>
              <w:left w:val="nil"/>
              <w:bottom w:val="nil"/>
              <w:right w:val="nil"/>
            </w:tcBorders>
            <w:shd w:val="clear" w:color="auto" w:fill="auto"/>
            <w:noWrap/>
            <w:vAlign w:val="bottom"/>
            <w:hideMark/>
          </w:tcPr>
          <w:p w14:paraId="5675236E"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59,970</w:t>
            </w:r>
          </w:p>
        </w:tc>
        <w:tc>
          <w:tcPr>
            <w:tcW w:w="578" w:type="pct"/>
            <w:tcBorders>
              <w:top w:val="nil"/>
              <w:left w:val="nil"/>
              <w:bottom w:val="nil"/>
              <w:right w:val="nil"/>
            </w:tcBorders>
            <w:shd w:val="clear" w:color="auto" w:fill="auto"/>
            <w:noWrap/>
            <w:vAlign w:val="bottom"/>
            <w:hideMark/>
          </w:tcPr>
          <w:p w14:paraId="66DD1B56"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44,902</w:t>
            </w:r>
          </w:p>
        </w:tc>
      </w:tr>
      <w:tr w:rsidR="003171B2" w:rsidRPr="003171B2" w14:paraId="6BC99CDD" w14:textId="77777777" w:rsidTr="003171B2">
        <w:trPr>
          <w:trHeight w:val="200"/>
        </w:trPr>
        <w:tc>
          <w:tcPr>
            <w:tcW w:w="2110" w:type="pct"/>
            <w:tcBorders>
              <w:top w:val="nil"/>
              <w:left w:val="nil"/>
              <w:bottom w:val="nil"/>
              <w:right w:val="nil"/>
            </w:tcBorders>
            <w:shd w:val="clear" w:color="auto" w:fill="auto"/>
            <w:noWrap/>
            <w:vAlign w:val="bottom"/>
            <w:hideMark/>
          </w:tcPr>
          <w:p w14:paraId="6B26319E" w14:textId="77777777" w:rsidR="003171B2" w:rsidRPr="003171B2" w:rsidRDefault="003171B2" w:rsidP="003171B2">
            <w:pPr>
              <w:spacing w:after="0" w:line="240" w:lineRule="auto"/>
              <w:jc w:val="left"/>
              <w:rPr>
                <w:rFonts w:ascii="Arial" w:hAnsi="Arial" w:cs="Arial"/>
                <w:b/>
                <w:bCs/>
                <w:i/>
                <w:iCs/>
                <w:color w:val="000000"/>
                <w:sz w:val="16"/>
                <w:szCs w:val="16"/>
              </w:rPr>
            </w:pPr>
            <w:r w:rsidRPr="003171B2">
              <w:rPr>
                <w:rFonts w:ascii="Arial" w:hAnsi="Arial" w:cs="Arial"/>
                <w:b/>
                <w:bCs/>
                <w:i/>
                <w:iCs/>
                <w:color w:val="000000"/>
                <w:sz w:val="16"/>
                <w:szCs w:val="16"/>
              </w:rPr>
              <w:t>Total interest bearing liabilities</w:t>
            </w:r>
          </w:p>
        </w:tc>
        <w:tc>
          <w:tcPr>
            <w:tcW w:w="578" w:type="pct"/>
            <w:tcBorders>
              <w:top w:val="single" w:sz="4" w:space="0" w:color="000000"/>
              <w:left w:val="nil"/>
              <w:bottom w:val="single" w:sz="4" w:space="0" w:color="000000"/>
              <w:right w:val="nil"/>
            </w:tcBorders>
            <w:shd w:val="clear" w:color="auto" w:fill="auto"/>
            <w:noWrap/>
            <w:vAlign w:val="bottom"/>
            <w:hideMark/>
          </w:tcPr>
          <w:p w14:paraId="334A6AF1" w14:textId="77777777" w:rsidR="003171B2" w:rsidRPr="003171B2" w:rsidRDefault="003171B2" w:rsidP="003171B2">
            <w:pPr>
              <w:spacing w:after="0" w:line="240" w:lineRule="auto"/>
              <w:jc w:val="left"/>
              <w:rPr>
                <w:rFonts w:ascii="Arial" w:hAnsi="Arial" w:cs="Arial"/>
                <w:b/>
                <w:bCs/>
                <w:i/>
                <w:iCs/>
                <w:color w:val="000000"/>
                <w:sz w:val="16"/>
                <w:szCs w:val="16"/>
              </w:rPr>
            </w:pPr>
            <w:r w:rsidRPr="003171B2">
              <w:rPr>
                <w:rFonts w:ascii="Arial" w:hAnsi="Arial" w:cs="Arial"/>
                <w:b/>
                <w:bCs/>
                <w:i/>
                <w:iCs/>
                <w:color w:val="000000"/>
                <w:sz w:val="16"/>
                <w:szCs w:val="16"/>
              </w:rPr>
              <w:t xml:space="preserve">       78,163 </w:t>
            </w:r>
          </w:p>
        </w:tc>
        <w:tc>
          <w:tcPr>
            <w:tcW w:w="578" w:type="pct"/>
            <w:tcBorders>
              <w:top w:val="single" w:sz="4" w:space="0" w:color="000000"/>
              <w:left w:val="nil"/>
              <w:bottom w:val="single" w:sz="4" w:space="0" w:color="000000"/>
              <w:right w:val="nil"/>
            </w:tcBorders>
            <w:shd w:val="clear" w:color="000000" w:fill="E6E6E6"/>
            <w:noWrap/>
            <w:vAlign w:val="bottom"/>
            <w:hideMark/>
          </w:tcPr>
          <w:p w14:paraId="48F572CC" w14:textId="77777777" w:rsidR="003171B2" w:rsidRPr="003171B2" w:rsidRDefault="003171B2" w:rsidP="003171B2">
            <w:pPr>
              <w:spacing w:after="0" w:line="240" w:lineRule="auto"/>
              <w:jc w:val="left"/>
              <w:rPr>
                <w:rFonts w:ascii="Arial" w:hAnsi="Arial" w:cs="Arial"/>
                <w:b/>
                <w:bCs/>
                <w:i/>
                <w:iCs/>
                <w:color w:val="000000"/>
                <w:sz w:val="16"/>
                <w:szCs w:val="16"/>
              </w:rPr>
            </w:pPr>
            <w:r w:rsidRPr="003171B2">
              <w:rPr>
                <w:rFonts w:ascii="Arial" w:hAnsi="Arial" w:cs="Arial"/>
                <w:b/>
                <w:bCs/>
                <w:i/>
                <w:iCs/>
                <w:color w:val="000000"/>
                <w:sz w:val="16"/>
                <w:szCs w:val="16"/>
              </w:rPr>
              <w:t xml:space="preserve">       64,631 </w:t>
            </w:r>
          </w:p>
        </w:tc>
        <w:tc>
          <w:tcPr>
            <w:tcW w:w="578" w:type="pct"/>
            <w:tcBorders>
              <w:top w:val="single" w:sz="4" w:space="0" w:color="000000"/>
              <w:left w:val="nil"/>
              <w:bottom w:val="single" w:sz="4" w:space="0" w:color="000000"/>
              <w:right w:val="nil"/>
            </w:tcBorders>
            <w:shd w:val="clear" w:color="auto" w:fill="auto"/>
            <w:noWrap/>
            <w:vAlign w:val="bottom"/>
            <w:hideMark/>
          </w:tcPr>
          <w:p w14:paraId="0B41CE62" w14:textId="77777777" w:rsidR="003171B2" w:rsidRPr="003171B2" w:rsidRDefault="003171B2" w:rsidP="003171B2">
            <w:pPr>
              <w:spacing w:after="0" w:line="240" w:lineRule="auto"/>
              <w:jc w:val="left"/>
              <w:rPr>
                <w:rFonts w:ascii="Arial" w:hAnsi="Arial" w:cs="Arial"/>
                <w:b/>
                <w:bCs/>
                <w:i/>
                <w:iCs/>
                <w:color w:val="000000"/>
                <w:sz w:val="16"/>
                <w:szCs w:val="16"/>
              </w:rPr>
            </w:pPr>
            <w:r w:rsidRPr="003171B2">
              <w:rPr>
                <w:rFonts w:ascii="Arial" w:hAnsi="Arial" w:cs="Arial"/>
                <w:b/>
                <w:bCs/>
                <w:i/>
                <w:iCs/>
                <w:color w:val="000000"/>
                <w:sz w:val="16"/>
                <w:szCs w:val="16"/>
              </w:rPr>
              <w:t xml:space="preserve">       75,038 </w:t>
            </w:r>
          </w:p>
        </w:tc>
        <w:tc>
          <w:tcPr>
            <w:tcW w:w="578" w:type="pct"/>
            <w:tcBorders>
              <w:top w:val="single" w:sz="4" w:space="0" w:color="000000"/>
              <w:left w:val="nil"/>
              <w:bottom w:val="single" w:sz="4" w:space="0" w:color="000000"/>
              <w:right w:val="nil"/>
            </w:tcBorders>
            <w:shd w:val="clear" w:color="auto" w:fill="auto"/>
            <w:noWrap/>
            <w:vAlign w:val="bottom"/>
            <w:hideMark/>
          </w:tcPr>
          <w:p w14:paraId="76974A02" w14:textId="77777777" w:rsidR="003171B2" w:rsidRPr="003171B2" w:rsidRDefault="003171B2" w:rsidP="003171B2">
            <w:pPr>
              <w:spacing w:after="0" w:line="240" w:lineRule="auto"/>
              <w:jc w:val="left"/>
              <w:rPr>
                <w:rFonts w:ascii="Arial" w:hAnsi="Arial" w:cs="Arial"/>
                <w:b/>
                <w:bCs/>
                <w:i/>
                <w:iCs/>
                <w:color w:val="000000"/>
                <w:sz w:val="16"/>
                <w:szCs w:val="16"/>
              </w:rPr>
            </w:pPr>
            <w:r w:rsidRPr="003171B2">
              <w:rPr>
                <w:rFonts w:ascii="Arial" w:hAnsi="Arial" w:cs="Arial"/>
                <w:b/>
                <w:bCs/>
                <w:i/>
                <w:iCs/>
                <w:color w:val="000000"/>
                <w:sz w:val="16"/>
                <w:szCs w:val="16"/>
              </w:rPr>
              <w:t xml:space="preserve">       59,970 </w:t>
            </w:r>
          </w:p>
        </w:tc>
        <w:tc>
          <w:tcPr>
            <w:tcW w:w="578" w:type="pct"/>
            <w:tcBorders>
              <w:top w:val="single" w:sz="4" w:space="0" w:color="000000"/>
              <w:left w:val="nil"/>
              <w:bottom w:val="single" w:sz="4" w:space="0" w:color="000000"/>
              <w:right w:val="nil"/>
            </w:tcBorders>
            <w:shd w:val="clear" w:color="auto" w:fill="auto"/>
            <w:noWrap/>
            <w:vAlign w:val="bottom"/>
            <w:hideMark/>
          </w:tcPr>
          <w:p w14:paraId="24FF28B6" w14:textId="77777777" w:rsidR="003171B2" w:rsidRPr="003171B2" w:rsidRDefault="003171B2" w:rsidP="003171B2">
            <w:pPr>
              <w:spacing w:after="0" w:line="240" w:lineRule="auto"/>
              <w:jc w:val="left"/>
              <w:rPr>
                <w:rFonts w:ascii="Arial" w:hAnsi="Arial" w:cs="Arial"/>
                <w:b/>
                <w:bCs/>
                <w:i/>
                <w:iCs/>
                <w:color w:val="000000"/>
                <w:sz w:val="16"/>
                <w:szCs w:val="16"/>
              </w:rPr>
            </w:pPr>
            <w:r w:rsidRPr="003171B2">
              <w:rPr>
                <w:rFonts w:ascii="Arial" w:hAnsi="Arial" w:cs="Arial"/>
                <w:b/>
                <w:bCs/>
                <w:i/>
                <w:iCs/>
                <w:color w:val="000000"/>
                <w:sz w:val="16"/>
                <w:szCs w:val="16"/>
              </w:rPr>
              <w:t xml:space="preserve">       44,902 </w:t>
            </w:r>
          </w:p>
        </w:tc>
      </w:tr>
      <w:tr w:rsidR="003171B2" w:rsidRPr="003171B2" w14:paraId="3DD28697" w14:textId="77777777" w:rsidTr="003171B2">
        <w:trPr>
          <w:trHeight w:val="210"/>
        </w:trPr>
        <w:tc>
          <w:tcPr>
            <w:tcW w:w="2110" w:type="pct"/>
            <w:tcBorders>
              <w:top w:val="nil"/>
              <w:left w:val="nil"/>
              <w:bottom w:val="nil"/>
              <w:right w:val="nil"/>
            </w:tcBorders>
            <w:shd w:val="clear" w:color="auto" w:fill="auto"/>
            <w:noWrap/>
            <w:vAlign w:val="bottom"/>
            <w:hideMark/>
          </w:tcPr>
          <w:p w14:paraId="3093C6D1" w14:textId="77777777" w:rsidR="003171B2" w:rsidRPr="003171B2" w:rsidRDefault="003171B2" w:rsidP="003171B2">
            <w:pPr>
              <w:spacing w:after="0" w:line="240" w:lineRule="auto"/>
              <w:jc w:val="left"/>
              <w:rPr>
                <w:rFonts w:ascii="Arial" w:hAnsi="Arial" w:cs="Arial"/>
                <w:b/>
                <w:bCs/>
                <w:color w:val="000000"/>
                <w:sz w:val="16"/>
                <w:szCs w:val="16"/>
              </w:rPr>
            </w:pPr>
            <w:r w:rsidRPr="003171B2">
              <w:rPr>
                <w:rFonts w:ascii="Arial" w:hAnsi="Arial" w:cs="Arial"/>
                <w:b/>
                <w:bCs/>
                <w:color w:val="000000"/>
                <w:sz w:val="16"/>
                <w:szCs w:val="16"/>
              </w:rPr>
              <w:t>Provisions</w:t>
            </w:r>
          </w:p>
        </w:tc>
        <w:tc>
          <w:tcPr>
            <w:tcW w:w="578" w:type="pct"/>
            <w:tcBorders>
              <w:top w:val="nil"/>
              <w:left w:val="nil"/>
              <w:bottom w:val="nil"/>
              <w:right w:val="nil"/>
            </w:tcBorders>
            <w:shd w:val="clear" w:color="auto" w:fill="auto"/>
            <w:noWrap/>
            <w:vAlign w:val="bottom"/>
            <w:hideMark/>
          </w:tcPr>
          <w:p w14:paraId="303F1592" w14:textId="77777777" w:rsidR="003171B2" w:rsidRPr="003171B2" w:rsidRDefault="003171B2" w:rsidP="003171B2">
            <w:pPr>
              <w:spacing w:after="0" w:line="240" w:lineRule="auto"/>
              <w:jc w:val="lef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bottom"/>
            <w:hideMark/>
          </w:tcPr>
          <w:p w14:paraId="7F2B4D1D" w14:textId="77777777" w:rsidR="003171B2" w:rsidRPr="003171B2" w:rsidRDefault="003171B2" w:rsidP="003171B2">
            <w:pPr>
              <w:spacing w:after="0" w:line="240" w:lineRule="auto"/>
              <w:jc w:val="left"/>
              <w:rPr>
                <w:rFonts w:ascii="Arial" w:hAnsi="Arial" w:cs="Arial"/>
                <w:color w:val="000000"/>
                <w:sz w:val="16"/>
                <w:szCs w:val="16"/>
              </w:rPr>
            </w:pPr>
            <w:r w:rsidRPr="003171B2">
              <w:rPr>
                <w:rFonts w:ascii="Arial" w:hAnsi="Arial" w:cs="Arial"/>
                <w:color w:val="000000"/>
                <w:sz w:val="16"/>
                <w:szCs w:val="16"/>
              </w:rPr>
              <w:t> </w:t>
            </w:r>
          </w:p>
        </w:tc>
        <w:tc>
          <w:tcPr>
            <w:tcW w:w="578" w:type="pct"/>
            <w:tcBorders>
              <w:top w:val="nil"/>
              <w:left w:val="nil"/>
              <w:bottom w:val="nil"/>
              <w:right w:val="nil"/>
            </w:tcBorders>
            <w:shd w:val="clear" w:color="auto" w:fill="auto"/>
            <w:noWrap/>
            <w:vAlign w:val="bottom"/>
            <w:hideMark/>
          </w:tcPr>
          <w:p w14:paraId="3B3A51E3" w14:textId="77777777" w:rsidR="003171B2" w:rsidRPr="003171B2" w:rsidRDefault="003171B2" w:rsidP="003171B2">
            <w:pPr>
              <w:spacing w:after="0" w:line="240" w:lineRule="auto"/>
              <w:jc w:val="lef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47645126" w14:textId="77777777" w:rsidR="003171B2" w:rsidRPr="003171B2" w:rsidRDefault="003171B2" w:rsidP="003171B2">
            <w:pPr>
              <w:spacing w:after="0" w:line="240" w:lineRule="auto"/>
              <w:jc w:val="left"/>
              <w:rPr>
                <w:rFonts w:ascii="Times New Roman" w:hAnsi="Times New Roman"/>
              </w:rPr>
            </w:pPr>
          </w:p>
        </w:tc>
        <w:tc>
          <w:tcPr>
            <w:tcW w:w="578" w:type="pct"/>
            <w:tcBorders>
              <w:top w:val="nil"/>
              <w:left w:val="nil"/>
              <w:bottom w:val="nil"/>
              <w:right w:val="nil"/>
            </w:tcBorders>
            <w:shd w:val="clear" w:color="auto" w:fill="auto"/>
            <w:noWrap/>
            <w:vAlign w:val="bottom"/>
            <w:hideMark/>
          </w:tcPr>
          <w:p w14:paraId="6E89F6EB" w14:textId="77777777" w:rsidR="003171B2" w:rsidRPr="003171B2" w:rsidRDefault="003171B2" w:rsidP="003171B2">
            <w:pPr>
              <w:spacing w:after="0" w:line="240" w:lineRule="auto"/>
              <w:jc w:val="left"/>
              <w:rPr>
                <w:rFonts w:ascii="Times New Roman" w:hAnsi="Times New Roman"/>
              </w:rPr>
            </w:pPr>
          </w:p>
        </w:tc>
      </w:tr>
      <w:tr w:rsidR="003171B2" w:rsidRPr="003171B2" w14:paraId="13B756DF" w14:textId="77777777" w:rsidTr="003171B2">
        <w:trPr>
          <w:trHeight w:val="200"/>
        </w:trPr>
        <w:tc>
          <w:tcPr>
            <w:tcW w:w="2110" w:type="pct"/>
            <w:tcBorders>
              <w:top w:val="nil"/>
              <w:left w:val="nil"/>
              <w:bottom w:val="nil"/>
              <w:right w:val="nil"/>
            </w:tcBorders>
            <w:shd w:val="clear" w:color="auto" w:fill="auto"/>
            <w:noWrap/>
            <w:vAlign w:val="bottom"/>
            <w:hideMark/>
          </w:tcPr>
          <w:p w14:paraId="50821403" w14:textId="77777777" w:rsidR="003171B2" w:rsidRPr="003171B2" w:rsidRDefault="003171B2" w:rsidP="003171B2">
            <w:pPr>
              <w:spacing w:after="0" w:line="240" w:lineRule="auto"/>
              <w:ind w:firstLineChars="100" w:firstLine="160"/>
              <w:jc w:val="left"/>
              <w:rPr>
                <w:rFonts w:ascii="Arial" w:hAnsi="Arial" w:cs="Arial"/>
                <w:color w:val="000000"/>
                <w:sz w:val="16"/>
                <w:szCs w:val="16"/>
              </w:rPr>
            </w:pPr>
            <w:r w:rsidRPr="003171B2">
              <w:rPr>
                <w:rFonts w:ascii="Arial" w:hAnsi="Arial" w:cs="Arial"/>
                <w:color w:val="000000"/>
                <w:sz w:val="16"/>
                <w:szCs w:val="16"/>
              </w:rPr>
              <w:t>Employee provisions</w:t>
            </w:r>
          </w:p>
        </w:tc>
        <w:tc>
          <w:tcPr>
            <w:tcW w:w="578" w:type="pct"/>
            <w:tcBorders>
              <w:top w:val="nil"/>
              <w:left w:val="nil"/>
              <w:bottom w:val="nil"/>
              <w:right w:val="nil"/>
            </w:tcBorders>
            <w:shd w:val="clear" w:color="auto" w:fill="auto"/>
            <w:noWrap/>
            <w:vAlign w:val="bottom"/>
            <w:hideMark/>
          </w:tcPr>
          <w:p w14:paraId="2946AA08"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47,089</w:t>
            </w:r>
          </w:p>
        </w:tc>
        <w:tc>
          <w:tcPr>
            <w:tcW w:w="578" w:type="pct"/>
            <w:tcBorders>
              <w:top w:val="nil"/>
              <w:left w:val="nil"/>
              <w:bottom w:val="nil"/>
              <w:right w:val="nil"/>
            </w:tcBorders>
            <w:shd w:val="clear" w:color="000000" w:fill="E6E6E6"/>
            <w:noWrap/>
            <w:vAlign w:val="bottom"/>
            <w:hideMark/>
          </w:tcPr>
          <w:p w14:paraId="16F5C0D0"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47,188</w:t>
            </w:r>
          </w:p>
        </w:tc>
        <w:tc>
          <w:tcPr>
            <w:tcW w:w="578" w:type="pct"/>
            <w:tcBorders>
              <w:top w:val="nil"/>
              <w:left w:val="nil"/>
              <w:bottom w:val="nil"/>
              <w:right w:val="nil"/>
            </w:tcBorders>
            <w:shd w:val="clear" w:color="auto" w:fill="auto"/>
            <w:noWrap/>
            <w:vAlign w:val="bottom"/>
            <w:hideMark/>
          </w:tcPr>
          <w:p w14:paraId="6CF29F1C"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44,163</w:t>
            </w:r>
          </w:p>
        </w:tc>
        <w:tc>
          <w:tcPr>
            <w:tcW w:w="578" w:type="pct"/>
            <w:tcBorders>
              <w:top w:val="nil"/>
              <w:left w:val="nil"/>
              <w:bottom w:val="nil"/>
              <w:right w:val="nil"/>
            </w:tcBorders>
            <w:shd w:val="clear" w:color="auto" w:fill="auto"/>
            <w:noWrap/>
            <w:vAlign w:val="bottom"/>
            <w:hideMark/>
          </w:tcPr>
          <w:p w14:paraId="32CEF42D"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44,163</w:t>
            </w:r>
          </w:p>
        </w:tc>
        <w:tc>
          <w:tcPr>
            <w:tcW w:w="578" w:type="pct"/>
            <w:tcBorders>
              <w:top w:val="nil"/>
              <w:left w:val="nil"/>
              <w:bottom w:val="nil"/>
              <w:right w:val="nil"/>
            </w:tcBorders>
            <w:shd w:val="clear" w:color="auto" w:fill="auto"/>
            <w:noWrap/>
            <w:vAlign w:val="bottom"/>
            <w:hideMark/>
          </w:tcPr>
          <w:p w14:paraId="487A37B1"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44,163</w:t>
            </w:r>
          </w:p>
        </w:tc>
      </w:tr>
      <w:tr w:rsidR="003171B2" w:rsidRPr="003171B2" w14:paraId="2C9D42BE" w14:textId="77777777" w:rsidTr="003171B2">
        <w:trPr>
          <w:trHeight w:val="200"/>
        </w:trPr>
        <w:tc>
          <w:tcPr>
            <w:tcW w:w="2110" w:type="pct"/>
            <w:tcBorders>
              <w:top w:val="nil"/>
              <w:left w:val="nil"/>
              <w:bottom w:val="nil"/>
              <w:right w:val="nil"/>
            </w:tcBorders>
            <w:shd w:val="clear" w:color="auto" w:fill="auto"/>
            <w:noWrap/>
            <w:vAlign w:val="bottom"/>
            <w:hideMark/>
          </w:tcPr>
          <w:p w14:paraId="7B8C6D1E" w14:textId="77777777" w:rsidR="003171B2" w:rsidRPr="003171B2" w:rsidRDefault="003171B2" w:rsidP="003171B2">
            <w:pPr>
              <w:spacing w:after="0" w:line="240" w:lineRule="auto"/>
              <w:ind w:firstLineChars="100" w:firstLine="160"/>
              <w:jc w:val="left"/>
              <w:rPr>
                <w:rFonts w:ascii="Arial" w:hAnsi="Arial" w:cs="Arial"/>
                <w:color w:val="000000"/>
                <w:sz w:val="16"/>
                <w:szCs w:val="16"/>
              </w:rPr>
            </w:pPr>
            <w:r w:rsidRPr="003171B2">
              <w:rPr>
                <w:rFonts w:ascii="Arial" w:hAnsi="Arial" w:cs="Arial"/>
                <w:color w:val="000000"/>
                <w:sz w:val="16"/>
                <w:szCs w:val="16"/>
              </w:rPr>
              <w:t>Other provisions</w:t>
            </w:r>
          </w:p>
        </w:tc>
        <w:tc>
          <w:tcPr>
            <w:tcW w:w="578" w:type="pct"/>
            <w:tcBorders>
              <w:top w:val="nil"/>
              <w:left w:val="nil"/>
              <w:bottom w:val="nil"/>
              <w:right w:val="nil"/>
            </w:tcBorders>
            <w:shd w:val="clear" w:color="auto" w:fill="auto"/>
            <w:noWrap/>
            <w:vAlign w:val="bottom"/>
            <w:hideMark/>
          </w:tcPr>
          <w:p w14:paraId="55431C5F"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4,373</w:t>
            </w:r>
          </w:p>
        </w:tc>
        <w:tc>
          <w:tcPr>
            <w:tcW w:w="578" w:type="pct"/>
            <w:tcBorders>
              <w:top w:val="nil"/>
              <w:left w:val="nil"/>
              <w:bottom w:val="nil"/>
              <w:right w:val="nil"/>
            </w:tcBorders>
            <w:shd w:val="clear" w:color="000000" w:fill="E6E6E6"/>
            <w:noWrap/>
            <w:vAlign w:val="bottom"/>
            <w:hideMark/>
          </w:tcPr>
          <w:p w14:paraId="0AA447C0"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4,031</w:t>
            </w:r>
          </w:p>
        </w:tc>
        <w:tc>
          <w:tcPr>
            <w:tcW w:w="578" w:type="pct"/>
            <w:tcBorders>
              <w:top w:val="nil"/>
              <w:left w:val="nil"/>
              <w:bottom w:val="nil"/>
              <w:right w:val="nil"/>
            </w:tcBorders>
            <w:shd w:val="clear" w:color="auto" w:fill="auto"/>
            <w:noWrap/>
            <w:vAlign w:val="bottom"/>
            <w:hideMark/>
          </w:tcPr>
          <w:p w14:paraId="5B613F0E"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4,031</w:t>
            </w:r>
          </w:p>
        </w:tc>
        <w:tc>
          <w:tcPr>
            <w:tcW w:w="578" w:type="pct"/>
            <w:tcBorders>
              <w:top w:val="nil"/>
              <w:left w:val="nil"/>
              <w:bottom w:val="nil"/>
              <w:right w:val="nil"/>
            </w:tcBorders>
            <w:shd w:val="clear" w:color="auto" w:fill="auto"/>
            <w:noWrap/>
            <w:vAlign w:val="bottom"/>
            <w:hideMark/>
          </w:tcPr>
          <w:p w14:paraId="3CBCDFAB"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4,031</w:t>
            </w:r>
          </w:p>
        </w:tc>
        <w:tc>
          <w:tcPr>
            <w:tcW w:w="578" w:type="pct"/>
            <w:tcBorders>
              <w:top w:val="nil"/>
              <w:left w:val="nil"/>
              <w:bottom w:val="nil"/>
              <w:right w:val="nil"/>
            </w:tcBorders>
            <w:shd w:val="clear" w:color="auto" w:fill="auto"/>
            <w:noWrap/>
            <w:vAlign w:val="bottom"/>
            <w:hideMark/>
          </w:tcPr>
          <w:p w14:paraId="34DD65F5"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4,031</w:t>
            </w:r>
          </w:p>
        </w:tc>
      </w:tr>
      <w:tr w:rsidR="003171B2" w:rsidRPr="003171B2" w14:paraId="12E45734" w14:textId="77777777" w:rsidTr="003171B2">
        <w:trPr>
          <w:trHeight w:val="200"/>
        </w:trPr>
        <w:tc>
          <w:tcPr>
            <w:tcW w:w="2110" w:type="pct"/>
            <w:tcBorders>
              <w:top w:val="nil"/>
              <w:left w:val="nil"/>
              <w:bottom w:val="nil"/>
              <w:right w:val="nil"/>
            </w:tcBorders>
            <w:shd w:val="clear" w:color="auto" w:fill="auto"/>
            <w:noWrap/>
            <w:vAlign w:val="bottom"/>
            <w:hideMark/>
          </w:tcPr>
          <w:p w14:paraId="28164B97" w14:textId="77777777" w:rsidR="003171B2" w:rsidRPr="003171B2" w:rsidRDefault="003171B2" w:rsidP="003171B2">
            <w:pPr>
              <w:spacing w:after="0" w:line="240" w:lineRule="auto"/>
              <w:jc w:val="left"/>
              <w:rPr>
                <w:rFonts w:ascii="Arial" w:hAnsi="Arial" w:cs="Arial"/>
                <w:b/>
                <w:bCs/>
                <w:i/>
                <w:iCs/>
                <w:color w:val="000000"/>
                <w:sz w:val="16"/>
                <w:szCs w:val="16"/>
              </w:rPr>
            </w:pPr>
            <w:r w:rsidRPr="003171B2">
              <w:rPr>
                <w:rFonts w:ascii="Arial" w:hAnsi="Arial" w:cs="Arial"/>
                <w:b/>
                <w:bCs/>
                <w:i/>
                <w:iCs/>
                <w:color w:val="000000"/>
                <w:sz w:val="16"/>
                <w:szCs w:val="16"/>
              </w:rPr>
              <w:t>Total provisions</w:t>
            </w:r>
          </w:p>
        </w:tc>
        <w:tc>
          <w:tcPr>
            <w:tcW w:w="578" w:type="pct"/>
            <w:tcBorders>
              <w:top w:val="single" w:sz="4" w:space="0" w:color="000000"/>
              <w:left w:val="nil"/>
              <w:bottom w:val="single" w:sz="4" w:space="0" w:color="000000"/>
              <w:right w:val="nil"/>
            </w:tcBorders>
            <w:shd w:val="clear" w:color="auto" w:fill="auto"/>
            <w:noWrap/>
            <w:vAlign w:val="bottom"/>
            <w:hideMark/>
          </w:tcPr>
          <w:p w14:paraId="7A5EAE27" w14:textId="77777777" w:rsidR="003171B2" w:rsidRPr="003171B2" w:rsidRDefault="003171B2" w:rsidP="003171B2">
            <w:pPr>
              <w:spacing w:after="0" w:line="240" w:lineRule="auto"/>
              <w:jc w:val="left"/>
              <w:rPr>
                <w:rFonts w:ascii="Arial" w:hAnsi="Arial" w:cs="Arial"/>
                <w:b/>
                <w:bCs/>
                <w:i/>
                <w:iCs/>
                <w:color w:val="000000"/>
                <w:sz w:val="16"/>
                <w:szCs w:val="16"/>
              </w:rPr>
            </w:pPr>
            <w:r w:rsidRPr="003171B2">
              <w:rPr>
                <w:rFonts w:ascii="Arial" w:hAnsi="Arial" w:cs="Arial"/>
                <w:b/>
                <w:bCs/>
                <w:i/>
                <w:iCs/>
                <w:color w:val="000000"/>
                <w:sz w:val="16"/>
                <w:szCs w:val="16"/>
              </w:rPr>
              <w:t xml:space="preserve">       51,462 </w:t>
            </w:r>
          </w:p>
        </w:tc>
        <w:tc>
          <w:tcPr>
            <w:tcW w:w="578" w:type="pct"/>
            <w:tcBorders>
              <w:top w:val="single" w:sz="4" w:space="0" w:color="000000"/>
              <w:left w:val="nil"/>
              <w:bottom w:val="single" w:sz="4" w:space="0" w:color="000000"/>
              <w:right w:val="nil"/>
            </w:tcBorders>
            <w:shd w:val="clear" w:color="000000" w:fill="E6E6E6"/>
            <w:noWrap/>
            <w:vAlign w:val="bottom"/>
            <w:hideMark/>
          </w:tcPr>
          <w:p w14:paraId="1D4C0741" w14:textId="77777777" w:rsidR="003171B2" w:rsidRPr="003171B2" w:rsidRDefault="003171B2" w:rsidP="003171B2">
            <w:pPr>
              <w:spacing w:after="0" w:line="240" w:lineRule="auto"/>
              <w:jc w:val="left"/>
              <w:rPr>
                <w:rFonts w:ascii="Arial" w:hAnsi="Arial" w:cs="Arial"/>
                <w:b/>
                <w:bCs/>
                <w:i/>
                <w:iCs/>
                <w:color w:val="000000"/>
                <w:sz w:val="16"/>
                <w:szCs w:val="16"/>
              </w:rPr>
            </w:pPr>
            <w:r w:rsidRPr="003171B2">
              <w:rPr>
                <w:rFonts w:ascii="Arial" w:hAnsi="Arial" w:cs="Arial"/>
                <w:b/>
                <w:bCs/>
                <w:i/>
                <w:iCs/>
                <w:color w:val="000000"/>
                <w:sz w:val="16"/>
                <w:szCs w:val="16"/>
              </w:rPr>
              <w:t xml:space="preserve">       51,219 </w:t>
            </w:r>
          </w:p>
        </w:tc>
        <w:tc>
          <w:tcPr>
            <w:tcW w:w="578" w:type="pct"/>
            <w:tcBorders>
              <w:top w:val="single" w:sz="4" w:space="0" w:color="000000"/>
              <w:left w:val="nil"/>
              <w:bottom w:val="single" w:sz="4" w:space="0" w:color="000000"/>
              <w:right w:val="nil"/>
            </w:tcBorders>
            <w:shd w:val="clear" w:color="auto" w:fill="auto"/>
            <w:noWrap/>
            <w:vAlign w:val="bottom"/>
            <w:hideMark/>
          </w:tcPr>
          <w:p w14:paraId="08BF1079" w14:textId="77777777" w:rsidR="003171B2" w:rsidRPr="003171B2" w:rsidRDefault="003171B2" w:rsidP="003171B2">
            <w:pPr>
              <w:spacing w:after="0" w:line="240" w:lineRule="auto"/>
              <w:jc w:val="left"/>
              <w:rPr>
                <w:rFonts w:ascii="Arial" w:hAnsi="Arial" w:cs="Arial"/>
                <w:b/>
                <w:bCs/>
                <w:i/>
                <w:iCs/>
                <w:color w:val="000000"/>
                <w:sz w:val="16"/>
                <w:szCs w:val="16"/>
              </w:rPr>
            </w:pPr>
            <w:r w:rsidRPr="003171B2">
              <w:rPr>
                <w:rFonts w:ascii="Arial" w:hAnsi="Arial" w:cs="Arial"/>
                <w:b/>
                <w:bCs/>
                <w:i/>
                <w:iCs/>
                <w:color w:val="000000"/>
                <w:sz w:val="16"/>
                <w:szCs w:val="16"/>
              </w:rPr>
              <w:t xml:space="preserve">       48,194 </w:t>
            </w:r>
          </w:p>
        </w:tc>
        <w:tc>
          <w:tcPr>
            <w:tcW w:w="578" w:type="pct"/>
            <w:tcBorders>
              <w:top w:val="single" w:sz="4" w:space="0" w:color="000000"/>
              <w:left w:val="nil"/>
              <w:bottom w:val="single" w:sz="4" w:space="0" w:color="000000"/>
              <w:right w:val="nil"/>
            </w:tcBorders>
            <w:shd w:val="clear" w:color="auto" w:fill="auto"/>
            <w:noWrap/>
            <w:vAlign w:val="bottom"/>
            <w:hideMark/>
          </w:tcPr>
          <w:p w14:paraId="24E7ACDA" w14:textId="77777777" w:rsidR="003171B2" w:rsidRPr="003171B2" w:rsidRDefault="003171B2" w:rsidP="003171B2">
            <w:pPr>
              <w:spacing w:after="0" w:line="240" w:lineRule="auto"/>
              <w:jc w:val="left"/>
              <w:rPr>
                <w:rFonts w:ascii="Arial" w:hAnsi="Arial" w:cs="Arial"/>
                <w:b/>
                <w:bCs/>
                <w:i/>
                <w:iCs/>
                <w:color w:val="000000"/>
                <w:sz w:val="16"/>
                <w:szCs w:val="16"/>
              </w:rPr>
            </w:pPr>
            <w:r w:rsidRPr="003171B2">
              <w:rPr>
                <w:rFonts w:ascii="Arial" w:hAnsi="Arial" w:cs="Arial"/>
                <w:b/>
                <w:bCs/>
                <w:i/>
                <w:iCs/>
                <w:color w:val="000000"/>
                <w:sz w:val="16"/>
                <w:szCs w:val="16"/>
              </w:rPr>
              <w:t xml:space="preserve">       48,194 </w:t>
            </w:r>
          </w:p>
        </w:tc>
        <w:tc>
          <w:tcPr>
            <w:tcW w:w="578" w:type="pct"/>
            <w:tcBorders>
              <w:top w:val="single" w:sz="4" w:space="0" w:color="000000"/>
              <w:left w:val="nil"/>
              <w:bottom w:val="single" w:sz="4" w:space="0" w:color="000000"/>
              <w:right w:val="nil"/>
            </w:tcBorders>
            <w:shd w:val="clear" w:color="auto" w:fill="auto"/>
            <w:noWrap/>
            <w:vAlign w:val="bottom"/>
            <w:hideMark/>
          </w:tcPr>
          <w:p w14:paraId="66DEF831" w14:textId="77777777" w:rsidR="003171B2" w:rsidRPr="003171B2" w:rsidRDefault="003171B2" w:rsidP="003171B2">
            <w:pPr>
              <w:spacing w:after="0" w:line="240" w:lineRule="auto"/>
              <w:jc w:val="left"/>
              <w:rPr>
                <w:rFonts w:ascii="Arial" w:hAnsi="Arial" w:cs="Arial"/>
                <w:b/>
                <w:bCs/>
                <w:i/>
                <w:iCs/>
                <w:color w:val="000000"/>
                <w:sz w:val="16"/>
                <w:szCs w:val="16"/>
              </w:rPr>
            </w:pPr>
            <w:r w:rsidRPr="003171B2">
              <w:rPr>
                <w:rFonts w:ascii="Arial" w:hAnsi="Arial" w:cs="Arial"/>
                <w:b/>
                <w:bCs/>
                <w:i/>
                <w:iCs/>
                <w:color w:val="000000"/>
                <w:sz w:val="16"/>
                <w:szCs w:val="16"/>
              </w:rPr>
              <w:t xml:space="preserve">       48,194 </w:t>
            </w:r>
          </w:p>
        </w:tc>
      </w:tr>
      <w:tr w:rsidR="003171B2" w:rsidRPr="003171B2" w14:paraId="017BF6D1" w14:textId="77777777" w:rsidTr="003171B2">
        <w:trPr>
          <w:trHeight w:val="210"/>
        </w:trPr>
        <w:tc>
          <w:tcPr>
            <w:tcW w:w="2110" w:type="pct"/>
            <w:tcBorders>
              <w:top w:val="nil"/>
              <w:left w:val="nil"/>
              <w:bottom w:val="nil"/>
              <w:right w:val="nil"/>
            </w:tcBorders>
            <w:shd w:val="clear" w:color="auto" w:fill="auto"/>
            <w:noWrap/>
            <w:vAlign w:val="bottom"/>
            <w:hideMark/>
          </w:tcPr>
          <w:p w14:paraId="5CF232D7" w14:textId="77777777" w:rsidR="003171B2" w:rsidRPr="003171B2" w:rsidRDefault="003171B2" w:rsidP="003171B2">
            <w:pPr>
              <w:spacing w:after="0" w:line="240" w:lineRule="auto"/>
              <w:jc w:val="left"/>
              <w:rPr>
                <w:rFonts w:ascii="Arial" w:hAnsi="Arial" w:cs="Arial"/>
                <w:b/>
                <w:bCs/>
                <w:color w:val="000000"/>
                <w:sz w:val="16"/>
                <w:szCs w:val="16"/>
              </w:rPr>
            </w:pPr>
            <w:r w:rsidRPr="003171B2">
              <w:rPr>
                <w:rFonts w:ascii="Arial" w:hAnsi="Arial" w:cs="Arial"/>
                <w:b/>
                <w:bCs/>
                <w:color w:val="000000"/>
                <w:sz w:val="16"/>
                <w:szCs w:val="16"/>
              </w:rPr>
              <w:t>Total liabilities</w:t>
            </w:r>
          </w:p>
        </w:tc>
        <w:tc>
          <w:tcPr>
            <w:tcW w:w="578" w:type="pct"/>
            <w:tcBorders>
              <w:top w:val="nil"/>
              <w:left w:val="nil"/>
              <w:bottom w:val="single" w:sz="4" w:space="0" w:color="auto"/>
              <w:right w:val="nil"/>
            </w:tcBorders>
            <w:shd w:val="clear" w:color="auto" w:fill="auto"/>
            <w:noWrap/>
            <w:vAlign w:val="bottom"/>
            <w:hideMark/>
          </w:tcPr>
          <w:p w14:paraId="529550D9" w14:textId="77777777" w:rsidR="003171B2" w:rsidRPr="003171B2" w:rsidRDefault="003171B2" w:rsidP="003171B2">
            <w:pPr>
              <w:spacing w:after="0" w:line="240" w:lineRule="auto"/>
              <w:jc w:val="left"/>
              <w:rPr>
                <w:rFonts w:ascii="Arial" w:hAnsi="Arial" w:cs="Arial"/>
                <w:b/>
                <w:bCs/>
                <w:color w:val="000000"/>
                <w:sz w:val="16"/>
                <w:szCs w:val="16"/>
              </w:rPr>
            </w:pPr>
            <w:r w:rsidRPr="003171B2">
              <w:rPr>
                <w:rFonts w:ascii="Arial" w:hAnsi="Arial" w:cs="Arial"/>
                <w:b/>
                <w:bCs/>
                <w:color w:val="000000"/>
                <w:sz w:val="16"/>
                <w:szCs w:val="16"/>
              </w:rPr>
              <w:t xml:space="preserve">     154,502 </w:t>
            </w:r>
          </w:p>
        </w:tc>
        <w:tc>
          <w:tcPr>
            <w:tcW w:w="578" w:type="pct"/>
            <w:tcBorders>
              <w:top w:val="nil"/>
              <w:left w:val="nil"/>
              <w:bottom w:val="single" w:sz="4" w:space="0" w:color="auto"/>
              <w:right w:val="nil"/>
            </w:tcBorders>
            <w:shd w:val="clear" w:color="000000" w:fill="E6E6E6"/>
            <w:noWrap/>
            <w:vAlign w:val="bottom"/>
            <w:hideMark/>
          </w:tcPr>
          <w:p w14:paraId="454B8081" w14:textId="77777777" w:rsidR="003171B2" w:rsidRPr="003171B2" w:rsidRDefault="003171B2" w:rsidP="003171B2">
            <w:pPr>
              <w:spacing w:after="0" w:line="240" w:lineRule="auto"/>
              <w:jc w:val="left"/>
              <w:rPr>
                <w:rFonts w:ascii="Arial" w:hAnsi="Arial" w:cs="Arial"/>
                <w:b/>
                <w:bCs/>
                <w:color w:val="000000"/>
                <w:sz w:val="16"/>
                <w:szCs w:val="16"/>
              </w:rPr>
            </w:pPr>
            <w:r w:rsidRPr="003171B2">
              <w:rPr>
                <w:rFonts w:ascii="Arial" w:hAnsi="Arial" w:cs="Arial"/>
                <w:b/>
                <w:bCs/>
                <w:color w:val="000000"/>
                <w:sz w:val="16"/>
                <w:szCs w:val="16"/>
              </w:rPr>
              <w:t xml:space="preserve">     137,687 </w:t>
            </w:r>
          </w:p>
        </w:tc>
        <w:tc>
          <w:tcPr>
            <w:tcW w:w="578" w:type="pct"/>
            <w:tcBorders>
              <w:top w:val="nil"/>
              <w:left w:val="nil"/>
              <w:bottom w:val="single" w:sz="4" w:space="0" w:color="auto"/>
              <w:right w:val="nil"/>
            </w:tcBorders>
            <w:shd w:val="clear" w:color="auto" w:fill="auto"/>
            <w:noWrap/>
            <w:vAlign w:val="bottom"/>
            <w:hideMark/>
          </w:tcPr>
          <w:p w14:paraId="7C8DAF60" w14:textId="77777777" w:rsidR="003171B2" w:rsidRPr="003171B2" w:rsidRDefault="003171B2" w:rsidP="003171B2">
            <w:pPr>
              <w:spacing w:after="0" w:line="240" w:lineRule="auto"/>
              <w:jc w:val="left"/>
              <w:rPr>
                <w:rFonts w:ascii="Arial" w:hAnsi="Arial" w:cs="Arial"/>
                <w:b/>
                <w:bCs/>
                <w:color w:val="000000"/>
                <w:sz w:val="16"/>
                <w:szCs w:val="16"/>
              </w:rPr>
            </w:pPr>
            <w:r w:rsidRPr="003171B2">
              <w:rPr>
                <w:rFonts w:ascii="Arial" w:hAnsi="Arial" w:cs="Arial"/>
                <w:b/>
                <w:bCs/>
                <w:color w:val="000000"/>
                <w:sz w:val="16"/>
                <w:szCs w:val="16"/>
              </w:rPr>
              <w:t xml:space="preserve">     144,512 </w:t>
            </w:r>
          </w:p>
        </w:tc>
        <w:tc>
          <w:tcPr>
            <w:tcW w:w="578" w:type="pct"/>
            <w:tcBorders>
              <w:top w:val="nil"/>
              <w:left w:val="nil"/>
              <w:bottom w:val="single" w:sz="4" w:space="0" w:color="auto"/>
              <w:right w:val="nil"/>
            </w:tcBorders>
            <w:shd w:val="clear" w:color="auto" w:fill="auto"/>
            <w:noWrap/>
            <w:vAlign w:val="bottom"/>
            <w:hideMark/>
          </w:tcPr>
          <w:p w14:paraId="628DDFE6" w14:textId="77777777" w:rsidR="003171B2" w:rsidRPr="003171B2" w:rsidRDefault="003171B2" w:rsidP="003171B2">
            <w:pPr>
              <w:spacing w:after="0" w:line="240" w:lineRule="auto"/>
              <w:jc w:val="left"/>
              <w:rPr>
                <w:rFonts w:ascii="Arial" w:hAnsi="Arial" w:cs="Arial"/>
                <w:b/>
                <w:bCs/>
                <w:color w:val="000000"/>
                <w:sz w:val="16"/>
                <w:szCs w:val="16"/>
              </w:rPr>
            </w:pPr>
            <w:r w:rsidRPr="003171B2">
              <w:rPr>
                <w:rFonts w:ascii="Arial" w:hAnsi="Arial" w:cs="Arial"/>
                <w:b/>
                <w:bCs/>
                <w:color w:val="000000"/>
                <w:sz w:val="16"/>
                <w:szCs w:val="16"/>
              </w:rPr>
              <w:t xml:space="preserve">     129,444 </w:t>
            </w:r>
          </w:p>
        </w:tc>
        <w:tc>
          <w:tcPr>
            <w:tcW w:w="578" w:type="pct"/>
            <w:tcBorders>
              <w:top w:val="nil"/>
              <w:left w:val="nil"/>
              <w:bottom w:val="single" w:sz="4" w:space="0" w:color="auto"/>
              <w:right w:val="nil"/>
            </w:tcBorders>
            <w:shd w:val="clear" w:color="auto" w:fill="auto"/>
            <w:noWrap/>
            <w:vAlign w:val="bottom"/>
            <w:hideMark/>
          </w:tcPr>
          <w:p w14:paraId="77D3554A" w14:textId="77777777" w:rsidR="003171B2" w:rsidRPr="003171B2" w:rsidRDefault="003171B2" w:rsidP="003171B2">
            <w:pPr>
              <w:spacing w:after="0" w:line="240" w:lineRule="auto"/>
              <w:jc w:val="left"/>
              <w:rPr>
                <w:rFonts w:ascii="Arial" w:hAnsi="Arial" w:cs="Arial"/>
                <w:b/>
                <w:bCs/>
                <w:color w:val="000000"/>
                <w:sz w:val="16"/>
                <w:szCs w:val="16"/>
              </w:rPr>
            </w:pPr>
            <w:r w:rsidRPr="003171B2">
              <w:rPr>
                <w:rFonts w:ascii="Arial" w:hAnsi="Arial" w:cs="Arial"/>
                <w:b/>
                <w:bCs/>
                <w:color w:val="000000"/>
                <w:sz w:val="16"/>
                <w:szCs w:val="16"/>
              </w:rPr>
              <w:t xml:space="preserve">     114,376 </w:t>
            </w:r>
          </w:p>
        </w:tc>
      </w:tr>
      <w:tr w:rsidR="003171B2" w:rsidRPr="003171B2" w14:paraId="00E380F2" w14:textId="77777777" w:rsidTr="003171B2">
        <w:trPr>
          <w:trHeight w:val="210"/>
        </w:trPr>
        <w:tc>
          <w:tcPr>
            <w:tcW w:w="2110" w:type="pct"/>
            <w:tcBorders>
              <w:top w:val="nil"/>
              <w:left w:val="nil"/>
              <w:bottom w:val="nil"/>
              <w:right w:val="nil"/>
            </w:tcBorders>
            <w:shd w:val="clear" w:color="auto" w:fill="auto"/>
            <w:noWrap/>
            <w:vAlign w:val="bottom"/>
            <w:hideMark/>
          </w:tcPr>
          <w:p w14:paraId="0BB85804" w14:textId="77777777" w:rsidR="003171B2" w:rsidRPr="003171B2" w:rsidRDefault="003171B2" w:rsidP="003171B2">
            <w:pPr>
              <w:spacing w:after="0" w:line="240" w:lineRule="auto"/>
              <w:jc w:val="left"/>
              <w:rPr>
                <w:rFonts w:ascii="Arial" w:hAnsi="Arial" w:cs="Arial"/>
                <w:b/>
                <w:bCs/>
                <w:sz w:val="16"/>
                <w:szCs w:val="16"/>
              </w:rPr>
            </w:pPr>
            <w:r w:rsidRPr="003171B2">
              <w:rPr>
                <w:rFonts w:ascii="Arial" w:hAnsi="Arial" w:cs="Arial"/>
                <w:b/>
                <w:bCs/>
                <w:sz w:val="16"/>
                <w:szCs w:val="16"/>
              </w:rPr>
              <w:t>Net assets</w:t>
            </w:r>
          </w:p>
        </w:tc>
        <w:tc>
          <w:tcPr>
            <w:tcW w:w="578" w:type="pct"/>
            <w:tcBorders>
              <w:top w:val="nil"/>
              <w:left w:val="nil"/>
              <w:bottom w:val="single" w:sz="4" w:space="0" w:color="auto"/>
              <w:right w:val="nil"/>
            </w:tcBorders>
            <w:shd w:val="clear" w:color="auto" w:fill="auto"/>
            <w:noWrap/>
            <w:vAlign w:val="bottom"/>
            <w:hideMark/>
          </w:tcPr>
          <w:p w14:paraId="3A154BC0" w14:textId="77777777" w:rsidR="003171B2" w:rsidRPr="003171B2" w:rsidRDefault="003171B2" w:rsidP="003171B2">
            <w:pPr>
              <w:spacing w:after="0" w:line="240" w:lineRule="auto"/>
              <w:jc w:val="left"/>
              <w:rPr>
                <w:rFonts w:ascii="Arial" w:hAnsi="Arial" w:cs="Arial"/>
                <w:b/>
                <w:bCs/>
                <w:color w:val="000000"/>
                <w:sz w:val="16"/>
                <w:szCs w:val="16"/>
              </w:rPr>
            </w:pPr>
            <w:r w:rsidRPr="003171B2">
              <w:rPr>
                <w:rFonts w:ascii="Arial" w:hAnsi="Arial" w:cs="Arial"/>
                <w:b/>
                <w:bCs/>
                <w:color w:val="000000"/>
                <w:sz w:val="16"/>
                <w:szCs w:val="16"/>
              </w:rPr>
              <w:t xml:space="preserve">       56,250 </w:t>
            </w:r>
          </w:p>
        </w:tc>
        <w:tc>
          <w:tcPr>
            <w:tcW w:w="578" w:type="pct"/>
            <w:tcBorders>
              <w:top w:val="nil"/>
              <w:left w:val="nil"/>
              <w:bottom w:val="single" w:sz="4" w:space="0" w:color="auto"/>
              <w:right w:val="nil"/>
            </w:tcBorders>
            <w:shd w:val="clear" w:color="000000" w:fill="E6E6E6"/>
            <w:noWrap/>
            <w:vAlign w:val="bottom"/>
            <w:hideMark/>
          </w:tcPr>
          <w:p w14:paraId="5E07CFDD" w14:textId="77777777" w:rsidR="003171B2" w:rsidRPr="003171B2" w:rsidRDefault="003171B2" w:rsidP="003171B2">
            <w:pPr>
              <w:spacing w:after="0" w:line="240" w:lineRule="auto"/>
              <w:jc w:val="left"/>
              <w:rPr>
                <w:rFonts w:ascii="Arial" w:hAnsi="Arial" w:cs="Arial"/>
                <w:b/>
                <w:bCs/>
                <w:color w:val="000000"/>
                <w:sz w:val="16"/>
                <w:szCs w:val="16"/>
              </w:rPr>
            </w:pPr>
            <w:r w:rsidRPr="003171B2">
              <w:rPr>
                <w:rFonts w:ascii="Arial" w:hAnsi="Arial" w:cs="Arial"/>
                <w:b/>
                <w:bCs/>
                <w:color w:val="000000"/>
                <w:sz w:val="16"/>
                <w:szCs w:val="16"/>
              </w:rPr>
              <w:t xml:space="preserve">       79,277 </w:t>
            </w:r>
          </w:p>
        </w:tc>
        <w:tc>
          <w:tcPr>
            <w:tcW w:w="578" w:type="pct"/>
            <w:tcBorders>
              <w:top w:val="nil"/>
              <w:left w:val="nil"/>
              <w:bottom w:val="single" w:sz="4" w:space="0" w:color="auto"/>
              <w:right w:val="nil"/>
            </w:tcBorders>
            <w:shd w:val="clear" w:color="auto" w:fill="auto"/>
            <w:noWrap/>
            <w:vAlign w:val="bottom"/>
            <w:hideMark/>
          </w:tcPr>
          <w:p w14:paraId="6CBE41FA" w14:textId="77777777" w:rsidR="003171B2" w:rsidRPr="003171B2" w:rsidRDefault="003171B2" w:rsidP="003171B2">
            <w:pPr>
              <w:spacing w:after="0" w:line="240" w:lineRule="auto"/>
              <w:jc w:val="left"/>
              <w:rPr>
                <w:rFonts w:ascii="Arial" w:hAnsi="Arial" w:cs="Arial"/>
                <w:b/>
                <w:bCs/>
                <w:color w:val="000000"/>
                <w:sz w:val="16"/>
                <w:szCs w:val="16"/>
              </w:rPr>
            </w:pPr>
            <w:r w:rsidRPr="003171B2">
              <w:rPr>
                <w:rFonts w:ascii="Arial" w:hAnsi="Arial" w:cs="Arial"/>
                <w:b/>
                <w:bCs/>
                <w:color w:val="000000"/>
                <w:sz w:val="16"/>
                <w:szCs w:val="16"/>
              </w:rPr>
              <w:t xml:space="preserve">       97,719 </w:t>
            </w:r>
          </w:p>
        </w:tc>
        <w:tc>
          <w:tcPr>
            <w:tcW w:w="578" w:type="pct"/>
            <w:tcBorders>
              <w:top w:val="nil"/>
              <w:left w:val="nil"/>
              <w:bottom w:val="single" w:sz="4" w:space="0" w:color="auto"/>
              <w:right w:val="nil"/>
            </w:tcBorders>
            <w:shd w:val="clear" w:color="auto" w:fill="auto"/>
            <w:noWrap/>
            <w:vAlign w:val="bottom"/>
            <w:hideMark/>
          </w:tcPr>
          <w:p w14:paraId="59F5F4DA" w14:textId="77777777" w:rsidR="003171B2" w:rsidRPr="003171B2" w:rsidRDefault="003171B2" w:rsidP="003171B2">
            <w:pPr>
              <w:spacing w:after="0" w:line="240" w:lineRule="auto"/>
              <w:jc w:val="left"/>
              <w:rPr>
                <w:rFonts w:ascii="Arial" w:hAnsi="Arial" w:cs="Arial"/>
                <w:b/>
                <w:bCs/>
                <w:color w:val="000000"/>
                <w:sz w:val="16"/>
                <w:szCs w:val="16"/>
              </w:rPr>
            </w:pPr>
            <w:r w:rsidRPr="003171B2">
              <w:rPr>
                <w:rFonts w:ascii="Arial" w:hAnsi="Arial" w:cs="Arial"/>
                <w:b/>
                <w:bCs/>
                <w:color w:val="000000"/>
                <w:sz w:val="16"/>
                <w:szCs w:val="16"/>
              </w:rPr>
              <w:t xml:space="preserve">     101,603 </w:t>
            </w:r>
          </w:p>
        </w:tc>
        <w:tc>
          <w:tcPr>
            <w:tcW w:w="578" w:type="pct"/>
            <w:tcBorders>
              <w:top w:val="nil"/>
              <w:left w:val="nil"/>
              <w:bottom w:val="single" w:sz="4" w:space="0" w:color="auto"/>
              <w:right w:val="nil"/>
            </w:tcBorders>
            <w:shd w:val="clear" w:color="auto" w:fill="auto"/>
            <w:noWrap/>
            <w:vAlign w:val="bottom"/>
            <w:hideMark/>
          </w:tcPr>
          <w:p w14:paraId="4BBF31BA" w14:textId="77777777" w:rsidR="003171B2" w:rsidRPr="003171B2" w:rsidRDefault="003171B2" w:rsidP="003171B2">
            <w:pPr>
              <w:spacing w:after="0" w:line="240" w:lineRule="auto"/>
              <w:jc w:val="left"/>
              <w:rPr>
                <w:rFonts w:ascii="Arial" w:hAnsi="Arial" w:cs="Arial"/>
                <w:b/>
                <w:bCs/>
                <w:color w:val="000000"/>
                <w:sz w:val="16"/>
                <w:szCs w:val="16"/>
              </w:rPr>
            </w:pPr>
            <w:r w:rsidRPr="003171B2">
              <w:rPr>
                <w:rFonts w:ascii="Arial" w:hAnsi="Arial" w:cs="Arial"/>
                <w:b/>
                <w:bCs/>
                <w:color w:val="000000"/>
                <w:sz w:val="16"/>
                <w:szCs w:val="16"/>
              </w:rPr>
              <w:t xml:space="preserve">     103,704 </w:t>
            </w:r>
          </w:p>
        </w:tc>
      </w:tr>
      <w:tr w:rsidR="003171B2" w:rsidRPr="003171B2" w14:paraId="7C3396DF" w14:textId="77777777" w:rsidTr="003171B2">
        <w:trPr>
          <w:trHeight w:val="210"/>
        </w:trPr>
        <w:tc>
          <w:tcPr>
            <w:tcW w:w="2110" w:type="pct"/>
            <w:tcBorders>
              <w:top w:val="nil"/>
              <w:left w:val="nil"/>
              <w:bottom w:val="nil"/>
              <w:right w:val="nil"/>
            </w:tcBorders>
            <w:shd w:val="clear" w:color="auto" w:fill="auto"/>
            <w:noWrap/>
            <w:vAlign w:val="bottom"/>
            <w:hideMark/>
          </w:tcPr>
          <w:p w14:paraId="32D66542" w14:textId="77777777" w:rsidR="003171B2" w:rsidRPr="003171B2" w:rsidRDefault="003171B2" w:rsidP="003171B2">
            <w:pPr>
              <w:spacing w:after="0" w:line="240" w:lineRule="auto"/>
              <w:jc w:val="left"/>
              <w:rPr>
                <w:rFonts w:ascii="Arial" w:hAnsi="Arial" w:cs="Arial"/>
                <w:b/>
                <w:bCs/>
                <w:color w:val="000000"/>
                <w:sz w:val="16"/>
                <w:szCs w:val="16"/>
              </w:rPr>
            </w:pPr>
            <w:r w:rsidRPr="003171B2">
              <w:rPr>
                <w:rFonts w:ascii="Arial" w:hAnsi="Arial" w:cs="Arial"/>
                <w:b/>
                <w:bCs/>
                <w:color w:val="000000"/>
                <w:sz w:val="16"/>
                <w:szCs w:val="16"/>
              </w:rPr>
              <w:t>EQUITY*</w:t>
            </w:r>
          </w:p>
        </w:tc>
        <w:tc>
          <w:tcPr>
            <w:tcW w:w="578" w:type="pct"/>
            <w:tcBorders>
              <w:top w:val="nil"/>
              <w:left w:val="nil"/>
              <w:bottom w:val="nil"/>
              <w:right w:val="nil"/>
            </w:tcBorders>
            <w:shd w:val="clear" w:color="auto" w:fill="auto"/>
            <w:noWrap/>
            <w:vAlign w:val="bottom"/>
            <w:hideMark/>
          </w:tcPr>
          <w:p w14:paraId="65F7684C" w14:textId="77777777" w:rsidR="003171B2" w:rsidRPr="003171B2" w:rsidRDefault="003171B2" w:rsidP="003171B2">
            <w:pPr>
              <w:spacing w:after="0" w:line="240" w:lineRule="auto"/>
              <w:jc w:val="lef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bottom"/>
            <w:hideMark/>
          </w:tcPr>
          <w:p w14:paraId="5F691059" w14:textId="77777777" w:rsidR="003171B2" w:rsidRPr="003171B2" w:rsidRDefault="003171B2" w:rsidP="003171B2">
            <w:pPr>
              <w:spacing w:after="0" w:line="240" w:lineRule="auto"/>
              <w:jc w:val="left"/>
              <w:rPr>
                <w:rFonts w:ascii="Arial" w:hAnsi="Arial" w:cs="Arial"/>
                <w:color w:val="000000"/>
                <w:sz w:val="16"/>
                <w:szCs w:val="16"/>
              </w:rPr>
            </w:pPr>
            <w:r w:rsidRPr="003171B2">
              <w:rPr>
                <w:rFonts w:ascii="Arial" w:hAnsi="Arial" w:cs="Arial"/>
                <w:color w:val="000000"/>
                <w:sz w:val="16"/>
                <w:szCs w:val="16"/>
              </w:rPr>
              <w:t> </w:t>
            </w:r>
          </w:p>
        </w:tc>
        <w:tc>
          <w:tcPr>
            <w:tcW w:w="578" w:type="pct"/>
            <w:tcBorders>
              <w:top w:val="nil"/>
              <w:left w:val="nil"/>
              <w:bottom w:val="nil"/>
              <w:right w:val="nil"/>
            </w:tcBorders>
            <w:shd w:val="clear" w:color="auto" w:fill="auto"/>
            <w:noWrap/>
            <w:vAlign w:val="bottom"/>
            <w:hideMark/>
          </w:tcPr>
          <w:p w14:paraId="5CA51BAB" w14:textId="77777777" w:rsidR="003171B2" w:rsidRPr="003171B2" w:rsidRDefault="003171B2" w:rsidP="003171B2">
            <w:pPr>
              <w:spacing w:after="0" w:line="240" w:lineRule="auto"/>
              <w:jc w:val="lef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45235A32" w14:textId="77777777" w:rsidR="003171B2" w:rsidRPr="003171B2" w:rsidRDefault="003171B2" w:rsidP="003171B2">
            <w:pPr>
              <w:spacing w:after="0" w:line="240" w:lineRule="auto"/>
              <w:jc w:val="left"/>
              <w:rPr>
                <w:rFonts w:ascii="Times New Roman" w:hAnsi="Times New Roman"/>
              </w:rPr>
            </w:pPr>
          </w:p>
        </w:tc>
        <w:tc>
          <w:tcPr>
            <w:tcW w:w="578" w:type="pct"/>
            <w:tcBorders>
              <w:top w:val="nil"/>
              <w:left w:val="nil"/>
              <w:bottom w:val="nil"/>
              <w:right w:val="nil"/>
            </w:tcBorders>
            <w:shd w:val="clear" w:color="auto" w:fill="auto"/>
            <w:noWrap/>
            <w:vAlign w:val="bottom"/>
            <w:hideMark/>
          </w:tcPr>
          <w:p w14:paraId="7847F94A" w14:textId="77777777" w:rsidR="003171B2" w:rsidRPr="003171B2" w:rsidRDefault="003171B2" w:rsidP="003171B2">
            <w:pPr>
              <w:spacing w:after="0" w:line="240" w:lineRule="auto"/>
              <w:jc w:val="left"/>
              <w:rPr>
                <w:rFonts w:ascii="Times New Roman" w:hAnsi="Times New Roman"/>
              </w:rPr>
            </w:pPr>
          </w:p>
        </w:tc>
      </w:tr>
      <w:tr w:rsidR="003171B2" w:rsidRPr="003171B2" w14:paraId="7FB1BD32" w14:textId="77777777" w:rsidTr="003171B2">
        <w:trPr>
          <w:trHeight w:val="210"/>
        </w:trPr>
        <w:tc>
          <w:tcPr>
            <w:tcW w:w="2110" w:type="pct"/>
            <w:tcBorders>
              <w:top w:val="nil"/>
              <w:left w:val="nil"/>
              <w:bottom w:val="nil"/>
              <w:right w:val="nil"/>
            </w:tcBorders>
            <w:shd w:val="clear" w:color="auto" w:fill="auto"/>
            <w:noWrap/>
            <w:vAlign w:val="bottom"/>
            <w:hideMark/>
          </w:tcPr>
          <w:p w14:paraId="622FE71D" w14:textId="77777777" w:rsidR="003171B2" w:rsidRPr="003171B2" w:rsidRDefault="003171B2" w:rsidP="003171B2">
            <w:pPr>
              <w:spacing w:after="0" w:line="240" w:lineRule="auto"/>
              <w:jc w:val="left"/>
              <w:rPr>
                <w:rFonts w:ascii="Arial" w:hAnsi="Arial" w:cs="Arial"/>
                <w:b/>
                <w:bCs/>
                <w:color w:val="000000"/>
                <w:sz w:val="16"/>
                <w:szCs w:val="16"/>
              </w:rPr>
            </w:pPr>
            <w:r w:rsidRPr="003171B2">
              <w:rPr>
                <w:rFonts w:ascii="Arial" w:hAnsi="Arial" w:cs="Arial"/>
                <w:b/>
                <w:bCs/>
                <w:color w:val="000000"/>
                <w:sz w:val="16"/>
                <w:szCs w:val="16"/>
              </w:rPr>
              <w:t>Parent entity interest</w:t>
            </w:r>
          </w:p>
        </w:tc>
        <w:tc>
          <w:tcPr>
            <w:tcW w:w="578" w:type="pct"/>
            <w:tcBorders>
              <w:top w:val="nil"/>
              <w:left w:val="nil"/>
              <w:bottom w:val="nil"/>
              <w:right w:val="nil"/>
            </w:tcBorders>
            <w:shd w:val="clear" w:color="auto" w:fill="auto"/>
            <w:noWrap/>
            <w:vAlign w:val="bottom"/>
            <w:hideMark/>
          </w:tcPr>
          <w:p w14:paraId="62C23859" w14:textId="77777777" w:rsidR="003171B2" w:rsidRPr="003171B2" w:rsidRDefault="003171B2" w:rsidP="003171B2">
            <w:pPr>
              <w:spacing w:after="0" w:line="240" w:lineRule="auto"/>
              <w:jc w:val="lef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bottom"/>
            <w:hideMark/>
          </w:tcPr>
          <w:p w14:paraId="4FF88EFD" w14:textId="77777777" w:rsidR="003171B2" w:rsidRPr="003171B2" w:rsidRDefault="003171B2" w:rsidP="003171B2">
            <w:pPr>
              <w:spacing w:after="0" w:line="240" w:lineRule="auto"/>
              <w:jc w:val="left"/>
              <w:rPr>
                <w:rFonts w:ascii="Arial" w:hAnsi="Arial" w:cs="Arial"/>
                <w:color w:val="000000"/>
                <w:sz w:val="16"/>
                <w:szCs w:val="16"/>
              </w:rPr>
            </w:pPr>
            <w:r w:rsidRPr="003171B2">
              <w:rPr>
                <w:rFonts w:ascii="Arial" w:hAnsi="Arial" w:cs="Arial"/>
                <w:color w:val="000000"/>
                <w:sz w:val="16"/>
                <w:szCs w:val="16"/>
              </w:rPr>
              <w:t> </w:t>
            </w:r>
          </w:p>
        </w:tc>
        <w:tc>
          <w:tcPr>
            <w:tcW w:w="578" w:type="pct"/>
            <w:tcBorders>
              <w:top w:val="nil"/>
              <w:left w:val="nil"/>
              <w:bottom w:val="nil"/>
              <w:right w:val="nil"/>
            </w:tcBorders>
            <w:shd w:val="clear" w:color="auto" w:fill="auto"/>
            <w:noWrap/>
            <w:vAlign w:val="bottom"/>
            <w:hideMark/>
          </w:tcPr>
          <w:p w14:paraId="0D9265E4" w14:textId="77777777" w:rsidR="003171B2" w:rsidRPr="003171B2" w:rsidRDefault="003171B2" w:rsidP="003171B2">
            <w:pPr>
              <w:spacing w:after="0" w:line="240" w:lineRule="auto"/>
              <w:jc w:val="lef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445B9779" w14:textId="77777777" w:rsidR="003171B2" w:rsidRPr="003171B2" w:rsidRDefault="003171B2" w:rsidP="003171B2">
            <w:pPr>
              <w:spacing w:after="0" w:line="240" w:lineRule="auto"/>
              <w:jc w:val="left"/>
              <w:rPr>
                <w:rFonts w:ascii="Times New Roman" w:hAnsi="Times New Roman"/>
              </w:rPr>
            </w:pPr>
          </w:p>
        </w:tc>
        <w:tc>
          <w:tcPr>
            <w:tcW w:w="578" w:type="pct"/>
            <w:tcBorders>
              <w:top w:val="nil"/>
              <w:left w:val="nil"/>
              <w:bottom w:val="nil"/>
              <w:right w:val="nil"/>
            </w:tcBorders>
            <w:shd w:val="clear" w:color="auto" w:fill="auto"/>
            <w:noWrap/>
            <w:vAlign w:val="bottom"/>
            <w:hideMark/>
          </w:tcPr>
          <w:p w14:paraId="08CEC6EA" w14:textId="77777777" w:rsidR="003171B2" w:rsidRPr="003171B2" w:rsidRDefault="003171B2" w:rsidP="003171B2">
            <w:pPr>
              <w:spacing w:after="0" w:line="240" w:lineRule="auto"/>
              <w:jc w:val="left"/>
              <w:rPr>
                <w:rFonts w:ascii="Times New Roman" w:hAnsi="Times New Roman"/>
              </w:rPr>
            </w:pPr>
          </w:p>
        </w:tc>
      </w:tr>
      <w:tr w:rsidR="003171B2" w:rsidRPr="003171B2" w14:paraId="68065A60" w14:textId="77777777" w:rsidTr="003171B2">
        <w:trPr>
          <w:trHeight w:val="200"/>
        </w:trPr>
        <w:tc>
          <w:tcPr>
            <w:tcW w:w="2110" w:type="pct"/>
            <w:tcBorders>
              <w:top w:val="nil"/>
              <w:left w:val="nil"/>
              <w:bottom w:val="nil"/>
              <w:right w:val="nil"/>
            </w:tcBorders>
            <w:shd w:val="clear" w:color="auto" w:fill="auto"/>
            <w:noWrap/>
            <w:vAlign w:val="bottom"/>
            <w:hideMark/>
          </w:tcPr>
          <w:p w14:paraId="60B41E39" w14:textId="77777777" w:rsidR="003171B2" w:rsidRPr="003171B2" w:rsidRDefault="003171B2" w:rsidP="003171B2">
            <w:pPr>
              <w:spacing w:after="0" w:line="240" w:lineRule="auto"/>
              <w:ind w:firstLineChars="100" w:firstLine="160"/>
              <w:jc w:val="left"/>
              <w:rPr>
                <w:rFonts w:ascii="Arial" w:hAnsi="Arial" w:cs="Arial"/>
                <w:color w:val="000000"/>
                <w:sz w:val="16"/>
                <w:szCs w:val="16"/>
              </w:rPr>
            </w:pPr>
            <w:r w:rsidRPr="003171B2">
              <w:rPr>
                <w:rFonts w:ascii="Arial" w:hAnsi="Arial" w:cs="Arial"/>
                <w:color w:val="000000"/>
                <w:sz w:val="16"/>
                <w:szCs w:val="16"/>
              </w:rPr>
              <w:t>Contributed equity</w:t>
            </w:r>
          </w:p>
        </w:tc>
        <w:tc>
          <w:tcPr>
            <w:tcW w:w="578" w:type="pct"/>
            <w:tcBorders>
              <w:top w:val="nil"/>
              <w:left w:val="nil"/>
              <w:bottom w:val="nil"/>
              <w:right w:val="nil"/>
            </w:tcBorders>
            <w:shd w:val="clear" w:color="auto" w:fill="auto"/>
            <w:noWrap/>
            <w:vAlign w:val="bottom"/>
            <w:hideMark/>
          </w:tcPr>
          <w:p w14:paraId="78F862AB"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 xml:space="preserve">183,471 </w:t>
            </w:r>
          </w:p>
        </w:tc>
        <w:tc>
          <w:tcPr>
            <w:tcW w:w="578" w:type="pct"/>
            <w:tcBorders>
              <w:top w:val="nil"/>
              <w:left w:val="nil"/>
              <w:bottom w:val="nil"/>
              <w:right w:val="nil"/>
            </w:tcBorders>
            <w:shd w:val="clear" w:color="000000" w:fill="E6E6E6"/>
            <w:noWrap/>
            <w:vAlign w:val="bottom"/>
            <w:hideMark/>
          </w:tcPr>
          <w:p w14:paraId="6BEE44E3"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 xml:space="preserve">216,443 </w:t>
            </w:r>
          </w:p>
        </w:tc>
        <w:tc>
          <w:tcPr>
            <w:tcW w:w="578" w:type="pct"/>
            <w:tcBorders>
              <w:top w:val="nil"/>
              <w:left w:val="nil"/>
              <w:bottom w:val="nil"/>
              <w:right w:val="nil"/>
            </w:tcBorders>
            <w:shd w:val="clear" w:color="auto" w:fill="auto"/>
            <w:noWrap/>
            <w:vAlign w:val="bottom"/>
            <w:hideMark/>
          </w:tcPr>
          <w:p w14:paraId="2ED5A197"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 xml:space="preserve">244,607 </w:t>
            </w:r>
          </w:p>
        </w:tc>
        <w:tc>
          <w:tcPr>
            <w:tcW w:w="578" w:type="pct"/>
            <w:tcBorders>
              <w:top w:val="nil"/>
              <w:left w:val="nil"/>
              <w:bottom w:val="nil"/>
              <w:right w:val="nil"/>
            </w:tcBorders>
            <w:shd w:val="clear" w:color="auto" w:fill="auto"/>
            <w:noWrap/>
            <w:vAlign w:val="bottom"/>
            <w:hideMark/>
          </w:tcPr>
          <w:p w14:paraId="54A4F1B3"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 xml:space="preserve">257,639 </w:t>
            </w:r>
          </w:p>
        </w:tc>
        <w:tc>
          <w:tcPr>
            <w:tcW w:w="578" w:type="pct"/>
            <w:tcBorders>
              <w:top w:val="nil"/>
              <w:left w:val="nil"/>
              <w:bottom w:val="nil"/>
              <w:right w:val="nil"/>
            </w:tcBorders>
            <w:shd w:val="clear" w:color="auto" w:fill="auto"/>
            <w:noWrap/>
            <w:vAlign w:val="bottom"/>
            <w:hideMark/>
          </w:tcPr>
          <w:p w14:paraId="56D943AE"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 xml:space="preserve">268,013 </w:t>
            </w:r>
          </w:p>
        </w:tc>
      </w:tr>
      <w:tr w:rsidR="003171B2" w:rsidRPr="003171B2" w14:paraId="4D33108E" w14:textId="77777777" w:rsidTr="003171B2">
        <w:trPr>
          <w:trHeight w:val="200"/>
        </w:trPr>
        <w:tc>
          <w:tcPr>
            <w:tcW w:w="2110" w:type="pct"/>
            <w:tcBorders>
              <w:top w:val="nil"/>
              <w:left w:val="nil"/>
              <w:bottom w:val="nil"/>
              <w:right w:val="nil"/>
            </w:tcBorders>
            <w:shd w:val="clear" w:color="auto" w:fill="auto"/>
            <w:noWrap/>
            <w:vAlign w:val="bottom"/>
            <w:hideMark/>
          </w:tcPr>
          <w:p w14:paraId="56C611DB" w14:textId="77777777" w:rsidR="003171B2" w:rsidRPr="003171B2" w:rsidRDefault="003171B2" w:rsidP="003171B2">
            <w:pPr>
              <w:spacing w:after="0" w:line="240" w:lineRule="auto"/>
              <w:ind w:firstLineChars="100" w:firstLine="160"/>
              <w:jc w:val="left"/>
              <w:rPr>
                <w:rFonts w:ascii="Arial" w:hAnsi="Arial" w:cs="Arial"/>
                <w:color w:val="000000"/>
                <w:sz w:val="16"/>
                <w:szCs w:val="16"/>
              </w:rPr>
            </w:pPr>
            <w:r w:rsidRPr="003171B2">
              <w:rPr>
                <w:rFonts w:ascii="Arial" w:hAnsi="Arial" w:cs="Arial"/>
                <w:color w:val="000000"/>
                <w:sz w:val="16"/>
                <w:szCs w:val="16"/>
              </w:rPr>
              <w:t>Reserves</w:t>
            </w:r>
          </w:p>
        </w:tc>
        <w:tc>
          <w:tcPr>
            <w:tcW w:w="578" w:type="pct"/>
            <w:tcBorders>
              <w:top w:val="nil"/>
              <w:left w:val="nil"/>
              <w:bottom w:val="nil"/>
              <w:right w:val="nil"/>
            </w:tcBorders>
            <w:shd w:val="clear" w:color="auto" w:fill="auto"/>
            <w:noWrap/>
            <w:vAlign w:val="bottom"/>
            <w:hideMark/>
          </w:tcPr>
          <w:p w14:paraId="07A7D781"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 xml:space="preserve">4,198 </w:t>
            </w:r>
          </w:p>
        </w:tc>
        <w:tc>
          <w:tcPr>
            <w:tcW w:w="578" w:type="pct"/>
            <w:tcBorders>
              <w:top w:val="nil"/>
              <w:left w:val="nil"/>
              <w:bottom w:val="nil"/>
              <w:right w:val="nil"/>
            </w:tcBorders>
            <w:shd w:val="clear" w:color="000000" w:fill="E6E6E6"/>
            <w:noWrap/>
            <w:vAlign w:val="bottom"/>
            <w:hideMark/>
          </w:tcPr>
          <w:p w14:paraId="4D031447"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 xml:space="preserve">4,198 </w:t>
            </w:r>
          </w:p>
        </w:tc>
        <w:tc>
          <w:tcPr>
            <w:tcW w:w="578" w:type="pct"/>
            <w:tcBorders>
              <w:top w:val="nil"/>
              <w:left w:val="nil"/>
              <w:bottom w:val="nil"/>
              <w:right w:val="nil"/>
            </w:tcBorders>
            <w:shd w:val="clear" w:color="auto" w:fill="auto"/>
            <w:noWrap/>
            <w:vAlign w:val="bottom"/>
            <w:hideMark/>
          </w:tcPr>
          <w:p w14:paraId="0A2DCC47"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 xml:space="preserve">4,198 </w:t>
            </w:r>
          </w:p>
        </w:tc>
        <w:tc>
          <w:tcPr>
            <w:tcW w:w="578" w:type="pct"/>
            <w:tcBorders>
              <w:top w:val="nil"/>
              <w:left w:val="nil"/>
              <w:bottom w:val="nil"/>
              <w:right w:val="nil"/>
            </w:tcBorders>
            <w:shd w:val="clear" w:color="auto" w:fill="auto"/>
            <w:noWrap/>
            <w:vAlign w:val="bottom"/>
            <w:hideMark/>
          </w:tcPr>
          <w:p w14:paraId="1A026329"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 xml:space="preserve">4,198 </w:t>
            </w:r>
          </w:p>
        </w:tc>
        <w:tc>
          <w:tcPr>
            <w:tcW w:w="578" w:type="pct"/>
            <w:tcBorders>
              <w:top w:val="nil"/>
              <w:left w:val="nil"/>
              <w:bottom w:val="nil"/>
              <w:right w:val="nil"/>
            </w:tcBorders>
            <w:shd w:val="clear" w:color="auto" w:fill="auto"/>
            <w:noWrap/>
            <w:vAlign w:val="bottom"/>
            <w:hideMark/>
          </w:tcPr>
          <w:p w14:paraId="68A2EB8B"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 xml:space="preserve">4,198 </w:t>
            </w:r>
          </w:p>
        </w:tc>
      </w:tr>
      <w:tr w:rsidR="003171B2" w:rsidRPr="003171B2" w14:paraId="7CDFDB27" w14:textId="77777777" w:rsidTr="003171B2">
        <w:trPr>
          <w:trHeight w:val="400"/>
        </w:trPr>
        <w:tc>
          <w:tcPr>
            <w:tcW w:w="2110" w:type="pct"/>
            <w:tcBorders>
              <w:top w:val="nil"/>
              <w:left w:val="nil"/>
              <w:bottom w:val="nil"/>
              <w:right w:val="nil"/>
            </w:tcBorders>
            <w:shd w:val="clear" w:color="auto" w:fill="auto"/>
            <w:vAlign w:val="bottom"/>
            <w:hideMark/>
          </w:tcPr>
          <w:p w14:paraId="3B0F085B" w14:textId="050DCB00" w:rsidR="003171B2" w:rsidRPr="003171B2" w:rsidRDefault="003171B2" w:rsidP="003171B2">
            <w:pPr>
              <w:spacing w:after="0" w:line="240" w:lineRule="auto"/>
              <w:ind w:firstLineChars="100" w:firstLine="160"/>
              <w:jc w:val="left"/>
              <w:rPr>
                <w:rFonts w:ascii="Arial" w:hAnsi="Arial" w:cs="Arial"/>
                <w:color w:val="000000"/>
                <w:sz w:val="16"/>
                <w:szCs w:val="16"/>
              </w:rPr>
            </w:pPr>
            <w:r w:rsidRPr="003171B2">
              <w:rPr>
                <w:rFonts w:ascii="Arial" w:hAnsi="Arial" w:cs="Arial"/>
                <w:color w:val="000000"/>
                <w:sz w:val="16"/>
                <w:szCs w:val="16"/>
              </w:rPr>
              <w:t>Retained surplus (accumulated</w:t>
            </w:r>
            <w:r w:rsidRPr="003171B2">
              <w:rPr>
                <w:rFonts w:ascii="Arial" w:hAnsi="Arial" w:cs="Arial"/>
                <w:color w:val="000000"/>
                <w:sz w:val="16"/>
                <w:szCs w:val="16"/>
              </w:rPr>
              <w:br/>
              <w:t xml:space="preserve">  </w:t>
            </w:r>
            <w:r>
              <w:rPr>
                <w:rFonts w:ascii="Arial" w:hAnsi="Arial" w:cs="Arial"/>
                <w:color w:val="000000"/>
                <w:sz w:val="16"/>
                <w:szCs w:val="16"/>
              </w:rPr>
              <w:t xml:space="preserve">   </w:t>
            </w:r>
            <w:r w:rsidRPr="003171B2">
              <w:rPr>
                <w:rFonts w:ascii="Arial" w:hAnsi="Arial" w:cs="Arial"/>
                <w:color w:val="000000"/>
                <w:sz w:val="16"/>
                <w:szCs w:val="16"/>
              </w:rPr>
              <w:t>deficit)</w:t>
            </w:r>
          </w:p>
        </w:tc>
        <w:tc>
          <w:tcPr>
            <w:tcW w:w="578" w:type="pct"/>
            <w:tcBorders>
              <w:top w:val="nil"/>
              <w:left w:val="nil"/>
              <w:bottom w:val="nil"/>
              <w:right w:val="nil"/>
            </w:tcBorders>
            <w:shd w:val="clear" w:color="auto" w:fill="auto"/>
            <w:noWrap/>
            <w:vAlign w:val="bottom"/>
            <w:hideMark/>
          </w:tcPr>
          <w:p w14:paraId="4AC04CB2"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(131,419)</w:t>
            </w:r>
          </w:p>
        </w:tc>
        <w:tc>
          <w:tcPr>
            <w:tcW w:w="578" w:type="pct"/>
            <w:tcBorders>
              <w:top w:val="nil"/>
              <w:left w:val="nil"/>
              <w:bottom w:val="nil"/>
              <w:right w:val="nil"/>
            </w:tcBorders>
            <w:shd w:val="clear" w:color="000000" w:fill="E6E6E6"/>
            <w:noWrap/>
            <w:vAlign w:val="bottom"/>
            <w:hideMark/>
          </w:tcPr>
          <w:p w14:paraId="4E4B2700"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(141,364)</w:t>
            </w:r>
          </w:p>
        </w:tc>
        <w:tc>
          <w:tcPr>
            <w:tcW w:w="578" w:type="pct"/>
            <w:tcBorders>
              <w:top w:val="nil"/>
              <w:left w:val="nil"/>
              <w:bottom w:val="nil"/>
              <w:right w:val="nil"/>
            </w:tcBorders>
            <w:shd w:val="clear" w:color="auto" w:fill="auto"/>
            <w:noWrap/>
            <w:vAlign w:val="bottom"/>
            <w:hideMark/>
          </w:tcPr>
          <w:p w14:paraId="3423F8C7"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(151,086)</w:t>
            </w:r>
          </w:p>
        </w:tc>
        <w:tc>
          <w:tcPr>
            <w:tcW w:w="578" w:type="pct"/>
            <w:tcBorders>
              <w:top w:val="nil"/>
              <w:left w:val="nil"/>
              <w:bottom w:val="nil"/>
              <w:right w:val="nil"/>
            </w:tcBorders>
            <w:shd w:val="clear" w:color="auto" w:fill="auto"/>
            <w:noWrap/>
            <w:vAlign w:val="bottom"/>
            <w:hideMark/>
          </w:tcPr>
          <w:p w14:paraId="630BB299"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(160,234)</w:t>
            </w:r>
          </w:p>
        </w:tc>
        <w:tc>
          <w:tcPr>
            <w:tcW w:w="578" w:type="pct"/>
            <w:tcBorders>
              <w:top w:val="nil"/>
              <w:left w:val="nil"/>
              <w:bottom w:val="nil"/>
              <w:right w:val="nil"/>
            </w:tcBorders>
            <w:shd w:val="clear" w:color="auto" w:fill="auto"/>
            <w:noWrap/>
            <w:vAlign w:val="bottom"/>
            <w:hideMark/>
          </w:tcPr>
          <w:p w14:paraId="52CF7C49" w14:textId="77777777" w:rsidR="003171B2" w:rsidRPr="003171B2" w:rsidRDefault="003171B2" w:rsidP="003171B2">
            <w:pPr>
              <w:spacing w:after="0" w:line="240" w:lineRule="auto"/>
              <w:jc w:val="right"/>
              <w:rPr>
                <w:rFonts w:ascii="Arial" w:hAnsi="Arial" w:cs="Arial"/>
                <w:color w:val="000000"/>
                <w:sz w:val="16"/>
                <w:szCs w:val="16"/>
              </w:rPr>
            </w:pPr>
            <w:r w:rsidRPr="003171B2">
              <w:rPr>
                <w:rFonts w:ascii="Arial" w:hAnsi="Arial" w:cs="Arial"/>
                <w:color w:val="000000"/>
                <w:sz w:val="16"/>
                <w:szCs w:val="16"/>
              </w:rPr>
              <w:t>(168,507)</w:t>
            </w:r>
          </w:p>
        </w:tc>
      </w:tr>
      <w:tr w:rsidR="003171B2" w:rsidRPr="003171B2" w14:paraId="5F09F224" w14:textId="77777777" w:rsidTr="003171B2">
        <w:trPr>
          <w:trHeight w:val="210"/>
        </w:trPr>
        <w:tc>
          <w:tcPr>
            <w:tcW w:w="2110" w:type="pct"/>
            <w:tcBorders>
              <w:top w:val="nil"/>
              <w:left w:val="nil"/>
              <w:bottom w:val="single" w:sz="4" w:space="0" w:color="000000"/>
              <w:right w:val="nil"/>
            </w:tcBorders>
            <w:shd w:val="clear" w:color="auto" w:fill="auto"/>
            <w:noWrap/>
            <w:vAlign w:val="bottom"/>
            <w:hideMark/>
          </w:tcPr>
          <w:p w14:paraId="32E750D1" w14:textId="77777777" w:rsidR="003171B2" w:rsidRPr="003171B2" w:rsidRDefault="003171B2" w:rsidP="003171B2">
            <w:pPr>
              <w:spacing w:after="0" w:line="240" w:lineRule="auto"/>
              <w:jc w:val="left"/>
              <w:rPr>
                <w:rFonts w:ascii="Arial" w:hAnsi="Arial" w:cs="Arial"/>
                <w:b/>
                <w:bCs/>
                <w:color w:val="000000"/>
                <w:sz w:val="16"/>
                <w:szCs w:val="16"/>
              </w:rPr>
            </w:pPr>
            <w:r w:rsidRPr="003171B2">
              <w:rPr>
                <w:rFonts w:ascii="Arial" w:hAnsi="Arial" w:cs="Arial"/>
                <w:b/>
                <w:bCs/>
                <w:color w:val="000000"/>
                <w:sz w:val="16"/>
                <w:szCs w:val="16"/>
              </w:rPr>
              <w:t>Total equity</w:t>
            </w:r>
          </w:p>
        </w:tc>
        <w:tc>
          <w:tcPr>
            <w:tcW w:w="578" w:type="pct"/>
            <w:tcBorders>
              <w:top w:val="single" w:sz="4" w:space="0" w:color="auto"/>
              <w:left w:val="nil"/>
              <w:bottom w:val="single" w:sz="4" w:space="0" w:color="auto"/>
              <w:right w:val="nil"/>
            </w:tcBorders>
            <w:shd w:val="clear" w:color="auto" w:fill="auto"/>
            <w:noWrap/>
            <w:vAlign w:val="bottom"/>
            <w:hideMark/>
          </w:tcPr>
          <w:p w14:paraId="6F144042" w14:textId="4AD96336" w:rsidR="003171B2" w:rsidRPr="003171B2" w:rsidRDefault="003171B2" w:rsidP="00027737">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56,250 </w:t>
            </w:r>
          </w:p>
        </w:tc>
        <w:tc>
          <w:tcPr>
            <w:tcW w:w="578" w:type="pct"/>
            <w:tcBorders>
              <w:top w:val="single" w:sz="4" w:space="0" w:color="auto"/>
              <w:left w:val="nil"/>
              <w:bottom w:val="single" w:sz="4" w:space="0" w:color="auto"/>
              <w:right w:val="nil"/>
            </w:tcBorders>
            <w:shd w:val="clear" w:color="000000" w:fill="E6E6E6"/>
            <w:noWrap/>
            <w:vAlign w:val="bottom"/>
            <w:hideMark/>
          </w:tcPr>
          <w:p w14:paraId="76F2181D" w14:textId="2F848850" w:rsidR="003171B2" w:rsidRPr="003171B2" w:rsidRDefault="003171B2" w:rsidP="00027737">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79,277 </w:t>
            </w:r>
          </w:p>
        </w:tc>
        <w:tc>
          <w:tcPr>
            <w:tcW w:w="578" w:type="pct"/>
            <w:tcBorders>
              <w:top w:val="single" w:sz="4" w:space="0" w:color="auto"/>
              <w:left w:val="nil"/>
              <w:bottom w:val="single" w:sz="4" w:space="0" w:color="auto"/>
              <w:right w:val="nil"/>
            </w:tcBorders>
            <w:shd w:val="clear" w:color="auto" w:fill="auto"/>
            <w:noWrap/>
            <w:vAlign w:val="bottom"/>
            <w:hideMark/>
          </w:tcPr>
          <w:p w14:paraId="4093FF5B" w14:textId="3F95D670" w:rsidR="003171B2" w:rsidRPr="003171B2" w:rsidRDefault="003171B2" w:rsidP="00027737">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97,719 </w:t>
            </w:r>
          </w:p>
        </w:tc>
        <w:tc>
          <w:tcPr>
            <w:tcW w:w="578" w:type="pct"/>
            <w:tcBorders>
              <w:top w:val="single" w:sz="4" w:space="0" w:color="auto"/>
              <w:left w:val="nil"/>
              <w:bottom w:val="single" w:sz="4" w:space="0" w:color="auto"/>
              <w:right w:val="nil"/>
            </w:tcBorders>
            <w:shd w:val="clear" w:color="auto" w:fill="auto"/>
            <w:noWrap/>
            <w:vAlign w:val="bottom"/>
            <w:hideMark/>
          </w:tcPr>
          <w:p w14:paraId="08B8126A" w14:textId="12265A9D" w:rsidR="003171B2" w:rsidRPr="003171B2" w:rsidRDefault="003171B2" w:rsidP="00027737">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101,603 </w:t>
            </w:r>
          </w:p>
        </w:tc>
        <w:tc>
          <w:tcPr>
            <w:tcW w:w="578" w:type="pct"/>
            <w:tcBorders>
              <w:top w:val="single" w:sz="4" w:space="0" w:color="auto"/>
              <w:left w:val="nil"/>
              <w:bottom w:val="single" w:sz="4" w:space="0" w:color="auto"/>
              <w:right w:val="nil"/>
            </w:tcBorders>
            <w:shd w:val="clear" w:color="auto" w:fill="auto"/>
            <w:noWrap/>
            <w:vAlign w:val="bottom"/>
            <w:hideMark/>
          </w:tcPr>
          <w:p w14:paraId="18A72382" w14:textId="0E2F325E" w:rsidR="003171B2" w:rsidRPr="003171B2" w:rsidRDefault="003171B2" w:rsidP="00027737">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103,704 </w:t>
            </w:r>
          </w:p>
        </w:tc>
      </w:tr>
    </w:tbl>
    <w:p w14:paraId="59EB1A42" w14:textId="1B78498F" w:rsidR="00D606C2" w:rsidRPr="00132F9E" w:rsidRDefault="00D606C2" w:rsidP="00D606C2">
      <w:pPr>
        <w:pStyle w:val="Source"/>
        <w:rPr>
          <w:rFonts w:cs="Arial"/>
        </w:rPr>
      </w:pPr>
      <w:r w:rsidRPr="00132F9E">
        <w:rPr>
          <w:rFonts w:cs="Arial"/>
        </w:rPr>
        <w:t>Prepared on Australian Accounting Standards basis.</w:t>
      </w:r>
    </w:p>
    <w:p w14:paraId="5C9F9122" w14:textId="11D3260A" w:rsidR="0061675B" w:rsidRPr="00772E69" w:rsidRDefault="00E4582E" w:rsidP="00772E69">
      <w:pPr>
        <w:pStyle w:val="ChartandTableFootnote"/>
        <w:rPr>
          <w:rFonts w:cs="Arial"/>
        </w:rPr>
      </w:pPr>
      <w:r w:rsidRPr="00132F9E">
        <w:rPr>
          <w:rFonts w:cs="Arial"/>
        </w:rPr>
        <w:t>*</w:t>
      </w:r>
      <w:r w:rsidR="0087400E" w:rsidRPr="00132F9E">
        <w:rPr>
          <w:rFonts w:cs="Arial"/>
          <w:lang w:val="en-AU"/>
        </w:rPr>
        <w:t>‘</w:t>
      </w:r>
      <w:r w:rsidRPr="00132F9E">
        <w:rPr>
          <w:rFonts w:cs="Arial"/>
        </w:rPr>
        <w:t>E</w:t>
      </w:r>
      <w:r w:rsidR="00F626C2" w:rsidRPr="00132F9E">
        <w:rPr>
          <w:rFonts w:cs="Arial"/>
        </w:rPr>
        <w:t>quity’</w:t>
      </w:r>
      <w:r w:rsidRPr="00132F9E">
        <w:rPr>
          <w:rFonts w:cs="Arial"/>
        </w:rPr>
        <w:t xml:space="preserve"> is the residual interest in assets </w:t>
      </w:r>
      <w:r w:rsidR="00772E69">
        <w:rPr>
          <w:rFonts w:cs="Arial"/>
        </w:rPr>
        <w:t>after deduction of liabilities.</w:t>
      </w:r>
    </w:p>
    <w:p w14:paraId="33DB4AC4" w14:textId="57921D3B" w:rsidR="00611C86" w:rsidRPr="00611C86" w:rsidRDefault="000A24C4" w:rsidP="00611C86">
      <w:pPr>
        <w:pStyle w:val="TableHeading"/>
      </w:pPr>
      <w:r>
        <w:br w:type="page"/>
      </w:r>
      <w:r w:rsidR="00A80C87" w:rsidRPr="00AD42E2">
        <w:lastRenderedPageBreak/>
        <w:t>Table</w:t>
      </w:r>
      <w:r w:rsidR="00971CBF" w:rsidRPr="00AD42E2">
        <w:t xml:space="preserve"> 3.</w:t>
      </w:r>
      <w:r w:rsidR="00A80C87" w:rsidRPr="00AD42E2">
        <w:t>3</w:t>
      </w:r>
      <w:r w:rsidR="00345CCD" w:rsidRPr="00AD42E2">
        <w:t xml:space="preserve">: Departmental </w:t>
      </w:r>
      <w:r w:rsidR="00F626C2" w:rsidRPr="00AD42E2">
        <w:t xml:space="preserve">statement of changes in equity </w:t>
      </w:r>
      <w:r w:rsidR="00345CCD" w:rsidRPr="00AD42E2">
        <w:t xml:space="preserve">— </w:t>
      </w:r>
      <w:r w:rsidR="00F626C2" w:rsidRPr="00AD42E2">
        <w:t>summary of</w:t>
      </w:r>
      <w:r w:rsidR="00F626C2">
        <w:t xml:space="preserve"> movement (</w:t>
      </w:r>
      <w:r w:rsidR="008A1DDE">
        <w:t xml:space="preserve">Budget </w:t>
      </w:r>
      <w:r w:rsidR="00F626C2">
        <w:t>y</w:t>
      </w:r>
      <w:r w:rsidR="008A1DDE">
        <w:t xml:space="preserve">ear </w:t>
      </w:r>
      <w:r w:rsidR="007E3AC7">
        <w:rPr>
          <w:lang w:val="en-AU"/>
        </w:rPr>
        <w:t>2021-22</w:t>
      </w:r>
      <w:r w:rsidR="00345CCD" w:rsidRPr="00D30CBA">
        <w:t>)</w:t>
      </w:r>
    </w:p>
    <w:tbl>
      <w:tblPr>
        <w:tblW w:w="5000" w:type="pct"/>
        <w:tblCellMar>
          <w:left w:w="0" w:type="dxa"/>
          <w:right w:w="28" w:type="dxa"/>
        </w:tblCellMar>
        <w:tblLook w:val="04A0" w:firstRow="1" w:lastRow="0" w:firstColumn="1" w:lastColumn="0" w:noHBand="0" w:noVBand="1"/>
      </w:tblPr>
      <w:tblGrid>
        <w:gridCol w:w="3680"/>
        <w:gridCol w:w="1009"/>
        <w:gridCol w:w="1008"/>
        <w:gridCol w:w="1008"/>
        <w:gridCol w:w="1005"/>
      </w:tblGrid>
      <w:tr w:rsidR="00611C86" w:rsidRPr="00611C86" w14:paraId="451252BA" w14:textId="77777777" w:rsidTr="00611C86">
        <w:trPr>
          <w:trHeight w:val="800"/>
        </w:trPr>
        <w:tc>
          <w:tcPr>
            <w:tcW w:w="2386" w:type="pct"/>
            <w:tcBorders>
              <w:top w:val="single" w:sz="4" w:space="0" w:color="auto"/>
              <w:left w:val="nil"/>
              <w:bottom w:val="nil"/>
              <w:right w:val="nil"/>
            </w:tcBorders>
            <w:shd w:val="clear" w:color="auto" w:fill="auto"/>
            <w:noWrap/>
            <w:vAlign w:val="center"/>
            <w:hideMark/>
          </w:tcPr>
          <w:p w14:paraId="21ABE91E" w14:textId="1368BB04" w:rsidR="00611C86" w:rsidRPr="00611C86" w:rsidRDefault="00611C86" w:rsidP="00611C86">
            <w:pPr>
              <w:spacing w:after="0" w:line="240" w:lineRule="auto"/>
              <w:jc w:val="right"/>
              <w:rPr>
                <w:rFonts w:ascii="Arial" w:hAnsi="Arial" w:cs="Arial"/>
                <w:color w:val="000000"/>
                <w:sz w:val="16"/>
                <w:szCs w:val="16"/>
              </w:rPr>
            </w:pPr>
            <w:r w:rsidRPr="00611C86">
              <w:rPr>
                <w:rFonts w:ascii="Arial" w:hAnsi="Arial" w:cs="Arial"/>
                <w:color w:val="000000"/>
                <w:sz w:val="16"/>
                <w:szCs w:val="16"/>
              </w:rPr>
              <w:t> </w:t>
            </w:r>
          </w:p>
        </w:tc>
        <w:tc>
          <w:tcPr>
            <w:tcW w:w="654" w:type="pct"/>
            <w:tcBorders>
              <w:top w:val="single" w:sz="4" w:space="0" w:color="auto"/>
              <w:left w:val="nil"/>
              <w:bottom w:val="single" w:sz="4" w:space="0" w:color="000000"/>
              <w:right w:val="nil"/>
            </w:tcBorders>
            <w:shd w:val="clear" w:color="auto" w:fill="auto"/>
            <w:hideMark/>
          </w:tcPr>
          <w:p w14:paraId="5B1ADE31" w14:textId="77777777" w:rsidR="00611C86" w:rsidRPr="00611C86" w:rsidRDefault="00611C86" w:rsidP="00611C86">
            <w:pPr>
              <w:spacing w:after="0" w:line="240" w:lineRule="auto"/>
              <w:jc w:val="right"/>
              <w:rPr>
                <w:rFonts w:ascii="Arial" w:hAnsi="Arial" w:cs="Arial"/>
                <w:color w:val="000000"/>
                <w:sz w:val="16"/>
                <w:szCs w:val="16"/>
              </w:rPr>
            </w:pPr>
            <w:r w:rsidRPr="00611C86">
              <w:rPr>
                <w:rFonts w:ascii="Arial" w:hAnsi="Arial" w:cs="Arial"/>
                <w:color w:val="000000"/>
                <w:sz w:val="16"/>
                <w:szCs w:val="16"/>
              </w:rPr>
              <w:t>Retained</w:t>
            </w:r>
            <w:r w:rsidRPr="00611C86">
              <w:rPr>
                <w:rFonts w:ascii="Arial" w:hAnsi="Arial" w:cs="Arial"/>
                <w:color w:val="000000"/>
                <w:sz w:val="16"/>
                <w:szCs w:val="16"/>
              </w:rPr>
              <w:br/>
              <w:t>earnings</w:t>
            </w:r>
            <w:r w:rsidRPr="00611C86">
              <w:rPr>
                <w:rFonts w:ascii="Arial" w:hAnsi="Arial" w:cs="Arial"/>
                <w:color w:val="000000"/>
                <w:sz w:val="16"/>
                <w:szCs w:val="16"/>
              </w:rPr>
              <w:br/>
            </w:r>
            <w:r w:rsidRPr="00611C86">
              <w:rPr>
                <w:rFonts w:ascii="Arial" w:hAnsi="Arial" w:cs="Arial"/>
                <w:color w:val="000000"/>
                <w:sz w:val="16"/>
                <w:szCs w:val="16"/>
              </w:rPr>
              <w:br/>
              <w:t>$'000</w:t>
            </w:r>
          </w:p>
        </w:tc>
        <w:tc>
          <w:tcPr>
            <w:tcW w:w="654" w:type="pct"/>
            <w:tcBorders>
              <w:top w:val="single" w:sz="4" w:space="0" w:color="auto"/>
              <w:left w:val="nil"/>
              <w:bottom w:val="single" w:sz="4" w:space="0" w:color="000000"/>
              <w:right w:val="nil"/>
            </w:tcBorders>
            <w:shd w:val="clear" w:color="auto" w:fill="auto"/>
            <w:hideMark/>
          </w:tcPr>
          <w:p w14:paraId="30CAE3C8" w14:textId="77777777" w:rsidR="00611C86" w:rsidRPr="00611C86" w:rsidRDefault="00611C86" w:rsidP="00611C86">
            <w:pPr>
              <w:spacing w:after="0" w:line="240" w:lineRule="auto"/>
              <w:jc w:val="right"/>
              <w:rPr>
                <w:rFonts w:ascii="Arial" w:hAnsi="Arial" w:cs="Arial"/>
                <w:color w:val="000000"/>
                <w:sz w:val="16"/>
                <w:szCs w:val="16"/>
              </w:rPr>
            </w:pPr>
            <w:r w:rsidRPr="00611C86">
              <w:rPr>
                <w:rFonts w:ascii="Arial" w:hAnsi="Arial" w:cs="Arial"/>
                <w:color w:val="000000"/>
                <w:sz w:val="16"/>
                <w:szCs w:val="16"/>
              </w:rPr>
              <w:t>Asset</w:t>
            </w:r>
            <w:r w:rsidRPr="00611C86">
              <w:rPr>
                <w:rFonts w:ascii="Arial" w:hAnsi="Arial" w:cs="Arial"/>
                <w:color w:val="000000"/>
                <w:sz w:val="16"/>
                <w:szCs w:val="16"/>
              </w:rPr>
              <w:br/>
              <w:t>revaluation</w:t>
            </w:r>
            <w:r w:rsidRPr="00611C86">
              <w:rPr>
                <w:rFonts w:ascii="Arial" w:hAnsi="Arial" w:cs="Arial"/>
                <w:color w:val="000000"/>
                <w:sz w:val="16"/>
                <w:szCs w:val="16"/>
              </w:rPr>
              <w:br/>
              <w:t>reserve</w:t>
            </w:r>
            <w:r w:rsidRPr="00611C86">
              <w:rPr>
                <w:rFonts w:ascii="Arial" w:hAnsi="Arial" w:cs="Arial"/>
                <w:color w:val="000000"/>
                <w:sz w:val="16"/>
                <w:szCs w:val="16"/>
              </w:rPr>
              <w:br/>
              <w:t>$'000</w:t>
            </w:r>
          </w:p>
        </w:tc>
        <w:tc>
          <w:tcPr>
            <w:tcW w:w="654" w:type="pct"/>
            <w:tcBorders>
              <w:top w:val="single" w:sz="4" w:space="0" w:color="auto"/>
              <w:left w:val="nil"/>
              <w:bottom w:val="single" w:sz="4" w:space="0" w:color="000000"/>
              <w:right w:val="nil"/>
            </w:tcBorders>
            <w:shd w:val="clear" w:color="auto" w:fill="auto"/>
            <w:hideMark/>
          </w:tcPr>
          <w:p w14:paraId="72912B4C" w14:textId="77777777" w:rsidR="00611C86" w:rsidRPr="00611C86" w:rsidRDefault="00611C86" w:rsidP="00611C86">
            <w:pPr>
              <w:spacing w:after="0" w:line="240" w:lineRule="auto"/>
              <w:jc w:val="right"/>
              <w:rPr>
                <w:rFonts w:ascii="Arial" w:hAnsi="Arial" w:cs="Arial"/>
                <w:color w:val="000000"/>
                <w:sz w:val="16"/>
                <w:szCs w:val="16"/>
              </w:rPr>
            </w:pPr>
            <w:r w:rsidRPr="00611C86">
              <w:rPr>
                <w:rFonts w:ascii="Arial" w:hAnsi="Arial" w:cs="Arial"/>
                <w:color w:val="000000"/>
                <w:sz w:val="16"/>
                <w:szCs w:val="16"/>
              </w:rPr>
              <w:t>Contributed</w:t>
            </w:r>
            <w:r w:rsidRPr="00611C86">
              <w:rPr>
                <w:rFonts w:ascii="Arial" w:hAnsi="Arial" w:cs="Arial"/>
                <w:color w:val="000000"/>
                <w:sz w:val="16"/>
                <w:szCs w:val="16"/>
              </w:rPr>
              <w:br/>
              <w:t>equity/</w:t>
            </w:r>
            <w:r w:rsidRPr="00611C86">
              <w:rPr>
                <w:rFonts w:ascii="Arial" w:hAnsi="Arial" w:cs="Arial"/>
                <w:color w:val="000000"/>
                <w:sz w:val="16"/>
                <w:szCs w:val="16"/>
              </w:rPr>
              <w:br/>
              <w:t>capital</w:t>
            </w:r>
            <w:r w:rsidRPr="00611C86">
              <w:rPr>
                <w:rFonts w:ascii="Arial" w:hAnsi="Arial" w:cs="Arial"/>
                <w:color w:val="000000"/>
                <w:sz w:val="16"/>
                <w:szCs w:val="16"/>
              </w:rPr>
              <w:br/>
              <w:t>$'000</w:t>
            </w:r>
          </w:p>
        </w:tc>
        <w:tc>
          <w:tcPr>
            <w:tcW w:w="654" w:type="pct"/>
            <w:tcBorders>
              <w:top w:val="single" w:sz="4" w:space="0" w:color="auto"/>
              <w:left w:val="nil"/>
              <w:bottom w:val="single" w:sz="4" w:space="0" w:color="000000"/>
              <w:right w:val="nil"/>
            </w:tcBorders>
            <w:shd w:val="clear" w:color="auto" w:fill="auto"/>
            <w:hideMark/>
          </w:tcPr>
          <w:p w14:paraId="4636F2ED" w14:textId="77777777" w:rsidR="00611C86" w:rsidRPr="00611C86" w:rsidRDefault="00611C86" w:rsidP="00611C86">
            <w:pPr>
              <w:spacing w:after="0" w:line="240" w:lineRule="auto"/>
              <w:jc w:val="right"/>
              <w:rPr>
                <w:rFonts w:ascii="Arial" w:hAnsi="Arial" w:cs="Arial"/>
                <w:color w:val="000000"/>
                <w:sz w:val="16"/>
                <w:szCs w:val="16"/>
              </w:rPr>
            </w:pPr>
            <w:r w:rsidRPr="00611C86">
              <w:rPr>
                <w:rFonts w:ascii="Arial" w:hAnsi="Arial" w:cs="Arial"/>
                <w:color w:val="000000"/>
                <w:sz w:val="16"/>
                <w:szCs w:val="16"/>
              </w:rPr>
              <w:t>Total</w:t>
            </w:r>
            <w:r w:rsidRPr="00611C86">
              <w:rPr>
                <w:rFonts w:ascii="Arial" w:hAnsi="Arial" w:cs="Arial"/>
                <w:color w:val="000000"/>
                <w:sz w:val="16"/>
                <w:szCs w:val="16"/>
              </w:rPr>
              <w:br/>
              <w:t xml:space="preserve">equity </w:t>
            </w:r>
            <w:r w:rsidRPr="00611C86">
              <w:rPr>
                <w:rFonts w:ascii="Arial" w:hAnsi="Arial" w:cs="Arial"/>
                <w:color w:val="000000"/>
                <w:sz w:val="16"/>
                <w:szCs w:val="16"/>
              </w:rPr>
              <w:br/>
            </w:r>
            <w:r w:rsidRPr="00611C86">
              <w:rPr>
                <w:rFonts w:ascii="Arial" w:hAnsi="Arial" w:cs="Arial"/>
                <w:color w:val="000000"/>
                <w:sz w:val="16"/>
                <w:szCs w:val="16"/>
              </w:rPr>
              <w:br/>
              <w:t>$'000</w:t>
            </w:r>
          </w:p>
        </w:tc>
      </w:tr>
      <w:tr w:rsidR="00611C86" w:rsidRPr="00611C86" w14:paraId="11FDDF05" w14:textId="77777777" w:rsidTr="00611C86">
        <w:trPr>
          <w:trHeight w:val="210"/>
        </w:trPr>
        <w:tc>
          <w:tcPr>
            <w:tcW w:w="2386" w:type="pct"/>
            <w:tcBorders>
              <w:top w:val="nil"/>
              <w:left w:val="nil"/>
              <w:bottom w:val="nil"/>
              <w:right w:val="nil"/>
            </w:tcBorders>
            <w:shd w:val="clear" w:color="auto" w:fill="auto"/>
            <w:vAlign w:val="bottom"/>
            <w:hideMark/>
          </w:tcPr>
          <w:p w14:paraId="6AFC813C" w14:textId="77777777" w:rsidR="00611C86" w:rsidRPr="00611C86" w:rsidRDefault="00611C86" w:rsidP="00611C86">
            <w:pPr>
              <w:spacing w:after="0" w:line="240" w:lineRule="auto"/>
              <w:jc w:val="left"/>
              <w:rPr>
                <w:rFonts w:ascii="Arial" w:hAnsi="Arial" w:cs="Arial"/>
                <w:b/>
                <w:bCs/>
                <w:color w:val="000000"/>
                <w:sz w:val="16"/>
                <w:szCs w:val="16"/>
              </w:rPr>
            </w:pPr>
            <w:r w:rsidRPr="00611C86">
              <w:rPr>
                <w:rFonts w:ascii="Arial" w:hAnsi="Arial" w:cs="Arial"/>
                <w:b/>
                <w:bCs/>
                <w:color w:val="000000"/>
                <w:sz w:val="16"/>
                <w:szCs w:val="16"/>
              </w:rPr>
              <w:t>Opening balance as at 1 July 2021</w:t>
            </w:r>
          </w:p>
        </w:tc>
        <w:tc>
          <w:tcPr>
            <w:tcW w:w="654" w:type="pct"/>
            <w:tcBorders>
              <w:top w:val="nil"/>
              <w:left w:val="nil"/>
              <w:bottom w:val="nil"/>
              <w:right w:val="nil"/>
            </w:tcBorders>
            <w:shd w:val="clear" w:color="auto" w:fill="auto"/>
            <w:noWrap/>
            <w:vAlign w:val="bottom"/>
            <w:hideMark/>
          </w:tcPr>
          <w:p w14:paraId="73F6C890" w14:textId="77777777" w:rsidR="00611C86" w:rsidRPr="00611C86" w:rsidRDefault="00611C86" w:rsidP="00611C86">
            <w:pPr>
              <w:spacing w:after="0" w:line="240" w:lineRule="auto"/>
              <w:jc w:val="left"/>
              <w:rPr>
                <w:rFonts w:ascii="Arial" w:hAnsi="Arial" w:cs="Arial"/>
                <w:b/>
                <w:bCs/>
                <w:color w:val="000000"/>
                <w:sz w:val="16"/>
                <w:szCs w:val="16"/>
              </w:rPr>
            </w:pPr>
          </w:p>
        </w:tc>
        <w:tc>
          <w:tcPr>
            <w:tcW w:w="654" w:type="pct"/>
            <w:tcBorders>
              <w:top w:val="nil"/>
              <w:left w:val="nil"/>
              <w:bottom w:val="nil"/>
              <w:right w:val="nil"/>
            </w:tcBorders>
            <w:shd w:val="clear" w:color="auto" w:fill="auto"/>
            <w:noWrap/>
            <w:vAlign w:val="bottom"/>
            <w:hideMark/>
          </w:tcPr>
          <w:p w14:paraId="5D79408F" w14:textId="77777777" w:rsidR="00611C86" w:rsidRPr="00611C86" w:rsidRDefault="00611C86" w:rsidP="00611C86">
            <w:pPr>
              <w:spacing w:after="0" w:line="240" w:lineRule="auto"/>
              <w:jc w:val="left"/>
              <w:rPr>
                <w:rFonts w:ascii="Times New Roman" w:hAnsi="Times New Roman"/>
              </w:rPr>
            </w:pPr>
          </w:p>
        </w:tc>
        <w:tc>
          <w:tcPr>
            <w:tcW w:w="654" w:type="pct"/>
            <w:tcBorders>
              <w:top w:val="nil"/>
              <w:left w:val="nil"/>
              <w:bottom w:val="nil"/>
              <w:right w:val="nil"/>
            </w:tcBorders>
            <w:shd w:val="clear" w:color="auto" w:fill="auto"/>
            <w:noWrap/>
            <w:vAlign w:val="bottom"/>
            <w:hideMark/>
          </w:tcPr>
          <w:p w14:paraId="0FAE9EB8" w14:textId="77777777" w:rsidR="00611C86" w:rsidRPr="00611C86" w:rsidRDefault="00611C86" w:rsidP="00611C86">
            <w:pPr>
              <w:spacing w:after="0" w:line="240" w:lineRule="auto"/>
              <w:jc w:val="left"/>
              <w:rPr>
                <w:rFonts w:ascii="Times New Roman" w:hAnsi="Times New Roman"/>
              </w:rPr>
            </w:pPr>
          </w:p>
        </w:tc>
        <w:tc>
          <w:tcPr>
            <w:tcW w:w="654" w:type="pct"/>
            <w:tcBorders>
              <w:top w:val="nil"/>
              <w:left w:val="nil"/>
              <w:bottom w:val="nil"/>
              <w:right w:val="nil"/>
            </w:tcBorders>
            <w:shd w:val="clear" w:color="auto" w:fill="auto"/>
            <w:noWrap/>
            <w:vAlign w:val="bottom"/>
            <w:hideMark/>
          </w:tcPr>
          <w:p w14:paraId="390BBA7B" w14:textId="77777777" w:rsidR="00611C86" w:rsidRPr="00611C86" w:rsidRDefault="00611C86" w:rsidP="00611C86">
            <w:pPr>
              <w:spacing w:after="0" w:line="240" w:lineRule="auto"/>
              <w:jc w:val="left"/>
              <w:rPr>
                <w:rFonts w:ascii="Times New Roman" w:hAnsi="Times New Roman"/>
              </w:rPr>
            </w:pPr>
          </w:p>
        </w:tc>
      </w:tr>
      <w:tr w:rsidR="00611C86" w:rsidRPr="00611C86" w14:paraId="57A54899" w14:textId="77777777" w:rsidTr="00611C86">
        <w:trPr>
          <w:trHeight w:val="400"/>
        </w:trPr>
        <w:tc>
          <w:tcPr>
            <w:tcW w:w="2386" w:type="pct"/>
            <w:tcBorders>
              <w:top w:val="nil"/>
              <w:left w:val="nil"/>
              <w:bottom w:val="nil"/>
              <w:right w:val="nil"/>
            </w:tcBorders>
            <w:shd w:val="clear" w:color="auto" w:fill="auto"/>
            <w:vAlign w:val="bottom"/>
            <w:hideMark/>
          </w:tcPr>
          <w:p w14:paraId="53619097" w14:textId="5E8A242F" w:rsidR="00611C86" w:rsidRPr="00611C86" w:rsidRDefault="00611C86" w:rsidP="00611C86">
            <w:pPr>
              <w:spacing w:after="0" w:line="240" w:lineRule="auto"/>
              <w:ind w:firstLineChars="100" w:firstLine="160"/>
              <w:jc w:val="left"/>
              <w:rPr>
                <w:rFonts w:ascii="Arial" w:hAnsi="Arial" w:cs="Arial"/>
                <w:color w:val="000000"/>
                <w:sz w:val="16"/>
                <w:szCs w:val="16"/>
              </w:rPr>
            </w:pPr>
            <w:r w:rsidRPr="00611C86">
              <w:rPr>
                <w:rFonts w:ascii="Arial" w:hAnsi="Arial" w:cs="Arial"/>
                <w:color w:val="000000"/>
                <w:sz w:val="16"/>
                <w:szCs w:val="16"/>
              </w:rPr>
              <w:t>Balance carried forward from</w:t>
            </w:r>
            <w:r w:rsidRPr="00611C86">
              <w:rPr>
                <w:rFonts w:ascii="Arial" w:hAnsi="Arial" w:cs="Arial"/>
                <w:color w:val="000000"/>
                <w:sz w:val="16"/>
                <w:szCs w:val="16"/>
              </w:rPr>
              <w:br/>
              <w:t xml:space="preserve"> </w:t>
            </w:r>
            <w:r>
              <w:rPr>
                <w:rFonts w:ascii="Arial" w:hAnsi="Arial" w:cs="Arial"/>
                <w:color w:val="000000"/>
                <w:sz w:val="16"/>
                <w:szCs w:val="16"/>
              </w:rPr>
              <w:t xml:space="preserve">   </w:t>
            </w:r>
            <w:r w:rsidRPr="00611C86">
              <w:rPr>
                <w:rFonts w:ascii="Arial" w:hAnsi="Arial" w:cs="Arial"/>
                <w:color w:val="000000"/>
                <w:sz w:val="16"/>
                <w:szCs w:val="16"/>
              </w:rPr>
              <w:t xml:space="preserve"> previous period</w:t>
            </w:r>
          </w:p>
        </w:tc>
        <w:tc>
          <w:tcPr>
            <w:tcW w:w="654" w:type="pct"/>
            <w:tcBorders>
              <w:top w:val="nil"/>
              <w:left w:val="nil"/>
              <w:bottom w:val="nil"/>
              <w:right w:val="nil"/>
            </w:tcBorders>
            <w:shd w:val="clear" w:color="auto" w:fill="auto"/>
            <w:noWrap/>
            <w:vAlign w:val="bottom"/>
            <w:hideMark/>
          </w:tcPr>
          <w:p w14:paraId="60F4DF86" w14:textId="77777777" w:rsidR="00611C86" w:rsidRPr="00611C86" w:rsidRDefault="00611C86" w:rsidP="00611C86">
            <w:pPr>
              <w:spacing w:after="0" w:line="240" w:lineRule="auto"/>
              <w:jc w:val="right"/>
              <w:rPr>
                <w:rFonts w:ascii="Arial" w:hAnsi="Arial" w:cs="Arial"/>
                <w:color w:val="000000"/>
                <w:sz w:val="16"/>
                <w:szCs w:val="16"/>
              </w:rPr>
            </w:pPr>
            <w:r w:rsidRPr="00611C86">
              <w:rPr>
                <w:rFonts w:ascii="Arial" w:hAnsi="Arial" w:cs="Arial"/>
                <w:color w:val="000000"/>
                <w:sz w:val="16"/>
                <w:szCs w:val="16"/>
              </w:rPr>
              <w:t>(131,419)</w:t>
            </w:r>
          </w:p>
        </w:tc>
        <w:tc>
          <w:tcPr>
            <w:tcW w:w="654" w:type="pct"/>
            <w:tcBorders>
              <w:top w:val="nil"/>
              <w:left w:val="nil"/>
              <w:bottom w:val="nil"/>
              <w:right w:val="nil"/>
            </w:tcBorders>
            <w:shd w:val="clear" w:color="auto" w:fill="auto"/>
            <w:noWrap/>
            <w:vAlign w:val="bottom"/>
            <w:hideMark/>
          </w:tcPr>
          <w:p w14:paraId="2D2FFC63" w14:textId="77777777" w:rsidR="00611C86" w:rsidRPr="00611C86" w:rsidRDefault="00611C86" w:rsidP="00611C86">
            <w:pPr>
              <w:spacing w:after="0" w:line="240" w:lineRule="auto"/>
              <w:jc w:val="right"/>
              <w:rPr>
                <w:rFonts w:ascii="Arial" w:hAnsi="Arial" w:cs="Arial"/>
                <w:color w:val="000000"/>
                <w:sz w:val="16"/>
                <w:szCs w:val="16"/>
              </w:rPr>
            </w:pPr>
            <w:r w:rsidRPr="00611C86">
              <w:rPr>
                <w:rFonts w:ascii="Arial" w:hAnsi="Arial" w:cs="Arial"/>
                <w:color w:val="000000"/>
                <w:sz w:val="16"/>
                <w:szCs w:val="16"/>
              </w:rPr>
              <w:t xml:space="preserve">4,198 </w:t>
            </w:r>
          </w:p>
        </w:tc>
        <w:tc>
          <w:tcPr>
            <w:tcW w:w="654" w:type="pct"/>
            <w:tcBorders>
              <w:top w:val="nil"/>
              <w:left w:val="nil"/>
              <w:bottom w:val="nil"/>
              <w:right w:val="nil"/>
            </w:tcBorders>
            <w:shd w:val="clear" w:color="auto" w:fill="auto"/>
            <w:noWrap/>
            <w:vAlign w:val="bottom"/>
            <w:hideMark/>
          </w:tcPr>
          <w:p w14:paraId="24F21A3D" w14:textId="77777777" w:rsidR="00611C86" w:rsidRPr="00611C86" w:rsidRDefault="00611C86" w:rsidP="00611C86">
            <w:pPr>
              <w:spacing w:after="0" w:line="240" w:lineRule="auto"/>
              <w:jc w:val="right"/>
              <w:rPr>
                <w:rFonts w:ascii="Arial" w:hAnsi="Arial" w:cs="Arial"/>
                <w:color w:val="000000"/>
                <w:sz w:val="16"/>
                <w:szCs w:val="16"/>
              </w:rPr>
            </w:pPr>
            <w:r w:rsidRPr="00611C86">
              <w:rPr>
                <w:rFonts w:ascii="Arial" w:hAnsi="Arial" w:cs="Arial"/>
                <w:color w:val="000000"/>
                <w:sz w:val="16"/>
                <w:szCs w:val="16"/>
              </w:rPr>
              <w:t xml:space="preserve">183,471 </w:t>
            </w:r>
          </w:p>
        </w:tc>
        <w:tc>
          <w:tcPr>
            <w:tcW w:w="654" w:type="pct"/>
            <w:tcBorders>
              <w:top w:val="nil"/>
              <w:left w:val="nil"/>
              <w:bottom w:val="nil"/>
              <w:right w:val="nil"/>
            </w:tcBorders>
            <w:shd w:val="clear" w:color="auto" w:fill="auto"/>
            <w:noWrap/>
            <w:vAlign w:val="bottom"/>
            <w:hideMark/>
          </w:tcPr>
          <w:p w14:paraId="76E55971" w14:textId="77777777" w:rsidR="00611C86" w:rsidRPr="00611C86" w:rsidRDefault="00611C86" w:rsidP="00611C86">
            <w:pPr>
              <w:spacing w:after="0" w:line="240" w:lineRule="auto"/>
              <w:jc w:val="right"/>
              <w:rPr>
                <w:rFonts w:ascii="Arial" w:hAnsi="Arial" w:cs="Arial"/>
                <w:color w:val="000000"/>
                <w:sz w:val="16"/>
                <w:szCs w:val="16"/>
              </w:rPr>
            </w:pPr>
            <w:r w:rsidRPr="00611C86">
              <w:rPr>
                <w:rFonts w:ascii="Arial" w:hAnsi="Arial" w:cs="Arial"/>
                <w:color w:val="000000"/>
                <w:sz w:val="16"/>
                <w:szCs w:val="16"/>
              </w:rPr>
              <w:t xml:space="preserve">56,250 </w:t>
            </w:r>
          </w:p>
        </w:tc>
      </w:tr>
      <w:tr w:rsidR="00611C86" w:rsidRPr="00611C86" w14:paraId="6F4A4E88" w14:textId="77777777" w:rsidTr="00611C86">
        <w:trPr>
          <w:trHeight w:val="200"/>
        </w:trPr>
        <w:tc>
          <w:tcPr>
            <w:tcW w:w="2386" w:type="pct"/>
            <w:tcBorders>
              <w:top w:val="nil"/>
              <w:left w:val="nil"/>
              <w:bottom w:val="nil"/>
              <w:right w:val="nil"/>
            </w:tcBorders>
            <w:shd w:val="clear" w:color="auto" w:fill="auto"/>
            <w:vAlign w:val="bottom"/>
            <w:hideMark/>
          </w:tcPr>
          <w:p w14:paraId="7ADEFBDB" w14:textId="77777777" w:rsidR="00611C86" w:rsidRPr="00611C86" w:rsidRDefault="00611C86" w:rsidP="00611C86">
            <w:pPr>
              <w:spacing w:after="0" w:line="240" w:lineRule="auto"/>
              <w:jc w:val="left"/>
              <w:rPr>
                <w:rFonts w:ascii="Arial" w:hAnsi="Arial" w:cs="Arial"/>
                <w:b/>
                <w:bCs/>
                <w:i/>
                <w:iCs/>
                <w:color w:val="000000"/>
                <w:sz w:val="16"/>
                <w:szCs w:val="16"/>
              </w:rPr>
            </w:pPr>
            <w:r w:rsidRPr="00611C86">
              <w:rPr>
                <w:rFonts w:ascii="Arial" w:hAnsi="Arial" w:cs="Arial"/>
                <w:b/>
                <w:bCs/>
                <w:i/>
                <w:iCs/>
                <w:color w:val="000000"/>
                <w:sz w:val="16"/>
                <w:szCs w:val="16"/>
              </w:rPr>
              <w:t>Adjusted opening balance</w:t>
            </w:r>
          </w:p>
        </w:tc>
        <w:tc>
          <w:tcPr>
            <w:tcW w:w="654" w:type="pct"/>
            <w:tcBorders>
              <w:top w:val="single" w:sz="4" w:space="0" w:color="000000"/>
              <w:left w:val="nil"/>
              <w:bottom w:val="single" w:sz="4" w:space="0" w:color="000000"/>
              <w:right w:val="nil"/>
            </w:tcBorders>
            <w:shd w:val="clear" w:color="auto" w:fill="auto"/>
            <w:noWrap/>
            <w:vAlign w:val="bottom"/>
            <w:hideMark/>
          </w:tcPr>
          <w:p w14:paraId="5770FE70" w14:textId="77777777" w:rsidR="00611C86" w:rsidRPr="00611C86" w:rsidRDefault="00611C86" w:rsidP="00611C86">
            <w:pPr>
              <w:spacing w:after="0" w:line="240" w:lineRule="auto"/>
              <w:jc w:val="right"/>
              <w:rPr>
                <w:rFonts w:ascii="Arial" w:hAnsi="Arial" w:cs="Arial"/>
                <w:b/>
                <w:bCs/>
                <w:i/>
                <w:iCs/>
                <w:color w:val="000000"/>
                <w:sz w:val="16"/>
                <w:szCs w:val="16"/>
              </w:rPr>
            </w:pPr>
            <w:r w:rsidRPr="00611C86">
              <w:rPr>
                <w:rFonts w:ascii="Arial" w:hAnsi="Arial" w:cs="Arial"/>
                <w:b/>
                <w:bCs/>
                <w:i/>
                <w:iCs/>
                <w:color w:val="000000"/>
                <w:sz w:val="16"/>
                <w:szCs w:val="16"/>
              </w:rPr>
              <w:t>(131,419)</w:t>
            </w:r>
          </w:p>
        </w:tc>
        <w:tc>
          <w:tcPr>
            <w:tcW w:w="654" w:type="pct"/>
            <w:tcBorders>
              <w:top w:val="single" w:sz="4" w:space="0" w:color="000000"/>
              <w:left w:val="nil"/>
              <w:bottom w:val="single" w:sz="4" w:space="0" w:color="000000"/>
              <w:right w:val="nil"/>
            </w:tcBorders>
            <w:shd w:val="clear" w:color="auto" w:fill="auto"/>
            <w:noWrap/>
            <w:vAlign w:val="bottom"/>
            <w:hideMark/>
          </w:tcPr>
          <w:p w14:paraId="24DDEE86" w14:textId="77777777" w:rsidR="00611C86" w:rsidRPr="00611C86" w:rsidRDefault="00611C86" w:rsidP="00611C86">
            <w:pPr>
              <w:spacing w:after="0" w:line="240" w:lineRule="auto"/>
              <w:jc w:val="right"/>
              <w:rPr>
                <w:rFonts w:ascii="Arial" w:hAnsi="Arial" w:cs="Arial"/>
                <w:b/>
                <w:bCs/>
                <w:i/>
                <w:iCs/>
                <w:color w:val="000000"/>
                <w:sz w:val="16"/>
                <w:szCs w:val="16"/>
              </w:rPr>
            </w:pPr>
            <w:r w:rsidRPr="00611C86">
              <w:rPr>
                <w:rFonts w:ascii="Arial" w:hAnsi="Arial" w:cs="Arial"/>
                <w:b/>
                <w:bCs/>
                <w:i/>
                <w:iCs/>
                <w:color w:val="000000"/>
                <w:sz w:val="16"/>
                <w:szCs w:val="16"/>
              </w:rPr>
              <w:t xml:space="preserve">4,198 </w:t>
            </w:r>
          </w:p>
        </w:tc>
        <w:tc>
          <w:tcPr>
            <w:tcW w:w="654" w:type="pct"/>
            <w:tcBorders>
              <w:top w:val="single" w:sz="4" w:space="0" w:color="000000"/>
              <w:left w:val="nil"/>
              <w:bottom w:val="single" w:sz="4" w:space="0" w:color="000000"/>
              <w:right w:val="nil"/>
            </w:tcBorders>
            <w:shd w:val="clear" w:color="auto" w:fill="auto"/>
            <w:noWrap/>
            <w:vAlign w:val="bottom"/>
            <w:hideMark/>
          </w:tcPr>
          <w:p w14:paraId="71144A5E" w14:textId="77777777" w:rsidR="00611C86" w:rsidRPr="00611C86" w:rsidRDefault="00611C86" w:rsidP="00611C86">
            <w:pPr>
              <w:spacing w:after="0" w:line="240" w:lineRule="auto"/>
              <w:jc w:val="right"/>
              <w:rPr>
                <w:rFonts w:ascii="Arial" w:hAnsi="Arial" w:cs="Arial"/>
                <w:b/>
                <w:bCs/>
                <w:i/>
                <w:iCs/>
                <w:color w:val="000000"/>
                <w:sz w:val="16"/>
                <w:szCs w:val="16"/>
              </w:rPr>
            </w:pPr>
            <w:r w:rsidRPr="00611C86">
              <w:rPr>
                <w:rFonts w:ascii="Arial" w:hAnsi="Arial" w:cs="Arial"/>
                <w:b/>
                <w:bCs/>
                <w:i/>
                <w:iCs/>
                <w:color w:val="000000"/>
                <w:sz w:val="16"/>
                <w:szCs w:val="16"/>
              </w:rPr>
              <w:t xml:space="preserve">183,471 </w:t>
            </w:r>
          </w:p>
        </w:tc>
        <w:tc>
          <w:tcPr>
            <w:tcW w:w="654" w:type="pct"/>
            <w:tcBorders>
              <w:top w:val="single" w:sz="4" w:space="0" w:color="000000"/>
              <w:left w:val="nil"/>
              <w:bottom w:val="single" w:sz="4" w:space="0" w:color="000000"/>
              <w:right w:val="nil"/>
            </w:tcBorders>
            <w:shd w:val="clear" w:color="auto" w:fill="auto"/>
            <w:noWrap/>
            <w:vAlign w:val="bottom"/>
            <w:hideMark/>
          </w:tcPr>
          <w:p w14:paraId="3275E120" w14:textId="77777777" w:rsidR="00611C86" w:rsidRPr="00611C86" w:rsidRDefault="00611C86" w:rsidP="00611C86">
            <w:pPr>
              <w:spacing w:after="0" w:line="240" w:lineRule="auto"/>
              <w:jc w:val="right"/>
              <w:rPr>
                <w:rFonts w:ascii="Arial" w:hAnsi="Arial" w:cs="Arial"/>
                <w:b/>
                <w:bCs/>
                <w:i/>
                <w:iCs/>
                <w:color w:val="000000"/>
                <w:sz w:val="16"/>
                <w:szCs w:val="16"/>
              </w:rPr>
            </w:pPr>
            <w:r w:rsidRPr="00611C86">
              <w:rPr>
                <w:rFonts w:ascii="Arial" w:hAnsi="Arial" w:cs="Arial"/>
                <w:b/>
                <w:bCs/>
                <w:i/>
                <w:iCs/>
                <w:color w:val="000000"/>
                <w:sz w:val="16"/>
                <w:szCs w:val="16"/>
              </w:rPr>
              <w:t xml:space="preserve">56,250 </w:t>
            </w:r>
          </w:p>
        </w:tc>
      </w:tr>
      <w:tr w:rsidR="00611C86" w:rsidRPr="00611C86" w14:paraId="125D8CA8" w14:textId="77777777" w:rsidTr="00611C86">
        <w:trPr>
          <w:trHeight w:val="210"/>
        </w:trPr>
        <w:tc>
          <w:tcPr>
            <w:tcW w:w="2386" w:type="pct"/>
            <w:tcBorders>
              <w:top w:val="nil"/>
              <w:left w:val="nil"/>
              <w:bottom w:val="nil"/>
              <w:right w:val="nil"/>
            </w:tcBorders>
            <w:shd w:val="clear" w:color="auto" w:fill="auto"/>
            <w:noWrap/>
            <w:vAlign w:val="bottom"/>
            <w:hideMark/>
          </w:tcPr>
          <w:p w14:paraId="10B3A34E" w14:textId="77777777" w:rsidR="00611C86" w:rsidRPr="00611C86" w:rsidRDefault="00611C86" w:rsidP="00611C86">
            <w:pPr>
              <w:spacing w:after="0" w:line="240" w:lineRule="auto"/>
              <w:jc w:val="left"/>
              <w:rPr>
                <w:rFonts w:ascii="Arial" w:hAnsi="Arial" w:cs="Arial"/>
                <w:b/>
                <w:bCs/>
                <w:color w:val="000000"/>
                <w:sz w:val="16"/>
                <w:szCs w:val="16"/>
              </w:rPr>
            </w:pPr>
            <w:r w:rsidRPr="00611C86">
              <w:rPr>
                <w:rFonts w:ascii="Arial" w:hAnsi="Arial" w:cs="Arial"/>
                <w:b/>
                <w:bCs/>
                <w:color w:val="000000"/>
                <w:sz w:val="16"/>
                <w:szCs w:val="16"/>
              </w:rPr>
              <w:t>Comprehensive income</w:t>
            </w:r>
          </w:p>
        </w:tc>
        <w:tc>
          <w:tcPr>
            <w:tcW w:w="654" w:type="pct"/>
            <w:tcBorders>
              <w:top w:val="nil"/>
              <w:left w:val="nil"/>
              <w:bottom w:val="nil"/>
              <w:right w:val="nil"/>
            </w:tcBorders>
            <w:shd w:val="clear" w:color="auto" w:fill="auto"/>
            <w:noWrap/>
            <w:vAlign w:val="bottom"/>
            <w:hideMark/>
          </w:tcPr>
          <w:p w14:paraId="568CB064" w14:textId="77777777" w:rsidR="00611C86" w:rsidRPr="00611C86" w:rsidRDefault="00611C86" w:rsidP="00611C86">
            <w:pPr>
              <w:spacing w:after="0" w:line="240" w:lineRule="auto"/>
              <w:jc w:val="left"/>
              <w:rPr>
                <w:rFonts w:ascii="Arial" w:hAnsi="Arial" w:cs="Arial"/>
                <w:b/>
                <w:bCs/>
                <w:color w:val="000000"/>
                <w:sz w:val="16"/>
                <w:szCs w:val="16"/>
              </w:rPr>
            </w:pPr>
          </w:p>
        </w:tc>
        <w:tc>
          <w:tcPr>
            <w:tcW w:w="654" w:type="pct"/>
            <w:tcBorders>
              <w:top w:val="nil"/>
              <w:left w:val="nil"/>
              <w:bottom w:val="nil"/>
              <w:right w:val="nil"/>
            </w:tcBorders>
            <w:shd w:val="clear" w:color="auto" w:fill="auto"/>
            <w:noWrap/>
            <w:vAlign w:val="bottom"/>
            <w:hideMark/>
          </w:tcPr>
          <w:p w14:paraId="6E57C9FC" w14:textId="77777777" w:rsidR="00611C86" w:rsidRPr="00611C86" w:rsidRDefault="00611C86" w:rsidP="00611C86">
            <w:pPr>
              <w:spacing w:after="0" w:line="240" w:lineRule="auto"/>
              <w:jc w:val="left"/>
              <w:rPr>
                <w:rFonts w:ascii="Times New Roman" w:hAnsi="Times New Roman"/>
              </w:rPr>
            </w:pPr>
          </w:p>
        </w:tc>
        <w:tc>
          <w:tcPr>
            <w:tcW w:w="654" w:type="pct"/>
            <w:tcBorders>
              <w:top w:val="nil"/>
              <w:left w:val="nil"/>
              <w:bottom w:val="nil"/>
              <w:right w:val="nil"/>
            </w:tcBorders>
            <w:shd w:val="clear" w:color="auto" w:fill="auto"/>
            <w:noWrap/>
            <w:vAlign w:val="bottom"/>
            <w:hideMark/>
          </w:tcPr>
          <w:p w14:paraId="38ECCAB3" w14:textId="77777777" w:rsidR="00611C86" w:rsidRPr="00611C86" w:rsidRDefault="00611C86" w:rsidP="00611C86">
            <w:pPr>
              <w:spacing w:after="0" w:line="240" w:lineRule="auto"/>
              <w:jc w:val="left"/>
              <w:rPr>
                <w:rFonts w:ascii="Times New Roman" w:hAnsi="Times New Roman"/>
              </w:rPr>
            </w:pPr>
          </w:p>
        </w:tc>
        <w:tc>
          <w:tcPr>
            <w:tcW w:w="654" w:type="pct"/>
            <w:tcBorders>
              <w:top w:val="nil"/>
              <w:left w:val="nil"/>
              <w:bottom w:val="nil"/>
              <w:right w:val="nil"/>
            </w:tcBorders>
            <w:shd w:val="clear" w:color="auto" w:fill="auto"/>
            <w:noWrap/>
            <w:vAlign w:val="bottom"/>
            <w:hideMark/>
          </w:tcPr>
          <w:p w14:paraId="6F28FC22" w14:textId="77777777" w:rsidR="00611C86" w:rsidRPr="00611C86" w:rsidRDefault="00611C86" w:rsidP="00611C86">
            <w:pPr>
              <w:spacing w:after="0" w:line="240" w:lineRule="auto"/>
              <w:jc w:val="left"/>
              <w:rPr>
                <w:rFonts w:ascii="Times New Roman" w:hAnsi="Times New Roman"/>
              </w:rPr>
            </w:pPr>
          </w:p>
        </w:tc>
      </w:tr>
      <w:tr w:rsidR="00611C86" w:rsidRPr="00611C86" w14:paraId="539608D7" w14:textId="77777777" w:rsidTr="00611C86">
        <w:trPr>
          <w:trHeight w:val="200"/>
        </w:trPr>
        <w:tc>
          <w:tcPr>
            <w:tcW w:w="2386" w:type="pct"/>
            <w:tcBorders>
              <w:top w:val="nil"/>
              <w:left w:val="nil"/>
              <w:bottom w:val="nil"/>
              <w:right w:val="nil"/>
            </w:tcBorders>
            <w:shd w:val="clear" w:color="auto" w:fill="auto"/>
            <w:noWrap/>
            <w:vAlign w:val="bottom"/>
            <w:hideMark/>
          </w:tcPr>
          <w:p w14:paraId="29E9B684" w14:textId="77777777" w:rsidR="00611C86" w:rsidRPr="00611C86" w:rsidRDefault="00611C86" w:rsidP="00611C86">
            <w:pPr>
              <w:spacing w:after="0" w:line="240" w:lineRule="auto"/>
              <w:ind w:firstLineChars="100" w:firstLine="160"/>
              <w:jc w:val="left"/>
              <w:rPr>
                <w:rFonts w:ascii="Arial" w:hAnsi="Arial" w:cs="Arial"/>
                <w:sz w:val="16"/>
                <w:szCs w:val="16"/>
              </w:rPr>
            </w:pPr>
            <w:r w:rsidRPr="00611C86">
              <w:rPr>
                <w:rFonts w:ascii="Arial" w:hAnsi="Arial" w:cs="Arial"/>
                <w:sz w:val="16"/>
                <w:szCs w:val="16"/>
              </w:rPr>
              <w:t>Surplus/(deficit) for the period</w:t>
            </w:r>
          </w:p>
        </w:tc>
        <w:tc>
          <w:tcPr>
            <w:tcW w:w="654" w:type="pct"/>
            <w:tcBorders>
              <w:top w:val="nil"/>
              <w:left w:val="nil"/>
              <w:bottom w:val="nil"/>
              <w:right w:val="nil"/>
            </w:tcBorders>
            <w:shd w:val="clear" w:color="auto" w:fill="auto"/>
            <w:noWrap/>
            <w:vAlign w:val="bottom"/>
            <w:hideMark/>
          </w:tcPr>
          <w:p w14:paraId="060BA340" w14:textId="77777777" w:rsidR="00611C86" w:rsidRPr="00611C86" w:rsidRDefault="00611C86" w:rsidP="00611C86">
            <w:pPr>
              <w:spacing w:after="0" w:line="240" w:lineRule="auto"/>
              <w:jc w:val="right"/>
              <w:rPr>
                <w:rFonts w:ascii="Arial" w:hAnsi="Arial" w:cs="Arial"/>
                <w:color w:val="000000"/>
                <w:sz w:val="16"/>
                <w:szCs w:val="16"/>
              </w:rPr>
            </w:pPr>
            <w:r w:rsidRPr="00611C86">
              <w:rPr>
                <w:rFonts w:ascii="Arial" w:hAnsi="Arial" w:cs="Arial"/>
                <w:color w:val="000000"/>
                <w:sz w:val="16"/>
                <w:szCs w:val="16"/>
              </w:rPr>
              <w:t>(9,945)</w:t>
            </w:r>
          </w:p>
        </w:tc>
        <w:tc>
          <w:tcPr>
            <w:tcW w:w="654" w:type="pct"/>
            <w:tcBorders>
              <w:top w:val="nil"/>
              <w:left w:val="nil"/>
              <w:bottom w:val="nil"/>
              <w:right w:val="nil"/>
            </w:tcBorders>
            <w:shd w:val="clear" w:color="auto" w:fill="auto"/>
            <w:noWrap/>
            <w:vAlign w:val="bottom"/>
            <w:hideMark/>
          </w:tcPr>
          <w:p w14:paraId="078271B2" w14:textId="77777777" w:rsidR="00611C86" w:rsidRPr="00611C86" w:rsidRDefault="00611C86" w:rsidP="00611C86">
            <w:pPr>
              <w:spacing w:after="0" w:line="240" w:lineRule="auto"/>
              <w:jc w:val="right"/>
              <w:rPr>
                <w:rFonts w:ascii="Arial" w:hAnsi="Arial" w:cs="Arial"/>
                <w:color w:val="000000"/>
                <w:sz w:val="16"/>
                <w:szCs w:val="16"/>
              </w:rPr>
            </w:pPr>
            <w:r w:rsidRPr="00611C86">
              <w:rPr>
                <w:rFonts w:ascii="Arial" w:hAnsi="Arial" w:cs="Arial"/>
                <w:color w:val="000000"/>
                <w:sz w:val="16"/>
                <w:szCs w:val="16"/>
              </w:rPr>
              <w:t xml:space="preserve">- </w:t>
            </w:r>
          </w:p>
        </w:tc>
        <w:tc>
          <w:tcPr>
            <w:tcW w:w="654" w:type="pct"/>
            <w:tcBorders>
              <w:top w:val="nil"/>
              <w:left w:val="nil"/>
              <w:bottom w:val="nil"/>
              <w:right w:val="nil"/>
            </w:tcBorders>
            <w:shd w:val="clear" w:color="auto" w:fill="auto"/>
            <w:noWrap/>
            <w:vAlign w:val="bottom"/>
            <w:hideMark/>
          </w:tcPr>
          <w:p w14:paraId="325069EB" w14:textId="77777777" w:rsidR="00611C86" w:rsidRPr="00611C86" w:rsidRDefault="00611C86" w:rsidP="00611C86">
            <w:pPr>
              <w:spacing w:after="0" w:line="240" w:lineRule="auto"/>
              <w:jc w:val="right"/>
              <w:rPr>
                <w:rFonts w:ascii="Arial" w:hAnsi="Arial" w:cs="Arial"/>
                <w:color w:val="000000"/>
                <w:sz w:val="16"/>
                <w:szCs w:val="16"/>
              </w:rPr>
            </w:pPr>
          </w:p>
        </w:tc>
        <w:tc>
          <w:tcPr>
            <w:tcW w:w="654" w:type="pct"/>
            <w:tcBorders>
              <w:top w:val="nil"/>
              <w:left w:val="nil"/>
              <w:bottom w:val="nil"/>
              <w:right w:val="nil"/>
            </w:tcBorders>
            <w:shd w:val="clear" w:color="auto" w:fill="auto"/>
            <w:noWrap/>
            <w:vAlign w:val="bottom"/>
            <w:hideMark/>
          </w:tcPr>
          <w:p w14:paraId="51FC354F" w14:textId="77777777" w:rsidR="00611C86" w:rsidRPr="00611C86" w:rsidRDefault="00611C86" w:rsidP="00611C86">
            <w:pPr>
              <w:spacing w:after="0" w:line="240" w:lineRule="auto"/>
              <w:jc w:val="right"/>
              <w:rPr>
                <w:rFonts w:ascii="Arial" w:hAnsi="Arial" w:cs="Arial"/>
                <w:color w:val="000000"/>
                <w:sz w:val="16"/>
                <w:szCs w:val="16"/>
              </w:rPr>
            </w:pPr>
            <w:r w:rsidRPr="00611C86">
              <w:rPr>
                <w:rFonts w:ascii="Arial" w:hAnsi="Arial" w:cs="Arial"/>
                <w:color w:val="000000"/>
                <w:sz w:val="16"/>
                <w:szCs w:val="16"/>
              </w:rPr>
              <w:t>(9,945)</w:t>
            </w:r>
          </w:p>
        </w:tc>
      </w:tr>
      <w:tr w:rsidR="00611C86" w:rsidRPr="00611C86" w14:paraId="249F2EC3" w14:textId="77777777" w:rsidTr="00611C86">
        <w:trPr>
          <w:trHeight w:val="200"/>
        </w:trPr>
        <w:tc>
          <w:tcPr>
            <w:tcW w:w="2386" w:type="pct"/>
            <w:tcBorders>
              <w:top w:val="nil"/>
              <w:left w:val="nil"/>
              <w:bottom w:val="nil"/>
              <w:right w:val="nil"/>
            </w:tcBorders>
            <w:shd w:val="clear" w:color="auto" w:fill="auto"/>
            <w:vAlign w:val="bottom"/>
            <w:hideMark/>
          </w:tcPr>
          <w:p w14:paraId="3DDE0496" w14:textId="77777777" w:rsidR="00611C86" w:rsidRPr="00611C86" w:rsidRDefault="00611C86" w:rsidP="00611C86">
            <w:pPr>
              <w:spacing w:after="0" w:line="240" w:lineRule="auto"/>
              <w:jc w:val="left"/>
              <w:rPr>
                <w:rFonts w:ascii="Arial" w:hAnsi="Arial" w:cs="Arial"/>
                <w:b/>
                <w:bCs/>
                <w:i/>
                <w:iCs/>
                <w:color w:val="000000"/>
                <w:sz w:val="16"/>
                <w:szCs w:val="16"/>
              </w:rPr>
            </w:pPr>
            <w:r w:rsidRPr="00611C86">
              <w:rPr>
                <w:rFonts w:ascii="Arial" w:hAnsi="Arial" w:cs="Arial"/>
                <w:b/>
                <w:bCs/>
                <w:i/>
                <w:iCs/>
                <w:color w:val="000000"/>
                <w:sz w:val="16"/>
                <w:szCs w:val="16"/>
              </w:rPr>
              <w:t>Total comprehensive income</w:t>
            </w:r>
          </w:p>
        </w:tc>
        <w:tc>
          <w:tcPr>
            <w:tcW w:w="654" w:type="pct"/>
            <w:tcBorders>
              <w:top w:val="single" w:sz="4" w:space="0" w:color="000000"/>
              <w:left w:val="nil"/>
              <w:bottom w:val="single" w:sz="4" w:space="0" w:color="000000"/>
              <w:right w:val="nil"/>
            </w:tcBorders>
            <w:shd w:val="clear" w:color="auto" w:fill="auto"/>
            <w:noWrap/>
            <w:vAlign w:val="bottom"/>
            <w:hideMark/>
          </w:tcPr>
          <w:p w14:paraId="0962B83A" w14:textId="77777777" w:rsidR="00611C86" w:rsidRPr="00611C86" w:rsidRDefault="00611C86" w:rsidP="00611C86">
            <w:pPr>
              <w:spacing w:after="0" w:line="240" w:lineRule="auto"/>
              <w:jc w:val="right"/>
              <w:rPr>
                <w:rFonts w:ascii="Arial" w:hAnsi="Arial" w:cs="Arial"/>
                <w:b/>
                <w:bCs/>
                <w:i/>
                <w:iCs/>
                <w:color w:val="000000"/>
                <w:sz w:val="16"/>
                <w:szCs w:val="16"/>
              </w:rPr>
            </w:pPr>
            <w:r w:rsidRPr="00611C86">
              <w:rPr>
                <w:rFonts w:ascii="Arial" w:hAnsi="Arial" w:cs="Arial"/>
                <w:b/>
                <w:bCs/>
                <w:i/>
                <w:iCs/>
                <w:color w:val="000000"/>
                <w:sz w:val="16"/>
                <w:szCs w:val="16"/>
              </w:rPr>
              <w:t>(9,945)</w:t>
            </w:r>
          </w:p>
        </w:tc>
        <w:tc>
          <w:tcPr>
            <w:tcW w:w="654" w:type="pct"/>
            <w:tcBorders>
              <w:top w:val="single" w:sz="4" w:space="0" w:color="000000"/>
              <w:left w:val="nil"/>
              <w:bottom w:val="single" w:sz="4" w:space="0" w:color="000000"/>
              <w:right w:val="nil"/>
            </w:tcBorders>
            <w:shd w:val="clear" w:color="auto" w:fill="auto"/>
            <w:noWrap/>
            <w:vAlign w:val="bottom"/>
            <w:hideMark/>
          </w:tcPr>
          <w:p w14:paraId="2B42325B" w14:textId="77777777" w:rsidR="00611C86" w:rsidRPr="00611C86" w:rsidRDefault="00611C86" w:rsidP="00611C86">
            <w:pPr>
              <w:spacing w:after="0" w:line="240" w:lineRule="auto"/>
              <w:jc w:val="right"/>
              <w:rPr>
                <w:rFonts w:ascii="Arial" w:hAnsi="Arial" w:cs="Arial"/>
                <w:b/>
                <w:bCs/>
                <w:i/>
                <w:iCs/>
                <w:color w:val="000000"/>
                <w:sz w:val="16"/>
                <w:szCs w:val="16"/>
              </w:rPr>
            </w:pPr>
            <w:r w:rsidRPr="00611C86">
              <w:rPr>
                <w:rFonts w:ascii="Arial" w:hAnsi="Arial" w:cs="Arial"/>
                <w:b/>
                <w:bCs/>
                <w:i/>
                <w:iCs/>
                <w:color w:val="000000"/>
                <w:sz w:val="16"/>
                <w:szCs w:val="16"/>
              </w:rPr>
              <w:t xml:space="preserve">- </w:t>
            </w:r>
          </w:p>
        </w:tc>
        <w:tc>
          <w:tcPr>
            <w:tcW w:w="654" w:type="pct"/>
            <w:tcBorders>
              <w:top w:val="single" w:sz="4" w:space="0" w:color="000000"/>
              <w:left w:val="nil"/>
              <w:bottom w:val="single" w:sz="4" w:space="0" w:color="000000"/>
              <w:right w:val="nil"/>
            </w:tcBorders>
            <w:shd w:val="clear" w:color="auto" w:fill="auto"/>
            <w:noWrap/>
            <w:vAlign w:val="bottom"/>
            <w:hideMark/>
          </w:tcPr>
          <w:p w14:paraId="2592AA1F" w14:textId="77777777" w:rsidR="00611C86" w:rsidRPr="00611C86" w:rsidRDefault="00611C86" w:rsidP="00611C86">
            <w:pPr>
              <w:spacing w:after="0" w:line="240" w:lineRule="auto"/>
              <w:jc w:val="right"/>
              <w:rPr>
                <w:rFonts w:ascii="Arial" w:hAnsi="Arial" w:cs="Arial"/>
                <w:b/>
                <w:bCs/>
                <w:i/>
                <w:iCs/>
                <w:color w:val="000000"/>
                <w:sz w:val="16"/>
                <w:szCs w:val="16"/>
              </w:rPr>
            </w:pPr>
            <w:r w:rsidRPr="00611C86">
              <w:rPr>
                <w:rFonts w:ascii="Arial" w:hAnsi="Arial" w:cs="Arial"/>
                <w:b/>
                <w:bCs/>
                <w:i/>
                <w:iCs/>
                <w:color w:val="000000"/>
                <w:sz w:val="16"/>
                <w:szCs w:val="16"/>
              </w:rPr>
              <w:t xml:space="preserve">- </w:t>
            </w:r>
          </w:p>
        </w:tc>
        <w:tc>
          <w:tcPr>
            <w:tcW w:w="654" w:type="pct"/>
            <w:tcBorders>
              <w:top w:val="single" w:sz="4" w:space="0" w:color="000000"/>
              <w:left w:val="nil"/>
              <w:bottom w:val="single" w:sz="4" w:space="0" w:color="000000"/>
              <w:right w:val="nil"/>
            </w:tcBorders>
            <w:shd w:val="clear" w:color="auto" w:fill="auto"/>
            <w:noWrap/>
            <w:vAlign w:val="bottom"/>
            <w:hideMark/>
          </w:tcPr>
          <w:p w14:paraId="069531AB" w14:textId="77777777" w:rsidR="00611C86" w:rsidRPr="00611C86" w:rsidRDefault="00611C86" w:rsidP="00611C86">
            <w:pPr>
              <w:spacing w:after="0" w:line="240" w:lineRule="auto"/>
              <w:jc w:val="right"/>
              <w:rPr>
                <w:rFonts w:ascii="Arial" w:hAnsi="Arial" w:cs="Arial"/>
                <w:b/>
                <w:bCs/>
                <w:i/>
                <w:iCs/>
                <w:color w:val="000000"/>
                <w:sz w:val="16"/>
                <w:szCs w:val="16"/>
              </w:rPr>
            </w:pPr>
            <w:r w:rsidRPr="00611C86">
              <w:rPr>
                <w:rFonts w:ascii="Arial" w:hAnsi="Arial" w:cs="Arial"/>
                <w:b/>
                <w:bCs/>
                <w:i/>
                <w:iCs/>
                <w:color w:val="000000"/>
                <w:sz w:val="16"/>
                <w:szCs w:val="16"/>
              </w:rPr>
              <w:t>(9,945)</w:t>
            </w:r>
          </w:p>
        </w:tc>
      </w:tr>
      <w:tr w:rsidR="00611C86" w:rsidRPr="00611C86" w14:paraId="43A86461" w14:textId="77777777" w:rsidTr="00611C86">
        <w:trPr>
          <w:trHeight w:val="210"/>
        </w:trPr>
        <w:tc>
          <w:tcPr>
            <w:tcW w:w="2386" w:type="pct"/>
            <w:tcBorders>
              <w:top w:val="nil"/>
              <w:left w:val="nil"/>
              <w:bottom w:val="nil"/>
              <w:right w:val="nil"/>
            </w:tcBorders>
            <w:shd w:val="clear" w:color="auto" w:fill="auto"/>
            <w:noWrap/>
            <w:vAlign w:val="bottom"/>
            <w:hideMark/>
          </w:tcPr>
          <w:p w14:paraId="09D1A6D1" w14:textId="77777777" w:rsidR="00611C86" w:rsidRPr="00611C86" w:rsidRDefault="00611C86" w:rsidP="00611C86">
            <w:pPr>
              <w:spacing w:after="0" w:line="240" w:lineRule="auto"/>
              <w:jc w:val="left"/>
              <w:rPr>
                <w:rFonts w:ascii="Arial" w:hAnsi="Arial" w:cs="Arial"/>
                <w:b/>
                <w:bCs/>
                <w:color w:val="000000"/>
                <w:sz w:val="16"/>
                <w:szCs w:val="16"/>
              </w:rPr>
            </w:pPr>
            <w:r w:rsidRPr="00611C86">
              <w:rPr>
                <w:rFonts w:ascii="Arial" w:hAnsi="Arial" w:cs="Arial"/>
                <w:b/>
                <w:bCs/>
                <w:color w:val="000000"/>
                <w:sz w:val="16"/>
                <w:szCs w:val="16"/>
              </w:rPr>
              <w:t>Transactions with owners</w:t>
            </w:r>
          </w:p>
        </w:tc>
        <w:tc>
          <w:tcPr>
            <w:tcW w:w="654" w:type="pct"/>
            <w:tcBorders>
              <w:top w:val="nil"/>
              <w:left w:val="nil"/>
              <w:bottom w:val="nil"/>
              <w:right w:val="nil"/>
            </w:tcBorders>
            <w:shd w:val="clear" w:color="auto" w:fill="auto"/>
            <w:noWrap/>
            <w:vAlign w:val="bottom"/>
            <w:hideMark/>
          </w:tcPr>
          <w:p w14:paraId="4AF94756" w14:textId="77777777" w:rsidR="00611C86" w:rsidRPr="00611C86" w:rsidRDefault="00611C86" w:rsidP="00611C86">
            <w:pPr>
              <w:spacing w:after="0" w:line="240" w:lineRule="auto"/>
              <w:jc w:val="left"/>
              <w:rPr>
                <w:rFonts w:ascii="Arial" w:hAnsi="Arial" w:cs="Arial"/>
                <w:b/>
                <w:bCs/>
                <w:color w:val="000000"/>
                <w:sz w:val="16"/>
                <w:szCs w:val="16"/>
              </w:rPr>
            </w:pPr>
          </w:p>
        </w:tc>
        <w:tc>
          <w:tcPr>
            <w:tcW w:w="654" w:type="pct"/>
            <w:tcBorders>
              <w:top w:val="nil"/>
              <w:left w:val="nil"/>
              <w:bottom w:val="nil"/>
              <w:right w:val="nil"/>
            </w:tcBorders>
            <w:shd w:val="clear" w:color="auto" w:fill="auto"/>
            <w:noWrap/>
            <w:vAlign w:val="bottom"/>
            <w:hideMark/>
          </w:tcPr>
          <w:p w14:paraId="58329CE9" w14:textId="77777777" w:rsidR="00611C86" w:rsidRPr="00611C86" w:rsidRDefault="00611C86" w:rsidP="00611C86">
            <w:pPr>
              <w:spacing w:after="0" w:line="240" w:lineRule="auto"/>
              <w:jc w:val="left"/>
              <w:rPr>
                <w:rFonts w:ascii="Times New Roman" w:hAnsi="Times New Roman"/>
              </w:rPr>
            </w:pPr>
          </w:p>
        </w:tc>
        <w:tc>
          <w:tcPr>
            <w:tcW w:w="654" w:type="pct"/>
            <w:tcBorders>
              <w:top w:val="nil"/>
              <w:left w:val="nil"/>
              <w:bottom w:val="nil"/>
              <w:right w:val="nil"/>
            </w:tcBorders>
            <w:shd w:val="clear" w:color="auto" w:fill="auto"/>
            <w:noWrap/>
            <w:vAlign w:val="bottom"/>
            <w:hideMark/>
          </w:tcPr>
          <w:p w14:paraId="28BA7B5A" w14:textId="77777777" w:rsidR="00611C86" w:rsidRPr="00611C86" w:rsidRDefault="00611C86" w:rsidP="00611C86">
            <w:pPr>
              <w:spacing w:after="0" w:line="240" w:lineRule="auto"/>
              <w:jc w:val="left"/>
              <w:rPr>
                <w:rFonts w:ascii="Times New Roman" w:hAnsi="Times New Roman"/>
              </w:rPr>
            </w:pPr>
          </w:p>
        </w:tc>
        <w:tc>
          <w:tcPr>
            <w:tcW w:w="654" w:type="pct"/>
            <w:tcBorders>
              <w:top w:val="nil"/>
              <w:left w:val="nil"/>
              <w:bottom w:val="nil"/>
              <w:right w:val="nil"/>
            </w:tcBorders>
            <w:shd w:val="clear" w:color="auto" w:fill="auto"/>
            <w:noWrap/>
            <w:vAlign w:val="bottom"/>
            <w:hideMark/>
          </w:tcPr>
          <w:p w14:paraId="151AE3F8" w14:textId="77777777" w:rsidR="00611C86" w:rsidRPr="00611C86" w:rsidRDefault="00611C86" w:rsidP="00611C86">
            <w:pPr>
              <w:spacing w:after="0" w:line="240" w:lineRule="auto"/>
              <w:jc w:val="left"/>
              <w:rPr>
                <w:rFonts w:ascii="Times New Roman" w:hAnsi="Times New Roman"/>
              </w:rPr>
            </w:pPr>
          </w:p>
        </w:tc>
      </w:tr>
      <w:tr w:rsidR="00611C86" w:rsidRPr="00611C86" w14:paraId="45F40AD6" w14:textId="77777777" w:rsidTr="00611C86">
        <w:trPr>
          <w:trHeight w:val="238"/>
        </w:trPr>
        <w:tc>
          <w:tcPr>
            <w:tcW w:w="2386" w:type="pct"/>
            <w:tcBorders>
              <w:top w:val="nil"/>
              <w:left w:val="nil"/>
              <w:bottom w:val="nil"/>
              <w:right w:val="nil"/>
            </w:tcBorders>
            <w:shd w:val="clear" w:color="auto" w:fill="auto"/>
            <w:noWrap/>
            <w:vAlign w:val="bottom"/>
            <w:hideMark/>
          </w:tcPr>
          <w:p w14:paraId="2E1FBB6D" w14:textId="77777777" w:rsidR="00611C86" w:rsidRPr="00611C86" w:rsidRDefault="00611C86" w:rsidP="00611C86">
            <w:pPr>
              <w:spacing w:after="0" w:line="240" w:lineRule="auto"/>
              <w:jc w:val="left"/>
              <w:rPr>
                <w:rFonts w:ascii="Arial" w:hAnsi="Arial" w:cs="Arial"/>
                <w:b/>
                <w:bCs/>
                <w:i/>
                <w:iCs/>
                <w:color w:val="000000"/>
                <w:sz w:val="16"/>
                <w:szCs w:val="16"/>
              </w:rPr>
            </w:pPr>
            <w:r w:rsidRPr="00611C86">
              <w:rPr>
                <w:rFonts w:ascii="Arial" w:hAnsi="Arial" w:cs="Arial"/>
                <w:b/>
                <w:bCs/>
                <w:i/>
                <w:iCs/>
                <w:color w:val="000000"/>
                <w:sz w:val="16"/>
                <w:szCs w:val="16"/>
              </w:rPr>
              <w:t>Contributions by owners</w:t>
            </w:r>
          </w:p>
        </w:tc>
        <w:tc>
          <w:tcPr>
            <w:tcW w:w="654" w:type="pct"/>
            <w:tcBorders>
              <w:top w:val="nil"/>
              <w:left w:val="nil"/>
              <w:bottom w:val="nil"/>
              <w:right w:val="nil"/>
            </w:tcBorders>
            <w:shd w:val="clear" w:color="auto" w:fill="auto"/>
            <w:noWrap/>
            <w:vAlign w:val="bottom"/>
            <w:hideMark/>
          </w:tcPr>
          <w:p w14:paraId="12660471" w14:textId="77777777" w:rsidR="00611C86" w:rsidRPr="00611C86" w:rsidRDefault="00611C86" w:rsidP="00611C86">
            <w:pPr>
              <w:spacing w:after="0" w:line="240" w:lineRule="auto"/>
              <w:jc w:val="left"/>
              <w:rPr>
                <w:rFonts w:ascii="Arial" w:hAnsi="Arial" w:cs="Arial"/>
                <w:b/>
                <w:bCs/>
                <w:i/>
                <w:iCs/>
                <w:color w:val="000000"/>
                <w:sz w:val="16"/>
                <w:szCs w:val="16"/>
              </w:rPr>
            </w:pPr>
          </w:p>
        </w:tc>
        <w:tc>
          <w:tcPr>
            <w:tcW w:w="654" w:type="pct"/>
            <w:tcBorders>
              <w:top w:val="nil"/>
              <w:left w:val="nil"/>
              <w:bottom w:val="nil"/>
              <w:right w:val="nil"/>
            </w:tcBorders>
            <w:shd w:val="clear" w:color="auto" w:fill="auto"/>
            <w:noWrap/>
            <w:vAlign w:val="bottom"/>
            <w:hideMark/>
          </w:tcPr>
          <w:p w14:paraId="6EC50D3C" w14:textId="77777777" w:rsidR="00611C86" w:rsidRPr="00611C86" w:rsidRDefault="00611C86" w:rsidP="00611C86">
            <w:pPr>
              <w:spacing w:after="0" w:line="240" w:lineRule="auto"/>
              <w:jc w:val="left"/>
              <w:rPr>
                <w:rFonts w:ascii="Times New Roman" w:hAnsi="Times New Roman"/>
              </w:rPr>
            </w:pPr>
          </w:p>
        </w:tc>
        <w:tc>
          <w:tcPr>
            <w:tcW w:w="654" w:type="pct"/>
            <w:tcBorders>
              <w:top w:val="nil"/>
              <w:left w:val="nil"/>
              <w:bottom w:val="nil"/>
              <w:right w:val="nil"/>
            </w:tcBorders>
            <w:shd w:val="clear" w:color="auto" w:fill="auto"/>
            <w:noWrap/>
            <w:vAlign w:val="bottom"/>
            <w:hideMark/>
          </w:tcPr>
          <w:p w14:paraId="18999AC1" w14:textId="77777777" w:rsidR="00611C86" w:rsidRPr="00611C86" w:rsidRDefault="00611C86" w:rsidP="00611C86">
            <w:pPr>
              <w:spacing w:after="0" w:line="240" w:lineRule="auto"/>
              <w:jc w:val="left"/>
              <w:rPr>
                <w:rFonts w:ascii="Times New Roman" w:hAnsi="Times New Roman"/>
              </w:rPr>
            </w:pPr>
          </w:p>
        </w:tc>
        <w:tc>
          <w:tcPr>
            <w:tcW w:w="654" w:type="pct"/>
            <w:tcBorders>
              <w:top w:val="nil"/>
              <w:left w:val="nil"/>
              <w:bottom w:val="nil"/>
              <w:right w:val="nil"/>
            </w:tcBorders>
            <w:shd w:val="clear" w:color="auto" w:fill="auto"/>
            <w:noWrap/>
            <w:vAlign w:val="bottom"/>
            <w:hideMark/>
          </w:tcPr>
          <w:p w14:paraId="57D29D94" w14:textId="77777777" w:rsidR="00611C86" w:rsidRPr="00611C86" w:rsidRDefault="00611C86" w:rsidP="00611C86">
            <w:pPr>
              <w:spacing w:after="0" w:line="240" w:lineRule="auto"/>
              <w:jc w:val="left"/>
              <w:rPr>
                <w:rFonts w:ascii="Times New Roman" w:hAnsi="Times New Roman"/>
              </w:rPr>
            </w:pPr>
          </w:p>
        </w:tc>
      </w:tr>
      <w:tr w:rsidR="00611C86" w:rsidRPr="00611C86" w14:paraId="6D6FCB7D" w14:textId="77777777" w:rsidTr="00611C86">
        <w:trPr>
          <w:trHeight w:val="238"/>
        </w:trPr>
        <w:tc>
          <w:tcPr>
            <w:tcW w:w="2386" w:type="pct"/>
            <w:tcBorders>
              <w:top w:val="nil"/>
              <w:left w:val="nil"/>
              <w:bottom w:val="nil"/>
              <w:right w:val="nil"/>
            </w:tcBorders>
            <w:shd w:val="clear" w:color="auto" w:fill="auto"/>
            <w:noWrap/>
            <w:vAlign w:val="bottom"/>
            <w:hideMark/>
          </w:tcPr>
          <w:p w14:paraId="3E5085F0" w14:textId="77777777" w:rsidR="00611C86" w:rsidRPr="00611C86" w:rsidRDefault="00611C86" w:rsidP="00611C86">
            <w:pPr>
              <w:spacing w:after="0" w:line="240" w:lineRule="auto"/>
              <w:ind w:firstLineChars="200" w:firstLine="320"/>
              <w:jc w:val="left"/>
              <w:rPr>
                <w:rFonts w:ascii="Arial" w:hAnsi="Arial" w:cs="Arial"/>
                <w:color w:val="000000"/>
                <w:sz w:val="16"/>
                <w:szCs w:val="16"/>
              </w:rPr>
            </w:pPr>
            <w:r w:rsidRPr="00611C86">
              <w:rPr>
                <w:rFonts w:ascii="Arial" w:hAnsi="Arial" w:cs="Arial"/>
                <w:color w:val="000000"/>
                <w:sz w:val="16"/>
                <w:szCs w:val="16"/>
              </w:rPr>
              <w:t>Equity injection - Appropriation</w:t>
            </w:r>
          </w:p>
        </w:tc>
        <w:tc>
          <w:tcPr>
            <w:tcW w:w="654" w:type="pct"/>
            <w:tcBorders>
              <w:top w:val="nil"/>
              <w:left w:val="nil"/>
              <w:bottom w:val="nil"/>
              <w:right w:val="nil"/>
            </w:tcBorders>
            <w:shd w:val="clear" w:color="auto" w:fill="auto"/>
            <w:noWrap/>
            <w:vAlign w:val="bottom"/>
            <w:hideMark/>
          </w:tcPr>
          <w:p w14:paraId="322F2BFE" w14:textId="77777777" w:rsidR="00611C86" w:rsidRPr="00611C86" w:rsidRDefault="00611C86" w:rsidP="00611C86">
            <w:pPr>
              <w:spacing w:after="0" w:line="240" w:lineRule="auto"/>
              <w:jc w:val="right"/>
              <w:rPr>
                <w:rFonts w:ascii="Arial" w:hAnsi="Arial" w:cs="Arial"/>
                <w:color w:val="000000"/>
                <w:sz w:val="16"/>
                <w:szCs w:val="16"/>
              </w:rPr>
            </w:pPr>
            <w:r w:rsidRPr="00611C86">
              <w:rPr>
                <w:rFonts w:ascii="Arial" w:hAnsi="Arial" w:cs="Arial"/>
                <w:color w:val="000000"/>
                <w:sz w:val="16"/>
                <w:szCs w:val="16"/>
              </w:rPr>
              <w:t xml:space="preserve">- </w:t>
            </w:r>
          </w:p>
        </w:tc>
        <w:tc>
          <w:tcPr>
            <w:tcW w:w="654" w:type="pct"/>
            <w:tcBorders>
              <w:top w:val="nil"/>
              <w:left w:val="nil"/>
              <w:bottom w:val="nil"/>
              <w:right w:val="nil"/>
            </w:tcBorders>
            <w:shd w:val="clear" w:color="auto" w:fill="auto"/>
            <w:noWrap/>
            <w:vAlign w:val="bottom"/>
            <w:hideMark/>
          </w:tcPr>
          <w:p w14:paraId="56B78703" w14:textId="77777777" w:rsidR="00611C86" w:rsidRPr="00611C86" w:rsidRDefault="00611C86" w:rsidP="00611C86">
            <w:pPr>
              <w:spacing w:after="0" w:line="240" w:lineRule="auto"/>
              <w:jc w:val="right"/>
              <w:rPr>
                <w:rFonts w:ascii="Arial" w:hAnsi="Arial" w:cs="Arial"/>
                <w:color w:val="000000"/>
                <w:sz w:val="16"/>
                <w:szCs w:val="16"/>
              </w:rPr>
            </w:pPr>
            <w:r w:rsidRPr="00611C86">
              <w:rPr>
                <w:rFonts w:ascii="Arial" w:hAnsi="Arial" w:cs="Arial"/>
                <w:color w:val="000000"/>
                <w:sz w:val="16"/>
                <w:szCs w:val="16"/>
              </w:rPr>
              <w:t xml:space="preserve">- </w:t>
            </w:r>
          </w:p>
        </w:tc>
        <w:tc>
          <w:tcPr>
            <w:tcW w:w="654" w:type="pct"/>
            <w:tcBorders>
              <w:top w:val="nil"/>
              <w:left w:val="nil"/>
              <w:bottom w:val="nil"/>
              <w:right w:val="nil"/>
            </w:tcBorders>
            <w:shd w:val="clear" w:color="auto" w:fill="auto"/>
            <w:noWrap/>
            <w:vAlign w:val="bottom"/>
            <w:hideMark/>
          </w:tcPr>
          <w:p w14:paraId="59C372D4" w14:textId="77777777" w:rsidR="00611C86" w:rsidRPr="00611C86" w:rsidRDefault="00611C86" w:rsidP="00611C86">
            <w:pPr>
              <w:spacing w:after="0" w:line="240" w:lineRule="auto"/>
              <w:jc w:val="right"/>
              <w:rPr>
                <w:rFonts w:ascii="Arial" w:hAnsi="Arial" w:cs="Arial"/>
                <w:color w:val="000000"/>
                <w:sz w:val="16"/>
                <w:szCs w:val="16"/>
              </w:rPr>
            </w:pPr>
            <w:r w:rsidRPr="00611C86">
              <w:rPr>
                <w:rFonts w:ascii="Arial" w:hAnsi="Arial" w:cs="Arial"/>
                <w:color w:val="000000"/>
                <w:sz w:val="16"/>
                <w:szCs w:val="16"/>
              </w:rPr>
              <w:t xml:space="preserve">1,100 </w:t>
            </w:r>
          </w:p>
        </w:tc>
        <w:tc>
          <w:tcPr>
            <w:tcW w:w="654" w:type="pct"/>
            <w:tcBorders>
              <w:top w:val="nil"/>
              <w:left w:val="nil"/>
              <w:bottom w:val="nil"/>
              <w:right w:val="nil"/>
            </w:tcBorders>
            <w:shd w:val="clear" w:color="auto" w:fill="auto"/>
            <w:noWrap/>
            <w:vAlign w:val="bottom"/>
            <w:hideMark/>
          </w:tcPr>
          <w:p w14:paraId="3A1908B5" w14:textId="77777777" w:rsidR="00611C86" w:rsidRPr="00611C86" w:rsidRDefault="00611C86" w:rsidP="00611C86">
            <w:pPr>
              <w:spacing w:after="0" w:line="240" w:lineRule="auto"/>
              <w:jc w:val="right"/>
              <w:rPr>
                <w:rFonts w:ascii="Arial" w:hAnsi="Arial" w:cs="Arial"/>
                <w:color w:val="000000"/>
                <w:sz w:val="16"/>
                <w:szCs w:val="16"/>
              </w:rPr>
            </w:pPr>
            <w:r w:rsidRPr="00611C86">
              <w:rPr>
                <w:rFonts w:ascii="Arial" w:hAnsi="Arial" w:cs="Arial"/>
                <w:color w:val="000000"/>
                <w:sz w:val="16"/>
                <w:szCs w:val="16"/>
              </w:rPr>
              <w:t xml:space="preserve">1,100 </w:t>
            </w:r>
          </w:p>
        </w:tc>
      </w:tr>
      <w:tr w:rsidR="00611C86" w:rsidRPr="00611C86" w14:paraId="4C074A19" w14:textId="77777777" w:rsidTr="00611C86">
        <w:trPr>
          <w:trHeight w:val="238"/>
        </w:trPr>
        <w:tc>
          <w:tcPr>
            <w:tcW w:w="2386" w:type="pct"/>
            <w:tcBorders>
              <w:top w:val="nil"/>
              <w:left w:val="nil"/>
              <w:bottom w:val="nil"/>
              <w:right w:val="nil"/>
            </w:tcBorders>
            <w:shd w:val="clear" w:color="auto" w:fill="auto"/>
            <w:noWrap/>
            <w:vAlign w:val="bottom"/>
            <w:hideMark/>
          </w:tcPr>
          <w:p w14:paraId="74DE5C0A" w14:textId="77777777" w:rsidR="00611C86" w:rsidRPr="00611C86" w:rsidRDefault="00611C86" w:rsidP="00611C86">
            <w:pPr>
              <w:spacing w:after="0" w:line="240" w:lineRule="auto"/>
              <w:ind w:firstLineChars="200" w:firstLine="320"/>
              <w:jc w:val="left"/>
              <w:rPr>
                <w:rFonts w:ascii="Arial" w:hAnsi="Arial" w:cs="Arial"/>
                <w:color w:val="000000"/>
                <w:sz w:val="16"/>
                <w:szCs w:val="16"/>
              </w:rPr>
            </w:pPr>
            <w:r w:rsidRPr="00611C86">
              <w:rPr>
                <w:rFonts w:ascii="Arial" w:hAnsi="Arial" w:cs="Arial"/>
                <w:color w:val="000000"/>
                <w:sz w:val="16"/>
                <w:szCs w:val="16"/>
              </w:rPr>
              <w:t>Departmental Capital Budget (DCB)</w:t>
            </w:r>
          </w:p>
        </w:tc>
        <w:tc>
          <w:tcPr>
            <w:tcW w:w="654" w:type="pct"/>
            <w:tcBorders>
              <w:top w:val="nil"/>
              <w:left w:val="nil"/>
              <w:bottom w:val="nil"/>
              <w:right w:val="nil"/>
            </w:tcBorders>
            <w:shd w:val="clear" w:color="auto" w:fill="auto"/>
            <w:noWrap/>
            <w:vAlign w:val="bottom"/>
            <w:hideMark/>
          </w:tcPr>
          <w:p w14:paraId="117DDF8D" w14:textId="77777777" w:rsidR="00611C86" w:rsidRPr="00611C86" w:rsidRDefault="00611C86" w:rsidP="00611C86">
            <w:pPr>
              <w:spacing w:after="0" w:line="240" w:lineRule="auto"/>
              <w:jc w:val="right"/>
              <w:rPr>
                <w:rFonts w:ascii="Arial" w:hAnsi="Arial" w:cs="Arial"/>
                <w:color w:val="000000"/>
                <w:sz w:val="16"/>
                <w:szCs w:val="16"/>
              </w:rPr>
            </w:pPr>
            <w:r w:rsidRPr="00611C86">
              <w:rPr>
                <w:rFonts w:ascii="Arial" w:hAnsi="Arial" w:cs="Arial"/>
                <w:color w:val="000000"/>
                <w:sz w:val="16"/>
                <w:szCs w:val="16"/>
              </w:rPr>
              <w:t xml:space="preserve">- </w:t>
            </w:r>
          </w:p>
        </w:tc>
        <w:tc>
          <w:tcPr>
            <w:tcW w:w="654" w:type="pct"/>
            <w:tcBorders>
              <w:top w:val="nil"/>
              <w:left w:val="nil"/>
              <w:bottom w:val="nil"/>
              <w:right w:val="nil"/>
            </w:tcBorders>
            <w:shd w:val="clear" w:color="auto" w:fill="auto"/>
            <w:noWrap/>
            <w:vAlign w:val="bottom"/>
            <w:hideMark/>
          </w:tcPr>
          <w:p w14:paraId="24F5D7B3" w14:textId="77777777" w:rsidR="00611C86" w:rsidRPr="00611C86" w:rsidRDefault="00611C86" w:rsidP="00611C86">
            <w:pPr>
              <w:spacing w:after="0" w:line="240" w:lineRule="auto"/>
              <w:jc w:val="right"/>
              <w:rPr>
                <w:rFonts w:ascii="Arial" w:hAnsi="Arial" w:cs="Arial"/>
                <w:color w:val="000000"/>
                <w:sz w:val="16"/>
                <w:szCs w:val="16"/>
              </w:rPr>
            </w:pPr>
            <w:r w:rsidRPr="00611C86">
              <w:rPr>
                <w:rFonts w:ascii="Arial" w:hAnsi="Arial" w:cs="Arial"/>
                <w:color w:val="000000"/>
                <w:sz w:val="16"/>
                <w:szCs w:val="16"/>
              </w:rPr>
              <w:t xml:space="preserve">- </w:t>
            </w:r>
          </w:p>
        </w:tc>
        <w:tc>
          <w:tcPr>
            <w:tcW w:w="654" w:type="pct"/>
            <w:tcBorders>
              <w:top w:val="nil"/>
              <w:left w:val="nil"/>
              <w:bottom w:val="nil"/>
              <w:right w:val="nil"/>
            </w:tcBorders>
            <w:shd w:val="clear" w:color="auto" w:fill="auto"/>
            <w:noWrap/>
            <w:vAlign w:val="bottom"/>
            <w:hideMark/>
          </w:tcPr>
          <w:p w14:paraId="0660BFB4" w14:textId="77777777" w:rsidR="00611C86" w:rsidRPr="00611C86" w:rsidRDefault="00611C86" w:rsidP="00611C86">
            <w:pPr>
              <w:spacing w:after="0" w:line="240" w:lineRule="auto"/>
              <w:jc w:val="right"/>
              <w:rPr>
                <w:rFonts w:ascii="Arial" w:hAnsi="Arial" w:cs="Arial"/>
                <w:color w:val="000000"/>
                <w:sz w:val="16"/>
                <w:szCs w:val="16"/>
              </w:rPr>
            </w:pPr>
            <w:r w:rsidRPr="00611C86">
              <w:rPr>
                <w:rFonts w:ascii="Arial" w:hAnsi="Arial" w:cs="Arial"/>
                <w:color w:val="000000"/>
                <w:sz w:val="16"/>
                <w:szCs w:val="16"/>
              </w:rPr>
              <w:t xml:space="preserve">31,872 </w:t>
            </w:r>
          </w:p>
        </w:tc>
        <w:tc>
          <w:tcPr>
            <w:tcW w:w="654" w:type="pct"/>
            <w:tcBorders>
              <w:top w:val="nil"/>
              <w:left w:val="nil"/>
              <w:bottom w:val="nil"/>
              <w:right w:val="nil"/>
            </w:tcBorders>
            <w:shd w:val="clear" w:color="auto" w:fill="auto"/>
            <w:noWrap/>
            <w:vAlign w:val="bottom"/>
            <w:hideMark/>
          </w:tcPr>
          <w:p w14:paraId="48A70F6B" w14:textId="77777777" w:rsidR="00611C86" w:rsidRPr="00611C86" w:rsidRDefault="00611C86" w:rsidP="00611C86">
            <w:pPr>
              <w:spacing w:after="0" w:line="240" w:lineRule="auto"/>
              <w:jc w:val="right"/>
              <w:rPr>
                <w:rFonts w:ascii="Arial" w:hAnsi="Arial" w:cs="Arial"/>
                <w:color w:val="000000"/>
                <w:sz w:val="16"/>
                <w:szCs w:val="16"/>
              </w:rPr>
            </w:pPr>
            <w:r w:rsidRPr="00611C86">
              <w:rPr>
                <w:rFonts w:ascii="Arial" w:hAnsi="Arial" w:cs="Arial"/>
                <w:color w:val="000000"/>
                <w:sz w:val="16"/>
                <w:szCs w:val="16"/>
              </w:rPr>
              <w:t xml:space="preserve">31,872 </w:t>
            </w:r>
          </w:p>
        </w:tc>
      </w:tr>
      <w:tr w:rsidR="00611C86" w:rsidRPr="00611C86" w14:paraId="182BEF15" w14:textId="77777777" w:rsidTr="00611C86">
        <w:trPr>
          <w:trHeight w:val="400"/>
        </w:trPr>
        <w:tc>
          <w:tcPr>
            <w:tcW w:w="2386" w:type="pct"/>
            <w:tcBorders>
              <w:top w:val="nil"/>
              <w:left w:val="nil"/>
              <w:bottom w:val="nil"/>
              <w:right w:val="nil"/>
            </w:tcBorders>
            <w:shd w:val="clear" w:color="auto" w:fill="auto"/>
            <w:vAlign w:val="bottom"/>
            <w:hideMark/>
          </w:tcPr>
          <w:p w14:paraId="4EB26CD5" w14:textId="77777777" w:rsidR="00611C86" w:rsidRPr="00611C86" w:rsidRDefault="00611C86" w:rsidP="00611C86">
            <w:pPr>
              <w:spacing w:after="0" w:line="240" w:lineRule="auto"/>
              <w:jc w:val="left"/>
              <w:rPr>
                <w:rFonts w:ascii="Arial" w:hAnsi="Arial" w:cs="Arial"/>
                <w:b/>
                <w:bCs/>
                <w:i/>
                <w:iCs/>
                <w:color w:val="000000"/>
                <w:sz w:val="16"/>
                <w:szCs w:val="16"/>
              </w:rPr>
            </w:pPr>
            <w:r w:rsidRPr="00611C86">
              <w:rPr>
                <w:rFonts w:ascii="Arial" w:hAnsi="Arial" w:cs="Arial"/>
                <w:b/>
                <w:bCs/>
                <w:i/>
                <w:iCs/>
                <w:color w:val="000000"/>
                <w:sz w:val="16"/>
                <w:szCs w:val="16"/>
              </w:rPr>
              <w:t>Sub-total transactions with</w:t>
            </w:r>
            <w:r w:rsidRPr="00611C86">
              <w:rPr>
                <w:rFonts w:ascii="Arial" w:hAnsi="Arial" w:cs="Arial"/>
                <w:b/>
                <w:bCs/>
                <w:i/>
                <w:iCs/>
                <w:color w:val="000000"/>
                <w:sz w:val="16"/>
                <w:szCs w:val="16"/>
              </w:rPr>
              <w:br/>
              <w:t xml:space="preserve">  owners</w:t>
            </w:r>
          </w:p>
        </w:tc>
        <w:tc>
          <w:tcPr>
            <w:tcW w:w="654" w:type="pct"/>
            <w:tcBorders>
              <w:top w:val="single" w:sz="4" w:space="0" w:color="000000"/>
              <w:left w:val="nil"/>
              <w:bottom w:val="single" w:sz="4" w:space="0" w:color="000000"/>
              <w:right w:val="nil"/>
            </w:tcBorders>
            <w:shd w:val="clear" w:color="auto" w:fill="auto"/>
            <w:noWrap/>
            <w:vAlign w:val="bottom"/>
            <w:hideMark/>
          </w:tcPr>
          <w:p w14:paraId="2E0619B9" w14:textId="77777777" w:rsidR="00611C86" w:rsidRPr="00611C86" w:rsidRDefault="00611C86" w:rsidP="00611C86">
            <w:pPr>
              <w:spacing w:after="0" w:line="240" w:lineRule="auto"/>
              <w:jc w:val="right"/>
              <w:rPr>
                <w:rFonts w:ascii="Arial" w:hAnsi="Arial" w:cs="Arial"/>
                <w:b/>
                <w:bCs/>
                <w:i/>
                <w:iCs/>
                <w:color w:val="000000"/>
                <w:sz w:val="16"/>
                <w:szCs w:val="16"/>
              </w:rPr>
            </w:pPr>
            <w:r w:rsidRPr="00611C86">
              <w:rPr>
                <w:rFonts w:ascii="Arial" w:hAnsi="Arial" w:cs="Arial"/>
                <w:b/>
                <w:bCs/>
                <w:i/>
                <w:iCs/>
                <w:color w:val="000000"/>
                <w:sz w:val="16"/>
                <w:szCs w:val="16"/>
              </w:rPr>
              <w:t xml:space="preserve">- </w:t>
            </w:r>
          </w:p>
        </w:tc>
        <w:tc>
          <w:tcPr>
            <w:tcW w:w="654" w:type="pct"/>
            <w:tcBorders>
              <w:top w:val="single" w:sz="4" w:space="0" w:color="000000"/>
              <w:left w:val="nil"/>
              <w:bottom w:val="single" w:sz="4" w:space="0" w:color="000000"/>
              <w:right w:val="nil"/>
            </w:tcBorders>
            <w:shd w:val="clear" w:color="auto" w:fill="auto"/>
            <w:noWrap/>
            <w:vAlign w:val="bottom"/>
            <w:hideMark/>
          </w:tcPr>
          <w:p w14:paraId="3B1588BA" w14:textId="77777777" w:rsidR="00611C86" w:rsidRPr="00611C86" w:rsidRDefault="00611C86" w:rsidP="00611C86">
            <w:pPr>
              <w:spacing w:after="0" w:line="240" w:lineRule="auto"/>
              <w:jc w:val="right"/>
              <w:rPr>
                <w:rFonts w:ascii="Arial" w:hAnsi="Arial" w:cs="Arial"/>
                <w:b/>
                <w:bCs/>
                <w:i/>
                <w:iCs/>
                <w:color w:val="000000"/>
                <w:sz w:val="16"/>
                <w:szCs w:val="16"/>
              </w:rPr>
            </w:pPr>
            <w:r w:rsidRPr="00611C86">
              <w:rPr>
                <w:rFonts w:ascii="Arial" w:hAnsi="Arial" w:cs="Arial"/>
                <w:b/>
                <w:bCs/>
                <w:i/>
                <w:iCs/>
                <w:color w:val="000000"/>
                <w:sz w:val="16"/>
                <w:szCs w:val="16"/>
              </w:rPr>
              <w:t xml:space="preserve">- </w:t>
            </w:r>
          </w:p>
        </w:tc>
        <w:tc>
          <w:tcPr>
            <w:tcW w:w="654" w:type="pct"/>
            <w:tcBorders>
              <w:top w:val="single" w:sz="4" w:space="0" w:color="000000"/>
              <w:left w:val="nil"/>
              <w:bottom w:val="single" w:sz="4" w:space="0" w:color="000000"/>
              <w:right w:val="nil"/>
            </w:tcBorders>
            <w:shd w:val="clear" w:color="auto" w:fill="auto"/>
            <w:noWrap/>
            <w:vAlign w:val="bottom"/>
            <w:hideMark/>
          </w:tcPr>
          <w:p w14:paraId="442B1C17" w14:textId="77777777" w:rsidR="00611C86" w:rsidRPr="00611C86" w:rsidRDefault="00611C86" w:rsidP="00611C86">
            <w:pPr>
              <w:spacing w:after="0" w:line="240" w:lineRule="auto"/>
              <w:jc w:val="right"/>
              <w:rPr>
                <w:rFonts w:ascii="Arial" w:hAnsi="Arial" w:cs="Arial"/>
                <w:b/>
                <w:bCs/>
                <w:i/>
                <w:iCs/>
                <w:color w:val="000000"/>
                <w:sz w:val="16"/>
                <w:szCs w:val="16"/>
              </w:rPr>
            </w:pPr>
            <w:r w:rsidRPr="00611C86">
              <w:rPr>
                <w:rFonts w:ascii="Arial" w:hAnsi="Arial" w:cs="Arial"/>
                <w:b/>
                <w:bCs/>
                <w:i/>
                <w:iCs/>
                <w:color w:val="000000"/>
                <w:sz w:val="16"/>
                <w:szCs w:val="16"/>
              </w:rPr>
              <w:t xml:space="preserve">32,972 </w:t>
            </w:r>
          </w:p>
        </w:tc>
        <w:tc>
          <w:tcPr>
            <w:tcW w:w="654" w:type="pct"/>
            <w:tcBorders>
              <w:top w:val="single" w:sz="4" w:space="0" w:color="000000"/>
              <w:left w:val="nil"/>
              <w:bottom w:val="single" w:sz="4" w:space="0" w:color="000000"/>
              <w:right w:val="nil"/>
            </w:tcBorders>
            <w:shd w:val="clear" w:color="auto" w:fill="auto"/>
            <w:noWrap/>
            <w:vAlign w:val="bottom"/>
            <w:hideMark/>
          </w:tcPr>
          <w:p w14:paraId="44E17400" w14:textId="77777777" w:rsidR="00611C86" w:rsidRPr="00611C86" w:rsidRDefault="00611C86" w:rsidP="00611C86">
            <w:pPr>
              <w:spacing w:after="0" w:line="240" w:lineRule="auto"/>
              <w:jc w:val="right"/>
              <w:rPr>
                <w:rFonts w:ascii="Arial" w:hAnsi="Arial" w:cs="Arial"/>
                <w:b/>
                <w:bCs/>
                <w:i/>
                <w:iCs/>
                <w:color w:val="000000"/>
                <w:sz w:val="16"/>
                <w:szCs w:val="16"/>
              </w:rPr>
            </w:pPr>
            <w:r w:rsidRPr="00611C86">
              <w:rPr>
                <w:rFonts w:ascii="Arial" w:hAnsi="Arial" w:cs="Arial"/>
                <w:b/>
                <w:bCs/>
                <w:i/>
                <w:iCs/>
                <w:color w:val="000000"/>
                <w:sz w:val="16"/>
                <w:szCs w:val="16"/>
              </w:rPr>
              <w:t xml:space="preserve">32,972 </w:t>
            </w:r>
          </w:p>
        </w:tc>
      </w:tr>
      <w:tr w:rsidR="00611C86" w:rsidRPr="00611C86" w14:paraId="441E638E" w14:textId="77777777" w:rsidTr="00611C86">
        <w:trPr>
          <w:trHeight w:val="420"/>
        </w:trPr>
        <w:tc>
          <w:tcPr>
            <w:tcW w:w="2386" w:type="pct"/>
            <w:tcBorders>
              <w:top w:val="nil"/>
              <w:left w:val="nil"/>
              <w:bottom w:val="nil"/>
              <w:right w:val="nil"/>
            </w:tcBorders>
            <w:shd w:val="clear" w:color="auto" w:fill="auto"/>
            <w:vAlign w:val="bottom"/>
            <w:hideMark/>
          </w:tcPr>
          <w:p w14:paraId="687FAC41" w14:textId="77777777" w:rsidR="00611C86" w:rsidRPr="00611C86" w:rsidRDefault="00611C86" w:rsidP="00611C86">
            <w:pPr>
              <w:spacing w:after="0" w:line="240" w:lineRule="auto"/>
              <w:jc w:val="left"/>
              <w:rPr>
                <w:rFonts w:ascii="Arial" w:hAnsi="Arial" w:cs="Arial"/>
                <w:b/>
                <w:bCs/>
                <w:color w:val="000000"/>
                <w:sz w:val="16"/>
                <w:szCs w:val="16"/>
              </w:rPr>
            </w:pPr>
            <w:r w:rsidRPr="00611C86">
              <w:rPr>
                <w:rFonts w:ascii="Arial" w:hAnsi="Arial" w:cs="Arial"/>
                <w:b/>
                <w:bCs/>
                <w:color w:val="000000"/>
                <w:sz w:val="16"/>
                <w:szCs w:val="16"/>
              </w:rPr>
              <w:t>Estimated closing balance as at</w:t>
            </w:r>
            <w:r w:rsidRPr="00611C86">
              <w:rPr>
                <w:rFonts w:ascii="Arial" w:hAnsi="Arial" w:cs="Arial"/>
                <w:b/>
                <w:bCs/>
                <w:color w:val="000000"/>
                <w:sz w:val="16"/>
                <w:szCs w:val="16"/>
              </w:rPr>
              <w:br/>
              <w:t xml:space="preserve">  30 June 2022</w:t>
            </w:r>
          </w:p>
        </w:tc>
        <w:tc>
          <w:tcPr>
            <w:tcW w:w="654" w:type="pct"/>
            <w:tcBorders>
              <w:top w:val="nil"/>
              <w:left w:val="nil"/>
              <w:bottom w:val="single" w:sz="4" w:space="0" w:color="auto"/>
              <w:right w:val="nil"/>
            </w:tcBorders>
            <w:shd w:val="clear" w:color="auto" w:fill="auto"/>
            <w:noWrap/>
            <w:vAlign w:val="bottom"/>
            <w:hideMark/>
          </w:tcPr>
          <w:p w14:paraId="0500193A" w14:textId="77777777" w:rsidR="00611C86" w:rsidRPr="00611C86" w:rsidRDefault="00611C86" w:rsidP="00611C86">
            <w:pPr>
              <w:spacing w:after="0" w:line="240" w:lineRule="auto"/>
              <w:jc w:val="right"/>
              <w:rPr>
                <w:rFonts w:ascii="Arial" w:hAnsi="Arial" w:cs="Arial"/>
                <w:b/>
                <w:bCs/>
                <w:color w:val="000000"/>
                <w:sz w:val="16"/>
                <w:szCs w:val="16"/>
              </w:rPr>
            </w:pPr>
            <w:r w:rsidRPr="00611C86">
              <w:rPr>
                <w:rFonts w:ascii="Arial" w:hAnsi="Arial" w:cs="Arial"/>
                <w:b/>
                <w:bCs/>
                <w:color w:val="000000"/>
                <w:sz w:val="16"/>
                <w:szCs w:val="16"/>
              </w:rPr>
              <w:t>(141,364)</w:t>
            </w:r>
          </w:p>
        </w:tc>
        <w:tc>
          <w:tcPr>
            <w:tcW w:w="654" w:type="pct"/>
            <w:tcBorders>
              <w:top w:val="nil"/>
              <w:left w:val="nil"/>
              <w:bottom w:val="single" w:sz="4" w:space="0" w:color="auto"/>
              <w:right w:val="nil"/>
            </w:tcBorders>
            <w:shd w:val="clear" w:color="auto" w:fill="auto"/>
            <w:noWrap/>
            <w:vAlign w:val="bottom"/>
            <w:hideMark/>
          </w:tcPr>
          <w:p w14:paraId="6FD470DA" w14:textId="77777777" w:rsidR="00611C86" w:rsidRPr="00611C86" w:rsidRDefault="00611C86" w:rsidP="00611C86">
            <w:pPr>
              <w:spacing w:after="0" w:line="240" w:lineRule="auto"/>
              <w:jc w:val="right"/>
              <w:rPr>
                <w:rFonts w:ascii="Arial" w:hAnsi="Arial" w:cs="Arial"/>
                <w:b/>
                <w:bCs/>
                <w:color w:val="000000"/>
                <w:sz w:val="16"/>
                <w:szCs w:val="16"/>
              </w:rPr>
            </w:pPr>
            <w:r w:rsidRPr="00611C86">
              <w:rPr>
                <w:rFonts w:ascii="Arial" w:hAnsi="Arial" w:cs="Arial"/>
                <w:b/>
                <w:bCs/>
                <w:color w:val="000000"/>
                <w:sz w:val="16"/>
                <w:szCs w:val="16"/>
              </w:rPr>
              <w:t xml:space="preserve">4,198 </w:t>
            </w:r>
          </w:p>
        </w:tc>
        <w:tc>
          <w:tcPr>
            <w:tcW w:w="654" w:type="pct"/>
            <w:tcBorders>
              <w:top w:val="nil"/>
              <w:left w:val="nil"/>
              <w:bottom w:val="single" w:sz="4" w:space="0" w:color="auto"/>
              <w:right w:val="nil"/>
            </w:tcBorders>
            <w:shd w:val="clear" w:color="auto" w:fill="auto"/>
            <w:noWrap/>
            <w:vAlign w:val="bottom"/>
            <w:hideMark/>
          </w:tcPr>
          <w:p w14:paraId="43FA5088" w14:textId="77777777" w:rsidR="00611C86" w:rsidRPr="00611C86" w:rsidRDefault="00611C86" w:rsidP="00611C86">
            <w:pPr>
              <w:spacing w:after="0" w:line="240" w:lineRule="auto"/>
              <w:jc w:val="right"/>
              <w:rPr>
                <w:rFonts w:ascii="Arial" w:hAnsi="Arial" w:cs="Arial"/>
                <w:b/>
                <w:bCs/>
                <w:color w:val="000000"/>
                <w:sz w:val="16"/>
                <w:szCs w:val="16"/>
              </w:rPr>
            </w:pPr>
            <w:r w:rsidRPr="00611C86">
              <w:rPr>
                <w:rFonts w:ascii="Arial" w:hAnsi="Arial" w:cs="Arial"/>
                <w:b/>
                <w:bCs/>
                <w:color w:val="000000"/>
                <w:sz w:val="16"/>
                <w:szCs w:val="16"/>
              </w:rPr>
              <w:t xml:space="preserve">216,443 </w:t>
            </w:r>
          </w:p>
        </w:tc>
        <w:tc>
          <w:tcPr>
            <w:tcW w:w="654" w:type="pct"/>
            <w:tcBorders>
              <w:top w:val="nil"/>
              <w:left w:val="nil"/>
              <w:bottom w:val="single" w:sz="4" w:space="0" w:color="auto"/>
              <w:right w:val="nil"/>
            </w:tcBorders>
            <w:shd w:val="clear" w:color="auto" w:fill="auto"/>
            <w:noWrap/>
            <w:vAlign w:val="bottom"/>
            <w:hideMark/>
          </w:tcPr>
          <w:p w14:paraId="74F05CA0" w14:textId="77777777" w:rsidR="00611C86" w:rsidRPr="00611C86" w:rsidRDefault="00611C86" w:rsidP="00611C86">
            <w:pPr>
              <w:spacing w:after="0" w:line="240" w:lineRule="auto"/>
              <w:jc w:val="right"/>
              <w:rPr>
                <w:rFonts w:ascii="Arial" w:hAnsi="Arial" w:cs="Arial"/>
                <w:b/>
                <w:bCs/>
                <w:color w:val="000000"/>
                <w:sz w:val="16"/>
                <w:szCs w:val="16"/>
              </w:rPr>
            </w:pPr>
            <w:r w:rsidRPr="00611C86">
              <w:rPr>
                <w:rFonts w:ascii="Arial" w:hAnsi="Arial" w:cs="Arial"/>
                <w:b/>
                <w:bCs/>
                <w:color w:val="000000"/>
                <w:sz w:val="16"/>
                <w:szCs w:val="16"/>
              </w:rPr>
              <w:t xml:space="preserve">79,277 </w:t>
            </w:r>
          </w:p>
        </w:tc>
      </w:tr>
      <w:tr w:rsidR="00611C86" w:rsidRPr="00611C86" w14:paraId="6660068B" w14:textId="77777777" w:rsidTr="00611C86">
        <w:trPr>
          <w:trHeight w:val="420"/>
        </w:trPr>
        <w:tc>
          <w:tcPr>
            <w:tcW w:w="2386" w:type="pct"/>
            <w:tcBorders>
              <w:top w:val="nil"/>
              <w:left w:val="nil"/>
              <w:bottom w:val="single" w:sz="4" w:space="0" w:color="000000"/>
              <w:right w:val="nil"/>
            </w:tcBorders>
            <w:shd w:val="clear" w:color="auto" w:fill="auto"/>
            <w:vAlign w:val="bottom"/>
            <w:hideMark/>
          </w:tcPr>
          <w:p w14:paraId="5CDE1B1F" w14:textId="77777777" w:rsidR="00611C86" w:rsidRPr="00611C86" w:rsidRDefault="00611C86" w:rsidP="00611C86">
            <w:pPr>
              <w:spacing w:after="0" w:line="240" w:lineRule="auto"/>
              <w:jc w:val="left"/>
              <w:rPr>
                <w:rFonts w:ascii="Arial" w:hAnsi="Arial" w:cs="Arial"/>
                <w:b/>
                <w:bCs/>
                <w:color w:val="000000"/>
                <w:sz w:val="16"/>
                <w:szCs w:val="16"/>
              </w:rPr>
            </w:pPr>
            <w:r w:rsidRPr="00611C86">
              <w:rPr>
                <w:rFonts w:ascii="Arial" w:hAnsi="Arial" w:cs="Arial"/>
                <w:b/>
                <w:bCs/>
                <w:color w:val="000000"/>
                <w:sz w:val="16"/>
                <w:szCs w:val="16"/>
              </w:rPr>
              <w:t>Closing balance attributable to</w:t>
            </w:r>
            <w:r w:rsidRPr="00611C86">
              <w:rPr>
                <w:rFonts w:ascii="Arial" w:hAnsi="Arial" w:cs="Arial"/>
                <w:b/>
                <w:bCs/>
                <w:color w:val="000000"/>
                <w:sz w:val="16"/>
                <w:szCs w:val="16"/>
              </w:rPr>
              <w:br/>
              <w:t xml:space="preserve">  the Australian Government</w:t>
            </w:r>
          </w:p>
        </w:tc>
        <w:tc>
          <w:tcPr>
            <w:tcW w:w="654" w:type="pct"/>
            <w:tcBorders>
              <w:top w:val="nil"/>
              <w:left w:val="nil"/>
              <w:bottom w:val="single" w:sz="4" w:space="0" w:color="auto"/>
              <w:right w:val="nil"/>
            </w:tcBorders>
            <w:shd w:val="clear" w:color="auto" w:fill="auto"/>
            <w:noWrap/>
            <w:vAlign w:val="bottom"/>
            <w:hideMark/>
          </w:tcPr>
          <w:p w14:paraId="4FC35A9D" w14:textId="77777777" w:rsidR="00611C86" w:rsidRPr="00611C86" w:rsidRDefault="00611C86" w:rsidP="00611C86">
            <w:pPr>
              <w:spacing w:after="0" w:line="240" w:lineRule="auto"/>
              <w:jc w:val="right"/>
              <w:rPr>
                <w:rFonts w:ascii="Arial" w:hAnsi="Arial" w:cs="Arial"/>
                <w:b/>
                <w:bCs/>
                <w:color w:val="000000"/>
                <w:sz w:val="16"/>
                <w:szCs w:val="16"/>
              </w:rPr>
            </w:pPr>
            <w:r w:rsidRPr="00611C86">
              <w:rPr>
                <w:rFonts w:ascii="Arial" w:hAnsi="Arial" w:cs="Arial"/>
                <w:b/>
                <w:bCs/>
                <w:color w:val="000000"/>
                <w:sz w:val="16"/>
                <w:szCs w:val="16"/>
              </w:rPr>
              <w:t>(141,364)</w:t>
            </w:r>
          </w:p>
        </w:tc>
        <w:tc>
          <w:tcPr>
            <w:tcW w:w="654" w:type="pct"/>
            <w:tcBorders>
              <w:top w:val="nil"/>
              <w:left w:val="nil"/>
              <w:bottom w:val="single" w:sz="4" w:space="0" w:color="auto"/>
              <w:right w:val="nil"/>
            </w:tcBorders>
            <w:shd w:val="clear" w:color="auto" w:fill="auto"/>
            <w:noWrap/>
            <w:vAlign w:val="bottom"/>
            <w:hideMark/>
          </w:tcPr>
          <w:p w14:paraId="14781786" w14:textId="77777777" w:rsidR="00611C86" w:rsidRPr="00611C86" w:rsidRDefault="00611C86" w:rsidP="00611C86">
            <w:pPr>
              <w:spacing w:after="0" w:line="240" w:lineRule="auto"/>
              <w:jc w:val="right"/>
              <w:rPr>
                <w:rFonts w:ascii="Arial" w:hAnsi="Arial" w:cs="Arial"/>
                <w:b/>
                <w:bCs/>
                <w:color w:val="000000"/>
                <w:sz w:val="16"/>
                <w:szCs w:val="16"/>
              </w:rPr>
            </w:pPr>
            <w:r w:rsidRPr="00611C86">
              <w:rPr>
                <w:rFonts w:ascii="Arial" w:hAnsi="Arial" w:cs="Arial"/>
                <w:b/>
                <w:bCs/>
                <w:color w:val="000000"/>
                <w:sz w:val="16"/>
                <w:szCs w:val="16"/>
              </w:rPr>
              <w:t xml:space="preserve">4,198 </w:t>
            </w:r>
          </w:p>
        </w:tc>
        <w:tc>
          <w:tcPr>
            <w:tcW w:w="654" w:type="pct"/>
            <w:tcBorders>
              <w:top w:val="nil"/>
              <w:left w:val="nil"/>
              <w:bottom w:val="single" w:sz="4" w:space="0" w:color="auto"/>
              <w:right w:val="nil"/>
            </w:tcBorders>
            <w:shd w:val="clear" w:color="auto" w:fill="auto"/>
            <w:noWrap/>
            <w:vAlign w:val="bottom"/>
            <w:hideMark/>
          </w:tcPr>
          <w:p w14:paraId="5E2B2507" w14:textId="77777777" w:rsidR="00611C86" w:rsidRPr="00611C86" w:rsidRDefault="00611C86" w:rsidP="00611C86">
            <w:pPr>
              <w:spacing w:after="0" w:line="240" w:lineRule="auto"/>
              <w:jc w:val="right"/>
              <w:rPr>
                <w:rFonts w:ascii="Arial" w:hAnsi="Arial" w:cs="Arial"/>
                <w:b/>
                <w:bCs/>
                <w:color w:val="000000"/>
                <w:sz w:val="16"/>
                <w:szCs w:val="16"/>
              </w:rPr>
            </w:pPr>
            <w:r w:rsidRPr="00611C86">
              <w:rPr>
                <w:rFonts w:ascii="Arial" w:hAnsi="Arial" w:cs="Arial"/>
                <w:b/>
                <w:bCs/>
                <w:color w:val="000000"/>
                <w:sz w:val="16"/>
                <w:szCs w:val="16"/>
              </w:rPr>
              <w:t xml:space="preserve">216,443 </w:t>
            </w:r>
          </w:p>
        </w:tc>
        <w:tc>
          <w:tcPr>
            <w:tcW w:w="654" w:type="pct"/>
            <w:tcBorders>
              <w:top w:val="nil"/>
              <w:left w:val="nil"/>
              <w:bottom w:val="single" w:sz="4" w:space="0" w:color="auto"/>
              <w:right w:val="nil"/>
            </w:tcBorders>
            <w:shd w:val="clear" w:color="auto" w:fill="auto"/>
            <w:noWrap/>
            <w:vAlign w:val="bottom"/>
            <w:hideMark/>
          </w:tcPr>
          <w:p w14:paraId="383863F9" w14:textId="77777777" w:rsidR="00611C86" w:rsidRPr="00611C86" w:rsidRDefault="00611C86" w:rsidP="00611C86">
            <w:pPr>
              <w:spacing w:after="0" w:line="240" w:lineRule="auto"/>
              <w:jc w:val="right"/>
              <w:rPr>
                <w:rFonts w:ascii="Arial" w:hAnsi="Arial" w:cs="Arial"/>
                <w:b/>
                <w:bCs/>
                <w:color w:val="000000"/>
                <w:sz w:val="16"/>
                <w:szCs w:val="16"/>
              </w:rPr>
            </w:pPr>
            <w:r w:rsidRPr="00611C86">
              <w:rPr>
                <w:rFonts w:ascii="Arial" w:hAnsi="Arial" w:cs="Arial"/>
                <w:b/>
                <w:bCs/>
                <w:color w:val="000000"/>
                <w:sz w:val="16"/>
                <w:szCs w:val="16"/>
              </w:rPr>
              <w:t xml:space="preserve">79,277 </w:t>
            </w:r>
          </w:p>
        </w:tc>
      </w:tr>
    </w:tbl>
    <w:p w14:paraId="3007AF2C" w14:textId="78B875F4" w:rsidR="00132F9E" w:rsidRPr="00132F9E" w:rsidRDefault="00D606C2" w:rsidP="00132F9E">
      <w:pPr>
        <w:pStyle w:val="TableGraphic"/>
        <w:rPr>
          <w:rFonts w:ascii="Arial" w:hAnsi="Arial" w:cs="Arial"/>
          <w:sz w:val="16"/>
          <w:szCs w:val="16"/>
        </w:rPr>
      </w:pPr>
      <w:r w:rsidRPr="00D606C2">
        <w:rPr>
          <w:rFonts w:ascii="Arial" w:hAnsi="Arial" w:cs="Arial"/>
          <w:sz w:val="16"/>
        </w:rPr>
        <w:t>Prepared on Australian Accounting Standards basis</w:t>
      </w:r>
    </w:p>
    <w:p w14:paraId="474C43AD" w14:textId="77777777" w:rsidR="00C038D0" w:rsidRPr="00152B2B" w:rsidRDefault="00C038D0" w:rsidP="00152B2B"/>
    <w:p w14:paraId="79490B11" w14:textId="1CA0EAD6" w:rsidR="00CC6562" w:rsidRDefault="000A24C4" w:rsidP="00772E69">
      <w:pPr>
        <w:pStyle w:val="TableHeading"/>
        <w:rPr>
          <w:rFonts w:ascii="Times New Roman" w:hAnsi="Times New Roman"/>
        </w:rPr>
      </w:pPr>
      <w:r>
        <w:br w:type="page"/>
      </w:r>
      <w:r w:rsidR="00345CCD" w:rsidRPr="00497CDF">
        <w:lastRenderedPageBreak/>
        <w:t>Table</w:t>
      </w:r>
      <w:r w:rsidR="00971CBF" w:rsidRPr="00497CDF">
        <w:t xml:space="preserve"> 3.</w:t>
      </w:r>
      <w:r w:rsidR="00345CCD" w:rsidRPr="00497CDF">
        <w:t xml:space="preserve">4: Budgeted </w:t>
      </w:r>
      <w:r w:rsidR="00F10305" w:rsidRPr="00497CDF">
        <w:t xml:space="preserve">departmental statement of cash flows </w:t>
      </w:r>
      <w:r w:rsidR="00345CCD" w:rsidRPr="00497CDF">
        <w:t>(</w:t>
      </w:r>
      <w:r w:rsidR="00F10305" w:rsidRPr="00497CDF">
        <w:t>for </w:t>
      </w:r>
      <w:r w:rsidR="00345CCD" w:rsidRPr="00497CDF">
        <w:t>the period ended 30 June)</w:t>
      </w:r>
    </w:p>
    <w:tbl>
      <w:tblPr>
        <w:tblW w:w="5000" w:type="pct"/>
        <w:tblCellMar>
          <w:left w:w="0" w:type="dxa"/>
          <w:right w:w="28" w:type="dxa"/>
        </w:tblCellMar>
        <w:tblLook w:val="04A0" w:firstRow="1" w:lastRow="0" w:firstColumn="1" w:lastColumn="0" w:noHBand="0" w:noVBand="1"/>
      </w:tblPr>
      <w:tblGrid>
        <w:gridCol w:w="3255"/>
        <w:gridCol w:w="891"/>
        <w:gridCol w:w="891"/>
        <w:gridCol w:w="891"/>
        <w:gridCol w:w="891"/>
        <w:gridCol w:w="891"/>
      </w:tblGrid>
      <w:tr w:rsidR="00CC6562" w:rsidRPr="00CC6562" w14:paraId="194A0F5A" w14:textId="77777777" w:rsidTr="00CC6562">
        <w:trPr>
          <w:trHeight w:val="800"/>
        </w:trPr>
        <w:tc>
          <w:tcPr>
            <w:tcW w:w="2110" w:type="pct"/>
            <w:tcBorders>
              <w:top w:val="single" w:sz="4" w:space="0" w:color="auto"/>
              <w:left w:val="nil"/>
              <w:bottom w:val="nil"/>
              <w:right w:val="nil"/>
            </w:tcBorders>
            <w:shd w:val="clear" w:color="auto" w:fill="auto"/>
            <w:noWrap/>
            <w:hideMark/>
          </w:tcPr>
          <w:p w14:paraId="53D92442" w14:textId="13031BAA" w:rsidR="00CC6562" w:rsidRPr="00CC6562" w:rsidRDefault="00CC6562">
            <w:pPr>
              <w:rPr>
                <w:rFonts w:ascii="Arial" w:hAnsi="Arial" w:cs="Arial"/>
                <w:b/>
                <w:bCs/>
                <w:sz w:val="16"/>
                <w:szCs w:val="16"/>
              </w:rPr>
            </w:pPr>
            <w:r w:rsidRPr="00CC6562">
              <w:rPr>
                <w:rFonts w:ascii="Arial" w:hAnsi="Arial" w:cs="Arial"/>
                <w:b/>
                <w:bCs/>
                <w:sz w:val="16"/>
                <w:szCs w:val="16"/>
              </w:rPr>
              <w:t> </w:t>
            </w:r>
          </w:p>
        </w:tc>
        <w:tc>
          <w:tcPr>
            <w:tcW w:w="578" w:type="pct"/>
            <w:tcBorders>
              <w:top w:val="single" w:sz="4" w:space="0" w:color="auto"/>
              <w:left w:val="nil"/>
              <w:bottom w:val="single" w:sz="4" w:space="0" w:color="auto"/>
              <w:right w:val="nil"/>
            </w:tcBorders>
            <w:shd w:val="clear" w:color="auto" w:fill="auto"/>
            <w:hideMark/>
          </w:tcPr>
          <w:p w14:paraId="4C50D5F0" w14:textId="77777777" w:rsidR="00CC6562" w:rsidRPr="00CC6562" w:rsidRDefault="00CC6562" w:rsidP="00CC6562">
            <w:pPr>
              <w:spacing w:after="0" w:line="240" w:lineRule="auto"/>
              <w:jc w:val="right"/>
              <w:rPr>
                <w:rFonts w:ascii="Arial" w:hAnsi="Arial" w:cs="Arial"/>
                <w:sz w:val="16"/>
                <w:szCs w:val="16"/>
              </w:rPr>
            </w:pPr>
            <w:r w:rsidRPr="00CC6562">
              <w:rPr>
                <w:rFonts w:ascii="Arial" w:hAnsi="Arial" w:cs="Arial"/>
                <w:sz w:val="16"/>
                <w:szCs w:val="16"/>
              </w:rPr>
              <w:t>2020-21 Estimated actual</w:t>
            </w:r>
            <w:r w:rsidRPr="00CC6562">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000000" w:fill="E6E6E6"/>
            <w:hideMark/>
          </w:tcPr>
          <w:p w14:paraId="542C297C" w14:textId="77777777" w:rsidR="00CC6562" w:rsidRPr="00CC6562" w:rsidRDefault="00CC6562" w:rsidP="00CC6562">
            <w:pPr>
              <w:spacing w:after="0" w:line="240" w:lineRule="auto"/>
              <w:jc w:val="right"/>
              <w:rPr>
                <w:rFonts w:ascii="Arial" w:hAnsi="Arial" w:cs="Arial"/>
                <w:sz w:val="16"/>
                <w:szCs w:val="16"/>
              </w:rPr>
            </w:pPr>
            <w:r w:rsidRPr="00CC6562">
              <w:rPr>
                <w:rFonts w:ascii="Arial" w:hAnsi="Arial" w:cs="Arial"/>
                <w:sz w:val="16"/>
                <w:szCs w:val="16"/>
              </w:rPr>
              <w:t>2021-22</w:t>
            </w:r>
            <w:r w:rsidRPr="00CC6562">
              <w:rPr>
                <w:rFonts w:ascii="Arial" w:hAnsi="Arial" w:cs="Arial"/>
                <w:sz w:val="16"/>
                <w:szCs w:val="16"/>
              </w:rPr>
              <w:br/>
              <w:t>Budget</w:t>
            </w:r>
            <w:r w:rsidRPr="00CC6562">
              <w:rPr>
                <w:rFonts w:ascii="Arial" w:hAnsi="Arial" w:cs="Arial"/>
                <w:sz w:val="16"/>
                <w:szCs w:val="16"/>
              </w:rPr>
              <w:br/>
            </w:r>
            <w:r w:rsidRPr="00CC6562">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auto" w:fill="auto"/>
            <w:hideMark/>
          </w:tcPr>
          <w:p w14:paraId="3D4056F5" w14:textId="77777777" w:rsidR="00CC6562" w:rsidRPr="00CC6562" w:rsidRDefault="00CC6562" w:rsidP="00CC6562">
            <w:pPr>
              <w:spacing w:after="0" w:line="240" w:lineRule="auto"/>
              <w:jc w:val="right"/>
              <w:rPr>
                <w:rFonts w:ascii="Arial" w:hAnsi="Arial" w:cs="Arial"/>
                <w:sz w:val="16"/>
                <w:szCs w:val="16"/>
              </w:rPr>
            </w:pPr>
            <w:r w:rsidRPr="00CC6562">
              <w:rPr>
                <w:rFonts w:ascii="Arial" w:hAnsi="Arial" w:cs="Arial"/>
                <w:sz w:val="16"/>
                <w:szCs w:val="16"/>
              </w:rPr>
              <w:t>2022-23 Forward estimate</w:t>
            </w:r>
            <w:r w:rsidRPr="00CC6562">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auto" w:fill="auto"/>
            <w:hideMark/>
          </w:tcPr>
          <w:p w14:paraId="6854D7D5" w14:textId="77777777" w:rsidR="00CC6562" w:rsidRPr="00CC6562" w:rsidRDefault="00CC6562" w:rsidP="00CC6562">
            <w:pPr>
              <w:spacing w:after="0" w:line="240" w:lineRule="auto"/>
              <w:jc w:val="right"/>
              <w:rPr>
                <w:rFonts w:ascii="Arial" w:hAnsi="Arial" w:cs="Arial"/>
                <w:sz w:val="16"/>
                <w:szCs w:val="16"/>
              </w:rPr>
            </w:pPr>
            <w:r w:rsidRPr="00CC6562">
              <w:rPr>
                <w:rFonts w:ascii="Arial" w:hAnsi="Arial" w:cs="Arial"/>
                <w:sz w:val="16"/>
                <w:szCs w:val="16"/>
              </w:rPr>
              <w:t>2023-24 Forward estimate</w:t>
            </w:r>
            <w:r w:rsidRPr="00CC6562">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auto" w:fill="auto"/>
            <w:hideMark/>
          </w:tcPr>
          <w:p w14:paraId="19E8F6A0" w14:textId="77777777" w:rsidR="00CC6562" w:rsidRPr="00CC6562" w:rsidRDefault="00CC6562" w:rsidP="00CC6562">
            <w:pPr>
              <w:spacing w:after="0" w:line="240" w:lineRule="auto"/>
              <w:jc w:val="right"/>
              <w:rPr>
                <w:rFonts w:ascii="Arial" w:hAnsi="Arial" w:cs="Arial"/>
                <w:sz w:val="16"/>
                <w:szCs w:val="16"/>
              </w:rPr>
            </w:pPr>
            <w:r w:rsidRPr="00CC6562">
              <w:rPr>
                <w:rFonts w:ascii="Arial" w:hAnsi="Arial" w:cs="Arial"/>
                <w:sz w:val="16"/>
                <w:szCs w:val="16"/>
              </w:rPr>
              <w:t>2024-25</w:t>
            </w:r>
            <w:r w:rsidRPr="00CC6562">
              <w:rPr>
                <w:rFonts w:ascii="Arial" w:hAnsi="Arial" w:cs="Arial"/>
                <w:sz w:val="16"/>
                <w:szCs w:val="16"/>
              </w:rPr>
              <w:br/>
              <w:t>Forward estimate</w:t>
            </w:r>
            <w:r w:rsidRPr="00CC6562">
              <w:rPr>
                <w:rFonts w:ascii="Arial" w:hAnsi="Arial" w:cs="Arial"/>
                <w:sz w:val="16"/>
                <w:szCs w:val="16"/>
              </w:rPr>
              <w:br/>
              <w:t>$'000</w:t>
            </w:r>
          </w:p>
        </w:tc>
      </w:tr>
      <w:tr w:rsidR="00CC6562" w:rsidRPr="00CC6562" w14:paraId="66A76D31" w14:textId="77777777" w:rsidTr="00CC6562">
        <w:trPr>
          <w:trHeight w:val="210"/>
        </w:trPr>
        <w:tc>
          <w:tcPr>
            <w:tcW w:w="2110" w:type="pct"/>
            <w:tcBorders>
              <w:top w:val="nil"/>
              <w:left w:val="nil"/>
              <w:bottom w:val="nil"/>
              <w:right w:val="nil"/>
            </w:tcBorders>
            <w:shd w:val="clear" w:color="auto" w:fill="auto"/>
            <w:noWrap/>
            <w:vAlign w:val="bottom"/>
            <w:hideMark/>
          </w:tcPr>
          <w:p w14:paraId="493B9E27" w14:textId="77777777" w:rsidR="00CC6562" w:rsidRPr="00CC6562" w:rsidRDefault="00CC6562" w:rsidP="00CC6562">
            <w:pPr>
              <w:spacing w:after="0" w:line="240" w:lineRule="auto"/>
              <w:jc w:val="left"/>
              <w:rPr>
                <w:rFonts w:ascii="Arial" w:hAnsi="Arial" w:cs="Arial"/>
                <w:b/>
                <w:bCs/>
                <w:color w:val="000000"/>
                <w:sz w:val="16"/>
                <w:szCs w:val="16"/>
              </w:rPr>
            </w:pPr>
            <w:r w:rsidRPr="00CC6562">
              <w:rPr>
                <w:rFonts w:ascii="Arial" w:hAnsi="Arial" w:cs="Arial"/>
                <w:b/>
                <w:bCs/>
                <w:color w:val="000000"/>
                <w:sz w:val="16"/>
                <w:szCs w:val="16"/>
              </w:rPr>
              <w:t>OPERATING ACTIVITIES</w:t>
            </w:r>
          </w:p>
        </w:tc>
        <w:tc>
          <w:tcPr>
            <w:tcW w:w="578" w:type="pct"/>
            <w:tcBorders>
              <w:top w:val="nil"/>
              <w:left w:val="nil"/>
              <w:bottom w:val="nil"/>
              <w:right w:val="nil"/>
            </w:tcBorders>
            <w:shd w:val="clear" w:color="auto" w:fill="auto"/>
            <w:noWrap/>
            <w:vAlign w:val="bottom"/>
            <w:hideMark/>
          </w:tcPr>
          <w:p w14:paraId="0F2F0953" w14:textId="77777777" w:rsidR="00CC6562" w:rsidRPr="00CC6562" w:rsidRDefault="00CC6562" w:rsidP="00CC6562">
            <w:pPr>
              <w:spacing w:after="0" w:line="240" w:lineRule="auto"/>
              <w:jc w:val="lef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bottom"/>
            <w:hideMark/>
          </w:tcPr>
          <w:p w14:paraId="1A856FC0" w14:textId="77777777" w:rsidR="00CC6562" w:rsidRPr="00CC6562" w:rsidRDefault="00CC6562" w:rsidP="00CC6562">
            <w:pPr>
              <w:spacing w:after="0" w:line="240" w:lineRule="auto"/>
              <w:jc w:val="left"/>
              <w:rPr>
                <w:rFonts w:ascii="Arial" w:hAnsi="Arial" w:cs="Arial"/>
                <w:color w:val="000000"/>
                <w:sz w:val="16"/>
                <w:szCs w:val="16"/>
              </w:rPr>
            </w:pPr>
            <w:r w:rsidRPr="00CC6562">
              <w:rPr>
                <w:rFonts w:ascii="Arial" w:hAnsi="Arial" w:cs="Arial"/>
                <w:color w:val="000000"/>
                <w:sz w:val="16"/>
                <w:szCs w:val="16"/>
              </w:rPr>
              <w:t> </w:t>
            </w:r>
          </w:p>
        </w:tc>
        <w:tc>
          <w:tcPr>
            <w:tcW w:w="578" w:type="pct"/>
            <w:tcBorders>
              <w:top w:val="nil"/>
              <w:left w:val="nil"/>
              <w:bottom w:val="nil"/>
              <w:right w:val="nil"/>
            </w:tcBorders>
            <w:shd w:val="clear" w:color="auto" w:fill="auto"/>
            <w:noWrap/>
            <w:vAlign w:val="bottom"/>
            <w:hideMark/>
          </w:tcPr>
          <w:p w14:paraId="0C1CCDE1" w14:textId="77777777" w:rsidR="00CC6562" w:rsidRPr="00CC6562" w:rsidRDefault="00CC6562" w:rsidP="00CC6562">
            <w:pPr>
              <w:spacing w:after="0" w:line="240" w:lineRule="auto"/>
              <w:jc w:val="lef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4812DBE6" w14:textId="77777777" w:rsidR="00CC6562" w:rsidRPr="00CC6562" w:rsidRDefault="00CC6562" w:rsidP="00CC6562">
            <w:pPr>
              <w:spacing w:after="0" w:line="240" w:lineRule="auto"/>
              <w:jc w:val="left"/>
              <w:rPr>
                <w:rFonts w:ascii="Times New Roman" w:hAnsi="Times New Roman"/>
              </w:rPr>
            </w:pPr>
          </w:p>
        </w:tc>
        <w:tc>
          <w:tcPr>
            <w:tcW w:w="578" w:type="pct"/>
            <w:tcBorders>
              <w:top w:val="nil"/>
              <w:left w:val="nil"/>
              <w:bottom w:val="nil"/>
              <w:right w:val="nil"/>
            </w:tcBorders>
            <w:shd w:val="clear" w:color="auto" w:fill="auto"/>
            <w:noWrap/>
            <w:vAlign w:val="bottom"/>
            <w:hideMark/>
          </w:tcPr>
          <w:p w14:paraId="168AD203" w14:textId="77777777" w:rsidR="00CC6562" w:rsidRPr="00CC6562" w:rsidRDefault="00CC6562" w:rsidP="00CC6562">
            <w:pPr>
              <w:spacing w:after="0" w:line="240" w:lineRule="auto"/>
              <w:jc w:val="left"/>
              <w:rPr>
                <w:rFonts w:ascii="Times New Roman" w:hAnsi="Times New Roman"/>
              </w:rPr>
            </w:pPr>
          </w:p>
        </w:tc>
      </w:tr>
      <w:tr w:rsidR="00CC6562" w:rsidRPr="00CC6562" w14:paraId="4474130A" w14:textId="77777777" w:rsidTr="00CC6562">
        <w:trPr>
          <w:trHeight w:val="210"/>
        </w:trPr>
        <w:tc>
          <w:tcPr>
            <w:tcW w:w="2110" w:type="pct"/>
            <w:tcBorders>
              <w:top w:val="nil"/>
              <w:left w:val="nil"/>
              <w:bottom w:val="nil"/>
              <w:right w:val="nil"/>
            </w:tcBorders>
            <w:shd w:val="clear" w:color="auto" w:fill="auto"/>
            <w:noWrap/>
            <w:vAlign w:val="bottom"/>
            <w:hideMark/>
          </w:tcPr>
          <w:p w14:paraId="4014E22B" w14:textId="77777777" w:rsidR="00CC6562" w:rsidRPr="00CC6562" w:rsidRDefault="00CC6562" w:rsidP="00CC6562">
            <w:pPr>
              <w:spacing w:after="0" w:line="240" w:lineRule="auto"/>
              <w:jc w:val="left"/>
              <w:rPr>
                <w:rFonts w:ascii="Arial" w:hAnsi="Arial" w:cs="Arial"/>
                <w:b/>
                <w:bCs/>
                <w:color w:val="000000"/>
                <w:sz w:val="16"/>
                <w:szCs w:val="16"/>
              </w:rPr>
            </w:pPr>
            <w:r w:rsidRPr="00CC6562">
              <w:rPr>
                <w:rFonts w:ascii="Arial" w:hAnsi="Arial" w:cs="Arial"/>
                <w:b/>
                <w:bCs/>
                <w:color w:val="000000"/>
                <w:sz w:val="16"/>
                <w:szCs w:val="16"/>
              </w:rPr>
              <w:t>Cash received</w:t>
            </w:r>
          </w:p>
        </w:tc>
        <w:tc>
          <w:tcPr>
            <w:tcW w:w="578" w:type="pct"/>
            <w:tcBorders>
              <w:top w:val="nil"/>
              <w:left w:val="nil"/>
              <w:bottom w:val="nil"/>
              <w:right w:val="nil"/>
            </w:tcBorders>
            <w:shd w:val="clear" w:color="auto" w:fill="auto"/>
            <w:noWrap/>
            <w:vAlign w:val="bottom"/>
            <w:hideMark/>
          </w:tcPr>
          <w:p w14:paraId="7C355EA3" w14:textId="77777777" w:rsidR="00CC6562" w:rsidRPr="00CC6562" w:rsidRDefault="00CC6562" w:rsidP="00CC6562">
            <w:pPr>
              <w:spacing w:after="0" w:line="240" w:lineRule="auto"/>
              <w:jc w:val="lef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bottom"/>
            <w:hideMark/>
          </w:tcPr>
          <w:p w14:paraId="267C9D4F" w14:textId="77777777" w:rsidR="00CC6562" w:rsidRPr="00CC6562" w:rsidRDefault="00CC6562" w:rsidP="00CC6562">
            <w:pPr>
              <w:spacing w:after="0" w:line="240" w:lineRule="auto"/>
              <w:jc w:val="left"/>
              <w:rPr>
                <w:rFonts w:ascii="Arial" w:hAnsi="Arial" w:cs="Arial"/>
                <w:color w:val="000000"/>
                <w:sz w:val="16"/>
                <w:szCs w:val="16"/>
              </w:rPr>
            </w:pPr>
            <w:r w:rsidRPr="00CC6562">
              <w:rPr>
                <w:rFonts w:ascii="Arial" w:hAnsi="Arial" w:cs="Arial"/>
                <w:color w:val="000000"/>
                <w:sz w:val="16"/>
                <w:szCs w:val="16"/>
              </w:rPr>
              <w:t> </w:t>
            </w:r>
          </w:p>
        </w:tc>
        <w:tc>
          <w:tcPr>
            <w:tcW w:w="578" w:type="pct"/>
            <w:tcBorders>
              <w:top w:val="nil"/>
              <w:left w:val="nil"/>
              <w:bottom w:val="nil"/>
              <w:right w:val="nil"/>
            </w:tcBorders>
            <w:shd w:val="clear" w:color="auto" w:fill="auto"/>
            <w:noWrap/>
            <w:vAlign w:val="bottom"/>
            <w:hideMark/>
          </w:tcPr>
          <w:p w14:paraId="15ABB08D" w14:textId="77777777" w:rsidR="00CC6562" w:rsidRPr="00CC6562" w:rsidRDefault="00CC6562" w:rsidP="00CC6562">
            <w:pPr>
              <w:spacing w:after="0" w:line="240" w:lineRule="auto"/>
              <w:jc w:val="lef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76A0C452" w14:textId="77777777" w:rsidR="00CC6562" w:rsidRPr="00CC6562" w:rsidRDefault="00CC6562" w:rsidP="00CC6562">
            <w:pPr>
              <w:spacing w:after="0" w:line="240" w:lineRule="auto"/>
              <w:jc w:val="left"/>
              <w:rPr>
                <w:rFonts w:ascii="Times New Roman" w:hAnsi="Times New Roman"/>
              </w:rPr>
            </w:pPr>
          </w:p>
        </w:tc>
        <w:tc>
          <w:tcPr>
            <w:tcW w:w="578" w:type="pct"/>
            <w:tcBorders>
              <w:top w:val="nil"/>
              <w:left w:val="nil"/>
              <w:bottom w:val="nil"/>
              <w:right w:val="nil"/>
            </w:tcBorders>
            <w:shd w:val="clear" w:color="auto" w:fill="auto"/>
            <w:noWrap/>
            <w:vAlign w:val="bottom"/>
            <w:hideMark/>
          </w:tcPr>
          <w:p w14:paraId="10987959" w14:textId="77777777" w:rsidR="00CC6562" w:rsidRPr="00CC6562" w:rsidRDefault="00CC6562" w:rsidP="00CC6562">
            <w:pPr>
              <w:spacing w:after="0" w:line="240" w:lineRule="auto"/>
              <w:jc w:val="left"/>
              <w:rPr>
                <w:rFonts w:ascii="Times New Roman" w:hAnsi="Times New Roman"/>
              </w:rPr>
            </w:pPr>
          </w:p>
        </w:tc>
      </w:tr>
      <w:tr w:rsidR="00CC6562" w:rsidRPr="00CC6562" w14:paraId="6A64C083" w14:textId="77777777" w:rsidTr="00CC6562">
        <w:trPr>
          <w:trHeight w:val="200"/>
        </w:trPr>
        <w:tc>
          <w:tcPr>
            <w:tcW w:w="2110" w:type="pct"/>
            <w:tcBorders>
              <w:top w:val="nil"/>
              <w:left w:val="nil"/>
              <w:bottom w:val="nil"/>
              <w:right w:val="nil"/>
            </w:tcBorders>
            <w:shd w:val="clear" w:color="auto" w:fill="auto"/>
            <w:noWrap/>
            <w:vAlign w:val="bottom"/>
            <w:hideMark/>
          </w:tcPr>
          <w:p w14:paraId="340B39F4" w14:textId="77777777" w:rsidR="00CC6562" w:rsidRPr="00CC6562" w:rsidRDefault="00CC6562" w:rsidP="00CC6562">
            <w:pPr>
              <w:spacing w:after="0" w:line="240" w:lineRule="auto"/>
              <w:ind w:firstLineChars="100" w:firstLine="160"/>
              <w:jc w:val="left"/>
              <w:rPr>
                <w:rFonts w:ascii="Arial" w:hAnsi="Arial" w:cs="Arial"/>
                <w:color w:val="000000"/>
                <w:sz w:val="16"/>
                <w:szCs w:val="16"/>
              </w:rPr>
            </w:pPr>
            <w:r w:rsidRPr="00CC6562">
              <w:rPr>
                <w:rFonts w:ascii="Arial" w:hAnsi="Arial" w:cs="Arial"/>
                <w:color w:val="000000"/>
                <w:sz w:val="16"/>
                <w:szCs w:val="16"/>
              </w:rPr>
              <w:t>Appropriations</w:t>
            </w:r>
          </w:p>
        </w:tc>
        <w:tc>
          <w:tcPr>
            <w:tcW w:w="578" w:type="pct"/>
            <w:tcBorders>
              <w:top w:val="nil"/>
              <w:left w:val="nil"/>
              <w:bottom w:val="nil"/>
              <w:right w:val="nil"/>
            </w:tcBorders>
            <w:shd w:val="clear" w:color="auto" w:fill="auto"/>
            <w:noWrap/>
            <w:vAlign w:val="bottom"/>
            <w:hideMark/>
          </w:tcPr>
          <w:p w14:paraId="2DBB1EE2"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275,994 </w:t>
            </w:r>
          </w:p>
        </w:tc>
        <w:tc>
          <w:tcPr>
            <w:tcW w:w="578" w:type="pct"/>
            <w:tcBorders>
              <w:top w:val="nil"/>
              <w:left w:val="nil"/>
              <w:bottom w:val="nil"/>
              <w:right w:val="nil"/>
            </w:tcBorders>
            <w:shd w:val="clear" w:color="000000" w:fill="E6E6E6"/>
            <w:noWrap/>
            <w:vAlign w:val="bottom"/>
            <w:hideMark/>
          </w:tcPr>
          <w:p w14:paraId="7E9C8463"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300,808 </w:t>
            </w:r>
          </w:p>
        </w:tc>
        <w:tc>
          <w:tcPr>
            <w:tcW w:w="578" w:type="pct"/>
            <w:tcBorders>
              <w:top w:val="nil"/>
              <w:left w:val="nil"/>
              <w:bottom w:val="nil"/>
              <w:right w:val="nil"/>
            </w:tcBorders>
            <w:shd w:val="clear" w:color="auto" w:fill="auto"/>
            <w:noWrap/>
            <w:vAlign w:val="bottom"/>
            <w:hideMark/>
          </w:tcPr>
          <w:p w14:paraId="558FC452"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285,768 </w:t>
            </w:r>
          </w:p>
        </w:tc>
        <w:tc>
          <w:tcPr>
            <w:tcW w:w="578" w:type="pct"/>
            <w:tcBorders>
              <w:top w:val="nil"/>
              <w:left w:val="nil"/>
              <w:bottom w:val="nil"/>
              <w:right w:val="nil"/>
            </w:tcBorders>
            <w:shd w:val="clear" w:color="auto" w:fill="auto"/>
            <w:noWrap/>
            <w:vAlign w:val="bottom"/>
            <w:hideMark/>
          </w:tcPr>
          <w:p w14:paraId="076B6F76"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251,354 </w:t>
            </w:r>
          </w:p>
        </w:tc>
        <w:tc>
          <w:tcPr>
            <w:tcW w:w="578" w:type="pct"/>
            <w:tcBorders>
              <w:top w:val="nil"/>
              <w:left w:val="nil"/>
              <w:bottom w:val="nil"/>
              <w:right w:val="nil"/>
            </w:tcBorders>
            <w:shd w:val="clear" w:color="auto" w:fill="auto"/>
            <w:noWrap/>
            <w:vAlign w:val="bottom"/>
            <w:hideMark/>
          </w:tcPr>
          <w:p w14:paraId="3F9FA409"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244,534 </w:t>
            </w:r>
          </w:p>
        </w:tc>
      </w:tr>
      <w:tr w:rsidR="00CC6562" w:rsidRPr="00CC6562" w14:paraId="58891F82" w14:textId="77777777" w:rsidTr="00CC6562">
        <w:trPr>
          <w:trHeight w:val="400"/>
        </w:trPr>
        <w:tc>
          <w:tcPr>
            <w:tcW w:w="2110" w:type="pct"/>
            <w:tcBorders>
              <w:top w:val="nil"/>
              <w:left w:val="nil"/>
              <w:bottom w:val="nil"/>
              <w:right w:val="nil"/>
            </w:tcBorders>
            <w:shd w:val="clear" w:color="auto" w:fill="auto"/>
            <w:vAlign w:val="bottom"/>
            <w:hideMark/>
          </w:tcPr>
          <w:p w14:paraId="363A5A3A" w14:textId="5D59F334" w:rsidR="00CC6562" w:rsidRPr="00CC6562" w:rsidRDefault="00CC6562" w:rsidP="00CC6562">
            <w:pPr>
              <w:spacing w:after="0" w:line="240" w:lineRule="auto"/>
              <w:ind w:firstLineChars="100" w:firstLine="160"/>
              <w:jc w:val="left"/>
              <w:rPr>
                <w:rFonts w:ascii="Arial" w:hAnsi="Arial" w:cs="Arial"/>
                <w:color w:val="000000"/>
                <w:sz w:val="16"/>
                <w:szCs w:val="16"/>
              </w:rPr>
            </w:pPr>
            <w:r w:rsidRPr="00CC6562">
              <w:rPr>
                <w:rFonts w:ascii="Arial" w:hAnsi="Arial" w:cs="Arial"/>
                <w:color w:val="000000"/>
                <w:sz w:val="16"/>
                <w:szCs w:val="16"/>
              </w:rPr>
              <w:t>Sale of goods and rendering of</w:t>
            </w:r>
            <w:r w:rsidRPr="00CC6562">
              <w:rPr>
                <w:rFonts w:ascii="Arial" w:hAnsi="Arial" w:cs="Arial"/>
                <w:color w:val="000000"/>
                <w:sz w:val="16"/>
                <w:szCs w:val="16"/>
              </w:rPr>
              <w:br/>
              <w:t xml:space="preserve"> </w:t>
            </w:r>
            <w:r>
              <w:rPr>
                <w:rFonts w:ascii="Arial" w:hAnsi="Arial" w:cs="Arial"/>
                <w:color w:val="000000"/>
                <w:sz w:val="16"/>
                <w:szCs w:val="16"/>
              </w:rPr>
              <w:t xml:space="preserve">   </w:t>
            </w:r>
            <w:r w:rsidRPr="00CC6562">
              <w:rPr>
                <w:rFonts w:ascii="Arial" w:hAnsi="Arial" w:cs="Arial"/>
                <w:color w:val="000000"/>
                <w:sz w:val="16"/>
                <w:szCs w:val="16"/>
              </w:rPr>
              <w:t xml:space="preserve"> services</w:t>
            </w:r>
          </w:p>
        </w:tc>
        <w:tc>
          <w:tcPr>
            <w:tcW w:w="578" w:type="pct"/>
            <w:tcBorders>
              <w:top w:val="nil"/>
              <w:left w:val="nil"/>
              <w:bottom w:val="nil"/>
              <w:right w:val="nil"/>
            </w:tcBorders>
            <w:shd w:val="clear" w:color="auto" w:fill="auto"/>
            <w:noWrap/>
            <w:vAlign w:val="bottom"/>
            <w:hideMark/>
          </w:tcPr>
          <w:p w14:paraId="77A4277A"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2,331 </w:t>
            </w:r>
          </w:p>
        </w:tc>
        <w:tc>
          <w:tcPr>
            <w:tcW w:w="578" w:type="pct"/>
            <w:tcBorders>
              <w:top w:val="nil"/>
              <w:left w:val="nil"/>
              <w:bottom w:val="nil"/>
              <w:right w:val="nil"/>
            </w:tcBorders>
            <w:shd w:val="clear" w:color="000000" w:fill="E6E6E6"/>
            <w:noWrap/>
            <w:vAlign w:val="bottom"/>
            <w:hideMark/>
          </w:tcPr>
          <w:p w14:paraId="6F8B6D4D"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2,113 </w:t>
            </w:r>
          </w:p>
        </w:tc>
        <w:tc>
          <w:tcPr>
            <w:tcW w:w="578" w:type="pct"/>
            <w:tcBorders>
              <w:top w:val="nil"/>
              <w:left w:val="nil"/>
              <w:bottom w:val="nil"/>
              <w:right w:val="nil"/>
            </w:tcBorders>
            <w:shd w:val="clear" w:color="auto" w:fill="auto"/>
            <w:noWrap/>
            <w:vAlign w:val="bottom"/>
            <w:hideMark/>
          </w:tcPr>
          <w:p w14:paraId="52ED1816"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1,400 </w:t>
            </w:r>
          </w:p>
        </w:tc>
        <w:tc>
          <w:tcPr>
            <w:tcW w:w="578" w:type="pct"/>
            <w:tcBorders>
              <w:top w:val="nil"/>
              <w:left w:val="nil"/>
              <w:bottom w:val="nil"/>
              <w:right w:val="nil"/>
            </w:tcBorders>
            <w:shd w:val="clear" w:color="auto" w:fill="auto"/>
            <w:noWrap/>
            <w:vAlign w:val="bottom"/>
            <w:hideMark/>
          </w:tcPr>
          <w:p w14:paraId="6CC1DA3B"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2,247 </w:t>
            </w:r>
          </w:p>
        </w:tc>
        <w:tc>
          <w:tcPr>
            <w:tcW w:w="578" w:type="pct"/>
            <w:tcBorders>
              <w:top w:val="nil"/>
              <w:left w:val="nil"/>
              <w:bottom w:val="nil"/>
              <w:right w:val="nil"/>
            </w:tcBorders>
            <w:shd w:val="clear" w:color="auto" w:fill="auto"/>
            <w:noWrap/>
            <w:vAlign w:val="bottom"/>
            <w:hideMark/>
          </w:tcPr>
          <w:p w14:paraId="63DE0C42"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1,362 </w:t>
            </w:r>
          </w:p>
        </w:tc>
      </w:tr>
      <w:tr w:rsidR="00CC6562" w:rsidRPr="00CC6562" w14:paraId="164E20B6" w14:textId="77777777" w:rsidTr="00CC6562">
        <w:trPr>
          <w:trHeight w:val="200"/>
        </w:trPr>
        <w:tc>
          <w:tcPr>
            <w:tcW w:w="2110" w:type="pct"/>
            <w:tcBorders>
              <w:top w:val="nil"/>
              <w:left w:val="nil"/>
              <w:bottom w:val="nil"/>
              <w:right w:val="nil"/>
            </w:tcBorders>
            <w:shd w:val="clear" w:color="auto" w:fill="auto"/>
            <w:noWrap/>
            <w:vAlign w:val="bottom"/>
            <w:hideMark/>
          </w:tcPr>
          <w:p w14:paraId="1F8AAEC5" w14:textId="77777777" w:rsidR="00CC6562" w:rsidRPr="00CC6562" w:rsidRDefault="00CC6562" w:rsidP="00CC6562">
            <w:pPr>
              <w:spacing w:after="0" w:line="240" w:lineRule="auto"/>
              <w:ind w:firstLineChars="100" w:firstLine="160"/>
              <w:jc w:val="left"/>
              <w:rPr>
                <w:rFonts w:ascii="Arial" w:hAnsi="Arial" w:cs="Arial"/>
                <w:color w:val="000000"/>
                <w:sz w:val="16"/>
                <w:szCs w:val="16"/>
              </w:rPr>
            </w:pPr>
            <w:r w:rsidRPr="00CC6562">
              <w:rPr>
                <w:rFonts w:ascii="Arial" w:hAnsi="Arial" w:cs="Arial"/>
                <w:color w:val="000000"/>
                <w:sz w:val="16"/>
                <w:szCs w:val="16"/>
              </w:rPr>
              <w:t>Net GST received</w:t>
            </w:r>
          </w:p>
        </w:tc>
        <w:tc>
          <w:tcPr>
            <w:tcW w:w="578" w:type="pct"/>
            <w:tcBorders>
              <w:top w:val="nil"/>
              <w:left w:val="nil"/>
              <w:bottom w:val="nil"/>
              <w:right w:val="nil"/>
            </w:tcBorders>
            <w:shd w:val="clear" w:color="auto" w:fill="auto"/>
            <w:noWrap/>
            <w:vAlign w:val="bottom"/>
            <w:hideMark/>
          </w:tcPr>
          <w:p w14:paraId="265F8EAA"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9,170 </w:t>
            </w:r>
          </w:p>
        </w:tc>
        <w:tc>
          <w:tcPr>
            <w:tcW w:w="578" w:type="pct"/>
            <w:tcBorders>
              <w:top w:val="nil"/>
              <w:left w:val="nil"/>
              <w:bottom w:val="nil"/>
              <w:right w:val="nil"/>
            </w:tcBorders>
            <w:shd w:val="clear" w:color="000000" w:fill="E6E6E6"/>
            <w:noWrap/>
            <w:vAlign w:val="bottom"/>
            <w:hideMark/>
          </w:tcPr>
          <w:p w14:paraId="3AF0D418"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8,910 </w:t>
            </w:r>
          </w:p>
        </w:tc>
        <w:tc>
          <w:tcPr>
            <w:tcW w:w="578" w:type="pct"/>
            <w:tcBorders>
              <w:top w:val="nil"/>
              <w:left w:val="nil"/>
              <w:bottom w:val="nil"/>
              <w:right w:val="nil"/>
            </w:tcBorders>
            <w:shd w:val="clear" w:color="auto" w:fill="auto"/>
            <w:noWrap/>
            <w:vAlign w:val="bottom"/>
            <w:hideMark/>
          </w:tcPr>
          <w:p w14:paraId="4405695F"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8,513 </w:t>
            </w:r>
          </w:p>
        </w:tc>
        <w:tc>
          <w:tcPr>
            <w:tcW w:w="578" w:type="pct"/>
            <w:tcBorders>
              <w:top w:val="nil"/>
              <w:left w:val="nil"/>
              <w:bottom w:val="nil"/>
              <w:right w:val="nil"/>
            </w:tcBorders>
            <w:shd w:val="clear" w:color="auto" w:fill="auto"/>
            <w:noWrap/>
            <w:vAlign w:val="bottom"/>
            <w:hideMark/>
          </w:tcPr>
          <w:p w14:paraId="1EA83463"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8,000 </w:t>
            </w:r>
          </w:p>
        </w:tc>
        <w:tc>
          <w:tcPr>
            <w:tcW w:w="578" w:type="pct"/>
            <w:tcBorders>
              <w:top w:val="nil"/>
              <w:left w:val="nil"/>
              <w:bottom w:val="nil"/>
              <w:right w:val="nil"/>
            </w:tcBorders>
            <w:shd w:val="clear" w:color="auto" w:fill="auto"/>
            <w:noWrap/>
            <w:vAlign w:val="bottom"/>
            <w:hideMark/>
          </w:tcPr>
          <w:p w14:paraId="35EE6965"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7,783 </w:t>
            </w:r>
          </w:p>
        </w:tc>
      </w:tr>
      <w:tr w:rsidR="00CC6562" w:rsidRPr="00CC6562" w14:paraId="2051C79D" w14:textId="77777777" w:rsidTr="00CC6562">
        <w:trPr>
          <w:trHeight w:val="200"/>
        </w:trPr>
        <w:tc>
          <w:tcPr>
            <w:tcW w:w="2110" w:type="pct"/>
            <w:tcBorders>
              <w:top w:val="nil"/>
              <w:left w:val="nil"/>
              <w:bottom w:val="nil"/>
              <w:right w:val="nil"/>
            </w:tcBorders>
            <w:shd w:val="clear" w:color="auto" w:fill="auto"/>
            <w:noWrap/>
            <w:vAlign w:val="bottom"/>
            <w:hideMark/>
          </w:tcPr>
          <w:p w14:paraId="4E499180" w14:textId="77777777" w:rsidR="00CC6562" w:rsidRPr="00CC6562" w:rsidRDefault="00CC6562" w:rsidP="00CC6562">
            <w:pPr>
              <w:spacing w:after="0" w:line="240" w:lineRule="auto"/>
              <w:ind w:firstLineChars="100" w:firstLine="160"/>
              <w:jc w:val="left"/>
              <w:rPr>
                <w:rFonts w:ascii="Arial" w:hAnsi="Arial" w:cs="Arial"/>
                <w:color w:val="000000"/>
                <w:sz w:val="16"/>
                <w:szCs w:val="16"/>
              </w:rPr>
            </w:pPr>
            <w:r w:rsidRPr="00CC6562">
              <w:rPr>
                <w:rFonts w:ascii="Arial" w:hAnsi="Arial" w:cs="Arial"/>
                <w:color w:val="000000"/>
                <w:sz w:val="16"/>
                <w:szCs w:val="16"/>
              </w:rPr>
              <w:t xml:space="preserve">Other </w:t>
            </w:r>
          </w:p>
        </w:tc>
        <w:tc>
          <w:tcPr>
            <w:tcW w:w="578" w:type="pct"/>
            <w:tcBorders>
              <w:top w:val="nil"/>
              <w:left w:val="nil"/>
              <w:bottom w:val="nil"/>
              <w:right w:val="nil"/>
            </w:tcBorders>
            <w:shd w:val="clear" w:color="auto" w:fill="auto"/>
            <w:noWrap/>
            <w:vAlign w:val="bottom"/>
            <w:hideMark/>
          </w:tcPr>
          <w:p w14:paraId="775FBBDB"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185 </w:t>
            </w:r>
          </w:p>
        </w:tc>
        <w:tc>
          <w:tcPr>
            <w:tcW w:w="578" w:type="pct"/>
            <w:tcBorders>
              <w:top w:val="nil"/>
              <w:left w:val="nil"/>
              <w:bottom w:val="nil"/>
              <w:right w:val="nil"/>
            </w:tcBorders>
            <w:shd w:val="clear" w:color="000000" w:fill="E6E6E6"/>
            <w:noWrap/>
            <w:vAlign w:val="bottom"/>
            <w:hideMark/>
          </w:tcPr>
          <w:p w14:paraId="2EB6B107"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185 </w:t>
            </w:r>
          </w:p>
        </w:tc>
        <w:tc>
          <w:tcPr>
            <w:tcW w:w="578" w:type="pct"/>
            <w:tcBorders>
              <w:top w:val="nil"/>
              <w:left w:val="nil"/>
              <w:bottom w:val="nil"/>
              <w:right w:val="nil"/>
            </w:tcBorders>
            <w:shd w:val="clear" w:color="auto" w:fill="auto"/>
            <w:noWrap/>
            <w:vAlign w:val="bottom"/>
            <w:hideMark/>
          </w:tcPr>
          <w:p w14:paraId="31B225BF"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 </w:t>
            </w:r>
          </w:p>
        </w:tc>
        <w:tc>
          <w:tcPr>
            <w:tcW w:w="578" w:type="pct"/>
            <w:tcBorders>
              <w:top w:val="nil"/>
              <w:left w:val="nil"/>
              <w:bottom w:val="nil"/>
              <w:right w:val="nil"/>
            </w:tcBorders>
            <w:shd w:val="clear" w:color="auto" w:fill="auto"/>
            <w:noWrap/>
            <w:vAlign w:val="bottom"/>
            <w:hideMark/>
          </w:tcPr>
          <w:p w14:paraId="1A5EDFD0"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 </w:t>
            </w:r>
          </w:p>
        </w:tc>
        <w:tc>
          <w:tcPr>
            <w:tcW w:w="578" w:type="pct"/>
            <w:tcBorders>
              <w:top w:val="nil"/>
              <w:left w:val="nil"/>
              <w:bottom w:val="nil"/>
              <w:right w:val="nil"/>
            </w:tcBorders>
            <w:shd w:val="clear" w:color="auto" w:fill="auto"/>
            <w:noWrap/>
            <w:vAlign w:val="bottom"/>
            <w:hideMark/>
          </w:tcPr>
          <w:p w14:paraId="44BCF6B8"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 </w:t>
            </w:r>
          </w:p>
        </w:tc>
      </w:tr>
      <w:tr w:rsidR="00CC6562" w:rsidRPr="00CC6562" w14:paraId="1731FCDD" w14:textId="77777777" w:rsidTr="00CC6562">
        <w:trPr>
          <w:trHeight w:val="200"/>
        </w:trPr>
        <w:tc>
          <w:tcPr>
            <w:tcW w:w="2110" w:type="pct"/>
            <w:tcBorders>
              <w:top w:val="nil"/>
              <w:left w:val="nil"/>
              <w:bottom w:val="nil"/>
              <w:right w:val="nil"/>
            </w:tcBorders>
            <w:shd w:val="clear" w:color="auto" w:fill="auto"/>
            <w:noWrap/>
            <w:vAlign w:val="bottom"/>
            <w:hideMark/>
          </w:tcPr>
          <w:p w14:paraId="7C63928C" w14:textId="77777777" w:rsidR="00CC6562" w:rsidRPr="00CC6562" w:rsidRDefault="00CC6562" w:rsidP="00CC6562">
            <w:pPr>
              <w:spacing w:after="0" w:line="240" w:lineRule="auto"/>
              <w:jc w:val="left"/>
              <w:rPr>
                <w:rFonts w:ascii="Arial" w:hAnsi="Arial" w:cs="Arial"/>
                <w:b/>
                <w:bCs/>
                <w:i/>
                <w:iCs/>
                <w:color w:val="000000"/>
                <w:sz w:val="16"/>
                <w:szCs w:val="16"/>
              </w:rPr>
            </w:pPr>
            <w:r w:rsidRPr="00CC6562">
              <w:rPr>
                <w:rFonts w:ascii="Arial" w:hAnsi="Arial" w:cs="Arial"/>
                <w:b/>
                <w:bCs/>
                <w:i/>
                <w:iCs/>
                <w:color w:val="000000"/>
                <w:sz w:val="16"/>
                <w:szCs w:val="16"/>
              </w:rPr>
              <w:t>Total cash received</w:t>
            </w:r>
          </w:p>
        </w:tc>
        <w:tc>
          <w:tcPr>
            <w:tcW w:w="578" w:type="pct"/>
            <w:tcBorders>
              <w:top w:val="single" w:sz="4" w:space="0" w:color="000000"/>
              <w:left w:val="nil"/>
              <w:bottom w:val="single" w:sz="4" w:space="0" w:color="000000"/>
              <w:right w:val="nil"/>
            </w:tcBorders>
            <w:shd w:val="clear" w:color="auto" w:fill="auto"/>
            <w:noWrap/>
            <w:vAlign w:val="bottom"/>
            <w:hideMark/>
          </w:tcPr>
          <w:p w14:paraId="12F9EDC3" w14:textId="77777777" w:rsidR="00CC6562" w:rsidRPr="00CC6562" w:rsidRDefault="00CC6562" w:rsidP="00CC6562">
            <w:pPr>
              <w:spacing w:after="0" w:line="240" w:lineRule="auto"/>
              <w:jc w:val="right"/>
              <w:rPr>
                <w:rFonts w:ascii="Arial" w:hAnsi="Arial" w:cs="Arial"/>
                <w:b/>
                <w:bCs/>
                <w:i/>
                <w:iCs/>
                <w:color w:val="000000"/>
                <w:sz w:val="16"/>
                <w:szCs w:val="16"/>
              </w:rPr>
            </w:pPr>
            <w:r w:rsidRPr="00CC6562">
              <w:rPr>
                <w:rFonts w:ascii="Arial" w:hAnsi="Arial" w:cs="Arial"/>
                <w:b/>
                <w:bCs/>
                <w:i/>
                <w:iCs/>
                <w:color w:val="000000"/>
                <w:sz w:val="16"/>
                <w:szCs w:val="16"/>
              </w:rPr>
              <w:t xml:space="preserve">287,680 </w:t>
            </w:r>
          </w:p>
        </w:tc>
        <w:tc>
          <w:tcPr>
            <w:tcW w:w="578" w:type="pct"/>
            <w:tcBorders>
              <w:top w:val="single" w:sz="4" w:space="0" w:color="000000"/>
              <w:left w:val="nil"/>
              <w:bottom w:val="single" w:sz="4" w:space="0" w:color="000000"/>
              <w:right w:val="nil"/>
            </w:tcBorders>
            <w:shd w:val="clear" w:color="000000" w:fill="E6E6E6"/>
            <w:noWrap/>
            <w:vAlign w:val="bottom"/>
            <w:hideMark/>
          </w:tcPr>
          <w:p w14:paraId="192310B5" w14:textId="77777777" w:rsidR="00CC6562" w:rsidRPr="00CC6562" w:rsidRDefault="00CC6562" w:rsidP="00CC6562">
            <w:pPr>
              <w:spacing w:after="0" w:line="240" w:lineRule="auto"/>
              <w:jc w:val="right"/>
              <w:rPr>
                <w:rFonts w:ascii="Arial" w:hAnsi="Arial" w:cs="Arial"/>
                <w:b/>
                <w:bCs/>
                <w:i/>
                <w:iCs/>
                <w:color w:val="000000"/>
                <w:sz w:val="16"/>
                <w:szCs w:val="16"/>
              </w:rPr>
            </w:pPr>
            <w:r w:rsidRPr="00CC6562">
              <w:rPr>
                <w:rFonts w:ascii="Arial" w:hAnsi="Arial" w:cs="Arial"/>
                <w:b/>
                <w:bCs/>
                <w:i/>
                <w:iCs/>
                <w:color w:val="000000"/>
                <w:sz w:val="16"/>
                <w:szCs w:val="16"/>
              </w:rPr>
              <w:t xml:space="preserve">312,016 </w:t>
            </w:r>
          </w:p>
        </w:tc>
        <w:tc>
          <w:tcPr>
            <w:tcW w:w="578" w:type="pct"/>
            <w:tcBorders>
              <w:top w:val="single" w:sz="4" w:space="0" w:color="000000"/>
              <w:left w:val="nil"/>
              <w:bottom w:val="single" w:sz="4" w:space="0" w:color="000000"/>
              <w:right w:val="nil"/>
            </w:tcBorders>
            <w:shd w:val="clear" w:color="auto" w:fill="auto"/>
            <w:noWrap/>
            <w:vAlign w:val="bottom"/>
            <w:hideMark/>
          </w:tcPr>
          <w:p w14:paraId="7144B270" w14:textId="77777777" w:rsidR="00CC6562" w:rsidRPr="00CC6562" w:rsidRDefault="00CC6562" w:rsidP="00CC6562">
            <w:pPr>
              <w:spacing w:after="0" w:line="240" w:lineRule="auto"/>
              <w:jc w:val="right"/>
              <w:rPr>
                <w:rFonts w:ascii="Arial" w:hAnsi="Arial" w:cs="Arial"/>
                <w:b/>
                <w:bCs/>
                <w:i/>
                <w:iCs/>
                <w:color w:val="000000"/>
                <w:sz w:val="16"/>
                <w:szCs w:val="16"/>
              </w:rPr>
            </w:pPr>
            <w:r w:rsidRPr="00CC6562">
              <w:rPr>
                <w:rFonts w:ascii="Arial" w:hAnsi="Arial" w:cs="Arial"/>
                <w:b/>
                <w:bCs/>
                <w:i/>
                <w:iCs/>
                <w:color w:val="000000"/>
                <w:sz w:val="16"/>
                <w:szCs w:val="16"/>
              </w:rPr>
              <w:t xml:space="preserve">295,681 </w:t>
            </w:r>
          </w:p>
        </w:tc>
        <w:tc>
          <w:tcPr>
            <w:tcW w:w="578" w:type="pct"/>
            <w:tcBorders>
              <w:top w:val="single" w:sz="4" w:space="0" w:color="000000"/>
              <w:left w:val="nil"/>
              <w:bottom w:val="single" w:sz="4" w:space="0" w:color="000000"/>
              <w:right w:val="nil"/>
            </w:tcBorders>
            <w:shd w:val="clear" w:color="auto" w:fill="auto"/>
            <w:noWrap/>
            <w:vAlign w:val="bottom"/>
            <w:hideMark/>
          </w:tcPr>
          <w:p w14:paraId="737E65D9" w14:textId="77777777" w:rsidR="00CC6562" w:rsidRPr="00CC6562" w:rsidRDefault="00CC6562" w:rsidP="00CC6562">
            <w:pPr>
              <w:spacing w:after="0" w:line="240" w:lineRule="auto"/>
              <w:jc w:val="right"/>
              <w:rPr>
                <w:rFonts w:ascii="Arial" w:hAnsi="Arial" w:cs="Arial"/>
                <w:b/>
                <w:bCs/>
                <w:i/>
                <w:iCs/>
                <w:color w:val="000000"/>
                <w:sz w:val="16"/>
                <w:szCs w:val="16"/>
              </w:rPr>
            </w:pPr>
            <w:r w:rsidRPr="00CC6562">
              <w:rPr>
                <w:rFonts w:ascii="Arial" w:hAnsi="Arial" w:cs="Arial"/>
                <w:b/>
                <w:bCs/>
                <w:i/>
                <w:iCs/>
                <w:color w:val="000000"/>
                <w:sz w:val="16"/>
                <w:szCs w:val="16"/>
              </w:rPr>
              <w:t xml:space="preserve">261,601 </w:t>
            </w:r>
          </w:p>
        </w:tc>
        <w:tc>
          <w:tcPr>
            <w:tcW w:w="578" w:type="pct"/>
            <w:tcBorders>
              <w:top w:val="single" w:sz="4" w:space="0" w:color="000000"/>
              <w:left w:val="nil"/>
              <w:bottom w:val="single" w:sz="4" w:space="0" w:color="000000"/>
              <w:right w:val="nil"/>
            </w:tcBorders>
            <w:shd w:val="clear" w:color="auto" w:fill="auto"/>
            <w:noWrap/>
            <w:vAlign w:val="bottom"/>
            <w:hideMark/>
          </w:tcPr>
          <w:p w14:paraId="53163D14" w14:textId="77777777" w:rsidR="00CC6562" w:rsidRPr="00CC6562" w:rsidRDefault="00CC6562" w:rsidP="00CC6562">
            <w:pPr>
              <w:spacing w:after="0" w:line="240" w:lineRule="auto"/>
              <w:jc w:val="right"/>
              <w:rPr>
                <w:rFonts w:ascii="Arial" w:hAnsi="Arial" w:cs="Arial"/>
                <w:b/>
                <w:bCs/>
                <w:i/>
                <w:iCs/>
                <w:color w:val="000000"/>
                <w:sz w:val="16"/>
                <w:szCs w:val="16"/>
              </w:rPr>
            </w:pPr>
            <w:r w:rsidRPr="00CC6562">
              <w:rPr>
                <w:rFonts w:ascii="Arial" w:hAnsi="Arial" w:cs="Arial"/>
                <w:b/>
                <w:bCs/>
                <w:i/>
                <w:iCs/>
                <w:color w:val="000000"/>
                <w:sz w:val="16"/>
                <w:szCs w:val="16"/>
              </w:rPr>
              <w:t xml:space="preserve">253,679 </w:t>
            </w:r>
          </w:p>
        </w:tc>
      </w:tr>
      <w:tr w:rsidR="00CC6562" w:rsidRPr="00CC6562" w14:paraId="6D15114D" w14:textId="77777777" w:rsidTr="00CC6562">
        <w:trPr>
          <w:trHeight w:val="210"/>
        </w:trPr>
        <w:tc>
          <w:tcPr>
            <w:tcW w:w="2110" w:type="pct"/>
            <w:tcBorders>
              <w:top w:val="nil"/>
              <w:left w:val="nil"/>
              <w:bottom w:val="nil"/>
              <w:right w:val="nil"/>
            </w:tcBorders>
            <w:shd w:val="clear" w:color="auto" w:fill="auto"/>
            <w:noWrap/>
            <w:vAlign w:val="bottom"/>
            <w:hideMark/>
          </w:tcPr>
          <w:p w14:paraId="73BE6088" w14:textId="77777777" w:rsidR="00CC6562" w:rsidRPr="00CC6562" w:rsidRDefault="00CC6562" w:rsidP="00CC6562">
            <w:pPr>
              <w:spacing w:after="0" w:line="240" w:lineRule="auto"/>
              <w:jc w:val="left"/>
              <w:rPr>
                <w:rFonts w:ascii="Arial" w:hAnsi="Arial" w:cs="Arial"/>
                <w:b/>
                <w:bCs/>
                <w:color w:val="000000"/>
                <w:sz w:val="16"/>
                <w:szCs w:val="16"/>
              </w:rPr>
            </w:pPr>
            <w:r w:rsidRPr="00CC6562">
              <w:rPr>
                <w:rFonts w:ascii="Arial" w:hAnsi="Arial" w:cs="Arial"/>
                <w:b/>
                <w:bCs/>
                <w:color w:val="000000"/>
                <w:sz w:val="16"/>
                <w:szCs w:val="16"/>
              </w:rPr>
              <w:t>Cash used</w:t>
            </w:r>
          </w:p>
        </w:tc>
        <w:tc>
          <w:tcPr>
            <w:tcW w:w="578" w:type="pct"/>
            <w:tcBorders>
              <w:top w:val="nil"/>
              <w:left w:val="nil"/>
              <w:bottom w:val="nil"/>
              <w:right w:val="nil"/>
            </w:tcBorders>
            <w:shd w:val="clear" w:color="auto" w:fill="auto"/>
            <w:noWrap/>
            <w:vAlign w:val="bottom"/>
            <w:hideMark/>
          </w:tcPr>
          <w:p w14:paraId="698A2EB9" w14:textId="77777777" w:rsidR="00CC6562" w:rsidRPr="00CC6562" w:rsidRDefault="00CC6562" w:rsidP="00CC6562">
            <w:pPr>
              <w:spacing w:after="0" w:line="240" w:lineRule="auto"/>
              <w:jc w:val="lef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bottom"/>
            <w:hideMark/>
          </w:tcPr>
          <w:p w14:paraId="752F7001" w14:textId="77777777" w:rsidR="00CC6562" w:rsidRPr="00CC6562" w:rsidRDefault="00CC6562" w:rsidP="00CC6562">
            <w:pPr>
              <w:spacing w:after="0" w:line="240" w:lineRule="auto"/>
              <w:jc w:val="left"/>
              <w:rPr>
                <w:rFonts w:ascii="Arial" w:hAnsi="Arial" w:cs="Arial"/>
                <w:color w:val="000000"/>
                <w:sz w:val="16"/>
                <w:szCs w:val="16"/>
              </w:rPr>
            </w:pPr>
            <w:r w:rsidRPr="00CC6562">
              <w:rPr>
                <w:rFonts w:ascii="Arial" w:hAnsi="Arial" w:cs="Arial"/>
                <w:color w:val="000000"/>
                <w:sz w:val="16"/>
                <w:szCs w:val="16"/>
              </w:rPr>
              <w:t> </w:t>
            </w:r>
          </w:p>
        </w:tc>
        <w:tc>
          <w:tcPr>
            <w:tcW w:w="578" w:type="pct"/>
            <w:tcBorders>
              <w:top w:val="nil"/>
              <w:left w:val="nil"/>
              <w:bottom w:val="nil"/>
              <w:right w:val="nil"/>
            </w:tcBorders>
            <w:shd w:val="clear" w:color="auto" w:fill="auto"/>
            <w:noWrap/>
            <w:vAlign w:val="bottom"/>
            <w:hideMark/>
          </w:tcPr>
          <w:p w14:paraId="37E8DFC8" w14:textId="77777777" w:rsidR="00CC6562" w:rsidRPr="00CC6562" w:rsidRDefault="00CC6562" w:rsidP="00CC6562">
            <w:pPr>
              <w:spacing w:after="0" w:line="240" w:lineRule="auto"/>
              <w:jc w:val="lef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7BDDDA96" w14:textId="77777777" w:rsidR="00CC6562" w:rsidRPr="00CC6562" w:rsidRDefault="00CC6562" w:rsidP="00CC6562">
            <w:pPr>
              <w:spacing w:after="0" w:line="240" w:lineRule="auto"/>
              <w:jc w:val="left"/>
              <w:rPr>
                <w:rFonts w:ascii="Times New Roman" w:hAnsi="Times New Roman"/>
              </w:rPr>
            </w:pPr>
          </w:p>
        </w:tc>
        <w:tc>
          <w:tcPr>
            <w:tcW w:w="578" w:type="pct"/>
            <w:tcBorders>
              <w:top w:val="nil"/>
              <w:left w:val="nil"/>
              <w:bottom w:val="nil"/>
              <w:right w:val="nil"/>
            </w:tcBorders>
            <w:shd w:val="clear" w:color="auto" w:fill="auto"/>
            <w:noWrap/>
            <w:vAlign w:val="bottom"/>
            <w:hideMark/>
          </w:tcPr>
          <w:p w14:paraId="0917B205" w14:textId="77777777" w:rsidR="00CC6562" w:rsidRPr="00CC6562" w:rsidRDefault="00CC6562" w:rsidP="00CC6562">
            <w:pPr>
              <w:spacing w:after="0" w:line="240" w:lineRule="auto"/>
              <w:jc w:val="left"/>
              <w:rPr>
                <w:rFonts w:ascii="Times New Roman" w:hAnsi="Times New Roman"/>
              </w:rPr>
            </w:pPr>
          </w:p>
        </w:tc>
      </w:tr>
      <w:tr w:rsidR="00CC6562" w:rsidRPr="00CC6562" w14:paraId="26CECC15" w14:textId="77777777" w:rsidTr="00CC6562">
        <w:trPr>
          <w:trHeight w:val="200"/>
        </w:trPr>
        <w:tc>
          <w:tcPr>
            <w:tcW w:w="2110" w:type="pct"/>
            <w:tcBorders>
              <w:top w:val="nil"/>
              <w:left w:val="nil"/>
              <w:bottom w:val="nil"/>
              <w:right w:val="nil"/>
            </w:tcBorders>
            <w:shd w:val="clear" w:color="auto" w:fill="auto"/>
            <w:noWrap/>
            <w:vAlign w:val="bottom"/>
            <w:hideMark/>
          </w:tcPr>
          <w:p w14:paraId="5C45AC9C" w14:textId="77777777" w:rsidR="00CC6562" w:rsidRPr="00CC6562" w:rsidRDefault="00CC6562" w:rsidP="00CC6562">
            <w:pPr>
              <w:spacing w:after="0" w:line="240" w:lineRule="auto"/>
              <w:ind w:firstLineChars="100" w:firstLine="160"/>
              <w:jc w:val="left"/>
              <w:rPr>
                <w:rFonts w:ascii="Arial" w:hAnsi="Arial" w:cs="Arial"/>
                <w:color w:val="000000"/>
                <w:sz w:val="16"/>
                <w:szCs w:val="16"/>
              </w:rPr>
            </w:pPr>
            <w:r w:rsidRPr="00CC6562">
              <w:rPr>
                <w:rFonts w:ascii="Arial" w:hAnsi="Arial" w:cs="Arial"/>
                <w:color w:val="000000"/>
                <w:sz w:val="16"/>
                <w:szCs w:val="16"/>
              </w:rPr>
              <w:t>Employees</w:t>
            </w:r>
          </w:p>
        </w:tc>
        <w:tc>
          <w:tcPr>
            <w:tcW w:w="578" w:type="pct"/>
            <w:tcBorders>
              <w:top w:val="nil"/>
              <w:left w:val="nil"/>
              <w:bottom w:val="nil"/>
              <w:right w:val="nil"/>
            </w:tcBorders>
            <w:shd w:val="clear" w:color="auto" w:fill="auto"/>
            <w:noWrap/>
            <w:vAlign w:val="bottom"/>
            <w:hideMark/>
          </w:tcPr>
          <w:p w14:paraId="77FBBD67"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155,937 </w:t>
            </w:r>
          </w:p>
        </w:tc>
        <w:tc>
          <w:tcPr>
            <w:tcW w:w="578" w:type="pct"/>
            <w:tcBorders>
              <w:top w:val="nil"/>
              <w:left w:val="nil"/>
              <w:bottom w:val="nil"/>
              <w:right w:val="nil"/>
            </w:tcBorders>
            <w:shd w:val="clear" w:color="000000" w:fill="E6E6E6"/>
            <w:noWrap/>
            <w:vAlign w:val="bottom"/>
            <w:hideMark/>
          </w:tcPr>
          <w:p w14:paraId="0F9E055E"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165,518 </w:t>
            </w:r>
          </w:p>
        </w:tc>
        <w:tc>
          <w:tcPr>
            <w:tcW w:w="578" w:type="pct"/>
            <w:tcBorders>
              <w:top w:val="nil"/>
              <w:left w:val="nil"/>
              <w:bottom w:val="nil"/>
              <w:right w:val="nil"/>
            </w:tcBorders>
            <w:shd w:val="clear" w:color="auto" w:fill="auto"/>
            <w:noWrap/>
            <w:vAlign w:val="bottom"/>
            <w:hideMark/>
          </w:tcPr>
          <w:p w14:paraId="3C409ED2"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160,472 </w:t>
            </w:r>
          </w:p>
        </w:tc>
        <w:tc>
          <w:tcPr>
            <w:tcW w:w="578" w:type="pct"/>
            <w:tcBorders>
              <w:top w:val="nil"/>
              <w:left w:val="nil"/>
              <w:bottom w:val="nil"/>
              <w:right w:val="nil"/>
            </w:tcBorders>
            <w:shd w:val="clear" w:color="auto" w:fill="auto"/>
            <w:noWrap/>
            <w:vAlign w:val="bottom"/>
            <w:hideMark/>
          </w:tcPr>
          <w:p w14:paraId="1619B68F"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141,474 </w:t>
            </w:r>
          </w:p>
        </w:tc>
        <w:tc>
          <w:tcPr>
            <w:tcW w:w="578" w:type="pct"/>
            <w:tcBorders>
              <w:top w:val="nil"/>
              <w:left w:val="nil"/>
              <w:bottom w:val="nil"/>
              <w:right w:val="nil"/>
            </w:tcBorders>
            <w:shd w:val="clear" w:color="auto" w:fill="auto"/>
            <w:noWrap/>
            <w:vAlign w:val="bottom"/>
            <w:hideMark/>
          </w:tcPr>
          <w:p w14:paraId="737D3E60"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137,466 </w:t>
            </w:r>
          </w:p>
        </w:tc>
      </w:tr>
      <w:tr w:rsidR="00CC6562" w:rsidRPr="00CC6562" w14:paraId="28240ECF" w14:textId="77777777" w:rsidTr="00CC6562">
        <w:trPr>
          <w:trHeight w:val="200"/>
        </w:trPr>
        <w:tc>
          <w:tcPr>
            <w:tcW w:w="2110" w:type="pct"/>
            <w:tcBorders>
              <w:top w:val="nil"/>
              <w:left w:val="nil"/>
              <w:bottom w:val="nil"/>
              <w:right w:val="nil"/>
            </w:tcBorders>
            <w:shd w:val="clear" w:color="auto" w:fill="auto"/>
            <w:noWrap/>
            <w:vAlign w:val="bottom"/>
            <w:hideMark/>
          </w:tcPr>
          <w:p w14:paraId="667807FC" w14:textId="77777777" w:rsidR="00CC6562" w:rsidRPr="00CC6562" w:rsidRDefault="00CC6562" w:rsidP="00CC6562">
            <w:pPr>
              <w:spacing w:after="0" w:line="240" w:lineRule="auto"/>
              <w:ind w:firstLineChars="100" w:firstLine="160"/>
              <w:jc w:val="left"/>
              <w:rPr>
                <w:rFonts w:ascii="Arial" w:hAnsi="Arial" w:cs="Arial"/>
                <w:color w:val="000000"/>
                <w:sz w:val="16"/>
                <w:szCs w:val="16"/>
              </w:rPr>
            </w:pPr>
            <w:r w:rsidRPr="00CC6562">
              <w:rPr>
                <w:rFonts w:ascii="Arial" w:hAnsi="Arial" w:cs="Arial"/>
                <w:color w:val="000000"/>
                <w:sz w:val="16"/>
                <w:szCs w:val="16"/>
              </w:rPr>
              <w:t>Suppliers</w:t>
            </w:r>
          </w:p>
        </w:tc>
        <w:tc>
          <w:tcPr>
            <w:tcW w:w="578" w:type="pct"/>
            <w:tcBorders>
              <w:top w:val="nil"/>
              <w:left w:val="nil"/>
              <w:bottom w:val="nil"/>
              <w:right w:val="nil"/>
            </w:tcBorders>
            <w:shd w:val="clear" w:color="auto" w:fill="auto"/>
            <w:noWrap/>
            <w:vAlign w:val="bottom"/>
            <w:hideMark/>
          </w:tcPr>
          <w:p w14:paraId="25D73DE4"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102,061 </w:t>
            </w:r>
          </w:p>
        </w:tc>
        <w:tc>
          <w:tcPr>
            <w:tcW w:w="578" w:type="pct"/>
            <w:tcBorders>
              <w:top w:val="nil"/>
              <w:left w:val="nil"/>
              <w:bottom w:val="nil"/>
              <w:right w:val="nil"/>
            </w:tcBorders>
            <w:shd w:val="clear" w:color="000000" w:fill="E6E6E6"/>
            <w:noWrap/>
            <w:vAlign w:val="bottom"/>
            <w:hideMark/>
          </w:tcPr>
          <w:p w14:paraId="4D6E2A85"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110,939 </w:t>
            </w:r>
          </w:p>
        </w:tc>
        <w:tc>
          <w:tcPr>
            <w:tcW w:w="578" w:type="pct"/>
            <w:tcBorders>
              <w:top w:val="nil"/>
              <w:left w:val="nil"/>
              <w:bottom w:val="nil"/>
              <w:right w:val="nil"/>
            </w:tcBorders>
            <w:shd w:val="clear" w:color="auto" w:fill="auto"/>
            <w:noWrap/>
            <w:vAlign w:val="bottom"/>
            <w:hideMark/>
          </w:tcPr>
          <w:p w14:paraId="1662103A"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101,850 </w:t>
            </w:r>
          </w:p>
        </w:tc>
        <w:tc>
          <w:tcPr>
            <w:tcW w:w="578" w:type="pct"/>
            <w:tcBorders>
              <w:top w:val="nil"/>
              <w:left w:val="nil"/>
              <w:bottom w:val="nil"/>
              <w:right w:val="nil"/>
            </w:tcBorders>
            <w:shd w:val="clear" w:color="auto" w:fill="auto"/>
            <w:noWrap/>
            <w:vAlign w:val="bottom"/>
            <w:hideMark/>
          </w:tcPr>
          <w:p w14:paraId="4B1547BA"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86,864 </w:t>
            </w:r>
          </w:p>
        </w:tc>
        <w:tc>
          <w:tcPr>
            <w:tcW w:w="578" w:type="pct"/>
            <w:tcBorders>
              <w:top w:val="nil"/>
              <w:left w:val="nil"/>
              <w:bottom w:val="nil"/>
              <w:right w:val="nil"/>
            </w:tcBorders>
            <w:shd w:val="clear" w:color="auto" w:fill="auto"/>
            <w:noWrap/>
            <w:vAlign w:val="bottom"/>
            <w:hideMark/>
          </w:tcPr>
          <w:p w14:paraId="0A6D8F6D"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83,167 </w:t>
            </w:r>
          </w:p>
        </w:tc>
      </w:tr>
      <w:tr w:rsidR="00CC6562" w:rsidRPr="00CC6562" w14:paraId="217C96BE" w14:textId="77777777" w:rsidTr="00CC6562">
        <w:trPr>
          <w:trHeight w:val="200"/>
        </w:trPr>
        <w:tc>
          <w:tcPr>
            <w:tcW w:w="2110" w:type="pct"/>
            <w:tcBorders>
              <w:top w:val="nil"/>
              <w:left w:val="nil"/>
              <w:bottom w:val="nil"/>
              <w:right w:val="nil"/>
            </w:tcBorders>
            <w:shd w:val="clear" w:color="auto" w:fill="auto"/>
            <w:noWrap/>
            <w:vAlign w:val="bottom"/>
            <w:hideMark/>
          </w:tcPr>
          <w:p w14:paraId="0A58D63F" w14:textId="77777777" w:rsidR="00CC6562" w:rsidRPr="00CC6562" w:rsidRDefault="00CC6562" w:rsidP="00CC6562">
            <w:pPr>
              <w:spacing w:after="0" w:line="240" w:lineRule="auto"/>
              <w:ind w:firstLineChars="100" w:firstLine="160"/>
              <w:jc w:val="left"/>
              <w:rPr>
                <w:rFonts w:ascii="Arial" w:hAnsi="Arial" w:cs="Arial"/>
                <w:sz w:val="16"/>
                <w:szCs w:val="16"/>
              </w:rPr>
            </w:pPr>
            <w:r w:rsidRPr="00CC6562">
              <w:rPr>
                <w:rFonts w:ascii="Arial" w:hAnsi="Arial" w:cs="Arial"/>
                <w:sz w:val="16"/>
                <w:szCs w:val="16"/>
              </w:rPr>
              <w:t>Net GST paid</w:t>
            </w:r>
          </w:p>
        </w:tc>
        <w:tc>
          <w:tcPr>
            <w:tcW w:w="578" w:type="pct"/>
            <w:tcBorders>
              <w:top w:val="nil"/>
              <w:left w:val="nil"/>
              <w:bottom w:val="nil"/>
              <w:right w:val="nil"/>
            </w:tcBorders>
            <w:shd w:val="clear" w:color="auto" w:fill="auto"/>
            <w:noWrap/>
            <w:vAlign w:val="bottom"/>
            <w:hideMark/>
          </w:tcPr>
          <w:p w14:paraId="0D1FE776"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9,355 </w:t>
            </w:r>
          </w:p>
        </w:tc>
        <w:tc>
          <w:tcPr>
            <w:tcW w:w="578" w:type="pct"/>
            <w:tcBorders>
              <w:top w:val="nil"/>
              <w:left w:val="nil"/>
              <w:bottom w:val="nil"/>
              <w:right w:val="nil"/>
            </w:tcBorders>
            <w:shd w:val="clear" w:color="000000" w:fill="E6E6E6"/>
            <w:noWrap/>
            <w:vAlign w:val="bottom"/>
            <w:hideMark/>
          </w:tcPr>
          <w:p w14:paraId="1BFF52AA"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9,095 </w:t>
            </w:r>
          </w:p>
        </w:tc>
        <w:tc>
          <w:tcPr>
            <w:tcW w:w="578" w:type="pct"/>
            <w:tcBorders>
              <w:top w:val="nil"/>
              <w:left w:val="nil"/>
              <w:bottom w:val="nil"/>
              <w:right w:val="nil"/>
            </w:tcBorders>
            <w:shd w:val="clear" w:color="auto" w:fill="auto"/>
            <w:noWrap/>
            <w:vAlign w:val="bottom"/>
            <w:hideMark/>
          </w:tcPr>
          <w:p w14:paraId="2D131176"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8,513 </w:t>
            </w:r>
          </w:p>
        </w:tc>
        <w:tc>
          <w:tcPr>
            <w:tcW w:w="578" w:type="pct"/>
            <w:tcBorders>
              <w:top w:val="nil"/>
              <w:left w:val="nil"/>
              <w:bottom w:val="nil"/>
              <w:right w:val="nil"/>
            </w:tcBorders>
            <w:shd w:val="clear" w:color="auto" w:fill="auto"/>
            <w:noWrap/>
            <w:vAlign w:val="bottom"/>
            <w:hideMark/>
          </w:tcPr>
          <w:p w14:paraId="4F919D34"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8,000 </w:t>
            </w:r>
          </w:p>
        </w:tc>
        <w:tc>
          <w:tcPr>
            <w:tcW w:w="578" w:type="pct"/>
            <w:tcBorders>
              <w:top w:val="nil"/>
              <w:left w:val="nil"/>
              <w:bottom w:val="nil"/>
              <w:right w:val="nil"/>
            </w:tcBorders>
            <w:shd w:val="clear" w:color="auto" w:fill="auto"/>
            <w:noWrap/>
            <w:vAlign w:val="bottom"/>
            <w:hideMark/>
          </w:tcPr>
          <w:p w14:paraId="2048BCB8"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7,783 </w:t>
            </w:r>
          </w:p>
        </w:tc>
      </w:tr>
      <w:tr w:rsidR="00CC6562" w:rsidRPr="00CC6562" w14:paraId="21EC5699" w14:textId="77777777" w:rsidTr="00CC6562">
        <w:trPr>
          <w:trHeight w:val="400"/>
        </w:trPr>
        <w:tc>
          <w:tcPr>
            <w:tcW w:w="2110" w:type="pct"/>
            <w:tcBorders>
              <w:top w:val="nil"/>
              <w:left w:val="nil"/>
              <w:bottom w:val="nil"/>
              <w:right w:val="nil"/>
            </w:tcBorders>
            <w:shd w:val="clear" w:color="000000" w:fill="FFFFFF"/>
            <w:vAlign w:val="bottom"/>
            <w:hideMark/>
          </w:tcPr>
          <w:p w14:paraId="43AFBDD5" w14:textId="53320509" w:rsidR="00CC6562" w:rsidRPr="00CC6562" w:rsidRDefault="00CC6562" w:rsidP="00CC6562">
            <w:pPr>
              <w:spacing w:after="0" w:line="240" w:lineRule="auto"/>
              <w:ind w:firstLineChars="100" w:firstLine="160"/>
              <w:jc w:val="left"/>
              <w:rPr>
                <w:rFonts w:ascii="Arial" w:hAnsi="Arial" w:cs="Arial"/>
                <w:sz w:val="16"/>
                <w:szCs w:val="16"/>
              </w:rPr>
            </w:pPr>
            <w:r w:rsidRPr="00CC6562">
              <w:rPr>
                <w:rFonts w:ascii="Arial" w:hAnsi="Arial" w:cs="Arial"/>
                <w:sz w:val="16"/>
                <w:szCs w:val="16"/>
              </w:rPr>
              <w:t>s74 External Revenue</w:t>
            </w:r>
            <w:r w:rsidRPr="00CC6562">
              <w:rPr>
                <w:rFonts w:ascii="Arial" w:hAnsi="Arial" w:cs="Arial"/>
                <w:sz w:val="16"/>
                <w:szCs w:val="16"/>
              </w:rPr>
              <w:br/>
              <w:t xml:space="preserve"> </w:t>
            </w:r>
            <w:r>
              <w:rPr>
                <w:rFonts w:ascii="Arial" w:hAnsi="Arial" w:cs="Arial"/>
                <w:sz w:val="16"/>
                <w:szCs w:val="16"/>
              </w:rPr>
              <w:t xml:space="preserve">    </w:t>
            </w:r>
            <w:r w:rsidRPr="00CC6562">
              <w:rPr>
                <w:rFonts w:ascii="Arial" w:hAnsi="Arial" w:cs="Arial"/>
                <w:sz w:val="16"/>
                <w:szCs w:val="16"/>
              </w:rPr>
              <w:t xml:space="preserve"> transferred to the OPA </w:t>
            </w:r>
          </w:p>
        </w:tc>
        <w:tc>
          <w:tcPr>
            <w:tcW w:w="578" w:type="pct"/>
            <w:tcBorders>
              <w:top w:val="nil"/>
              <w:left w:val="nil"/>
              <w:bottom w:val="nil"/>
              <w:right w:val="nil"/>
            </w:tcBorders>
            <w:shd w:val="clear" w:color="auto" w:fill="auto"/>
            <w:noWrap/>
            <w:vAlign w:val="bottom"/>
            <w:hideMark/>
          </w:tcPr>
          <w:p w14:paraId="481260CE"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11,879 </w:t>
            </w:r>
          </w:p>
        </w:tc>
        <w:tc>
          <w:tcPr>
            <w:tcW w:w="578" w:type="pct"/>
            <w:tcBorders>
              <w:top w:val="nil"/>
              <w:left w:val="nil"/>
              <w:bottom w:val="nil"/>
              <w:right w:val="nil"/>
            </w:tcBorders>
            <w:shd w:val="clear" w:color="000000" w:fill="E6E6E6"/>
            <w:noWrap/>
            <w:vAlign w:val="bottom"/>
            <w:hideMark/>
          </w:tcPr>
          <w:p w14:paraId="0418A32B"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11,379 </w:t>
            </w:r>
          </w:p>
        </w:tc>
        <w:tc>
          <w:tcPr>
            <w:tcW w:w="578" w:type="pct"/>
            <w:tcBorders>
              <w:top w:val="nil"/>
              <w:left w:val="nil"/>
              <w:bottom w:val="nil"/>
              <w:right w:val="nil"/>
            </w:tcBorders>
            <w:shd w:val="clear" w:color="auto" w:fill="auto"/>
            <w:noWrap/>
            <w:vAlign w:val="bottom"/>
            <w:hideMark/>
          </w:tcPr>
          <w:p w14:paraId="4038646A"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10,013 </w:t>
            </w:r>
          </w:p>
        </w:tc>
        <w:tc>
          <w:tcPr>
            <w:tcW w:w="578" w:type="pct"/>
            <w:tcBorders>
              <w:top w:val="nil"/>
              <w:left w:val="nil"/>
              <w:bottom w:val="nil"/>
              <w:right w:val="nil"/>
            </w:tcBorders>
            <w:shd w:val="clear" w:color="auto" w:fill="auto"/>
            <w:noWrap/>
            <w:vAlign w:val="bottom"/>
            <w:hideMark/>
          </w:tcPr>
          <w:p w14:paraId="4E710E66"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10,000 </w:t>
            </w:r>
          </w:p>
        </w:tc>
        <w:tc>
          <w:tcPr>
            <w:tcW w:w="578" w:type="pct"/>
            <w:tcBorders>
              <w:top w:val="nil"/>
              <w:left w:val="nil"/>
              <w:bottom w:val="nil"/>
              <w:right w:val="nil"/>
            </w:tcBorders>
            <w:shd w:val="clear" w:color="auto" w:fill="auto"/>
            <w:noWrap/>
            <w:vAlign w:val="bottom"/>
            <w:hideMark/>
          </w:tcPr>
          <w:p w14:paraId="62423B5D"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10,000 </w:t>
            </w:r>
          </w:p>
        </w:tc>
      </w:tr>
      <w:tr w:rsidR="00CC6562" w:rsidRPr="00CC6562" w14:paraId="3B08A04A" w14:textId="77777777" w:rsidTr="00CC6562">
        <w:trPr>
          <w:trHeight w:val="200"/>
        </w:trPr>
        <w:tc>
          <w:tcPr>
            <w:tcW w:w="2110" w:type="pct"/>
            <w:tcBorders>
              <w:top w:val="nil"/>
              <w:left w:val="nil"/>
              <w:bottom w:val="nil"/>
              <w:right w:val="nil"/>
            </w:tcBorders>
            <w:shd w:val="clear" w:color="auto" w:fill="auto"/>
            <w:noWrap/>
            <w:vAlign w:val="bottom"/>
            <w:hideMark/>
          </w:tcPr>
          <w:p w14:paraId="02C2F012" w14:textId="77777777" w:rsidR="00CC6562" w:rsidRPr="00CC6562" w:rsidRDefault="00CC6562" w:rsidP="00CC6562">
            <w:pPr>
              <w:spacing w:after="0" w:line="240" w:lineRule="auto"/>
              <w:ind w:firstLineChars="100" w:firstLine="160"/>
              <w:jc w:val="left"/>
              <w:rPr>
                <w:rFonts w:ascii="Arial" w:hAnsi="Arial" w:cs="Arial"/>
                <w:color w:val="000000"/>
                <w:sz w:val="16"/>
                <w:szCs w:val="16"/>
              </w:rPr>
            </w:pPr>
            <w:r w:rsidRPr="00CC6562">
              <w:rPr>
                <w:rFonts w:ascii="Arial" w:hAnsi="Arial" w:cs="Arial"/>
                <w:color w:val="000000"/>
                <w:sz w:val="16"/>
                <w:szCs w:val="16"/>
              </w:rPr>
              <w:t>Other</w:t>
            </w:r>
          </w:p>
        </w:tc>
        <w:tc>
          <w:tcPr>
            <w:tcW w:w="578" w:type="pct"/>
            <w:tcBorders>
              <w:top w:val="nil"/>
              <w:left w:val="nil"/>
              <w:bottom w:val="nil"/>
              <w:right w:val="nil"/>
            </w:tcBorders>
            <w:shd w:val="clear" w:color="auto" w:fill="auto"/>
            <w:noWrap/>
            <w:vAlign w:val="bottom"/>
            <w:hideMark/>
          </w:tcPr>
          <w:p w14:paraId="0B8096C5"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17,108 </w:t>
            </w:r>
          </w:p>
        </w:tc>
        <w:tc>
          <w:tcPr>
            <w:tcW w:w="578" w:type="pct"/>
            <w:tcBorders>
              <w:top w:val="nil"/>
              <w:left w:val="nil"/>
              <w:bottom w:val="nil"/>
              <w:right w:val="nil"/>
            </w:tcBorders>
            <w:shd w:val="clear" w:color="000000" w:fill="E6E6E6"/>
            <w:noWrap/>
            <w:vAlign w:val="bottom"/>
            <w:hideMark/>
          </w:tcPr>
          <w:p w14:paraId="5F24A7D5"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1,557 </w:t>
            </w:r>
          </w:p>
        </w:tc>
        <w:tc>
          <w:tcPr>
            <w:tcW w:w="578" w:type="pct"/>
            <w:tcBorders>
              <w:top w:val="nil"/>
              <w:left w:val="nil"/>
              <w:bottom w:val="nil"/>
              <w:right w:val="nil"/>
            </w:tcBorders>
            <w:shd w:val="clear" w:color="auto" w:fill="auto"/>
            <w:noWrap/>
            <w:vAlign w:val="bottom"/>
            <w:hideMark/>
          </w:tcPr>
          <w:p w14:paraId="1C4783EB"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855 </w:t>
            </w:r>
          </w:p>
        </w:tc>
        <w:tc>
          <w:tcPr>
            <w:tcW w:w="578" w:type="pct"/>
            <w:tcBorders>
              <w:top w:val="nil"/>
              <w:left w:val="nil"/>
              <w:bottom w:val="nil"/>
              <w:right w:val="nil"/>
            </w:tcBorders>
            <w:shd w:val="clear" w:color="auto" w:fill="auto"/>
            <w:noWrap/>
            <w:vAlign w:val="bottom"/>
            <w:hideMark/>
          </w:tcPr>
          <w:p w14:paraId="7E9C87FD"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695 </w:t>
            </w:r>
          </w:p>
        </w:tc>
        <w:tc>
          <w:tcPr>
            <w:tcW w:w="578" w:type="pct"/>
            <w:tcBorders>
              <w:top w:val="nil"/>
              <w:left w:val="nil"/>
              <w:bottom w:val="nil"/>
              <w:right w:val="nil"/>
            </w:tcBorders>
            <w:shd w:val="clear" w:color="auto" w:fill="auto"/>
            <w:noWrap/>
            <w:vAlign w:val="bottom"/>
            <w:hideMark/>
          </w:tcPr>
          <w:p w14:paraId="5619E8E6"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695 </w:t>
            </w:r>
          </w:p>
        </w:tc>
      </w:tr>
      <w:tr w:rsidR="00CC6562" w:rsidRPr="00CC6562" w14:paraId="321D1E15" w14:textId="77777777" w:rsidTr="00CC6562">
        <w:trPr>
          <w:trHeight w:val="200"/>
        </w:trPr>
        <w:tc>
          <w:tcPr>
            <w:tcW w:w="2110" w:type="pct"/>
            <w:tcBorders>
              <w:top w:val="nil"/>
              <w:left w:val="nil"/>
              <w:bottom w:val="nil"/>
              <w:right w:val="nil"/>
            </w:tcBorders>
            <w:shd w:val="clear" w:color="auto" w:fill="auto"/>
            <w:noWrap/>
            <w:vAlign w:val="bottom"/>
            <w:hideMark/>
          </w:tcPr>
          <w:p w14:paraId="54F9FD77" w14:textId="77777777" w:rsidR="00CC6562" w:rsidRPr="00CC6562" w:rsidRDefault="00CC6562" w:rsidP="00CC6562">
            <w:pPr>
              <w:spacing w:after="0" w:line="240" w:lineRule="auto"/>
              <w:jc w:val="left"/>
              <w:rPr>
                <w:rFonts w:ascii="Arial" w:hAnsi="Arial" w:cs="Arial"/>
                <w:b/>
                <w:bCs/>
                <w:i/>
                <w:iCs/>
                <w:color w:val="000000"/>
                <w:sz w:val="16"/>
                <w:szCs w:val="16"/>
              </w:rPr>
            </w:pPr>
            <w:r w:rsidRPr="00CC6562">
              <w:rPr>
                <w:rFonts w:ascii="Arial" w:hAnsi="Arial" w:cs="Arial"/>
                <w:b/>
                <w:bCs/>
                <w:i/>
                <w:iCs/>
                <w:color w:val="000000"/>
                <w:sz w:val="16"/>
                <w:szCs w:val="16"/>
              </w:rPr>
              <w:t>Total cash used</w:t>
            </w:r>
          </w:p>
        </w:tc>
        <w:tc>
          <w:tcPr>
            <w:tcW w:w="578" w:type="pct"/>
            <w:tcBorders>
              <w:top w:val="single" w:sz="4" w:space="0" w:color="000000"/>
              <w:left w:val="nil"/>
              <w:bottom w:val="nil"/>
              <w:right w:val="nil"/>
            </w:tcBorders>
            <w:shd w:val="clear" w:color="auto" w:fill="auto"/>
            <w:noWrap/>
            <w:vAlign w:val="bottom"/>
            <w:hideMark/>
          </w:tcPr>
          <w:p w14:paraId="157D9C1E" w14:textId="77777777" w:rsidR="00CC6562" w:rsidRPr="00CC6562" w:rsidRDefault="00CC6562" w:rsidP="00CC6562">
            <w:pPr>
              <w:spacing w:after="0" w:line="240" w:lineRule="auto"/>
              <w:jc w:val="right"/>
              <w:rPr>
                <w:rFonts w:ascii="Arial" w:hAnsi="Arial" w:cs="Arial"/>
                <w:b/>
                <w:bCs/>
                <w:i/>
                <w:iCs/>
                <w:color w:val="000000"/>
                <w:sz w:val="16"/>
                <w:szCs w:val="16"/>
              </w:rPr>
            </w:pPr>
            <w:r w:rsidRPr="00CC6562">
              <w:rPr>
                <w:rFonts w:ascii="Arial" w:hAnsi="Arial" w:cs="Arial"/>
                <w:b/>
                <w:bCs/>
                <w:i/>
                <w:iCs/>
                <w:color w:val="000000"/>
                <w:sz w:val="16"/>
                <w:szCs w:val="16"/>
              </w:rPr>
              <w:t xml:space="preserve">296,340 </w:t>
            </w:r>
          </w:p>
        </w:tc>
        <w:tc>
          <w:tcPr>
            <w:tcW w:w="578" w:type="pct"/>
            <w:tcBorders>
              <w:top w:val="single" w:sz="4" w:space="0" w:color="000000"/>
              <w:left w:val="nil"/>
              <w:bottom w:val="nil"/>
              <w:right w:val="nil"/>
            </w:tcBorders>
            <w:shd w:val="clear" w:color="000000" w:fill="E6E6E6"/>
            <w:noWrap/>
            <w:vAlign w:val="bottom"/>
            <w:hideMark/>
          </w:tcPr>
          <w:p w14:paraId="0EDAF53B" w14:textId="77777777" w:rsidR="00CC6562" w:rsidRPr="00CC6562" w:rsidRDefault="00CC6562" w:rsidP="00CC6562">
            <w:pPr>
              <w:spacing w:after="0" w:line="240" w:lineRule="auto"/>
              <w:jc w:val="right"/>
              <w:rPr>
                <w:rFonts w:ascii="Arial" w:hAnsi="Arial" w:cs="Arial"/>
                <w:b/>
                <w:bCs/>
                <w:i/>
                <w:iCs/>
                <w:color w:val="000000"/>
                <w:sz w:val="16"/>
                <w:szCs w:val="16"/>
              </w:rPr>
            </w:pPr>
            <w:r w:rsidRPr="00CC6562">
              <w:rPr>
                <w:rFonts w:ascii="Arial" w:hAnsi="Arial" w:cs="Arial"/>
                <w:b/>
                <w:bCs/>
                <w:i/>
                <w:iCs/>
                <w:color w:val="000000"/>
                <w:sz w:val="16"/>
                <w:szCs w:val="16"/>
              </w:rPr>
              <w:t xml:space="preserve">298,488 </w:t>
            </w:r>
          </w:p>
        </w:tc>
        <w:tc>
          <w:tcPr>
            <w:tcW w:w="578" w:type="pct"/>
            <w:tcBorders>
              <w:top w:val="single" w:sz="4" w:space="0" w:color="000000"/>
              <w:left w:val="nil"/>
              <w:bottom w:val="nil"/>
              <w:right w:val="nil"/>
            </w:tcBorders>
            <w:shd w:val="clear" w:color="auto" w:fill="auto"/>
            <w:noWrap/>
            <w:vAlign w:val="bottom"/>
            <w:hideMark/>
          </w:tcPr>
          <w:p w14:paraId="00FE931B" w14:textId="77777777" w:rsidR="00CC6562" w:rsidRPr="00CC6562" w:rsidRDefault="00CC6562" w:rsidP="00CC6562">
            <w:pPr>
              <w:spacing w:after="0" w:line="240" w:lineRule="auto"/>
              <w:jc w:val="right"/>
              <w:rPr>
                <w:rFonts w:ascii="Arial" w:hAnsi="Arial" w:cs="Arial"/>
                <w:b/>
                <w:bCs/>
                <w:i/>
                <w:iCs/>
                <w:color w:val="000000"/>
                <w:sz w:val="16"/>
                <w:szCs w:val="16"/>
              </w:rPr>
            </w:pPr>
            <w:r w:rsidRPr="00CC6562">
              <w:rPr>
                <w:rFonts w:ascii="Arial" w:hAnsi="Arial" w:cs="Arial"/>
                <w:b/>
                <w:bCs/>
                <w:i/>
                <w:iCs/>
                <w:color w:val="000000"/>
                <w:sz w:val="16"/>
                <w:szCs w:val="16"/>
              </w:rPr>
              <w:t xml:space="preserve">281,703 </w:t>
            </w:r>
          </w:p>
        </w:tc>
        <w:tc>
          <w:tcPr>
            <w:tcW w:w="578" w:type="pct"/>
            <w:tcBorders>
              <w:top w:val="single" w:sz="4" w:space="0" w:color="000000"/>
              <w:left w:val="nil"/>
              <w:bottom w:val="nil"/>
              <w:right w:val="nil"/>
            </w:tcBorders>
            <w:shd w:val="clear" w:color="auto" w:fill="auto"/>
            <w:noWrap/>
            <w:vAlign w:val="bottom"/>
            <w:hideMark/>
          </w:tcPr>
          <w:p w14:paraId="415E2EE7" w14:textId="77777777" w:rsidR="00CC6562" w:rsidRPr="00CC6562" w:rsidRDefault="00CC6562" w:rsidP="00CC6562">
            <w:pPr>
              <w:spacing w:after="0" w:line="240" w:lineRule="auto"/>
              <w:jc w:val="right"/>
              <w:rPr>
                <w:rFonts w:ascii="Arial" w:hAnsi="Arial" w:cs="Arial"/>
                <w:b/>
                <w:bCs/>
                <w:i/>
                <w:iCs/>
                <w:color w:val="000000"/>
                <w:sz w:val="16"/>
                <w:szCs w:val="16"/>
              </w:rPr>
            </w:pPr>
            <w:r w:rsidRPr="00CC6562">
              <w:rPr>
                <w:rFonts w:ascii="Arial" w:hAnsi="Arial" w:cs="Arial"/>
                <w:b/>
                <w:bCs/>
                <w:i/>
                <w:iCs/>
                <w:color w:val="000000"/>
                <w:sz w:val="16"/>
                <w:szCs w:val="16"/>
              </w:rPr>
              <w:t xml:space="preserve">247,033 </w:t>
            </w:r>
          </w:p>
        </w:tc>
        <w:tc>
          <w:tcPr>
            <w:tcW w:w="578" w:type="pct"/>
            <w:tcBorders>
              <w:top w:val="single" w:sz="4" w:space="0" w:color="000000"/>
              <w:left w:val="nil"/>
              <w:bottom w:val="nil"/>
              <w:right w:val="nil"/>
            </w:tcBorders>
            <w:shd w:val="clear" w:color="auto" w:fill="auto"/>
            <w:noWrap/>
            <w:vAlign w:val="bottom"/>
            <w:hideMark/>
          </w:tcPr>
          <w:p w14:paraId="553A2152" w14:textId="77777777" w:rsidR="00CC6562" w:rsidRPr="00CC6562" w:rsidRDefault="00CC6562" w:rsidP="00CC6562">
            <w:pPr>
              <w:spacing w:after="0" w:line="240" w:lineRule="auto"/>
              <w:jc w:val="right"/>
              <w:rPr>
                <w:rFonts w:ascii="Arial" w:hAnsi="Arial" w:cs="Arial"/>
                <w:b/>
                <w:bCs/>
                <w:i/>
                <w:iCs/>
                <w:color w:val="000000"/>
                <w:sz w:val="16"/>
                <w:szCs w:val="16"/>
              </w:rPr>
            </w:pPr>
            <w:r w:rsidRPr="00CC6562">
              <w:rPr>
                <w:rFonts w:ascii="Arial" w:hAnsi="Arial" w:cs="Arial"/>
                <w:b/>
                <w:bCs/>
                <w:i/>
                <w:iCs/>
                <w:color w:val="000000"/>
                <w:sz w:val="16"/>
                <w:szCs w:val="16"/>
              </w:rPr>
              <w:t xml:space="preserve">239,111 </w:t>
            </w:r>
          </w:p>
        </w:tc>
      </w:tr>
      <w:tr w:rsidR="00CC6562" w:rsidRPr="00CC6562" w14:paraId="14D0923B" w14:textId="77777777" w:rsidTr="00CC6562">
        <w:trPr>
          <w:trHeight w:val="420"/>
        </w:trPr>
        <w:tc>
          <w:tcPr>
            <w:tcW w:w="2110" w:type="pct"/>
            <w:tcBorders>
              <w:top w:val="nil"/>
              <w:left w:val="nil"/>
              <w:bottom w:val="nil"/>
              <w:right w:val="nil"/>
            </w:tcBorders>
            <w:shd w:val="clear" w:color="auto" w:fill="auto"/>
            <w:vAlign w:val="bottom"/>
            <w:hideMark/>
          </w:tcPr>
          <w:p w14:paraId="2217D68F" w14:textId="77777777" w:rsidR="00CC6562" w:rsidRPr="00CC6562" w:rsidRDefault="00CC6562" w:rsidP="00CC6562">
            <w:pPr>
              <w:spacing w:after="0" w:line="240" w:lineRule="auto"/>
              <w:jc w:val="left"/>
              <w:rPr>
                <w:rFonts w:ascii="Arial" w:hAnsi="Arial" w:cs="Arial"/>
                <w:b/>
                <w:bCs/>
                <w:color w:val="000000"/>
                <w:sz w:val="16"/>
                <w:szCs w:val="16"/>
              </w:rPr>
            </w:pPr>
            <w:r w:rsidRPr="00CC6562">
              <w:rPr>
                <w:rFonts w:ascii="Arial" w:hAnsi="Arial" w:cs="Arial"/>
                <w:b/>
                <w:bCs/>
                <w:color w:val="000000"/>
                <w:sz w:val="16"/>
                <w:szCs w:val="16"/>
              </w:rPr>
              <w:t>Net cash from/(used by)</w:t>
            </w:r>
            <w:r w:rsidRPr="00CC6562">
              <w:rPr>
                <w:rFonts w:ascii="Arial" w:hAnsi="Arial" w:cs="Arial"/>
                <w:b/>
                <w:bCs/>
                <w:color w:val="000000"/>
                <w:sz w:val="16"/>
                <w:szCs w:val="16"/>
              </w:rPr>
              <w:br/>
              <w:t xml:space="preserve">  operating activities</w:t>
            </w:r>
          </w:p>
        </w:tc>
        <w:tc>
          <w:tcPr>
            <w:tcW w:w="578" w:type="pct"/>
            <w:tcBorders>
              <w:top w:val="single" w:sz="4" w:space="0" w:color="auto"/>
              <w:left w:val="nil"/>
              <w:bottom w:val="single" w:sz="4" w:space="0" w:color="auto"/>
              <w:right w:val="nil"/>
            </w:tcBorders>
            <w:shd w:val="clear" w:color="auto" w:fill="auto"/>
            <w:noWrap/>
            <w:vAlign w:val="bottom"/>
            <w:hideMark/>
          </w:tcPr>
          <w:p w14:paraId="078EF801" w14:textId="77777777" w:rsidR="00CC6562" w:rsidRPr="00CC6562" w:rsidRDefault="00CC6562" w:rsidP="00CC6562">
            <w:pPr>
              <w:spacing w:after="0" w:line="240" w:lineRule="auto"/>
              <w:jc w:val="right"/>
              <w:rPr>
                <w:rFonts w:ascii="Arial" w:hAnsi="Arial" w:cs="Arial"/>
                <w:b/>
                <w:bCs/>
                <w:color w:val="000000"/>
                <w:sz w:val="16"/>
                <w:szCs w:val="16"/>
              </w:rPr>
            </w:pPr>
            <w:r w:rsidRPr="00CC6562">
              <w:rPr>
                <w:rFonts w:ascii="Arial" w:hAnsi="Arial" w:cs="Arial"/>
                <w:b/>
                <w:bCs/>
                <w:color w:val="000000"/>
                <w:sz w:val="16"/>
                <w:szCs w:val="16"/>
              </w:rPr>
              <w:t>(8,660)</w:t>
            </w:r>
          </w:p>
        </w:tc>
        <w:tc>
          <w:tcPr>
            <w:tcW w:w="578" w:type="pct"/>
            <w:tcBorders>
              <w:top w:val="single" w:sz="4" w:space="0" w:color="auto"/>
              <w:left w:val="nil"/>
              <w:bottom w:val="single" w:sz="4" w:space="0" w:color="auto"/>
              <w:right w:val="nil"/>
            </w:tcBorders>
            <w:shd w:val="clear" w:color="000000" w:fill="E6E6E6"/>
            <w:noWrap/>
            <w:vAlign w:val="bottom"/>
            <w:hideMark/>
          </w:tcPr>
          <w:p w14:paraId="12CCFFDB" w14:textId="77777777" w:rsidR="00CC6562" w:rsidRPr="00CC6562" w:rsidRDefault="00CC6562" w:rsidP="00CC6562">
            <w:pPr>
              <w:spacing w:after="0" w:line="240" w:lineRule="auto"/>
              <w:jc w:val="right"/>
              <w:rPr>
                <w:rFonts w:ascii="Arial" w:hAnsi="Arial" w:cs="Arial"/>
                <w:b/>
                <w:bCs/>
                <w:color w:val="000000"/>
                <w:sz w:val="16"/>
                <w:szCs w:val="16"/>
              </w:rPr>
            </w:pPr>
            <w:r w:rsidRPr="00CC6562">
              <w:rPr>
                <w:rFonts w:ascii="Arial" w:hAnsi="Arial" w:cs="Arial"/>
                <w:b/>
                <w:bCs/>
                <w:color w:val="000000"/>
                <w:sz w:val="16"/>
                <w:szCs w:val="16"/>
              </w:rPr>
              <w:t xml:space="preserve">13,528 </w:t>
            </w:r>
          </w:p>
        </w:tc>
        <w:tc>
          <w:tcPr>
            <w:tcW w:w="578" w:type="pct"/>
            <w:tcBorders>
              <w:top w:val="single" w:sz="4" w:space="0" w:color="auto"/>
              <w:left w:val="nil"/>
              <w:bottom w:val="single" w:sz="4" w:space="0" w:color="auto"/>
              <w:right w:val="nil"/>
            </w:tcBorders>
            <w:shd w:val="clear" w:color="auto" w:fill="auto"/>
            <w:noWrap/>
            <w:vAlign w:val="bottom"/>
            <w:hideMark/>
          </w:tcPr>
          <w:p w14:paraId="5D801E98" w14:textId="77777777" w:rsidR="00CC6562" w:rsidRPr="00CC6562" w:rsidRDefault="00CC6562" w:rsidP="00CC6562">
            <w:pPr>
              <w:spacing w:after="0" w:line="240" w:lineRule="auto"/>
              <w:jc w:val="right"/>
              <w:rPr>
                <w:rFonts w:ascii="Arial" w:hAnsi="Arial" w:cs="Arial"/>
                <w:b/>
                <w:bCs/>
                <w:color w:val="000000"/>
                <w:sz w:val="16"/>
                <w:szCs w:val="16"/>
              </w:rPr>
            </w:pPr>
            <w:r w:rsidRPr="00CC6562">
              <w:rPr>
                <w:rFonts w:ascii="Arial" w:hAnsi="Arial" w:cs="Arial"/>
                <w:b/>
                <w:bCs/>
                <w:color w:val="000000"/>
                <w:sz w:val="16"/>
                <w:szCs w:val="16"/>
              </w:rPr>
              <w:t xml:space="preserve">13,978 </w:t>
            </w:r>
          </w:p>
        </w:tc>
        <w:tc>
          <w:tcPr>
            <w:tcW w:w="578" w:type="pct"/>
            <w:tcBorders>
              <w:top w:val="single" w:sz="4" w:space="0" w:color="auto"/>
              <w:left w:val="nil"/>
              <w:bottom w:val="single" w:sz="4" w:space="0" w:color="auto"/>
              <w:right w:val="nil"/>
            </w:tcBorders>
            <w:shd w:val="clear" w:color="auto" w:fill="auto"/>
            <w:noWrap/>
            <w:vAlign w:val="bottom"/>
            <w:hideMark/>
          </w:tcPr>
          <w:p w14:paraId="1722833D" w14:textId="77777777" w:rsidR="00CC6562" w:rsidRPr="00CC6562" w:rsidRDefault="00CC6562" w:rsidP="00CC6562">
            <w:pPr>
              <w:spacing w:after="0" w:line="240" w:lineRule="auto"/>
              <w:jc w:val="right"/>
              <w:rPr>
                <w:rFonts w:ascii="Arial" w:hAnsi="Arial" w:cs="Arial"/>
                <w:b/>
                <w:bCs/>
                <w:color w:val="000000"/>
                <w:sz w:val="16"/>
                <w:szCs w:val="16"/>
              </w:rPr>
            </w:pPr>
            <w:r w:rsidRPr="00CC6562">
              <w:rPr>
                <w:rFonts w:ascii="Arial" w:hAnsi="Arial" w:cs="Arial"/>
                <w:b/>
                <w:bCs/>
                <w:color w:val="000000"/>
                <w:sz w:val="16"/>
                <w:szCs w:val="16"/>
              </w:rPr>
              <w:t xml:space="preserve">14,568 </w:t>
            </w:r>
          </w:p>
        </w:tc>
        <w:tc>
          <w:tcPr>
            <w:tcW w:w="578" w:type="pct"/>
            <w:tcBorders>
              <w:top w:val="single" w:sz="4" w:space="0" w:color="auto"/>
              <w:left w:val="nil"/>
              <w:bottom w:val="single" w:sz="4" w:space="0" w:color="auto"/>
              <w:right w:val="nil"/>
            </w:tcBorders>
            <w:shd w:val="clear" w:color="auto" w:fill="auto"/>
            <w:noWrap/>
            <w:vAlign w:val="bottom"/>
            <w:hideMark/>
          </w:tcPr>
          <w:p w14:paraId="221182B8" w14:textId="77777777" w:rsidR="00CC6562" w:rsidRPr="00CC6562" w:rsidRDefault="00CC6562" w:rsidP="00CC6562">
            <w:pPr>
              <w:spacing w:after="0" w:line="240" w:lineRule="auto"/>
              <w:jc w:val="right"/>
              <w:rPr>
                <w:rFonts w:ascii="Arial" w:hAnsi="Arial" w:cs="Arial"/>
                <w:b/>
                <w:bCs/>
                <w:color w:val="000000"/>
                <w:sz w:val="16"/>
                <w:szCs w:val="16"/>
              </w:rPr>
            </w:pPr>
            <w:r w:rsidRPr="00CC6562">
              <w:rPr>
                <w:rFonts w:ascii="Arial" w:hAnsi="Arial" w:cs="Arial"/>
                <w:b/>
                <w:bCs/>
                <w:color w:val="000000"/>
                <w:sz w:val="16"/>
                <w:szCs w:val="16"/>
              </w:rPr>
              <w:t xml:space="preserve">14,568 </w:t>
            </w:r>
          </w:p>
        </w:tc>
      </w:tr>
      <w:tr w:rsidR="00CC6562" w:rsidRPr="00CC6562" w14:paraId="454672C1" w14:textId="77777777" w:rsidTr="00CC6562">
        <w:trPr>
          <w:trHeight w:val="210"/>
        </w:trPr>
        <w:tc>
          <w:tcPr>
            <w:tcW w:w="2110" w:type="pct"/>
            <w:tcBorders>
              <w:top w:val="nil"/>
              <w:left w:val="nil"/>
              <w:bottom w:val="nil"/>
              <w:right w:val="nil"/>
            </w:tcBorders>
            <w:shd w:val="clear" w:color="auto" w:fill="auto"/>
            <w:noWrap/>
            <w:vAlign w:val="bottom"/>
            <w:hideMark/>
          </w:tcPr>
          <w:p w14:paraId="20869C8E" w14:textId="77777777" w:rsidR="00CC6562" w:rsidRPr="00CC6562" w:rsidRDefault="00CC6562" w:rsidP="00CC6562">
            <w:pPr>
              <w:spacing w:after="0" w:line="240" w:lineRule="auto"/>
              <w:jc w:val="left"/>
              <w:rPr>
                <w:rFonts w:ascii="Arial" w:hAnsi="Arial" w:cs="Arial"/>
                <w:b/>
                <w:bCs/>
                <w:color w:val="000000"/>
                <w:sz w:val="16"/>
                <w:szCs w:val="16"/>
              </w:rPr>
            </w:pPr>
            <w:r w:rsidRPr="00CC6562">
              <w:rPr>
                <w:rFonts w:ascii="Arial" w:hAnsi="Arial" w:cs="Arial"/>
                <w:b/>
                <w:bCs/>
                <w:color w:val="000000"/>
                <w:sz w:val="16"/>
                <w:szCs w:val="16"/>
              </w:rPr>
              <w:t>INVESTING ACTIVITIES</w:t>
            </w:r>
          </w:p>
        </w:tc>
        <w:tc>
          <w:tcPr>
            <w:tcW w:w="578" w:type="pct"/>
            <w:tcBorders>
              <w:top w:val="nil"/>
              <w:left w:val="nil"/>
              <w:bottom w:val="nil"/>
              <w:right w:val="nil"/>
            </w:tcBorders>
            <w:shd w:val="clear" w:color="auto" w:fill="auto"/>
            <w:noWrap/>
            <w:vAlign w:val="bottom"/>
            <w:hideMark/>
          </w:tcPr>
          <w:p w14:paraId="6730B320" w14:textId="77777777" w:rsidR="00CC6562" w:rsidRPr="00CC6562" w:rsidRDefault="00CC6562" w:rsidP="00CC6562">
            <w:pPr>
              <w:spacing w:after="0" w:line="240" w:lineRule="auto"/>
              <w:jc w:val="lef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bottom"/>
            <w:hideMark/>
          </w:tcPr>
          <w:p w14:paraId="5254ADA9" w14:textId="77777777" w:rsidR="00CC6562" w:rsidRPr="00CC6562" w:rsidRDefault="00CC6562" w:rsidP="00CC6562">
            <w:pPr>
              <w:spacing w:after="0" w:line="240" w:lineRule="auto"/>
              <w:jc w:val="left"/>
              <w:rPr>
                <w:rFonts w:ascii="Arial" w:hAnsi="Arial" w:cs="Arial"/>
                <w:color w:val="000000"/>
                <w:sz w:val="16"/>
                <w:szCs w:val="16"/>
              </w:rPr>
            </w:pPr>
            <w:r w:rsidRPr="00CC6562">
              <w:rPr>
                <w:rFonts w:ascii="Arial" w:hAnsi="Arial" w:cs="Arial"/>
                <w:color w:val="000000"/>
                <w:sz w:val="16"/>
                <w:szCs w:val="16"/>
              </w:rPr>
              <w:t> </w:t>
            </w:r>
          </w:p>
        </w:tc>
        <w:tc>
          <w:tcPr>
            <w:tcW w:w="578" w:type="pct"/>
            <w:tcBorders>
              <w:top w:val="nil"/>
              <w:left w:val="nil"/>
              <w:bottom w:val="nil"/>
              <w:right w:val="nil"/>
            </w:tcBorders>
            <w:shd w:val="clear" w:color="auto" w:fill="auto"/>
            <w:noWrap/>
            <w:vAlign w:val="bottom"/>
            <w:hideMark/>
          </w:tcPr>
          <w:p w14:paraId="159720D6" w14:textId="77777777" w:rsidR="00CC6562" w:rsidRPr="00CC6562" w:rsidRDefault="00CC6562" w:rsidP="00CC6562">
            <w:pPr>
              <w:spacing w:after="0" w:line="240" w:lineRule="auto"/>
              <w:jc w:val="lef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61D36F8E" w14:textId="77777777" w:rsidR="00CC6562" w:rsidRPr="00CC6562" w:rsidRDefault="00CC6562" w:rsidP="00CC6562">
            <w:pPr>
              <w:spacing w:after="0" w:line="240" w:lineRule="auto"/>
              <w:jc w:val="left"/>
              <w:rPr>
                <w:rFonts w:ascii="Times New Roman" w:hAnsi="Times New Roman"/>
              </w:rPr>
            </w:pPr>
          </w:p>
        </w:tc>
        <w:tc>
          <w:tcPr>
            <w:tcW w:w="578" w:type="pct"/>
            <w:tcBorders>
              <w:top w:val="nil"/>
              <w:left w:val="nil"/>
              <w:bottom w:val="nil"/>
              <w:right w:val="nil"/>
            </w:tcBorders>
            <w:shd w:val="clear" w:color="auto" w:fill="auto"/>
            <w:noWrap/>
            <w:vAlign w:val="bottom"/>
            <w:hideMark/>
          </w:tcPr>
          <w:p w14:paraId="076B952C" w14:textId="77777777" w:rsidR="00CC6562" w:rsidRPr="00CC6562" w:rsidRDefault="00CC6562" w:rsidP="00CC6562">
            <w:pPr>
              <w:spacing w:after="0" w:line="240" w:lineRule="auto"/>
              <w:jc w:val="left"/>
              <w:rPr>
                <w:rFonts w:ascii="Times New Roman" w:hAnsi="Times New Roman"/>
              </w:rPr>
            </w:pPr>
          </w:p>
        </w:tc>
      </w:tr>
      <w:tr w:rsidR="00CC6562" w:rsidRPr="00CC6562" w14:paraId="06543AA1" w14:textId="77777777" w:rsidTr="00CC6562">
        <w:trPr>
          <w:trHeight w:val="210"/>
        </w:trPr>
        <w:tc>
          <w:tcPr>
            <w:tcW w:w="2110" w:type="pct"/>
            <w:tcBorders>
              <w:top w:val="nil"/>
              <w:left w:val="nil"/>
              <w:bottom w:val="nil"/>
              <w:right w:val="nil"/>
            </w:tcBorders>
            <w:shd w:val="clear" w:color="auto" w:fill="auto"/>
            <w:noWrap/>
            <w:vAlign w:val="bottom"/>
            <w:hideMark/>
          </w:tcPr>
          <w:p w14:paraId="3AAD31AD" w14:textId="77777777" w:rsidR="00CC6562" w:rsidRPr="00CC6562" w:rsidRDefault="00CC6562" w:rsidP="00CC6562">
            <w:pPr>
              <w:spacing w:after="0" w:line="240" w:lineRule="auto"/>
              <w:jc w:val="left"/>
              <w:rPr>
                <w:rFonts w:ascii="Arial" w:hAnsi="Arial" w:cs="Arial"/>
                <w:b/>
                <w:bCs/>
                <w:color w:val="000000"/>
                <w:sz w:val="16"/>
                <w:szCs w:val="16"/>
              </w:rPr>
            </w:pPr>
            <w:r w:rsidRPr="00CC6562">
              <w:rPr>
                <w:rFonts w:ascii="Arial" w:hAnsi="Arial" w:cs="Arial"/>
                <w:b/>
                <w:bCs/>
                <w:color w:val="000000"/>
                <w:sz w:val="16"/>
                <w:szCs w:val="16"/>
              </w:rPr>
              <w:t>Cash received</w:t>
            </w:r>
          </w:p>
        </w:tc>
        <w:tc>
          <w:tcPr>
            <w:tcW w:w="578" w:type="pct"/>
            <w:tcBorders>
              <w:top w:val="nil"/>
              <w:left w:val="nil"/>
              <w:bottom w:val="nil"/>
              <w:right w:val="nil"/>
            </w:tcBorders>
            <w:shd w:val="clear" w:color="auto" w:fill="auto"/>
            <w:noWrap/>
            <w:vAlign w:val="bottom"/>
            <w:hideMark/>
          </w:tcPr>
          <w:p w14:paraId="21579257" w14:textId="77777777" w:rsidR="00CC6562" w:rsidRPr="00CC6562" w:rsidRDefault="00CC6562" w:rsidP="00CC6562">
            <w:pPr>
              <w:spacing w:after="0" w:line="240" w:lineRule="auto"/>
              <w:jc w:val="lef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bottom"/>
            <w:hideMark/>
          </w:tcPr>
          <w:p w14:paraId="3795DAF0" w14:textId="77777777" w:rsidR="00CC6562" w:rsidRPr="00CC6562" w:rsidRDefault="00CC6562" w:rsidP="00CC6562">
            <w:pPr>
              <w:spacing w:after="0" w:line="240" w:lineRule="auto"/>
              <w:jc w:val="left"/>
              <w:rPr>
                <w:rFonts w:ascii="Arial" w:hAnsi="Arial" w:cs="Arial"/>
                <w:color w:val="000000"/>
                <w:sz w:val="16"/>
                <w:szCs w:val="16"/>
              </w:rPr>
            </w:pPr>
            <w:r w:rsidRPr="00CC6562">
              <w:rPr>
                <w:rFonts w:ascii="Arial" w:hAnsi="Arial" w:cs="Arial"/>
                <w:color w:val="000000"/>
                <w:sz w:val="16"/>
                <w:szCs w:val="16"/>
              </w:rPr>
              <w:t> </w:t>
            </w:r>
          </w:p>
        </w:tc>
        <w:tc>
          <w:tcPr>
            <w:tcW w:w="578" w:type="pct"/>
            <w:tcBorders>
              <w:top w:val="nil"/>
              <w:left w:val="nil"/>
              <w:bottom w:val="nil"/>
              <w:right w:val="nil"/>
            </w:tcBorders>
            <w:shd w:val="clear" w:color="auto" w:fill="auto"/>
            <w:noWrap/>
            <w:vAlign w:val="bottom"/>
            <w:hideMark/>
          </w:tcPr>
          <w:p w14:paraId="0AFD0008" w14:textId="77777777" w:rsidR="00CC6562" w:rsidRPr="00CC6562" w:rsidRDefault="00CC6562" w:rsidP="00CC6562">
            <w:pPr>
              <w:spacing w:after="0" w:line="240" w:lineRule="auto"/>
              <w:jc w:val="lef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26F6FA64" w14:textId="77777777" w:rsidR="00CC6562" w:rsidRPr="00CC6562" w:rsidRDefault="00CC6562" w:rsidP="00CC6562">
            <w:pPr>
              <w:spacing w:after="0" w:line="240" w:lineRule="auto"/>
              <w:jc w:val="left"/>
              <w:rPr>
                <w:rFonts w:ascii="Times New Roman" w:hAnsi="Times New Roman"/>
              </w:rPr>
            </w:pPr>
          </w:p>
        </w:tc>
        <w:tc>
          <w:tcPr>
            <w:tcW w:w="578" w:type="pct"/>
            <w:tcBorders>
              <w:top w:val="nil"/>
              <w:left w:val="nil"/>
              <w:bottom w:val="nil"/>
              <w:right w:val="nil"/>
            </w:tcBorders>
            <w:shd w:val="clear" w:color="auto" w:fill="auto"/>
            <w:noWrap/>
            <w:vAlign w:val="bottom"/>
            <w:hideMark/>
          </w:tcPr>
          <w:p w14:paraId="6BF08CBE" w14:textId="77777777" w:rsidR="00CC6562" w:rsidRPr="00CC6562" w:rsidRDefault="00CC6562" w:rsidP="00CC6562">
            <w:pPr>
              <w:spacing w:after="0" w:line="240" w:lineRule="auto"/>
              <w:jc w:val="left"/>
              <w:rPr>
                <w:rFonts w:ascii="Times New Roman" w:hAnsi="Times New Roman"/>
              </w:rPr>
            </w:pPr>
          </w:p>
        </w:tc>
      </w:tr>
      <w:tr w:rsidR="00CC6562" w:rsidRPr="00CC6562" w14:paraId="356B4577" w14:textId="77777777" w:rsidTr="00CC6562">
        <w:trPr>
          <w:trHeight w:val="200"/>
        </w:trPr>
        <w:tc>
          <w:tcPr>
            <w:tcW w:w="2110" w:type="pct"/>
            <w:tcBorders>
              <w:top w:val="nil"/>
              <w:left w:val="nil"/>
              <w:bottom w:val="nil"/>
              <w:right w:val="nil"/>
            </w:tcBorders>
            <w:shd w:val="clear" w:color="auto" w:fill="auto"/>
            <w:noWrap/>
            <w:vAlign w:val="bottom"/>
            <w:hideMark/>
          </w:tcPr>
          <w:p w14:paraId="6859F1A7" w14:textId="77777777" w:rsidR="00CC6562" w:rsidRPr="00CC6562" w:rsidRDefault="00CC6562" w:rsidP="00CC6562">
            <w:pPr>
              <w:spacing w:after="0" w:line="240" w:lineRule="auto"/>
              <w:ind w:firstLineChars="100" w:firstLine="160"/>
              <w:jc w:val="left"/>
              <w:rPr>
                <w:rFonts w:ascii="Arial" w:hAnsi="Arial" w:cs="Arial"/>
                <w:color w:val="000000"/>
                <w:sz w:val="16"/>
                <w:szCs w:val="16"/>
              </w:rPr>
            </w:pPr>
            <w:r w:rsidRPr="00CC6562">
              <w:rPr>
                <w:rFonts w:ascii="Arial" w:hAnsi="Arial" w:cs="Arial"/>
                <w:color w:val="000000"/>
                <w:sz w:val="16"/>
                <w:szCs w:val="16"/>
              </w:rPr>
              <w:t>Other</w:t>
            </w:r>
          </w:p>
        </w:tc>
        <w:tc>
          <w:tcPr>
            <w:tcW w:w="578" w:type="pct"/>
            <w:tcBorders>
              <w:top w:val="nil"/>
              <w:left w:val="nil"/>
              <w:bottom w:val="nil"/>
              <w:right w:val="nil"/>
            </w:tcBorders>
            <w:shd w:val="clear" w:color="auto" w:fill="auto"/>
            <w:noWrap/>
            <w:vAlign w:val="bottom"/>
            <w:hideMark/>
          </w:tcPr>
          <w:p w14:paraId="5D98723A"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 </w:t>
            </w:r>
          </w:p>
        </w:tc>
        <w:tc>
          <w:tcPr>
            <w:tcW w:w="578" w:type="pct"/>
            <w:tcBorders>
              <w:top w:val="nil"/>
              <w:left w:val="nil"/>
              <w:bottom w:val="nil"/>
              <w:right w:val="nil"/>
            </w:tcBorders>
            <w:shd w:val="clear" w:color="000000" w:fill="E6E6E6"/>
            <w:noWrap/>
            <w:vAlign w:val="bottom"/>
            <w:hideMark/>
          </w:tcPr>
          <w:p w14:paraId="3C62FDC0"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 </w:t>
            </w:r>
          </w:p>
        </w:tc>
        <w:tc>
          <w:tcPr>
            <w:tcW w:w="578" w:type="pct"/>
            <w:tcBorders>
              <w:top w:val="nil"/>
              <w:left w:val="nil"/>
              <w:bottom w:val="nil"/>
              <w:right w:val="nil"/>
            </w:tcBorders>
            <w:shd w:val="clear" w:color="auto" w:fill="auto"/>
            <w:noWrap/>
            <w:vAlign w:val="bottom"/>
            <w:hideMark/>
          </w:tcPr>
          <w:p w14:paraId="3CAD910E"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 </w:t>
            </w:r>
          </w:p>
        </w:tc>
        <w:tc>
          <w:tcPr>
            <w:tcW w:w="578" w:type="pct"/>
            <w:tcBorders>
              <w:top w:val="nil"/>
              <w:left w:val="nil"/>
              <w:bottom w:val="nil"/>
              <w:right w:val="nil"/>
            </w:tcBorders>
            <w:shd w:val="clear" w:color="auto" w:fill="auto"/>
            <w:noWrap/>
            <w:vAlign w:val="bottom"/>
            <w:hideMark/>
          </w:tcPr>
          <w:p w14:paraId="69A2ABE9"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 </w:t>
            </w:r>
          </w:p>
        </w:tc>
        <w:tc>
          <w:tcPr>
            <w:tcW w:w="578" w:type="pct"/>
            <w:tcBorders>
              <w:top w:val="nil"/>
              <w:left w:val="nil"/>
              <w:bottom w:val="nil"/>
              <w:right w:val="nil"/>
            </w:tcBorders>
            <w:shd w:val="clear" w:color="auto" w:fill="auto"/>
            <w:noWrap/>
            <w:vAlign w:val="bottom"/>
            <w:hideMark/>
          </w:tcPr>
          <w:p w14:paraId="20AA0414"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 </w:t>
            </w:r>
          </w:p>
        </w:tc>
      </w:tr>
      <w:tr w:rsidR="00CC6562" w:rsidRPr="00CC6562" w14:paraId="576DA6C7" w14:textId="77777777" w:rsidTr="00CC6562">
        <w:trPr>
          <w:trHeight w:val="200"/>
        </w:trPr>
        <w:tc>
          <w:tcPr>
            <w:tcW w:w="2110" w:type="pct"/>
            <w:tcBorders>
              <w:top w:val="nil"/>
              <w:left w:val="nil"/>
              <w:bottom w:val="nil"/>
              <w:right w:val="nil"/>
            </w:tcBorders>
            <w:shd w:val="clear" w:color="auto" w:fill="auto"/>
            <w:noWrap/>
            <w:vAlign w:val="bottom"/>
            <w:hideMark/>
          </w:tcPr>
          <w:p w14:paraId="6F54A3AB" w14:textId="77777777" w:rsidR="00CC6562" w:rsidRPr="00CC6562" w:rsidRDefault="00CC6562" w:rsidP="00CC6562">
            <w:pPr>
              <w:spacing w:after="0" w:line="240" w:lineRule="auto"/>
              <w:jc w:val="left"/>
              <w:rPr>
                <w:rFonts w:ascii="Arial" w:hAnsi="Arial" w:cs="Arial"/>
                <w:b/>
                <w:bCs/>
                <w:i/>
                <w:iCs/>
                <w:color w:val="000000"/>
                <w:sz w:val="16"/>
                <w:szCs w:val="16"/>
              </w:rPr>
            </w:pPr>
            <w:r w:rsidRPr="00CC6562">
              <w:rPr>
                <w:rFonts w:ascii="Arial" w:hAnsi="Arial" w:cs="Arial"/>
                <w:b/>
                <w:bCs/>
                <w:i/>
                <w:iCs/>
                <w:color w:val="000000"/>
                <w:sz w:val="16"/>
                <w:szCs w:val="16"/>
              </w:rPr>
              <w:t>Total cash received</w:t>
            </w:r>
          </w:p>
        </w:tc>
        <w:tc>
          <w:tcPr>
            <w:tcW w:w="578" w:type="pct"/>
            <w:tcBorders>
              <w:top w:val="single" w:sz="4" w:space="0" w:color="000000"/>
              <w:left w:val="nil"/>
              <w:bottom w:val="single" w:sz="4" w:space="0" w:color="000000"/>
              <w:right w:val="nil"/>
            </w:tcBorders>
            <w:shd w:val="clear" w:color="auto" w:fill="auto"/>
            <w:noWrap/>
            <w:vAlign w:val="bottom"/>
            <w:hideMark/>
          </w:tcPr>
          <w:p w14:paraId="1D17D53A" w14:textId="77777777" w:rsidR="00CC6562" w:rsidRPr="00CC6562" w:rsidRDefault="00CC6562" w:rsidP="00CC6562">
            <w:pPr>
              <w:spacing w:after="0" w:line="240" w:lineRule="auto"/>
              <w:jc w:val="right"/>
              <w:rPr>
                <w:rFonts w:ascii="Arial" w:hAnsi="Arial" w:cs="Arial"/>
                <w:b/>
                <w:bCs/>
                <w:i/>
                <w:iCs/>
                <w:color w:val="000000"/>
                <w:sz w:val="16"/>
                <w:szCs w:val="16"/>
              </w:rPr>
            </w:pPr>
            <w:r w:rsidRPr="00CC6562">
              <w:rPr>
                <w:rFonts w:ascii="Arial" w:hAnsi="Arial" w:cs="Arial"/>
                <w:b/>
                <w:bCs/>
                <w:i/>
                <w:iCs/>
                <w:color w:val="000000"/>
                <w:sz w:val="16"/>
                <w:szCs w:val="16"/>
              </w:rPr>
              <w:t xml:space="preserve">- </w:t>
            </w:r>
          </w:p>
        </w:tc>
        <w:tc>
          <w:tcPr>
            <w:tcW w:w="578" w:type="pct"/>
            <w:tcBorders>
              <w:top w:val="single" w:sz="4" w:space="0" w:color="000000"/>
              <w:left w:val="nil"/>
              <w:bottom w:val="single" w:sz="4" w:space="0" w:color="000000"/>
              <w:right w:val="nil"/>
            </w:tcBorders>
            <w:shd w:val="clear" w:color="000000" w:fill="E6E6E6"/>
            <w:noWrap/>
            <w:vAlign w:val="bottom"/>
            <w:hideMark/>
          </w:tcPr>
          <w:p w14:paraId="365BE085" w14:textId="77777777" w:rsidR="00CC6562" w:rsidRPr="00CC6562" w:rsidRDefault="00CC6562" w:rsidP="00CC6562">
            <w:pPr>
              <w:spacing w:after="0" w:line="240" w:lineRule="auto"/>
              <w:jc w:val="right"/>
              <w:rPr>
                <w:rFonts w:ascii="Arial" w:hAnsi="Arial" w:cs="Arial"/>
                <w:b/>
                <w:bCs/>
                <w:i/>
                <w:iCs/>
                <w:color w:val="000000"/>
                <w:sz w:val="16"/>
                <w:szCs w:val="16"/>
              </w:rPr>
            </w:pPr>
            <w:r w:rsidRPr="00CC6562">
              <w:rPr>
                <w:rFonts w:ascii="Arial" w:hAnsi="Arial" w:cs="Arial"/>
                <w:b/>
                <w:bCs/>
                <w:i/>
                <w:iCs/>
                <w:color w:val="000000"/>
                <w:sz w:val="16"/>
                <w:szCs w:val="16"/>
              </w:rPr>
              <w:t xml:space="preserve">- </w:t>
            </w:r>
          </w:p>
        </w:tc>
        <w:tc>
          <w:tcPr>
            <w:tcW w:w="578" w:type="pct"/>
            <w:tcBorders>
              <w:top w:val="single" w:sz="4" w:space="0" w:color="000000"/>
              <w:left w:val="nil"/>
              <w:bottom w:val="single" w:sz="4" w:space="0" w:color="000000"/>
              <w:right w:val="nil"/>
            </w:tcBorders>
            <w:shd w:val="clear" w:color="auto" w:fill="auto"/>
            <w:noWrap/>
            <w:vAlign w:val="bottom"/>
            <w:hideMark/>
          </w:tcPr>
          <w:p w14:paraId="7DC12EF8" w14:textId="77777777" w:rsidR="00CC6562" w:rsidRPr="00CC6562" w:rsidRDefault="00CC6562" w:rsidP="00CC6562">
            <w:pPr>
              <w:spacing w:after="0" w:line="240" w:lineRule="auto"/>
              <w:jc w:val="right"/>
              <w:rPr>
                <w:rFonts w:ascii="Arial" w:hAnsi="Arial" w:cs="Arial"/>
                <w:b/>
                <w:bCs/>
                <w:i/>
                <w:iCs/>
                <w:color w:val="000000"/>
                <w:sz w:val="16"/>
                <w:szCs w:val="16"/>
              </w:rPr>
            </w:pPr>
            <w:r w:rsidRPr="00CC6562">
              <w:rPr>
                <w:rFonts w:ascii="Arial" w:hAnsi="Arial" w:cs="Arial"/>
                <w:b/>
                <w:bCs/>
                <w:i/>
                <w:iCs/>
                <w:color w:val="000000"/>
                <w:sz w:val="16"/>
                <w:szCs w:val="16"/>
              </w:rPr>
              <w:t xml:space="preserve">- </w:t>
            </w:r>
          </w:p>
        </w:tc>
        <w:tc>
          <w:tcPr>
            <w:tcW w:w="578" w:type="pct"/>
            <w:tcBorders>
              <w:top w:val="single" w:sz="4" w:space="0" w:color="000000"/>
              <w:left w:val="nil"/>
              <w:bottom w:val="single" w:sz="4" w:space="0" w:color="000000"/>
              <w:right w:val="nil"/>
            </w:tcBorders>
            <w:shd w:val="clear" w:color="auto" w:fill="auto"/>
            <w:noWrap/>
            <w:vAlign w:val="bottom"/>
            <w:hideMark/>
          </w:tcPr>
          <w:p w14:paraId="7733EC6E" w14:textId="77777777" w:rsidR="00CC6562" w:rsidRPr="00CC6562" w:rsidRDefault="00CC6562" w:rsidP="00CC6562">
            <w:pPr>
              <w:spacing w:after="0" w:line="240" w:lineRule="auto"/>
              <w:jc w:val="right"/>
              <w:rPr>
                <w:rFonts w:ascii="Arial" w:hAnsi="Arial" w:cs="Arial"/>
                <w:b/>
                <w:bCs/>
                <w:i/>
                <w:iCs/>
                <w:color w:val="000000"/>
                <w:sz w:val="16"/>
                <w:szCs w:val="16"/>
              </w:rPr>
            </w:pPr>
            <w:r w:rsidRPr="00CC6562">
              <w:rPr>
                <w:rFonts w:ascii="Arial" w:hAnsi="Arial" w:cs="Arial"/>
                <w:b/>
                <w:bCs/>
                <w:i/>
                <w:iCs/>
                <w:color w:val="000000"/>
                <w:sz w:val="16"/>
                <w:szCs w:val="16"/>
              </w:rPr>
              <w:t xml:space="preserve">- </w:t>
            </w:r>
          </w:p>
        </w:tc>
        <w:tc>
          <w:tcPr>
            <w:tcW w:w="578" w:type="pct"/>
            <w:tcBorders>
              <w:top w:val="single" w:sz="4" w:space="0" w:color="000000"/>
              <w:left w:val="nil"/>
              <w:bottom w:val="single" w:sz="4" w:space="0" w:color="000000"/>
              <w:right w:val="nil"/>
            </w:tcBorders>
            <w:shd w:val="clear" w:color="auto" w:fill="auto"/>
            <w:noWrap/>
            <w:vAlign w:val="bottom"/>
            <w:hideMark/>
          </w:tcPr>
          <w:p w14:paraId="1E024068" w14:textId="77777777" w:rsidR="00CC6562" w:rsidRPr="00CC6562" w:rsidRDefault="00CC6562" w:rsidP="00CC6562">
            <w:pPr>
              <w:spacing w:after="0" w:line="240" w:lineRule="auto"/>
              <w:jc w:val="right"/>
              <w:rPr>
                <w:rFonts w:ascii="Arial" w:hAnsi="Arial" w:cs="Arial"/>
                <w:b/>
                <w:bCs/>
                <w:i/>
                <w:iCs/>
                <w:color w:val="000000"/>
                <w:sz w:val="16"/>
                <w:szCs w:val="16"/>
              </w:rPr>
            </w:pPr>
            <w:r w:rsidRPr="00CC6562">
              <w:rPr>
                <w:rFonts w:ascii="Arial" w:hAnsi="Arial" w:cs="Arial"/>
                <w:b/>
                <w:bCs/>
                <w:i/>
                <w:iCs/>
                <w:color w:val="000000"/>
                <w:sz w:val="16"/>
                <w:szCs w:val="16"/>
              </w:rPr>
              <w:t xml:space="preserve">- </w:t>
            </w:r>
          </w:p>
        </w:tc>
      </w:tr>
      <w:tr w:rsidR="00CC6562" w:rsidRPr="00CC6562" w14:paraId="7AAE5B69" w14:textId="77777777" w:rsidTr="00CC6562">
        <w:trPr>
          <w:trHeight w:val="210"/>
        </w:trPr>
        <w:tc>
          <w:tcPr>
            <w:tcW w:w="2110" w:type="pct"/>
            <w:tcBorders>
              <w:top w:val="nil"/>
              <w:left w:val="nil"/>
              <w:bottom w:val="nil"/>
              <w:right w:val="nil"/>
            </w:tcBorders>
            <w:shd w:val="clear" w:color="auto" w:fill="auto"/>
            <w:noWrap/>
            <w:vAlign w:val="bottom"/>
            <w:hideMark/>
          </w:tcPr>
          <w:p w14:paraId="24A407B2" w14:textId="77777777" w:rsidR="00CC6562" w:rsidRPr="00CC6562" w:rsidRDefault="00CC6562" w:rsidP="00CC6562">
            <w:pPr>
              <w:spacing w:after="0" w:line="240" w:lineRule="auto"/>
              <w:jc w:val="left"/>
              <w:rPr>
                <w:rFonts w:ascii="Arial" w:hAnsi="Arial" w:cs="Arial"/>
                <w:b/>
                <w:bCs/>
                <w:color w:val="000000"/>
                <w:sz w:val="16"/>
                <w:szCs w:val="16"/>
              </w:rPr>
            </w:pPr>
            <w:r w:rsidRPr="00CC6562">
              <w:rPr>
                <w:rFonts w:ascii="Arial" w:hAnsi="Arial" w:cs="Arial"/>
                <w:b/>
                <w:bCs/>
                <w:color w:val="000000"/>
                <w:sz w:val="16"/>
                <w:szCs w:val="16"/>
              </w:rPr>
              <w:t>Cash used</w:t>
            </w:r>
          </w:p>
        </w:tc>
        <w:tc>
          <w:tcPr>
            <w:tcW w:w="578" w:type="pct"/>
            <w:tcBorders>
              <w:top w:val="nil"/>
              <w:left w:val="nil"/>
              <w:bottom w:val="nil"/>
              <w:right w:val="nil"/>
            </w:tcBorders>
            <w:shd w:val="clear" w:color="auto" w:fill="auto"/>
            <w:noWrap/>
            <w:vAlign w:val="bottom"/>
            <w:hideMark/>
          </w:tcPr>
          <w:p w14:paraId="43C8049E" w14:textId="77777777" w:rsidR="00CC6562" w:rsidRPr="00CC6562" w:rsidRDefault="00CC6562" w:rsidP="00CC6562">
            <w:pPr>
              <w:spacing w:after="0" w:line="240" w:lineRule="auto"/>
              <w:jc w:val="lef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bottom"/>
            <w:hideMark/>
          </w:tcPr>
          <w:p w14:paraId="6B65E9C7" w14:textId="77777777" w:rsidR="00CC6562" w:rsidRPr="00CC6562" w:rsidRDefault="00CC6562" w:rsidP="00CC6562">
            <w:pPr>
              <w:spacing w:after="0" w:line="240" w:lineRule="auto"/>
              <w:jc w:val="left"/>
              <w:rPr>
                <w:rFonts w:ascii="Arial" w:hAnsi="Arial" w:cs="Arial"/>
                <w:color w:val="000000"/>
                <w:sz w:val="16"/>
                <w:szCs w:val="16"/>
              </w:rPr>
            </w:pPr>
            <w:r w:rsidRPr="00CC6562">
              <w:rPr>
                <w:rFonts w:ascii="Arial" w:hAnsi="Arial" w:cs="Arial"/>
                <w:color w:val="000000"/>
                <w:sz w:val="16"/>
                <w:szCs w:val="16"/>
              </w:rPr>
              <w:t> </w:t>
            </w:r>
          </w:p>
        </w:tc>
        <w:tc>
          <w:tcPr>
            <w:tcW w:w="578" w:type="pct"/>
            <w:tcBorders>
              <w:top w:val="nil"/>
              <w:left w:val="nil"/>
              <w:bottom w:val="nil"/>
              <w:right w:val="nil"/>
            </w:tcBorders>
            <w:shd w:val="clear" w:color="auto" w:fill="auto"/>
            <w:noWrap/>
            <w:vAlign w:val="bottom"/>
            <w:hideMark/>
          </w:tcPr>
          <w:p w14:paraId="3FC662F7" w14:textId="77777777" w:rsidR="00CC6562" w:rsidRPr="00CC6562" w:rsidRDefault="00CC6562" w:rsidP="00CC6562">
            <w:pPr>
              <w:spacing w:after="0" w:line="240" w:lineRule="auto"/>
              <w:jc w:val="lef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38CF7852" w14:textId="77777777" w:rsidR="00CC6562" w:rsidRPr="00CC6562" w:rsidRDefault="00CC6562" w:rsidP="00CC6562">
            <w:pPr>
              <w:spacing w:after="0" w:line="240" w:lineRule="auto"/>
              <w:jc w:val="left"/>
              <w:rPr>
                <w:rFonts w:ascii="Times New Roman" w:hAnsi="Times New Roman"/>
              </w:rPr>
            </w:pPr>
          </w:p>
        </w:tc>
        <w:tc>
          <w:tcPr>
            <w:tcW w:w="578" w:type="pct"/>
            <w:tcBorders>
              <w:top w:val="nil"/>
              <w:left w:val="nil"/>
              <w:bottom w:val="nil"/>
              <w:right w:val="nil"/>
            </w:tcBorders>
            <w:shd w:val="clear" w:color="auto" w:fill="auto"/>
            <w:noWrap/>
            <w:vAlign w:val="bottom"/>
            <w:hideMark/>
          </w:tcPr>
          <w:p w14:paraId="0A47AC6C" w14:textId="77777777" w:rsidR="00CC6562" w:rsidRPr="00CC6562" w:rsidRDefault="00CC6562" w:rsidP="00CC6562">
            <w:pPr>
              <w:spacing w:after="0" w:line="240" w:lineRule="auto"/>
              <w:jc w:val="left"/>
              <w:rPr>
                <w:rFonts w:ascii="Times New Roman" w:hAnsi="Times New Roman"/>
              </w:rPr>
            </w:pPr>
          </w:p>
        </w:tc>
      </w:tr>
      <w:tr w:rsidR="00CC6562" w:rsidRPr="00CC6562" w14:paraId="52DC334B" w14:textId="77777777" w:rsidTr="00CC6562">
        <w:trPr>
          <w:trHeight w:val="400"/>
        </w:trPr>
        <w:tc>
          <w:tcPr>
            <w:tcW w:w="2110" w:type="pct"/>
            <w:tcBorders>
              <w:top w:val="nil"/>
              <w:left w:val="nil"/>
              <w:bottom w:val="nil"/>
              <w:right w:val="nil"/>
            </w:tcBorders>
            <w:shd w:val="clear" w:color="auto" w:fill="auto"/>
            <w:vAlign w:val="bottom"/>
            <w:hideMark/>
          </w:tcPr>
          <w:p w14:paraId="0DF5C37C" w14:textId="55C653D5" w:rsidR="00CC6562" w:rsidRPr="00CC6562" w:rsidRDefault="00CC6562" w:rsidP="00CC6562">
            <w:pPr>
              <w:spacing w:after="0" w:line="240" w:lineRule="auto"/>
              <w:ind w:firstLineChars="100" w:firstLine="160"/>
              <w:jc w:val="left"/>
              <w:rPr>
                <w:rFonts w:ascii="Arial" w:hAnsi="Arial" w:cs="Arial"/>
                <w:color w:val="000000"/>
                <w:sz w:val="16"/>
                <w:szCs w:val="16"/>
              </w:rPr>
            </w:pPr>
            <w:r w:rsidRPr="00CC6562">
              <w:rPr>
                <w:rFonts w:ascii="Arial" w:hAnsi="Arial" w:cs="Arial"/>
                <w:color w:val="000000"/>
                <w:sz w:val="16"/>
                <w:szCs w:val="16"/>
              </w:rPr>
              <w:t>Purchase of property, plant and</w:t>
            </w:r>
            <w:r w:rsidRPr="00CC6562">
              <w:rPr>
                <w:rFonts w:ascii="Arial" w:hAnsi="Arial" w:cs="Arial"/>
                <w:color w:val="000000"/>
                <w:sz w:val="16"/>
                <w:szCs w:val="16"/>
              </w:rPr>
              <w:br/>
              <w:t xml:space="preserve">  </w:t>
            </w:r>
            <w:r>
              <w:rPr>
                <w:rFonts w:ascii="Arial" w:hAnsi="Arial" w:cs="Arial"/>
                <w:color w:val="000000"/>
                <w:sz w:val="16"/>
                <w:szCs w:val="16"/>
              </w:rPr>
              <w:t xml:space="preserve">    </w:t>
            </w:r>
            <w:r w:rsidRPr="00CC6562">
              <w:rPr>
                <w:rFonts w:ascii="Arial" w:hAnsi="Arial" w:cs="Arial"/>
                <w:color w:val="000000"/>
                <w:sz w:val="16"/>
                <w:szCs w:val="16"/>
              </w:rPr>
              <w:t>equipment and intangibles</w:t>
            </w:r>
          </w:p>
        </w:tc>
        <w:tc>
          <w:tcPr>
            <w:tcW w:w="578" w:type="pct"/>
            <w:tcBorders>
              <w:top w:val="nil"/>
              <w:left w:val="nil"/>
              <w:bottom w:val="nil"/>
              <w:right w:val="nil"/>
            </w:tcBorders>
            <w:shd w:val="clear" w:color="auto" w:fill="auto"/>
            <w:noWrap/>
            <w:vAlign w:val="bottom"/>
            <w:hideMark/>
          </w:tcPr>
          <w:p w14:paraId="285914BC"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32,886 </w:t>
            </w:r>
          </w:p>
        </w:tc>
        <w:tc>
          <w:tcPr>
            <w:tcW w:w="578" w:type="pct"/>
            <w:tcBorders>
              <w:top w:val="nil"/>
              <w:left w:val="nil"/>
              <w:bottom w:val="nil"/>
              <w:right w:val="nil"/>
            </w:tcBorders>
            <w:shd w:val="clear" w:color="000000" w:fill="E6E6E6"/>
            <w:noWrap/>
            <w:vAlign w:val="bottom"/>
            <w:hideMark/>
          </w:tcPr>
          <w:p w14:paraId="7C7D3BF9"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32,472 </w:t>
            </w:r>
          </w:p>
        </w:tc>
        <w:tc>
          <w:tcPr>
            <w:tcW w:w="578" w:type="pct"/>
            <w:tcBorders>
              <w:top w:val="nil"/>
              <w:left w:val="nil"/>
              <w:bottom w:val="nil"/>
              <w:right w:val="nil"/>
            </w:tcBorders>
            <w:shd w:val="clear" w:color="auto" w:fill="auto"/>
            <w:noWrap/>
            <w:vAlign w:val="bottom"/>
            <w:hideMark/>
          </w:tcPr>
          <w:p w14:paraId="6B72AAD4"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27,664 </w:t>
            </w:r>
          </w:p>
        </w:tc>
        <w:tc>
          <w:tcPr>
            <w:tcW w:w="578" w:type="pct"/>
            <w:tcBorders>
              <w:top w:val="nil"/>
              <w:left w:val="nil"/>
              <w:bottom w:val="nil"/>
              <w:right w:val="nil"/>
            </w:tcBorders>
            <w:shd w:val="clear" w:color="auto" w:fill="auto"/>
            <w:noWrap/>
            <w:vAlign w:val="bottom"/>
            <w:hideMark/>
          </w:tcPr>
          <w:p w14:paraId="29106C18"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12,532 </w:t>
            </w:r>
          </w:p>
        </w:tc>
        <w:tc>
          <w:tcPr>
            <w:tcW w:w="578" w:type="pct"/>
            <w:tcBorders>
              <w:top w:val="nil"/>
              <w:left w:val="nil"/>
              <w:bottom w:val="nil"/>
              <w:right w:val="nil"/>
            </w:tcBorders>
            <w:shd w:val="clear" w:color="auto" w:fill="auto"/>
            <w:noWrap/>
            <w:vAlign w:val="bottom"/>
            <w:hideMark/>
          </w:tcPr>
          <w:p w14:paraId="760FAFE7"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9,874 </w:t>
            </w:r>
          </w:p>
        </w:tc>
      </w:tr>
      <w:tr w:rsidR="00CC6562" w:rsidRPr="00CC6562" w14:paraId="206F5CB9" w14:textId="77777777" w:rsidTr="00CC6562">
        <w:trPr>
          <w:trHeight w:val="200"/>
        </w:trPr>
        <w:tc>
          <w:tcPr>
            <w:tcW w:w="2110" w:type="pct"/>
            <w:tcBorders>
              <w:top w:val="nil"/>
              <w:left w:val="nil"/>
              <w:bottom w:val="nil"/>
              <w:right w:val="nil"/>
            </w:tcBorders>
            <w:shd w:val="clear" w:color="auto" w:fill="auto"/>
            <w:noWrap/>
            <w:vAlign w:val="bottom"/>
            <w:hideMark/>
          </w:tcPr>
          <w:p w14:paraId="64A8A02E" w14:textId="77777777" w:rsidR="00CC6562" w:rsidRPr="00CC6562" w:rsidRDefault="00CC6562" w:rsidP="00CC6562">
            <w:pPr>
              <w:spacing w:after="0" w:line="240" w:lineRule="auto"/>
              <w:jc w:val="left"/>
              <w:rPr>
                <w:rFonts w:ascii="Arial" w:hAnsi="Arial" w:cs="Arial"/>
                <w:b/>
                <w:bCs/>
                <w:i/>
                <w:iCs/>
                <w:color w:val="000000"/>
                <w:sz w:val="16"/>
                <w:szCs w:val="16"/>
              </w:rPr>
            </w:pPr>
            <w:r w:rsidRPr="00CC6562">
              <w:rPr>
                <w:rFonts w:ascii="Arial" w:hAnsi="Arial" w:cs="Arial"/>
                <w:b/>
                <w:bCs/>
                <w:i/>
                <w:iCs/>
                <w:color w:val="000000"/>
                <w:sz w:val="16"/>
                <w:szCs w:val="16"/>
              </w:rPr>
              <w:t>Total cash used</w:t>
            </w:r>
          </w:p>
        </w:tc>
        <w:tc>
          <w:tcPr>
            <w:tcW w:w="578" w:type="pct"/>
            <w:tcBorders>
              <w:top w:val="single" w:sz="4" w:space="0" w:color="000000"/>
              <w:left w:val="nil"/>
              <w:bottom w:val="single" w:sz="4" w:space="0" w:color="000000"/>
              <w:right w:val="nil"/>
            </w:tcBorders>
            <w:shd w:val="clear" w:color="auto" w:fill="auto"/>
            <w:noWrap/>
            <w:vAlign w:val="bottom"/>
            <w:hideMark/>
          </w:tcPr>
          <w:p w14:paraId="3416000B" w14:textId="77777777" w:rsidR="00CC6562" w:rsidRPr="00CC6562" w:rsidRDefault="00CC6562" w:rsidP="00CC6562">
            <w:pPr>
              <w:spacing w:after="0" w:line="240" w:lineRule="auto"/>
              <w:jc w:val="right"/>
              <w:rPr>
                <w:rFonts w:ascii="Arial" w:hAnsi="Arial" w:cs="Arial"/>
                <w:b/>
                <w:bCs/>
                <w:i/>
                <w:iCs/>
                <w:color w:val="000000"/>
                <w:sz w:val="16"/>
                <w:szCs w:val="16"/>
              </w:rPr>
            </w:pPr>
            <w:r w:rsidRPr="00CC6562">
              <w:rPr>
                <w:rFonts w:ascii="Arial" w:hAnsi="Arial" w:cs="Arial"/>
                <w:b/>
                <w:bCs/>
                <w:i/>
                <w:iCs/>
                <w:color w:val="000000"/>
                <w:sz w:val="16"/>
                <w:szCs w:val="16"/>
              </w:rPr>
              <w:t xml:space="preserve">32,886 </w:t>
            </w:r>
          </w:p>
        </w:tc>
        <w:tc>
          <w:tcPr>
            <w:tcW w:w="578" w:type="pct"/>
            <w:tcBorders>
              <w:top w:val="single" w:sz="4" w:space="0" w:color="000000"/>
              <w:left w:val="nil"/>
              <w:bottom w:val="single" w:sz="4" w:space="0" w:color="000000"/>
              <w:right w:val="nil"/>
            </w:tcBorders>
            <w:shd w:val="clear" w:color="000000" w:fill="E6E6E6"/>
            <w:noWrap/>
            <w:vAlign w:val="bottom"/>
            <w:hideMark/>
          </w:tcPr>
          <w:p w14:paraId="4B0C7F16" w14:textId="77777777" w:rsidR="00CC6562" w:rsidRPr="00CC6562" w:rsidRDefault="00CC6562" w:rsidP="00CC6562">
            <w:pPr>
              <w:spacing w:after="0" w:line="240" w:lineRule="auto"/>
              <w:jc w:val="right"/>
              <w:rPr>
                <w:rFonts w:ascii="Arial" w:hAnsi="Arial" w:cs="Arial"/>
                <w:b/>
                <w:bCs/>
                <w:i/>
                <w:iCs/>
                <w:color w:val="000000"/>
                <w:sz w:val="16"/>
                <w:szCs w:val="16"/>
              </w:rPr>
            </w:pPr>
            <w:r w:rsidRPr="00CC6562">
              <w:rPr>
                <w:rFonts w:ascii="Arial" w:hAnsi="Arial" w:cs="Arial"/>
                <w:b/>
                <w:bCs/>
                <w:i/>
                <w:iCs/>
                <w:color w:val="000000"/>
                <w:sz w:val="16"/>
                <w:szCs w:val="16"/>
              </w:rPr>
              <w:t xml:space="preserve">32,472 </w:t>
            </w:r>
          </w:p>
        </w:tc>
        <w:tc>
          <w:tcPr>
            <w:tcW w:w="578" w:type="pct"/>
            <w:tcBorders>
              <w:top w:val="single" w:sz="4" w:space="0" w:color="000000"/>
              <w:left w:val="nil"/>
              <w:bottom w:val="single" w:sz="4" w:space="0" w:color="000000"/>
              <w:right w:val="nil"/>
            </w:tcBorders>
            <w:shd w:val="clear" w:color="auto" w:fill="auto"/>
            <w:noWrap/>
            <w:vAlign w:val="bottom"/>
            <w:hideMark/>
          </w:tcPr>
          <w:p w14:paraId="397447B5" w14:textId="77777777" w:rsidR="00CC6562" w:rsidRPr="00CC6562" w:rsidRDefault="00CC6562" w:rsidP="00CC6562">
            <w:pPr>
              <w:spacing w:after="0" w:line="240" w:lineRule="auto"/>
              <w:jc w:val="right"/>
              <w:rPr>
                <w:rFonts w:ascii="Arial" w:hAnsi="Arial" w:cs="Arial"/>
                <w:b/>
                <w:bCs/>
                <w:i/>
                <w:iCs/>
                <w:color w:val="000000"/>
                <w:sz w:val="16"/>
                <w:szCs w:val="16"/>
              </w:rPr>
            </w:pPr>
            <w:r w:rsidRPr="00CC6562">
              <w:rPr>
                <w:rFonts w:ascii="Arial" w:hAnsi="Arial" w:cs="Arial"/>
                <w:b/>
                <w:bCs/>
                <w:i/>
                <w:iCs/>
                <w:color w:val="000000"/>
                <w:sz w:val="16"/>
                <w:szCs w:val="16"/>
              </w:rPr>
              <w:t xml:space="preserve">27,664 </w:t>
            </w:r>
          </w:p>
        </w:tc>
        <w:tc>
          <w:tcPr>
            <w:tcW w:w="578" w:type="pct"/>
            <w:tcBorders>
              <w:top w:val="single" w:sz="4" w:space="0" w:color="000000"/>
              <w:left w:val="nil"/>
              <w:bottom w:val="single" w:sz="4" w:space="0" w:color="000000"/>
              <w:right w:val="nil"/>
            </w:tcBorders>
            <w:shd w:val="clear" w:color="auto" w:fill="auto"/>
            <w:noWrap/>
            <w:vAlign w:val="bottom"/>
            <w:hideMark/>
          </w:tcPr>
          <w:p w14:paraId="3CEFC6FE" w14:textId="77777777" w:rsidR="00CC6562" w:rsidRPr="00CC6562" w:rsidRDefault="00CC6562" w:rsidP="00CC6562">
            <w:pPr>
              <w:spacing w:after="0" w:line="240" w:lineRule="auto"/>
              <w:jc w:val="right"/>
              <w:rPr>
                <w:rFonts w:ascii="Arial" w:hAnsi="Arial" w:cs="Arial"/>
                <w:b/>
                <w:bCs/>
                <w:i/>
                <w:iCs/>
                <w:color w:val="000000"/>
                <w:sz w:val="16"/>
                <w:szCs w:val="16"/>
              </w:rPr>
            </w:pPr>
            <w:r w:rsidRPr="00CC6562">
              <w:rPr>
                <w:rFonts w:ascii="Arial" w:hAnsi="Arial" w:cs="Arial"/>
                <w:b/>
                <w:bCs/>
                <w:i/>
                <w:iCs/>
                <w:color w:val="000000"/>
                <w:sz w:val="16"/>
                <w:szCs w:val="16"/>
              </w:rPr>
              <w:t xml:space="preserve">12,532 </w:t>
            </w:r>
          </w:p>
        </w:tc>
        <w:tc>
          <w:tcPr>
            <w:tcW w:w="578" w:type="pct"/>
            <w:tcBorders>
              <w:top w:val="single" w:sz="4" w:space="0" w:color="000000"/>
              <w:left w:val="nil"/>
              <w:bottom w:val="single" w:sz="4" w:space="0" w:color="000000"/>
              <w:right w:val="nil"/>
            </w:tcBorders>
            <w:shd w:val="clear" w:color="auto" w:fill="auto"/>
            <w:noWrap/>
            <w:vAlign w:val="bottom"/>
            <w:hideMark/>
          </w:tcPr>
          <w:p w14:paraId="55B1C8C0" w14:textId="77777777" w:rsidR="00CC6562" w:rsidRPr="00CC6562" w:rsidRDefault="00CC6562" w:rsidP="00CC6562">
            <w:pPr>
              <w:spacing w:after="0" w:line="240" w:lineRule="auto"/>
              <w:jc w:val="right"/>
              <w:rPr>
                <w:rFonts w:ascii="Arial" w:hAnsi="Arial" w:cs="Arial"/>
                <w:b/>
                <w:bCs/>
                <w:i/>
                <w:iCs/>
                <w:color w:val="000000"/>
                <w:sz w:val="16"/>
                <w:szCs w:val="16"/>
              </w:rPr>
            </w:pPr>
            <w:r w:rsidRPr="00CC6562">
              <w:rPr>
                <w:rFonts w:ascii="Arial" w:hAnsi="Arial" w:cs="Arial"/>
                <w:b/>
                <w:bCs/>
                <w:i/>
                <w:iCs/>
                <w:color w:val="000000"/>
                <w:sz w:val="16"/>
                <w:szCs w:val="16"/>
              </w:rPr>
              <w:t xml:space="preserve">9,874 </w:t>
            </w:r>
          </w:p>
        </w:tc>
      </w:tr>
      <w:tr w:rsidR="00CC6562" w:rsidRPr="00CC6562" w14:paraId="0A8DF97B" w14:textId="77777777" w:rsidTr="00CC6562">
        <w:trPr>
          <w:trHeight w:val="420"/>
        </w:trPr>
        <w:tc>
          <w:tcPr>
            <w:tcW w:w="2110" w:type="pct"/>
            <w:tcBorders>
              <w:top w:val="nil"/>
              <w:left w:val="nil"/>
              <w:bottom w:val="nil"/>
              <w:right w:val="nil"/>
            </w:tcBorders>
            <w:shd w:val="clear" w:color="auto" w:fill="auto"/>
            <w:vAlign w:val="bottom"/>
            <w:hideMark/>
          </w:tcPr>
          <w:p w14:paraId="6B44D90E" w14:textId="77777777" w:rsidR="00CC6562" w:rsidRPr="00CC6562" w:rsidRDefault="00CC6562" w:rsidP="00CC6562">
            <w:pPr>
              <w:spacing w:after="0" w:line="240" w:lineRule="auto"/>
              <w:jc w:val="left"/>
              <w:rPr>
                <w:rFonts w:ascii="Arial" w:hAnsi="Arial" w:cs="Arial"/>
                <w:b/>
                <w:bCs/>
                <w:color w:val="000000"/>
                <w:sz w:val="16"/>
                <w:szCs w:val="16"/>
              </w:rPr>
            </w:pPr>
            <w:r w:rsidRPr="00CC6562">
              <w:rPr>
                <w:rFonts w:ascii="Arial" w:hAnsi="Arial" w:cs="Arial"/>
                <w:b/>
                <w:bCs/>
                <w:color w:val="000000"/>
                <w:sz w:val="16"/>
                <w:szCs w:val="16"/>
              </w:rPr>
              <w:t>Net cash from/(used by)</w:t>
            </w:r>
            <w:r w:rsidRPr="00CC6562">
              <w:rPr>
                <w:rFonts w:ascii="Arial" w:hAnsi="Arial" w:cs="Arial"/>
                <w:b/>
                <w:bCs/>
                <w:color w:val="000000"/>
                <w:sz w:val="16"/>
                <w:szCs w:val="16"/>
              </w:rPr>
              <w:br/>
              <w:t xml:space="preserve">  investing activities</w:t>
            </w:r>
          </w:p>
        </w:tc>
        <w:tc>
          <w:tcPr>
            <w:tcW w:w="578" w:type="pct"/>
            <w:tcBorders>
              <w:top w:val="nil"/>
              <w:left w:val="nil"/>
              <w:bottom w:val="single" w:sz="4" w:space="0" w:color="auto"/>
              <w:right w:val="nil"/>
            </w:tcBorders>
            <w:shd w:val="clear" w:color="auto" w:fill="auto"/>
            <w:noWrap/>
            <w:vAlign w:val="bottom"/>
            <w:hideMark/>
          </w:tcPr>
          <w:p w14:paraId="4B47E299" w14:textId="77777777" w:rsidR="00CC6562" w:rsidRPr="00CC6562" w:rsidRDefault="00CC6562" w:rsidP="00CC6562">
            <w:pPr>
              <w:spacing w:after="0" w:line="240" w:lineRule="auto"/>
              <w:jc w:val="right"/>
              <w:rPr>
                <w:rFonts w:ascii="Arial" w:hAnsi="Arial" w:cs="Arial"/>
                <w:b/>
                <w:bCs/>
                <w:color w:val="000000"/>
                <w:sz w:val="16"/>
                <w:szCs w:val="16"/>
              </w:rPr>
            </w:pPr>
            <w:r w:rsidRPr="00CC6562">
              <w:rPr>
                <w:rFonts w:ascii="Arial" w:hAnsi="Arial" w:cs="Arial"/>
                <w:b/>
                <w:bCs/>
                <w:color w:val="000000"/>
                <w:sz w:val="16"/>
                <w:szCs w:val="16"/>
              </w:rPr>
              <w:t>(32,886)</w:t>
            </w:r>
          </w:p>
        </w:tc>
        <w:tc>
          <w:tcPr>
            <w:tcW w:w="578" w:type="pct"/>
            <w:tcBorders>
              <w:top w:val="nil"/>
              <w:left w:val="nil"/>
              <w:bottom w:val="single" w:sz="4" w:space="0" w:color="auto"/>
              <w:right w:val="nil"/>
            </w:tcBorders>
            <w:shd w:val="clear" w:color="000000" w:fill="E6E6E6"/>
            <w:noWrap/>
            <w:vAlign w:val="bottom"/>
            <w:hideMark/>
          </w:tcPr>
          <w:p w14:paraId="1FCCF2CF" w14:textId="77777777" w:rsidR="00CC6562" w:rsidRPr="00CC6562" w:rsidRDefault="00CC6562" w:rsidP="00CC6562">
            <w:pPr>
              <w:spacing w:after="0" w:line="240" w:lineRule="auto"/>
              <w:jc w:val="right"/>
              <w:rPr>
                <w:rFonts w:ascii="Arial" w:hAnsi="Arial" w:cs="Arial"/>
                <w:b/>
                <w:bCs/>
                <w:color w:val="000000"/>
                <w:sz w:val="16"/>
                <w:szCs w:val="16"/>
              </w:rPr>
            </w:pPr>
            <w:r w:rsidRPr="00CC6562">
              <w:rPr>
                <w:rFonts w:ascii="Arial" w:hAnsi="Arial" w:cs="Arial"/>
                <w:b/>
                <w:bCs/>
                <w:color w:val="000000"/>
                <w:sz w:val="16"/>
                <w:szCs w:val="16"/>
              </w:rPr>
              <w:t>(32,472)</w:t>
            </w:r>
          </w:p>
        </w:tc>
        <w:tc>
          <w:tcPr>
            <w:tcW w:w="578" w:type="pct"/>
            <w:tcBorders>
              <w:top w:val="nil"/>
              <w:left w:val="nil"/>
              <w:bottom w:val="single" w:sz="4" w:space="0" w:color="auto"/>
              <w:right w:val="nil"/>
            </w:tcBorders>
            <w:shd w:val="clear" w:color="auto" w:fill="auto"/>
            <w:noWrap/>
            <w:vAlign w:val="bottom"/>
            <w:hideMark/>
          </w:tcPr>
          <w:p w14:paraId="148B9FE8" w14:textId="77777777" w:rsidR="00CC6562" w:rsidRPr="00CC6562" w:rsidRDefault="00CC6562" w:rsidP="00CC6562">
            <w:pPr>
              <w:spacing w:after="0" w:line="240" w:lineRule="auto"/>
              <w:jc w:val="right"/>
              <w:rPr>
                <w:rFonts w:ascii="Arial" w:hAnsi="Arial" w:cs="Arial"/>
                <w:b/>
                <w:bCs/>
                <w:color w:val="000000"/>
                <w:sz w:val="16"/>
                <w:szCs w:val="16"/>
              </w:rPr>
            </w:pPr>
            <w:r w:rsidRPr="00CC6562">
              <w:rPr>
                <w:rFonts w:ascii="Arial" w:hAnsi="Arial" w:cs="Arial"/>
                <w:b/>
                <w:bCs/>
                <w:color w:val="000000"/>
                <w:sz w:val="16"/>
                <w:szCs w:val="16"/>
              </w:rPr>
              <w:t>(27,664)</w:t>
            </w:r>
          </w:p>
        </w:tc>
        <w:tc>
          <w:tcPr>
            <w:tcW w:w="578" w:type="pct"/>
            <w:tcBorders>
              <w:top w:val="nil"/>
              <w:left w:val="nil"/>
              <w:bottom w:val="single" w:sz="4" w:space="0" w:color="auto"/>
              <w:right w:val="nil"/>
            </w:tcBorders>
            <w:shd w:val="clear" w:color="auto" w:fill="auto"/>
            <w:noWrap/>
            <w:vAlign w:val="bottom"/>
            <w:hideMark/>
          </w:tcPr>
          <w:p w14:paraId="4B823D4E" w14:textId="77777777" w:rsidR="00CC6562" w:rsidRPr="00CC6562" w:rsidRDefault="00CC6562" w:rsidP="00CC6562">
            <w:pPr>
              <w:spacing w:after="0" w:line="240" w:lineRule="auto"/>
              <w:jc w:val="right"/>
              <w:rPr>
                <w:rFonts w:ascii="Arial" w:hAnsi="Arial" w:cs="Arial"/>
                <w:b/>
                <w:bCs/>
                <w:color w:val="000000"/>
                <w:sz w:val="16"/>
                <w:szCs w:val="16"/>
              </w:rPr>
            </w:pPr>
            <w:r w:rsidRPr="00CC6562">
              <w:rPr>
                <w:rFonts w:ascii="Arial" w:hAnsi="Arial" w:cs="Arial"/>
                <w:b/>
                <w:bCs/>
                <w:color w:val="000000"/>
                <w:sz w:val="16"/>
                <w:szCs w:val="16"/>
              </w:rPr>
              <w:t>(12,532)</w:t>
            </w:r>
          </w:p>
        </w:tc>
        <w:tc>
          <w:tcPr>
            <w:tcW w:w="578" w:type="pct"/>
            <w:tcBorders>
              <w:top w:val="nil"/>
              <w:left w:val="nil"/>
              <w:bottom w:val="single" w:sz="4" w:space="0" w:color="auto"/>
              <w:right w:val="nil"/>
            </w:tcBorders>
            <w:shd w:val="clear" w:color="auto" w:fill="auto"/>
            <w:noWrap/>
            <w:vAlign w:val="bottom"/>
            <w:hideMark/>
          </w:tcPr>
          <w:p w14:paraId="5E76B1C0" w14:textId="77777777" w:rsidR="00CC6562" w:rsidRPr="00CC6562" w:rsidRDefault="00CC6562" w:rsidP="00CC6562">
            <w:pPr>
              <w:spacing w:after="0" w:line="240" w:lineRule="auto"/>
              <w:jc w:val="right"/>
              <w:rPr>
                <w:rFonts w:ascii="Arial" w:hAnsi="Arial" w:cs="Arial"/>
                <w:b/>
                <w:bCs/>
                <w:color w:val="000000"/>
                <w:sz w:val="16"/>
                <w:szCs w:val="16"/>
              </w:rPr>
            </w:pPr>
            <w:r w:rsidRPr="00CC6562">
              <w:rPr>
                <w:rFonts w:ascii="Arial" w:hAnsi="Arial" w:cs="Arial"/>
                <w:b/>
                <w:bCs/>
                <w:color w:val="000000"/>
                <w:sz w:val="16"/>
                <w:szCs w:val="16"/>
              </w:rPr>
              <w:t>(9,874)</w:t>
            </w:r>
          </w:p>
        </w:tc>
      </w:tr>
      <w:tr w:rsidR="00CC6562" w:rsidRPr="00CC6562" w14:paraId="6C9F5D90" w14:textId="77777777" w:rsidTr="00CC6562">
        <w:trPr>
          <w:trHeight w:val="210"/>
        </w:trPr>
        <w:tc>
          <w:tcPr>
            <w:tcW w:w="2110" w:type="pct"/>
            <w:tcBorders>
              <w:top w:val="nil"/>
              <w:left w:val="nil"/>
              <w:bottom w:val="nil"/>
              <w:right w:val="nil"/>
            </w:tcBorders>
            <w:shd w:val="clear" w:color="auto" w:fill="auto"/>
            <w:noWrap/>
            <w:vAlign w:val="bottom"/>
            <w:hideMark/>
          </w:tcPr>
          <w:p w14:paraId="03A8984A" w14:textId="77777777" w:rsidR="00CC6562" w:rsidRPr="00CC6562" w:rsidRDefault="00CC6562" w:rsidP="00CC6562">
            <w:pPr>
              <w:spacing w:after="0" w:line="240" w:lineRule="auto"/>
              <w:jc w:val="left"/>
              <w:rPr>
                <w:rFonts w:ascii="Arial" w:hAnsi="Arial" w:cs="Arial"/>
                <w:b/>
                <w:bCs/>
                <w:color w:val="000000"/>
                <w:sz w:val="16"/>
                <w:szCs w:val="16"/>
              </w:rPr>
            </w:pPr>
            <w:r w:rsidRPr="00CC6562">
              <w:rPr>
                <w:rFonts w:ascii="Arial" w:hAnsi="Arial" w:cs="Arial"/>
                <w:b/>
                <w:bCs/>
                <w:color w:val="000000"/>
                <w:sz w:val="16"/>
                <w:szCs w:val="16"/>
              </w:rPr>
              <w:t>FINANCING ACTIVITIES</w:t>
            </w:r>
          </w:p>
        </w:tc>
        <w:tc>
          <w:tcPr>
            <w:tcW w:w="578" w:type="pct"/>
            <w:tcBorders>
              <w:top w:val="nil"/>
              <w:left w:val="nil"/>
              <w:bottom w:val="nil"/>
              <w:right w:val="nil"/>
            </w:tcBorders>
            <w:shd w:val="clear" w:color="auto" w:fill="auto"/>
            <w:noWrap/>
            <w:vAlign w:val="bottom"/>
            <w:hideMark/>
          </w:tcPr>
          <w:p w14:paraId="75E6EFA0" w14:textId="77777777" w:rsidR="00CC6562" w:rsidRPr="00CC6562" w:rsidRDefault="00CC6562" w:rsidP="00CC6562">
            <w:pPr>
              <w:spacing w:after="0" w:line="240" w:lineRule="auto"/>
              <w:jc w:val="lef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bottom"/>
            <w:hideMark/>
          </w:tcPr>
          <w:p w14:paraId="3783B56D" w14:textId="77777777" w:rsidR="00CC6562" w:rsidRPr="00CC6562" w:rsidRDefault="00CC6562" w:rsidP="00CC6562">
            <w:pPr>
              <w:spacing w:after="0" w:line="240" w:lineRule="auto"/>
              <w:jc w:val="left"/>
              <w:rPr>
                <w:rFonts w:ascii="Arial" w:hAnsi="Arial" w:cs="Arial"/>
                <w:color w:val="000000"/>
                <w:sz w:val="16"/>
                <w:szCs w:val="16"/>
              </w:rPr>
            </w:pPr>
            <w:r w:rsidRPr="00CC6562">
              <w:rPr>
                <w:rFonts w:ascii="Arial" w:hAnsi="Arial" w:cs="Arial"/>
                <w:color w:val="000000"/>
                <w:sz w:val="16"/>
                <w:szCs w:val="16"/>
              </w:rPr>
              <w:t> </w:t>
            </w:r>
          </w:p>
        </w:tc>
        <w:tc>
          <w:tcPr>
            <w:tcW w:w="578" w:type="pct"/>
            <w:tcBorders>
              <w:top w:val="nil"/>
              <w:left w:val="nil"/>
              <w:bottom w:val="nil"/>
              <w:right w:val="nil"/>
            </w:tcBorders>
            <w:shd w:val="clear" w:color="auto" w:fill="auto"/>
            <w:noWrap/>
            <w:vAlign w:val="bottom"/>
            <w:hideMark/>
          </w:tcPr>
          <w:p w14:paraId="52D3EA71" w14:textId="77777777" w:rsidR="00CC6562" w:rsidRPr="00CC6562" w:rsidRDefault="00CC6562" w:rsidP="00CC6562">
            <w:pPr>
              <w:spacing w:after="0" w:line="240" w:lineRule="auto"/>
              <w:jc w:val="lef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26D5D4B5" w14:textId="77777777" w:rsidR="00CC6562" w:rsidRPr="00CC6562" w:rsidRDefault="00CC6562" w:rsidP="00CC6562">
            <w:pPr>
              <w:spacing w:after="0" w:line="240" w:lineRule="auto"/>
              <w:jc w:val="left"/>
              <w:rPr>
                <w:rFonts w:ascii="Times New Roman" w:hAnsi="Times New Roman"/>
              </w:rPr>
            </w:pPr>
          </w:p>
        </w:tc>
        <w:tc>
          <w:tcPr>
            <w:tcW w:w="578" w:type="pct"/>
            <w:tcBorders>
              <w:top w:val="nil"/>
              <w:left w:val="nil"/>
              <w:bottom w:val="nil"/>
              <w:right w:val="nil"/>
            </w:tcBorders>
            <w:shd w:val="clear" w:color="auto" w:fill="auto"/>
            <w:noWrap/>
            <w:vAlign w:val="bottom"/>
            <w:hideMark/>
          </w:tcPr>
          <w:p w14:paraId="744DED8E" w14:textId="77777777" w:rsidR="00CC6562" w:rsidRPr="00CC6562" w:rsidRDefault="00CC6562" w:rsidP="00CC6562">
            <w:pPr>
              <w:spacing w:after="0" w:line="240" w:lineRule="auto"/>
              <w:jc w:val="left"/>
              <w:rPr>
                <w:rFonts w:ascii="Times New Roman" w:hAnsi="Times New Roman"/>
              </w:rPr>
            </w:pPr>
          </w:p>
        </w:tc>
      </w:tr>
      <w:tr w:rsidR="00CC6562" w:rsidRPr="00CC6562" w14:paraId="643E4B98" w14:textId="77777777" w:rsidTr="00CC6562">
        <w:trPr>
          <w:trHeight w:val="210"/>
        </w:trPr>
        <w:tc>
          <w:tcPr>
            <w:tcW w:w="2110" w:type="pct"/>
            <w:tcBorders>
              <w:top w:val="nil"/>
              <w:left w:val="nil"/>
              <w:bottom w:val="nil"/>
              <w:right w:val="nil"/>
            </w:tcBorders>
            <w:shd w:val="clear" w:color="auto" w:fill="auto"/>
            <w:noWrap/>
            <w:vAlign w:val="bottom"/>
            <w:hideMark/>
          </w:tcPr>
          <w:p w14:paraId="38D55C9E" w14:textId="77777777" w:rsidR="00CC6562" w:rsidRPr="00CC6562" w:rsidRDefault="00CC6562" w:rsidP="00CC6562">
            <w:pPr>
              <w:spacing w:after="0" w:line="240" w:lineRule="auto"/>
              <w:jc w:val="left"/>
              <w:rPr>
                <w:rFonts w:ascii="Arial" w:hAnsi="Arial" w:cs="Arial"/>
                <w:b/>
                <w:bCs/>
                <w:color w:val="000000"/>
                <w:sz w:val="16"/>
                <w:szCs w:val="16"/>
              </w:rPr>
            </w:pPr>
            <w:r w:rsidRPr="00CC6562">
              <w:rPr>
                <w:rFonts w:ascii="Arial" w:hAnsi="Arial" w:cs="Arial"/>
                <w:b/>
                <w:bCs/>
                <w:color w:val="000000"/>
                <w:sz w:val="16"/>
                <w:szCs w:val="16"/>
              </w:rPr>
              <w:t>Cash received</w:t>
            </w:r>
          </w:p>
        </w:tc>
        <w:tc>
          <w:tcPr>
            <w:tcW w:w="578" w:type="pct"/>
            <w:tcBorders>
              <w:top w:val="nil"/>
              <w:left w:val="nil"/>
              <w:bottom w:val="nil"/>
              <w:right w:val="nil"/>
            </w:tcBorders>
            <w:shd w:val="clear" w:color="auto" w:fill="auto"/>
            <w:noWrap/>
            <w:vAlign w:val="bottom"/>
            <w:hideMark/>
          </w:tcPr>
          <w:p w14:paraId="6C4EE440" w14:textId="77777777" w:rsidR="00CC6562" w:rsidRPr="00CC6562" w:rsidRDefault="00CC6562" w:rsidP="00CC6562">
            <w:pPr>
              <w:spacing w:after="0" w:line="240" w:lineRule="auto"/>
              <w:jc w:val="lef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bottom"/>
            <w:hideMark/>
          </w:tcPr>
          <w:p w14:paraId="299756B3" w14:textId="77777777" w:rsidR="00CC6562" w:rsidRPr="00CC6562" w:rsidRDefault="00CC6562" w:rsidP="00CC6562">
            <w:pPr>
              <w:spacing w:after="0" w:line="240" w:lineRule="auto"/>
              <w:jc w:val="left"/>
              <w:rPr>
                <w:rFonts w:ascii="Arial" w:hAnsi="Arial" w:cs="Arial"/>
                <w:color w:val="000000"/>
                <w:sz w:val="16"/>
                <w:szCs w:val="16"/>
              </w:rPr>
            </w:pPr>
            <w:r w:rsidRPr="00CC6562">
              <w:rPr>
                <w:rFonts w:ascii="Arial" w:hAnsi="Arial" w:cs="Arial"/>
                <w:color w:val="000000"/>
                <w:sz w:val="16"/>
                <w:szCs w:val="16"/>
              </w:rPr>
              <w:t> </w:t>
            </w:r>
          </w:p>
        </w:tc>
        <w:tc>
          <w:tcPr>
            <w:tcW w:w="578" w:type="pct"/>
            <w:tcBorders>
              <w:top w:val="nil"/>
              <w:left w:val="nil"/>
              <w:bottom w:val="nil"/>
              <w:right w:val="nil"/>
            </w:tcBorders>
            <w:shd w:val="clear" w:color="auto" w:fill="auto"/>
            <w:noWrap/>
            <w:vAlign w:val="bottom"/>
            <w:hideMark/>
          </w:tcPr>
          <w:p w14:paraId="2DE5D6C9" w14:textId="77777777" w:rsidR="00CC6562" w:rsidRPr="00CC6562" w:rsidRDefault="00CC6562" w:rsidP="00CC6562">
            <w:pPr>
              <w:spacing w:after="0" w:line="240" w:lineRule="auto"/>
              <w:jc w:val="lef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656DBAFA" w14:textId="77777777" w:rsidR="00CC6562" w:rsidRPr="00CC6562" w:rsidRDefault="00CC6562" w:rsidP="00CC6562">
            <w:pPr>
              <w:spacing w:after="0" w:line="240" w:lineRule="auto"/>
              <w:jc w:val="left"/>
              <w:rPr>
                <w:rFonts w:ascii="Times New Roman" w:hAnsi="Times New Roman"/>
              </w:rPr>
            </w:pPr>
          </w:p>
        </w:tc>
        <w:tc>
          <w:tcPr>
            <w:tcW w:w="578" w:type="pct"/>
            <w:tcBorders>
              <w:top w:val="nil"/>
              <w:left w:val="nil"/>
              <w:bottom w:val="nil"/>
              <w:right w:val="nil"/>
            </w:tcBorders>
            <w:shd w:val="clear" w:color="auto" w:fill="auto"/>
            <w:noWrap/>
            <w:vAlign w:val="bottom"/>
            <w:hideMark/>
          </w:tcPr>
          <w:p w14:paraId="3DAB007B" w14:textId="77777777" w:rsidR="00CC6562" w:rsidRPr="00CC6562" w:rsidRDefault="00CC6562" w:rsidP="00CC6562">
            <w:pPr>
              <w:spacing w:after="0" w:line="240" w:lineRule="auto"/>
              <w:jc w:val="left"/>
              <w:rPr>
                <w:rFonts w:ascii="Times New Roman" w:hAnsi="Times New Roman"/>
              </w:rPr>
            </w:pPr>
          </w:p>
        </w:tc>
      </w:tr>
      <w:tr w:rsidR="00CC6562" w:rsidRPr="00CC6562" w14:paraId="09F30C1F" w14:textId="77777777" w:rsidTr="00CC6562">
        <w:trPr>
          <w:trHeight w:val="200"/>
        </w:trPr>
        <w:tc>
          <w:tcPr>
            <w:tcW w:w="2110" w:type="pct"/>
            <w:tcBorders>
              <w:top w:val="nil"/>
              <w:left w:val="nil"/>
              <w:bottom w:val="nil"/>
              <w:right w:val="nil"/>
            </w:tcBorders>
            <w:shd w:val="clear" w:color="auto" w:fill="auto"/>
            <w:noWrap/>
            <w:vAlign w:val="bottom"/>
            <w:hideMark/>
          </w:tcPr>
          <w:p w14:paraId="44E6E90D" w14:textId="77777777" w:rsidR="00CC6562" w:rsidRPr="00CC6562" w:rsidRDefault="00CC6562" w:rsidP="00CC6562">
            <w:pPr>
              <w:spacing w:after="0" w:line="240" w:lineRule="auto"/>
              <w:ind w:firstLineChars="100" w:firstLine="160"/>
              <w:jc w:val="left"/>
              <w:rPr>
                <w:rFonts w:ascii="Arial" w:hAnsi="Arial" w:cs="Arial"/>
                <w:color w:val="000000"/>
                <w:sz w:val="16"/>
                <w:szCs w:val="16"/>
              </w:rPr>
            </w:pPr>
            <w:r w:rsidRPr="00CC6562">
              <w:rPr>
                <w:rFonts w:ascii="Arial" w:hAnsi="Arial" w:cs="Arial"/>
                <w:color w:val="000000"/>
                <w:sz w:val="16"/>
                <w:szCs w:val="16"/>
              </w:rPr>
              <w:t>Contributed equity</w:t>
            </w:r>
          </w:p>
        </w:tc>
        <w:tc>
          <w:tcPr>
            <w:tcW w:w="578" w:type="pct"/>
            <w:tcBorders>
              <w:top w:val="nil"/>
              <w:left w:val="nil"/>
              <w:bottom w:val="nil"/>
              <w:right w:val="nil"/>
            </w:tcBorders>
            <w:shd w:val="clear" w:color="auto" w:fill="auto"/>
            <w:noWrap/>
            <w:vAlign w:val="bottom"/>
            <w:hideMark/>
          </w:tcPr>
          <w:p w14:paraId="6987619A"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54,486 </w:t>
            </w:r>
          </w:p>
        </w:tc>
        <w:tc>
          <w:tcPr>
            <w:tcW w:w="578" w:type="pct"/>
            <w:tcBorders>
              <w:top w:val="nil"/>
              <w:left w:val="nil"/>
              <w:bottom w:val="nil"/>
              <w:right w:val="nil"/>
            </w:tcBorders>
            <w:shd w:val="clear" w:color="000000" w:fill="E6E6E6"/>
            <w:noWrap/>
            <w:vAlign w:val="bottom"/>
            <w:hideMark/>
          </w:tcPr>
          <w:p w14:paraId="09B82E89"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32,972 </w:t>
            </w:r>
          </w:p>
        </w:tc>
        <w:tc>
          <w:tcPr>
            <w:tcW w:w="578" w:type="pct"/>
            <w:tcBorders>
              <w:top w:val="nil"/>
              <w:left w:val="nil"/>
              <w:bottom w:val="nil"/>
              <w:right w:val="nil"/>
            </w:tcBorders>
            <w:shd w:val="clear" w:color="auto" w:fill="auto"/>
            <w:noWrap/>
            <w:vAlign w:val="bottom"/>
            <w:hideMark/>
          </w:tcPr>
          <w:p w14:paraId="79DDEC39"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28,164 </w:t>
            </w:r>
          </w:p>
        </w:tc>
        <w:tc>
          <w:tcPr>
            <w:tcW w:w="578" w:type="pct"/>
            <w:tcBorders>
              <w:top w:val="nil"/>
              <w:left w:val="nil"/>
              <w:bottom w:val="nil"/>
              <w:right w:val="nil"/>
            </w:tcBorders>
            <w:shd w:val="clear" w:color="auto" w:fill="auto"/>
            <w:noWrap/>
            <w:vAlign w:val="bottom"/>
            <w:hideMark/>
          </w:tcPr>
          <w:p w14:paraId="51BC3839"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13,032 </w:t>
            </w:r>
          </w:p>
        </w:tc>
        <w:tc>
          <w:tcPr>
            <w:tcW w:w="578" w:type="pct"/>
            <w:tcBorders>
              <w:top w:val="nil"/>
              <w:left w:val="nil"/>
              <w:bottom w:val="nil"/>
              <w:right w:val="nil"/>
            </w:tcBorders>
            <w:shd w:val="clear" w:color="auto" w:fill="auto"/>
            <w:noWrap/>
            <w:vAlign w:val="bottom"/>
            <w:hideMark/>
          </w:tcPr>
          <w:p w14:paraId="3CC5C3BD"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10,374 </w:t>
            </w:r>
          </w:p>
        </w:tc>
      </w:tr>
      <w:tr w:rsidR="00CC6562" w:rsidRPr="00CC6562" w14:paraId="20FEA511" w14:textId="77777777" w:rsidTr="00CC6562">
        <w:trPr>
          <w:trHeight w:val="200"/>
        </w:trPr>
        <w:tc>
          <w:tcPr>
            <w:tcW w:w="2110" w:type="pct"/>
            <w:tcBorders>
              <w:top w:val="nil"/>
              <w:left w:val="nil"/>
              <w:bottom w:val="nil"/>
              <w:right w:val="nil"/>
            </w:tcBorders>
            <w:shd w:val="clear" w:color="auto" w:fill="auto"/>
            <w:noWrap/>
            <w:vAlign w:val="bottom"/>
            <w:hideMark/>
          </w:tcPr>
          <w:p w14:paraId="4C24A84D" w14:textId="77777777" w:rsidR="00CC6562" w:rsidRPr="00CC6562" w:rsidRDefault="00CC6562" w:rsidP="00CC6562">
            <w:pPr>
              <w:spacing w:after="0" w:line="240" w:lineRule="auto"/>
              <w:jc w:val="left"/>
              <w:rPr>
                <w:rFonts w:ascii="Arial" w:hAnsi="Arial" w:cs="Arial"/>
                <w:b/>
                <w:bCs/>
                <w:i/>
                <w:iCs/>
                <w:color w:val="000000"/>
                <w:sz w:val="16"/>
                <w:szCs w:val="16"/>
              </w:rPr>
            </w:pPr>
            <w:r w:rsidRPr="00CC6562">
              <w:rPr>
                <w:rFonts w:ascii="Arial" w:hAnsi="Arial" w:cs="Arial"/>
                <w:b/>
                <w:bCs/>
                <w:i/>
                <w:iCs/>
                <w:color w:val="000000"/>
                <w:sz w:val="16"/>
                <w:szCs w:val="16"/>
              </w:rPr>
              <w:t>Total cash received</w:t>
            </w:r>
          </w:p>
        </w:tc>
        <w:tc>
          <w:tcPr>
            <w:tcW w:w="578" w:type="pct"/>
            <w:tcBorders>
              <w:top w:val="single" w:sz="4" w:space="0" w:color="000000"/>
              <w:left w:val="nil"/>
              <w:bottom w:val="single" w:sz="4" w:space="0" w:color="000000"/>
              <w:right w:val="nil"/>
            </w:tcBorders>
            <w:shd w:val="clear" w:color="auto" w:fill="auto"/>
            <w:noWrap/>
            <w:vAlign w:val="bottom"/>
            <w:hideMark/>
          </w:tcPr>
          <w:p w14:paraId="35595DCD" w14:textId="77777777" w:rsidR="00CC6562" w:rsidRPr="00CC6562" w:rsidRDefault="00CC6562" w:rsidP="00CC6562">
            <w:pPr>
              <w:spacing w:after="0" w:line="240" w:lineRule="auto"/>
              <w:jc w:val="right"/>
              <w:rPr>
                <w:rFonts w:ascii="Arial" w:hAnsi="Arial" w:cs="Arial"/>
                <w:b/>
                <w:bCs/>
                <w:i/>
                <w:iCs/>
                <w:color w:val="000000"/>
                <w:sz w:val="16"/>
                <w:szCs w:val="16"/>
              </w:rPr>
            </w:pPr>
            <w:r w:rsidRPr="00CC6562">
              <w:rPr>
                <w:rFonts w:ascii="Arial" w:hAnsi="Arial" w:cs="Arial"/>
                <w:b/>
                <w:bCs/>
                <w:i/>
                <w:iCs/>
                <w:color w:val="000000"/>
                <w:sz w:val="16"/>
                <w:szCs w:val="16"/>
              </w:rPr>
              <w:t xml:space="preserve">54,486 </w:t>
            </w:r>
          </w:p>
        </w:tc>
        <w:tc>
          <w:tcPr>
            <w:tcW w:w="578" w:type="pct"/>
            <w:tcBorders>
              <w:top w:val="single" w:sz="4" w:space="0" w:color="000000"/>
              <w:left w:val="nil"/>
              <w:bottom w:val="single" w:sz="4" w:space="0" w:color="000000"/>
              <w:right w:val="nil"/>
            </w:tcBorders>
            <w:shd w:val="clear" w:color="000000" w:fill="E6E6E6"/>
            <w:noWrap/>
            <w:vAlign w:val="bottom"/>
            <w:hideMark/>
          </w:tcPr>
          <w:p w14:paraId="4070546B" w14:textId="77777777" w:rsidR="00CC6562" w:rsidRPr="00CC6562" w:rsidRDefault="00CC6562" w:rsidP="00CC6562">
            <w:pPr>
              <w:spacing w:after="0" w:line="240" w:lineRule="auto"/>
              <w:jc w:val="right"/>
              <w:rPr>
                <w:rFonts w:ascii="Arial" w:hAnsi="Arial" w:cs="Arial"/>
                <w:b/>
                <w:bCs/>
                <w:i/>
                <w:iCs/>
                <w:color w:val="000000"/>
                <w:sz w:val="16"/>
                <w:szCs w:val="16"/>
              </w:rPr>
            </w:pPr>
            <w:r w:rsidRPr="00CC6562">
              <w:rPr>
                <w:rFonts w:ascii="Arial" w:hAnsi="Arial" w:cs="Arial"/>
                <w:b/>
                <w:bCs/>
                <w:i/>
                <w:iCs/>
                <w:color w:val="000000"/>
                <w:sz w:val="16"/>
                <w:szCs w:val="16"/>
              </w:rPr>
              <w:t xml:space="preserve">32,972 </w:t>
            </w:r>
          </w:p>
        </w:tc>
        <w:tc>
          <w:tcPr>
            <w:tcW w:w="578" w:type="pct"/>
            <w:tcBorders>
              <w:top w:val="single" w:sz="4" w:space="0" w:color="000000"/>
              <w:left w:val="nil"/>
              <w:bottom w:val="single" w:sz="4" w:space="0" w:color="000000"/>
              <w:right w:val="nil"/>
            </w:tcBorders>
            <w:shd w:val="clear" w:color="auto" w:fill="auto"/>
            <w:noWrap/>
            <w:vAlign w:val="bottom"/>
            <w:hideMark/>
          </w:tcPr>
          <w:p w14:paraId="306369A2" w14:textId="77777777" w:rsidR="00CC6562" w:rsidRPr="00CC6562" w:rsidRDefault="00CC6562" w:rsidP="00CC6562">
            <w:pPr>
              <w:spacing w:after="0" w:line="240" w:lineRule="auto"/>
              <w:jc w:val="right"/>
              <w:rPr>
                <w:rFonts w:ascii="Arial" w:hAnsi="Arial" w:cs="Arial"/>
                <w:b/>
                <w:bCs/>
                <w:i/>
                <w:iCs/>
                <w:color w:val="000000"/>
                <w:sz w:val="16"/>
                <w:szCs w:val="16"/>
              </w:rPr>
            </w:pPr>
            <w:r w:rsidRPr="00CC6562">
              <w:rPr>
                <w:rFonts w:ascii="Arial" w:hAnsi="Arial" w:cs="Arial"/>
                <w:b/>
                <w:bCs/>
                <w:i/>
                <w:iCs/>
                <w:color w:val="000000"/>
                <w:sz w:val="16"/>
                <w:szCs w:val="16"/>
              </w:rPr>
              <w:t xml:space="preserve">28,164 </w:t>
            </w:r>
          </w:p>
        </w:tc>
        <w:tc>
          <w:tcPr>
            <w:tcW w:w="578" w:type="pct"/>
            <w:tcBorders>
              <w:top w:val="single" w:sz="4" w:space="0" w:color="000000"/>
              <w:left w:val="nil"/>
              <w:bottom w:val="single" w:sz="4" w:space="0" w:color="000000"/>
              <w:right w:val="nil"/>
            </w:tcBorders>
            <w:shd w:val="clear" w:color="auto" w:fill="auto"/>
            <w:noWrap/>
            <w:vAlign w:val="bottom"/>
            <w:hideMark/>
          </w:tcPr>
          <w:p w14:paraId="70D840BE" w14:textId="77777777" w:rsidR="00CC6562" w:rsidRPr="00CC6562" w:rsidRDefault="00CC6562" w:rsidP="00CC6562">
            <w:pPr>
              <w:spacing w:after="0" w:line="240" w:lineRule="auto"/>
              <w:jc w:val="right"/>
              <w:rPr>
                <w:rFonts w:ascii="Arial" w:hAnsi="Arial" w:cs="Arial"/>
                <w:b/>
                <w:bCs/>
                <w:i/>
                <w:iCs/>
                <w:color w:val="000000"/>
                <w:sz w:val="16"/>
                <w:szCs w:val="16"/>
              </w:rPr>
            </w:pPr>
            <w:r w:rsidRPr="00CC6562">
              <w:rPr>
                <w:rFonts w:ascii="Arial" w:hAnsi="Arial" w:cs="Arial"/>
                <w:b/>
                <w:bCs/>
                <w:i/>
                <w:iCs/>
                <w:color w:val="000000"/>
                <w:sz w:val="16"/>
                <w:szCs w:val="16"/>
              </w:rPr>
              <w:t xml:space="preserve">13,032 </w:t>
            </w:r>
          </w:p>
        </w:tc>
        <w:tc>
          <w:tcPr>
            <w:tcW w:w="578" w:type="pct"/>
            <w:tcBorders>
              <w:top w:val="single" w:sz="4" w:space="0" w:color="000000"/>
              <w:left w:val="nil"/>
              <w:bottom w:val="single" w:sz="4" w:space="0" w:color="000000"/>
              <w:right w:val="nil"/>
            </w:tcBorders>
            <w:shd w:val="clear" w:color="auto" w:fill="auto"/>
            <w:noWrap/>
            <w:vAlign w:val="bottom"/>
            <w:hideMark/>
          </w:tcPr>
          <w:p w14:paraId="3338B182" w14:textId="77777777" w:rsidR="00CC6562" w:rsidRPr="00CC6562" w:rsidRDefault="00CC6562" w:rsidP="00CC6562">
            <w:pPr>
              <w:spacing w:after="0" w:line="240" w:lineRule="auto"/>
              <w:jc w:val="right"/>
              <w:rPr>
                <w:rFonts w:ascii="Arial" w:hAnsi="Arial" w:cs="Arial"/>
                <w:b/>
                <w:bCs/>
                <w:i/>
                <w:iCs/>
                <w:color w:val="000000"/>
                <w:sz w:val="16"/>
                <w:szCs w:val="16"/>
              </w:rPr>
            </w:pPr>
            <w:r w:rsidRPr="00CC6562">
              <w:rPr>
                <w:rFonts w:ascii="Arial" w:hAnsi="Arial" w:cs="Arial"/>
                <w:b/>
                <w:bCs/>
                <w:i/>
                <w:iCs/>
                <w:color w:val="000000"/>
                <w:sz w:val="16"/>
                <w:szCs w:val="16"/>
              </w:rPr>
              <w:t xml:space="preserve">10,374 </w:t>
            </w:r>
          </w:p>
        </w:tc>
      </w:tr>
      <w:tr w:rsidR="00CC6562" w:rsidRPr="00CC6562" w14:paraId="1ECF7C78" w14:textId="77777777" w:rsidTr="00CC6562">
        <w:trPr>
          <w:trHeight w:val="210"/>
        </w:trPr>
        <w:tc>
          <w:tcPr>
            <w:tcW w:w="2110" w:type="pct"/>
            <w:tcBorders>
              <w:top w:val="nil"/>
              <w:left w:val="nil"/>
              <w:bottom w:val="nil"/>
              <w:right w:val="nil"/>
            </w:tcBorders>
            <w:shd w:val="clear" w:color="auto" w:fill="auto"/>
            <w:noWrap/>
            <w:vAlign w:val="bottom"/>
            <w:hideMark/>
          </w:tcPr>
          <w:p w14:paraId="640F32AC" w14:textId="77777777" w:rsidR="00CC6562" w:rsidRPr="00CC6562" w:rsidRDefault="00CC6562" w:rsidP="00CC6562">
            <w:pPr>
              <w:spacing w:after="0" w:line="240" w:lineRule="auto"/>
              <w:jc w:val="left"/>
              <w:rPr>
                <w:rFonts w:ascii="Arial" w:hAnsi="Arial" w:cs="Arial"/>
                <w:b/>
                <w:bCs/>
                <w:color w:val="000000"/>
                <w:sz w:val="16"/>
                <w:szCs w:val="16"/>
              </w:rPr>
            </w:pPr>
            <w:r w:rsidRPr="00CC6562">
              <w:rPr>
                <w:rFonts w:ascii="Arial" w:hAnsi="Arial" w:cs="Arial"/>
                <w:b/>
                <w:bCs/>
                <w:color w:val="000000"/>
                <w:sz w:val="16"/>
                <w:szCs w:val="16"/>
              </w:rPr>
              <w:t>Cash used</w:t>
            </w:r>
          </w:p>
        </w:tc>
        <w:tc>
          <w:tcPr>
            <w:tcW w:w="578" w:type="pct"/>
            <w:tcBorders>
              <w:top w:val="nil"/>
              <w:left w:val="nil"/>
              <w:bottom w:val="nil"/>
              <w:right w:val="nil"/>
            </w:tcBorders>
            <w:shd w:val="clear" w:color="auto" w:fill="auto"/>
            <w:noWrap/>
            <w:vAlign w:val="bottom"/>
            <w:hideMark/>
          </w:tcPr>
          <w:p w14:paraId="3617E4D9" w14:textId="77777777" w:rsidR="00CC6562" w:rsidRPr="00CC6562" w:rsidRDefault="00CC6562" w:rsidP="00CC6562">
            <w:pPr>
              <w:spacing w:after="0" w:line="240" w:lineRule="auto"/>
              <w:jc w:val="lef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bottom"/>
            <w:hideMark/>
          </w:tcPr>
          <w:p w14:paraId="4DB3360B" w14:textId="77777777" w:rsidR="00CC6562" w:rsidRPr="00CC6562" w:rsidRDefault="00CC6562" w:rsidP="00CC6562">
            <w:pPr>
              <w:spacing w:after="0" w:line="240" w:lineRule="auto"/>
              <w:jc w:val="left"/>
              <w:rPr>
                <w:rFonts w:ascii="Arial" w:hAnsi="Arial" w:cs="Arial"/>
                <w:color w:val="000000"/>
                <w:sz w:val="16"/>
                <w:szCs w:val="16"/>
              </w:rPr>
            </w:pPr>
            <w:r w:rsidRPr="00CC6562">
              <w:rPr>
                <w:rFonts w:ascii="Arial" w:hAnsi="Arial" w:cs="Arial"/>
                <w:color w:val="000000"/>
                <w:sz w:val="16"/>
                <w:szCs w:val="16"/>
              </w:rPr>
              <w:t> </w:t>
            </w:r>
          </w:p>
        </w:tc>
        <w:tc>
          <w:tcPr>
            <w:tcW w:w="578" w:type="pct"/>
            <w:tcBorders>
              <w:top w:val="nil"/>
              <w:left w:val="nil"/>
              <w:bottom w:val="nil"/>
              <w:right w:val="nil"/>
            </w:tcBorders>
            <w:shd w:val="clear" w:color="auto" w:fill="auto"/>
            <w:noWrap/>
            <w:vAlign w:val="bottom"/>
            <w:hideMark/>
          </w:tcPr>
          <w:p w14:paraId="6F2D1C56" w14:textId="77777777" w:rsidR="00CC6562" w:rsidRPr="00CC6562" w:rsidRDefault="00CC6562" w:rsidP="00CC6562">
            <w:pPr>
              <w:spacing w:after="0" w:line="240" w:lineRule="auto"/>
              <w:jc w:val="lef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30A4EF00" w14:textId="77777777" w:rsidR="00CC6562" w:rsidRPr="00CC6562" w:rsidRDefault="00CC6562" w:rsidP="00CC6562">
            <w:pPr>
              <w:spacing w:after="0" w:line="240" w:lineRule="auto"/>
              <w:jc w:val="left"/>
              <w:rPr>
                <w:rFonts w:ascii="Times New Roman" w:hAnsi="Times New Roman"/>
              </w:rPr>
            </w:pPr>
          </w:p>
        </w:tc>
        <w:tc>
          <w:tcPr>
            <w:tcW w:w="578" w:type="pct"/>
            <w:tcBorders>
              <w:top w:val="nil"/>
              <w:left w:val="nil"/>
              <w:bottom w:val="nil"/>
              <w:right w:val="nil"/>
            </w:tcBorders>
            <w:shd w:val="clear" w:color="auto" w:fill="auto"/>
            <w:noWrap/>
            <w:vAlign w:val="bottom"/>
            <w:hideMark/>
          </w:tcPr>
          <w:p w14:paraId="4271B23C" w14:textId="77777777" w:rsidR="00CC6562" w:rsidRPr="00CC6562" w:rsidRDefault="00CC6562" w:rsidP="00CC6562">
            <w:pPr>
              <w:spacing w:after="0" w:line="240" w:lineRule="auto"/>
              <w:jc w:val="left"/>
              <w:rPr>
                <w:rFonts w:ascii="Times New Roman" w:hAnsi="Times New Roman"/>
              </w:rPr>
            </w:pPr>
          </w:p>
        </w:tc>
      </w:tr>
      <w:tr w:rsidR="00CC6562" w:rsidRPr="00CC6562" w14:paraId="1B3D8116" w14:textId="77777777" w:rsidTr="00CC6562">
        <w:trPr>
          <w:trHeight w:val="200"/>
        </w:trPr>
        <w:tc>
          <w:tcPr>
            <w:tcW w:w="2110" w:type="pct"/>
            <w:tcBorders>
              <w:top w:val="nil"/>
              <w:left w:val="nil"/>
              <w:bottom w:val="nil"/>
              <w:right w:val="nil"/>
            </w:tcBorders>
            <w:shd w:val="clear" w:color="auto" w:fill="auto"/>
            <w:noWrap/>
            <w:vAlign w:val="bottom"/>
            <w:hideMark/>
          </w:tcPr>
          <w:p w14:paraId="18E6C4D0" w14:textId="77777777" w:rsidR="00CC6562" w:rsidRPr="00CC6562" w:rsidRDefault="00CC6562" w:rsidP="00CC6562">
            <w:pPr>
              <w:spacing w:after="0" w:line="240" w:lineRule="auto"/>
              <w:ind w:firstLineChars="100" w:firstLine="160"/>
              <w:jc w:val="left"/>
              <w:rPr>
                <w:rFonts w:ascii="Arial" w:hAnsi="Arial" w:cs="Arial"/>
                <w:sz w:val="16"/>
                <w:szCs w:val="16"/>
              </w:rPr>
            </w:pPr>
            <w:r w:rsidRPr="00CC6562">
              <w:rPr>
                <w:rFonts w:ascii="Arial" w:hAnsi="Arial" w:cs="Arial"/>
                <w:sz w:val="16"/>
                <w:szCs w:val="16"/>
              </w:rPr>
              <w:t>Principal payments on lease liability</w:t>
            </w:r>
          </w:p>
        </w:tc>
        <w:tc>
          <w:tcPr>
            <w:tcW w:w="578" w:type="pct"/>
            <w:tcBorders>
              <w:top w:val="nil"/>
              <w:left w:val="nil"/>
              <w:bottom w:val="nil"/>
              <w:right w:val="nil"/>
            </w:tcBorders>
            <w:shd w:val="clear" w:color="auto" w:fill="auto"/>
            <w:noWrap/>
            <w:vAlign w:val="bottom"/>
            <w:hideMark/>
          </w:tcPr>
          <w:p w14:paraId="68192265"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12,940 </w:t>
            </w:r>
          </w:p>
        </w:tc>
        <w:tc>
          <w:tcPr>
            <w:tcW w:w="578" w:type="pct"/>
            <w:tcBorders>
              <w:top w:val="nil"/>
              <w:left w:val="nil"/>
              <w:bottom w:val="nil"/>
              <w:right w:val="nil"/>
            </w:tcBorders>
            <w:shd w:val="clear" w:color="000000" w:fill="E6E6E6"/>
            <w:noWrap/>
            <w:vAlign w:val="bottom"/>
            <w:hideMark/>
          </w:tcPr>
          <w:p w14:paraId="27497DCB"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14,028 </w:t>
            </w:r>
          </w:p>
        </w:tc>
        <w:tc>
          <w:tcPr>
            <w:tcW w:w="578" w:type="pct"/>
            <w:tcBorders>
              <w:top w:val="nil"/>
              <w:left w:val="nil"/>
              <w:bottom w:val="nil"/>
              <w:right w:val="nil"/>
            </w:tcBorders>
            <w:shd w:val="clear" w:color="auto" w:fill="auto"/>
            <w:noWrap/>
            <w:vAlign w:val="bottom"/>
            <w:hideMark/>
          </w:tcPr>
          <w:p w14:paraId="496BAD50"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14,478 </w:t>
            </w:r>
          </w:p>
        </w:tc>
        <w:tc>
          <w:tcPr>
            <w:tcW w:w="578" w:type="pct"/>
            <w:tcBorders>
              <w:top w:val="nil"/>
              <w:left w:val="nil"/>
              <w:bottom w:val="nil"/>
              <w:right w:val="nil"/>
            </w:tcBorders>
            <w:shd w:val="clear" w:color="auto" w:fill="auto"/>
            <w:noWrap/>
            <w:vAlign w:val="bottom"/>
            <w:hideMark/>
          </w:tcPr>
          <w:p w14:paraId="42E4A45D"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15,068 </w:t>
            </w:r>
          </w:p>
        </w:tc>
        <w:tc>
          <w:tcPr>
            <w:tcW w:w="578" w:type="pct"/>
            <w:tcBorders>
              <w:top w:val="nil"/>
              <w:left w:val="nil"/>
              <w:bottom w:val="nil"/>
              <w:right w:val="nil"/>
            </w:tcBorders>
            <w:shd w:val="clear" w:color="auto" w:fill="auto"/>
            <w:noWrap/>
            <w:vAlign w:val="bottom"/>
            <w:hideMark/>
          </w:tcPr>
          <w:p w14:paraId="58825681"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15,068 </w:t>
            </w:r>
          </w:p>
        </w:tc>
      </w:tr>
      <w:tr w:rsidR="00CC6562" w:rsidRPr="00CC6562" w14:paraId="79331EFE" w14:textId="77777777" w:rsidTr="00CC6562">
        <w:trPr>
          <w:trHeight w:val="200"/>
        </w:trPr>
        <w:tc>
          <w:tcPr>
            <w:tcW w:w="2110" w:type="pct"/>
            <w:tcBorders>
              <w:top w:val="nil"/>
              <w:left w:val="nil"/>
              <w:bottom w:val="nil"/>
              <w:right w:val="nil"/>
            </w:tcBorders>
            <w:shd w:val="clear" w:color="auto" w:fill="auto"/>
            <w:noWrap/>
            <w:vAlign w:val="bottom"/>
            <w:hideMark/>
          </w:tcPr>
          <w:p w14:paraId="218DE3E3" w14:textId="77777777" w:rsidR="00CC6562" w:rsidRPr="00CC6562" w:rsidRDefault="00CC6562" w:rsidP="00CC6562">
            <w:pPr>
              <w:spacing w:after="0" w:line="240" w:lineRule="auto"/>
              <w:jc w:val="left"/>
              <w:rPr>
                <w:rFonts w:ascii="Arial" w:hAnsi="Arial" w:cs="Arial"/>
                <w:b/>
                <w:bCs/>
                <w:i/>
                <w:iCs/>
                <w:color w:val="000000"/>
                <w:sz w:val="16"/>
                <w:szCs w:val="16"/>
              </w:rPr>
            </w:pPr>
            <w:r w:rsidRPr="00CC6562">
              <w:rPr>
                <w:rFonts w:ascii="Arial" w:hAnsi="Arial" w:cs="Arial"/>
                <w:b/>
                <w:bCs/>
                <w:i/>
                <w:iCs/>
                <w:color w:val="000000"/>
                <w:sz w:val="16"/>
                <w:szCs w:val="16"/>
              </w:rPr>
              <w:t>Total cash used</w:t>
            </w:r>
          </w:p>
        </w:tc>
        <w:tc>
          <w:tcPr>
            <w:tcW w:w="578" w:type="pct"/>
            <w:tcBorders>
              <w:top w:val="single" w:sz="4" w:space="0" w:color="000000"/>
              <w:left w:val="nil"/>
              <w:bottom w:val="single" w:sz="4" w:space="0" w:color="000000"/>
              <w:right w:val="nil"/>
            </w:tcBorders>
            <w:shd w:val="clear" w:color="auto" w:fill="auto"/>
            <w:noWrap/>
            <w:vAlign w:val="bottom"/>
            <w:hideMark/>
          </w:tcPr>
          <w:p w14:paraId="5B6C4C76" w14:textId="77777777" w:rsidR="00CC6562" w:rsidRPr="00CC6562" w:rsidRDefault="00CC6562" w:rsidP="00CC6562">
            <w:pPr>
              <w:spacing w:after="0" w:line="240" w:lineRule="auto"/>
              <w:jc w:val="right"/>
              <w:rPr>
                <w:rFonts w:ascii="Arial" w:hAnsi="Arial" w:cs="Arial"/>
                <w:b/>
                <w:bCs/>
                <w:i/>
                <w:iCs/>
                <w:color w:val="000000"/>
                <w:sz w:val="16"/>
                <w:szCs w:val="16"/>
              </w:rPr>
            </w:pPr>
            <w:r w:rsidRPr="00CC6562">
              <w:rPr>
                <w:rFonts w:ascii="Arial" w:hAnsi="Arial" w:cs="Arial"/>
                <w:b/>
                <w:bCs/>
                <w:i/>
                <w:iCs/>
                <w:color w:val="000000"/>
                <w:sz w:val="16"/>
                <w:szCs w:val="16"/>
              </w:rPr>
              <w:t xml:space="preserve">12,940 </w:t>
            </w:r>
          </w:p>
        </w:tc>
        <w:tc>
          <w:tcPr>
            <w:tcW w:w="578" w:type="pct"/>
            <w:tcBorders>
              <w:top w:val="single" w:sz="4" w:space="0" w:color="000000"/>
              <w:left w:val="nil"/>
              <w:bottom w:val="single" w:sz="4" w:space="0" w:color="000000"/>
              <w:right w:val="nil"/>
            </w:tcBorders>
            <w:shd w:val="clear" w:color="000000" w:fill="E6E6E6"/>
            <w:noWrap/>
            <w:vAlign w:val="bottom"/>
            <w:hideMark/>
          </w:tcPr>
          <w:p w14:paraId="64BE3244" w14:textId="77777777" w:rsidR="00CC6562" w:rsidRPr="00CC6562" w:rsidRDefault="00CC6562" w:rsidP="00CC6562">
            <w:pPr>
              <w:spacing w:after="0" w:line="240" w:lineRule="auto"/>
              <w:jc w:val="right"/>
              <w:rPr>
                <w:rFonts w:ascii="Arial" w:hAnsi="Arial" w:cs="Arial"/>
                <w:b/>
                <w:bCs/>
                <w:i/>
                <w:iCs/>
                <w:color w:val="000000"/>
                <w:sz w:val="16"/>
                <w:szCs w:val="16"/>
              </w:rPr>
            </w:pPr>
            <w:r w:rsidRPr="00CC6562">
              <w:rPr>
                <w:rFonts w:ascii="Arial" w:hAnsi="Arial" w:cs="Arial"/>
                <w:b/>
                <w:bCs/>
                <w:i/>
                <w:iCs/>
                <w:color w:val="000000"/>
                <w:sz w:val="16"/>
                <w:szCs w:val="16"/>
              </w:rPr>
              <w:t xml:space="preserve">14,028 </w:t>
            </w:r>
          </w:p>
        </w:tc>
        <w:tc>
          <w:tcPr>
            <w:tcW w:w="578" w:type="pct"/>
            <w:tcBorders>
              <w:top w:val="single" w:sz="4" w:space="0" w:color="000000"/>
              <w:left w:val="nil"/>
              <w:bottom w:val="single" w:sz="4" w:space="0" w:color="000000"/>
              <w:right w:val="nil"/>
            </w:tcBorders>
            <w:shd w:val="clear" w:color="auto" w:fill="auto"/>
            <w:noWrap/>
            <w:vAlign w:val="bottom"/>
            <w:hideMark/>
          </w:tcPr>
          <w:p w14:paraId="6F9B4E04" w14:textId="77777777" w:rsidR="00CC6562" w:rsidRPr="00CC6562" w:rsidRDefault="00CC6562" w:rsidP="00CC6562">
            <w:pPr>
              <w:spacing w:after="0" w:line="240" w:lineRule="auto"/>
              <w:jc w:val="right"/>
              <w:rPr>
                <w:rFonts w:ascii="Arial" w:hAnsi="Arial" w:cs="Arial"/>
                <w:b/>
                <w:bCs/>
                <w:i/>
                <w:iCs/>
                <w:color w:val="000000"/>
                <w:sz w:val="16"/>
                <w:szCs w:val="16"/>
              </w:rPr>
            </w:pPr>
            <w:r w:rsidRPr="00CC6562">
              <w:rPr>
                <w:rFonts w:ascii="Arial" w:hAnsi="Arial" w:cs="Arial"/>
                <w:b/>
                <w:bCs/>
                <w:i/>
                <w:iCs/>
                <w:color w:val="000000"/>
                <w:sz w:val="16"/>
                <w:szCs w:val="16"/>
              </w:rPr>
              <w:t xml:space="preserve">14,478 </w:t>
            </w:r>
          </w:p>
        </w:tc>
        <w:tc>
          <w:tcPr>
            <w:tcW w:w="578" w:type="pct"/>
            <w:tcBorders>
              <w:top w:val="single" w:sz="4" w:space="0" w:color="000000"/>
              <w:left w:val="nil"/>
              <w:bottom w:val="single" w:sz="4" w:space="0" w:color="000000"/>
              <w:right w:val="nil"/>
            </w:tcBorders>
            <w:shd w:val="clear" w:color="auto" w:fill="auto"/>
            <w:noWrap/>
            <w:vAlign w:val="bottom"/>
            <w:hideMark/>
          </w:tcPr>
          <w:p w14:paraId="340CDE33" w14:textId="77777777" w:rsidR="00CC6562" w:rsidRPr="00CC6562" w:rsidRDefault="00CC6562" w:rsidP="00CC6562">
            <w:pPr>
              <w:spacing w:after="0" w:line="240" w:lineRule="auto"/>
              <w:jc w:val="right"/>
              <w:rPr>
                <w:rFonts w:ascii="Arial" w:hAnsi="Arial" w:cs="Arial"/>
                <w:b/>
                <w:bCs/>
                <w:i/>
                <w:iCs/>
                <w:color w:val="000000"/>
                <w:sz w:val="16"/>
                <w:szCs w:val="16"/>
              </w:rPr>
            </w:pPr>
            <w:r w:rsidRPr="00CC6562">
              <w:rPr>
                <w:rFonts w:ascii="Arial" w:hAnsi="Arial" w:cs="Arial"/>
                <w:b/>
                <w:bCs/>
                <w:i/>
                <w:iCs/>
                <w:color w:val="000000"/>
                <w:sz w:val="16"/>
                <w:szCs w:val="16"/>
              </w:rPr>
              <w:t xml:space="preserve">15,068 </w:t>
            </w:r>
          </w:p>
        </w:tc>
        <w:tc>
          <w:tcPr>
            <w:tcW w:w="578" w:type="pct"/>
            <w:tcBorders>
              <w:top w:val="single" w:sz="4" w:space="0" w:color="000000"/>
              <w:left w:val="nil"/>
              <w:bottom w:val="single" w:sz="4" w:space="0" w:color="000000"/>
              <w:right w:val="nil"/>
            </w:tcBorders>
            <w:shd w:val="clear" w:color="auto" w:fill="auto"/>
            <w:noWrap/>
            <w:vAlign w:val="bottom"/>
            <w:hideMark/>
          </w:tcPr>
          <w:p w14:paraId="6CB50FFC" w14:textId="77777777" w:rsidR="00CC6562" w:rsidRPr="00CC6562" w:rsidRDefault="00CC6562" w:rsidP="00CC6562">
            <w:pPr>
              <w:spacing w:after="0" w:line="240" w:lineRule="auto"/>
              <w:jc w:val="right"/>
              <w:rPr>
                <w:rFonts w:ascii="Arial" w:hAnsi="Arial" w:cs="Arial"/>
                <w:b/>
                <w:bCs/>
                <w:i/>
                <w:iCs/>
                <w:color w:val="000000"/>
                <w:sz w:val="16"/>
                <w:szCs w:val="16"/>
              </w:rPr>
            </w:pPr>
            <w:r w:rsidRPr="00CC6562">
              <w:rPr>
                <w:rFonts w:ascii="Arial" w:hAnsi="Arial" w:cs="Arial"/>
                <w:b/>
                <w:bCs/>
                <w:i/>
                <w:iCs/>
                <w:color w:val="000000"/>
                <w:sz w:val="16"/>
                <w:szCs w:val="16"/>
              </w:rPr>
              <w:t xml:space="preserve">15,068 </w:t>
            </w:r>
          </w:p>
        </w:tc>
      </w:tr>
      <w:tr w:rsidR="00CC6562" w:rsidRPr="00CC6562" w14:paraId="052F8DC0" w14:textId="77777777" w:rsidTr="00CC6562">
        <w:trPr>
          <w:trHeight w:val="420"/>
        </w:trPr>
        <w:tc>
          <w:tcPr>
            <w:tcW w:w="2110" w:type="pct"/>
            <w:tcBorders>
              <w:top w:val="nil"/>
              <w:left w:val="nil"/>
              <w:bottom w:val="nil"/>
              <w:right w:val="nil"/>
            </w:tcBorders>
            <w:shd w:val="clear" w:color="auto" w:fill="auto"/>
            <w:vAlign w:val="bottom"/>
            <w:hideMark/>
          </w:tcPr>
          <w:p w14:paraId="3938FE92" w14:textId="77777777" w:rsidR="00CC6562" w:rsidRPr="00CC6562" w:rsidRDefault="00CC6562" w:rsidP="00CC6562">
            <w:pPr>
              <w:spacing w:after="0" w:line="240" w:lineRule="auto"/>
              <w:jc w:val="left"/>
              <w:rPr>
                <w:rFonts w:ascii="Arial" w:hAnsi="Arial" w:cs="Arial"/>
                <w:b/>
                <w:bCs/>
                <w:color w:val="000000"/>
                <w:sz w:val="16"/>
                <w:szCs w:val="16"/>
              </w:rPr>
            </w:pPr>
            <w:r w:rsidRPr="00CC6562">
              <w:rPr>
                <w:rFonts w:ascii="Arial" w:hAnsi="Arial" w:cs="Arial"/>
                <w:b/>
                <w:bCs/>
                <w:color w:val="000000"/>
                <w:sz w:val="16"/>
                <w:szCs w:val="16"/>
              </w:rPr>
              <w:t>Net cash from/(used by)</w:t>
            </w:r>
            <w:r w:rsidRPr="00CC6562">
              <w:rPr>
                <w:rFonts w:ascii="Arial" w:hAnsi="Arial" w:cs="Arial"/>
                <w:b/>
                <w:bCs/>
                <w:color w:val="000000"/>
                <w:sz w:val="16"/>
                <w:szCs w:val="16"/>
              </w:rPr>
              <w:br/>
              <w:t xml:space="preserve">  financing activities</w:t>
            </w:r>
          </w:p>
        </w:tc>
        <w:tc>
          <w:tcPr>
            <w:tcW w:w="578" w:type="pct"/>
            <w:tcBorders>
              <w:top w:val="nil"/>
              <w:left w:val="nil"/>
              <w:bottom w:val="single" w:sz="4" w:space="0" w:color="000000"/>
              <w:right w:val="nil"/>
            </w:tcBorders>
            <w:shd w:val="clear" w:color="auto" w:fill="auto"/>
            <w:noWrap/>
            <w:vAlign w:val="bottom"/>
            <w:hideMark/>
          </w:tcPr>
          <w:p w14:paraId="5A8AEA19" w14:textId="77777777" w:rsidR="00CC6562" w:rsidRPr="00CC6562" w:rsidRDefault="00CC6562" w:rsidP="00CC6562">
            <w:pPr>
              <w:spacing w:after="0" w:line="240" w:lineRule="auto"/>
              <w:jc w:val="right"/>
              <w:rPr>
                <w:rFonts w:ascii="Arial" w:hAnsi="Arial" w:cs="Arial"/>
                <w:b/>
                <w:bCs/>
                <w:color w:val="000000"/>
                <w:sz w:val="16"/>
                <w:szCs w:val="16"/>
              </w:rPr>
            </w:pPr>
            <w:r w:rsidRPr="00CC6562">
              <w:rPr>
                <w:rFonts w:ascii="Arial" w:hAnsi="Arial" w:cs="Arial"/>
                <w:b/>
                <w:bCs/>
                <w:color w:val="000000"/>
                <w:sz w:val="16"/>
                <w:szCs w:val="16"/>
              </w:rPr>
              <w:t xml:space="preserve">41,546 </w:t>
            </w:r>
          </w:p>
        </w:tc>
        <w:tc>
          <w:tcPr>
            <w:tcW w:w="578" w:type="pct"/>
            <w:tcBorders>
              <w:top w:val="nil"/>
              <w:left w:val="nil"/>
              <w:bottom w:val="single" w:sz="4" w:space="0" w:color="000000"/>
              <w:right w:val="nil"/>
            </w:tcBorders>
            <w:shd w:val="clear" w:color="000000" w:fill="E6E6E6"/>
            <w:noWrap/>
            <w:vAlign w:val="bottom"/>
            <w:hideMark/>
          </w:tcPr>
          <w:p w14:paraId="1E43B0BA" w14:textId="77777777" w:rsidR="00CC6562" w:rsidRPr="00CC6562" w:rsidRDefault="00CC6562" w:rsidP="00CC6562">
            <w:pPr>
              <w:spacing w:after="0" w:line="240" w:lineRule="auto"/>
              <w:jc w:val="right"/>
              <w:rPr>
                <w:rFonts w:ascii="Arial" w:hAnsi="Arial" w:cs="Arial"/>
                <w:b/>
                <w:bCs/>
                <w:color w:val="000000"/>
                <w:sz w:val="16"/>
                <w:szCs w:val="16"/>
              </w:rPr>
            </w:pPr>
            <w:r w:rsidRPr="00CC6562">
              <w:rPr>
                <w:rFonts w:ascii="Arial" w:hAnsi="Arial" w:cs="Arial"/>
                <w:b/>
                <w:bCs/>
                <w:color w:val="000000"/>
                <w:sz w:val="16"/>
                <w:szCs w:val="16"/>
              </w:rPr>
              <w:t xml:space="preserve">18,944 </w:t>
            </w:r>
          </w:p>
        </w:tc>
        <w:tc>
          <w:tcPr>
            <w:tcW w:w="578" w:type="pct"/>
            <w:tcBorders>
              <w:top w:val="nil"/>
              <w:left w:val="nil"/>
              <w:bottom w:val="single" w:sz="4" w:space="0" w:color="000000"/>
              <w:right w:val="nil"/>
            </w:tcBorders>
            <w:shd w:val="clear" w:color="auto" w:fill="auto"/>
            <w:noWrap/>
            <w:vAlign w:val="bottom"/>
            <w:hideMark/>
          </w:tcPr>
          <w:p w14:paraId="25DF9BC6" w14:textId="77777777" w:rsidR="00CC6562" w:rsidRPr="00CC6562" w:rsidRDefault="00CC6562" w:rsidP="00CC6562">
            <w:pPr>
              <w:spacing w:after="0" w:line="240" w:lineRule="auto"/>
              <w:jc w:val="right"/>
              <w:rPr>
                <w:rFonts w:ascii="Arial" w:hAnsi="Arial" w:cs="Arial"/>
                <w:b/>
                <w:bCs/>
                <w:color w:val="000000"/>
                <w:sz w:val="16"/>
                <w:szCs w:val="16"/>
              </w:rPr>
            </w:pPr>
            <w:r w:rsidRPr="00CC6562">
              <w:rPr>
                <w:rFonts w:ascii="Arial" w:hAnsi="Arial" w:cs="Arial"/>
                <w:b/>
                <w:bCs/>
                <w:color w:val="000000"/>
                <w:sz w:val="16"/>
                <w:szCs w:val="16"/>
              </w:rPr>
              <w:t xml:space="preserve">13,686 </w:t>
            </w:r>
          </w:p>
        </w:tc>
        <w:tc>
          <w:tcPr>
            <w:tcW w:w="578" w:type="pct"/>
            <w:tcBorders>
              <w:top w:val="nil"/>
              <w:left w:val="nil"/>
              <w:bottom w:val="single" w:sz="4" w:space="0" w:color="000000"/>
              <w:right w:val="nil"/>
            </w:tcBorders>
            <w:shd w:val="clear" w:color="auto" w:fill="auto"/>
            <w:noWrap/>
            <w:vAlign w:val="bottom"/>
            <w:hideMark/>
          </w:tcPr>
          <w:p w14:paraId="0E67CA5B" w14:textId="77777777" w:rsidR="00CC6562" w:rsidRPr="00CC6562" w:rsidRDefault="00CC6562" w:rsidP="00CC6562">
            <w:pPr>
              <w:spacing w:after="0" w:line="240" w:lineRule="auto"/>
              <w:jc w:val="right"/>
              <w:rPr>
                <w:rFonts w:ascii="Arial" w:hAnsi="Arial" w:cs="Arial"/>
                <w:b/>
                <w:bCs/>
                <w:color w:val="000000"/>
                <w:sz w:val="16"/>
                <w:szCs w:val="16"/>
              </w:rPr>
            </w:pPr>
            <w:r w:rsidRPr="00CC6562">
              <w:rPr>
                <w:rFonts w:ascii="Arial" w:hAnsi="Arial" w:cs="Arial"/>
                <w:b/>
                <w:bCs/>
                <w:color w:val="000000"/>
                <w:sz w:val="16"/>
                <w:szCs w:val="16"/>
              </w:rPr>
              <w:t>(2,036)</w:t>
            </w:r>
          </w:p>
        </w:tc>
        <w:tc>
          <w:tcPr>
            <w:tcW w:w="578" w:type="pct"/>
            <w:tcBorders>
              <w:top w:val="nil"/>
              <w:left w:val="nil"/>
              <w:bottom w:val="single" w:sz="4" w:space="0" w:color="000000"/>
              <w:right w:val="nil"/>
            </w:tcBorders>
            <w:shd w:val="clear" w:color="auto" w:fill="auto"/>
            <w:noWrap/>
            <w:vAlign w:val="bottom"/>
            <w:hideMark/>
          </w:tcPr>
          <w:p w14:paraId="3ECACD37" w14:textId="77777777" w:rsidR="00CC6562" w:rsidRPr="00CC6562" w:rsidRDefault="00CC6562" w:rsidP="00CC6562">
            <w:pPr>
              <w:spacing w:after="0" w:line="240" w:lineRule="auto"/>
              <w:jc w:val="right"/>
              <w:rPr>
                <w:rFonts w:ascii="Arial" w:hAnsi="Arial" w:cs="Arial"/>
                <w:b/>
                <w:bCs/>
                <w:color w:val="000000"/>
                <w:sz w:val="16"/>
                <w:szCs w:val="16"/>
              </w:rPr>
            </w:pPr>
            <w:r w:rsidRPr="00CC6562">
              <w:rPr>
                <w:rFonts w:ascii="Arial" w:hAnsi="Arial" w:cs="Arial"/>
                <w:b/>
                <w:bCs/>
                <w:color w:val="000000"/>
                <w:sz w:val="16"/>
                <w:szCs w:val="16"/>
              </w:rPr>
              <w:t>(4,694)</w:t>
            </w:r>
          </w:p>
        </w:tc>
      </w:tr>
      <w:tr w:rsidR="00CC6562" w:rsidRPr="00CC6562" w14:paraId="7A052AC8" w14:textId="77777777" w:rsidTr="00CC6562">
        <w:trPr>
          <w:trHeight w:val="420"/>
        </w:trPr>
        <w:tc>
          <w:tcPr>
            <w:tcW w:w="2110" w:type="pct"/>
            <w:tcBorders>
              <w:top w:val="nil"/>
              <w:left w:val="nil"/>
              <w:bottom w:val="nil"/>
              <w:right w:val="nil"/>
            </w:tcBorders>
            <w:shd w:val="clear" w:color="auto" w:fill="auto"/>
            <w:vAlign w:val="bottom"/>
            <w:hideMark/>
          </w:tcPr>
          <w:p w14:paraId="0C5DBF44" w14:textId="77777777" w:rsidR="00CC6562" w:rsidRPr="00CC6562" w:rsidRDefault="00CC6562" w:rsidP="00CC6562">
            <w:pPr>
              <w:spacing w:after="0" w:line="240" w:lineRule="auto"/>
              <w:jc w:val="left"/>
              <w:rPr>
                <w:rFonts w:ascii="Arial" w:hAnsi="Arial" w:cs="Arial"/>
                <w:b/>
                <w:bCs/>
                <w:color w:val="000000"/>
                <w:sz w:val="16"/>
                <w:szCs w:val="16"/>
              </w:rPr>
            </w:pPr>
            <w:r w:rsidRPr="00CC6562">
              <w:rPr>
                <w:rFonts w:ascii="Arial" w:hAnsi="Arial" w:cs="Arial"/>
                <w:b/>
                <w:bCs/>
                <w:color w:val="000000"/>
                <w:sz w:val="16"/>
                <w:szCs w:val="16"/>
              </w:rPr>
              <w:t>Net increase/(decrease) in cash</w:t>
            </w:r>
            <w:r w:rsidRPr="00CC6562">
              <w:rPr>
                <w:rFonts w:ascii="Arial" w:hAnsi="Arial" w:cs="Arial"/>
                <w:b/>
                <w:bCs/>
                <w:color w:val="000000"/>
                <w:sz w:val="16"/>
                <w:szCs w:val="16"/>
              </w:rPr>
              <w:br/>
              <w:t xml:space="preserve">  held</w:t>
            </w:r>
          </w:p>
        </w:tc>
        <w:tc>
          <w:tcPr>
            <w:tcW w:w="578" w:type="pct"/>
            <w:tcBorders>
              <w:top w:val="nil"/>
              <w:left w:val="nil"/>
              <w:bottom w:val="single" w:sz="4" w:space="0" w:color="000000"/>
              <w:right w:val="nil"/>
            </w:tcBorders>
            <w:shd w:val="clear" w:color="auto" w:fill="auto"/>
            <w:noWrap/>
            <w:vAlign w:val="bottom"/>
            <w:hideMark/>
          </w:tcPr>
          <w:p w14:paraId="037F563E" w14:textId="77777777" w:rsidR="00CC6562" w:rsidRPr="00CC6562" w:rsidRDefault="00CC6562" w:rsidP="00CC6562">
            <w:pPr>
              <w:spacing w:after="0" w:line="240" w:lineRule="auto"/>
              <w:jc w:val="right"/>
              <w:rPr>
                <w:rFonts w:ascii="Arial" w:hAnsi="Arial" w:cs="Arial"/>
                <w:b/>
                <w:bCs/>
                <w:color w:val="000000"/>
                <w:sz w:val="16"/>
                <w:szCs w:val="16"/>
              </w:rPr>
            </w:pPr>
            <w:r w:rsidRPr="00CC6562">
              <w:rPr>
                <w:rFonts w:ascii="Arial" w:hAnsi="Arial" w:cs="Arial"/>
                <w:b/>
                <w:bCs/>
                <w:color w:val="000000"/>
                <w:sz w:val="16"/>
                <w:szCs w:val="16"/>
              </w:rPr>
              <w:t xml:space="preserve">- </w:t>
            </w:r>
          </w:p>
        </w:tc>
        <w:tc>
          <w:tcPr>
            <w:tcW w:w="578" w:type="pct"/>
            <w:tcBorders>
              <w:top w:val="nil"/>
              <w:left w:val="nil"/>
              <w:bottom w:val="single" w:sz="4" w:space="0" w:color="000000"/>
              <w:right w:val="nil"/>
            </w:tcBorders>
            <w:shd w:val="clear" w:color="000000" w:fill="E6E6E6"/>
            <w:noWrap/>
            <w:vAlign w:val="bottom"/>
            <w:hideMark/>
          </w:tcPr>
          <w:p w14:paraId="471C4763" w14:textId="77777777" w:rsidR="00CC6562" w:rsidRPr="00CC6562" w:rsidRDefault="00CC6562" w:rsidP="00CC6562">
            <w:pPr>
              <w:spacing w:after="0" w:line="240" w:lineRule="auto"/>
              <w:jc w:val="right"/>
              <w:rPr>
                <w:rFonts w:ascii="Arial" w:hAnsi="Arial" w:cs="Arial"/>
                <w:b/>
                <w:bCs/>
                <w:color w:val="000000"/>
                <w:sz w:val="16"/>
                <w:szCs w:val="16"/>
              </w:rPr>
            </w:pPr>
            <w:r w:rsidRPr="00CC6562">
              <w:rPr>
                <w:rFonts w:ascii="Arial" w:hAnsi="Arial" w:cs="Arial"/>
                <w:b/>
                <w:bCs/>
                <w:color w:val="000000"/>
                <w:sz w:val="16"/>
                <w:szCs w:val="16"/>
              </w:rPr>
              <w:t xml:space="preserve">- </w:t>
            </w:r>
          </w:p>
        </w:tc>
        <w:tc>
          <w:tcPr>
            <w:tcW w:w="578" w:type="pct"/>
            <w:tcBorders>
              <w:top w:val="nil"/>
              <w:left w:val="nil"/>
              <w:bottom w:val="single" w:sz="4" w:space="0" w:color="000000"/>
              <w:right w:val="nil"/>
            </w:tcBorders>
            <w:shd w:val="clear" w:color="auto" w:fill="auto"/>
            <w:noWrap/>
            <w:vAlign w:val="bottom"/>
            <w:hideMark/>
          </w:tcPr>
          <w:p w14:paraId="22EB8A04" w14:textId="77777777" w:rsidR="00CC6562" w:rsidRPr="00CC6562" w:rsidRDefault="00CC6562" w:rsidP="00CC6562">
            <w:pPr>
              <w:spacing w:after="0" w:line="240" w:lineRule="auto"/>
              <w:jc w:val="right"/>
              <w:rPr>
                <w:rFonts w:ascii="Arial" w:hAnsi="Arial" w:cs="Arial"/>
                <w:b/>
                <w:bCs/>
                <w:color w:val="000000"/>
                <w:sz w:val="16"/>
                <w:szCs w:val="16"/>
              </w:rPr>
            </w:pPr>
            <w:r w:rsidRPr="00CC6562">
              <w:rPr>
                <w:rFonts w:ascii="Arial" w:hAnsi="Arial" w:cs="Arial"/>
                <w:b/>
                <w:bCs/>
                <w:color w:val="000000"/>
                <w:sz w:val="16"/>
                <w:szCs w:val="16"/>
              </w:rPr>
              <w:t xml:space="preserve">- </w:t>
            </w:r>
          </w:p>
        </w:tc>
        <w:tc>
          <w:tcPr>
            <w:tcW w:w="578" w:type="pct"/>
            <w:tcBorders>
              <w:top w:val="nil"/>
              <w:left w:val="nil"/>
              <w:bottom w:val="single" w:sz="4" w:space="0" w:color="000000"/>
              <w:right w:val="nil"/>
            </w:tcBorders>
            <w:shd w:val="clear" w:color="auto" w:fill="auto"/>
            <w:noWrap/>
            <w:vAlign w:val="bottom"/>
            <w:hideMark/>
          </w:tcPr>
          <w:p w14:paraId="411A8841" w14:textId="77777777" w:rsidR="00CC6562" w:rsidRPr="00CC6562" w:rsidRDefault="00CC6562" w:rsidP="00CC6562">
            <w:pPr>
              <w:spacing w:after="0" w:line="240" w:lineRule="auto"/>
              <w:jc w:val="right"/>
              <w:rPr>
                <w:rFonts w:ascii="Arial" w:hAnsi="Arial" w:cs="Arial"/>
                <w:b/>
                <w:bCs/>
                <w:color w:val="000000"/>
                <w:sz w:val="16"/>
                <w:szCs w:val="16"/>
              </w:rPr>
            </w:pPr>
            <w:r w:rsidRPr="00CC6562">
              <w:rPr>
                <w:rFonts w:ascii="Arial" w:hAnsi="Arial" w:cs="Arial"/>
                <w:b/>
                <w:bCs/>
                <w:color w:val="000000"/>
                <w:sz w:val="16"/>
                <w:szCs w:val="16"/>
              </w:rPr>
              <w:t xml:space="preserve">- </w:t>
            </w:r>
          </w:p>
        </w:tc>
        <w:tc>
          <w:tcPr>
            <w:tcW w:w="578" w:type="pct"/>
            <w:tcBorders>
              <w:top w:val="nil"/>
              <w:left w:val="nil"/>
              <w:bottom w:val="single" w:sz="4" w:space="0" w:color="000000"/>
              <w:right w:val="nil"/>
            </w:tcBorders>
            <w:shd w:val="clear" w:color="auto" w:fill="auto"/>
            <w:noWrap/>
            <w:vAlign w:val="bottom"/>
            <w:hideMark/>
          </w:tcPr>
          <w:p w14:paraId="31EA066C" w14:textId="77777777" w:rsidR="00CC6562" w:rsidRPr="00CC6562" w:rsidRDefault="00CC6562" w:rsidP="00CC6562">
            <w:pPr>
              <w:spacing w:after="0" w:line="240" w:lineRule="auto"/>
              <w:jc w:val="right"/>
              <w:rPr>
                <w:rFonts w:ascii="Arial" w:hAnsi="Arial" w:cs="Arial"/>
                <w:b/>
                <w:bCs/>
                <w:color w:val="000000"/>
                <w:sz w:val="16"/>
                <w:szCs w:val="16"/>
              </w:rPr>
            </w:pPr>
            <w:r w:rsidRPr="00CC6562">
              <w:rPr>
                <w:rFonts w:ascii="Arial" w:hAnsi="Arial" w:cs="Arial"/>
                <w:b/>
                <w:bCs/>
                <w:color w:val="000000"/>
                <w:sz w:val="16"/>
                <w:szCs w:val="16"/>
              </w:rPr>
              <w:t xml:space="preserve">- </w:t>
            </w:r>
          </w:p>
        </w:tc>
      </w:tr>
      <w:tr w:rsidR="00CC6562" w:rsidRPr="00CC6562" w14:paraId="75E4B747" w14:textId="77777777" w:rsidTr="00CC6562">
        <w:trPr>
          <w:trHeight w:val="400"/>
        </w:trPr>
        <w:tc>
          <w:tcPr>
            <w:tcW w:w="2110" w:type="pct"/>
            <w:tcBorders>
              <w:top w:val="nil"/>
              <w:left w:val="nil"/>
              <w:bottom w:val="nil"/>
              <w:right w:val="nil"/>
            </w:tcBorders>
            <w:shd w:val="clear" w:color="auto" w:fill="auto"/>
            <w:vAlign w:val="bottom"/>
            <w:hideMark/>
          </w:tcPr>
          <w:p w14:paraId="33473AC9" w14:textId="5C540A2B" w:rsidR="00CC6562" w:rsidRPr="00CC6562" w:rsidRDefault="00CC6562" w:rsidP="00CC6562">
            <w:pPr>
              <w:spacing w:after="0" w:line="240" w:lineRule="auto"/>
              <w:ind w:firstLineChars="100" w:firstLine="160"/>
              <w:jc w:val="left"/>
              <w:rPr>
                <w:rFonts w:ascii="Arial" w:hAnsi="Arial" w:cs="Arial"/>
                <w:color w:val="000000"/>
                <w:sz w:val="16"/>
                <w:szCs w:val="16"/>
              </w:rPr>
            </w:pPr>
            <w:r w:rsidRPr="00CC6562">
              <w:rPr>
                <w:rFonts w:ascii="Arial" w:hAnsi="Arial" w:cs="Arial"/>
                <w:color w:val="000000"/>
                <w:sz w:val="16"/>
                <w:szCs w:val="16"/>
              </w:rPr>
              <w:t>Cash and cash equivalents at the</w:t>
            </w:r>
            <w:r w:rsidRPr="00CC6562">
              <w:rPr>
                <w:rFonts w:ascii="Arial" w:hAnsi="Arial" w:cs="Arial"/>
                <w:color w:val="000000"/>
                <w:sz w:val="16"/>
                <w:szCs w:val="16"/>
              </w:rPr>
              <w:br/>
              <w:t xml:space="preserve"> </w:t>
            </w:r>
            <w:r>
              <w:rPr>
                <w:rFonts w:ascii="Arial" w:hAnsi="Arial" w:cs="Arial"/>
                <w:color w:val="000000"/>
                <w:sz w:val="16"/>
                <w:szCs w:val="16"/>
              </w:rPr>
              <w:t xml:space="preserve">    </w:t>
            </w:r>
            <w:r w:rsidRPr="00CC6562">
              <w:rPr>
                <w:rFonts w:ascii="Arial" w:hAnsi="Arial" w:cs="Arial"/>
                <w:color w:val="000000"/>
                <w:sz w:val="16"/>
                <w:szCs w:val="16"/>
              </w:rPr>
              <w:t xml:space="preserve"> beginning of the reporting period</w:t>
            </w:r>
          </w:p>
        </w:tc>
        <w:tc>
          <w:tcPr>
            <w:tcW w:w="578" w:type="pct"/>
            <w:tcBorders>
              <w:top w:val="nil"/>
              <w:left w:val="nil"/>
              <w:bottom w:val="nil"/>
              <w:right w:val="nil"/>
            </w:tcBorders>
            <w:shd w:val="clear" w:color="auto" w:fill="auto"/>
            <w:noWrap/>
            <w:vAlign w:val="bottom"/>
            <w:hideMark/>
          </w:tcPr>
          <w:p w14:paraId="4EA6FBDF"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1,164 </w:t>
            </w:r>
          </w:p>
        </w:tc>
        <w:tc>
          <w:tcPr>
            <w:tcW w:w="578" w:type="pct"/>
            <w:tcBorders>
              <w:top w:val="nil"/>
              <w:left w:val="nil"/>
              <w:bottom w:val="nil"/>
              <w:right w:val="nil"/>
            </w:tcBorders>
            <w:shd w:val="clear" w:color="000000" w:fill="E6E6E6"/>
            <w:noWrap/>
            <w:vAlign w:val="bottom"/>
            <w:hideMark/>
          </w:tcPr>
          <w:p w14:paraId="77198575"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1,164 </w:t>
            </w:r>
          </w:p>
        </w:tc>
        <w:tc>
          <w:tcPr>
            <w:tcW w:w="578" w:type="pct"/>
            <w:tcBorders>
              <w:top w:val="nil"/>
              <w:left w:val="nil"/>
              <w:bottom w:val="nil"/>
              <w:right w:val="nil"/>
            </w:tcBorders>
            <w:shd w:val="clear" w:color="auto" w:fill="auto"/>
            <w:noWrap/>
            <w:vAlign w:val="bottom"/>
            <w:hideMark/>
          </w:tcPr>
          <w:p w14:paraId="2921C57A"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1,164 </w:t>
            </w:r>
          </w:p>
        </w:tc>
        <w:tc>
          <w:tcPr>
            <w:tcW w:w="578" w:type="pct"/>
            <w:tcBorders>
              <w:top w:val="nil"/>
              <w:left w:val="nil"/>
              <w:bottom w:val="nil"/>
              <w:right w:val="nil"/>
            </w:tcBorders>
            <w:shd w:val="clear" w:color="auto" w:fill="auto"/>
            <w:noWrap/>
            <w:vAlign w:val="bottom"/>
            <w:hideMark/>
          </w:tcPr>
          <w:p w14:paraId="0FA1A96C"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1,164 </w:t>
            </w:r>
          </w:p>
        </w:tc>
        <w:tc>
          <w:tcPr>
            <w:tcW w:w="578" w:type="pct"/>
            <w:tcBorders>
              <w:top w:val="nil"/>
              <w:left w:val="nil"/>
              <w:bottom w:val="nil"/>
              <w:right w:val="nil"/>
            </w:tcBorders>
            <w:shd w:val="clear" w:color="auto" w:fill="auto"/>
            <w:noWrap/>
            <w:vAlign w:val="bottom"/>
            <w:hideMark/>
          </w:tcPr>
          <w:p w14:paraId="47ED4E61" w14:textId="77777777" w:rsidR="00CC6562" w:rsidRPr="00CC6562" w:rsidRDefault="00CC6562" w:rsidP="00CC6562">
            <w:pPr>
              <w:spacing w:after="0" w:line="240" w:lineRule="auto"/>
              <w:jc w:val="right"/>
              <w:rPr>
                <w:rFonts w:ascii="Arial" w:hAnsi="Arial" w:cs="Arial"/>
                <w:color w:val="000000"/>
                <w:sz w:val="16"/>
                <w:szCs w:val="16"/>
              </w:rPr>
            </w:pPr>
            <w:r w:rsidRPr="00CC6562">
              <w:rPr>
                <w:rFonts w:ascii="Arial" w:hAnsi="Arial" w:cs="Arial"/>
                <w:color w:val="000000"/>
                <w:sz w:val="16"/>
                <w:szCs w:val="16"/>
              </w:rPr>
              <w:t xml:space="preserve">1,164 </w:t>
            </w:r>
          </w:p>
        </w:tc>
      </w:tr>
      <w:tr w:rsidR="00CC6562" w:rsidRPr="00CC6562" w14:paraId="61DE13DA" w14:textId="77777777" w:rsidTr="00CC6562">
        <w:trPr>
          <w:trHeight w:val="420"/>
        </w:trPr>
        <w:tc>
          <w:tcPr>
            <w:tcW w:w="2110" w:type="pct"/>
            <w:tcBorders>
              <w:top w:val="nil"/>
              <w:left w:val="nil"/>
              <w:bottom w:val="single" w:sz="4" w:space="0" w:color="auto"/>
              <w:right w:val="nil"/>
            </w:tcBorders>
            <w:shd w:val="clear" w:color="auto" w:fill="auto"/>
            <w:vAlign w:val="bottom"/>
            <w:hideMark/>
          </w:tcPr>
          <w:p w14:paraId="6258090A" w14:textId="77777777" w:rsidR="00CC6562" w:rsidRPr="00CC6562" w:rsidRDefault="00CC6562" w:rsidP="00CC6562">
            <w:pPr>
              <w:spacing w:after="0" w:line="240" w:lineRule="auto"/>
              <w:jc w:val="left"/>
              <w:rPr>
                <w:rFonts w:ascii="Arial" w:hAnsi="Arial" w:cs="Arial"/>
                <w:b/>
                <w:bCs/>
                <w:color w:val="000000"/>
                <w:sz w:val="16"/>
                <w:szCs w:val="16"/>
              </w:rPr>
            </w:pPr>
            <w:r w:rsidRPr="00CC6562">
              <w:rPr>
                <w:rFonts w:ascii="Arial" w:hAnsi="Arial" w:cs="Arial"/>
                <w:b/>
                <w:bCs/>
                <w:color w:val="000000"/>
                <w:sz w:val="16"/>
                <w:szCs w:val="16"/>
              </w:rPr>
              <w:t>Cash and cash equivalents at</w:t>
            </w:r>
            <w:r w:rsidRPr="00CC6562">
              <w:rPr>
                <w:rFonts w:ascii="Arial" w:hAnsi="Arial" w:cs="Arial"/>
                <w:b/>
                <w:bCs/>
                <w:color w:val="000000"/>
                <w:sz w:val="16"/>
                <w:szCs w:val="16"/>
              </w:rPr>
              <w:br/>
              <w:t xml:space="preserve">  the end of the reporting period</w:t>
            </w:r>
          </w:p>
        </w:tc>
        <w:tc>
          <w:tcPr>
            <w:tcW w:w="578" w:type="pct"/>
            <w:tcBorders>
              <w:top w:val="single" w:sz="4" w:space="0" w:color="000000"/>
              <w:left w:val="nil"/>
              <w:bottom w:val="single" w:sz="4" w:space="0" w:color="auto"/>
              <w:right w:val="nil"/>
            </w:tcBorders>
            <w:shd w:val="clear" w:color="auto" w:fill="auto"/>
            <w:noWrap/>
            <w:vAlign w:val="bottom"/>
            <w:hideMark/>
          </w:tcPr>
          <w:p w14:paraId="665FB459" w14:textId="77777777" w:rsidR="00CC6562" w:rsidRPr="00E720A9" w:rsidRDefault="00CC6562" w:rsidP="00CC6562">
            <w:pPr>
              <w:spacing w:after="0" w:line="240" w:lineRule="auto"/>
              <w:jc w:val="right"/>
              <w:rPr>
                <w:rFonts w:ascii="Arial" w:hAnsi="Arial" w:cs="Arial"/>
                <w:b/>
                <w:bCs/>
                <w:color w:val="000000"/>
                <w:sz w:val="16"/>
                <w:szCs w:val="16"/>
              </w:rPr>
            </w:pPr>
            <w:r w:rsidRPr="00E720A9">
              <w:rPr>
                <w:rFonts w:ascii="Arial" w:hAnsi="Arial" w:cs="Arial"/>
                <w:b/>
                <w:bCs/>
                <w:color w:val="000000"/>
                <w:sz w:val="16"/>
                <w:szCs w:val="16"/>
              </w:rPr>
              <w:t xml:space="preserve">1,164 </w:t>
            </w:r>
          </w:p>
        </w:tc>
        <w:tc>
          <w:tcPr>
            <w:tcW w:w="578" w:type="pct"/>
            <w:tcBorders>
              <w:top w:val="single" w:sz="4" w:space="0" w:color="000000"/>
              <w:left w:val="nil"/>
              <w:bottom w:val="single" w:sz="4" w:space="0" w:color="auto"/>
              <w:right w:val="nil"/>
            </w:tcBorders>
            <w:shd w:val="clear" w:color="000000" w:fill="E6E6E6"/>
            <w:noWrap/>
            <w:vAlign w:val="bottom"/>
            <w:hideMark/>
          </w:tcPr>
          <w:p w14:paraId="0096B3DF" w14:textId="77777777" w:rsidR="00CC6562" w:rsidRPr="00E720A9" w:rsidRDefault="00CC6562" w:rsidP="00CC6562">
            <w:pPr>
              <w:spacing w:after="0" w:line="240" w:lineRule="auto"/>
              <w:jc w:val="right"/>
              <w:rPr>
                <w:rFonts w:ascii="Arial" w:hAnsi="Arial" w:cs="Arial"/>
                <w:b/>
                <w:bCs/>
                <w:color w:val="000000"/>
                <w:sz w:val="16"/>
                <w:szCs w:val="16"/>
              </w:rPr>
            </w:pPr>
            <w:r w:rsidRPr="00E720A9">
              <w:rPr>
                <w:rFonts w:ascii="Arial" w:hAnsi="Arial" w:cs="Arial"/>
                <w:b/>
                <w:bCs/>
                <w:color w:val="000000"/>
                <w:sz w:val="16"/>
                <w:szCs w:val="16"/>
              </w:rPr>
              <w:t xml:space="preserve">1,164 </w:t>
            </w:r>
          </w:p>
        </w:tc>
        <w:tc>
          <w:tcPr>
            <w:tcW w:w="578" w:type="pct"/>
            <w:tcBorders>
              <w:top w:val="single" w:sz="4" w:space="0" w:color="000000"/>
              <w:left w:val="nil"/>
              <w:bottom w:val="single" w:sz="4" w:space="0" w:color="auto"/>
              <w:right w:val="nil"/>
            </w:tcBorders>
            <w:shd w:val="clear" w:color="auto" w:fill="auto"/>
            <w:noWrap/>
            <w:vAlign w:val="bottom"/>
            <w:hideMark/>
          </w:tcPr>
          <w:p w14:paraId="307F16F4" w14:textId="77777777" w:rsidR="00CC6562" w:rsidRPr="00E720A9" w:rsidRDefault="00CC6562" w:rsidP="00CC6562">
            <w:pPr>
              <w:spacing w:after="0" w:line="240" w:lineRule="auto"/>
              <w:jc w:val="right"/>
              <w:rPr>
                <w:rFonts w:ascii="Arial" w:hAnsi="Arial" w:cs="Arial"/>
                <w:b/>
                <w:bCs/>
                <w:color w:val="000000"/>
                <w:sz w:val="16"/>
                <w:szCs w:val="16"/>
              </w:rPr>
            </w:pPr>
            <w:r w:rsidRPr="00E720A9">
              <w:rPr>
                <w:rFonts w:ascii="Arial" w:hAnsi="Arial" w:cs="Arial"/>
                <w:b/>
                <w:bCs/>
                <w:color w:val="000000"/>
                <w:sz w:val="16"/>
                <w:szCs w:val="16"/>
              </w:rPr>
              <w:t xml:space="preserve">1,164 </w:t>
            </w:r>
          </w:p>
        </w:tc>
        <w:tc>
          <w:tcPr>
            <w:tcW w:w="578" w:type="pct"/>
            <w:tcBorders>
              <w:top w:val="single" w:sz="4" w:space="0" w:color="000000"/>
              <w:left w:val="nil"/>
              <w:bottom w:val="single" w:sz="4" w:space="0" w:color="auto"/>
              <w:right w:val="nil"/>
            </w:tcBorders>
            <w:shd w:val="clear" w:color="auto" w:fill="auto"/>
            <w:noWrap/>
            <w:vAlign w:val="bottom"/>
            <w:hideMark/>
          </w:tcPr>
          <w:p w14:paraId="16A0572D" w14:textId="77777777" w:rsidR="00CC6562" w:rsidRPr="00E720A9" w:rsidRDefault="00CC6562" w:rsidP="00CC6562">
            <w:pPr>
              <w:spacing w:after="0" w:line="240" w:lineRule="auto"/>
              <w:jc w:val="right"/>
              <w:rPr>
                <w:rFonts w:ascii="Arial" w:hAnsi="Arial" w:cs="Arial"/>
                <w:b/>
                <w:bCs/>
                <w:color w:val="000000"/>
                <w:sz w:val="16"/>
                <w:szCs w:val="16"/>
              </w:rPr>
            </w:pPr>
            <w:r w:rsidRPr="00E720A9">
              <w:rPr>
                <w:rFonts w:ascii="Arial" w:hAnsi="Arial" w:cs="Arial"/>
                <w:b/>
                <w:bCs/>
                <w:color w:val="000000"/>
                <w:sz w:val="16"/>
                <w:szCs w:val="16"/>
              </w:rPr>
              <w:t xml:space="preserve">1,164 </w:t>
            </w:r>
          </w:p>
        </w:tc>
        <w:tc>
          <w:tcPr>
            <w:tcW w:w="578" w:type="pct"/>
            <w:tcBorders>
              <w:top w:val="single" w:sz="4" w:space="0" w:color="000000"/>
              <w:left w:val="nil"/>
              <w:bottom w:val="single" w:sz="4" w:space="0" w:color="auto"/>
              <w:right w:val="nil"/>
            </w:tcBorders>
            <w:shd w:val="clear" w:color="auto" w:fill="auto"/>
            <w:noWrap/>
            <w:vAlign w:val="bottom"/>
            <w:hideMark/>
          </w:tcPr>
          <w:p w14:paraId="203D11BC" w14:textId="77777777" w:rsidR="00CC6562" w:rsidRPr="00E720A9" w:rsidRDefault="00CC6562" w:rsidP="00CC6562">
            <w:pPr>
              <w:spacing w:after="0" w:line="240" w:lineRule="auto"/>
              <w:jc w:val="right"/>
              <w:rPr>
                <w:rFonts w:ascii="Arial" w:hAnsi="Arial" w:cs="Arial"/>
                <w:b/>
                <w:bCs/>
                <w:color w:val="000000"/>
                <w:sz w:val="16"/>
                <w:szCs w:val="16"/>
              </w:rPr>
            </w:pPr>
            <w:r w:rsidRPr="00E720A9">
              <w:rPr>
                <w:rFonts w:ascii="Arial" w:hAnsi="Arial" w:cs="Arial"/>
                <w:b/>
                <w:bCs/>
                <w:color w:val="000000"/>
                <w:sz w:val="16"/>
                <w:szCs w:val="16"/>
              </w:rPr>
              <w:t xml:space="preserve">1,164 </w:t>
            </w:r>
          </w:p>
        </w:tc>
      </w:tr>
    </w:tbl>
    <w:p w14:paraId="1ADDBD21" w14:textId="72F42E4B" w:rsidR="00345CCD" w:rsidRPr="00132F9E" w:rsidRDefault="00345CCD" w:rsidP="00A9401F">
      <w:pPr>
        <w:pStyle w:val="TableGraphic"/>
        <w:rPr>
          <w:rFonts w:ascii="Arial" w:hAnsi="Arial" w:cs="Arial"/>
          <w:sz w:val="16"/>
          <w:szCs w:val="16"/>
        </w:rPr>
      </w:pPr>
      <w:r w:rsidRPr="00772E69">
        <w:rPr>
          <w:rStyle w:val="ChartandTableFootnoteChar"/>
        </w:rPr>
        <w:t>Prepared on Australian Accounting Standards basis</w:t>
      </w:r>
      <w:r w:rsidRPr="00132F9E">
        <w:rPr>
          <w:rFonts w:ascii="Arial" w:hAnsi="Arial" w:cs="Arial"/>
          <w:sz w:val="16"/>
          <w:szCs w:val="16"/>
        </w:rPr>
        <w:t>.</w:t>
      </w:r>
    </w:p>
    <w:p w14:paraId="351E684A" w14:textId="71F9016C" w:rsidR="00936A7A" w:rsidRPr="00936A7A" w:rsidRDefault="000A24C4" w:rsidP="00772E69">
      <w:pPr>
        <w:pStyle w:val="TableHeading"/>
      </w:pPr>
      <w:r>
        <w:br w:type="page"/>
      </w:r>
      <w:r w:rsidR="008B4464" w:rsidRPr="00497CDF">
        <w:lastRenderedPageBreak/>
        <w:t>Table</w:t>
      </w:r>
      <w:r w:rsidR="00971CBF" w:rsidRPr="00497CDF">
        <w:t xml:space="preserve"> 3.</w:t>
      </w:r>
      <w:r w:rsidR="008B4464" w:rsidRPr="00497CDF">
        <w:t xml:space="preserve">5: </w:t>
      </w:r>
      <w:r w:rsidR="00F54947" w:rsidRPr="00497CDF">
        <w:t xml:space="preserve">Departmental </w:t>
      </w:r>
      <w:r w:rsidR="00F10305" w:rsidRPr="00497CDF">
        <w:t>capital budget statement</w:t>
      </w:r>
      <w:r w:rsidR="005067C7" w:rsidRPr="00497CDF">
        <w:t xml:space="preserve"> (for the period ended 30 June</w:t>
      </w:r>
      <w:r w:rsidR="00936A7A">
        <w:t>)</w:t>
      </w:r>
    </w:p>
    <w:tbl>
      <w:tblPr>
        <w:tblW w:w="5000" w:type="pct"/>
        <w:tblCellMar>
          <w:left w:w="0" w:type="dxa"/>
          <w:right w:w="28" w:type="dxa"/>
        </w:tblCellMar>
        <w:tblLook w:val="04A0" w:firstRow="1" w:lastRow="0" w:firstColumn="1" w:lastColumn="0" w:noHBand="0" w:noVBand="1"/>
      </w:tblPr>
      <w:tblGrid>
        <w:gridCol w:w="3255"/>
        <w:gridCol w:w="891"/>
        <w:gridCol w:w="891"/>
        <w:gridCol w:w="891"/>
        <w:gridCol w:w="891"/>
        <w:gridCol w:w="891"/>
      </w:tblGrid>
      <w:tr w:rsidR="00936A7A" w:rsidRPr="00936A7A" w14:paraId="0C9BF0AC" w14:textId="77777777" w:rsidTr="00936A7A">
        <w:trPr>
          <w:trHeight w:val="800"/>
        </w:trPr>
        <w:tc>
          <w:tcPr>
            <w:tcW w:w="2110" w:type="pct"/>
            <w:tcBorders>
              <w:top w:val="single" w:sz="4" w:space="0" w:color="auto"/>
              <w:left w:val="nil"/>
              <w:bottom w:val="nil"/>
              <w:right w:val="nil"/>
            </w:tcBorders>
            <w:shd w:val="clear" w:color="auto" w:fill="auto"/>
            <w:noWrap/>
            <w:hideMark/>
          </w:tcPr>
          <w:p w14:paraId="24328BC0" w14:textId="65958BBB" w:rsidR="00936A7A" w:rsidRPr="00936A7A" w:rsidRDefault="00936A7A" w:rsidP="00936A7A">
            <w:pPr>
              <w:spacing w:after="0" w:line="240" w:lineRule="auto"/>
              <w:jc w:val="left"/>
              <w:rPr>
                <w:rFonts w:ascii="Arial" w:hAnsi="Arial" w:cs="Arial"/>
                <w:b/>
                <w:bCs/>
                <w:sz w:val="16"/>
                <w:szCs w:val="16"/>
              </w:rPr>
            </w:pPr>
            <w:r w:rsidRPr="00936A7A">
              <w:rPr>
                <w:rFonts w:ascii="Arial" w:hAnsi="Arial" w:cs="Arial"/>
                <w:b/>
                <w:bCs/>
                <w:sz w:val="16"/>
                <w:szCs w:val="16"/>
              </w:rPr>
              <w:t> </w:t>
            </w:r>
          </w:p>
        </w:tc>
        <w:tc>
          <w:tcPr>
            <w:tcW w:w="578" w:type="pct"/>
            <w:tcBorders>
              <w:top w:val="single" w:sz="4" w:space="0" w:color="auto"/>
              <w:left w:val="nil"/>
              <w:bottom w:val="single" w:sz="4" w:space="0" w:color="auto"/>
              <w:right w:val="nil"/>
            </w:tcBorders>
            <w:shd w:val="clear" w:color="auto" w:fill="auto"/>
            <w:hideMark/>
          </w:tcPr>
          <w:p w14:paraId="42281D17"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2020-21 Estimated actual</w:t>
            </w:r>
            <w:r w:rsidRPr="00936A7A">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000000" w:fill="E6E6E6"/>
            <w:hideMark/>
          </w:tcPr>
          <w:p w14:paraId="17F0DB1E"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2021-22</w:t>
            </w:r>
            <w:r w:rsidRPr="00936A7A">
              <w:rPr>
                <w:rFonts w:ascii="Arial" w:hAnsi="Arial" w:cs="Arial"/>
                <w:sz w:val="16"/>
                <w:szCs w:val="16"/>
              </w:rPr>
              <w:br/>
              <w:t>Budget</w:t>
            </w:r>
            <w:r w:rsidRPr="00936A7A">
              <w:rPr>
                <w:rFonts w:ascii="Arial" w:hAnsi="Arial" w:cs="Arial"/>
                <w:sz w:val="16"/>
                <w:szCs w:val="16"/>
              </w:rPr>
              <w:br/>
            </w:r>
            <w:r w:rsidRPr="00936A7A">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auto" w:fill="auto"/>
            <w:hideMark/>
          </w:tcPr>
          <w:p w14:paraId="0E12C69F"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2022-23 Forward estimate</w:t>
            </w:r>
            <w:r w:rsidRPr="00936A7A">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auto" w:fill="auto"/>
            <w:hideMark/>
          </w:tcPr>
          <w:p w14:paraId="015A8880"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2023-24 Forward estimate</w:t>
            </w:r>
            <w:r w:rsidRPr="00936A7A">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auto" w:fill="auto"/>
            <w:hideMark/>
          </w:tcPr>
          <w:p w14:paraId="09333599"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2024-25</w:t>
            </w:r>
            <w:r w:rsidRPr="00936A7A">
              <w:rPr>
                <w:rFonts w:ascii="Arial" w:hAnsi="Arial" w:cs="Arial"/>
                <w:sz w:val="16"/>
                <w:szCs w:val="16"/>
              </w:rPr>
              <w:br/>
              <w:t>Forward estimate</w:t>
            </w:r>
            <w:r w:rsidRPr="00936A7A">
              <w:rPr>
                <w:rFonts w:ascii="Arial" w:hAnsi="Arial" w:cs="Arial"/>
                <w:sz w:val="16"/>
                <w:szCs w:val="16"/>
              </w:rPr>
              <w:br/>
              <w:t>$'000</w:t>
            </w:r>
          </w:p>
        </w:tc>
      </w:tr>
      <w:tr w:rsidR="00936A7A" w:rsidRPr="00936A7A" w14:paraId="628DDDAA" w14:textId="77777777" w:rsidTr="00936A7A">
        <w:trPr>
          <w:trHeight w:val="238"/>
        </w:trPr>
        <w:tc>
          <w:tcPr>
            <w:tcW w:w="2110" w:type="pct"/>
            <w:tcBorders>
              <w:top w:val="nil"/>
              <w:left w:val="nil"/>
              <w:bottom w:val="nil"/>
              <w:right w:val="nil"/>
            </w:tcBorders>
            <w:shd w:val="clear" w:color="auto" w:fill="auto"/>
            <w:noWrap/>
            <w:vAlign w:val="bottom"/>
            <w:hideMark/>
          </w:tcPr>
          <w:p w14:paraId="556CBD67" w14:textId="77777777" w:rsidR="00936A7A" w:rsidRPr="00936A7A" w:rsidRDefault="00936A7A" w:rsidP="00936A7A">
            <w:pPr>
              <w:spacing w:after="0" w:line="240" w:lineRule="auto"/>
              <w:jc w:val="left"/>
              <w:rPr>
                <w:rFonts w:ascii="Arial" w:hAnsi="Arial" w:cs="Arial"/>
                <w:b/>
                <w:bCs/>
                <w:sz w:val="16"/>
                <w:szCs w:val="16"/>
              </w:rPr>
            </w:pPr>
            <w:r w:rsidRPr="00936A7A">
              <w:rPr>
                <w:rFonts w:ascii="Arial" w:hAnsi="Arial" w:cs="Arial"/>
                <w:b/>
                <w:bCs/>
                <w:sz w:val="16"/>
                <w:szCs w:val="16"/>
              </w:rPr>
              <w:t>NEW CAPITAL APPROPRIATIONS</w:t>
            </w:r>
          </w:p>
        </w:tc>
        <w:tc>
          <w:tcPr>
            <w:tcW w:w="578" w:type="pct"/>
            <w:tcBorders>
              <w:top w:val="nil"/>
              <w:left w:val="nil"/>
              <w:bottom w:val="nil"/>
              <w:right w:val="nil"/>
            </w:tcBorders>
            <w:shd w:val="clear" w:color="auto" w:fill="auto"/>
            <w:noWrap/>
            <w:vAlign w:val="bottom"/>
            <w:hideMark/>
          </w:tcPr>
          <w:p w14:paraId="47AB027B" w14:textId="77777777" w:rsidR="00936A7A" w:rsidRPr="00936A7A" w:rsidRDefault="00936A7A" w:rsidP="00936A7A">
            <w:pPr>
              <w:spacing w:after="0" w:line="240" w:lineRule="auto"/>
              <w:jc w:val="left"/>
              <w:rPr>
                <w:rFonts w:ascii="Arial" w:hAnsi="Arial" w:cs="Arial"/>
                <w:b/>
                <w:bCs/>
                <w:sz w:val="16"/>
                <w:szCs w:val="16"/>
              </w:rPr>
            </w:pPr>
          </w:p>
        </w:tc>
        <w:tc>
          <w:tcPr>
            <w:tcW w:w="578" w:type="pct"/>
            <w:tcBorders>
              <w:top w:val="nil"/>
              <w:left w:val="nil"/>
              <w:bottom w:val="nil"/>
              <w:right w:val="nil"/>
            </w:tcBorders>
            <w:shd w:val="clear" w:color="000000" w:fill="E6E6E6"/>
            <w:noWrap/>
            <w:vAlign w:val="bottom"/>
            <w:hideMark/>
          </w:tcPr>
          <w:p w14:paraId="068AF39E" w14:textId="77777777" w:rsidR="00936A7A" w:rsidRPr="00936A7A" w:rsidRDefault="00936A7A" w:rsidP="00936A7A">
            <w:pPr>
              <w:spacing w:after="0" w:line="240" w:lineRule="auto"/>
              <w:jc w:val="left"/>
              <w:rPr>
                <w:rFonts w:ascii="Arial" w:hAnsi="Arial" w:cs="Arial"/>
                <w:sz w:val="16"/>
                <w:szCs w:val="16"/>
              </w:rPr>
            </w:pPr>
            <w:r w:rsidRPr="00936A7A">
              <w:rPr>
                <w:rFonts w:ascii="Arial" w:hAnsi="Arial" w:cs="Arial"/>
                <w:sz w:val="16"/>
                <w:szCs w:val="16"/>
              </w:rPr>
              <w:t> </w:t>
            </w:r>
          </w:p>
        </w:tc>
        <w:tc>
          <w:tcPr>
            <w:tcW w:w="578" w:type="pct"/>
            <w:tcBorders>
              <w:top w:val="nil"/>
              <w:left w:val="nil"/>
              <w:bottom w:val="nil"/>
              <w:right w:val="nil"/>
            </w:tcBorders>
            <w:shd w:val="clear" w:color="auto" w:fill="auto"/>
            <w:noWrap/>
            <w:vAlign w:val="bottom"/>
            <w:hideMark/>
          </w:tcPr>
          <w:p w14:paraId="1BB09A17" w14:textId="77777777" w:rsidR="00936A7A" w:rsidRPr="00936A7A" w:rsidRDefault="00936A7A" w:rsidP="00936A7A">
            <w:pPr>
              <w:spacing w:after="0" w:line="240" w:lineRule="auto"/>
              <w:jc w:val="left"/>
              <w:rPr>
                <w:rFonts w:ascii="Arial" w:hAnsi="Arial" w:cs="Arial"/>
                <w:sz w:val="16"/>
                <w:szCs w:val="16"/>
              </w:rPr>
            </w:pPr>
          </w:p>
        </w:tc>
        <w:tc>
          <w:tcPr>
            <w:tcW w:w="578" w:type="pct"/>
            <w:tcBorders>
              <w:top w:val="nil"/>
              <w:left w:val="nil"/>
              <w:bottom w:val="nil"/>
              <w:right w:val="nil"/>
            </w:tcBorders>
            <w:shd w:val="clear" w:color="auto" w:fill="auto"/>
            <w:noWrap/>
            <w:vAlign w:val="bottom"/>
            <w:hideMark/>
          </w:tcPr>
          <w:p w14:paraId="611425D7" w14:textId="77777777" w:rsidR="00936A7A" w:rsidRPr="00936A7A" w:rsidRDefault="00936A7A" w:rsidP="00936A7A">
            <w:pPr>
              <w:spacing w:after="0" w:line="240" w:lineRule="auto"/>
              <w:jc w:val="left"/>
              <w:rPr>
                <w:rFonts w:ascii="Times New Roman" w:hAnsi="Times New Roman"/>
              </w:rPr>
            </w:pPr>
          </w:p>
        </w:tc>
        <w:tc>
          <w:tcPr>
            <w:tcW w:w="578" w:type="pct"/>
            <w:tcBorders>
              <w:top w:val="nil"/>
              <w:left w:val="nil"/>
              <w:bottom w:val="nil"/>
              <w:right w:val="nil"/>
            </w:tcBorders>
            <w:shd w:val="clear" w:color="auto" w:fill="auto"/>
            <w:noWrap/>
            <w:vAlign w:val="bottom"/>
            <w:hideMark/>
          </w:tcPr>
          <w:p w14:paraId="5CFC9FDE" w14:textId="77777777" w:rsidR="00936A7A" w:rsidRPr="00936A7A" w:rsidRDefault="00936A7A" w:rsidP="00936A7A">
            <w:pPr>
              <w:spacing w:after="0" w:line="240" w:lineRule="auto"/>
              <w:jc w:val="left"/>
              <w:rPr>
                <w:rFonts w:ascii="Times New Roman" w:hAnsi="Times New Roman"/>
              </w:rPr>
            </w:pPr>
          </w:p>
        </w:tc>
      </w:tr>
      <w:tr w:rsidR="00936A7A" w:rsidRPr="00936A7A" w14:paraId="14CE5B31" w14:textId="77777777" w:rsidTr="00936A7A">
        <w:trPr>
          <w:trHeight w:val="238"/>
        </w:trPr>
        <w:tc>
          <w:tcPr>
            <w:tcW w:w="2110" w:type="pct"/>
            <w:tcBorders>
              <w:top w:val="nil"/>
              <w:left w:val="nil"/>
              <w:bottom w:val="nil"/>
              <w:right w:val="nil"/>
            </w:tcBorders>
            <w:shd w:val="clear" w:color="auto" w:fill="auto"/>
            <w:noWrap/>
            <w:vAlign w:val="bottom"/>
            <w:hideMark/>
          </w:tcPr>
          <w:p w14:paraId="777DB0AD" w14:textId="77777777" w:rsidR="00936A7A" w:rsidRPr="00936A7A" w:rsidRDefault="00936A7A" w:rsidP="00936A7A">
            <w:pPr>
              <w:spacing w:after="0" w:line="240" w:lineRule="auto"/>
              <w:ind w:firstLineChars="100" w:firstLine="160"/>
              <w:jc w:val="left"/>
              <w:rPr>
                <w:rFonts w:ascii="Arial" w:hAnsi="Arial" w:cs="Arial"/>
                <w:sz w:val="16"/>
                <w:szCs w:val="16"/>
              </w:rPr>
            </w:pPr>
            <w:r w:rsidRPr="00936A7A">
              <w:rPr>
                <w:rFonts w:ascii="Arial" w:hAnsi="Arial" w:cs="Arial"/>
                <w:sz w:val="16"/>
                <w:szCs w:val="16"/>
              </w:rPr>
              <w:t>Capital budget - Bill 1 (DCB)</w:t>
            </w:r>
          </w:p>
        </w:tc>
        <w:tc>
          <w:tcPr>
            <w:tcW w:w="578" w:type="pct"/>
            <w:tcBorders>
              <w:top w:val="nil"/>
              <w:left w:val="nil"/>
              <w:bottom w:val="nil"/>
              <w:right w:val="nil"/>
            </w:tcBorders>
            <w:shd w:val="clear" w:color="auto" w:fill="auto"/>
            <w:noWrap/>
            <w:vAlign w:val="bottom"/>
            <w:hideMark/>
          </w:tcPr>
          <w:p w14:paraId="2BEFC899"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32,286 </w:t>
            </w:r>
          </w:p>
        </w:tc>
        <w:tc>
          <w:tcPr>
            <w:tcW w:w="578" w:type="pct"/>
            <w:tcBorders>
              <w:top w:val="nil"/>
              <w:left w:val="nil"/>
              <w:bottom w:val="nil"/>
              <w:right w:val="nil"/>
            </w:tcBorders>
            <w:shd w:val="clear" w:color="000000" w:fill="E6E6E6"/>
            <w:noWrap/>
            <w:vAlign w:val="bottom"/>
            <w:hideMark/>
          </w:tcPr>
          <w:p w14:paraId="28EF50DA"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31,872 </w:t>
            </w:r>
          </w:p>
        </w:tc>
        <w:tc>
          <w:tcPr>
            <w:tcW w:w="578" w:type="pct"/>
            <w:tcBorders>
              <w:top w:val="nil"/>
              <w:left w:val="nil"/>
              <w:bottom w:val="nil"/>
              <w:right w:val="nil"/>
            </w:tcBorders>
            <w:shd w:val="clear" w:color="auto" w:fill="auto"/>
            <w:noWrap/>
            <w:vAlign w:val="bottom"/>
            <w:hideMark/>
          </w:tcPr>
          <w:p w14:paraId="7FFD88AB"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27,064 </w:t>
            </w:r>
          </w:p>
        </w:tc>
        <w:tc>
          <w:tcPr>
            <w:tcW w:w="578" w:type="pct"/>
            <w:tcBorders>
              <w:top w:val="nil"/>
              <w:left w:val="nil"/>
              <w:bottom w:val="nil"/>
              <w:right w:val="nil"/>
            </w:tcBorders>
            <w:shd w:val="clear" w:color="auto" w:fill="auto"/>
            <w:noWrap/>
            <w:vAlign w:val="bottom"/>
            <w:hideMark/>
          </w:tcPr>
          <w:p w14:paraId="3C710148"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11,932 </w:t>
            </w:r>
          </w:p>
        </w:tc>
        <w:tc>
          <w:tcPr>
            <w:tcW w:w="578" w:type="pct"/>
            <w:tcBorders>
              <w:top w:val="nil"/>
              <w:left w:val="nil"/>
              <w:bottom w:val="nil"/>
              <w:right w:val="nil"/>
            </w:tcBorders>
            <w:shd w:val="clear" w:color="auto" w:fill="auto"/>
            <w:noWrap/>
            <w:vAlign w:val="bottom"/>
            <w:hideMark/>
          </w:tcPr>
          <w:p w14:paraId="564AF60E"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9,274 </w:t>
            </w:r>
          </w:p>
        </w:tc>
      </w:tr>
      <w:tr w:rsidR="00936A7A" w:rsidRPr="00936A7A" w14:paraId="06909DD0" w14:textId="77777777" w:rsidTr="00936A7A">
        <w:trPr>
          <w:trHeight w:val="238"/>
        </w:trPr>
        <w:tc>
          <w:tcPr>
            <w:tcW w:w="2110" w:type="pct"/>
            <w:tcBorders>
              <w:top w:val="nil"/>
              <w:left w:val="nil"/>
              <w:bottom w:val="nil"/>
              <w:right w:val="nil"/>
            </w:tcBorders>
            <w:shd w:val="clear" w:color="auto" w:fill="auto"/>
            <w:noWrap/>
            <w:vAlign w:val="bottom"/>
            <w:hideMark/>
          </w:tcPr>
          <w:p w14:paraId="4B8D340D" w14:textId="77777777" w:rsidR="00936A7A" w:rsidRPr="00936A7A" w:rsidRDefault="00936A7A" w:rsidP="00936A7A">
            <w:pPr>
              <w:spacing w:after="0" w:line="240" w:lineRule="auto"/>
              <w:ind w:firstLineChars="100" w:firstLine="160"/>
              <w:jc w:val="left"/>
              <w:rPr>
                <w:rFonts w:ascii="Arial" w:hAnsi="Arial" w:cs="Arial"/>
                <w:sz w:val="16"/>
                <w:szCs w:val="16"/>
              </w:rPr>
            </w:pPr>
            <w:r w:rsidRPr="00936A7A">
              <w:rPr>
                <w:rFonts w:ascii="Arial" w:hAnsi="Arial" w:cs="Arial"/>
                <w:sz w:val="16"/>
                <w:szCs w:val="16"/>
              </w:rPr>
              <w:t>Equity injections - Bill 2</w:t>
            </w:r>
          </w:p>
        </w:tc>
        <w:tc>
          <w:tcPr>
            <w:tcW w:w="578" w:type="pct"/>
            <w:tcBorders>
              <w:top w:val="nil"/>
              <w:left w:val="nil"/>
              <w:bottom w:val="nil"/>
              <w:right w:val="nil"/>
            </w:tcBorders>
            <w:shd w:val="clear" w:color="auto" w:fill="auto"/>
            <w:noWrap/>
            <w:vAlign w:val="bottom"/>
            <w:hideMark/>
          </w:tcPr>
          <w:p w14:paraId="0312BAFB"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36,200 </w:t>
            </w:r>
          </w:p>
        </w:tc>
        <w:tc>
          <w:tcPr>
            <w:tcW w:w="578" w:type="pct"/>
            <w:tcBorders>
              <w:top w:val="nil"/>
              <w:left w:val="nil"/>
              <w:bottom w:val="nil"/>
              <w:right w:val="nil"/>
            </w:tcBorders>
            <w:shd w:val="clear" w:color="000000" w:fill="E6E6E6"/>
            <w:noWrap/>
            <w:vAlign w:val="bottom"/>
            <w:hideMark/>
          </w:tcPr>
          <w:p w14:paraId="009BE403"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1,100 </w:t>
            </w:r>
          </w:p>
        </w:tc>
        <w:tc>
          <w:tcPr>
            <w:tcW w:w="578" w:type="pct"/>
            <w:tcBorders>
              <w:top w:val="nil"/>
              <w:left w:val="nil"/>
              <w:bottom w:val="nil"/>
              <w:right w:val="nil"/>
            </w:tcBorders>
            <w:shd w:val="clear" w:color="auto" w:fill="auto"/>
            <w:noWrap/>
            <w:vAlign w:val="bottom"/>
            <w:hideMark/>
          </w:tcPr>
          <w:p w14:paraId="7786FCBD"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1,100 </w:t>
            </w:r>
          </w:p>
        </w:tc>
        <w:tc>
          <w:tcPr>
            <w:tcW w:w="578" w:type="pct"/>
            <w:tcBorders>
              <w:top w:val="nil"/>
              <w:left w:val="nil"/>
              <w:bottom w:val="nil"/>
              <w:right w:val="nil"/>
            </w:tcBorders>
            <w:shd w:val="clear" w:color="auto" w:fill="auto"/>
            <w:noWrap/>
            <w:vAlign w:val="bottom"/>
            <w:hideMark/>
          </w:tcPr>
          <w:p w14:paraId="109AD199"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1,100 </w:t>
            </w:r>
          </w:p>
        </w:tc>
        <w:tc>
          <w:tcPr>
            <w:tcW w:w="578" w:type="pct"/>
            <w:tcBorders>
              <w:top w:val="nil"/>
              <w:left w:val="nil"/>
              <w:bottom w:val="nil"/>
              <w:right w:val="nil"/>
            </w:tcBorders>
            <w:shd w:val="clear" w:color="auto" w:fill="auto"/>
            <w:noWrap/>
            <w:vAlign w:val="bottom"/>
            <w:hideMark/>
          </w:tcPr>
          <w:p w14:paraId="1E679374"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1,100 </w:t>
            </w:r>
          </w:p>
        </w:tc>
      </w:tr>
      <w:tr w:rsidR="00936A7A" w:rsidRPr="00936A7A" w14:paraId="7B5F654C" w14:textId="77777777" w:rsidTr="00936A7A">
        <w:trPr>
          <w:trHeight w:val="238"/>
        </w:trPr>
        <w:tc>
          <w:tcPr>
            <w:tcW w:w="2110" w:type="pct"/>
            <w:tcBorders>
              <w:top w:val="nil"/>
              <w:left w:val="nil"/>
              <w:bottom w:val="nil"/>
              <w:right w:val="nil"/>
            </w:tcBorders>
            <w:shd w:val="clear" w:color="auto" w:fill="auto"/>
            <w:noWrap/>
            <w:vAlign w:val="bottom"/>
            <w:hideMark/>
          </w:tcPr>
          <w:p w14:paraId="7502F1C7" w14:textId="77777777" w:rsidR="00936A7A" w:rsidRPr="00936A7A" w:rsidRDefault="00936A7A" w:rsidP="00936A7A">
            <w:pPr>
              <w:spacing w:after="0" w:line="240" w:lineRule="auto"/>
              <w:jc w:val="left"/>
              <w:rPr>
                <w:rFonts w:ascii="Arial" w:hAnsi="Arial" w:cs="Arial"/>
                <w:b/>
                <w:bCs/>
                <w:sz w:val="16"/>
                <w:szCs w:val="16"/>
              </w:rPr>
            </w:pPr>
            <w:r w:rsidRPr="00936A7A">
              <w:rPr>
                <w:rFonts w:ascii="Arial" w:hAnsi="Arial" w:cs="Arial"/>
                <w:b/>
                <w:bCs/>
                <w:sz w:val="16"/>
                <w:szCs w:val="16"/>
              </w:rPr>
              <w:t>Total new capital appropriations</w:t>
            </w:r>
          </w:p>
        </w:tc>
        <w:tc>
          <w:tcPr>
            <w:tcW w:w="578" w:type="pct"/>
            <w:tcBorders>
              <w:top w:val="single" w:sz="4" w:space="0" w:color="auto"/>
              <w:left w:val="nil"/>
              <w:bottom w:val="single" w:sz="4" w:space="0" w:color="auto"/>
              <w:right w:val="nil"/>
            </w:tcBorders>
            <w:shd w:val="clear" w:color="auto" w:fill="auto"/>
            <w:noWrap/>
            <w:vAlign w:val="bottom"/>
            <w:hideMark/>
          </w:tcPr>
          <w:p w14:paraId="0D02487F" w14:textId="77777777" w:rsidR="00936A7A" w:rsidRPr="00936A7A" w:rsidRDefault="00936A7A" w:rsidP="00936A7A">
            <w:pPr>
              <w:spacing w:after="0" w:line="240" w:lineRule="auto"/>
              <w:jc w:val="right"/>
              <w:rPr>
                <w:rFonts w:ascii="Arial" w:hAnsi="Arial" w:cs="Arial"/>
                <w:b/>
                <w:bCs/>
                <w:sz w:val="16"/>
                <w:szCs w:val="16"/>
              </w:rPr>
            </w:pPr>
            <w:r w:rsidRPr="00936A7A">
              <w:rPr>
                <w:rFonts w:ascii="Arial" w:hAnsi="Arial" w:cs="Arial"/>
                <w:b/>
                <w:bCs/>
                <w:sz w:val="16"/>
                <w:szCs w:val="16"/>
              </w:rPr>
              <w:t xml:space="preserve">68,486 </w:t>
            </w:r>
          </w:p>
        </w:tc>
        <w:tc>
          <w:tcPr>
            <w:tcW w:w="578" w:type="pct"/>
            <w:tcBorders>
              <w:top w:val="single" w:sz="4" w:space="0" w:color="auto"/>
              <w:left w:val="nil"/>
              <w:bottom w:val="single" w:sz="4" w:space="0" w:color="auto"/>
              <w:right w:val="nil"/>
            </w:tcBorders>
            <w:shd w:val="clear" w:color="000000" w:fill="E6E6E6"/>
            <w:noWrap/>
            <w:vAlign w:val="bottom"/>
            <w:hideMark/>
          </w:tcPr>
          <w:p w14:paraId="2BA3E483" w14:textId="77777777" w:rsidR="00936A7A" w:rsidRPr="00936A7A" w:rsidRDefault="00936A7A" w:rsidP="00936A7A">
            <w:pPr>
              <w:spacing w:after="0" w:line="240" w:lineRule="auto"/>
              <w:jc w:val="right"/>
              <w:rPr>
                <w:rFonts w:ascii="Arial" w:hAnsi="Arial" w:cs="Arial"/>
                <w:b/>
                <w:bCs/>
                <w:sz w:val="16"/>
                <w:szCs w:val="16"/>
              </w:rPr>
            </w:pPr>
            <w:r w:rsidRPr="00936A7A">
              <w:rPr>
                <w:rFonts w:ascii="Arial" w:hAnsi="Arial" w:cs="Arial"/>
                <w:b/>
                <w:bCs/>
                <w:sz w:val="16"/>
                <w:szCs w:val="16"/>
              </w:rPr>
              <w:t xml:space="preserve">32,972 </w:t>
            </w:r>
          </w:p>
        </w:tc>
        <w:tc>
          <w:tcPr>
            <w:tcW w:w="578" w:type="pct"/>
            <w:tcBorders>
              <w:top w:val="single" w:sz="4" w:space="0" w:color="auto"/>
              <w:left w:val="nil"/>
              <w:bottom w:val="single" w:sz="4" w:space="0" w:color="auto"/>
              <w:right w:val="nil"/>
            </w:tcBorders>
            <w:shd w:val="clear" w:color="auto" w:fill="auto"/>
            <w:noWrap/>
            <w:vAlign w:val="bottom"/>
            <w:hideMark/>
          </w:tcPr>
          <w:p w14:paraId="49824E28" w14:textId="77777777" w:rsidR="00936A7A" w:rsidRPr="00936A7A" w:rsidRDefault="00936A7A" w:rsidP="00936A7A">
            <w:pPr>
              <w:spacing w:after="0" w:line="240" w:lineRule="auto"/>
              <w:jc w:val="right"/>
              <w:rPr>
                <w:rFonts w:ascii="Arial" w:hAnsi="Arial" w:cs="Arial"/>
                <w:b/>
                <w:bCs/>
                <w:sz w:val="16"/>
                <w:szCs w:val="16"/>
              </w:rPr>
            </w:pPr>
            <w:r w:rsidRPr="00936A7A">
              <w:rPr>
                <w:rFonts w:ascii="Arial" w:hAnsi="Arial" w:cs="Arial"/>
                <w:b/>
                <w:bCs/>
                <w:sz w:val="16"/>
                <w:szCs w:val="16"/>
              </w:rPr>
              <w:t xml:space="preserve">28,164 </w:t>
            </w:r>
          </w:p>
        </w:tc>
        <w:tc>
          <w:tcPr>
            <w:tcW w:w="578" w:type="pct"/>
            <w:tcBorders>
              <w:top w:val="single" w:sz="4" w:space="0" w:color="auto"/>
              <w:left w:val="nil"/>
              <w:bottom w:val="single" w:sz="4" w:space="0" w:color="auto"/>
              <w:right w:val="nil"/>
            </w:tcBorders>
            <w:shd w:val="clear" w:color="auto" w:fill="auto"/>
            <w:noWrap/>
            <w:vAlign w:val="bottom"/>
            <w:hideMark/>
          </w:tcPr>
          <w:p w14:paraId="26FD22D5" w14:textId="77777777" w:rsidR="00936A7A" w:rsidRPr="00936A7A" w:rsidRDefault="00936A7A" w:rsidP="00936A7A">
            <w:pPr>
              <w:spacing w:after="0" w:line="240" w:lineRule="auto"/>
              <w:jc w:val="right"/>
              <w:rPr>
                <w:rFonts w:ascii="Arial" w:hAnsi="Arial" w:cs="Arial"/>
                <w:b/>
                <w:bCs/>
                <w:sz w:val="16"/>
                <w:szCs w:val="16"/>
              </w:rPr>
            </w:pPr>
            <w:r w:rsidRPr="00936A7A">
              <w:rPr>
                <w:rFonts w:ascii="Arial" w:hAnsi="Arial" w:cs="Arial"/>
                <w:b/>
                <w:bCs/>
                <w:sz w:val="16"/>
                <w:szCs w:val="16"/>
              </w:rPr>
              <w:t xml:space="preserve">13,032 </w:t>
            </w:r>
          </w:p>
        </w:tc>
        <w:tc>
          <w:tcPr>
            <w:tcW w:w="578" w:type="pct"/>
            <w:tcBorders>
              <w:top w:val="single" w:sz="4" w:space="0" w:color="auto"/>
              <w:left w:val="nil"/>
              <w:bottom w:val="single" w:sz="4" w:space="0" w:color="auto"/>
              <w:right w:val="nil"/>
            </w:tcBorders>
            <w:shd w:val="clear" w:color="auto" w:fill="auto"/>
            <w:noWrap/>
            <w:vAlign w:val="bottom"/>
            <w:hideMark/>
          </w:tcPr>
          <w:p w14:paraId="582E1819" w14:textId="77777777" w:rsidR="00936A7A" w:rsidRPr="00936A7A" w:rsidRDefault="00936A7A" w:rsidP="00936A7A">
            <w:pPr>
              <w:spacing w:after="0" w:line="240" w:lineRule="auto"/>
              <w:jc w:val="right"/>
              <w:rPr>
                <w:rFonts w:ascii="Arial" w:hAnsi="Arial" w:cs="Arial"/>
                <w:b/>
                <w:bCs/>
                <w:sz w:val="16"/>
                <w:szCs w:val="16"/>
              </w:rPr>
            </w:pPr>
            <w:r w:rsidRPr="00936A7A">
              <w:rPr>
                <w:rFonts w:ascii="Arial" w:hAnsi="Arial" w:cs="Arial"/>
                <w:b/>
                <w:bCs/>
                <w:sz w:val="16"/>
                <w:szCs w:val="16"/>
              </w:rPr>
              <w:t xml:space="preserve">10,374 </w:t>
            </w:r>
          </w:p>
        </w:tc>
      </w:tr>
      <w:tr w:rsidR="00936A7A" w:rsidRPr="00936A7A" w14:paraId="64754F8D" w14:textId="77777777" w:rsidTr="00936A7A">
        <w:trPr>
          <w:trHeight w:val="238"/>
        </w:trPr>
        <w:tc>
          <w:tcPr>
            <w:tcW w:w="2110" w:type="pct"/>
            <w:tcBorders>
              <w:top w:val="nil"/>
              <w:left w:val="nil"/>
              <w:bottom w:val="nil"/>
              <w:right w:val="nil"/>
            </w:tcBorders>
            <w:shd w:val="clear" w:color="auto" w:fill="auto"/>
            <w:noWrap/>
            <w:vAlign w:val="bottom"/>
            <w:hideMark/>
          </w:tcPr>
          <w:p w14:paraId="15BE1C3C" w14:textId="77777777" w:rsidR="00936A7A" w:rsidRPr="00936A7A" w:rsidRDefault="00936A7A" w:rsidP="00936A7A">
            <w:pPr>
              <w:spacing w:after="0" w:line="240" w:lineRule="auto"/>
              <w:jc w:val="left"/>
              <w:rPr>
                <w:rFonts w:ascii="Arial" w:hAnsi="Arial" w:cs="Arial"/>
                <w:b/>
                <w:bCs/>
                <w:i/>
                <w:iCs/>
                <w:sz w:val="16"/>
                <w:szCs w:val="16"/>
              </w:rPr>
            </w:pPr>
            <w:r w:rsidRPr="00936A7A">
              <w:rPr>
                <w:rFonts w:ascii="Arial" w:hAnsi="Arial" w:cs="Arial"/>
                <w:b/>
                <w:bCs/>
                <w:i/>
                <w:iCs/>
                <w:sz w:val="16"/>
                <w:szCs w:val="16"/>
              </w:rPr>
              <w:t>Provided for:</w:t>
            </w:r>
          </w:p>
        </w:tc>
        <w:tc>
          <w:tcPr>
            <w:tcW w:w="578" w:type="pct"/>
            <w:tcBorders>
              <w:top w:val="nil"/>
              <w:left w:val="nil"/>
              <w:bottom w:val="nil"/>
              <w:right w:val="nil"/>
            </w:tcBorders>
            <w:shd w:val="clear" w:color="auto" w:fill="auto"/>
            <w:noWrap/>
            <w:vAlign w:val="bottom"/>
            <w:hideMark/>
          </w:tcPr>
          <w:p w14:paraId="394DD495" w14:textId="77777777" w:rsidR="00936A7A" w:rsidRPr="00936A7A" w:rsidRDefault="00936A7A" w:rsidP="00936A7A">
            <w:pPr>
              <w:spacing w:after="0" w:line="240" w:lineRule="auto"/>
              <w:jc w:val="left"/>
              <w:rPr>
                <w:rFonts w:ascii="Arial" w:hAnsi="Arial" w:cs="Arial"/>
                <w:b/>
                <w:bCs/>
                <w:i/>
                <w:iCs/>
                <w:sz w:val="16"/>
                <w:szCs w:val="16"/>
              </w:rPr>
            </w:pPr>
          </w:p>
        </w:tc>
        <w:tc>
          <w:tcPr>
            <w:tcW w:w="578" w:type="pct"/>
            <w:tcBorders>
              <w:top w:val="nil"/>
              <w:left w:val="nil"/>
              <w:bottom w:val="nil"/>
              <w:right w:val="nil"/>
            </w:tcBorders>
            <w:shd w:val="clear" w:color="000000" w:fill="E6E6E6"/>
            <w:noWrap/>
            <w:vAlign w:val="bottom"/>
            <w:hideMark/>
          </w:tcPr>
          <w:p w14:paraId="79E1271A" w14:textId="77777777" w:rsidR="00936A7A" w:rsidRPr="00936A7A" w:rsidRDefault="00936A7A" w:rsidP="00936A7A">
            <w:pPr>
              <w:spacing w:after="0" w:line="240" w:lineRule="auto"/>
              <w:jc w:val="left"/>
              <w:rPr>
                <w:rFonts w:ascii="Arial" w:hAnsi="Arial" w:cs="Arial"/>
                <w:i/>
                <w:iCs/>
                <w:sz w:val="16"/>
                <w:szCs w:val="16"/>
              </w:rPr>
            </w:pPr>
            <w:r w:rsidRPr="00936A7A">
              <w:rPr>
                <w:rFonts w:ascii="Arial" w:hAnsi="Arial" w:cs="Arial"/>
                <w:i/>
                <w:iCs/>
                <w:sz w:val="16"/>
                <w:szCs w:val="16"/>
              </w:rPr>
              <w:t> </w:t>
            </w:r>
          </w:p>
        </w:tc>
        <w:tc>
          <w:tcPr>
            <w:tcW w:w="578" w:type="pct"/>
            <w:tcBorders>
              <w:top w:val="nil"/>
              <w:left w:val="nil"/>
              <w:bottom w:val="nil"/>
              <w:right w:val="nil"/>
            </w:tcBorders>
            <w:shd w:val="clear" w:color="auto" w:fill="auto"/>
            <w:noWrap/>
            <w:vAlign w:val="bottom"/>
            <w:hideMark/>
          </w:tcPr>
          <w:p w14:paraId="4DA5FB84" w14:textId="77777777" w:rsidR="00936A7A" w:rsidRPr="00936A7A" w:rsidRDefault="00936A7A" w:rsidP="00936A7A">
            <w:pPr>
              <w:spacing w:after="0" w:line="240" w:lineRule="auto"/>
              <w:jc w:val="left"/>
              <w:rPr>
                <w:rFonts w:ascii="Arial" w:hAnsi="Arial" w:cs="Arial"/>
                <w:i/>
                <w:iCs/>
                <w:sz w:val="16"/>
                <w:szCs w:val="16"/>
              </w:rPr>
            </w:pPr>
          </w:p>
        </w:tc>
        <w:tc>
          <w:tcPr>
            <w:tcW w:w="578" w:type="pct"/>
            <w:tcBorders>
              <w:top w:val="nil"/>
              <w:left w:val="nil"/>
              <w:bottom w:val="nil"/>
              <w:right w:val="nil"/>
            </w:tcBorders>
            <w:shd w:val="clear" w:color="auto" w:fill="auto"/>
            <w:noWrap/>
            <w:vAlign w:val="bottom"/>
            <w:hideMark/>
          </w:tcPr>
          <w:p w14:paraId="73AEE685" w14:textId="77777777" w:rsidR="00936A7A" w:rsidRPr="00936A7A" w:rsidRDefault="00936A7A" w:rsidP="00936A7A">
            <w:pPr>
              <w:spacing w:after="0" w:line="240" w:lineRule="auto"/>
              <w:jc w:val="left"/>
              <w:rPr>
                <w:rFonts w:ascii="Times New Roman" w:hAnsi="Times New Roman"/>
              </w:rPr>
            </w:pPr>
          </w:p>
        </w:tc>
        <w:tc>
          <w:tcPr>
            <w:tcW w:w="578" w:type="pct"/>
            <w:tcBorders>
              <w:top w:val="nil"/>
              <w:left w:val="nil"/>
              <w:bottom w:val="nil"/>
              <w:right w:val="nil"/>
            </w:tcBorders>
            <w:shd w:val="clear" w:color="auto" w:fill="auto"/>
            <w:noWrap/>
            <w:vAlign w:val="bottom"/>
            <w:hideMark/>
          </w:tcPr>
          <w:p w14:paraId="17CE67EB" w14:textId="77777777" w:rsidR="00936A7A" w:rsidRPr="00936A7A" w:rsidRDefault="00936A7A" w:rsidP="00936A7A">
            <w:pPr>
              <w:spacing w:after="0" w:line="240" w:lineRule="auto"/>
              <w:jc w:val="left"/>
              <w:rPr>
                <w:rFonts w:ascii="Times New Roman" w:hAnsi="Times New Roman"/>
              </w:rPr>
            </w:pPr>
          </w:p>
        </w:tc>
      </w:tr>
      <w:tr w:rsidR="00936A7A" w:rsidRPr="00936A7A" w14:paraId="596971AA" w14:textId="77777777" w:rsidTr="00936A7A">
        <w:trPr>
          <w:trHeight w:val="238"/>
        </w:trPr>
        <w:tc>
          <w:tcPr>
            <w:tcW w:w="2110" w:type="pct"/>
            <w:tcBorders>
              <w:top w:val="nil"/>
              <w:left w:val="nil"/>
              <w:bottom w:val="nil"/>
              <w:right w:val="nil"/>
            </w:tcBorders>
            <w:shd w:val="clear" w:color="auto" w:fill="auto"/>
            <w:noWrap/>
            <w:vAlign w:val="bottom"/>
            <w:hideMark/>
          </w:tcPr>
          <w:p w14:paraId="0379C25F" w14:textId="77777777" w:rsidR="00936A7A" w:rsidRPr="00936A7A" w:rsidRDefault="00936A7A" w:rsidP="00936A7A">
            <w:pPr>
              <w:spacing w:after="0" w:line="240" w:lineRule="auto"/>
              <w:ind w:firstLineChars="100" w:firstLine="160"/>
              <w:jc w:val="left"/>
              <w:rPr>
                <w:rFonts w:ascii="Arial" w:hAnsi="Arial" w:cs="Arial"/>
                <w:i/>
                <w:iCs/>
                <w:sz w:val="16"/>
                <w:szCs w:val="16"/>
              </w:rPr>
            </w:pPr>
            <w:r w:rsidRPr="00936A7A">
              <w:rPr>
                <w:rFonts w:ascii="Arial" w:hAnsi="Arial" w:cs="Arial"/>
                <w:i/>
                <w:iCs/>
                <w:sz w:val="16"/>
                <w:szCs w:val="16"/>
              </w:rPr>
              <w:t>Purchase of non-financial assets</w:t>
            </w:r>
          </w:p>
        </w:tc>
        <w:tc>
          <w:tcPr>
            <w:tcW w:w="578" w:type="pct"/>
            <w:tcBorders>
              <w:top w:val="nil"/>
              <w:left w:val="nil"/>
              <w:bottom w:val="nil"/>
              <w:right w:val="nil"/>
            </w:tcBorders>
            <w:shd w:val="clear" w:color="auto" w:fill="auto"/>
            <w:noWrap/>
            <w:vAlign w:val="bottom"/>
            <w:hideMark/>
          </w:tcPr>
          <w:p w14:paraId="71226A6F" w14:textId="77777777" w:rsidR="00936A7A" w:rsidRPr="00936A7A" w:rsidRDefault="00936A7A" w:rsidP="00936A7A">
            <w:pPr>
              <w:spacing w:after="0" w:line="240" w:lineRule="auto"/>
              <w:jc w:val="right"/>
              <w:rPr>
                <w:rFonts w:ascii="Arial" w:hAnsi="Arial" w:cs="Arial"/>
                <w:i/>
                <w:iCs/>
                <w:sz w:val="16"/>
                <w:szCs w:val="16"/>
              </w:rPr>
            </w:pPr>
            <w:r w:rsidRPr="00936A7A">
              <w:rPr>
                <w:rFonts w:ascii="Arial" w:hAnsi="Arial" w:cs="Arial"/>
                <w:i/>
                <w:iCs/>
                <w:sz w:val="16"/>
                <w:szCs w:val="16"/>
              </w:rPr>
              <w:t xml:space="preserve">32,886 </w:t>
            </w:r>
          </w:p>
        </w:tc>
        <w:tc>
          <w:tcPr>
            <w:tcW w:w="578" w:type="pct"/>
            <w:tcBorders>
              <w:top w:val="nil"/>
              <w:left w:val="nil"/>
              <w:bottom w:val="nil"/>
              <w:right w:val="nil"/>
            </w:tcBorders>
            <w:shd w:val="clear" w:color="000000" w:fill="E6E6E6"/>
            <w:noWrap/>
            <w:vAlign w:val="bottom"/>
            <w:hideMark/>
          </w:tcPr>
          <w:p w14:paraId="505A1FCE" w14:textId="77777777" w:rsidR="00936A7A" w:rsidRPr="00936A7A" w:rsidRDefault="00936A7A" w:rsidP="00936A7A">
            <w:pPr>
              <w:spacing w:after="0" w:line="240" w:lineRule="auto"/>
              <w:jc w:val="right"/>
              <w:rPr>
                <w:rFonts w:ascii="Arial" w:hAnsi="Arial" w:cs="Arial"/>
                <w:i/>
                <w:iCs/>
                <w:sz w:val="16"/>
                <w:szCs w:val="16"/>
              </w:rPr>
            </w:pPr>
            <w:r w:rsidRPr="00936A7A">
              <w:rPr>
                <w:rFonts w:ascii="Arial" w:hAnsi="Arial" w:cs="Arial"/>
                <w:i/>
                <w:iCs/>
                <w:sz w:val="16"/>
                <w:szCs w:val="16"/>
              </w:rPr>
              <w:t xml:space="preserve">32,472 </w:t>
            </w:r>
          </w:p>
        </w:tc>
        <w:tc>
          <w:tcPr>
            <w:tcW w:w="578" w:type="pct"/>
            <w:tcBorders>
              <w:top w:val="nil"/>
              <w:left w:val="nil"/>
              <w:bottom w:val="nil"/>
              <w:right w:val="nil"/>
            </w:tcBorders>
            <w:shd w:val="clear" w:color="auto" w:fill="auto"/>
            <w:noWrap/>
            <w:vAlign w:val="bottom"/>
            <w:hideMark/>
          </w:tcPr>
          <w:p w14:paraId="2C8308DD" w14:textId="77777777" w:rsidR="00936A7A" w:rsidRPr="00936A7A" w:rsidRDefault="00936A7A" w:rsidP="00936A7A">
            <w:pPr>
              <w:spacing w:after="0" w:line="240" w:lineRule="auto"/>
              <w:jc w:val="right"/>
              <w:rPr>
                <w:rFonts w:ascii="Arial" w:hAnsi="Arial" w:cs="Arial"/>
                <w:i/>
                <w:iCs/>
                <w:sz w:val="16"/>
                <w:szCs w:val="16"/>
              </w:rPr>
            </w:pPr>
            <w:r w:rsidRPr="00936A7A">
              <w:rPr>
                <w:rFonts w:ascii="Arial" w:hAnsi="Arial" w:cs="Arial"/>
                <w:i/>
                <w:iCs/>
                <w:sz w:val="16"/>
                <w:szCs w:val="16"/>
              </w:rPr>
              <w:t xml:space="preserve">27,664 </w:t>
            </w:r>
          </w:p>
        </w:tc>
        <w:tc>
          <w:tcPr>
            <w:tcW w:w="578" w:type="pct"/>
            <w:tcBorders>
              <w:top w:val="nil"/>
              <w:left w:val="nil"/>
              <w:bottom w:val="nil"/>
              <w:right w:val="nil"/>
            </w:tcBorders>
            <w:shd w:val="clear" w:color="auto" w:fill="auto"/>
            <w:noWrap/>
            <w:vAlign w:val="bottom"/>
            <w:hideMark/>
          </w:tcPr>
          <w:p w14:paraId="39F7D6C2" w14:textId="77777777" w:rsidR="00936A7A" w:rsidRPr="00936A7A" w:rsidRDefault="00936A7A" w:rsidP="00936A7A">
            <w:pPr>
              <w:spacing w:after="0" w:line="240" w:lineRule="auto"/>
              <w:jc w:val="right"/>
              <w:rPr>
                <w:rFonts w:ascii="Arial" w:hAnsi="Arial" w:cs="Arial"/>
                <w:i/>
                <w:iCs/>
                <w:sz w:val="16"/>
                <w:szCs w:val="16"/>
              </w:rPr>
            </w:pPr>
            <w:r w:rsidRPr="00936A7A">
              <w:rPr>
                <w:rFonts w:ascii="Arial" w:hAnsi="Arial" w:cs="Arial"/>
                <w:i/>
                <w:iCs/>
                <w:sz w:val="16"/>
                <w:szCs w:val="16"/>
              </w:rPr>
              <w:t xml:space="preserve">12,532 </w:t>
            </w:r>
          </w:p>
        </w:tc>
        <w:tc>
          <w:tcPr>
            <w:tcW w:w="578" w:type="pct"/>
            <w:tcBorders>
              <w:top w:val="nil"/>
              <w:left w:val="nil"/>
              <w:bottom w:val="nil"/>
              <w:right w:val="nil"/>
            </w:tcBorders>
            <w:shd w:val="clear" w:color="auto" w:fill="auto"/>
            <w:noWrap/>
            <w:vAlign w:val="bottom"/>
            <w:hideMark/>
          </w:tcPr>
          <w:p w14:paraId="73F6AD76" w14:textId="77777777" w:rsidR="00936A7A" w:rsidRPr="00936A7A" w:rsidRDefault="00936A7A" w:rsidP="00936A7A">
            <w:pPr>
              <w:spacing w:after="0" w:line="240" w:lineRule="auto"/>
              <w:jc w:val="right"/>
              <w:rPr>
                <w:rFonts w:ascii="Arial" w:hAnsi="Arial" w:cs="Arial"/>
                <w:i/>
                <w:iCs/>
                <w:sz w:val="16"/>
                <w:szCs w:val="16"/>
              </w:rPr>
            </w:pPr>
            <w:r w:rsidRPr="00936A7A">
              <w:rPr>
                <w:rFonts w:ascii="Arial" w:hAnsi="Arial" w:cs="Arial"/>
                <w:i/>
                <w:iCs/>
                <w:sz w:val="16"/>
                <w:szCs w:val="16"/>
              </w:rPr>
              <w:t xml:space="preserve">9,874 </w:t>
            </w:r>
          </w:p>
        </w:tc>
      </w:tr>
      <w:tr w:rsidR="00936A7A" w:rsidRPr="00936A7A" w14:paraId="0046ECE1" w14:textId="77777777" w:rsidTr="00936A7A">
        <w:trPr>
          <w:trHeight w:val="238"/>
        </w:trPr>
        <w:tc>
          <w:tcPr>
            <w:tcW w:w="2110" w:type="pct"/>
            <w:tcBorders>
              <w:top w:val="nil"/>
              <w:left w:val="nil"/>
              <w:bottom w:val="nil"/>
              <w:right w:val="nil"/>
            </w:tcBorders>
            <w:shd w:val="clear" w:color="auto" w:fill="auto"/>
            <w:noWrap/>
            <w:vAlign w:val="bottom"/>
            <w:hideMark/>
          </w:tcPr>
          <w:p w14:paraId="3D3A72E1" w14:textId="77777777" w:rsidR="00936A7A" w:rsidRPr="00936A7A" w:rsidRDefault="00936A7A" w:rsidP="00936A7A">
            <w:pPr>
              <w:spacing w:after="0" w:line="240" w:lineRule="auto"/>
              <w:ind w:firstLineChars="100" w:firstLine="160"/>
              <w:jc w:val="left"/>
              <w:rPr>
                <w:rFonts w:ascii="Arial" w:hAnsi="Arial" w:cs="Arial"/>
                <w:i/>
                <w:iCs/>
                <w:sz w:val="16"/>
                <w:szCs w:val="16"/>
              </w:rPr>
            </w:pPr>
            <w:r w:rsidRPr="00936A7A">
              <w:rPr>
                <w:rFonts w:ascii="Arial" w:hAnsi="Arial" w:cs="Arial"/>
                <w:i/>
                <w:iCs/>
                <w:sz w:val="16"/>
                <w:szCs w:val="16"/>
              </w:rPr>
              <w:t>Other Items</w:t>
            </w:r>
          </w:p>
        </w:tc>
        <w:tc>
          <w:tcPr>
            <w:tcW w:w="578" w:type="pct"/>
            <w:tcBorders>
              <w:top w:val="nil"/>
              <w:left w:val="nil"/>
              <w:bottom w:val="nil"/>
              <w:right w:val="nil"/>
            </w:tcBorders>
            <w:shd w:val="clear" w:color="auto" w:fill="auto"/>
            <w:noWrap/>
            <w:vAlign w:val="bottom"/>
            <w:hideMark/>
          </w:tcPr>
          <w:p w14:paraId="0655FFB4" w14:textId="77777777" w:rsidR="00936A7A" w:rsidRPr="00936A7A" w:rsidRDefault="00936A7A" w:rsidP="00936A7A">
            <w:pPr>
              <w:spacing w:after="0" w:line="240" w:lineRule="auto"/>
              <w:jc w:val="right"/>
              <w:rPr>
                <w:rFonts w:ascii="Arial" w:hAnsi="Arial" w:cs="Arial"/>
                <w:i/>
                <w:iCs/>
                <w:sz w:val="16"/>
                <w:szCs w:val="16"/>
              </w:rPr>
            </w:pPr>
            <w:r w:rsidRPr="00936A7A">
              <w:rPr>
                <w:rFonts w:ascii="Arial" w:hAnsi="Arial" w:cs="Arial"/>
                <w:i/>
                <w:iCs/>
                <w:sz w:val="16"/>
                <w:szCs w:val="16"/>
              </w:rPr>
              <w:t xml:space="preserve">35,600 </w:t>
            </w:r>
          </w:p>
        </w:tc>
        <w:tc>
          <w:tcPr>
            <w:tcW w:w="578" w:type="pct"/>
            <w:tcBorders>
              <w:top w:val="nil"/>
              <w:left w:val="nil"/>
              <w:bottom w:val="nil"/>
              <w:right w:val="nil"/>
            </w:tcBorders>
            <w:shd w:val="clear" w:color="000000" w:fill="E6E6E6"/>
            <w:noWrap/>
            <w:vAlign w:val="bottom"/>
            <w:hideMark/>
          </w:tcPr>
          <w:p w14:paraId="2C3F4753" w14:textId="77777777" w:rsidR="00936A7A" w:rsidRPr="00936A7A" w:rsidRDefault="00936A7A" w:rsidP="00936A7A">
            <w:pPr>
              <w:spacing w:after="0" w:line="240" w:lineRule="auto"/>
              <w:jc w:val="right"/>
              <w:rPr>
                <w:rFonts w:ascii="Arial" w:hAnsi="Arial" w:cs="Arial"/>
                <w:i/>
                <w:iCs/>
                <w:sz w:val="16"/>
                <w:szCs w:val="16"/>
              </w:rPr>
            </w:pPr>
            <w:r w:rsidRPr="00936A7A">
              <w:rPr>
                <w:rFonts w:ascii="Arial" w:hAnsi="Arial" w:cs="Arial"/>
                <w:i/>
                <w:iCs/>
                <w:sz w:val="16"/>
                <w:szCs w:val="16"/>
              </w:rPr>
              <w:t xml:space="preserve">500 </w:t>
            </w:r>
          </w:p>
        </w:tc>
        <w:tc>
          <w:tcPr>
            <w:tcW w:w="578" w:type="pct"/>
            <w:tcBorders>
              <w:top w:val="nil"/>
              <w:left w:val="nil"/>
              <w:bottom w:val="nil"/>
              <w:right w:val="nil"/>
            </w:tcBorders>
            <w:shd w:val="clear" w:color="auto" w:fill="auto"/>
            <w:noWrap/>
            <w:vAlign w:val="bottom"/>
            <w:hideMark/>
          </w:tcPr>
          <w:p w14:paraId="12A01811" w14:textId="77777777" w:rsidR="00936A7A" w:rsidRPr="00936A7A" w:rsidRDefault="00936A7A" w:rsidP="00936A7A">
            <w:pPr>
              <w:spacing w:after="0" w:line="240" w:lineRule="auto"/>
              <w:jc w:val="right"/>
              <w:rPr>
                <w:rFonts w:ascii="Arial" w:hAnsi="Arial" w:cs="Arial"/>
                <w:i/>
                <w:iCs/>
                <w:sz w:val="16"/>
                <w:szCs w:val="16"/>
              </w:rPr>
            </w:pPr>
            <w:r w:rsidRPr="00936A7A">
              <w:rPr>
                <w:rFonts w:ascii="Arial" w:hAnsi="Arial" w:cs="Arial"/>
                <w:i/>
                <w:iCs/>
                <w:sz w:val="16"/>
                <w:szCs w:val="16"/>
              </w:rPr>
              <w:t xml:space="preserve">500 </w:t>
            </w:r>
          </w:p>
        </w:tc>
        <w:tc>
          <w:tcPr>
            <w:tcW w:w="578" w:type="pct"/>
            <w:tcBorders>
              <w:top w:val="nil"/>
              <w:left w:val="nil"/>
              <w:bottom w:val="nil"/>
              <w:right w:val="nil"/>
            </w:tcBorders>
            <w:shd w:val="clear" w:color="auto" w:fill="auto"/>
            <w:noWrap/>
            <w:vAlign w:val="bottom"/>
            <w:hideMark/>
          </w:tcPr>
          <w:p w14:paraId="22C800A5" w14:textId="77777777" w:rsidR="00936A7A" w:rsidRPr="00936A7A" w:rsidRDefault="00936A7A" w:rsidP="00936A7A">
            <w:pPr>
              <w:spacing w:after="0" w:line="240" w:lineRule="auto"/>
              <w:jc w:val="right"/>
              <w:rPr>
                <w:rFonts w:ascii="Arial" w:hAnsi="Arial" w:cs="Arial"/>
                <w:i/>
                <w:iCs/>
                <w:sz w:val="16"/>
                <w:szCs w:val="16"/>
              </w:rPr>
            </w:pPr>
            <w:r w:rsidRPr="00936A7A">
              <w:rPr>
                <w:rFonts w:ascii="Arial" w:hAnsi="Arial" w:cs="Arial"/>
                <w:i/>
                <w:iCs/>
                <w:sz w:val="16"/>
                <w:szCs w:val="16"/>
              </w:rPr>
              <w:t xml:space="preserve">500 </w:t>
            </w:r>
          </w:p>
        </w:tc>
        <w:tc>
          <w:tcPr>
            <w:tcW w:w="578" w:type="pct"/>
            <w:tcBorders>
              <w:top w:val="nil"/>
              <w:left w:val="nil"/>
              <w:bottom w:val="nil"/>
              <w:right w:val="nil"/>
            </w:tcBorders>
            <w:shd w:val="clear" w:color="auto" w:fill="auto"/>
            <w:noWrap/>
            <w:vAlign w:val="bottom"/>
            <w:hideMark/>
          </w:tcPr>
          <w:p w14:paraId="6DCD83D1" w14:textId="77777777" w:rsidR="00936A7A" w:rsidRPr="00936A7A" w:rsidRDefault="00936A7A" w:rsidP="00936A7A">
            <w:pPr>
              <w:spacing w:after="0" w:line="240" w:lineRule="auto"/>
              <w:jc w:val="right"/>
              <w:rPr>
                <w:rFonts w:ascii="Arial" w:hAnsi="Arial" w:cs="Arial"/>
                <w:i/>
                <w:iCs/>
                <w:sz w:val="16"/>
                <w:szCs w:val="16"/>
              </w:rPr>
            </w:pPr>
            <w:r w:rsidRPr="00936A7A">
              <w:rPr>
                <w:rFonts w:ascii="Arial" w:hAnsi="Arial" w:cs="Arial"/>
                <w:i/>
                <w:iCs/>
                <w:sz w:val="16"/>
                <w:szCs w:val="16"/>
              </w:rPr>
              <w:t xml:space="preserve">500 </w:t>
            </w:r>
          </w:p>
        </w:tc>
      </w:tr>
      <w:tr w:rsidR="00936A7A" w:rsidRPr="00936A7A" w14:paraId="3B6B0191" w14:textId="77777777" w:rsidTr="00936A7A">
        <w:trPr>
          <w:trHeight w:val="238"/>
        </w:trPr>
        <w:tc>
          <w:tcPr>
            <w:tcW w:w="2110" w:type="pct"/>
            <w:tcBorders>
              <w:top w:val="nil"/>
              <w:left w:val="nil"/>
              <w:bottom w:val="nil"/>
              <w:right w:val="nil"/>
            </w:tcBorders>
            <w:shd w:val="clear" w:color="auto" w:fill="auto"/>
            <w:noWrap/>
            <w:vAlign w:val="bottom"/>
            <w:hideMark/>
          </w:tcPr>
          <w:p w14:paraId="3BFA2245" w14:textId="77777777" w:rsidR="00936A7A" w:rsidRPr="00936A7A" w:rsidRDefault="00936A7A" w:rsidP="00936A7A">
            <w:pPr>
              <w:spacing w:after="0" w:line="240" w:lineRule="auto"/>
              <w:jc w:val="left"/>
              <w:rPr>
                <w:rFonts w:ascii="Arial" w:hAnsi="Arial" w:cs="Arial"/>
                <w:b/>
                <w:bCs/>
                <w:i/>
                <w:iCs/>
                <w:sz w:val="16"/>
                <w:szCs w:val="16"/>
              </w:rPr>
            </w:pPr>
            <w:r w:rsidRPr="00936A7A">
              <w:rPr>
                <w:rFonts w:ascii="Arial" w:hAnsi="Arial" w:cs="Arial"/>
                <w:b/>
                <w:bCs/>
                <w:i/>
                <w:iCs/>
                <w:sz w:val="16"/>
                <w:szCs w:val="16"/>
              </w:rPr>
              <w:t>Total items</w:t>
            </w:r>
          </w:p>
        </w:tc>
        <w:tc>
          <w:tcPr>
            <w:tcW w:w="578" w:type="pct"/>
            <w:tcBorders>
              <w:top w:val="single" w:sz="4" w:space="0" w:color="auto"/>
              <w:left w:val="nil"/>
              <w:bottom w:val="single" w:sz="4" w:space="0" w:color="auto"/>
              <w:right w:val="nil"/>
            </w:tcBorders>
            <w:shd w:val="clear" w:color="auto" w:fill="auto"/>
            <w:noWrap/>
            <w:vAlign w:val="bottom"/>
            <w:hideMark/>
          </w:tcPr>
          <w:p w14:paraId="06018331" w14:textId="77777777" w:rsidR="00936A7A" w:rsidRPr="00936A7A" w:rsidRDefault="00936A7A" w:rsidP="00936A7A">
            <w:pPr>
              <w:spacing w:after="0" w:line="240" w:lineRule="auto"/>
              <w:jc w:val="right"/>
              <w:rPr>
                <w:rFonts w:ascii="Arial" w:hAnsi="Arial" w:cs="Arial"/>
                <w:b/>
                <w:bCs/>
                <w:i/>
                <w:iCs/>
                <w:sz w:val="16"/>
                <w:szCs w:val="16"/>
              </w:rPr>
            </w:pPr>
            <w:r w:rsidRPr="00936A7A">
              <w:rPr>
                <w:rFonts w:ascii="Arial" w:hAnsi="Arial" w:cs="Arial"/>
                <w:b/>
                <w:bCs/>
                <w:i/>
                <w:iCs/>
                <w:sz w:val="16"/>
                <w:szCs w:val="16"/>
              </w:rPr>
              <w:t xml:space="preserve">68,486 </w:t>
            </w:r>
          </w:p>
        </w:tc>
        <w:tc>
          <w:tcPr>
            <w:tcW w:w="578" w:type="pct"/>
            <w:tcBorders>
              <w:top w:val="single" w:sz="4" w:space="0" w:color="auto"/>
              <w:left w:val="nil"/>
              <w:bottom w:val="single" w:sz="4" w:space="0" w:color="auto"/>
              <w:right w:val="nil"/>
            </w:tcBorders>
            <w:shd w:val="clear" w:color="000000" w:fill="E6E6E6"/>
            <w:noWrap/>
            <w:vAlign w:val="bottom"/>
            <w:hideMark/>
          </w:tcPr>
          <w:p w14:paraId="0312B3AA" w14:textId="77777777" w:rsidR="00936A7A" w:rsidRPr="00936A7A" w:rsidRDefault="00936A7A" w:rsidP="00936A7A">
            <w:pPr>
              <w:spacing w:after="0" w:line="240" w:lineRule="auto"/>
              <w:jc w:val="right"/>
              <w:rPr>
                <w:rFonts w:ascii="Arial" w:hAnsi="Arial" w:cs="Arial"/>
                <w:b/>
                <w:bCs/>
                <w:i/>
                <w:iCs/>
                <w:sz w:val="16"/>
                <w:szCs w:val="16"/>
              </w:rPr>
            </w:pPr>
            <w:r w:rsidRPr="00936A7A">
              <w:rPr>
                <w:rFonts w:ascii="Arial" w:hAnsi="Arial" w:cs="Arial"/>
                <w:b/>
                <w:bCs/>
                <w:i/>
                <w:iCs/>
                <w:sz w:val="16"/>
                <w:szCs w:val="16"/>
              </w:rPr>
              <w:t xml:space="preserve">32,972 </w:t>
            </w:r>
          </w:p>
        </w:tc>
        <w:tc>
          <w:tcPr>
            <w:tcW w:w="578" w:type="pct"/>
            <w:tcBorders>
              <w:top w:val="single" w:sz="4" w:space="0" w:color="auto"/>
              <w:left w:val="nil"/>
              <w:bottom w:val="single" w:sz="4" w:space="0" w:color="auto"/>
              <w:right w:val="nil"/>
            </w:tcBorders>
            <w:shd w:val="clear" w:color="auto" w:fill="auto"/>
            <w:noWrap/>
            <w:vAlign w:val="bottom"/>
            <w:hideMark/>
          </w:tcPr>
          <w:p w14:paraId="7F833175" w14:textId="77777777" w:rsidR="00936A7A" w:rsidRPr="00936A7A" w:rsidRDefault="00936A7A" w:rsidP="00936A7A">
            <w:pPr>
              <w:spacing w:after="0" w:line="240" w:lineRule="auto"/>
              <w:jc w:val="right"/>
              <w:rPr>
                <w:rFonts w:ascii="Arial" w:hAnsi="Arial" w:cs="Arial"/>
                <w:b/>
                <w:bCs/>
                <w:i/>
                <w:iCs/>
                <w:sz w:val="16"/>
                <w:szCs w:val="16"/>
              </w:rPr>
            </w:pPr>
            <w:r w:rsidRPr="00936A7A">
              <w:rPr>
                <w:rFonts w:ascii="Arial" w:hAnsi="Arial" w:cs="Arial"/>
                <w:b/>
                <w:bCs/>
                <w:i/>
                <w:iCs/>
                <w:sz w:val="16"/>
                <w:szCs w:val="16"/>
              </w:rPr>
              <w:t xml:space="preserve">28,164 </w:t>
            </w:r>
          </w:p>
        </w:tc>
        <w:tc>
          <w:tcPr>
            <w:tcW w:w="578" w:type="pct"/>
            <w:tcBorders>
              <w:top w:val="single" w:sz="4" w:space="0" w:color="auto"/>
              <w:left w:val="nil"/>
              <w:bottom w:val="single" w:sz="4" w:space="0" w:color="auto"/>
              <w:right w:val="nil"/>
            </w:tcBorders>
            <w:shd w:val="clear" w:color="auto" w:fill="auto"/>
            <w:noWrap/>
            <w:vAlign w:val="bottom"/>
            <w:hideMark/>
          </w:tcPr>
          <w:p w14:paraId="670D5841" w14:textId="77777777" w:rsidR="00936A7A" w:rsidRPr="00936A7A" w:rsidRDefault="00936A7A" w:rsidP="00936A7A">
            <w:pPr>
              <w:spacing w:after="0" w:line="240" w:lineRule="auto"/>
              <w:jc w:val="right"/>
              <w:rPr>
                <w:rFonts w:ascii="Arial" w:hAnsi="Arial" w:cs="Arial"/>
                <w:b/>
                <w:bCs/>
                <w:i/>
                <w:iCs/>
                <w:sz w:val="16"/>
                <w:szCs w:val="16"/>
              </w:rPr>
            </w:pPr>
            <w:r w:rsidRPr="00936A7A">
              <w:rPr>
                <w:rFonts w:ascii="Arial" w:hAnsi="Arial" w:cs="Arial"/>
                <w:b/>
                <w:bCs/>
                <w:i/>
                <w:iCs/>
                <w:sz w:val="16"/>
                <w:szCs w:val="16"/>
              </w:rPr>
              <w:t xml:space="preserve">13,032 </w:t>
            </w:r>
          </w:p>
        </w:tc>
        <w:tc>
          <w:tcPr>
            <w:tcW w:w="578" w:type="pct"/>
            <w:tcBorders>
              <w:top w:val="single" w:sz="4" w:space="0" w:color="auto"/>
              <w:left w:val="nil"/>
              <w:bottom w:val="single" w:sz="4" w:space="0" w:color="auto"/>
              <w:right w:val="nil"/>
            </w:tcBorders>
            <w:shd w:val="clear" w:color="auto" w:fill="auto"/>
            <w:noWrap/>
            <w:vAlign w:val="bottom"/>
            <w:hideMark/>
          </w:tcPr>
          <w:p w14:paraId="05FFA509" w14:textId="77777777" w:rsidR="00936A7A" w:rsidRPr="00936A7A" w:rsidRDefault="00936A7A" w:rsidP="00936A7A">
            <w:pPr>
              <w:spacing w:after="0" w:line="240" w:lineRule="auto"/>
              <w:jc w:val="right"/>
              <w:rPr>
                <w:rFonts w:ascii="Arial" w:hAnsi="Arial" w:cs="Arial"/>
                <w:b/>
                <w:bCs/>
                <w:i/>
                <w:iCs/>
                <w:sz w:val="16"/>
                <w:szCs w:val="16"/>
              </w:rPr>
            </w:pPr>
            <w:r w:rsidRPr="00936A7A">
              <w:rPr>
                <w:rFonts w:ascii="Arial" w:hAnsi="Arial" w:cs="Arial"/>
                <w:b/>
                <w:bCs/>
                <w:i/>
                <w:iCs/>
                <w:sz w:val="16"/>
                <w:szCs w:val="16"/>
              </w:rPr>
              <w:t xml:space="preserve">10,374 </w:t>
            </w:r>
          </w:p>
        </w:tc>
      </w:tr>
      <w:tr w:rsidR="00936A7A" w:rsidRPr="00936A7A" w14:paraId="2BF0C0BE" w14:textId="77777777" w:rsidTr="00936A7A">
        <w:trPr>
          <w:trHeight w:val="420"/>
        </w:trPr>
        <w:tc>
          <w:tcPr>
            <w:tcW w:w="2110" w:type="pct"/>
            <w:tcBorders>
              <w:top w:val="nil"/>
              <w:left w:val="nil"/>
              <w:bottom w:val="nil"/>
              <w:right w:val="nil"/>
            </w:tcBorders>
            <w:shd w:val="clear" w:color="auto" w:fill="auto"/>
            <w:vAlign w:val="bottom"/>
            <w:hideMark/>
          </w:tcPr>
          <w:p w14:paraId="1327F377" w14:textId="77777777" w:rsidR="00936A7A" w:rsidRPr="00936A7A" w:rsidRDefault="00936A7A" w:rsidP="00936A7A">
            <w:pPr>
              <w:spacing w:after="0" w:line="240" w:lineRule="auto"/>
              <w:jc w:val="left"/>
              <w:rPr>
                <w:rFonts w:ascii="Arial" w:hAnsi="Arial" w:cs="Arial"/>
                <w:b/>
                <w:bCs/>
                <w:sz w:val="16"/>
                <w:szCs w:val="16"/>
              </w:rPr>
            </w:pPr>
            <w:r w:rsidRPr="00936A7A">
              <w:rPr>
                <w:rFonts w:ascii="Arial" w:hAnsi="Arial" w:cs="Arial"/>
                <w:b/>
                <w:bCs/>
                <w:sz w:val="16"/>
                <w:szCs w:val="16"/>
              </w:rPr>
              <w:t>PURCHASE OF NON-FINANCIAL</w:t>
            </w:r>
            <w:r w:rsidRPr="00936A7A">
              <w:rPr>
                <w:rFonts w:ascii="Arial" w:hAnsi="Arial" w:cs="Arial"/>
                <w:b/>
                <w:bCs/>
                <w:sz w:val="16"/>
                <w:szCs w:val="16"/>
              </w:rPr>
              <w:br/>
              <w:t xml:space="preserve">  ASSETS</w:t>
            </w:r>
          </w:p>
        </w:tc>
        <w:tc>
          <w:tcPr>
            <w:tcW w:w="578" w:type="pct"/>
            <w:tcBorders>
              <w:top w:val="nil"/>
              <w:left w:val="nil"/>
              <w:bottom w:val="nil"/>
              <w:right w:val="nil"/>
            </w:tcBorders>
            <w:shd w:val="clear" w:color="auto" w:fill="auto"/>
            <w:vAlign w:val="bottom"/>
            <w:hideMark/>
          </w:tcPr>
          <w:p w14:paraId="7EB3E342" w14:textId="77777777" w:rsidR="00936A7A" w:rsidRPr="00936A7A" w:rsidRDefault="00936A7A" w:rsidP="00936A7A">
            <w:pPr>
              <w:spacing w:after="0" w:line="240" w:lineRule="auto"/>
              <w:jc w:val="left"/>
              <w:rPr>
                <w:rFonts w:ascii="Arial" w:hAnsi="Arial" w:cs="Arial"/>
                <w:b/>
                <w:bCs/>
                <w:sz w:val="16"/>
                <w:szCs w:val="16"/>
              </w:rPr>
            </w:pPr>
          </w:p>
        </w:tc>
        <w:tc>
          <w:tcPr>
            <w:tcW w:w="578" w:type="pct"/>
            <w:tcBorders>
              <w:top w:val="nil"/>
              <w:left w:val="nil"/>
              <w:bottom w:val="nil"/>
              <w:right w:val="nil"/>
            </w:tcBorders>
            <w:shd w:val="clear" w:color="000000" w:fill="E6E6E6"/>
            <w:vAlign w:val="bottom"/>
            <w:hideMark/>
          </w:tcPr>
          <w:p w14:paraId="562262AC" w14:textId="77777777" w:rsidR="00936A7A" w:rsidRPr="00936A7A" w:rsidRDefault="00936A7A" w:rsidP="00936A7A">
            <w:pPr>
              <w:spacing w:after="0" w:line="240" w:lineRule="auto"/>
              <w:jc w:val="left"/>
              <w:rPr>
                <w:rFonts w:ascii="Arial" w:hAnsi="Arial" w:cs="Arial"/>
                <w:sz w:val="16"/>
                <w:szCs w:val="16"/>
              </w:rPr>
            </w:pPr>
            <w:r w:rsidRPr="00936A7A">
              <w:rPr>
                <w:rFonts w:ascii="Arial" w:hAnsi="Arial" w:cs="Arial"/>
                <w:sz w:val="16"/>
                <w:szCs w:val="16"/>
              </w:rPr>
              <w:t> </w:t>
            </w:r>
          </w:p>
        </w:tc>
        <w:tc>
          <w:tcPr>
            <w:tcW w:w="578" w:type="pct"/>
            <w:tcBorders>
              <w:top w:val="nil"/>
              <w:left w:val="nil"/>
              <w:bottom w:val="nil"/>
              <w:right w:val="nil"/>
            </w:tcBorders>
            <w:shd w:val="clear" w:color="auto" w:fill="auto"/>
            <w:vAlign w:val="bottom"/>
            <w:hideMark/>
          </w:tcPr>
          <w:p w14:paraId="00303888" w14:textId="77777777" w:rsidR="00936A7A" w:rsidRPr="00936A7A" w:rsidRDefault="00936A7A" w:rsidP="00936A7A">
            <w:pPr>
              <w:spacing w:after="0" w:line="240" w:lineRule="auto"/>
              <w:jc w:val="left"/>
              <w:rPr>
                <w:rFonts w:ascii="Arial" w:hAnsi="Arial" w:cs="Arial"/>
                <w:sz w:val="16"/>
                <w:szCs w:val="16"/>
              </w:rPr>
            </w:pPr>
          </w:p>
        </w:tc>
        <w:tc>
          <w:tcPr>
            <w:tcW w:w="578" w:type="pct"/>
            <w:tcBorders>
              <w:top w:val="nil"/>
              <w:left w:val="nil"/>
              <w:bottom w:val="nil"/>
              <w:right w:val="nil"/>
            </w:tcBorders>
            <w:shd w:val="clear" w:color="auto" w:fill="auto"/>
            <w:vAlign w:val="bottom"/>
            <w:hideMark/>
          </w:tcPr>
          <w:p w14:paraId="54F556ED" w14:textId="77777777" w:rsidR="00936A7A" w:rsidRPr="00936A7A" w:rsidRDefault="00936A7A" w:rsidP="00936A7A">
            <w:pPr>
              <w:spacing w:after="0" w:line="240" w:lineRule="auto"/>
              <w:jc w:val="left"/>
              <w:rPr>
                <w:rFonts w:ascii="Times New Roman" w:hAnsi="Times New Roman"/>
              </w:rPr>
            </w:pPr>
          </w:p>
        </w:tc>
        <w:tc>
          <w:tcPr>
            <w:tcW w:w="578" w:type="pct"/>
            <w:tcBorders>
              <w:top w:val="nil"/>
              <w:left w:val="nil"/>
              <w:bottom w:val="nil"/>
              <w:right w:val="nil"/>
            </w:tcBorders>
            <w:shd w:val="clear" w:color="auto" w:fill="auto"/>
            <w:vAlign w:val="bottom"/>
            <w:hideMark/>
          </w:tcPr>
          <w:p w14:paraId="6314B1AA" w14:textId="77777777" w:rsidR="00936A7A" w:rsidRPr="00936A7A" w:rsidRDefault="00936A7A" w:rsidP="00936A7A">
            <w:pPr>
              <w:spacing w:after="0" w:line="240" w:lineRule="auto"/>
              <w:jc w:val="left"/>
              <w:rPr>
                <w:rFonts w:ascii="Times New Roman" w:hAnsi="Times New Roman"/>
              </w:rPr>
            </w:pPr>
          </w:p>
        </w:tc>
      </w:tr>
      <w:tr w:rsidR="00936A7A" w:rsidRPr="00936A7A" w14:paraId="4D0158F8" w14:textId="77777777" w:rsidTr="00936A7A">
        <w:trPr>
          <w:trHeight w:val="238"/>
        </w:trPr>
        <w:tc>
          <w:tcPr>
            <w:tcW w:w="2110" w:type="pct"/>
            <w:tcBorders>
              <w:top w:val="nil"/>
              <w:left w:val="nil"/>
              <w:bottom w:val="nil"/>
              <w:right w:val="nil"/>
            </w:tcBorders>
            <w:shd w:val="clear" w:color="auto" w:fill="auto"/>
            <w:noWrap/>
            <w:vAlign w:val="bottom"/>
            <w:hideMark/>
          </w:tcPr>
          <w:p w14:paraId="4E1F07C6" w14:textId="77777777" w:rsidR="00936A7A" w:rsidRPr="00936A7A" w:rsidRDefault="00936A7A" w:rsidP="00936A7A">
            <w:pPr>
              <w:spacing w:after="0" w:line="240" w:lineRule="auto"/>
              <w:ind w:firstLineChars="100" w:firstLine="160"/>
              <w:jc w:val="left"/>
              <w:rPr>
                <w:rFonts w:ascii="Arial" w:hAnsi="Arial" w:cs="Arial"/>
                <w:sz w:val="16"/>
                <w:szCs w:val="16"/>
              </w:rPr>
            </w:pPr>
            <w:r w:rsidRPr="00936A7A">
              <w:rPr>
                <w:rFonts w:ascii="Arial" w:hAnsi="Arial" w:cs="Arial"/>
                <w:sz w:val="16"/>
                <w:szCs w:val="16"/>
              </w:rPr>
              <w:t>Funded by capital appropriations (a)</w:t>
            </w:r>
          </w:p>
        </w:tc>
        <w:tc>
          <w:tcPr>
            <w:tcW w:w="578" w:type="pct"/>
            <w:tcBorders>
              <w:top w:val="nil"/>
              <w:left w:val="nil"/>
              <w:bottom w:val="nil"/>
              <w:right w:val="nil"/>
            </w:tcBorders>
            <w:shd w:val="clear" w:color="auto" w:fill="auto"/>
            <w:noWrap/>
            <w:vAlign w:val="bottom"/>
            <w:hideMark/>
          </w:tcPr>
          <w:p w14:paraId="177A0D1A"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600 </w:t>
            </w:r>
          </w:p>
        </w:tc>
        <w:tc>
          <w:tcPr>
            <w:tcW w:w="578" w:type="pct"/>
            <w:tcBorders>
              <w:top w:val="nil"/>
              <w:left w:val="nil"/>
              <w:bottom w:val="nil"/>
              <w:right w:val="nil"/>
            </w:tcBorders>
            <w:shd w:val="clear" w:color="000000" w:fill="E6E6E6"/>
            <w:noWrap/>
            <w:vAlign w:val="bottom"/>
            <w:hideMark/>
          </w:tcPr>
          <w:p w14:paraId="40554D93"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600 </w:t>
            </w:r>
          </w:p>
        </w:tc>
        <w:tc>
          <w:tcPr>
            <w:tcW w:w="578" w:type="pct"/>
            <w:tcBorders>
              <w:top w:val="nil"/>
              <w:left w:val="nil"/>
              <w:bottom w:val="nil"/>
              <w:right w:val="nil"/>
            </w:tcBorders>
            <w:shd w:val="clear" w:color="auto" w:fill="auto"/>
            <w:noWrap/>
            <w:vAlign w:val="bottom"/>
            <w:hideMark/>
          </w:tcPr>
          <w:p w14:paraId="238DE3E9"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600 </w:t>
            </w:r>
          </w:p>
        </w:tc>
        <w:tc>
          <w:tcPr>
            <w:tcW w:w="578" w:type="pct"/>
            <w:tcBorders>
              <w:top w:val="nil"/>
              <w:left w:val="nil"/>
              <w:bottom w:val="nil"/>
              <w:right w:val="nil"/>
            </w:tcBorders>
            <w:shd w:val="clear" w:color="auto" w:fill="auto"/>
            <w:noWrap/>
            <w:vAlign w:val="bottom"/>
            <w:hideMark/>
          </w:tcPr>
          <w:p w14:paraId="156D1D84"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600 </w:t>
            </w:r>
          </w:p>
        </w:tc>
        <w:tc>
          <w:tcPr>
            <w:tcW w:w="578" w:type="pct"/>
            <w:tcBorders>
              <w:top w:val="nil"/>
              <w:left w:val="nil"/>
              <w:bottom w:val="nil"/>
              <w:right w:val="nil"/>
            </w:tcBorders>
            <w:shd w:val="clear" w:color="auto" w:fill="auto"/>
            <w:noWrap/>
            <w:vAlign w:val="bottom"/>
            <w:hideMark/>
          </w:tcPr>
          <w:p w14:paraId="16120974"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600 </w:t>
            </w:r>
          </w:p>
        </w:tc>
      </w:tr>
      <w:tr w:rsidR="00936A7A" w:rsidRPr="00936A7A" w14:paraId="3FAA820F" w14:textId="77777777" w:rsidTr="00936A7A">
        <w:trPr>
          <w:trHeight w:val="400"/>
        </w:trPr>
        <w:tc>
          <w:tcPr>
            <w:tcW w:w="2110" w:type="pct"/>
            <w:tcBorders>
              <w:top w:val="nil"/>
              <w:left w:val="nil"/>
              <w:bottom w:val="nil"/>
              <w:right w:val="nil"/>
            </w:tcBorders>
            <w:shd w:val="clear" w:color="auto" w:fill="auto"/>
            <w:vAlign w:val="bottom"/>
            <w:hideMark/>
          </w:tcPr>
          <w:p w14:paraId="47BEF3EA" w14:textId="166E2EA6" w:rsidR="00936A7A" w:rsidRPr="00936A7A" w:rsidRDefault="00936A7A" w:rsidP="00936A7A">
            <w:pPr>
              <w:spacing w:after="0" w:line="240" w:lineRule="auto"/>
              <w:ind w:firstLineChars="100" w:firstLine="160"/>
              <w:jc w:val="left"/>
              <w:rPr>
                <w:rFonts w:ascii="Arial" w:hAnsi="Arial" w:cs="Arial"/>
                <w:sz w:val="16"/>
                <w:szCs w:val="16"/>
              </w:rPr>
            </w:pPr>
            <w:r w:rsidRPr="00936A7A">
              <w:rPr>
                <w:rFonts w:ascii="Arial" w:hAnsi="Arial" w:cs="Arial"/>
                <w:sz w:val="16"/>
                <w:szCs w:val="16"/>
              </w:rPr>
              <w:t>Funded by capital appropriation -</w:t>
            </w:r>
            <w:r w:rsidRPr="00936A7A">
              <w:rPr>
                <w:rFonts w:ascii="Arial" w:hAnsi="Arial" w:cs="Arial"/>
                <w:sz w:val="16"/>
                <w:szCs w:val="16"/>
              </w:rPr>
              <w:br/>
            </w:r>
            <w:r>
              <w:rPr>
                <w:rFonts w:ascii="Arial" w:hAnsi="Arial" w:cs="Arial"/>
                <w:sz w:val="16"/>
                <w:szCs w:val="16"/>
              </w:rPr>
              <w:t xml:space="preserve">    </w:t>
            </w:r>
            <w:r w:rsidRPr="00936A7A">
              <w:rPr>
                <w:rFonts w:ascii="Arial" w:hAnsi="Arial" w:cs="Arial"/>
                <w:sz w:val="16"/>
                <w:szCs w:val="16"/>
              </w:rPr>
              <w:t xml:space="preserve">  DCB (b)</w:t>
            </w:r>
          </w:p>
        </w:tc>
        <w:tc>
          <w:tcPr>
            <w:tcW w:w="578" w:type="pct"/>
            <w:tcBorders>
              <w:top w:val="nil"/>
              <w:left w:val="nil"/>
              <w:bottom w:val="nil"/>
              <w:right w:val="nil"/>
            </w:tcBorders>
            <w:shd w:val="clear" w:color="auto" w:fill="auto"/>
            <w:noWrap/>
            <w:vAlign w:val="bottom"/>
            <w:hideMark/>
          </w:tcPr>
          <w:p w14:paraId="03A03F57"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32,286 </w:t>
            </w:r>
          </w:p>
        </w:tc>
        <w:tc>
          <w:tcPr>
            <w:tcW w:w="578" w:type="pct"/>
            <w:tcBorders>
              <w:top w:val="nil"/>
              <w:left w:val="nil"/>
              <w:bottom w:val="nil"/>
              <w:right w:val="nil"/>
            </w:tcBorders>
            <w:shd w:val="clear" w:color="000000" w:fill="E6E6E6"/>
            <w:noWrap/>
            <w:vAlign w:val="bottom"/>
            <w:hideMark/>
          </w:tcPr>
          <w:p w14:paraId="35AA8C3A"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31,872 </w:t>
            </w:r>
          </w:p>
        </w:tc>
        <w:tc>
          <w:tcPr>
            <w:tcW w:w="578" w:type="pct"/>
            <w:tcBorders>
              <w:top w:val="nil"/>
              <w:left w:val="nil"/>
              <w:bottom w:val="nil"/>
              <w:right w:val="nil"/>
            </w:tcBorders>
            <w:shd w:val="clear" w:color="auto" w:fill="auto"/>
            <w:noWrap/>
            <w:vAlign w:val="bottom"/>
            <w:hideMark/>
          </w:tcPr>
          <w:p w14:paraId="6AD25992"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27,064 </w:t>
            </w:r>
          </w:p>
        </w:tc>
        <w:tc>
          <w:tcPr>
            <w:tcW w:w="578" w:type="pct"/>
            <w:tcBorders>
              <w:top w:val="nil"/>
              <w:left w:val="nil"/>
              <w:bottom w:val="nil"/>
              <w:right w:val="nil"/>
            </w:tcBorders>
            <w:shd w:val="clear" w:color="auto" w:fill="auto"/>
            <w:noWrap/>
            <w:vAlign w:val="bottom"/>
            <w:hideMark/>
          </w:tcPr>
          <w:p w14:paraId="22C32157"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11,932 </w:t>
            </w:r>
          </w:p>
        </w:tc>
        <w:tc>
          <w:tcPr>
            <w:tcW w:w="578" w:type="pct"/>
            <w:tcBorders>
              <w:top w:val="nil"/>
              <w:left w:val="nil"/>
              <w:bottom w:val="nil"/>
              <w:right w:val="nil"/>
            </w:tcBorders>
            <w:shd w:val="clear" w:color="auto" w:fill="auto"/>
            <w:noWrap/>
            <w:vAlign w:val="bottom"/>
            <w:hideMark/>
          </w:tcPr>
          <w:p w14:paraId="32E2BE47"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9,274 </w:t>
            </w:r>
          </w:p>
        </w:tc>
      </w:tr>
      <w:tr w:rsidR="00936A7A" w:rsidRPr="00936A7A" w14:paraId="4C42C84F" w14:textId="77777777" w:rsidTr="00936A7A">
        <w:trPr>
          <w:trHeight w:val="238"/>
        </w:trPr>
        <w:tc>
          <w:tcPr>
            <w:tcW w:w="2110" w:type="pct"/>
            <w:tcBorders>
              <w:top w:val="nil"/>
              <w:left w:val="nil"/>
              <w:bottom w:val="nil"/>
              <w:right w:val="nil"/>
            </w:tcBorders>
            <w:shd w:val="clear" w:color="auto" w:fill="auto"/>
            <w:noWrap/>
            <w:vAlign w:val="bottom"/>
            <w:hideMark/>
          </w:tcPr>
          <w:p w14:paraId="0B4C523E" w14:textId="77777777" w:rsidR="00936A7A" w:rsidRPr="00936A7A" w:rsidRDefault="00936A7A" w:rsidP="00936A7A">
            <w:pPr>
              <w:spacing w:after="0" w:line="240" w:lineRule="auto"/>
              <w:jc w:val="left"/>
              <w:rPr>
                <w:rFonts w:ascii="Arial" w:hAnsi="Arial" w:cs="Arial"/>
                <w:b/>
                <w:bCs/>
                <w:sz w:val="16"/>
                <w:szCs w:val="16"/>
              </w:rPr>
            </w:pPr>
            <w:r w:rsidRPr="00936A7A">
              <w:rPr>
                <w:rFonts w:ascii="Arial" w:hAnsi="Arial" w:cs="Arial"/>
                <w:b/>
                <w:bCs/>
                <w:sz w:val="16"/>
                <w:szCs w:val="16"/>
              </w:rPr>
              <w:t>TOTAL</w:t>
            </w:r>
          </w:p>
        </w:tc>
        <w:tc>
          <w:tcPr>
            <w:tcW w:w="578" w:type="pct"/>
            <w:tcBorders>
              <w:top w:val="single" w:sz="4" w:space="0" w:color="auto"/>
              <w:left w:val="nil"/>
              <w:bottom w:val="single" w:sz="4" w:space="0" w:color="auto"/>
              <w:right w:val="nil"/>
            </w:tcBorders>
            <w:shd w:val="clear" w:color="auto" w:fill="auto"/>
            <w:noWrap/>
            <w:vAlign w:val="bottom"/>
            <w:hideMark/>
          </w:tcPr>
          <w:p w14:paraId="09FBD15E" w14:textId="77777777" w:rsidR="00936A7A" w:rsidRPr="00936A7A" w:rsidRDefault="00936A7A" w:rsidP="00936A7A">
            <w:pPr>
              <w:spacing w:after="0" w:line="240" w:lineRule="auto"/>
              <w:jc w:val="right"/>
              <w:rPr>
                <w:rFonts w:ascii="Arial" w:hAnsi="Arial" w:cs="Arial"/>
                <w:b/>
                <w:bCs/>
                <w:sz w:val="16"/>
                <w:szCs w:val="16"/>
              </w:rPr>
            </w:pPr>
            <w:r w:rsidRPr="00936A7A">
              <w:rPr>
                <w:rFonts w:ascii="Arial" w:hAnsi="Arial" w:cs="Arial"/>
                <w:b/>
                <w:bCs/>
                <w:sz w:val="16"/>
                <w:szCs w:val="16"/>
              </w:rPr>
              <w:t xml:space="preserve">32,886 </w:t>
            </w:r>
          </w:p>
        </w:tc>
        <w:tc>
          <w:tcPr>
            <w:tcW w:w="578" w:type="pct"/>
            <w:tcBorders>
              <w:top w:val="single" w:sz="4" w:space="0" w:color="auto"/>
              <w:left w:val="nil"/>
              <w:bottom w:val="single" w:sz="4" w:space="0" w:color="auto"/>
              <w:right w:val="nil"/>
            </w:tcBorders>
            <w:shd w:val="clear" w:color="000000" w:fill="E6E6E6"/>
            <w:noWrap/>
            <w:vAlign w:val="bottom"/>
            <w:hideMark/>
          </w:tcPr>
          <w:p w14:paraId="1C9BC982" w14:textId="77777777" w:rsidR="00936A7A" w:rsidRPr="00936A7A" w:rsidRDefault="00936A7A" w:rsidP="00936A7A">
            <w:pPr>
              <w:spacing w:after="0" w:line="240" w:lineRule="auto"/>
              <w:jc w:val="right"/>
              <w:rPr>
                <w:rFonts w:ascii="Arial" w:hAnsi="Arial" w:cs="Arial"/>
                <w:b/>
                <w:bCs/>
                <w:sz w:val="16"/>
                <w:szCs w:val="16"/>
              </w:rPr>
            </w:pPr>
            <w:r w:rsidRPr="00936A7A">
              <w:rPr>
                <w:rFonts w:ascii="Arial" w:hAnsi="Arial" w:cs="Arial"/>
                <w:b/>
                <w:bCs/>
                <w:sz w:val="16"/>
                <w:szCs w:val="16"/>
              </w:rPr>
              <w:t xml:space="preserve">32,472 </w:t>
            </w:r>
          </w:p>
        </w:tc>
        <w:tc>
          <w:tcPr>
            <w:tcW w:w="578" w:type="pct"/>
            <w:tcBorders>
              <w:top w:val="single" w:sz="4" w:space="0" w:color="auto"/>
              <w:left w:val="nil"/>
              <w:bottom w:val="single" w:sz="4" w:space="0" w:color="auto"/>
              <w:right w:val="nil"/>
            </w:tcBorders>
            <w:shd w:val="clear" w:color="auto" w:fill="auto"/>
            <w:noWrap/>
            <w:vAlign w:val="bottom"/>
            <w:hideMark/>
          </w:tcPr>
          <w:p w14:paraId="1F8E4936" w14:textId="77777777" w:rsidR="00936A7A" w:rsidRPr="00936A7A" w:rsidRDefault="00936A7A" w:rsidP="00936A7A">
            <w:pPr>
              <w:spacing w:after="0" w:line="240" w:lineRule="auto"/>
              <w:jc w:val="right"/>
              <w:rPr>
                <w:rFonts w:ascii="Arial" w:hAnsi="Arial" w:cs="Arial"/>
                <w:b/>
                <w:bCs/>
                <w:sz w:val="16"/>
                <w:szCs w:val="16"/>
              </w:rPr>
            </w:pPr>
            <w:r w:rsidRPr="00936A7A">
              <w:rPr>
                <w:rFonts w:ascii="Arial" w:hAnsi="Arial" w:cs="Arial"/>
                <w:b/>
                <w:bCs/>
                <w:sz w:val="16"/>
                <w:szCs w:val="16"/>
              </w:rPr>
              <w:t xml:space="preserve">27,664 </w:t>
            </w:r>
          </w:p>
        </w:tc>
        <w:tc>
          <w:tcPr>
            <w:tcW w:w="578" w:type="pct"/>
            <w:tcBorders>
              <w:top w:val="single" w:sz="4" w:space="0" w:color="auto"/>
              <w:left w:val="nil"/>
              <w:bottom w:val="single" w:sz="4" w:space="0" w:color="auto"/>
              <w:right w:val="nil"/>
            </w:tcBorders>
            <w:shd w:val="clear" w:color="auto" w:fill="auto"/>
            <w:noWrap/>
            <w:vAlign w:val="bottom"/>
            <w:hideMark/>
          </w:tcPr>
          <w:p w14:paraId="309B4CF2" w14:textId="77777777" w:rsidR="00936A7A" w:rsidRPr="00936A7A" w:rsidRDefault="00936A7A" w:rsidP="00936A7A">
            <w:pPr>
              <w:spacing w:after="0" w:line="240" w:lineRule="auto"/>
              <w:jc w:val="right"/>
              <w:rPr>
                <w:rFonts w:ascii="Arial" w:hAnsi="Arial" w:cs="Arial"/>
                <w:b/>
                <w:bCs/>
                <w:sz w:val="16"/>
                <w:szCs w:val="16"/>
              </w:rPr>
            </w:pPr>
            <w:r w:rsidRPr="00936A7A">
              <w:rPr>
                <w:rFonts w:ascii="Arial" w:hAnsi="Arial" w:cs="Arial"/>
                <w:b/>
                <w:bCs/>
                <w:sz w:val="16"/>
                <w:szCs w:val="16"/>
              </w:rPr>
              <w:t xml:space="preserve">12,532 </w:t>
            </w:r>
          </w:p>
        </w:tc>
        <w:tc>
          <w:tcPr>
            <w:tcW w:w="578" w:type="pct"/>
            <w:tcBorders>
              <w:top w:val="single" w:sz="4" w:space="0" w:color="auto"/>
              <w:left w:val="nil"/>
              <w:bottom w:val="single" w:sz="4" w:space="0" w:color="auto"/>
              <w:right w:val="nil"/>
            </w:tcBorders>
            <w:shd w:val="clear" w:color="auto" w:fill="auto"/>
            <w:noWrap/>
            <w:vAlign w:val="bottom"/>
            <w:hideMark/>
          </w:tcPr>
          <w:p w14:paraId="50E3BFD2" w14:textId="77777777" w:rsidR="00936A7A" w:rsidRPr="00936A7A" w:rsidRDefault="00936A7A" w:rsidP="00936A7A">
            <w:pPr>
              <w:spacing w:after="0" w:line="240" w:lineRule="auto"/>
              <w:jc w:val="right"/>
              <w:rPr>
                <w:rFonts w:ascii="Arial" w:hAnsi="Arial" w:cs="Arial"/>
                <w:b/>
                <w:bCs/>
                <w:sz w:val="16"/>
                <w:szCs w:val="16"/>
              </w:rPr>
            </w:pPr>
            <w:r w:rsidRPr="00936A7A">
              <w:rPr>
                <w:rFonts w:ascii="Arial" w:hAnsi="Arial" w:cs="Arial"/>
                <w:b/>
                <w:bCs/>
                <w:sz w:val="16"/>
                <w:szCs w:val="16"/>
              </w:rPr>
              <w:t xml:space="preserve">9,874 </w:t>
            </w:r>
          </w:p>
        </w:tc>
      </w:tr>
      <w:tr w:rsidR="00936A7A" w:rsidRPr="00936A7A" w14:paraId="1A7B246E" w14:textId="77777777" w:rsidTr="00936A7A">
        <w:trPr>
          <w:trHeight w:val="630"/>
        </w:trPr>
        <w:tc>
          <w:tcPr>
            <w:tcW w:w="2110" w:type="pct"/>
            <w:tcBorders>
              <w:top w:val="nil"/>
              <w:left w:val="nil"/>
              <w:bottom w:val="nil"/>
              <w:right w:val="nil"/>
            </w:tcBorders>
            <w:shd w:val="clear" w:color="auto" w:fill="auto"/>
            <w:vAlign w:val="bottom"/>
            <w:hideMark/>
          </w:tcPr>
          <w:p w14:paraId="390B638E" w14:textId="77777777" w:rsidR="00936A7A" w:rsidRPr="00936A7A" w:rsidRDefault="00936A7A" w:rsidP="00936A7A">
            <w:pPr>
              <w:spacing w:after="0" w:line="240" w:lineRule="auto"/>
              <w:jc w:val="left"/>
              <w:rPr>
                <w:rFonts w:ascii="Arial" w:hAnsi="Arial" w:cs="Arial"/>
                <w:b/>
                <w:bCs/>
                <w:sz w:val="16"/>
                <w:szCs w:val="16"/>
              </w:rPr>
            </w:pPr>
            <w:r w:rsidRPr="00936A7A">
              <w:rPr>
                <w:rFonts w:ascii="Arial" w:hAnsi="Arial" w:cs="Arial"/>
                <w:b/>
                <w:bCs/>
                <w:sz w:val="16"/>
                <w:szCs w:val="16"/>
              </w:rPr>
              <w:t>RECONCILIATION OF CASH USED</w:t>
            </w:r>
            <w:r w:rsidRPr="00936A7A">
              <w:rPr>
                <w:rFonts w:ascii="Arial" w:hAnsi="Arial" w:cs="Arial"/>
                <w:b/>
                <w:bCs/>
                <w:sz w:val="16"/>
                <w:szCs w:val="16"/>
              </w:rPr>
              <w:br/>
              <w:t xml:space="preserve">  TO ACQUIRE ASSETS TO ASSET</w:t>
            </w:r>
            <w:r w:rsidRPr="00936A7A">
              <w:rPr>
                <w:rFonts w:ascii="Arial" w:hAnsi="Arial" w:cs="Arial"/>
                <w:b/>
                <w:bCs/>
                <w:sz w:val="16"/>
                <w:szCs w:val="16"/>
              </w:rPr>
              <w:br/>
              <w:t xml:space="preserve">  MOVEMENT TABLE</w:t>
            </w:r>
          </w:p>
        </w:tc>
        <w:tc>
          <w:tcPr>
            <w:tcW w:w="578" w:type="pct"/>
            <w:tcBorders>
              <w:top w:val="nil"/>
              <w:left w:val="nil"/>
              <w:bottom w:val="nil"/>
              <w:right w:val="nil"/>
            </w:tcBorders>
            <w:shd w:val="clear" w:color="auto" w:fill="auto"/>
            <w:noWrap/>
            <w:vAlign w:val="bottom"/>
            <w:hideMark/>
          </w:tcPr>
          <w:p w14:paraId="04F704CC" w14:textId="77777777" w:rsidR="00936A7A" w:rsidRPr="00936A7A" w:rsidRDefault="00936A7A" w:rsidP="00936A7A">
            <w:pPr>
              <w:spacing w:after="0" w:line="240" w:lineRule="auto"/>
              <w:jc w:val="left"/>
              <w:rPr>
                <w:rFonts w:ascii="Arial" w:hAnsi="Arial" w:cs="Arial"/>
                <w:b/>
                <w:bCs/>
                <w:sz w:val="16"/>
                <w:szCs w:val="16"/>
              </w:rPr>
            </w:pPr>
          </w:p>
        </w:tc>
        <w:tc>
          <w:tcPr>
            <w:tcW w:w="578" w:type="pct"/>
            <w:tcBorders>
              <w:top w:val="nil"/>
              <w:left w:val="nil"/>
              <w:bottom w:val="nil"/>
              <w:right w:val="nil"/>
            </w:tcBorders>
            <w:shd w:val="clear" w:color="000000" w:fill="E6E6E6"/>
            <w:noWrap/>
            <w:vAlign w:val="bottom"/>
            <w:hideMark/>
          </w:tcPr>
          <w:p w14:paraId="137FC128" w14:textId="77777777" w:rsidR="00936A7A" w:rsidRPr="00936A7A" w:rsidRDefault="00936A7A" w:rsidP="00936A7A">
            <w:pPr>
              <w:spacing w:after="0" w:line="240" w:lineRule="auto"/>
              <w:jc w:val="left"/>
              <w:rPr>
                <w:rFonts w:ascii="Arial" w:hAnsi="Arial" w:cs="Arial"/>
                <w:sz w:val="16"/>
                <w:szCs w:val="16"/>
              </w:rPr>
            </w:pPr>
            <w:r w:rsidRPr="00936A7A">
              <w:rPr>
                <w:rFonts w:ascii="Arial" w:hAnsi="Arial" w:cs="Arial"/>
                <w:sz w:val="16"/>
                <w:szCs w:val="16"/>
              </w:rPr>
              <w:t> </w:t>
            </w:r>
          </w:p>
        </w:tc>
        <w:tc>
          <w:tcPr>
            <w:tcW w:w="578" w:type="pct"/>
            <w:tcBorders>
              <w:top w:val="nil"/>
              <w:left w:val="nil"/>
              <w:bottom w:val="nil"/>
              <w:right w:val="nil"/>
            </w:tcBorders>
            <w:shd w:val="clear" w:color="auto" w:fill="auto"/>
            <w:noWrap/>
            <w:vAlign w:val="bottom"/>
            <w:hideMark/>
          </w:tcPr>
          <w:p w14:paraId="2721D41B" w14:textId="77777777" w:rsidR="00936A7A" w:rsidRPr="00936A7A" w:rsidRDefault="00936A7A" w:rsidP="00936A7A">
            <w:pPr>
              <w:spacing w:after="0" w:line="240" w:lineRule="auto"/>
              <w:jc w:val="left"/>
              <w:rPr>
                <w:rFonts w:ascii="Arial" w:hAnsi="Arial" w:cs="Arial"/>
                <w:sz w:val="16"/>
                <w:szCs w:val="16"/>
              </w:rPr>
            </w:pPr>
          </w:p>
        </w:tc>
        <w:tc>
          <w:tcPr>
            <w:tcW w:w="578" w:type="pct"/>
            <w:tcBorders>
              <w:top w:val="nil"/>
              <w:left w:val="nil"/>
              <w:bottom w:val="nil"/>
              <w:right w:val="nil"/>
            </w:tcBorders>
            <w:shd w:val="clear" w:color="auto" w:fill="auto"/>
            <w:noWrap/>
            <w:vAlign w:val="bottom"/>
            <w:hideMark/>
          </w:tcPr>
          <w:p w14:paraId="57D2C89A" w14:textId="77777777" w:rsidR="00936A7A" w:rsidRPr="00936A7A" w:rsidRDefault="00936A7A" w:rsidP="00936A7A">
            <w:pPr>
              <w:spacing w:after="0" w:line="240" w:lineRule="auto"/>
              <w:jc w:val="left"/>
              <w:rPr>
                <w:rFonts w:ascii="Times New Roman" w:hAnsi="Times New Roman"/>
              </w:rPr>
            </w:pPr>
          </w:p>
        </w:tc>
        <w:tc>
          <w:tcPr>
            <w:tcW w:w="578" w:type="pct"/>
            <w:tcBorders>
              <w:top w:val="nil"/>
              <w:left w:val="nil"/>
              <w:bottom w:val="nil"/>
              <w:right w:val="nil"/>
            </w:tcBorders>
            <w:shd w:val="clear" w:color="auto" w:fill="auto"/>
            <w:noWrap/>
            <w:vAlign w:val="bottom"/>
            <w:hideMark/>
          </w:tcPr>
          <w:p w14:paraId="4C66B002" w14:textId="77777777" w:rsidR="00936A7A" w:rsidRPr="00936A7A" w:rsidRDefault="00936A7A" w:rsidP="00936A7A">
            <w:pPr>
              <w:spacing w:after="0" w:line="240" w:lineRule="auto"/>
              <w:jc w:val="left"/>
              <w:rPr>
                <w:rFonts w:ascii="Times New Roman" w:hAnsi="Times New Roman"/>
              </w:rPr>
            </w:pPr>
          </w:p>
        </w:tc>
      </w:tr>
      <w:tr w:rsidR="00936A7A" w:rsidRPr="00936A7A" w14:paraId="3A6FAC19" w14:textId="77777777" w:rsidTr="00936A7A">
        <w:trPr>
          <w:trHeight w:val="238"/>
        </w:trPr>
        <w:tc>
          <w:tcPr>
            <w:tcW w:w="2110" w:type="pct"/>
            <w:tcBorders>
              <w:top w:val="nil"/>
              <w:left w:val="nil"/>
              <w:bottom w:val="nil"/>
              <w:right w:val="nil"/>
            </w:tcBorders>
            <w:shd w:val="clear" w:color="auto" w:fill="auto"/>
            <w:noWrap/>
            <w:vAlign w:val="bottom"/>
            <w:hideMark/>
          </w:tcPr>
          <w:p w14:paraId="0131526D" w14:textId="77777777" w:rsidR="00936A7A" w:rsidRPr="00936A7A" w:rsidRDefault="00936A7A" w:rsidP="00936A7A">
            <w:pPr>
              <w:spacing w:after="0" w:line="240" w:lineRule="auto"/>
              <w:jc w:val="left"/>
              <w:rPr>
                <w:rFonts w:ascii="Arial" w:hAnsi="Arial" w:cs="Arial"/>
                <w:sz w:val="16"/>
                <w:szCs w:val="16"/>
              </w:rPr>
            </w:pPr>
            <w:r w:rsidRPr="00936A7A">
              <w:rPr>
                <w:rFonts w:ascii="Arial" w:hAnsi="Arial" w:cs="Arial"/>
                <w:sz w:val="16"/>
                <w:szCs w:val="16"/>
              </w:rPr>
              <w:t>Total purchases</w:t>
            </w:r>
          </w:p>
        </w:tc>
        <w:tc>
          <w:tcPr>
            <w:tcW w:w="578" w:type="pct"/>
            <w:tcBorders>
              <w:top w:val="nil"/>
              <w:left w:val="nil"/>
              <w:bottom w:val="nil"/>
              <w:right w:val="nil"/>
            </w:tcBorders>
            <w:shd w:val="clear" w:color="auto" w:fill="auto"/>
            <w:noWrap/>
            <w:vAlign w:val="bottom"/>
            <w:hideMark/>
          </w:tcPr>
          <w:p w14:paraId="5C33D77E"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32,886 </w:t>
            </w:r>
          </w:p>
        </w:tc>
        <w:tc>
          <w:tcPr>
            <w:tcW w:w="578" w:type="pct"/>
            <w:tcBorders>
              <w:top w:val="nil"/>
              <w:left w:val="nil"/>
              <w:bottom w:val="nil"/>
              <w:right w:val="nil"/>
            </w:tcBorders>
            <w:shd w:val="clear" w:color="000000" w:fill="E6E6E6"/>
            <w:noWrap/>
            <w:vAlign w:val="bottom"/>
            <w:hideMark/>
          </w:tcPr>
          <w:p w14:paraId="4BDEE9F2"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32,472 </w:t>
            </w:r>
          </w:p>
        </w:tc>
        <w:tc>
          <w:tcPr>
            <w:tcW w:w="578" w:type="pct"/>
            <w:tcBorders>
              <w:top w:val="nil"/>
              <w:left w:val="nil"/>
              <w:bottom w:val="nil"/>
              <w:right w:val="nil"/>
            </w:tcBorders>
            <w:shd w:val="clear" w:color="auto" w:fill="auto"/>
            <w:noWrap/>
            <w:vAlign w:val="bottom"/>
            <w:hideMark/>
          </w:tcPr>
          <w:p w14:paraId="41C1C0CE"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27,664 </w:t>
            </w:r>
          </w:p>
        </w:tc>
        <w:tc>
          <w:tcPr>
            <w:tcW w:w="578" w:type="pct"/>
            <w:tcBorders>
              <w:top w:val="nil"/>
              <w:left w:val="nil"/>
              <w:bottom w:val="nil"/>
              <w:right w:val="nil"/>
            </w:tcBorders>
            <w:shd w:val="clear" w:color="auto" w:fill="auto"/>
            <w:noWrap/>
            <w:vAlign w:val="bottom"/>
            <w:hideMark/>
          </w:tcPr>
          <w:p w14:paraId="410E7B26"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12,532 </w:t>
            </w:r>
          </w:p>
        </w:tc>
        <w:tc>
          <w:tcPr>
            <w:tcW w:w="578" w:type="pct"/>
            <w:tcBorders>
              <w:top w:val="nil"/>
              <w:left w:val="nil"/>
              <w:bottom w:val="nil"/>
              <w:right w:val="nil"/>
            </w:tcBorders>
            <w:shd w:val="clear" w:color="auto" w:fill="auto"/>
            <w:noWrap/>
            <w:vAlign w:val="bottom"/>
            <w:hideMark/>
          </w:tcPr>
          <w:p w14:paraId="63973240"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9,874 </w:t>
            </w:r>
          </w:p>
        </w:tc>
      </w:tr>
      <w:tr w:rsidR="00936A7A" w:rsidRPr="00936A7A" w14:paraId="61823C01" w14:textId="77777777" w:rsidTr="00936A7A">
        <w:trPr>
          <w:trHeight w:val="238"/>
        </w:trPr>
        <w:tc>
          <w:tcPr>
            <w:tcW w:w="2110" w:type="pct"/>
            <w:tcBorders>
              <w:top w:val="nil"/>
              <w:left w:val="nil"/>
              <w:bottom w:val="single" w:sz="4" w:space="0" w:color="auto"/>
              <w:right w:val="nil"/>
            </w:tcBorders>
            <w:shd w:val="clear" w:color="auto" w:fill="auto"/>
            <w:vAlign w:val="bottom"/>
            <w:hideMark/>
          </w:tcPr>
          <w:p w14:paraId="692A15AB" w14:textId="77777777" w:rsidR="00936A7A" w:rsidRPr="00936A7A" w:rsidRDefault="00936A7A" w:rsidP="00936A7A">
            <w:pPr>
              <w:spacing w:after="0" w:line="240" w:lineRule="auto"/>
              <w:jc w:val="left"/>
              <w:rPr>
                <w:rFonts w:ascii="Arial" w:hAnsi="Arial" w:cs="Arial"/>
                <w:b/>
                <w:bCs/>
                <w:sz w:val="16"/>
                <w:szCs w:val="16"/>
              </w:rPr>
            </w:pPr>
            <w:r w:rsidRPr="00936A7A">
              <w:rPr>
                <w:rFonts w:ascii="Arial" w:hAnsi="Arial" w:cs="Arial"/>
                <w:b/>
                <w:bCs/>
                <w:sz w:val="16"/>
                <w:szCs w:val="16"/>
              </w:rPr>
              <w:t>Total cash used to acquire assets</w:t>
            </w:r>
          </w:p>
        </w:tc>
        <w:tc>
          <w:tcPr>
            <w:tcW w:w="578" w:type="pct"/>
            <w:tcBorders>
              <w:top w:val="single" w:sz="4" w:space="0" w:color="auto"/>
              <w:left w:val="nil"/>
              <w:bottom w:val="single" w:sz="4" w:space="0" w:color="auto"/>
              <w:right w:val="nil"/>
            </w:tcBorders>
            <w:shd w:val="clear" w:color="auto" w:fill="auto"/>
            <w:noWrap/>
            <w:vAlign w:val="bottom"/>
            <w:hideMark/>
          </w:tcPr>
          <w:p w14:paraId="0E8E321E" w14:textId="77777777" w:rsidR="00936A7A" w:rsidRPr="00936A7A" w:rsidRDefault="00936A7A" w:rsidP="00936A7A">
            <w:pPr>
              <w:spacing w:after="0" w:line="240" w:lineRule="auto"/>
              <w:jc w:val="right"/>
              <w:rPr>
                <w:rFonts w:ascii="Arial" w:hAnsi="Arial" w:cs="Arial"/>
                <w:b/>
                <w:bCs/>
                <w:sz w:val="16"/>
                <w:szCs w:val="16"/>
              </w:rPr>
            </w:pPr>
            <w:r w:rsidRPr="00936A7A">
              <w:rPr>
                <w:rFonts w:ascii="Arial" w:hAnsi="Arial" w:cs="Arial"/>
                <w:b/>
                <w:bCs/>
                <w:sz w:val="16"/>
                <w:szCs w:val="16"/>
              </w:rPr>
              <w:t xml:space="preserve">32,886 </w:t>
            </w:r>
          </w:p>
        </w:tc>
        <w:tc>
          <w:tcPr>
            <w:tcW w:w="578" w:type="pct"/>
            <w:tcBorders>
              <w:top w:val="single" w:sz="4" w:space="0" w:color="auto"/>
              <w:left w:val="nil"/>
              <w:bottom w:val="single" w:sz="4" w:space="0" w:color="auto"/>
              <w:right w:val="nil"/>
            </w:tcBorders>
            <w:shd w:val="clear" w:color="000000" w:fill="E6E6E6"/>
            <w:noWrap/>
            <w:vAlign w:val="bottom"/>
            <w:hideMark/>
          </w:tcPr>
          <w:p w14:paraId="00255915" w14:textId="77777777" w:rsidR="00936A7A" w:rsidRPr="00936A7A" w:rsidRDefault="00936A7A" w:rsidP="00936A7A">
            <w:pPr>
              <w:spacing w:after="0" w:line="240" w:lineRule="auto"/>
              <w:jc w:val="right"/>
              <w:rPr>
                <w:rFonts w:ascii="Arial" w:hAnsi="Arial" w:cs="Arial"/>
                <w:b/>
                <w:bCs/>
                <w:sz w:val="16"/>
                <w:szCs w:val="16"/>
              </w:rPr>
            </w:pPr>
            <w:r w:rsidRPr="00936A7A">
              <w:rPr>
                <w:rFonts w:ascii="Arial" w:hAnsi="Arial" w:cs="Arial"/>
                <w:b/>
                <w:bCs/>
                <w:sz w:val="16"/>
                <w:szCs w:val="16"/>
              </w:rPr>
              <w:t xml:space="preserve">32,472 </w:t>
            </w:r>
          </w:p>
        </w:tc>
        <w:tc>
          <w:tcPr>
            <w:tcW w:w="578" w:type="pct"/>
            <w:tcBorders>
              <w:top w:val="single" w:sz="4" w:space="0" w:color="auto"/>
              <w:left w:val="nil"/>
              <w:bottom w:val="single" w:sz="4" w:space="0" w:color="auto"/>
              <w:right w:val="nil"/>
            </w:tcBorders>
            <w:shd w:val="clear" w:color="auto" w:fill="auto"/>
            <w:noWrap/>
            <w:vAlign w:val="bottom"/>
            <w:hideMark/>
          </w:tcPr>
          <w:p w14:paraId="33D7263D" w14:textId="77777777" w:rsidR="00936A7A" w:rsidRPr="00936A7A" w:rsidRDefault="00936A7A" w:rsidP="00936A7A">
            <w:pPr>
              <w:spacing w:after="0" w:line="240" w:lineRule="auto"/>
              <w:jc w:val="right"/>
              <w:rPr>
                <w:rFonts w:ascii="Arial" w:hAnsi="Arial" w:cs="Arial"/>
                <w:b/>
                <w:bCs/>
                <w:sz w:val="16"/>
                <w:szCs w:val="16"/>
              </w:rPr>
            </w:pPr>
            <w:r w:rsidRPr="00936A7A">
              <w:rPr>
                <w:rFonts w:ascii="Arial" w:hAnsi="Arial" w:cs="Arial"/>
                <w:b/>
                <w:bCs/>
                <w:sz w:val="16"/>
                <w:szCs w:val="16"/>
              </w:rPr>
              <w:t xml:space="preserve">27,664 </w:t>
            </w:r>
          </w:p>
        </w:tc>
        <w:tc>
          <w:tcPr>
            <w:tcW w:w="578" w:type="pct"/>
            <w:tcBorders>
              <w:top w:val="single" w:sz="4" w:space="0" w:color="auto"/>
              <w:left w:val="nil"/>
              <w:bottom w:val="single" w:sz="4" w:space="0" w:color="auto"/>
              <w:right w:val="nil"/>
            </w:tcBorders>
            <w:shd w:val="clear" w:color="auto" w:fill="auto"/>
            <w:noWrap/>
            <w:vAlign w:val="bottom"/>
            <w:hideMark/>
          </w:tcPr>
          <w:p w14:paraId="5FE2C10F" w14:textId="77777777" w:rsidR="00936A7A" w:rsidRPr="00936A7A" w:rsidRDefault="00936A7A" w:rsidP="00936A7A">
            <w:pPr>
              <w:spacing w:after="0" w:line="240" w:lineRule="auto"/>
              <w:jc w:val="right"/>
              <w:rPr>
                <w:rFonts w:ascii="Arial" w:hAnsi="Arial" w:cs="Arial"/>
                <w:b/>
                <w:bCs/>
                <w:sz w:val="16"/>
                <w:szCs w:val="16"/>
              </w:rPr>
            </w:pPr>
            <w:r w:rsidRPr="00936A7A">
              <w:rPr>
                <w:rFonts w:ascii="Arial" w:hAnsi="Arial" w:cs="Arial"/>
                <w:b/>
                <w:bCs/>
                <w:sz w:val="16"/>
                <w:szCs w:val="16"/>
              </w:rPr>
              <w:t xml:space="preserve">12,532 </w:t>
            </w:r>
          </w:p>
        </w:tc>
        <w:tc>
          <w:tcPr>
            <w:tcW w:w="578" w:type="pct"/>
            <w:tcBorders>
              <w:top w:val="single" w:sz="4" w:space="0" w:color="auto"/>
              <w:left w:val="nil"/>
              <w:bottom w:val="single" w:sz="4" w:space="0" w:color="auto"/>
              <w:right w:val="nil"/>
            </w:tcBorders>
            <w:shd w:val="clear" w:color="auto" w:fill="auto"/>
            <w:noWrap/>
            <w:vAlign w:val="bottom"/>
            <w:hideMark/>
          </w:tcPr>
          <w:p w14:paraId="19154EF1" w14:textId="77777777" w:rsidR="00936A7A" w:rsidRPr="00936A7A" w:rsidRDefault="00936A7A" w:rsidP="00936A7A">
            <w:pPr>
              <w:spacing w:after="0" w:line="240" w:lineRule="auto"/>
              <w:jc w:val="right"/>
              <w:rPr>
                <w:rFonts w:ascii="Arial" w:hAnsi="Arial" w:cs="Arial"/>
                <w:b/>
                <w:bCs/>
                <w:sz w:val="16"/>
                <w:szCs w:val="16"/>
              </w:rPr>
            </w:pPr>
            <w:r w:rsidRPr="00936A7A">
              <w:rPr>
                <w:rFonts w:ascii="Arial" w:hAnsi="Arial" w:cs="Arial"/>
                <w:b/>
                <w:bCs/>
                <w:sz w:val="16"/>
                <w:szCs w:val="16"/>
              </w:rPr>
              <w:t xml:space="preserve">9,874 </w:t>
            </w:r>
          </w:p>
        </w:tc>
      </w:tr>
    </w:tbl>
    <w:p w14:paraId="08E54674" w14:textId="7865BC62" w:rsidR="00D606C2" w:rsidRPr="00132F9E" w:rsidRDefault="00D606C2" w:rsidP="00D606C2">
      <w:pPr>
        <w:pStyle w:val="TableGraphic"/>
        <w:rPr>
          <w:rFonts w:ascii="Arial" w:hAnsi="Arial" w:cs="Arial"/>
          <w:sz w:val="16"/>
          <w:szCs w:val="16"/>
        </w:rPr>
      </w:pPr>
      <w:r w:rsidRPr="00132F9E">
        <w:rPr>
          <w:rFonts w:ascii="Arial" w:hAnsi="Arial" w:cs="Arial"/>
          <w:sz w:val="16"/>
          <w:szCs w:val="16"/>
        </w:rPr>
        <w:t>Prepared on Australian Accounting Standards basis.</w:t>
      </w:r>
    </w:p>
    <w:p w14:paraId="5ECC87E3" w14:textId="46A75C00" w:rsidR="00F20FF5" w:rsidRPr="00D52088" w:rsidRDefault="00F20FF5" w:rsidP="00DF4979">
      <w:pPr>
        <w:pStyle w:val="ChartandTableFootnoteAlpha"/>
        <w:numPr>
          <w:ilvl w:val="0"/>
          <w:numId w:val="8"/>
        </w:numPr>
        <w:rPr>
          <w:rFonts w:cs="Arial"/>
          <w:szCs w:val="16"/>
        </w:rPr>
      </w:pPr>
      <w:r w:rsidRPr="00D52088">
        <w:rPr>
          <w:rFonts w:cs="Arial"/>
          <w:szCs w:val="16"/>
        </w:rPr>
        <w:t>Includes current Bill 2 appropriations</w:t>
      </w:r>
      <w:r w:rsidR="00D52088" w:rsidRPr="00D52088">
        <w:rPr>
          <w:rFonts w:cs="Arial"/>
          <w:szCs w:val="16"/>
        </w:rPr>
        <w:t>.</w:t>
      </w:r>
    </w:p>
    <w:p w14:paraId="6785EEB2" w14:textId="74AF9E63" w:rsidR="00F20FF5" w:rsidRDefault="00F20FF5" w:rsidP="00DF4979">
      <w:pPr>
        <w:pStyle w:val="ChartandTableFootnoteAlpha"/>
        <w:numPr>
          <w:ilvl w:val="0"/>
          <w:numId w:val="8"/>
        </w:numPr>
        <w:rPr>
          <w:rFonts w:cs="Arial"/>
          <w:szCs w:val="16"/>
        </w:rPr>
      </w:pPr>
      <w:r w:rsidRPr="00132F9E">
        <w:rPr>
          <w:rFonts w:cs="Arial"/>
          <w:szCs w:val="16"/>
        </w:rPr>
        <w:t>Includes purchases from current an</w:t>
      </w:r>
      <w:r w:rsidR="00EE2ED0" w:rsidRPr="00132F9E">
        <w:rPr>
          <w:rFonts w:cs="Arial"/>
          <w:szCs w:val="16"/>
        </w:rPr>
        <w:t>d previous years’ Departmental c</w:t>
      </w:r>
      <w:r w:rsidRPr="00132F9E">
        <w:rPr>
          <w:rFonts w:cs="Arial"/>
          <w:szCs w:val="16"/>
        </w:rPr>
        <w:t xml:space="preserve">apital </w:t>
      </w:r>
      <w:r w:rsidR="00EE2ED0" w:rsidRPr="00132F9E">
        <w:rPr>
          <w:rFonts w:cs="Arial"/>
          <w:szCs w:val="16"/>
        </w:rPr>
        <w:t>b</w:t>
      </w:r>
      <w:r w:rsidRPr="00132F9E">
        <w:rPr>
          <w:rFonts w:cs="Arial"/>
          <w:szCs w:val="16"/>
        </w:rPr>
        <w:t>udgets (DCBs).</w:t>
      </w:r>
    </w:p>
    <w:p w14:paraId="105C2B50" w14:textId="13528877" w:rsidR="00A377D4" w:rsidRDefault="00A377D4">
      <w:pPr>
        <w:spacing w:after="0" w:line="240" w:lineRule="auto"/>
        <w:jc w:val="left"/>
      </w:pPr>
      <w:r>
        <w:br w:type="page"/>
      </w:r>
    </w:p>
    <w:p w14:paraId="724DD146" w14:textId="5D3A0119" w:rsidR="00936A7A" w:rsidRPr="00936A7A" w:rsidRDefault="002E3F60" w:rsidP="00772E69">
      <w:pPr>
        <w:pStyle w:val="TableHeading"/>
      </w:pPr>
      <w:r w:rsidRPr="00A377D4">
        <w:lastRenderedPageBreak/>
        <w:t>Table 3.6: Statement of departmental asset movements (Budget year 2021-22)</w:t>
      </w:r>
    </w:p>
    <w:tbl>
      <w:tblPr>
        <w:tblW w:w="5000" w:type="pct"/>
        <w:tblCellMar>
          <w:left w:w="0" w:type="dxa"/>
          <w:right w:w="28" w:type="dxa"/>
        </w:tblCellMar>
        <w:tblLook w:val="04A0" w:firstRow="1" w:lastRow="0" w:firstColumn="1" w:lastColumn="0" w:noHBand="0" w:noVBand="1"/>
      </w:tblPr>
      <w:tblGrid>
        <w:gridCol w:w="3718"/>
        <w:gridCol w:w="998"/>
        <w:gridCol w:w="998"/>
        <w:gridCol w:w="998"/>
        <w:gridCol w:w="998"/>
      </w:tblGrid>
      <w:tr w:rsidR="00936A7A" w:rsidRPr="00936A7A" w14:paraId="1B59FFA7" w14:textId="77777777" w:rsidTr="00936A7A">
        <w:trPr>
          <w:trHeight w:val="1000"/>
        </w:trPr>
        <w:tc>
          <w:tcPr>
            <w:tcW w:w="2411" w:type="pct"/>
            <w:tcBorders>
              <w:top w:val="single" w:sz="4" w:space="0" w:color="auto"/>
              <w:left w:val="nil"/>
              <w:bottom w:val="nil"/>
              <w:right w:val="nil"/>
            </w:tcBorders>
            <w:shd w:val="clear" w:color="auto" w:fill="auto"/>
            <w:noWrap/>
            <w:vAlign w:val="center"/>
            <w:hideMark/>
          </w:tcPr>
          <w:p w14:paraId="6098AF0F" w14:textId="727AF675" w:rsidR="00936A7A" w:rsidRPr="00936A7A" w:rsidRDefault="00936A7A">
            <w:pPr>
              <w:rPr>
                <w:rFonts w:ascii="Arial" w:hAnsi="Arial" w:cs="Arial"/>
                <w:sz w:val="16"/>
                <w:szCs w:val="16"/>
              </w:rPr>
            </w:pPr>
            <w:r w:rsidRPr="00936A7A">
              <w:rPr>
                <w:rFonts w:ascii="Arial" w:hAnsi="Arial" w:cs="Arial"/>
                <w:sz w:val="16"/>
                <w:szCs w:val="16"/>
              </w:rPr>
              <w:t> </w:t>
            </w:r>
          </w:p>
        </w:tc>
        <w:tc>
          <w:tcPr>
            <w:tcW w:w="647" w:type="pct"/>
            <w:tcBorders>
              <w:top w:val="single" w:sz="4" w:space="0" w:color="auto"/>
              <w:left w:val="nil"/>
              <w:bottom w:val="single" w:sz="4" w:space="0" w:color="auto"/>
              <w:right w:val="nil"/>
            </w:tcBorders>
            <w:shd w:val="clear" w:color="auto" w:fill="auto"/>
            <w:vAlign w:val="center"/>
            <w:hideMark/>
          </w:tcPr>
          <w:p w14:paraId="5C80C96F"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Buildings</w:t>
            </w:r>
            <w:r w:rsidRPr="00936A7A">
              <w:rPr>
                <w:rFonts w:ascii="Arial" w:hAnsi="Arial" w:cs="Arial"/>
                <w:sz w:val="16"/>
                <w:szCs w:val="16"/>
              </w:rPr>
              <w:br/>
            </w:r>
            <w:r w:rsidRPr="00936A7A">
              <w:rPr>
                <w:rFonts w:ascii="Arial" w:hAnsi="Arial" w:cs="Arial"/>
                <w:sz w:val="16"/>
                <w:szCs w:val="16"/>
              </w:rPr>
              <w:br/>
            </w:r>
            <w:r w:rsidRPr="00936A7A">
              <w:rPr>
                <w:rFonts w:ascii="Arial" w:hAnsi="Arial" w:cs="Arial"/>
                <w:sz w:val="16"/>
                <w:szCs w:val="16"/>
              </w:rPr>
              <w:br/>
            </w:r>
            <w:r w:rsidRPr="00936A7A">
              <w:rPr>
                <w:rFonts w:ascii="Arial" w:hAnsi="Arial" w:cs="Arial"/>
                <w:sz w:val="16"/>
                <w:szCs w:val="16"/>
              </w:rPr>
              <w:br/>
              <w:t>$'000</w:t>
            </w:r>
          </w:p>
        </w:tc>
        <w:tc>
          <w:tcPr>
            <w:tcW w:w="647" w:type="pct"/>
            <w:tcBorders>
              <w:top w:val="single" w:sz="4" w:space="0" w:color="auto"/>
              <w:left w:val="nil"/>
              <w:bottom w:val="single" w:sz="4" w:space="0" w:color="auto"/>
              <w:right w:val="nil"/>
            </w:tcBorders>
            <w:shd w:val="clear" w:color="auto" w:fill="auto"/>
            <w:vAlign w:val="center"/>
            <w:hideMark/>
          </w:tcPr>
          <w:p w14:paraId="53BC923F"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Other</w:t>
            </w:r>
            <w:r w:rsidRPr="00936A7A">
              <w:rPr>
                <w:rFonts w:ascii="Arial" w:hAnsi="Arial" w:cs="Arial"/>
                <w:sz w:val="16"/>
                <w:szCs w:val="16"/>
              </w:rPr>
              <w:br/>
              <w:t>property,</w:t>
            </w:r>
            <w:r w:rsidRPr="00936A7A">
              <w:rPr>
                <w:rFonts w:ascii="Arial" w:hAnsi="Arial" w:cs="Arial"/>
                <w:sz w:val="16"/>
                <w:szCs w:val="16"/>
              </w:rPr>
              <w:br/>
              <w:t>plant and</w:t>
            </w:r>
            <w:r w:rsidRPr="00936A7A">
              <w:rPr>
                <w:rFonts w:ascii="Arial" w:hAnsi="Arial" w:cs="Arial"/>
                <w:sz w:val="16"/>
                <w:szCs w:val="16"/>
              </w:rPr>
              <w:br/>
              <w:t>equipment</w:t>
            </w:r>
            <w:r w:rsidRPr="00936A7A">
              <w:rPr>
                <w:rFonts w:ascii="Arial" w:hAnsi="Arial" w:cs="Arial"/>
                <w:sz w:val="16"/>
                <w:szCs w:val="16"/>
              </w:rPr>
              <w:br/>
              <w:t>$'000</w:t>
            </w:r>
          </w:p>
        </w:tc>
        <w:tc>
          <w:tcPr>
            <w:tcW w:w="647" w:type="pct"/>
            <w:tcBorders>
              <w:top w:val="single" w:sz="4" w:space="0" w:color="auto"/>
              <w:left w:val="nil"/>
              <w:bottom w:val="single" w:sz="4" w:space="0" w:color="auto"/>
              <w:right w:val="nil"/>
            </w:tcBorders>
            <w:shd w:val="clear" w:color="auto" w:fill="auto"/>
            <w:vAlign w:val="center"/>
            <w:hideMark/>
          </w:tcPr>
          <w:p w14:paraId="04435C73"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Computer</w:t>
            </w:r>
            <w:r w:rsidRPr="00936A7A">
              <w:rPr>
                <w:rFonts w:ascii="Arial" w:hAnsi="Arial" w:cs="Arial"/>
                <w:sz w:val="16"/>
                <w:szCs w:val="16"/>
              </w:rPr>
              <w:br/>
              <w:t>software and</w:t>
            </w:r>
            <w:r w:rsidRPr="00936A7A">
              <w:rPr>
                <w:rFonts w:ascii="Arial" w:hAnsi="Arial" w:cs="Arial"/>
                <w:sz w:val="16"/>
                <w:szCs w:val="16"/>
              </w:rPr>
              <w:br/>
              <w:t>intangibles</w:t>
            </w:r>
            <w:r w:rsidRPr="00936A7A">
              <w:rPr>
                <w:rFonts w:ascii="Arial" w:hAnsi="Arial" w:cs="Arial"/>
                <w:sz w:val="16"/>
                <w:szCs w:val="16"/>
              </w:rPr>
              <w:br/>
              <w:t>$'000</w:t>
            </w:r>
          </w:p>
        </w:tc>
        <w:tc>
          <w:tcPr>
            <w:tcW w:w="647" w:type="pct"/>
            <w:tcBorders>
              <w:top w:val="single" w:sz="4" w:space="0" w:color="auto"/>
              <w:left w:val="nil"/>
              <w:bottom w:val="single" w:sz="4" w:space="0" w:color="auto"/>
              <w:right w:val="nil"/>
            </w:tcBorders>
            <w:shd w:val="clear" w:color="auto" w:fill="auto"/>
            <w:vAlign w:val="center"/>
            <w:hideMark/>
          </w:tcPr>
          <w:p w14:paraId="273E47EC"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Total</w:t>
            </w:r>
            <w:r w:rsidRPr="00936A7A">
              <w:rPr>
                <w:rFonts w:ascii="Arial" w:hAnsi="Arial" w:cs="Arial"/>
                <w:sz w:val="16"/>
                <w:szCs w:val="16"/>
              </w:rPr>
              <w:br/>
            </w:r>
            <w:r w:rsidRPr="00936A7A">
              <w:rPr>
                <w:rFonts w:ascii="Arial" w:hAnsi="Arial" w:cs="Arial"/>
                <w:sz w:val="16"/>
                <w:szCs w:val="16"/>
              </w:rPr>
              <w:br/>
            </w:r>
            <w:r w:rsidRPr="00936A7A">
              <w:rPr>
                <w:rFonts w:ascii="Arial" w:hAnsi="Arial" w:cs="Arial"/>
                <w:sz w:val="16"/>
                <w:szCs w:val="16"/>
              </w:rPr>
              <w:br/>
            </w:r>
            <w:r w:rsidRPr="00936A7A">
              <w:rPr>
                <w:rFonts w:ascii="Arial" w:hAnsi="Arial" w:cs="Arial"/>
                <w:sz w:val="16"/>
                <w:szCs w:val="16"/>
              </w:rPr>
              <w:br/>
              <w:t>$'000</w:t>
            </w:r>
          </w:p>
        </w:tc>
      </w:tr>
      <w:tr w:rsidR="00936A7A" w:rsidRPr="00936A7A" w14:paraId="33EA7294" w14:textId="77777777" w:rsidTr="00936A7A">
        <w:trPr>
          <w:trHeight w:val="210"/>
        </w:trPr>
        <w:tc>
          <w:tcPr>
            <w:tcW w:w="2411" w:type="pct"/>
            <w:tcBorders>
              <w:top w:val="nil"/>
              <w:left w:val="nil"/>
              <w:bottom w:val="nil"/>
              <w:right w:val="nil"/>
            </w:tcBorders>
            <w:shd w:val="clear" w:color="auto" w:fill="auto"/>
            <w:vAlign w:val="bottom"/>
            <w:hideMark/>
          </w:tcPr>
          <w:p w14:paraId="66B1781E" w14:textId="77777777" w:rsidR="00936A7A" w:rsidRPr="00936A7A" w:rsidRDefault="00936A7A" w:rsidP="00936A7A">
            <w:pPr>
              <w:spacing w:after="0" w:line="240" w:lineRule="auto"/>
              <w:jc w:val="left"/>
              <w:rPr>
                <w:rFonts w:ascii="Arial" w:hAnsi="Arial" w:cs="Arial"/>
                <w:b/>
                <w:bCs/>
                <w:sz w:val="16"/>
                <w:szCs w:val="16"/>
              </w:rPr>
            </w:pPr>
            <w:r w:rsidRPr="00936A7A">
              <w:rPr>
                <w:rFonts w:ascii="Arial" w:hAnsi="Arial" w:cs="Arial"/>
                <w:b/>
                <w:bCs/>
                <w:sz w:val="16"/>
                <w:szCs w:val="16"/>
              </w:rPr>
              <w:t>As at 1 July 2021</w:t>
            </w:r>
          </w:p>
        </w:tc>
        <w:tc>
          <w:tcPr>
            <w:tcW w:w="647" w:type="pct"/>
            <w:tcBorders>
              <w:top w:val="nil"/>
              <w:left w:val="nil"/>
              <w:bottom w:val="nil"/>
              <w:right w:val="nil"/>
            </w:tcBorders>
            <w:shd w:val="clear" w:color="auto" w:fill="auto"/>
            <w:noWrap/>
            <w:vAlign w:val="bottom"/>
            <w:hideMark/>
          </w:tcPr>
          <w:p w14:paraId="4159F78E" w14:textId="77777777" w:rsidR="00936A7A" w:rsidRPr="00936A7A" w:rsidRDefault="00936A7A" w:rsidP="00936A7A">
            <w:pPr>
              <w:spacing w:after="0" w:line="240" w:lineRule="auto"/>
              <w:jc w:val="left"/>
              <w:rPr>
                <w:rFonts w:ascii="Arial" w:hAnsi="Arial" w:cs="Arial"/>
                <w:b/>
                <w:bCs/>
                <w:sz w:val="16"/>
                <w:szCs w:val="16"/>
              </w:rPr>
            </w:pPr>
          </w:p>
        </w:tc>
        <w:tc>
          <w:tcPr>
            <w:tcW w:w="647" w:type="pct"/>
            <w:tcBorders>
              <w:top w:val="nil"/>
              <w:left w:val="nil"/>
              <w:bottom w:val="nil"/>
              <w:right w:val="nil"/>
            </w:tcBorders>
            <w:shd w:val="clear" w:color="auto" w:fill="auto"/>
            <w:noWrap/>
            <w:vAlign w:val="bottom"/>
            <w:hideMark/>
          </w:tcPr>
          <w:p w14:paraId="337AE890" w14:textId="77777777" w:rsidR="00936A7A" w:rsidRPr="00936A7A" w:rsidRDefault="00936A7A" w:rsidP="00936A7A">
            <w:pPr>
              <w:spacing w:after="0" w:line="240" w:lineRule="auto"/>
              <w:jc w:val="left"/>
              <w:rPr>
                <w:rFonts w:ascii="Times New Roman" w:hAnsi="Times New Roman"/>
              </w:rPr>
            </w:pPr>
          </w:p>
        </w:tc>
        <w:tc>
          <w:tcPr>
            <w:tcW w:w="647" w:type="pct"/>
            <w:tcBorders>
              <w:top w:val="nil"/>
              <w:left w:val="nil"/>
              <w:bottom w:val="nil"/>
              <w:right w:val="nil"/>
            </w:tcBorders>
            <w:shd w:val="clear" w:color="auto" w:fill="auto"/>
            <w:noWrap/>
            <w:vAlign w:val="bottom"/>
            <w:hideMark/>
          </w:tcPr>
          <w:p w14:paraId="0D38BE52" w14:textId="77777777" w:rsidR="00936A7A" w:rsidRPr="00936A7A" w:rsidRDefault="00936A7A" w:rsidP="00936A7A">
            <w:pPr>
              <w:spacing w:after="0" w:line="240" w:lineRule="auto"/>
              <w:jc w:val="left"/>
              <w:rPr>
                <w:rFonts w:ascii="Times New Roman" w:hAnsi="Times New Roman"/>
              </w:rPr>
            </w:pPr>
          </w:p>
        </w:tc>
        <w:tc>
          <w:tcPr>
            <w:tcW w:w="647" w:type="pct"/>
            <w:tcBorders>
              <w:top w:val="nil"/>
              <w:left w:val="nil"/>
              <w:bottom w:val="nil"/>
              <w:right w:val="nil"/>
            </w:tcBorders>
            <w:shd w:val="clear" w:color="auto" w:fill="auto"/>
            <w:noWrap/>
            <w:vAlign w:val="bottom"/>
            <w:hideMark/>
          </w:tcPr>
          <w:p w14:paraId="54EA19BE" w14:textId="77777777" w:rsidR="00936A7A" w:rsidRPr="00936A7A" w:rsidRDefault="00936A7A" w:rsidP="00936A7A">
            <w:pPr>
              <w:spacing w:after="0" w:line="240" w:lineRule="auto"/>
              <w:jc w:val="left"/>
              <w:rPr>
                <w:rFonts w:ascii="Times New Roman" w:hAnsi="Times New Roman"/>
              </w:rPr>
            </w:pPr>
          </w:p>
        </w:tc>
      </w:tr>
      <w:tr w:rsidR="00936A7A" w:rsidRPr="00936A7A" w14:paraId="048312EB" w14:textId="77777777" w:rsidTr="00936A7A">
        <w:trPr>
          <w:trHeight w:val="200"/>
        </w:trPr>
        <w:tc>
          <w:tcPr>
            <w:tcW w:w="2411" w:type="pct"/>
            <w:tcBorders>
              <w:top w:val="nil"/>
              <w:left w:val="nil"/>
              <w:bottom w:val="nil"/>
              <w:right w:val="nil"/>
            </w:tcBorders>
            <w:shd w:val="clear" w:color="auto" w:fill="auto"/>
            <w:vAlign w:val="bottom"/>
            <w:hideMark/>
          </w:tcPr>
          <w:p w14:paraId="443A6877" w14:textId="77777777" w:rsidR="00936A7A" w:rsidRPr="00936A7A" w:rsidRDefault="00936A7A" w:rsidP="00936A7A">
            <w:pPr>
              <w:spacing w:after="0" w:line="240" w:lineRule="auto"/>
              <w:ind w:firstLineChars="100" w:firstLine="160"/>
              <w:jc w:val="left"/>
              <w:rPr>
                <w:rFonts w:ascii="Arial" w:hAnsi="Arial" w:cs="Arial"/>
                <w:sz w:val="16"/>
                <w:szCs w:val="16"/>
              </w:rPr>
            </w:pPr>
            <w:r w:rsidRPr="00936A7A">
              <w:rPr>
                <w:rFonts w:ascii="Arial" w:hAnsi="Arial" w:cs="Arial"/>
                <w:sz w:val="16"/>
                <w:szCs w:val="16"/>
              </w:rPr>
              <w:t xml:space="preserve">Gross book value </w:t>
            </w:r>
          </w:p>
        </w:tc>
        <w:tc>
          <w:tcPr>
            <w:tcW w:w="647" w:type="pct"/>
            <w:tcBorders>
              <w:top w:val="nil"/>
              <w:left w:val="nil"/>
              <w:bottom w:val="nil"/>
              <w:right w:val="nil"/>
            </w:tcBorders>
            <w:shd w:val="clear" w:color="auto" w:fill="auto"/>
            <w:noWrap/>
            <w:vAlign w:val="bottom"/>
            <w:hideMark/>
          </w:tcPr>
          <w:p w14:paraId="0FC668C3"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27,656 </w:t>
            </w:r>
          </w:p>
        </w:tc>
        <w:tc>
          <w:tcPr>
            <w:tcW w:w="647" w:type="pct"/>
            <w:tcBorders>
              <w:top w:val="nil"/>
              <w:left w:val="nil"/>
              <w:bottom w:val="nil"/>
              <w:right w:val="nil"/>
            </w:tcBorders>
            <w:shd w:val="clear" w:color="auto" w:fill="auto"/>
            <w:noWrap/>
            <w:vAlign w:val="bottom"/>
            <w:hideMark/>
          </w:tcPr>
          <w:p w14:paraId="49ADB7E9"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11,035 </w:t>
            </w:r>
          </w:p>
        </w:tc>
        <w:tc>
          <w:tcPr>
            <w:tcW w:w="647" w:type="pct"/>
            <w:tcBorders>
              <w:top w:val="nil"/>
              <w:left w:val="nil"/>
              <w:bottom w:val="nil"/>
              <w:right w:val="nil"/>
            </w:tcBorders>
            <w:shd w:val="clear" w:color="auto" w:fill="auto"/>
            <w:noWrap/>
            <w:vAlign w:val="bottom"/>
            <w:hideMark/>
          </w:tcPr>
          <w:p w14:paraId="287552E4"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49,636 </w:t>
            </w:r>
          </w:p>
        </w:tc>
        <w:tc>
          <w:tcPr>
            <w:tcW w:w="647" w:type="pct"/>
            <w:tcBorders>
              <w:top w:val="nil"/>
              <w:left w:val="nil"/>
              <w:bottom w:val="nil"/>
              <w:right w:val="nil"/>
            </w:tcBorders>
            <w:shd w:val="clear" w:color="auto" w:fill="auto"/>
            <w:noWrap/>
            <w:vAlign w:val="bottom"/>
            <w:hideMark/>
          </w:tcPr>
          <w:p w14:paraId="37F9C839"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88,327 </w:t>
            </w:r>
          </w:p>
        </w:tc>
      </w:tr>
      <w:tr w:rsidR="00936A7A" w:rsidRPr="00936A7A" w14:paraId="0970CF0D" w14:textId="77777777" w:rsidTr="00936A7A">
        <w:trPr>
          <w:trHeight w:val="200"/>
        </w:trPr>
        <w:tc>
          <w:tcPr>
            <w:tcW w:w="2411" w:type="pct"/>
            <w:tcBorders>
              <w:top w:val="nil"/>
              <w:left w:val="nil"/>
              <w:bottom w:val="nil"/>
              <w:right w:val="nil"/>
            </w:tcBorders>
            <w:shd w:val="clear" w:color="auto" w:fill="auto"/>
            <w:noWrap/>
            <w:vAlign w:val="bottom"/>
            <w:hideMark/>
          </w:tcPr>
          <w:p w14:paraId="33797D8A" w14:textId="77777777" w:rsidR="00936A7A" w:rsidRPr="00936A7A" w:rsidRDefault="00936A7A" w:rsidP="00936A7A">
            <w:pPr>
              <w:spacing w:after="0" w:line="240" w:lineRule="auto"/>
              <w:ind w:firstLineChars="100" w:firstLine="160"/>
              <w:jc w:val="left"/>
              <w:rPr>
                <w:rFonts w:ascii="Arial" w:hAnsi="Arial" w:cs="Arial"/>
                <w:sz w:val="16"/>
                <w:szCs w:val="16"/>
              </w:rPr>
            </w:pPr>
            <w:r w:rsidRPr="00936A7A">
              <w:rPr>
                <w:rFonts w:ascii="Arial" w:hAnsi="Arial" w:cs="Arial"/>
                <w:sz w:val="16"/>
                <w:szCs w:val="16"/>
              </w:rPr>
              <w:t>Gross book value - ROU assets</w:t>
            </w:r>
          </w:p>
        </w:tc>
        <w:tc>
          <w:tcPr>
            <w:tcW w:w="647" w:type="pct"/>
            <w:tcBorders>
              <w:top w:val="nil"/>
              <w:left w:val="nil"/>
              <w:bottom w:val="nil"/>
              <w:right w:val="nil"/>
            </w:tcBorders>
            <w:shd w:val="clear" w:color="auto" w:fill="auto"/>
            <w:noWrap/>
            <w:vAlign w:val="bottom"/>
            <w:hideMark/>
          </w:tcPr>
          <w:p w14:paraId="56D1EB80"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89,089 </w:t>
            </w:r>
          </w:p>
        </w:tc>
        <w:tc>
          <w:tcPr>
            <w:tcW w:w="647" w:type="pct"/>
            <w:tcBorders>
              <w:top w:val="nil"/>
              <w:left w:val="nil"/>
              <w:bottom w:val="nil"/>
              <w:right w:val="nil"/>
            </w:tcBorders>
            <w:shd w:val="clear" w:color="auto" w:fill="auto"/>
            <w:noWrap/>
            <w:vAlign w:val="bottom"/>
            <w:hideMark/>
          </w:tcPr>
          <w:p w14:paraId="4E447B92"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 </w:t>
            </w:r>
          </w:p>
        </w:tc>
        <w:tc>
          <w:tcPr>
            <w:tcW w:w="647" w:type="pct"/>
            <w:tcBorders>
              <w:top w:val="nil"/>
              <w:left w:val="nil"/>
              <w:bottom w:val="nil"/>
              <w:right w:val="nil"/>
            </w:tcBorders>
            <w:shd w:val="clear" w:color="auto" w:fill="auto"/>
            <w:noWrap/>
            <w:vAlign w:val="bottom"/>
            <w:hideMark/>
          </w:tcPr>
          <w:p w14:paraId="3445635C"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 </w:t>
            </w:r>
          </w:p>
        </w:tc>
        <w:tc>
          <w:tcPr>
            <w:tcW w:w="647" w:type="pct"/>
            <w:tcBorders>
              <w:top w:val="nil"/>
              <w:left w:val="nil"/>
              <w:bottom w:val="nil"/>
              <w:right w:val="nil"/>
            </w:tcBorders>
            <w:shd w:val="clear" w:color="auto" w:fill="auto"/>
            <w:noWrap/>
            <w:vAlign w:val="bottom"/>
            <w:hideMark/>
          </w:tcPr>
          <w:p w14:paraId="650199A9"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89,089 </w:t>
            </w:r>
          </w:p>
        </w:tc>
      </w:tr>
      <w:tr w:rsidR="00936A7A" w:rsidRPr="00936A7A" w14:paraId="25AF1A85" w14:textId="77777777" w:rsidTr="00936A7A">
        <w:trPr>
          <w:trHeight w:val="400"/>
        </w:trPr>
        <w:tc>
          <w:tcPr>
            <w:tcW w:w="2411" w:type="pct"/>
            <w:tcBorders>
              <w:top w:val="nil"/>
              <w:left w:val="nil"/>
              <w:bottom w:val="nil"/>
              <w:right w:val="nil"/>
            </w:tcBorders>
            <w:shd w:val="clear" w:color="auto" w:fill="auto"/>
            <w:vAlign w:val="bottom"/>
            <w:hideMark/>
          </w:tcPr>
          <w:p w14:paraId="47C3D35B" w14:textId="16F04287" w:rsidR="00936A7A" w:rsidRPr="00936A7A" w:rsidRDefault="00936A7A" w:rsidP="00936A7A">
            <w:pPr>
              <w:spacing w:after="0" w:line="240" w:lineRule="auto"/>
              <w:ind w:firstLineChars="100" w:firstLine="160"/>
              <w:jc w:val="left"/>
              <w:rPr>
                <w:rFonts w:ascii="Arial" w:hAnsi="Arial" w:cs="Arial"/>
                <w:sz w:val="16"/>
                <w:szCs w:val="16"/>
              </w:rPr>
            </w:pPr>
            <w:r w:rsidRPr="00936A7A">
              <w:rPr>
                <w:rFonts w:ascii="Arial" w:hAnsi="Arial" w:cs="Arial"/>
                <w:sz w:val="16"/>
                <w:szCs w:val="16"/>
              </w:rPr>
              <w:t>Accumulated depreciation/</w:t>
            </w:r>
            <w:r w:rsidRPr="00936A7A">
              <w:rPr>
                <w:rFonts w:ascii="Arial" w:hAnsi="Arial" w:cs="Arial"/>
                <w:sz w:val="16"/>
                <w:szCs w:val="16"/>
              </w:rPr>
              <w:br/>
            </w:r>
            <w:r>
              <w:rPr>
                <w:rFonts w:ascii="Arial" w:hAnsi="Arial" w:cs="Arial"/>
                <w:sz w:val="16"/>
                <w:szCs w:val="16"/>
              </w:rPr>
              <w:t xml:space="preserve">    </w:t>
            </w:r>
            <w:r w:rsidRPr="00936A7A">
              <w:rPr>
                <w:rFonts w:ascii="Arial" w:hAnsi="Arial" w:cs="Arial"/>
                <w:sz w:val="16"/>
                <w:szCs w:val="16"/>
              </w:rPr>
              <w:t xml:space="preserve">  amortisation and impairment</w:t>
            </w:r>
          </w:p>
        </w:tc>
        <w:tc>
          <w:tcPr>
            <w:tcW w:w="647" w:type="pct"/>
            <w:tcBorders>
              <w:top w:val="nil"/>
              <w:left w:val="nil"/>
              <w:bottom w:val="nil"/>
              <w:right w:val="nil"/>
            </w:tcBorders>
            <w:shd w:val="clear" w:color="auto" w:fill="auto"/>
            <w:noWrap/>
            <w:vAlign w:val="bottom"/>
            <w:hideMark/>
          </w:tcPr>
          <w:p w14:paraId="3E901549"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(9,181)</w:t>
            </w:r>
          </w:p>
        </w:tc>
        <w:tc>
          <w:tcPr>
            <w:tcW w:w="647" w:type="pct"/>
            <w:tcBorders>
              <w:top w:val="nil"/>
              <w:left w:val="nil"/>
              <w:bottom w:val="nil"/>
              <w:right w:val="nil"/>
            </w:tcBorders>
            <w:shd w:val="clear" w:color="auto" w:fill="auto"/>
            <w:noWrap/>
            <w:vAlign w:val="bottom"/>
            <w:hideMark/>
          </w:tcPr>
          <w:p w14:paraId="388D7972"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(4,839)</w:t>
            </w:r>
          </w:p>
        </w:tc>
        <w:tc>
          <w:tcPr>
            <w:tcW w:w="647" w:type="pct"/>
            <w:tcBorders>
              <w:top w:val="nil"/>
              <w:left w:val="nil"/>
              <w:bottom w:val="nil"/>
              <w:right w:val="nil"/>
            </w:tcBorders>
            <w:shd w:val="clear" w:color="auto" w:fill="auto"/>
            <w:noWrap/>
            <w:vAlign w:val="bottom"/>
            <w:hideMark/>
          </w:tcPr>
          <w:p w14:paraId="2678E1C8"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(10,780)</w:t>
            </w:r>
          </w:p>
        </w:tc>
        <w:tc>
          <w:tcPr>
            <w:tcW w:w="647" w:type="pct"/>
            <w:tcBorders>
              <w:top w:val="nil"/>
              <w:left w:val="nil"/>
              <w:bottom w:val="nil"/>
              <w:right w:val="nil"/>
            </w:tcBorders>
            <w:shd w:val="clear" w:color="auto" w:fill="auto"/>
            <w:noWrap/>
            <w:vAlign w:val="bottom"/>
            <w:hideMark/>
          </w:tcPr>
          <w:p w14:paraId="067A878F"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(24,800)</w:t>
            </w:r>
          </w:p>
        </w:tc>
      </w:tr>
      <w:tr w:rsidR="00936A7A" w:rsidRPr="00936A7A" w14:paraId="364889FA" w14:textId="77777777" w:rsidTr="00936A7A">
        <w:trPr>
          <w:trHeight w:val="400"/>
        </w:trPr>
        <w:tc>
          <w:tcPr>
            <w:tcW w:w="2411" w:type="pct"/>
            <w:tcBorders>
              <w:top w:val="nil"/>
              <w:left w:val="nil"/>
              <w:bottom w:val="nil"/>
              <w:right w:val="nil"/>
            </w:tcBorders>
            <w:shd w:val="clear" w:color="auto" w:fill="auto"/>
            <w:vAlign w:val="bottom"/>
            <w:hideMark/>
          </w:tcPr>
          <w:p w14:paraId="4999222E" w14:textId="754B2B3B" w:rsidR="00936A7A" w:rsidRPr="00936A7A" w:rsidRDefault="00936A7A" w:rsidP="00936A7A">
            <w:pPr>
              <w:spacing w:after="0" w:line="240" w:lineRule="auto"/>
              <w:ind w:firstLineChars="100" w:firstLine="160"/>
              <w:jc w:val="left"/>
              <w:rPr>
                <w:rFonts w:ascii="Arial" w:hAnsi="Arial" w:cs="Arial"/>
                <w:sz w:val="16"/>
                <w:szCs w:val="16"/>
              </w:rPr>
            </w:pPr>
            <w:r w:rsidRPr="00936A7A">
              <w:rPr>
                <w:rFonts w:ascii="Arial" w:hAnsi="Arial" w:cs="Arial"/>
                <w:sz w:val="16"/>
                <w:szCs w:val="16"/>
              </w:rPr>
              <w:t xml:space="preserve">Accumulated depreciation/amortisation and </w:t>
            </w:r>
            <w:r w:rsidRPr="00936A7A">
              <w:rPr>
                <w:rFonts w:ascii="Arial" w:hAnsi="Arial" w:cs="Arial"/>
                <w:sz w:val="16"/>
                <w:szCs w:val="16"/>
              </w:rPr>
              <w:br/>
              <w:t xml:space="preserve"> </w:t>
            </w:r>
            <w:r>
              <w:rPr>
                <w:rFonts w:ascii="Arial" w:hAnsi="Arial" w:cs="Arial"/>
                <w:sz w:val="16"/>
                <w:szCs w:val="16"/>
              </w:rPr>
              <w:t xml:space="preserve">     </w:t>
            </w:r>
            <w:r w:rsidRPr="00936A7A">
              <w:rPr>
                <w:rFonts w:ascii="Arial" w:hAnsi="Arial" w:cs="Arial"/>
                <w:sz w:val="16"/>
                <w:szCs w:val="16"/>
              </w:rPr>
              <w:t xml:space="preserve"> impairment - ROU assets</w:t>
            </w:r>
          </w:p>
        </w:tc>
        <w:tc>
          <w:tcPr>
            <w:tcW w:w="647" w:type="pct"/>
            <w:tcBorders>
              <w:top w:val="nil"/>
              <w:left w:val="nil"/>
              <w:bottom w:val="nil"/>
              <w:right w:val="nil"/>
            </w:tcBorders>
            <w:shd w:val="clear" w:color="auto" w:fill="auto"/>
            <w:noWrap/>
            <w:vAlign w:val="bottom"/>
            <w:hideMark/>
          </w:tcPr>
          <w:p w14:paraId="12C10B97"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(24,686)</w:t>
            </w:r>
          </w:p>
        </w:tc>
        <w:tc>
          <w:tcPr>
            <w:tcW w:w="647" w:type="pct"/>
            <w:tcBorders>
              <w:top w:val="nil"/>
              <w:left w:val="nil"/>
              <w:bottom w:val="nil"/>
              <w:right w:val="nil"/>
            </w:tcBorders>
            <w:shd w:val="clear" w:color="auto" w:fill="auto"/>
            <w:noWrap/>
            <w:vAlign w:val="bottom"/>
            <w:hideMark/>
          </w:tcPr>
          <w:p w14:paraId="12E66145"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 </w:t>
            </w:r>
          </w:p>
        </w:tc>
        <w:tc>
          <w:tcPr>
            <w:tcW w:w="647" w:type="pct"/>
            <w:tcBorders>
              <w:top w:val="nil"/>
              <w:left w:val="nil"/>
              <w:bottom w:val="nil"/>
              <w:right w:val="nil"/>
            </w:tcBorders>
            <w:shd w:val="clear" w:color="auto" w:fill="auto"/>
            <w:noWrap/>
            <w:vAlign w:val="bottom"/>
            <w:hideMark/>
          </w:tcPr>
          <w:p w14:paraId="2B2E5D7F"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 </w:t>
            </w:r>
          </w:p>
        </w:tc>
        <w:tc>
          <w:tcPr>
            <w:tcW w:w="647" w:type="pct"/>
            <w:tcBorders>
              <w:top w:val="nil"/>
              <w:left w:val="nil"/>
              <w:bottom w:val="nil"/>
              <w:right w:val="nil"/>
            </w:tcBorders>
            <w:shd w:val="clear" w:color="auto" w:fill="auto"/>
            <w:noWrap/>
            <w:vAlign w:val="bottom"/>
            <w:hideMark/>
          </w:tcPr>
          <w:p w14:paraId="2CC5AB47"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(24,686)</w:t>
            </w:r>
          </w:p>
        </w:tc>
      </w:tr>
      <w:tr w:rsidR="00936A7A" w:rsidRPr="00936A7A" w14:paraId="39290D9B" w14:textId="77777777" w:rsidTr="00936A7A">
        <w:trPr>
          <w:trHeight w:val="210"/>
        </w:trPr>
        <w:tc>
          <w:tcPr>
            <w:tcW w:w="2411" w:type="pct"/>
            <w:tcBorders>
              <w:top w:val="nil"/>
              <w:left w:val="nil"/>
              <w:bottom w:val="nil"/>
              <w:right w:val="nil"/>
            </w:tcBorders>
            <w:shd w:val="clear" w:color="auto" w:fill="auto"/>
            <w:vAlign w:val="bottom"/>
            <w:hideMark/>
          </w:tcPr>
          <w:p w14:paraId="17E204BA" w14:textId="77777777" w:rsidR="00936A7A" w:rsidRPr="00936A7A" w:rsidRDefault="00936A7A" w:rsidP="00936A7A">
            <w:pPr>
              <w:spacing w:after="0" w:line="240" w:lineRule="auto"/>
              <w:jc w:val="left"/>
              <w:rPr>
                <w:rFonts w:ascii="Arial" w:hAnsi="Arial" w:cs="Arial"/>
                <w:b/>
                <w:bCs/>
                <w:sz w:val="16"/>
                <w:szCs w:val="16"/>
              </w:rPr>
            </w:pPr>
            <w:r w:rsidRPr="00936A7A">
              <w:rPr>
                <w:rFonts w:ascii="Arial" w:hAnsi="Arial" w:cs="Arial"/>
                <w:b/>
                <w:bCs/>
                <w:sz w:val="16"/>
                <w:szCs w:val="16"/>
              </w:rPr>
              <w:t>Opening net book balance</w:t>
            </w:r>
          </w:p>
        </w:tc>
        <w:tc>
          <w:tcPr>
            <w:tcW w:w="647" w:type="pct"/>
            <w:tcBorders>
              <w:top w:val="single" w:sz="4" w:space="0" w:color="auto"/>
              <w:left w:val="nil"/>
              <w:bottom w:val="single" w:sz="4" w:space="0" w:color="auto"/>
              <w:right w:val="nil"/>
            </w:tcBorders>
            <w:shd w:val="clear" w:color="auto" w:fill="auto"/>
            <w:noWrap/>
            <w:vAlign w:val="bottom"/>
            <w:hideMark/>
          </w:tcPr>
          <w:p w14:paraId="54DC234B" w14:textId="77777777" w:rsidR="00936A7A" w:rsidRPr="00936A7A" w:rsidRDefault="00936A7A" w:rsidP="00936A7A">
            <w:pPr>
              <w:spacing w:after="0" w:line="240" w:lineRule="auto"/>
              <w:jc w:val="right"/>
              <w:rPr>
                <w:rFonts w:ascii="Arial" w:hAnsi="Arial" w:cs="Arial"/>
                <w:b/>
                <w:bCs/>
                <w:sz w:val="16"/>
                <w:szCs w:val="16"/>
              </w:rPr>
            </w:pPr>
            <w:r w:rsidRPr="00936A7A">
              <w:rPr>
                <w:rFonts w:ascii="Arial" w:hAnsi="Arial" w:cs="Arial"/>
                <w:b/>
                <w:bCs/>
                <w:sz w:val="16"/>
                <w:szCs w:val="16"/>
              </w:rPr>
              <w:t xml:space="preserve">82,878 </w:t>
            </w:r>
          </w:p>
        </w:tc>
        <w:tc>
          <w:tcPr>
            <w:tcW w:w="647" w:type="pct"/>
            <w:tcBorders>
              <w:top w:val="single" w:sz="4" w:space="0" w:color="auto"/>
              <w:left w:val="nil"/>
              <w:bottom w:val="single" w:sz="4" w:space="0" w:color="auto"/>
              <w:right w:val="nil"/>
            </w:tcBorders>
            <w:shd w:val="clear" w:color="auto" w:fill="auto"/>
            <w:noWrap/>
            <w:vAlign w:val="bottom"/>
            <w:hideMark/>
          </w:tcPr>
          <w:p w14:paraId="1C42D847" w14:textId="77777777" w:rsidR="00936A7A" w:rsidRPr="00936A7A" w:rsidRDefault="00936A7A" w:rsidP="00936A7A">
            <w:pPr>
              <w:spacing w:after="0" w:line="240" w:lineRule="auto"/>
              <w:jc w:val="right"/>
              <w:rPr>
                <w:rFonts w:ascii="Arial" w:hAnsi="Arial" w:cs="Arial"/>
                <w:b/>
                <w:bCs/>
                <w:sz w:val="16"/>
                <w:szCs w:val="16"/>
              </w:rPr>
            </w:pPr>
            <w:r w:rsidRPr="00936A7A">
              <w:rPr>
                <w:rFonts w:ascii="Arial" w:hAnsi="Arial" w:cs="Arial"/>
                <w:b/>
                <w:bCs/>
                <w:sz w:val="16"/>
                <w:szCs w:val="16"/>
              </w:rPr>
              <w:t xml:space="preserve">6,196 </w:t>
            </w:r>
          </w:p>
        </w:tc>
        <w:tc>
          <w:tcPr>
            <w:tcW w:w="647" w:type="pct"/>
            <w:tcBorders>
              <w:top w:val="single" w:sz="4" w:space="0" w:color="auto"/>
              <w:left w:val="nil"/>
              <w:bottom w:val="single" w:sz="4" w:space="0" w:color="auto"/>
              <w:right w:val="nil"/>
            </w:tcBorders>
            <w:shd w:val="clear" w:color="auto" w:fill="auto"/>
            <w:noWrap/>
            <w:vAlign w:val="bottom"/>
            <w:hideMark/>
          </w:tcPr>
          <w:p w14:paraId="4B6FE213" w14:textId="77777777" w:rsidR="00936A7A" w:rsidRPr="00936A7A" w:rsidRDefault="00936A7A" w:rsidP="00936A7A">
            <w:pPr>
              <w:spacing w:after="0" w:line="240" w:lineRule="auto"/>
              <w:jc w:val="right"/>
              <w:rPr>
                <w:rFonts w:ascii="Arial" w:hAnsi="Arial" w:cs="Arial"/>
                <w:b/>
                <w:bCs/>
                <w:sz w:val="16"/>
                <w:szCs w:val="16"/>
              </w:rPr>
            </w:pPr>
            <w:r w:rsidRPr="00936A7A">
              <w:rPr>
                <w:rFonts w:ascii="Arial" w:hAnsi="Arial" w:cs="Arial"/>
                <w:b/>
                <w:bCs/>
                <w:sz w:val="16"/>
                <w:szCs w:val="16"/>
              </w:rPr>
              <w:t xml:space="preserve">38,856 </w:t>
            </w:r>
          </w:p>
        </w:tc>
        <w:tc>
          <w:tcPr>
            <w:tcW w:w="647" w:type="pct"/>
            <w:tcBorders>
              <w:top w:val="single" w:sz="4" w:space="0" w:color="auto"/>
              <w:left w:val="nil"/>
              <w:bottom w:val="single" w:sz="4" w:space="0" w:color="auto"/>
              <w:right w:val="nil"/>
            </w:tcBorders>
            <w:shd w:val="clear" w:color="auto" w:fill="auto"/>
            <w:noWrap/>
            <w:vAlign w:val="bottom"/>
            <w:hideMark/>
          </w:tcPr>
          <w:p w14:paraId="1E40DB48" w14:textId="77777777" w:rsidR="00936A7A" w:rsidRPr="00936A7A" w:rsidRDefault="00936A7A" w:rsidP="00936A7A">
            <w:pPr>
              <w:spacing w:after="0" w:line="240" w:lineRule="auto"/>
              <w:jc w:val="right"/>
              <w:rPr>
                <w:rFonts w:ascii="Arial" w:hAnsi="Arial" w:cs="Arial"/>
                <w:b/>
                <w:bCs/>
                <w:sz w:val="16"/>
                <w:szCs w:val="16"/>
              </w:rPr>
            </w:pPr>
            <w:r w:rsidRPr="00936A7A">
              <w:rPr>
                <w:rFonts w:ascii="Arial" w:hAnsi="Arial" w:cs="Arial"/>
                <w:b/>
                <w:bCs/>
                <w:sz w:val="16"/>
                <w:szCs w:val="16"/>
              </w:rPr>
              <w:t xml:space="preserve">127,930 </w:t>
            </w:r>
          </w:p>
        </w:tc>
      </w:tr>
      <w:tr w:rsidR="00936A7A" w:rsidRPr="00936A7A" w14:paraId="09E9467C" w14:textId="77777777" w:rsidTr="00936A7A">
        <w:trPr>
          <w:trHeight w:val="210"/>
        </w:trPr>
        <w:tc>
          <w:tcPr>
            <w:tcW w:w="2411" w:type="pct"/>
            <w:tcBorders>
              <w:top w:val="nil"/>
              <w:left w:val="nil"/>
              <w:bottom w:val="nil"/>
              <w:right w:val="nil"/>
            </w:tcBorders>
            <w:shd w:val="clear" w:color="auto" w:fill="auto"/>
            <w:vAlign w:val="bottom"/>
            <w:hideMark/>
          </w:tcPr>
          <w:p w14:paraId="76FBD2D7" w14:textId="77777777" w:rsidR="00936A7A" w:rsidRPr="00936A7A" w:rsidRDefault="00936A7A" w:rsidP="00936A7A">
            <w:pPr>
              <w:spacing w:after="0" w:line="240" w:lineRule="auto"/>
              <w:jc w:val="left"/>
              <w:rPr>
                <w:rFonts w:ascii="Arial" w:hAnsi="Arial" w:cs="Arial"/>
                <w:b/>
                <w:bCs/>
                <w:sz w:val="16"/>
                <w:szCs w:val="16"/>
              </w:rPr>
            </w:pPr>
            <w:r w:rsidRPr="00936A7A">
              <w:rPr>
                <w:rFonts w:ascii="Arial" w:hAnsi="Arial" w:cs="Arial"/>
                <w:b/>
                <w:bCs/>
                <w:sz w:val="16"/>
                <w:szCs w:val="16"/>
              </w:rPr>
              <w:t>Capital asset additions</w:t>
            </w:r>
          </w:p>
        </w:tc>
        <w:tc>
          <w:tcPr>
            <w:tcW w:w="647" w:type="pct"/>
            <w:tcBorders>
              <w:top w:val="nil"/>
              <w:left w:val="nil"/>
              <w:bottom w:val="nil"/>
              <w:right w:val="nil"/>
            </w:tcBorders>
            <w:shd w:val="clear" w:color="auto" w:fill="auto"/>
            <w:noWrap/>
            <w:vAlign w:val="bottom"/>
            <w:hideMark/>
          </w:tcPr>
          <w:p w14:paraId="35D472A6" w14:textId="77777777" w:rsidR="00936A7A" w:rsidRPr="00936A7A" w:rsidRDefault="00936A7A" w:rsidP="00936A7A">
            <w:pPr>
              <w:spacing w:after="0" w:line="240" w:lineRule="auto"/>
              <w:jc w:val="left"/>
              <w:rPr>
                <w:rFonts w:ascii="Arial" w:hAnsi="Arial" w:cs="Arial"/>
                <w:b/>
                <w:bCs/>
                <w:sz w:val="16"/>
                <w:szCs w:val="16"/>
              </w:rPr>
            </w:pPr>
          </w:p>
        </w:tc>
        <w:tc>
          <w:tcPr>
            <w:tcW w:w="647" w:type="pct"/>
            <w:tcBorders>
              <w:top w:val="nil"/>
              <w:left w:val="nil"/>
              <w:bottom w:val="nil"/>
              <w:right w:val="nil"/>
            </w:tcBorders>
            <w:shd w:val="clear" w:color="auto" w:fill="auto"/>
            <w:noWrap/>
            <w:vAlign w:val="bottom"/>
            <w:hideMark/>
          </w:tcPr>
          <w:p w14:paraId="323F1D8D" w14:textId="77777777" w:rsidR="00936A7A" w:rsidRPr="00936A7A" w:rsidRDefault="00936A7A" w:rsidP="00936A7A">
            <w:pPr>
              <w:spacing w:after="0" w:line="240" w:lineRule="auto"/>
              <w:jc w:val="left"/>
              <w:rPr>
                <w:rFonts w:ascii="Times New Roman" w:hAnsi="Times New Roman"/>
              </w:rPr>
            </w:pPr>
          </w:p>
        </w:tc>
        <w:tc>
          <w:tcPr>
            <w:tcW w:w="647" w:type="pct"/>
            <w:tcBorders>
              <w:top w:val="nil"/>
              <w:left w:val="nil"/>
              <w:bottom w:val="nil"/>
              <w:right w:val="nil"/>
            </w:tcBorders>
            <w:shd w:val="clear" w:color="auto" w:fill="auto"/>
            <w:noWrap/>
            <w:vAlign w:val="bottom"/>
            <w:hideMark/>
          </w:tcPr>
          <w:p w14:paraId="3A5D7C7F" w14:textId="77777777" w:rsidR="00936A7A" w:rsidRPr="00936A7A" w:rsidRDefault="00936A7A" w:rsidP="00936A7A">
            <w:pPr>
              <w:spacing w:after="0" w:line="240" w:lineRule="auto"/>
              <w:jc w:val="left"/>
              <w:rPr>
                <w:rFonts w:ascii="Times New Roman" w:hAnsi="Times New Roman"/>
              </w:rPr>
            </w:pPr>
          </w:p>
        </w:tc>
        <w:tc>
          <w:tcPr>
            <w:tcW w:w="647" w:type="pct"/>
            <w:tcBorders>
              <w:top w:val="nil"/>
              <w:left w:val="nil"/>
              <w:bottom w:val="nil"/>
              <w:right w:val="nil"/>
            </w:tcBorders>
            <w:shd w:val="clear" w:color="auto" w:fill="auto"/>
            <w:noWrap/>
            <w:vAlign w:val="bottom"/>
            <w:hideMark/>
          </w:tcPr>
          <w:p w14:paraId="2F7DD88C" w14:textId="77777777" w:rsidR="00936A7A" w:rsidRPr="00936A7A" w:rsidRDefault="00936A7A" w:rsidP="00936A7A">
            <w:pPr>
              <w:spacing w:after="0" w:line="240" w:lineRule="auto"/>
              <w:jc w:val="left"/>
              <w:rPr>
                <w:rFonts w:ascii="Times New Roman" w:hAnsi="Times New Roman"/>
              </w:rPr>
            </w:pPr>
          </w:p>
        </w:tc>
      </w:tr>
      <w:tr w:rsidR="00936A7A" w:rsidRPr="00936A7A" w14:paraId="4731A8E8" w14:textId="77777777" w:rsidTr="00936A7A">
        <w:trPr>
          <w:trHeight w:val="420"/>
        </w:trPr>
        <w:tc>
          <w:tcPr>
            <w:tcW w:w="2411" w:type="pct"/>
            <w:tcBorders>
              <w:top w:val="nil"/>
              <w:left w:val="nil"/>
              <w:bottom w:val="nil"/>
              <w:right w:val="nil"/>
            </w:tcBorders>
            <w:shd w:val="clear" w:color="auto" w:fill="auto"/>
            <w:vAlign w:val="bottom"/>
            <w:hideMark/>
          </w:tcPr>
          <w:p w14:paraId="5541AB6F" w14:textId="4807D1E2" w:rsidR="00936A7A" w:rsidRPr="00936A7A" w:rsidRDefault="00936A7A" w:rsidP="00936A7A">
            <w:pPr>
              <w:spacing w:after="0" w:line="240" w:lineRule="auto"/>
              <w:ind w:firstLineChars="100" w:firstLine="161"/>
              <w:jc w:val="left"/>
              <w:rPr>
                <w:rFonts w:ascii="Arial" w:hAnsi="Arial" w:cs="Arial"/>
                <w:b/>
                <w:bCs/>
                <w:sz w:val="16"/>
                <w:szCs w:val="16"/>
              </w:rPr>
            </w:pPr>
            <w:r w:rsidRPr="00936A7A">
              <w:rPr>
                <w:rFonts w:ascii="Arial" w:hAnsi="Arial" w:cs="Arial"/>
                <w:b/>
                <w:bCs/>
                <w:sz w:val="16"/>
                <w:szCs w:val="16"/>
              </w:rPr>
              <w:t>Estimated expenditure on new</w:t>
            </w:r>
            <w:r w:rsidRPr="00936A7A">
              <w:rPr>
                <w:rFonts w:ascii="Arial" w:hAnsi="Arial" w:cs="Arial"/>
                <w:b/>
                <w:bCs/>
                <w:sz w:val="16"/>
                <w:szCs w:val="16"/>
              </w:rPr>
              <w:br/>
              <w:t xml:space="preserve"> </w:t>
            </w:r>
            <w:r>
              <w:rPr>
                <w:rFonts w:ascii="Arial" w:hAnsi="Arial" w:cs="Arial"/>
                <w:b/>
                <w:bCs/>
                <w:sz w:val="16"/>
                <w:szCs w:val="16"/>
              </w:rPr>
              <w:t xml:space="preserve">    </w:t>
            </w:r>
            <w:r w:rsidRPr="00936A7A">
              <w:rPr>
                <w:rFonts w:ascii="Arial" w:hAnsi="Arial" w:cs="Arial"/>
                <w:b/>
                <w:bCs/>
                <w:sz w:val="16"/>
                <w:szCs w:val="16"/>
              </w:rPr>
              <w:t xml:space="preserve"> or replacement assets</w:t>
            </w:r>
          </w:p>
        </w:tc>
        <w:tc>
          <w:tcPr>
            <w:tcW w:w="647" w:type="pct"/>
            <w:tcBorders>
              <w:top w:val="nil"/>
              <w:left w:val="nil"/>
              <w:bottom w:val="nil"/>
              <w:right w:val="nil"/>
            </w:tcBorders>
            <w:shd w:val="clear" w:color="auto" w:fill="auto"/>
            <w:noWrap/>
            <w:vAlign w:val="bottom"/>
            <w:hideMark/>
          </w:tcPr>
          <w:p w14:paraId="535A977E" w14:textId="77777777" w:rsidR="00936A7A" w:rsidRPr="00936A7A" w:rsidRDefault="00936A7A" w:rsidP="00936A7A">
            <w:pPr>
              <w:spacing w:after="0" w:line="240" w:lineRule="auto"/>
              <w:ind w:firstLineChars="100" w:firstLine="161"/>
              <w:jc w:val="left"/>
              <w:rPr>
                <w:rFonts w:ascii="Arial" w:hAnsi="Arial" w:cs="Arial"/>
                <w:b/>
                <w:bCs/>
                <w:sz w:val="16"/>
                <w:szCs w:val="16"/>
              </w:rPr>
            </w:pPr>
          </w:p>
        </w:tc>
        <w:tc>
          <w:tcPr>
            <w:tcW w:w="647" w:type="pct"/>
            <w:tcBorders>
              <w:top w:val="nil"/>
              <w:left w:val="nil"/>
              <w:bottom w:val="nil"/>
              <w:right w:val="nil"/>
            </w:tcBorders>
            <w:shd w:val="clear" w:color="auto" w:fill="auto"/>
            <w:noWrap/>
            <w:vAlign w:val="bottom"/>
            <w:hideMark/>
          </w:tcPr>
          <w:p w14:paraId="55729244" w14:textId="77777777" w:rsidR="00936A7A" w:rsidRPr="00936A7A" w:rsidRDefault="00936A7A" w:rsidP="00936A7A">
            <w:pPr>
              <w:spacing w:after="0" w:line="240" w:lineRule="auto"/>
              <w:jc w:val="left"/>
              <w:rPr>
                <w:rFonts w:ascii="Times New Roman" w:hAnsi="Times New Roman"/>
              </w:rPr>
            </w:pPr>
          </w:p>
        </w:tc>
        <w:tc>
          <w:tcPr>
            <w:tcW w:w="647" w:type="pct"/>
            <w:tcBorders>
              <w:top w:val="nil"/>
              <w:left w:val="nil"/>
              <w:bottom w:val="nil"/>
              <w:right w:val="nil"/>
            </w:tcBorders>
            <w:shd w:val="clear" w:color="auto" w:fill="auto"/>
            <w:noWrap/>
            <w:vAlign w:val="bottom"/>
            <w:hideMark/>
          </w:tcPr>
          <w:p w14:paraId="27621E36" w14:textId="77777777" w:rsidR="00936A7A" w:rsidRPr="00936A7A" w:rsidRDefault="00936A7A" w:rsidP="00936A7A">
            <w:pPr>
              <w:spacing w:after="0" w:line="240" w:lineRule="auto"/>
              <w:jc w:val="left"/>
              <w:rPr>
                <w:rFonts w:ascii="Times New Roman" w:hAnsi="Times New Roman"/>
              </w:rPr>
            </w:pPr>
          </w:p>
        </w:tc>
        <w:tc>
          <w:tcPr>
            <w:tcW w:w="647" w:type="pct"/>
            <w:tcBorders>
              <w:top w:val="nil"/>
              <w:left w:val="nil"/>
              <w:bottom w:val="nil"/>
              <w:right w:val="nil"/>
            </w:tcBorders>
            <w:shd w:val="clear" w:color="auto" w:fill="auto"/>
            <w:noWrap/>
            <w:vAlign w:val="bottom"/>
            <w:hideMark/>
          </w:tcPr>
          <w:p w14:paraId="7A2DB97B" w14:textId="77777777" w:rsidR="00936A7A" w:rsidRPr="00936A7A" w:rsidRDefault="00936A7A" w:rsidP="00936A7A">
            <w:pPr>
              <w:spacing w:after="0" w:line="240" w:lineRule="auto"/>
              <w:jc w:val="left"/>
              <w:rPr>
                <w:rFonts w:ascii="Times New Roman" w:hAnsi="Times New Roman"/>
              </w:rPr>
            </w:pPr>
          </w:p>
        </w:tc>
      </w:tr>
      <w:tr w:rsidR="00936A7A" w:rsidRPr="00936A7A" w14:paraId="33479356" w14:textId="77777777" w:rsidTr="00936A7A">
        <w:trPr>
          <w:trHeight w:val="200"/>
        </w:trPr>
        <w:tc>
          <w:tcPr>
            <w:tcW w:w="2411" w:type="pct"/>
            <w:tcBorders>
              <w:top w:val="nil"/>
              <w:left w:val="nil"/>
              <w:bottom w:val="nil"/>
              <w:right w:val="nil"/>
            </w:tcBorders>
            <w:shd w:val="clear" w:color="auto" w:fill="auto"/>
            <w:vAlign w:val="bottom"/>
            <w:hideMark/>
          </w:tcPr>
          <w:p w14:paraId="5729A49F" w14:textId="77777777" w:rsidR="00936A7A" w:rsidRPr="00936A7A" w:rsidRDefault="00936A7A" w:rsidP="00936A7A">
            <w:pPr>
              <w:spacing w:after="0" w:line="240" w:lineRule="auto"/>
              <w:ind w:firstLineChars="100" w:firstLine="160"/>
              <w:jc w:val="left"/>
              <w:rPr>
                <w:rFonts w:ascii="Arial" w:hAnsi="Arial" w:cs="Arial"/>
                <w:sz w:val="16"/>
                <w:szCs w:val="16"/>
              </w:rPr>
            </w:pPr>
            <w:r w:rsidRPr="00936A7A">
              <w:rPr>
                <w:rFonts w:ascii="Arial" w:hAnsi="Arial" w:cs="Arial"/>
                <w:sz w:val="16"/>
                <w:szCs w:val="16"/>
              </w:rPr>
              <w:t>By purchase - appropriation equity (a)</w:t>
            </w:r>
          </w:p>
        </w:tc>
        <w:tc>
          <w:tcPr>
            <w:tcW w:w="647" w:type="pct"/>
            <w:tcBorders>
              <w:top w:val="nil"/>
              <w:left w:val="nil"/>
              <w:bottom w:val="nil"/>
              <w:right w:val="nil"/>
            </w:tcBorders>
            <w:shd w:val="clear" w:color="auto" w:fill="auto"/>
            <w:noWrap/>
            <w:vAlign w:val="bottom"/>
            <w:hideMark/>
          </w:tcPr>
          <w:p w14:paraId="739D4784"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 </w:t>
            </w:r>
          </w:p>
        </w:tc>
        <w:tc>
          <w:tcPr>
            <w:tcW w:w="647" w:type="pct"/>
            <w:tcBorders>
              <w:top w:val="nil"/>
              <w:left w:val="nil"/>
              <w:bottom w:val="nil"/>
              <w:right w:val="nil"/>
            </w:tcBorders>
            <w:shd w:val="clear" w:color="auto" w:fill="auto"/>
            <w:noWrap/>
            <w:vAlign w:val="bottom"/>
            <w:hideMark/>
          </w:tcPr>
          <w:p w14:paraId="73CD9866"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 </w:t>
            </w:r>
          </w:p>
        </w:tc>
        <w:tc>
          <w:tcPr>
            <w:tcW w:w="647" w:type="pct"/>
            <w:tcBorders>
              <w:top w:val="nil"/>
              <w:left w:val="nil"/>
              <w:bottom w:val="nil"/>
              <w:right w:val="nil"/>
            </w:tcBorders>
            <w:shd w:val="clear" w:color="auto" w:fill="auto"/>
            <w:noWrap/>
            <w:vAlign w:val="bottom"/>
            <w:hideMark/>
          </w:tcPr>
          <w:p w14:paraId="315C6E3A"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600 </w:t>
            </w:r>
          </w:p>
        </w:tc>
        <w:tc>
          <w:tcPr>
            <w:tcW w:w="647" w:type="pct"/>
            <w:tcBorders>
              <w:top w:val="nil"/>
              <w:left w:val="nil"/>
              <w:bottom w:val="nil"/>
              <w:right w:val="nil"/>
            </w:tcBorders>
            <w:shd w:val="clear" w:color="auto" w:fill="auto"/>
            <w:noWrap/>
            <w:vAlign w:val="bottom"/>
            <w:hideMark/>
          </w:tcPr>
          <w:p w14:paraId="41FD7393"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600 </w:t>
            </w:r>
          </w:p>
        </w:tc>
      </w:tr>
      <w:tr w:rsidR="00936A7A" w:rsidRPr="00936A7A" w14:paraId="131D6B36" w14:textId="77777777" w:rsidTr="00936A7A">
        <w:trPr>
          <w:trHeight w:val="400"/>
        </w:trPr>
        <w:tc>
          <w:tcPr>
            <w:tcW w:w="2411" w:type="pct"/>
            <w:tcBorders>
              <w:top w:val="nil"/>
              <w:left w:val="nil"/>
              <w:bottom w:val="nil"/>
              <w:right w:val="nil"/>
            </w:tcBorders>
            <w:shd w:val="clear" w:color="auto" w:fill="auto"/>
            <w:vAlign w:val="bottom"/>
            <w:hideMark/>
          </w:tcPr>
          <w:p w14:paraId="5BEC2847" w14:textId="38B9EAB9" w:rsidR="00936A7A" w:rsidRPr="00936A7A" w:rsidRDefault="00936A7A" w:rsidP="00936A7A">
            <w:pPr>
              <w:spacing w:after="0" w:line="240" w:lineRule="auto"/>
              <w:ind w:firstLineChars="100" w:firstLine="160"/>
              <w:jc w:val="left"/>
              <w:rPr>
                <w:rFonts w:ascii="Arial" w:hAnsi="Arial" w:cs="Arial"/>
                <w:sz w:val="16"/>
                <w:szCs w:val="16"/>
              </w:rPr>
            </w:pPr>
            <w:r w:rsidRPr="00936A7A">
              <w:rPr>
                <w:rFonts w:ascii="Arial" w:hAnsi="Arial" w:cs="Arial"/>
                <w:sz w:val="16"/>
                <w:szCs w:val="16"/>
              </w:rPr>
              <w:t>By purchase - appropriation</w:t>
            </w:r>
            <w:r w:rsidRPr="00936A7A">
              <w:rPr>
                <w:rFonts w:ascii="Arial" w:hAnsi="Arial" w:cs="Arial"/>
                <w:sz w:val="16"/>
                <w:szCs w:val="16"/>
              </w:rPr>
              <w:br/>
              <w:t xml:space="preserve"> </w:t>
            </w:r>
            <w:r>
              <w:rPr>
                <w:rFonts w:ascii="Arial" w:hAnsi="Arial" w:cs="Arial"/>
                <w:sz w:val="16"/>
                <w:szCs w:val="16"/>
              </w:rPr>
              <w:t xml:space="preserve">    </w:t>
            </w:r>
            <w:r w:rsidRPr="00936A7A">
              <w:rPr>
                <w:rFonts w:ascii="Arial" w:hAnsi="Arial" w:cs="Arial"/>
                <w:sz w:val="16"/>
                <w:szCs w:val="16"/>
              </w:rPr>
              <w:t xml:space="preserve"> ordinary annual services (b)</w:t>
            </w:r>
          </w:p>
        </w:tc>
        <w:tc>
          <w:tcPr>
            <w:tcW w:w="647" w:type="pct"/>
            <w:tcBorders>
              <w:top w:val="nil"/>
              <w:left w:val="nil"/>
              <w:bottom w:val="nil"/>
              <w:right w:val="nil"/>
            </w:tcBorders>
            <w:shd w:val="clear" w:color="auto" w:fill="auto"/>
            <w:noWrap/>
            <w:vAlign w:val="bottom"/>
            <w:hideMark/>
          </w:tcPr>
          <w:p w14:paraId="0DD20410"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3,402 </w:t>
            </w:r>
          </w:p>
        </w:tc>
        <w:tc>
          <w:tcPr>
            <w:tcW w:w="647" w:type="pct"/>
            <w:tcBorders>
              <w:top w:val="nil"/>
              <w:left w:val="nil"/>
              <w:bottom w:val="nil"/>
              <w:right w:val="nil"/>
            </w:tcBorders>
            <w:shd w:val="clear" w:color="auto" w:fill="auto"/>
            <w:noWrap/>
            <w:vAlign w:val="bottom"/>
            <w:hideMark/>
          </w:tcPr>
          <w:p w14:paraId="4CF28C3D"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871 </w:t>
            </w:r>
          </w:p>
        </w:tc>
        <w:tc>
          <w:tcPr>
            <w:tcW w:w="647" w:type="pct"/>
            <w:tcBorders>
              <w:top w:val="nil"/>
              <w:left w:val="nil"/>
              <w:bottom w:val="nil"/>
              <w:right w:val="nil"/>
            </w:tcBorders>
            <w:shd w:val="clear" w:color="auto" w:fill="auto"/>
            <w:noWrap/>
            <w:vAlign w:val="bottom"/>
            <w:hideMark/>
          </w:tcPr>
          <w:p w14:paraId="0FFAE35E"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27,599 </w:t>
            </w:r>
          </w:p>
        </w:tc>
        <w:tc>
          <w:tcPr>
            <w:tcW w:w="647" w:type="pct"/>
            <w:tcBorders>
              <w:top w:val="nil"/>
              <w:left w:val="nil"/>
              <w:bottom w:val="nil"/>
              <w:right w:val="nil"/>
            </w:tcBorders>
            <w:shd w:val="clear" w:color="auto" w:fill="auto"/>
            <w:noWrap/>
            <w:vAlign w:val="bottom"/>
            <w:hideMark/>
          </w:tcPr>
          <w:p w14:paraId="26F15382"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31,872 </w:t>
            </w:r>
          </w:p>
        </w:tc>
      </w:tr>
      <w:tr w:rsidR="00936A7A" w:rsidRPr="00936A7A" w14:paraId="521A1327" w14:textId="77777777" w:rsidTr="00936A7A">
        <w:trPr>
          <w:trHeight w:val="400"/>
        </w:trPr>
        <w:tc>
          <w:tcPr>
            <w:tcW w:w="2411" w:type="pct"/>
            <w:tcBorders>
              <w:top w:val="nil"/>
              <w:left w:val="nil"/>
              <w:bottom w:val="nil"/>
              <w:right w:val="nil"/>
            </w:tcBorders>
            <w:shd w:val="clear" w:color="auto" w:fill="auto"/>
            <w:vAlign w:val="bottom"/>
            <w:hideMark/>
          </w:tcPr>
          <w:p w14:paraId="6AA6A6F2" w14:textId="733CD8D4" w:rsidR="00936A7A" w:rsidRPr="00936A7A" w:rsidRDefault="00936A7A" w:rsidP="00936A7A">
            <w:pPr>
              <w:spacing w:after="0" w:line="240" w:lineRule="auto"/>
              <w:ind w:firstLineChars="100" w:firstLine="160"/>
              <w:jc w:val="left"/>
              <w:rPr>
                <w:rFonts w:ascii="Arial" w:hAnsi="Arial" w:cs="Arial"/>
                <w:sz w:val="16"/>
                <w:szCs w:val="16"/>
              </w:rPr>
            </w:pPr>
            <w:r w:rsidRPr="00936A7A">
              <w:rPr>
                <w:rFonts w:ascii="Arial" w:hAnsi="Arial" w:cs="Arial"/>
                <w:sz w:val="16"/>
                <w:szCs w:val="16"/>
              </w:rPr>
              <w:t>By purchase - appropriation ordinary</w:t>
            </w:r>
            <w:r w:rsidRPr="00936A7A">
              <w:rPr>
                <w:rFonts w:ascii="Arial" w:hAnsi="Arial" w:cs="Arial"/>
                <w:sz w:val="16"/>
                <w:szCs w:val="16"/>
              </w:rPr>
              <w:br/>
              <w:t xml:space="preserve"> </w:t>
            </w:r>
            <w:r>
              <w:rPr>
                <w:rFonts w:ascii="Arial" w:hAnsi="Arial" w:cs="Arial"/>
                <w:sz w:val="16"/>
                <w:szCs w:val="16"/>
              </w:rPr>
              <w:t xml:space="preserve">    </w:t>
            </w:r>
            <w:r w:rsidRPr="00936A7A">
              <w:rPr>
                <w:rFonts w:ascii="Arial" w:hAnsi="Arial" w:cs="Arial"/>
                <w:sz w:val="16"/>
                <w:szCs w:val="16"/>
              </w:rPr>
              <w:t xml:space="preserve"> annual services - ROU assets</w:t>
            </w:r>
          </w:p>
        </w:tc>
        <w:tc>
          <w:tcPr>
            <w:tcW w:w="647" w:type="pct"/>
            <w:tcBorders>
              <w:top w:val="nil"/>
              <w:left w:val="nil"/>
              <w:bottom w:val="nil"/>
              <w:right w:val="nil"/>
            </w:tcBorders>
            <w:shd w:val="clear" w:color="auto" w:fill="auto"/>
            <w:noWrap/>
            <w:vAlign w:val="bottom"/>
            <w:hideMark/>
          </w:tcPr>
          <w:p w14:paraId="165F71D3"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496 </w:t>
            </w:r>
          </w:p>
        </w:tc>
        <w:tc>
          <w:tcPr>
            <w:tcW w:w="647" w:type="pct"/>
            <w:tcBorders>
              <w:top w:val="nil"/>
              <w:left w:val="nil"/>
              <w:bottom w:val="nil"/>
              <w:right w:val="nil"/>
            </w:tcBorders>
            <w:shd w:val="clear" w:color="auto" w:fill="auto"/>
            <w:noWrap/>
            <w:vAlign w:val="bottom"/>
            <w:hideMark/>
          </w:tcPr>
          <w:p w14:paraId="669E724F"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 </w:t>
            </w:r>
          </w:p>
        </w:tc>
        <w:tc>
          <w:tcPr>
            <w:tcW w:w="647" w:type="pct"/>
            <w:tcBorders>
              <w:top w:val="nil"/>
              <w:left w:val="nil"/>
              <w:bottom w:val="nil"/>
              <w:right w:val="nil"/>
            </w:tcBorders>
            <w:shd w:val="clear" w:color="auto" w:fill="auto"/>
            <w:noWrap/>
            <w:vAlign w:val="bottom"/>
            <w:hideMark/>
          </w:tcPr>
          <w:p w14:paraId="6794258D"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 </w:t>
            </w:r>
          </w:p>
        </w:tc>
        <w:tc>
          <w:tcPr>
            <w:tcW w:w="647" w:type="pct"/>
            <w:tcBorders>
              <w:top w:val="nil"/>
              <w:left w:val="nil"/>
              <w:bottom w:val="nil"/>
              <w:right w:val="nil"/>
            </w:tcBorders>
            <w:shd w:val="clear" w:color="auto" w:fill="auto"/>
            <w:noWrap/>
            <w:vAlign w:val="bottom"/>
            <w:hideMark/>
          </w:tcPr>
          <w:p w14:paraId="39717ECB"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496 </w:t>
            </w:r>
          </w:p>
        </w:tc>
      </w:tr>
      <w:tr w:rsidR="00936A7A" w:rsidRPr="00936A7A" w14:paraId="75E5D97E" w14:textId="77777777" w:rsidTr="00936A7A">
        <w:trPr>
          <w:trHeight w:val="210"/>
        </w:trPr>
        <w:tc>
          <w:tcPr>
            <w:tcW w:w="2411" w:type="pct"/>
            <w:tcBorders>
              <w:top w:val="nil"/>
              <w:left w:val="nil"/>
              <w:bottom w:val="nil"/>
              <w:right w:val="nil"/>
            </w:tcBorders>
            <w:shd w:val="clear" w:color="auto" w:fill="auto"/>
            <w:vAlign w:val="bottom"/>
            <w:hideMark/>
          </w:tcPr>
          <w:p w14:paraId="4D5D9E1A" w14:textId="77777777" w:rsidR="00936A7A" w:rsidRPr="00936A7A" w:rsidRDefault="00936A7A" w:rsidP="00936A7A">
            <w:pPr>
              <w:spacing w:after="0" w:line="240" w:lineRule="auto"/>
              <w:ind w:firstLineChars="100" w:firstLine="161"/>
              <w:jc w:val="left"/>
              <w:rPr>
                <w:rFonts w:ascii="Arial" w:hAnsi="Arial" w:cs="Arial"/>
                <w:b/>
                <w:bCs/>
                <w:sz w:val="16"/>
                <w:szCs w:val="16"/>
              </w:rPr>
            </w:pPr>
            <w:r w:rsidRPr="00936A7A">
              <w:rPr>
                <w:rFonts w:ascii="Arial" w:hAnsi="Arial" w:cs="Arial"/>
                <w:b/>
                <w:bCs/>
                <w:sz w:val="16"/>
                <w:szCs w:val="16"/>
              </w:rPr>
              <w:t>Total additions</w:t>
            </w:r>
          </w:p>
        </w:tc>
        <w:tc>
          <w:tcPr>
            <w:tcW w:w="647" w:type="pct"/>
            <w:tcBorders>
              <w:top w:val="single" w:sz="4" w:space="0" w:color="auto"/>
              <w:left w:val="nil"/>
              <w:bottom w:val="nil"/>
              <w:right w:val="nil"/>
            </w:tcBorders>
            <w:shd w:val="clear" w:color="auto" w:fill="auto"/>
            <w:noWrap/>
            <w:vAlign w:val="bottom"/>
            <w:hideMark/>
          </w:tcPr>
          <w:p w14:paraId="1B872A9B" w14:textId="77777777" w:rsidR="00936A7A" w:rsidRPr="00936A7A" w:rsidRDefault="00936A7A" w:rsidP="00936A7A">
            <w:pPr>
              <w:spacing w:after="0" w:line="240" w:lineRule="auto"/>
              <w:jc w:val="right"/>
              <w:rPr>
                <w:rFonts w:ascii="Arial" w:hAnsi="Arial" w:cs="Arial"/>
                <w:b/>
                <w:bCs/>
                <w:sz w:val="16"/>
                <w:szCs w:val="16"/>
              </w:rPr>
            </w:pPr>
            <w:r w:rsidRPr="00936A7A">
              <w:rPr>
                <w:rFonts w:ascii="Arial" w:hAnsi="Arial" w:cs="Arial"/>
                <w:b/>
                <w:bCs/>
                <w:sz w:val="16"/>
                <w:szCs w:val="16"/>
              </w:rPr>
              <w:t xml:space="preserve">3,898 </w:t>
            </w:r>
          </w:p>
        </w:tc>
        <w:tc>
          <w:tcPr>
            <w:tcW w:w="647" w:type="pct"/>
            <w:tcBorders>
              <w:top w:val="single" w:sz="4" w:space="0" w:color="auto"/>
              <w:left w:val="nil"/>
              <w:bottom w:val="nil"/>
              <w:right w:val="nil"/>
            </w:tcBorders>
            <w:shd w:val="clear" w:color="auto" w:fill="auto"/>
            <w:noWrap/>
            <w:vAlign w:val="bottom"/>
            <w:hideMark/>
          </w:tcPr>
          <w:p w14:paraId="2B7A4A03" w14:textId="77777777" w:rsidR="00936A7A" w:rsidRPr="00936A7A" w:rsidRDefault="00936A7A" w:rsidP="00936A7A">
            <w:pPr>
              <w:spacing w:after="0" w:line="240" w:lineRule="auto"/>
              <w:jc w:val="right"/>
              <w:rPr>
                <w:rFonts w:ascii="Arial" w:hAnsi="Arial" w:cs="Arial"/>
                <w:b/>
                <w:bCs/>
                <w:sz w:val="16"/>
                <w:szCs w:val="16"/>
              </w:rPr>
            </w:pPr>
            <w:r w:rsidRPr="00936A7A">
              <w:rPr>
                <w:rFonts w:ascii="Arial" w:hAnsi="Arial" w:cs="Arial"/>
                <w:b/>
                <w:bCs/>
                <w:sz w:val="16"/>
                <w:szCs w:val="16"/>
              </w:rPr>
              <w:t xml:space="preserve">871 </w:t>
            </w:r>
          </w:p>
        </w:tc>
        <w:tc>
          <w:tcPr>
            <w:tcW w:w="647" w:type="pct"/>
            <w:tcBorders>
              <w:top w:val="single" w:sz="4" w:space="0" w:color="auto"/>
              <w:left w:val="nil"/>
              <w:bottom w:val="nil"/>
              <w:right w:val="nil"/>
            </w:tcBorders>
            <w:shd w:val="clear" w:color="auto" w:fill="auto"/>
            <w:noWrap/>
            <w:vAlign w:val="bottom"/>
            <w:hideMark/>
          </w:tcPr>
          <w:p w14:paraId="0D76166E" w14:textId="77777777" w:rsidR="00936A7A" w:rsidRPr="00936A7A" w:rsidRDefault="00936A7A" w:rsidP="00936A7A">
            <w:pPr>
              <w:spacing w:after="0" w:line="240" w:lineRule="auto"/>
              <w:jc w:val="right"/>
              <w:rPr>
                <w:rFonts w:ascii="Arial" w:hAnsi="Arial" w:cs="Arial"/>
                <w:b/>
                <w:bCs/>
                <w:sz w:val="16"/>
                <w:szCs w:val="16"/>
              </w:rPr>
            </w:pPr>
            <w:r w:rsidRPr="00936A7A">
              <w:rPr>
                <w:rFonts w:ascii="Arial" w:hAnsi="Arial" w:cs="Arial"/>
                <w:b/>
                <w:bCs/>
                <w:sz w:val="16"/>
                <w:szCs w:val="16"/>
              </w:rPr>
              <w:t xml:space="preserve">28,199 </w:t>
            </w:r>
          </w:p>
        </w:tc>
        <w:tc>
          <w:tcPr>
            <w:tcW w:w="647" w:type="pct"/>
            <w:tcBorders>
              <w:top w:val="single" w:sz="4" w:space="0" w:color="auto"/>
              <w:left w:val="nil"/>
              <w:bottom w:val="nil"/>
              <w:right w:val="nil"/>
            </w:tcBorders>
            <w:shd w:val="clear" w:color="auto" w:fill="auto"/>
            <w:noWrap/>
            <w:vAlign w:val="bottom"/>
            <w:hideMark/>
          </w:tcPr>
          <w:p w14:paraId="06473C6D" w14:textId="77777777" w:rsidR="00936A7A" w:rsidRPr="00936A7A" w:rsidRDefault="00936A7A" w:rsidP="00936A7A">
            <w:pPr>
              <w:spacing w:after="0" w:line="240" w:lineRule="auto"/>
              <w:jc w:val="right"/>
              <w:rPr>
                <w:rFonts w:ascii="Arial" w:hAnsi="Arial" w:cs="Arial"/>
                <w:b/>
                <w:bCs/>
                <w:sz w:val="16"/>
                <w:szCs w:val="16"/>
              </w:rPr>
            </w:pPr>
            <w:r w:rsidRPr="00936A7A">
              <w:rPr>
                <w:rFonts w:ascii="Arial" w:hAnsi="Arial" w:cs="Arial"/>
                <w:b/>
                <w:bCs/>
                <w:sz w:val="16"/>
                <w:szCs w:val="16"/>
              </w:rPr>
              <w:t xml:space="preserve">32,968 </w:t>
            </w:r>
          </w:p>
        </w:tc>
      </w:tr>
      <w:tr w:rsidR="00936A7A" w:rsidRPr="00936A7A" w14:paraId="27AF4775" w14:textId="77777777" w:rsidTr="00936A7A">
        <w:trPr>
          <w:trHeight w:val="210"/>
        </w:trPr>
        <w:tc>
          <w:tcPr>
            <w:tcW w:w="2411" w:type="pct"/>
            <w:tcBorders>
              <w:top w:val="nil"/>
              <w:left w:val="nil"/>
              <w:bottom w:val="nil"/>
              <w:right w:val="nil"/>
            </w:tcBorders>
            <w:shd w:val="clear" w:color="auto" w:fill="auto"/>
            <w:vAlign w:val="bottom"/>
            <w:hideMark/>
          </w:tcPr>
          <w:p w14:paraId="0DD5A3F3" w14:textId="77777777" w:rsidR="00936A7A" w:rsidRPr="00936A7A" w:rsidRDefault="00936A7A" w:rsidP="00936A7A">
            <w:pPr>
              <w:spacing w:after="0" w:line="240" w:lineRule="auto"/>
              <w:ind w:firstLineChars="100" w:firstLine="161"/>
              <w:jc w:val="left"/>
              <w:rPr>
                <w:rFonts w:ascii="Arial" w:hAnsi="Arial" w:cs="Arial"/>
                <w:b/>
                <w:bCs/>
                <w:sz w:val="16"/>
                <w:szCs w:val="16"/>
              </w:rPr>
            </w:pPr>
            <w:r w:rsidRPr="00936A7A">
              <w:rPr>
                <w:rFonts w:ascii="Arial" w:hAnsi="Arial" w:cs="Arial"/>
                <w:b/>
                <w:bCs/>
                <w:sz w:val="16"/>
                <w:szCs w:val="16"/>
              </w:rPr>
              <w:t>Other movements</w:t>
            </w:r>
          </w:p>
        </w:tc>
        <w:tc>
          <w:tcPr>
            <w:tcW w:w="647" w:type="pct"/>
            <w:tcBorders>
              <w:top w:val="single" w:sz="4" w:space="0" w:color="auto"/>
              <w:left w:val="nil"/>
              <w:bottom w:val="nil"/>
              <w:right w:val="nil"/>
            </w:tcBorders>
            <w:shd w:val="clear" w:color="auto" w:fill="auto"/>
            <w:noWrap/>
            <w:vAlign w:val="bottom"/>
            <w:hideMark/>
          </w:tcPr>
          <w:p w14:paraId="57FF476A" w14:textId="77777777" w:rsidR="00936A7A" w:rsidRPr="00936A7A" w:rsidRDefault="00936A7A" w:rsidP="00936A7A">
            <w:pPr>
              <w:spacing w:after="0" w:line="240" w:lineRule="auto"/>
              <w:jc w:val="left"/>
              <w:rPr>
                <w:rFonts w:ascii="Arial" w:hAnsi="Arial" w:cs="Arial"/>
                <w:b/>
                <w:bCs/>
                <w:sz w:val="16"/>
                <w:szCs w:val="16"/>
              </w:rPr>
            </w:pPr>
            <w:r w:rsidRPr="00936A7A">
              <w:rPr>
                <w:rFonts w:ascii="Arial" w:hAnsi="Arial" w:cs="Arial"/>
                <w:b/>
                <w:bCs/>
                <w:sz w:val="16"/>
                <w:szCs w:val="16"/>
              </w:rPr>
              <w:t> </w:t>
            </w:r>
          </w:p>
        </w:tc>
        <w:tc>
          <w:tcPr>
            <w:tcW w:w="647" w:type="pct"/>
            <w:tcBorders>
              <w:top w:val="single" w:sz="4" w:space="0" w:color="auto"/>
              <w:left w:val="nil"/>
              <w:bottom w:val="nil"/>
              <w:right w:val="nil"/>
            </w:tcBorders>
            <w:shd w:val="clear" w:color="auto" w:fill="auto"/>
            <w:noWrap/>
            <w:vAlign w:val="bottom"/>
            <w:hideMark/>
          </w:tcPr>
          <w:p w14:paraId="776398CD" w14:textId="77777777" w:rsidR="00936A7A" w:rsidRPr="00936A7A" w:rsidRDefault="00936A7A" w:rsidP="00936A7A">
            <w:pPr>
              <w:spacing w:after="0" w:line="240" w:lineRule="auto"/>
              <w:jc w:val="left"/>
              <w:rPr>
                <w:rFonts w:ascii="Arial" w:hAnsi="Arial" w:cs="Arial"/>
                <w:b/>
                <w:bCs/>
                <w:sz w:val="16"/>
                <w:szCs w:val="16"/>
              </w:rPr>
            </w:pPr>
            <w:r w:rsidRPr="00936A7A">
              <w:rPr>
                <w:rFonts w:ascii="Arial" w:hAnsi="Arial" w:cs="Arial"/>
                <w:b/>
                <w:bCs/>
                <w:sz w:val="16"/>
                <w:szCs w:val="16"/>
              </w:rPr>
              <w:t> </w:t>
            </w:r>
          </w:p>
        </w:tc>
        <w:tc>
          <w:tcPr>
            <w:tcW w:w="647" w:type="pct"/>
            <w:tcBorders>
              <w:top w:val="single" w:sz="4" w:space="0" w:color="auto"/>
              <w:left w:val="nil"/>
              <w:bottom w:val="nil"/>
              <w:right w:val="nil"/>
            </w:tcBorders>
            <w:shd w:val="clear" w:color="auto" w:fill="auto"/>
            <w:noWrap/>
            <w:vAlign w:val="bottom"/>
            <w:hideMark/>
          </w:tcPr>
          <w:p w14:paraId="42E9F4DF" w14:textId="77777777" w:rsidR="00936A7A" w:rsidRPr="00936A7A" w:rsidRDefault="00936A7A" w:rsidP="00936A7A">
            <w:pPr>
              <w:spacing w:after="0" w:line="240" w:lineRule="auto"/>
              <w:jc w:val="left"/>
              <w:rPr>
                <w:rFonts w:ascii="Arial" w:hAnsi="Arial" w:cs="Arial"/>
                <w:b/>
                <w:bCs/>
                <w:sz w:val="16"/>
                <w:szCs w:val="16"/>
              </w:rPr>
            </w:pPr>
            <w:r w:rsidRPr="00936A7A">
              <w:rPr>
                <w:rFonts w:ascii="Arial" w:hAnsi="Arial" w:cs="Arial"/>
                <w:b/>
                <w:bCs/>
                <w:sz w:val="16"/>
                <w:szCs w:val="16"/>
              </w:rPr>
              <w:t> </w:t>
            </w:r>
          </w:p>
        </w:tc>
        <w:tc>
          <w:tcPr>
            <w:tcW w:w="647" w:type="pct"/>
            <w:tcBorders>
              <w:top w:val="single" w:sz="4" w:space="0" w:color="auto"/>
              <w:left w:val="nil"/>
              <w:bottom w:val="nil"/>
              <w:right w:val="nil"/>
            </w:tcBorders>
            <w:shd w:val="clear" w:color="auto" w:fill="auto"/>
            <w:noWrap/>
            <w:vAlign w:val="bottom"/>
            <w:hideMark/>
          </w:tcPr>
          <w:p w14:paraId="2463E75B" w14:textId="77777777" w:rsidR="00936A7A" w:rsidRPr="00936A7A" w:rsidRDefault="00936A7A" w:rsidP="00936A7A">
            <w:pPr>
              <w:spacing w:after="0" w:line="240" w:lineRule="auto"/>
              <w:jc w:val="left"/>
              <w:rPr>
                <w:rFonts w:ascii="Arial" w:hAnsi="Arial" w:cs="Arial"/>
                <w:b/>
                <w:bCs/>
                <w:sz w:val="16"/>
                <w:szCs w:val="16"/>
              </w:rPr>
            </w:pPr>
            <w:r w:rsidRPr="00936A7A">
              <w:rPr>
                <w:rFonts w:ascii="Arial" w:hAnsi="Arial" w:cs="Arial"/>
                <w:b/>
                <w:bCs/>
                <w:sz w:val="16"/>
                <w:szCs w:val="16"/>
              </w:rPr>
              <w:t> </w:t>
            </w:r>
          </w:p>
        </w:tc>
      </w:tr>
      <w:tr w:rsidR="00936A7A" w:rsidRPr="00936A7A" w14:paraId="130D5497" w14:textId="77777777" w:rsidTr="00936A7A">
        <w:trPr>
          <w:trHeight w:val="200"/>
        </w:trPr>
        <w:tc>
          <w:tcPr>
            <w:tcW w:w="2411" w:type="pct"/>
            <w:tcBorders>
              <w:top w:val="nil"/>
              <w:left w:val="nil"/>
              <w:bottom w:val="nil"/>
              <w:right w:val="nil"/>
            </w:tcBorders>
            <w:shd w:val="clear" w:color="auto" w:fill="auto"/>
            <w:vAlign w:val="bottom"/>
            <w:hideMark/>
          </w:tcPr>
          <w:p w14:paraId="0A550C3A" w14:textId="77777777" w:rsidR="00936A7A" w:rsidRPr="00936A7A" w:rsidRDefault="00936A7A" w:rsidP="00936A7A">
            <w:pPr>
              <w:spacing w:after="0" w:line="240" w:lineRule="auto"/>
              <w:ind w:firstLineChars="100" w:firstLine="160"/>
              <w:jc w:val="left"/>
              <w:rPr>
                <w:rFonts w:ascii="Arial" w:hAnsi="Arial" w:cs="Arial"/>
                <w:sz w:val="16"/>
                <w:szCs w:val="16"/>
              </w:rPr>
            </w:pPr>
            <w:r w:rsidRPr="00936A7A">
              <w:rPr>
                <w:rFonts w:ascii="Arial" w:hAnsi="Arial" w:cs="Arial"/>
                <w:sz w:val="16"/>
                <w:szCs w:val="16"/>
              </w:rPr>
              <w:t>Depreciation/amortisation expense</w:t>
            </w:r>
          </w:p>
        </w:tc>
        <w:tc>
          <w:tcPr>
            <w:tcW w:w="647" w:type="pct"/>
            <w:tcBorders>
              <w:top w:val="nil"/>
              <w:left w:val="nil"/>
              <w:bottom w:val="nil"/>
              <w:right w:val="nil"/>
            </w:tcBorders>
            <w:shd w:val="clear" w:color="auto" w:fill="auto"/>
            <w:noWrap/>
            <w:vAlign w:val="bottom"/>
            <w:hideMark/>
          </w:tcPr>
          <w:p w14:paraId="7BC2D3CD"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(3,676)</w:t>
            </w:r>
          </w:p>
        </w:tc>
        <w:tc>
          <w:tcPr>
            <w:tcW w:w="647" w:type="pct"/>
            <w:tcBorders>
              <w:top w:val="nil"/>
              <w:left w:val="nil"/>
              <w:bottom w:val="nil"/>
              <w:right w:val="nil"/>
            </w:tcBorders>
            <w:shd w:val="clear" w:color="auto" w:fill="auto"/>
            <w:noWrap/>
            <w:vAlign w:val="bottom"/>
            <w:hideMark/>
          </w:tcPr>
          <w:p w14:paraId="7C444B4B"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(1,627)</w:t>
            </w:r>
          </w:p>
        </w:tc>
        <w:tc>
          <w:tcPr>
            <w:tcW w:w="647" w:type="pct"/>
            <w:tcBorders>
              <w:top w:val="nil"/>
              <w:left w:val="nil"/>
              <w:bottom w:val="nil"/>
              <w:right w:val="nil"/>
            </w:tcBorders>
            <w:shd w:val="clear" w:color="auto" w:fill="auto"/>
            <w:noWrap/>
            <w:vAlign w:val="bottom"/>
            <w:hideMark/>
          </w:tcPr>
          <w:p w14:paraId="630964C5"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(4,664)</w:t>
            </w:r>
          </w:p>
        </w:tc>
        <w:tc>
          <w:tcPr>
            <w:tcW w:w="647" w:type="pct"/>
            <w:tcBorders>
              <w:top w:val="nil"/>
              <w:left w:val="nil"/>
              <w:bottom w:val="nil"/>
              <w:right w:val="nil"/>
            </w:tcBorders>
            <w:shd w:val="clear" w:color="auto" w:fill="auto"/>
            <w:noWrap/>
            <w:vAlign w:val="bottom"/>
            <w:hideMark/>
          </w:tcPr>
          <w:p w14:paraId="7A6BC263"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(9,967)</w:t>
            </w:r>
          </w:p>
        </w:tc>
      </w:tr>
      <w:tr w:rsidR="00936A7A" w:rsidRPr="00936A7A" w14:paraId="5165A9A7" w14:textId="77777777" w:rsidTr="00936A7A">
        <w:trPr>
          <w:trHeight w:val="400"/>
        </w:trPr>
        <w:tc>
          <w:tcPr>
            <w:tcW w:w="2411" w:type="pct"/>
            <w:tcBorders>
              <w:top w:val="nil"/>
              <w:left w:val="nil"/>
              <w:bottom w:val="nil"/>
              <w:right w:val="nil"/>
            </w:tcBorders>
            <w:shd w:val="clear" w:color="auto" w:fill="auto"/>
            <w:vAlign w:val="bottom"/>
            <w:hideMark/>
          </w:tcPr>
          <w:p w14:paraId="0172EBD1" w14:textId="475A9F2C" w:rsidR="00936A7A" w:rsidRPr="00936A7A" w:rsidRDefault="00936A7A" w:rsidP="00936A7A">
            <w:pPr>
              <w:spacing w:after="0" w:line="240" w:lineRule="auto"/>
              <w:ind w:firstLineChars="100" w:firstLine="160"/>
              <w:jc w:val="left"/>
              <w:rPr>
                <w:rFonts w:ascii="Arial" w:hAnsi="Arial" w:cs="Arial"/>
                <w:sz w:val="16"/>
                <w:szCs w:val="16"/>
              </w:rPr>
            </w:pPr>
            <w:r w:rsidRPr="00936A7A">
              <w:rPr>
                <w:rFonts w:ascii="Arial" w:hAnsi="Arial" w:cs="Arial"/>
                <w:sz w:val="16"/>
                <w:szCs w:val="16"/>
              </w:rPr>
              <w:t xml:space="preserve">Depreciation/amortisation on </w:t>
            </w:r>
            <w:r w:rsidRPr="00936A7A">
              <w:rPr>
                <w:rFonts w:ascii="Arial" w:hAnsi="Arial" w:cs="Arial"/>
                <w:sz w:val="16"/>
                <w:szCs w:val="16"/>
              </w:rPr>
              <w:br/>
              <w:t xml:space="preserve"> </w:t>
            </w:r>
            <w:r>
              <w:rPr>
                <w:rFonts w:ascii="Arial" w:hAnsi="Arial" w:cs="Arial"/>
                <w:sz w:val="16"/>
                <w:szCs w:val="16"/>
              </w:rPr>
              <w:t xml:space="preserve">     </w:t>
            </w:r>
            <w:r w:rsidRPr="00936A7A">
              <w:rPr>
                <w:rFonts w:ascii="Arial" w:hAnsi="Arial" w:cs="Arial"/>
                <w:sz w:val="16"/>
                <w:szCs w:val="16"/>
              </w:rPr>
              <w:t>ROU assets</w:t>
            </w:r>
          </w:p>
        </w:tc>
        <w:tc>
          <w:tcPr>
            <w:tcW w:w="647" w:type="pct"/>
            <w:tcBorders>
              <w:top w:val="nil"/>
              <w:left w:val="nil"/>
              <w:bottom w:val="nil"/>
              <w:right w:val="nil"/>
            </w:tcBorders>
            <w:shd w:val="clear" w:color="auto" w:fill="auto"/>
            <w:noWrap/>
            <w:vAlign w:val="bottom"/>
            <w:hideMark/>
          </w:tcPr>
          <w:p w14:paraId="30CD64ED"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(13,228)</w:t>
            </w:r>
          </w:p>
        </w:tc>
        <w:tc>
          <w:tcPr>
            <w:tcW w:w="647" w:type="pct"/>
            <w:tcBorders>
              <w:top w:val="nil"/>
              <w:left w:val="nil"/>
              <w:bottom w:val="nil"/>
              <w:right w:val="nil"/>
            </w:tcBorders>
            <w:shd w:val="clear" w:color="auto" w:fill="auto"/>
            <w:noWrap/>
            <w:vAlign w:val="bottom"/>
            <w:hideMark/>
          </w:tcPr>
          <w:p w14:paraId="52A5B42F"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 </w:t>
            </w:r>
          </w:p>
        </w:tc>
        <w:tc>
          <w:tcPr>
            <w:tcW w:w="647" w:type="pct"/>
            <w:tcBorders>
              <w:top w:val="nil"/>
              <w:left w:val="nil"/>
              <w:bottom w:val="nil"/>
              <w:right w:val="nil"/>
            </w:tcBorders>
            <w:shd w:val="clear" w:color="auto" w:fill="auto"/>
            <w:noWrap/>
            <w:vAlign w:val="bottom"/>
            <w:hideMark/>
          </w:tcPr>
          <w:p w14:paraId="39FE5D7B"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 </w:t>
            </w:r>
          </w:p>
        </w:tc>
        <w:tc>
          <w:tcPr>
            <w:tcW w:w="647" w:type="pct"/>
            <w:tcBorders>
              <w:top w:val="nil"/>
              <w:left w:val="nil"/>
              <w:bottom w:val="nil"/>
              <w:right w:val="nil"/>
            </w:tcBorders>
            <w:shd w:val="clear" w:color="auto" w:fill="auto"/>
            <w:noWrap/>
            <w:vAlign w:val="bottom"/>
            <w:hideMark/>
          </w:tcPr>
          <w:p w14:paraId="6E551724"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(13,228)</w:t>
            </w:r>
          </w:p>
        </w:tc>
      </w:tr>
      <w:tr w:rsidR="00936A7A" w:rsidRPr="00936A7A" w14:paraId="2650E38A" w14:textId="77777777" w:rsidTr="00936A7A">
        <w:trPr>
          <w:trHeight w:val="210"/>
        </w:trPr>
        <w:tc>
          <w:tcPr>
            <w:tcW w:w="2411" w:type="pct"/>
            <w:tcBorders>
              <w:top w:val="nil"/>
              <w:left w:val="nil"/>
              <w:bottom w:val="nil"/>
              <w:right w:val="nil"/>
            </w:tcBorders>
            <w:shd w:val="clear" w:color="auto" w:fill="auto"/>
            <w:vAlign w:val="bottom"/>
            <w:hideMark/>
          </w:tcPr>
          <w:p w14:paraId="442A42F6" w14:textId="77777777" w:rsidR="00936A7A" w:rsidRPr="00936A7A" w:rsidRDefault="00936A7A" w:rsidP="00936A7A">
            <w:pPr>
              <w:spacing w:after="0" w:line="240" w:lineRule="auto"/>
              <w:ind w:firstLineChars="100" w:firstLine="161"/>
              <w:jc w:val="left"/>
              <w:rPr>
                <w:rFonts w:ascii="Arial" w:hAnsi="Arial" w:cs="Arial"/>
                <w:b/>
                <w:bCs/>
                <w:sz w:val="16"/>
                <w:szCs w:val="16"/>
              </w:rPr>
            </w:pPr>
            <w:r w:rsidRPr="00936A7A">
              <w:rPr>
                <w:rFonts w:ascii="Arial" w:hAnsi="Arial" w:cs="Arial"/>
                <w:b/>
                <w:bCs/>
                <w:sz w:val="16"/>
                <w:szCs w:val="16"/>
              </w:rPr>
              <w:t>Total other movements</w:t>
            </w:r>
          </w:p>
        </w:tc>
        <w:tc>
          <w:tcPr>
            <w:tcW w:w="647" w:type="pct"/>
            <w:tcBorders>
              <w:top w:val="single" w:sz="4" w:space="0" w:color="auto"/>
              <w:left w:val="nil"/>
              <w:bottom w:val="single" w:sz="4" w:space="0" w:color="auto"/>
              <w:right w:val="nil"/>
            </w:tcBorders>
            <w:shd w:val="clear" w:color="auto" w:fill="auto"/>
            <w:noWrap/>
            <w:vAlign w:val="bottom"/>
            <w:hideMark/>
          </w:tcPr>
          <w:p w14:paraId="2457A24C" w14:textId="77777777" w:rsidR="00936A7A" w:rsidRPr="00936A7A" w:rsidRDefault="00936A7A" w:rsidP="00936A7A">
            <w:pPr>
              <w:spacing w:after="0" w:line="240" w:lineRule="auto"/>
              <w:jc w:val="right"/>
              <w:rPr>
                <w:rFonts w:ascii="Arial" w:hAnsi="Arial" w:cs="Arial"/>
                <w:b/>
                <w:bCs/>
                <w:sz w:val="16"/>
                <w:szCs w:val="16"/>
              </w:rPr>
            </w:pPr>
            <w:r w:rsidRPr="00936A7A">
              <w:rPr>
                <w:rFonts w:ascii="Arial" w:hAnsi="Arial" w:cs="Arial"/>
                <w:b/>
                <w:bCs/>
                <w:sz w:val="16"/>
                <w:szCs w:val="16"/>
              </w:rPr>
              <w:t>(16,904)</w:t>
            </w:r>
          </w:p>
        </w:tc>
        <w:tc>
          <w:tcPr>
            <w:tcW w:w="647" w:type="pct"/>
            <w:tcBorders>
              <w:top w:val="single" w:sz="4" w:space="0" w:color="auto"/>
              <w:left w:val="nil"/>
              <w:bottom w:val="single" w:sz="4" w:space="0" w:color="auto"/>
              <w:right w:val="nil"/>
            </w:tcBorders>
            <w:shd w:val="clear" w:color="auto" w:fill="auto"/>
            <w:noWrap/>
            <w:vAlign w:val="bottom"/>
            <w:hideMark/>
          </w:tcPr>
          <w:p w14:paraId="50FA09A9" w14:textId="77777777" w:rsidR="00936A7A" w:rsidRPr="00936A7A" w:rsidRDefault="00936A7A" w:rsidP="00936A7A">
            <w:pPr>
              <w:spacing w:after="0" w:line="240" w:lineRule="auto"/>
              <w:jc w:val="right"/>
              <w:rPr>
                <w:rFonts w:ascii="Arial" w:hAnsi="Arial" w:cs="Arial"/>
                <w:b/>
                <w:bCs/>
                <w:sz w:val="16"/>
                <w:szCs w:val="16"/>
              </w:rPr>
            </w:pPr>
            <w:r w:rsidRPr="00936A7A">
              <w:rPr>
                <w:rFonts w:ascii="Arial" w:hAnsi="Arial" w:cs="Arial"/>
                <w:b/>
                <w:bCs/>
                <w:sz w:val="16"/>
                <w:szCs w:val="16"/>
              </w:rPr>
              <w:t>(1,627)</w:t>
            </w:r>
          </w:p>
        </w:tc>
        <w:tc>
          <w:tcPr>
            <w:tcW w:w="647" w:type="pct"/>
            <w:tcBorders>
              <w:top w:val="single" w:sz="4" w:space="0" w:color="auto"/>
              <w:left w:val="nil"/>
              <w:bottom w:val="single" w:sz="4" w:space="0" w:color="auto"/>
              <w:right w:val="nil"/>
            </w:tcBorders>
            <w:shd w:val="clear" w:color="auto" w:fill="auto"/>
            <w:noWrap/>
            <w:vAlign w:val="bottom"/>
            <w:hideMark/>
          </w:tcPr>
          <w:p w14:paraId="2351803F" w14:textId="77777777" w:rsidR="00936A7A" w:rsidRPr="00936A7A" w:rsidRDefault="00936A7A" w:rsidP="00936A7A">
            <w:pPr>
              <w:spacing w:after="0" w:line="240" w:lineRule="auto"/>
              <w:jc w:val="right"/>
              <w:rPr>
                <w:rFonts w:ascii="Arial" w:hAnsi="Arial" w:cs="Arial"/>
                <w:b/>
                <w:bCs/>
                <w:sz w:val="16"/>
                <w:szCs w:val="16"/>
              </w:rPr>
            </w:pPr>
            <w:r w:rsidRPr="00936A7A">
              <w:rPr>
                <w:rFonts w:ascii="Arial" w:hAnsi="Arial" w:cs="Arial"/>
                <w:b/>
                <w:bCs/>
                <w:sz w:val="16"/>
                <w:szCs w:val="16"/>
              </w:rPr>
              <w:t>(4,664)</w:t>
            </w:r>
          </w:p>
        </w:tc>
        <w:tc>
          <w:tcPr>
            <w:tcW w:w="647" w:type="pct"/>
            <w:tcBorders>
              <w:top w:val="single" w:sz="4" w:space="0" w:color="auto"/>
              <w:left w:val="nil"/>
              <w:bottom w:val="single" w:sz="4" w:space="0" w:color="auto"/>
              <w:right w:val="nil"/>
            </w:tcBorders>
            <w:shd w:val="clear" w:color="auto" w:fill="auto"/>
            <w:noWrap/>
            <w:vAlign w:val="bottom"/>
            <w:hideMark/>
          </w:tcPr>
          <w:p w14:paraId="08B1C14A" w14:textId="77777777" w:rsidR="00936A7A" w:rsidRPr="00936A7A" w:rsidRDefault="00936A7A" w:rsidP="00936A7A">
            <w:pPr>
              <w:spacing w:after="0" w:line="240" w:lineRule="auto"/>
              <w:jc w:val="right"/>
              <w:rPr>
                <w:rFonts w:ascii="Arial" w:hAnsi="Arial" w:cs="Arial"/>
                <w:b/>
                <w:bCs/>
                <w:sz w:val="16"/>
                <w:szCs w:val="16"/>
              </w:rPr>
            </w:pPr>
            <w:r w:rsidRPr="00936A7A">
              <w:rPr>
                <w:rFonts w:ascii="Arial" w:hAnsi="Arial" w:cs="Arial"/>
                <w:b/>
                <w:bCs/>
                <w:sz w:val="16"/>
                <w:szCs w:val="16"/>
              </w:rPr>
              <w:t>(23,195)</w:t>
            </w:r>
          </w:p>
        </w:tc>
      </w:tr>
      <w:tr w:rsidR="00936A7A" w:rsidRPr="00936A7A" w14:paraId="235E185B" w14:textId="77777777" w:rsidTr="00936A7A">
        <w:trPr>
          <w:trHeight w:val="210"/>
        </w:trPr>
        <w:tc>
          <w:tcPr>
            <w:tcW w:w="2411" w:type="pct"/>
            <w:tcBorders>
              <w:top w:val="nil"/>
              <w:left w:val="nil"/>
              <w:bottom w:val="nil"/>
              <w:right w:val="nil"/>
            </w:tcBorders>
            <w:shd w:val="clear" w:color="auto" w:fill="auto"/>
            <w:vAlign w:val="bottom"/>
            <w:hideMark/>
          </w:tcPr>
          <w:p w14:paraId="0835ECB1" w14:textId="77777777" w:rsidR="00936A7A" w:rsidRPr="00936A7A" w:rsidRDefault="00936A7A" w:rsidP="00936A7A">
            <w:pPr>
              <w:spacing w:after="0" w:line="240" w:lineRule="auto"/>
              <w:jc w:val="left"/>
              <w:rPr>
                <w:rFonts w:ascii="Arial" w:hAnsi="Arial" w:cs="Arial"/>
                <w:b/>
                <w:bCs/>
                <w:sz w:val="16"/>
                <w:szCs w:val="16"/>
              </w:rPr>
            </w:pPr>
            <w:r w:rsidRPr="00936A7A">
              <w:rPr>
                <w:rFonts w:ascii="Arial" w:hAnsi="Arial" w:cs="Arial"/>
                <w:b/>
                <w:bCs/>
                <w:sz w:val="16"/>
                <w:szCs w:val="16"/>
              </w:rPr>
              <w:t>As at 30 June 2022</w:t>
            </w:r>
          </w:p>
        </w:tc>
        <w:tc>
          <w:tcPr>
            <w:tcW w:w="647" w:type="pct"/>
            <w:tcBorders>
              <w:top w:val="nil"/>
              <w:left w:val="nil"/>
              <w:bottom w:val="nil"/>
              <w:right w:val="nil"/>
            </w:tcBorders>
            <w:shd w:val="clear" w:color="auto" w:fill="auto"/>
            <w:noWrap/>
            <w:vAlign w:val="bottom"/>
            <w:hideMark/>
          </w:tcPr>
          <w:p w14:paraId="17C607B0" w14:textId="77777777" w:rsidR="00936A7A" w:rsidRPr="00936A7A" w:rsidRDefault="00936A7A" w:rsidP="00936A7A">
            <w:pPr>
              <w:spacing w:after="0" w:line="240" w:lineRule="auto"/>
              <w:jc w:val="left"/>
              <w:rPr>
                <w:rFonts w:ascii="Arial" w:hAnsi="Arial" w:cs="Arial"/>
                <w:b/>
                <w:bCs/>
                <w:sz w:val="16"/>
                <w:szCs w:val="16"/>
              </w:rPr>
            </w:pPr>
          </w:p>
        </w:tc>
        <w:tc>
          <w:tcPr>
            <w:tcW w:w="647" w:type="pct"/>
            <w:tcBorders>
              <w:top w:val="nil"/>
              <w:left w:val="nil"/>
              <w:bottom w:val="nil"/>
              <w:right w:val="nil"/>
            </w:tcBorders>
            <w:shd w:val="clear" w:color="auto" w:fill="auto"/>
            <w:noWrap/>
            <w:vAlign w:val="bottom"/>
            <w:hideMark/>
          </w:tcPr>
          <w:p w14:paraId="2321A60F" w14:textId="77777777" w:rsidR="00936A7A" w:rsidRPr="00936A7A" w:rsidRDefault="00936A7A" w:rsidP="00936A7A">
            <w:pPr>
              <w:spacing w:after="0" w:line="240" w:lineRule="auto"/>
              <w:jc w:val="left"/>
              <w:rPr>
                <w:rFonts w:ascii="Times New Roman" w:hAnsi="Times New Roman"/>
              </w:rPr>
            </w:pPr>
          </w:p>
        </w:tc>
        <w:tc>
          <w:tcPr>
            <w:tcW w:w="647" w:type="pct"/>
            <w:tcBorders>
              <w:top w:val="nil"/>
              <w:left w:val="nil"/>
              <w:bottom w:val="nil"/>
              <w:right w:val="nil"/>
            </w:tcBorders>
            <w:shd w:val="clear" w:color="auto" w:fill="auto"/>
            <w:noWrap/>
            <w:vAlign w:val="bottom"/>
            <w:hideMark/>
          </w:tcPr>
          <w:p w14:paraId="5CEC4CFD" w14:textId="77777777" w:rsidR="00936A7A" w:rsidRPr="00936A7A" w:rsidRDefault="00936A7A" w:rsidP="00936A7A">
            <w:pPr>
              <w:spacing w:after="0" w:line="240" w:lineRule="auto"/>
              <w:jc w:val="left"/>
              <w:rPr>
                <w:rFonts w:ascii="Times New Roman" w:hAnsi="Times New Roman"/>
              </w:rPr>
            </w:pPr>
          </w:p>
        </w:tc>
        <w:tc>
          <w:tcPr>
            <w:tcW w:w="647" w:type="pct"/>
            <w:tcBorders>
              <w:top w:val="nil"/>
              <w:left w:val="nil"/>
              <w:bottom w:val="nil"/>
              <w:right w:val="nil"/>
            </w:tcBorders>
            <w:shd w:val="clear" w:color="auto" w:fill="auto"/>
            <w:noWrap/>
            <w:vAlign w:val="bottom"/>
            <w:hideMark/>
          </w:tcPr>
          <w:p w14:paraId="705260F2" w14:textId="77777777" w:rsidR="00936A7A" w:rsidRPr="00936A7A" w:rsidRDefault="00936A7A" w:rsidP="00936A7A">
            <w:pPr>
              <w:spacing w:after="0" w:line="240" w:lineRule="auto"/>
              <w:jc w:val="left"/>
              <w:rPr>
                <w:rFonts w:ascii="Times New Roman" w:hAnsi="Times New Roman"/>
              </w:rPr>
            </w:pPr>
          </w:p>
        </w:tc>
      </w:tr>
      <w:tr w:rsidR="00936A7A" w:rsidRPr="00936A7A" w14:paraId="6810B570" w14:textId="77777777" w:rsidTr="00936A7A">
        <w:trPr>
          <w:trHeight w:val="200"/>
        </w:trPr>
        <w:tc>
          <w:tcPr>
            <w:tcW w:w="2411" w:type="pct"/>
            <w:tcBorders>
              <w:top w:val="nil"/>
              <w:left w:val="nil"/>
              <w:bottom w:val="nil"/>
              <w:right w:val="nil"/>
            </w:tcBorders>
            <w:shd w:val="clear" w:color="auto" w:fill="auto"/>
            <w:vAlign w:val="bottom"/>
            <w:hideMark/>
          </w:tcPr>
          <w:p w14:paraId="6BD91906" w14:textId="77777777" w:rsidR="00936A7A" w:rsidRPr="00936A7A" w:rsidRDefault="00936A7A" w:rsidP="00936A7A">
            <w:pPr>
              <w:spacing w:after="0" w:line="240" w:lineRule="auto"/>
              <w:ind w:firstLineChars="100" w:firstLine="160"/>
              <w:jc w:val="left"/>
              <w:rPr>
                <w:rFonts w:ascii="Arial" w:hAnsi="Arial" w:cs="Arial"/>
                <w:sz w:val="16"/>
                <w:szCs w:val="16"/>
              </w:rPr>
            </w:pPr>
            <w:r w:rsidRPr="00936A7A">
              <w:rPr>
                <w:rFonts w:ascii="Arial" w:hAnsi="Arial" w:cs="Arial"/>
                <w:sz w:val="16"/>
                <w:szCs w:val="16"/>
              </w:rPr>
              <w:t>Gross book value</w:t>
            </w:r>
          </w:p>
        </w:tc>
        <w:tc>
          <w:tcPr>
            <w:tcW w:w="647" w:type="pct"/>
            <w:tcBorders>
              <w:top w:val="nil"/>
              <w:left w:val="nil"/>
              <w:bottom w:val="nil"/>
              <w:right w:val="nil"/>
            </w:tcBorders>
            <w:shd w:val="clear" w:color="auto" w:fill="auto"/>
            <w:noWrap/>
            <w:vAlign w:val="bottom"/>
            <w:hideMark/>
          </w:tcPr>
          <w:p w14:paraId="02A1DD57"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31,058 </w:t>
            </w:r>
          </w:p>
        </w:tc>
        <w:tc>
          <w:tcPr>
            <w:tcW w:w="647" w:type="pct"/>
            <w:tcBorders>
              <w:top w:val="nil"/>
              <w:left w:val="nil"/>
              <w:bottom w:val="nil"/>
              <w:right w:val="nil"/>
            </w:tcBorders>
            <w:shd w:val="clear" w:color="auto" w:fill="auto"/>
            <w:noWrap/>
            <w:vAlign w:val="bottom"/>
            <w:hideMark/>
          </w:tcPr>
          <w:p w14:paraId="16B50449"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11,906 </w:t>
            </w:r>
          </w:p>
        </w:tc>
        <w:tc>
          <w:tcPr>
            <w:tcW w:w="647" w:type="pct"/>
            <w:tcBorders>
              <w:top w:val="nil"/>
              <w:left w:val="nil"/>
              <w:bottom w:val="nil"/>
              <w:right w:val="nil"/>
            </w:tcBorders>
            <w:shd w:val="clear" w:color="auto" w:fill="auto"/>
            <w:noWrap/>
            <w:vAlign w:val="bottom"/>
            <w:hideMark/>
          </w:tcPr>
          <w:p w14:paraId="39722868"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77,835 </w:t>
            </w:r>
          </w:p>
        </w:tc>
        <w:tc>
          <w:tcPr>
            <w:tcW w:w="647" w:type="pct"/>
            <w:tcBorders>
              <w:top w:val="nil"/>
              <w:left w:val="nil"/>
              <w:bottom w:val="nil"/>
              <w:right w:val="nil"/>
            </w:tcBorders>
            <w:shd w:val="clear" w:color="auto" w:fill="auto"/>
            <w:noWrap/>
            <w:vAlign w:val="bottom"/>
            <w:hideMark/>
          </w:tcPr>
          <w:p w14:paraId="6B84FDFD"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120,799 </w:t>
            </w:r>
          </w:p>
        </w:tc>
      </w:tr>
      <w:tr w:rsidR="00936A7A" w:rsidRPr="00936A7A" w14:paraId="1DA3A5B6" w14:textId="77777777" w:rsidTr="00936A7A">
        <w:trPr>
          <w:trHeight w:val="200"/>
        </w:trPr>
        <w:tc>
          <w:tcPr>
            <w:tcW w:w="2411" w:type="pct"/>
            <w:tcBorders>
              <w:top w:val="nil"/>
              <w:left w:val="nil"/>
              <w:bottom w:val="nil"/>
              <w:right w:val="nil"/>
            </w:tcBorders>
            <w:shd w:val="clear" w:color="auto" w:fill="auto"/>
            <w:vAlign w:val="bottom"/>
            <w:hideMark/>
          </w:tcPr>
          <w:p w14:paraId="640D847E" w14:textId="77777777" w:rsidR="00936A7A" w:rsidRPr="00936A7A" w:rsidRDefault="00936A7A" w:rsidP="00936A7A">
            <w:pPr>
              <w:spacing w:after="0" w:line="240" w:lineRule="auto"/>
              <w:ind w:firstLineChars="100" w:firstLine="160"/>
              <w:jc w:val="left"/>
              <w:rPr>
                <w:rFonts w:ascii="Arial" w:hAnsi="Arial" w:cs="Arial"/>
                <w:sz w:val="16"/>
                <w:szCs w:val="16"/>
              </w:rPr>
            </w:pPr>
            <w:r w:rsidRPr="00936A7A">
              <w:rPr>
                <w:rFonts w:ascii="Arial" w:hAnsi="Arial" w:cs="Arial"/>
                <w:sz w:val="16"/>
                <w:szCs w:val="16"/>
              </w:rPr>
              <w:t>Gross book value - ROU assets</w:t>
            </w:r>
          </w:p>
        </w:tc>
        <w:tc>
          <w:tcPr>
            <w:tcW w:w="647" w:type="pct"/>
            <w:tcBorders>
              <w:top w:val="nil"/>
              <w:left w:val="nil"/>
              <w:bottom w:val="nil"/>
              <w:right w:val="nil"/>
            </w:tcBorders>
            <w:shd w:val="clear" w:color="auto" w:fill="auto"/>
            <w:noWrap/>
            <w:vAlign w:val="bottom"/>
            <w:hideMark/>
          </w:tcPr>
          <w:p w14:paraId="75A0CACF"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89,585 </w:t>
            </w:r>
          </w:p>
        </w:tc>
        <w:tc>
          <w:tcPr>
            <w:tcW w:w="647" w:type="pct"/>
            <w:tcBorders>
              <w:top w:val="nil"/>
              <w:left w:val="nil"/>
              <w:bottom w:val="nil"/>
              <w:right w:val="nil"/>
            </w:tcBorders>
            <w:shd w:val="clear" w:color="auto" w:fill="auto"/>
            <w:noWrap/>
            <w:vAlign w:val="bottom"/>
            <w:hideMark/>
          </w:tcPr>
          <w:p w14:paraId="34915CC3"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 </w:t>
            </w:r>
          </w:p>
        </w:tc>
        <w:tc>
          <w:tcPr>
            <w:tcW w:w="647" w:type="pct"/>
            <w:tcBorders>
              <w:top w:val="nil"/>
              <w:left w:val="nil"/>
              <w:bottom w:val="nil"/>
              <w:right w:val="nil"/>
            </w:tcBorders>
            <w:shd w:val="clear" w:color="auto" w:fill="auto"/>
            <w:noWrap/>
            <w:vAlign w:val="bottom"/>
            <w:hideMark/>
          </w:tcPr>
          <w:p w14:paraId="47A07E87"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 </w:t>
            </w:r>
          </w:p>
        </w:tc>
        <w:tc>
          <w:tcPr>
            <w:tcW w:w="647" w:type="pct"/>
            <w:tcBorders>
              <w:top w:val="nil"/>
              <w:left w:val="nil"/>
              <w:bottom w:val="nil"/>
              <w:right w:val="nil"/>
            </w:tcBorders>
            <w:shd w:val="clear" w:color="auto" w:fill="auto"/>
            <w:noWrap/>
            <w:vAlign w:val="bottom"/>
            <w:hideMark/>
          </w:tcPr>
          <w:p w14:paraId="7322EB23"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89,585 </w:t>
            </w:r>
          </w:p>
        </w:tc>
      </w:tr>
      <w:tr w:rsidR="00936A7A" w:rsidRPr="00936A7A" w14:paraId="1907B72B" w14:textId="77777777" w:rsidTr="00936A7A">
        <w:trPr>
          <w:trHeight w:val="400"/>
        </w:trPr>
        <w:tc>
          <w:tcPr>
            <w:tcW w:w="2411" w:type="pct"/>
            <w:tcBorders>
              <w:top w:val="nil"/>
              <w:left w:val="nil"/>
              <w:bottom w:val="nil"/>
              <w:right w:val="nil"/>
            </w:tcBorders>
            <w:shd w:val="clear" w:color="auto" w:fill="auto"/>
            <w:vAlign w:val="bottom"/>
            <w:hideMark/>
          </w:tcPr>
          <w:p w14:paraId="2A1904AB" w14:textId="7BCC1CDC" w:rsidR="00936A7A" w:rsidRPr="00936A7A" w:rsidRDefault="00936A7A" w:rsidP="00936A7A">
            <w:pPr>
              <w:spacing w:after="0" w:line="240" w:lineRule="auto"/>
              <w:ind w:firstLineChars="100" w:firstLine="160"/>
              <w:jc w:val="left"/>
              <w:rPr>
                <w:rFonts w:ascii="Arial" w:hAnsi="Arial" w:cs="Arial"/>
                <w:sz w:val="16"/>
                <w:szCs w:val="16"/>
              </w:rPr>
            </w:pPr>
            <w:r w:rsidRPr="00936A7A">
              <w:rPr>
                <w:rFonts w:ascii="Arial" w:hAnsi="Arial" w:cs="Arial"/>
                <w:sz w:val="16"/>
                <w:szCs w:val="16"/>
              </w:rPr>
              <w:t>Accumulated depreciation/</w:t>
            </w:r>
            <w:r w:rsidRPr="00936A7A">
              <w:rPr>
                <w:rFonts w:ascii="Arial" w:hAnsi="Arial" w:cs="Arial"/>
                <w:sz w:val="16"/>
                <w:szCs w:val="16"/>
              </w:rPr>
              <w:br/>
              <w:t xml:space="preserve"> </w:t>
            </w:r>
            <w:r>
              <w:rPr>
                <w:rFonts w:ascii="Arial" w:hAnsi="Arial" w:cs="Arial"/>
                <w:sz w:val="16"/>
                <w:szCs w:val="16"/>
              </w:rPr>
              <w:t xml:space="preserve">    </w:t>
            </w:r>
            <w:r w:rsidRPr="00936A7A">
              <w:rPr>
                <w:rFonts w:ascii="Arial" w:hAnsi="Arial" w:cs="Arial"/>
                <w:sz w:val="16"/>
                <w:szCs w:val="16"/>
              </w:rPr>
              <w:t xml:space="preserve"> amortisation and impairment</w:t>
            </w:r>
          </w:p>
        </w:tc>
        <w:tc>
          <w:tcPr>
            <w:tcW w:w="647" w:type="pct"/>
            <w:tcBorders>
              <w:top w:val="nil"/>
              <w:left w:val="nil"/>
              <w:bottom w:val="nil"/>
              <w:right w:val="nil"/>
            </w:tcBorders>
            <w:shd w:val="clear" w:color="auto" w:fill="auto"/>
            <w:noWrap/>
            <w:vAlign w:val="bottom"/>
            <w:hideMark/>
          </w:tcPr>
          <w:p w14:paraId="1CD4EDE3"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(12,857)</w:t>
            </w:r>
          </w:p>
        </w:tc>
        <w:tc>
          <w:tcPr>
            <w:tcW w:w="647" w:type="pct"/>
            <w:tcBorders>
              <w:top w:val="nil"/>
              <w:left w:val="nil"/>
              <w:bottom w:val="nil"/>
              <w:right w:val="nil"/>
            </w:tcBorders>
            <w:shd w:val="clear" w:color="auto" w:fill="auto"/>
            <w:noWrap/>
            <w:vAlign w:val="bottom"/>
            <w:hideMark/>
          </w:tcPr>
          <w:p w14:paraId="2FB6E82B"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(6,466)</w:t>
            </w:r>
          </w:p>
        </w:tc>
        <w:tc>
          <w:tcPr>
            <w:tcW w:w="647" w:type="pct"/>
            <w:tcBorders>
              <w:top w:val="nil"/>
              <w:left w:val="nil"/>
              <w:bottom w:val="nil"/>
              <w:right w:val="nil"/>
            </w:tcBorders>
            <w:shd w:val="clear" w:color="auto" w:fill="auto"/>
            <w:noWrap/>
            <w:vAlign w:val="bottom"/>
            <w:hideMark/>
          </w:tcPr>
          <w:p w14:paraId="16F59722"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(15,444)</w:t>
            </w:r>
          </w:p>
        </w:tc>
        <w:tc>
          <w:tcPr>
            <w:tcW w:w="647" w:type="pct"/>
            <w:tcBorders>
              <w:top w:val="nil"/>
              <w:left w:val="nil"/>
              <w:bottom w:val="nil"/>
              <w:right w:val="nil"/>
            </w:tcBorders>
            <w:shd w:val="clear" w:color="auto" w:fill="auto"/>
            <w:noWrap/>
            <w:vAlign w:val="bottom"/>
            <w:hideMark/>
          </w:tcPr>
          <w:p w14:paraId="66B3C133"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(34,767)</w:t>
            </w:r>
          </w:p>
        </w:tc>
      </w:tr>
      <w:tr w:rsidR="00936A7A" w:rsidRPr="00936A7A" w14:paraId="4AB624BB" w14:textId="77777777" w:rsidTr="00936A7A">
        <w:trPr>
          <w:trHeight w:val="400"/>
        </w:trPr>
        <w:tc>
          <w:tcPr>
            <w:tcW w:w="2411" w:type="pct"/>
            <w:tcBorders>
              <w:top w:val="nil"/>
              <w:left w:val="nil"/>
              <w:bottom w:val="nil"/>
              <w:right w:val="nil"/>
            </w:tcBorders>
            <w:shd w:val="clear" w:color="auto" w:fill="auto"/>
            <w:vAlign w:val="bottom"/>
            <w:hideMark/>
          </w:tcPr>
          <w:p w14:paraId="580AA6D7" w14:textId="5ADC70D3" w:rsidR="00936A7A" w:rsidRPr="00936A7A" w:rsidRDefault="00936A7A" w:rsidP="00936A7A">
            <w:pPr>
              <w:spacing w:after="0" w:line="240" w:lineRule="auto"/>
              <w:ind w:firstLineChars="100" w:firstLine="160"/>
              <w:jc w:val="left"/>
              <w:rPr>
                <w:rFonts w:ascii="Arial" w:hAnsi="Arial" w:cs="Arial"/>
                <w:sz w:val="16"/>
                <w:szCs w:val="16"/>
              </w:rPr>
            </w:pPr>
            <w:r w:rsidRPr="00936A7A">
              <w:rPr>
                <w:rFonts w:ascii="Arial" w:hAnsi="Arial" w:cs="Arial"/>
                <w:sz w:val="16"/>
                <w:szCs w:val="16"/>
              </w:rPr>
              <w:t xml:space="preserve">Accumulated depreciation/amortisation and </w:t>
            </w:r>
            <w:r w:rsidRPr="00936A7A">
              <w:rPr>
                <w:rFonts w:ascii="Arial" w:hAnsi="Arial" w:cs="Arial"/>
                <w:sz w:val="16"/>
                <w:szCs w:val="16"/>
              </w:rPr>
              <w:br/>
              <w:t xml:space="preserve"> </w:t>
            </w:r>
            <w:r>
              <w:rPr>
                <w:rFonts w:ascii="Arial" w:hAnsi="Arial" w:cs="Arial"/>
                <w:sz w:val="16"/>
                <w:szCs w:val="16"/>
              </w:rPr>
              <w:t xml:space="preserve">    </w:t>
            </w:r>
            <w:r w:rsidRPr="00936A7A">
              <w:rPr>
                <w:rFonts w:ascii="Arial" w:hAnsi="Arial" w:cs="Arial"/>
                <w:sz w:val="16"/>
                <w:szCs w:val="16"/>
              </w:rPr>
              <w:t xml:space="preserve"> impairment - ROU assets</w:t>
            </w:r>
          </w:p>
        </w:tc>
        <w:tc>
          <w:tcPr>
            <w:tcW w:w="647" w:type="pct"/>
            <w:tcBorders>
              <w:top w:val="nil"/>
              <w:left w:val="nil"/>
              <w:bottom w:val="nil"/>
              <w:right w:val="nil"/>
            </w:tcBorders>
            <w:shd w:val="clear" w:color="auto" w:fill="auto"/>
            <w:noWrap/>
            <w:vAlign w:val="bottom"/>
            <w:hideMark/>
          </w:tcPr>
          <w:p w14:paraId="2BAF651E"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(37,914)</w:t>
            </w:r>
          </w:p>
        </w:tc>
        <w:tc>
          <w:tcPr>
            <w:tcW w:w="647" w:type="pct"/>
            <w:tcBorders>
              <w:top w:val="nil"/>
              <w:left w:val="nil"/>
              <w:bottom w:val="nil"/>
              <w:right w:val="nil"/>
            </w:tcBorders>
            <w:shd w:val="clear" w:color="auto" w:fill="auto"/>
            <w:noWrap/>
            <w:vAlign w:val="bottom"/>
            <w:hideMark/>
          </w:tcPr>
          <w:p w14:paraId="02C6EFAB"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 </w:t>
            </w:r>
          </w:p>
        </w:tc>
        <w:tc>
          <w:tcPr>
            <w:tcW w:w="647" w:type="pct"/>
            <w:tcBorders>
              <w:top w:val="nil"/>
              <w:left w:val="nil"/>
              <w:bottom w:val="nil"/>
              <w:right w:val="nil"/>
            </w:tcBorders>
            <w:shd w:val="clear" w:color="auto" w:fill="auto"/>
            <w:noWrap/>
            <w:vAlign w:val="bottom"/>
            <w:hideMark/>
          </w:tcPr>
          <w:p w14:paraId="24E51657"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 xml:space="preserve">- </w:t>
            </w:r>
          </w:p>
        </w:tc>
        <w:tc>
          <w:tcPr>
            <w:tcW w:w="647" w:type="pct"/>
            <w:tcBorders>
              <w:top w:val="nil"/>
              <w:left w:val="nil"/>
              <w:bottom w:val="nil"/>
              <w:right w:val="nil"/>
            </w:tcBorders>
            <w:shd w:val="clear" w:color="auto" w:fill="auto"/>
            <w:noWrap/>
            <w:vAlign w:val="bottom"/>
            <w:hideMark/>
          </w:tcPr>
          <w:p w14:paraId="0396C953"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(37,914)</w:t>
            </w:r>
          </w:p>
        </w:tc>
      </w:tr>
      <w:tr w:rsidR="00936A7A" w:rsidRPr="00936A7A" w14:paraId="6010A7CE" w14:textId="77777777" w:rsidTr="00936A7A">
        <w:trPr>
          <w:trHeight w:val="210"/>
        </w:trPr>
        <w:tc>
          <w:tcPr>
            <w:tcW w:w="2411" w:type="pct"/>
            <w:tcBorders>
              <w:top w:val="nil"/>
              <w:left w:val="nil"/>
              <w:bottom w:val="single" w:sz="4" w:space="0" w:color="auto"/>
              <w:right w:val="nil"/>
            </w:tcBorders>
            <w:shd w:val="clear" w:color="auto" w:fill="auto"/>
            <w:noWrap/>
            <w:vAlign w:val="bottom"/>
            <w:hideMark/>
          </w:tcPr>
          <w:p w14:paraId="48AC00E3" w14:textId="77777777" w:rsidR="00936A7A" w:rsidRPr="00936A7A" w:rsidRDefault="00936A7A" w:rsidP="00936A7A">
            <w:pPr>
              <w:spacing w:after="0" w:line="240" w:lineRule="auto"/>
              <w:jc w:val="left"/>
              <w:rPr>
                <w:rFonts w:ascii="Arial" w:hAnsi="Arial" w:cs="Arial"/>
                <w:b/>
                <w:bCs/>
                <w:sz w:val="16"/>
                <w:szCs w:val="16"/>
              </w:rPr>
            </w:pPr>
            <w:r w:rsidRPr="00936A7A">
              <w:rPr>
                <w:rFonts w:ascii="Arial" w:hAnsi="Arial" w:cs="Arial"/>
                <w:b/>
                <w:bCs/>
                <w:sz w:val="16"/>
                <w:szCs w:val="16"/>
              </w:rPr>
              <w:t>Closing net book balance</w:t>
            </w:r>
          </w:p>
        </w:tc>
        <w:tc>
          <w:tcPr>
            <w:tcW w:w="647" w:type="pct"/>
            <w:tcBorders>
              <w:top w:val="single" w:sz="4" w:space="0" w:color="auto"/>
              <w:left w:val="nil"/>
              <w:bottom w:val="single" w:sz="4" w:space="0" w:color="auto"/>
              <w:right w:val="nil"/>
            </w:tcBorders>
            <w:shd w:val="clear" w:color="auto" w:fill="auto"/>
            <w:noWrap/>
            <w:vAlign w:val="bottom"/>
            <w:hideMark/>
          </w:tcPr>
          <w:p w14:paraId="09AACDF9" w14:textId="77777777" w:rsidR="00936A7A" w:rsidRPr="00936A7A" w:rsidRDefault="00936A7A" w:rsidP="00936A7A">
            <w:pPr>
              <w:spacing w:after="0" w:line="240" w:lineRule="auto"/>
              <w:jc w:val="right"/>
              <w:rPr>
                <w:rFonts w:ascii="Arial" w:hAnsi="Arial" w:cs="Arial"/>
                <w:b/>
                <w:bCs/>
                <w:sz w:val="16"/>
                <w:szCs w:val="16"/>
              </w:rPr>
            </w:pPr>
            <w:r w:rsidRPr="00936A7A">
              <w:rPr>
                <w:rFonts w:ascii="Arial" w:hAnsi="Arial" w:cs="Arial"/>
                <w:b/>
                <w:bCs/>
                <w:sz w:val="16"/>
                <w:szCs w:val="16"/>
              </w:rPr>
              <w:t xml:space="preserve">69,872 </w:t>
            </w:r>
          </w:p>
        </w:tc>
        <w:tc>
          <w:tcPr>
            <w:tcW w:w="647" w:type="pct"/>
            <w:tcBorders>
              <w:top w:val="single" w:sz="4" w:space="0" w:color="auto"/>
              <w:left w:val="nil"/>
              <w:bottom w:val="single" w:sz="4" w:space="0" w:color="auto"/>
              <w:right w:val="nil"/>
            </w:tcBorders>
            <w:shd w:val="clear" w:color="auto" w:fill="auto"/>
            <w:noWrap/>
            <w:vAlign w:val="bottom"/>
            <w:hideMark/>
          </w:tcPr>
          <w:p w14:paraId="78AC8433" w14:textId="77777777" w:rsidR="00936A7A" w:rsidRPr="00936A7A" w:rsidRDefault="00936A7A" w:rsidP="00936A7A">
            <w:pPr>
              <w:spacing w:after="0" w:line="240" w:lineRule="auto"/>
              <w:jc w:val="right"/>
              <w:rPr>
                <w:rFonts w:ascii="Arial" w:hAnsi="Arial" w:cs="Arial"/>
                <w:b/>
                <w:bCs/>
                <w:sz w:val="16"/>
                <w:szCs w:val="16"/>
              </w:rPr>
            </w:pPr>
            <w:r w:rsidRPr="00936A7A">
              <w:rPr>
                <w:rFonts w:ascii="Arial" w:hAnsi="Arial" w:cs="Arial"/>
                <w:b/>
                <w:bCs/>
                <w:sz w:val="16"/>
                <w:szCs w:val="16"/>
              </w:rPr>
              <w:t xml:space="preserve">5,440 </w:t>
            </w:r>
          </w:p>
        </w:tc>
        <w:tc>
          <w:tcPr>
            <w:tcW w:w="647" w:type="pct"/>
            <w:tcBorders>
              <w:top w:val="single" w:sz="4" w:space="0" w:color="auto"/>
              <w:left w:val="nil"/>
              <w:bottom w:val="single" w:sz="4" w:space="0" w:color="auto"/>
              <w:right w:val="nil"/>
            </w:tcBorders>
            <w:shd w:val="clear" w:color="auto" w:fill="auto"/>
            <w:noWrap/>
            <w:vAlign w:val="bottom"/>
            <w:hideMark/>
          </w:tcPr>
          <w:p w14:paraId="0D5881F4" w14:textId="77777777" w:rsidR="00936A7A" w:rsidRPr="00936A7A" w:rsidRDefault="00936A7A" w:rsidP="00936A7A">
            <w:pPr>
              <w:spacing w:after="0" w:line="240" w:lineRule="auto"/>
              <w:jc w:val="right"/>
              <w:rPr>
                <w:rFonts w:ascii="Arial" w:hAnsi="Arial" w:cs="Arial"/>
                <w:b/>
                <w:bCs/>
                <w:sz w:val="16"/>
                <w:szCs w:val="16"/>
              </w:rPr>
            </w:pPr>
            <w:r w:rsidRPr="00936A7A">
              <w:rPr>
                <w:rFonts w:ascii="Arial" w:hAnsi="Arial" w:cs="Arial"/>
                <w:b/>
                <w:bCs/>
                <w:sz w:val="16"/>
                <w:szCs w:val="16"/>
              </w:rPr>
              <w:t xml:space="preserve">62,391 </w:t>
            </w:r>
          </w:p>
        </w:tc>
        <w:tc>
          <w:tcPr>
            <w:tcW w:w="647" w:type="pct"/>
            <w:tcBorders>
              <w:top w:val="single" w:sz="4" w:space="0" w:color="auto"/>
              <w:left w:val="nil"/>
              <w:bottom w:val="single" w:sz="4" w:space="0" w:color="auto"/>
              <w:right w:val="nil"/>
            </w:tcBorders>
            <w:shd w:val="clear" w:color="auto" w:fill="auto"/>
            <w:noWrap/>
            <w:vAlign w:val="bottom"/>
            <w:hideMark/>
          </w:tcPr>
          <w:p w14:paraId="177E3700" w14:textId="77777777" w:rsidR="00936A7A" w:rsidRPr="00936A7A" w:rsidRDefault="00936A7A" w:rsidP="00936A7A">
            <w:pPr>
              <w:spacing w:after="0" w:line="240" w:lineRule="auto"/>
              <w:jc w:val="right"/>
              <w:rPr>
                <w:rFonts w:ascii="Arial" w:hAnsi="Arial" w:cs="Arial"/>
                <w:b/>
                <w:bCs/>
                <w:sz w:val="16"/>
                <w:szCs w:val="16"/>
              </w:rPr>
            </w:pPr>
            <w:r w:rsidRPr="00936A7A">
              <w:rPr>
                <w:rFonts w:ascii="Arial" w:hAnsi="Arial" w:cs="Arial"/>
                <w:b/>
                <w:bCs/>
                <w:sz w:val="16"/>
                <w:szCs w:val="16"/>
              </w:rPr>
              <w:t xml:space="preserve">137,703 </w:t>
            </w:r>
          </w:p>
        </w:tc>
      </w:tr>
    </w:tbl>
    <w:p w14:paraId="1F62E164" w14:textId="4947A962" w:rsidR="002E3F60" w:rsidRPr="00E86239" w:rsidRDefault="002E3F60" w:rsidP="00E86239">
      <w:pPr>
        <w:pStyle w:val="TableGraphic"/>
        <w:rPr>
          <w:rFonts w:ascii="Arial" w:hAnsi="Arial" w:cs="Arial"/>
          <w:sz w:val="16"/>
          <w:szCs w:val="16"/>
        </w:rPr>
      </w:pPr>
      <w:r w:rsidRPr="00E86239">
        <w:rPr>
          <w:rFonts w:ascii="Arial" w:hAnsi="Arial" w:cs="Arial"/>
          <w:sz w:val="16"/>
          <w:szCs w:val="16"/>
        </w:rPr>
        <w:t>Prepared on Australian Accounting Standards basis.</w:t>
      </w:r>
    </w:p>
    <w:p w14:paraId="2F6D799E" w14:textId="77777777" w:rsidR="002E3F60" w:rsidRPr="00132F9E" w:rsidRDefault="002E3F60" w:rsidP="00DF4979">
      <w:pPr>
        <w:pStyle w:val="ChartandTableFootnoteAlpha"/>
        <w:numPr>
          <w:ilvl w:val="0"/>
          <w:numId w:val="9"/>
        </w:numPr>
        <w:rPr>
          <w:rFonts w:cs="Arial"/>
          <w:szCs w:val="16"/>
        </w:rPr>
      </w:pPr>
      <w:r w:rsidRPr="00132F9E">
        <w:rPr>
          <w:rFonts w:cs="Arial"/>
          <w:szCs w:val="16"/>
        </w:rPr>
        <w:t xml:space="preserve">‘Appropriation equity’ refers to equity injections appropriations provided through Appropriation Bill (No. 2) </w:t>
      </w:r>
      <w:r>
        <w:rPr>
          <w:rFonts w:cs="Arial"/>
          <w:szCs w:val="16"/>
        </w:rPr>
        <w:t>2021-22</w:t>
      </w:r>
      <w:r w:rsidRPr="00132F9E">
        <w:rPr>
          <w:rFonts w:cs="Arial"/>
          <w:szCs w:val="16"/>
        </w:rPr>
        <w:t>, including CDABs.</w:t>
      </w:r>
    </w:p>
    <w:p w14:paraId="36DAC20C" w14:textId="458B0449" w:rsidR="002E3F60" w:rsidRPr="00772E69" w:rsidRDefault="002E3F60" w:rsidP="002E3F60">
      <w:pPr>
        <w:pStyle w:val="ChartandTableFootnoteAlpha"/>
        <w:numPr>
          <w:ilvl w:val="0"/>
          <w:numId w:val="9"/>
        </w:numPr>
        <w:rPr>
          <w:rFonts w:cs="Arial"/>
          <w:szCs w:val="16"/>
        </w:rPr>
      </w:pPr>
      <w:r w:rsidRPr="00132F9E">
        <w:rPr>
          <w:rFonts w:cs="Arial"/>
          <w:szCs w:val="16"/>
        </w:rPr>
        <w:t xml:space="preserve">‘Appropriation ordinary annual services’ refers to funding provided through Appropriation Bill (No. 1) </w:t>
      </w:r>
      <w:r>
        <w:rPr>
          <w:rFonts w:cs="Arial"/>
          <w:szCs w:val="16"/>
        </w:rPr>
        <w:t>2021-22</w:t>
      </w:r>
      <w:r w:rsidRPr="00132F9E">
        <w:rPr>
          <w:rFonts w:cs="Arial"/>
          <w:szCs w:val="16"/>
        </w:rPr>
        <w:t xml:space="preserve"> for depreciation/amortisation expenses, DCBs or other operational expenses.</w:t>
      </w:r>
    </w:p>
    <w:p w14:paraId="06C6C8C5" w14:textId="15356B93" w:rsidR="00936A7A" w:rsidRDefault="00936A7A">
      <w:pPr>
        <w:spacing w:after="0" w:line="240" w:lineRule="auto"/>
        <w:jc w:val="left"/>
      </w:pPr>
      <w:r>
        <w:br w:type="page"/>
      </w:r>
    </w:p>
    <w:p w14:paraId="4E0320D4" w14:textId="58D4D7C0" w:rsidR="00936A7A" w:rsidRPr="00936A7A" w:rsidRDefault="002E3F60" w:rsidP="005C7FBE">
      <w:pPr>
        <w:pStyle w:val="TableHeading"/>
      </w:pPr>
      <w:r w:rsidRPr="00BE6AB2">
        <w:lastRenderedPageBreak/>
        <w:t>Table 3.7: Schedule of budgeted income and expenses administered on behalf of Government (for the period ended 30 June</w:t>
      </w:r>
      <w:r w:rsidR="00936A7A">
        <w:t>)</w:t>
      </w:r>
    </w:p>
    <w:tbl>
      <w:tblPr>
        <w:tblW w:w="5000" w:type="pct"/>
        <w:tblCellMar>
          <w:left w:w="0" w:type="dxa"/>
          <w:right w:w="28" w:type="dxa"/>
        </w:tblCellMar>
        <w:tblLook w:val="04A0" w:firstRow="1" w:lastRow="0" w:firstColumn="1" w:lastColumn="0" w:noHBand="0" w:noVBand="1"/>
      </w:tblPr>
      <w:tblGrid>
        <w:gridCol w:w="3255"/>
        <w:gridCol w:w="891"/>
        <w:gridCol w:w="891"/>
        <w:gridCol w:w="891"/>
        <w:gridCol w:w="891"/>
        <w:gridCol w:w="891"/>
      </w:tblGrid>
      <w:tr w:rsidR="00936A7A" w:rsidRPr="00936A7A" w14:paraId="2058DFF0" w14:textId="77777777" w:rsidTr="00936A7A">
        <w:trPr>
          <w:trHeight w:val="800"/>
        </w:trPr>
        <w:tc>
          <w:tcPr>
            <w:tcW w:w="2110" w:type="pct"/>
            <w:tcBorders>
              <w:top w:val="single" w:sz="4" w:space="0" w:color="auto"/>
              <w:left w:val="nil"/>
              <w:bottom w:val="nil"/>
              <w:right w:val="nil"/>
            </w:tcBorders>
            <w:shd w:val="clear" w:color="auto" w:fill="auto"/>
            <w:noWrap/>
            <w:hideMark/>
          </w:tcPr>
          <w:p w14:paraId="1D7F3290" w14:textId="1549DF2B" w:rsidR="00936A7A" w:rsidRPr="00936A7A" w:rsidRDefault="00936A7A" w:rsidP="00936A7A">
            <w:pPr>
              <w:spacing w:after="0" w:line="240" w:lineRule="auto"/>
              <w:jc w:val="left"/>
              <w:rPr>
                <w:rFonts w:ascii="Arial" w:hAnsi="Arial" w:cs="Arial"/>
                <w:b/>
                <w:bCs/>
                <w:sz w:val="16"/>
                <w:szCs w:val="16"/>
              </w:rPr>
            </w:pPr>
            <w:r w:rsidRPr="00936A7A">
              <w:rPr>
                <w:rFonts w:ascii="Arial" w:hAnsi="Arial" w:cs="Arial"/>
                <w:b/>
                <w:bCs/>
                <w:sz w:val="16"/>
                <w:szCs w:val="16"/>
              </w:rPr>
              <w:t> </w:t>
            </w:r>
          </w:p>
        </w:tc>
        <w:tc>
          <w:tcPr>
            <w:tcW w:w="578" w:type="pct"/>
            <w:tcBorders>
              <w:top w:val="single" w:sz="4" w:space="0" w:color="auto"/>
              <w:left w:val="nil"/>
              <w:bottom w:val="single" w:sz="4" w:space="0" w:color="auto"/>
              <w:right w:val="nil"/>
            </w:tcBorders>
            <w:shd w:val="clear" w:color="auto" w:fill="auto"/>
            <w:hideMark/>
          </w:tcPr>
          <w:p w14:paraId="33C37DC7"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2020-21 Estimated actual</w:t>
            </w:r>
            <w:r w:rsidRPr="00936A7A">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000000" w:fill="E6E6E6"/>
            <w:hideMark/>
          </w:tcPr>
          <w:p w14:paraId="6DBD0F5C"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2021-22</w:t>
            </w:r>
            <w:r w:rsidRPr="00936A7A">
              <w:rPr>
                <w:rFonts w:ascii="Arial" w:hAnsi="Arial" w:cs="Arial"/>
                <w:sz w:val="16"/>
                <w:szCs w:val="16"/>
              </w:rPr>
              <w:br/>
              <w:t>Budget</w:t>
            </w:r>
            <w:r w:rsidRPr="00936A7A">
              <w:rPr>
                <w:rFonts w:ascii="Arial" w:hAnsi="Arial" w:cs="Arial"/>
                <w:sz w:val="16"/>
                <w:szCs w:val="16"/>
              </w:rPr>
              <w:br/>
            </w:r>
            <w:r w:rsidRPr="00936A7A">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auto" w:fill="auto"/>
            <w:hideMark/>
          </w:tcPr>
          <w:p w14:paraId="090334FC"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2022-23 Forward estimate</w:t>
            </w:r>
            <w:r w:rsidRPr="00936A7A">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auto" w:fill="auto"/>
            <w:hideMark/>
          </w:tcPr>
          <w:p w14:paraId="5B146510"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2023-24 Forward estimate</w:t>
            </w:r>
            <w:r w:rsidRPr="00936A7A">
              <w:rPr>
                <w:rFonts w:ascii="Arial" w:hAnsi="Arial" w:cs="Arial"/>
                <w:sz w:val="16"/>
                <w:szCs w:val="16"/>
              </w:rPr>
              <w:br/>
              <w:t>$'000</w:t>
            </w:r>
          </w:p>
        </w:tc>
        <w:tc>
          <w:tcPr>
            <w:tcW w:w="578" w:type="pct"/>
            <w:tcBorders>
              <w:top w:val="single" w:sz="4" w:space="0" w:color="auto"/>
              <w:left w:val="nil"/>
              <w:bottom w:val="single" w:sz="4" w:space="0" w:color="auto"/>
              <w:right w:val="nil"/>
            </w:tcBorders>
            <w:shd w:val="clear" w:color="auto" w:fill="auto"/>
            <w:hideMark/>
          </w:tcPr>
          <w:p w14:paraId="3875F586" w14:textId="77777777" w:rsidR="00936A7A" w:rsidRPr="00936A7A" w:rsidRDefault="00936A7A" w:rsidP="00936A7A">
            <w:pPr>
              <w:spacing w:after="0" w:line="240" w:lineRule="auto"/>
              <w:jc w:val="right"/>
              <w:rPr>
                <w:rFonts w:ascii="Arial" w:hAnsi="Arial" w:cs="Arial"/>
                <w:sz w:val="16"/>
                <w:szCs w:val="16"/>
              </w:rPr>
            </w:pPr>
            <w:r w:rsidRPr="00936A7A">
              <w:rPr>
                <w:rFonts w:ascii="Arial" w:hAnsi="Arial" w:cs="Arial"/>
                <w:sz w:val="16"/>
                <w:szCs w:val="16"/>
              </w:rPr>
              <w:t>2024-25</w:t>
            </w:r>
            <w:r w:rsidRPr="00936A7A">
              <w:rPr>
                <w:rFonts w:ascii="Arial" w:hAnsi="Arial" w:cs="Arial"/>
                <w:sz w:val="16"/>
                <w:szCs w:val="16"/>
              </w:rPr>
              <w:br/>
              <w:t>Forward estimate</w:t>
            </w:r>
            <w:r w:rsidRPr="00936A7A">
              <w:rPr>
                <w:rFonts w:ascii="Arial" w:hAnsi="Arial" w:cs="Arial"/>
                <w:sz w:val="16"/>
                <w:szCs w:val="16"/>
              </w:rPr>
              <w:br/>
              <w:t>$'000</w:t>
            </w:r>
          </w:p>
        </w:tc>
      </w:tr>
      <w:tr w:rsidR="00936A7A" w:rsidRPr="00936A7A" w14:paraId="742FC833" w14:textId="77777777" w:rsidTr="00936A7A">
        <w:trPr>
          <w:trHeight w:val="225"/>
        </w:trPr>
        <w:tc>
          <w:tcPr>
            <w:tcW w:w="2110" w:type="pct"/>
            <w:tcBorders>
              <w:top w:val="nil"/>
              <w:left w:val="nil"/>
              <w:bottom w:val="nil"/>
              <w:right w:val="nil"/>
            </w:tcBorders>
            <w:shd w:val="clear" w:color="auto" w:fill="auto"/>
            <w:noWrap/>
            <w:vAlign w:val="center"/>
            <w:hideMark/>
          </w:tcPr>
          <w:p w14:paraId="0C93ADE4" w14:textId="77777777" w:rsidR="00936A7A" w:rsidRPr="00936A7A" w:rsidRDefault="00936A7A" w:rsidP="00936A7A">
            <w:pPr>
              <w:spacing w:after="0" w:line="240" w:lineRule="auto"/>
              <w:jc w:val="left"/>
              <w:rPr>
                <w:rFonts w:ascii="Arial" w:hAnsi="Arial" w:cs="Arial"/>
                <w:b/>
                <w:bCs/>
                <w:color w:val="000000"/>
                <w:sz w:val="16"/>
                <w:szCs w:val="16"/>
              </w:rPr>
            </w:pPr>
            <w:r w:rsidRPr="00936A7A">
              <w:rPr>
                <w:rFonts w:ascii="Arial" w:hAnsi="Arial" w:cs="Arial"/>
                <w:b/>
                <w:bCs/>
                <w:color w:val="000000"/>
                <w:sz w:val="16"/>
                <w:szCs w:val="16"/>
              </w:rPr>
              <w:t>EXPENSES</w:t>
            </w:r>
          </w:p>
        </w:tc>
        <w:tc>
          <w:tcPr>
            <w:tcW w:w="578" w:type="pct"/>
            <w:tcBorders>
              <w:top w:val="nil"/>
              <w:left w:val="nil"/>
              <w:bottom w:val="nil"/>
              <w:right w:val="nil"/>
            </w:tcBorders>
            <w:shd w:val="clear" w:color="auto" w:fill="auto"/>
            <w:noWrap/>
            <w:vAlign w:val="center"/>
            <w:hideMark/>
          </w:tcPr>
          <w:p w14:paraId="1882C40B" w14:textId="77777777" w:rsidR="00936A7A" w:rsidRPr="00936A7A" w:rsidRDefault="00936A7A" w:rsidP="00936A7A">
            <w:pPr>
              <w:spacing w:after="0" w:line="240" w:lineRule="auto"/>
              <w:jc w:val="lef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center"/>
            <w:hideMark/>
          </w:tcPr>
          <w:p w14:paraId="6BA7A705" w14:textId="77777777" w:rsidR="00936A7A" w:rsidRPr="00936A7A" w:rsidRDefault="00936A7A" w:rsidP="00936A7A">
            <w:pPr>
              <w:spacing w:after="0" w:line="240" w:lineRule="auto"/>
              <w:jc w:val="left"/>
              <w:rPr>
                <w:rFonts w:ascii="Arial" w:hAnsi="Arial" w:cs="Arial"/>
                <w:color w:val="000000"/>
                <w:sz w:val="16"/>
                <w:szCs w:val="16"/>
              </w:rPr>
            </w:pPr>
            <w:r w:rsidRPr="00936A7A">
              <w:rPr>
                <w:rFonts w:ascii="Arial" w:hAnsi="Arial" w:cs="Arial"/>
                <w:color w:val="000000"/>
                <w:sz w:val="16"/>
                <w:szCs w:val="16"/>
              </w:rPr>
              <w:t> </w:t>
            </w:r>
          </w:p>
        </w:tc>
        <w:tc>
          <w:tcPr>
            <w:tcW w:w="578" w:type="pct"/>
            <w:tcBorders>
              <w:top w:val="nil"/>
              <w:left w:val="nil"/>
              <w:bottom w:val="nil"/>
              <w:right w:val="nil"/>
            </w:tcBorders>
            <w:shd w:val="clear" w:color="auto" w:fill="auto"/>
            <w:noWrap/>
            <w:vAlign w:val="center"/>
            <w:hideMark/>
          </w:tcPr>
          <w:p w14:paraId="19BF6088" w14:textId="77777777" w:rsidR="00936A7A" w:rsidRPr="00936A7A" w:rsidRDefault="00936A7A" w:rsidP="00936A7A">
            <w:pPr>
              <w:spacing w:after="0" w:line="240" w:lineRule="auto"/>
              <w:jc w:val="left"/>
              <w:rPr>
                <w:rFonts w:ascii="Arial" w:hAnsi="Arial" w:cs="Arial"/>
                <w:color w:val="000000"/>
                <w:sz w:val="16"/>
                <w:szCs w:val="16"/>
              </w:rPr>
            </w:pPr>
          </w:p>
        </w:tc>
        <w:tc>
          <w:tcPr>
            <w:tcW w:w="578" w:type="pct"/>
            <w:tcBorders>
              <w:top w:val="nil"/>
              <w:left w:val="nil"/>
              <w:bottom w:val="nil"/>
              <w:right w:val="nil"/>
            </w:tcBorders>
            <w:shd w:val="clear" w:color="auto" w:fill="auto"/>
            <w:noWrap/>
            <w:vAlign w:val="center"/>
            <w:hideMark/>
          </w:tcPr>
          <w:p w14:paraId="5DE702AB" w14:textId="77777777" w:rsidR="00936A7A" w:rsidRPr="00936A7A" w:rsidRDefault="00936A7A" w:rsidP="00936A7A">
            <w:pPr>
              <w:spacing w:after="0" w:line="240" w:lineRule="auto"/>
              <w:jc w:val="left"/>
              <w:rPr>
                <w:rFonts w:ascii="Times New Roman" w:hAnsi="Times New Roman"/>
              </w:rPr>
            </w:pPr>
          </w:p>
        </w:tc>
        <w:tc>
          <w:tcPr>
            <w:tcW w:w="578" w:type="pct"/>
            <w:tcBorders>
              <w:top w:val="nil"/>
              <w:left w:val="nil"/>
              <w:bottom w:val="nil"/>
              <w:right w:val="nil"/>
            </w:tcBorders>
            <w:shd w:val="clear" w:color="auto" w:fill="auto"/>
            <w:noWrap/>
            <w:vAlign w:val="center"/>
            <w:hideMark/>
          </w:tcPr>
          <w:p w14:paraId="025E3BFB" w14:textId="77777777" w:rsidR="00936A7A" w:rsidRPr="00936A7A" w:rsidRDefault="00936A7A" w:rsidP="00936A7A">
            <w:pPr>
              <w:spacing w:after="0" w:line="240" w:lineRule="auto"/>
              <w:jc w:val="left"/>
              <w:rPr>
                <w:rFonts w:ascii="Times New Roman" w:hAnsi="Times New Roman"/>
              </w:rPr>
            </w:pPr>
          </w:p>
        </w:tc>
      </w:tr>
      <w:tr w:rsidR="00936A7A" w:rsidRPr="00936A7A" w14:paraId="0B838DB1" w14:textId="77777777" w:rsidTr="00936A7A">
        <w:trPr>
          <w:trHeight w:val="465"/>
        </w:trPr>
        <w:tc>
          <w:tcPr>
            <w:tcW w:w="2110" w:type="pct"/>
            <w:tcBorders>
              <w:top w:val="nil"/>
              <w:left w:val="nil"/>
              <w:bottom w:val="nil"/>
              <w:right w:val="nil"/>
            </w:tcBorders>
            <w:shd w:val="clear" w:color="auto" w:fill="auto"/>
            <w:vAlign w:val="bottom"/>
            <w:hideMark/>
          </w:tcPr>
          <w:p w14:paraId="68203953" w14:textId="05ECBBD3" w:rsidR="00936A7A" w:rsidRPr="00936A7A" w:rsidRDefault="00936A7A" w:rsidP="00936A7A">
            <w:pPr>
              <w:spacing w:after="0" w:line="240" w:lineRule="auto"/>
              <w:ind w:firstLineChars="100" w:firstLine="160"/>
              <w:jc w:val="left"/>
              <w:rPr>
                <w:rFonts w:ascii="Arial" w:hAnsi="Arial" w:cs="Arial"/>
                <w:color w:val="000000"/>
                <w:sz w:val="16"/>
                <w:szCs w:val="16"/>
              </w:rPr>
            </w:pPr>
            <w:r w:rsidRPr="00936A7A">
              <w:rPr>
                <w:rFonts w:ascii="Arial" w:hAnsi="Arial" w:cs="Arial"/>
                <w:color w:val="000000"/>
                <w:sz w:val="16"/>
                <w:szCs w:val="16"/>
              </w:rPr>
              <w:t xml:space="preserve">Impairment and repayment of fees </w:t>
            </w:r>
            <w:r w:rsidRPr="00936A7A">
              <w:rPr>
                <w:rFonts w:ascii="Arial" w:hAnsi="Arial" w:cs="Arial"/>
                <w:color w:val="000000"/>
                <w:sz w:val="16"/>
                <w:szCs w:val="16"/>
              </w:rPr>
              <w:br/>
              <w:t xml:space="preserve">  </w:t>
            </w:r>
            <w:r>
              <w:rPr>
                <w:rFonts w:ascii="Arial" w:hAnsi="Arial" w:cs="Arial"/>
                <w:color w:val="000000"/>
                <w:sz w:val="16"/>
                <w:szCs w:val="16"/>
              </w:rPr>
              <w:t xml:space="preserve">   </w:t>
            </w:r>
            <w:r w:rsidRPr="00936A7A">
              <w:rPr>
                <w:rFonts w:ascii="Arial" w:hAnsi="Arial" w:cs="Arial"/>
                <w:color w:val="000000"/>
                <w:sz w:val="16"/>
                <w:szCs w:val="16"/>
              </w:rPr>
              <w:t>and fines</w:t>
            </w:r>
          </w:p>
        </w:tc>
        <w:tc>
          <w:tcPr>
            <w:tcW w:w="578" w:type="pct"/>
            <w:tcBorders>
              <w:top w:val="nil"/>
              <w:left w:val="nil"/>
              <w:bottom w:val="nil"/>
              <w:right w:val="nil"/>
            </w:tcBorders>
            <w:shd w:val="clear" w:color="auto" w:fill="auto"/>
            <w:noWrap/>
            <w:vAlign w:val="bottom"/>
            <w:hideMark/>
          </w:tcPr>
          <w:p w14:paraId="37440C2E" w14:textId="77777777" w:rsidR="00936A7A" w:rsidRPr="00936A7A" w:rsidRDefault="00936A7A" w:rsidP="00936A7A">
            <w:pPr>
              <w:spacing w:after="0" w:line="240" w:lineRule="auto"/>
              <w:jc w:val="right"/>
              <w:rPr>
                <w:rFonts w:ascii="Arial" w:hAnsi="Arial" w:cs="Arial"/>
                <w:color w:val="000000"/>
                <w:sz w:val="16"/>
                <w:szCs w:val="16"/>
              </w:rPr>
            </w:pPr>
            <w:r w:rsidRPr="00936A7A">
              <w:rPr>
                <w:rFonts w:ascii="Arial" w:hAnsi="Arial" w:cs="Arial"/>
                <w:color w:val="000000"/>
                <w:sz w:val="16"/>
                <w:szCs w:val="16"/>
              </w:rPr>
              <w:t xml:space="preserve">- </w:t>
            </w:r>
          </w:p>
        </w:tc>
        <w:tc>
          <w:tcPr>
            <w:tcW w:w="578" w:type="pct"/>
            <w:tcBorders>
              <w:top w:val="nil"/>
              <w:left w:val="nil"/>
              <w:bottom w:val="nil"/>
              <w:right w:val="nil"/>
            </w:tcBorders>
            <w:shd w:val="clear" w:color="000000" w:fill="E6E6E6"/>
            <w:noWrap/>
            <w:vAlign w:val="bottom"/>
            <w:hideMark/>
          </w:tcPr>
          <w:p w14:paraId="4894112F" w14:textId="77777777" w:rsidR="00936A7A" w:rsidRPr="00936A7A" w:rsidRDefault="00936A7A" w:rsidP="00936A7A">
            <w:pPr>
              <w:spacing w:after="0" w:line="240" w:lineRule="auto"/>
              <w:jc w:val="right"/>
              <w:rPr>
                <w:rFonts w:ascii="Arial" w:hAnsi="Arial" w:cs="Arial"/>
                <w:color w:val="000000"/>
                <w:sz w:val="16"/>
                <w:szCs w:val="16"/>
              </w:rPr>
            </w:pPr>
            <w:r w:rsidRPr="00936A7A">
              <w:rPr>
                <w:rFonts w:ascii="Arial" w:hAnsi="Arial" w:cs="Arial"/>
                <w:color w:val="000000"/>
                <w:sz w:val="16"/>
                <w:szCs w:val="16"/>
              </w:rPr>
              <w:t xml:space="preserve">- </w:t>
            </w:r>
          </w:p>
        </w:tc>
        <w:tc>
          <w:tcPr>
            <w:tcW w:w="578" w:type="pct"/>
            <w:tcBorders>
              <w:top w:val="nil"/>
              <w:left w:val="nil"/>
              <w:bottom w:val="nil"/>
              <w:right w:val="nil"/>
            </w:tcBorders>
            <w:shd w:val="clear" w:color="auto" w:fill="auto"/>
            <w:noWrap/>
            <w:vAlign w:val="bottom"/>
            <w:hideMark/>
          </w:tcPr>
          <w:p w14:paraId="7364150F" w14:textId="77777777" w:rsidR="00936A7A" w:rsidRPr="00936A7A" w:rsidRDefault="00936A7A" w:rsidP="00936A7A">
            <w:pPr>
              <w:spacing w:after="0" w:line="240" w:lineRule="auto"/>
              <w:jc w:val="right"/>
              <w:rPr>
                <w:rFonts w:ascii="Arial" w:hAnsi="Arial" w:cs="Arial"/>
                <w:color w:val="000000"/>
                <w:sz w:val="16"/>
                <w:szCs w:val="16"/>
              </w:rPr>
            </w:pPr>
            <w:r w:rsidRPr="00936A7A">
              <w:rPr>
                <w:rFonts w:ascii="Arial" w:hAnsi="Arial" w:cs="Arial"/>
                <w:color w:val="000000"/>
                <w:sz w:val="16"/>
                <w:szCs w:val="16"/>
              </w:rPr>
              <w:t xml:space="preserve">- </w:t>
            </w:r>
          </w:p>
        </w:tc>
        <w:tc>
          <w:tcPr>
            <w:tcW w:w="578" w:type="pct"/>
            <w:tcBorders>
              <w:top w:val="nil"/>
              <w:left w:val="nil"/>
              <w:bottom w:val="nil"/>
              <w:right w:val="nil"/>
            </w:tcBorders>
            <w:shd w:val="clear" w:color="auto" w:fill="auto"/>
            <w:noWrap/>
            <w:vAlign w:val="bottom"/>
            <w:hideMark/>
          </w:tcPr>
          <w:p w14:paraId="6188CA3F" w14:textId="77777777" w:rsidR="00936A7A" w:rsidRPr="00936A7A" w:rsidRDefault="00936A7A" w:rsidP="00936A7A">
            <w:pPr>
              <w:spacing w:after="0" w:line="240" w:lineRule="auto"/>
              <w:jc w:val="right"/>
              <w:rPr>
                <w:rFonts w:ascii="Arial" w:hAnsi="Arial" w:cs="Arial"/>
                <w:color w:val="000000"/>
                <w:sz w:val="16"/>
                <w:szCs w:val="16"/>
              </w:rPr>
            </w:pPr>
            <w:r w:rsidRPr="00936A7A">
              <w:rPr>
                <w:rFonts w:ascii="Arial" w:hAnsi="Arial" w:cs="Arial"/>
                <w:color w:val="000000"/>
                <w:sz w:val="16"/>
                <w:szCs w:val="16"/>
              </w:rPr>
              <w:t xml:space="preserve">- </w:t>
            </w:r>
          </w:p>
        </w:tc>
        <w:tc>
          <w:tcPr>
            <w:tcW w:w="578" w:type="pct"/>
            <w:tcBorders>
              <w:top w:val="nil"/>
              <w:left w:val="nil"/>
              <w:bottom w:val="nil"/>
              <w:right w:val="nil"/>
            </w:tcBorders>
            <w:shd w:val="clear" w:color="auto" w:fill="auto"/>
            <w:noWrap/>
            <w:vAlign w:val="bottom"/>
            <w:hideMark/>
          </w:tcPr>
          <w:p w14:paraId="57C3BF02" w14:textId="77777777" w:rsidR="00936A7A" w:rsidRPr="00936A7A" w:rsidRDefault="00936A7A" w:rsidP="00936A7A">
            <w:pPr>
              <w:spacing w:after="0" w:line="240" w:lineRule="auto"/>
              <w:jc w:val="right"/>
              <w:rPr>
                <w:rFonts w:ascii="Arial" w:hAnsi="Arial" w:cs="Arial"/>
                <w:color w:val="000000"/>
                <w:sz w:val="16"/>
                <w:szCs w:val="16"/>
              </w:rPr>
            </w:pPr>
            <w:r w:rsidRPr="00936A7A">
              <w:rPr>
                <w:rFonts w:ascii="Arial" w:hAnsi="Arial" w:cs="Arial"/>
                <w:color w:val="000000"/>
                <w:sz w:val="16"/>
                <w:szCs w:val="16"/>
              </w:rPr>
              <w:t xml:space="preserve">- </w:t>
            </w:r>
          </w:p>
        </w:tc>
      </w:tr>
      <w:tr w:rsidR="00936A7A" w:rsidRPr="00936A7A" w14:paraId="050F3C05" w14:textId="77777777" w:rsidTr="00936A7A">
        <w:trPr>
          <w:trHeight w:val="420"/>
        </w:trPr>
        <w:tc>
          <w:tcPr>
            <w:tcW w:w="2110" w:type="pct"/>
            <w:tcBorders>
              <w:top w:val="nil"/>
              <w:left w:val="nil"/>
              <w:bottom w:val="nil"/>
              <w:right w:val="nil"/>
            </w:tcBorders>
            <w:shd w:val="clear" w:color="auto" w:fill="auto"/>
            <w:vAlign w:val="bottom"/>
            <w:hideMark/>
          </w:tcPr>
          <w:p w14:paraId="50DF6A3C" w14:textId="77777777" w:rsidR="00936A7A" w:rsidRPr="00936A7A" w:rsidRDefault="00936A7A" w:rsidP="00936A7A">
            <w:pPr>
              <w:spacing w:after="0" w:line="240" w:lineRule="auto"/>
              <w:jc w:val="left"/>
              <w:rPr>
                <w:rFonts w:ascii="Arial" w:hAnsi="Arial" w:cs="Arial"/>
                <w:b/>
                <w:bCs/>
                <w:color w:val="000000"/>
                <w:sz w:val="16"/>
                <w:szCs w:val="16"/>
              </w:rPr>
            </w:pPr>
            <w:r w:rsidRPr="00936A7A">
              <w:rPr>
                <w:rFonts w:ascii="Arial" w:hAnsi="Arial" w:cs="Arial"/>
                <w:b/>
                <w:bCs/>
                <w:color w:val="000000"/>
                <w:sz w:val="16"/>
                <w:szCs w:val="16"/>
              </w:rPr>
              <w:t>Total expenses administered on</w:t>
            </w:r>
            <w:r w:rsidRPr="00936A7A">
              <w:rPr>
                <w:rFonts w:ascii="Arial" w:hAnsi="Arial" w:cs="Arial"/>
                <w:b/>
                <w:bCs/>
                <w:color w:val="000000"/>
                <w:sz w:val="16"/>
                <w:szCs w:val="16"/>
              </w:rPr>
              <w:br/>
              <w:t xml:space="preserve">  behalf of Government</w:t>
            </w:r>
          </w:p>
        </w:tc>
        <w:tc>
          <w:tcPr>
            <w:tcW w:w="578" w:type="pct"/>
            <w:tcBorders>
              <w:top w:val="single" w:sz="4" w:space="0" w:color="auto"/>
              <w:left w:val="nil"/>
              <w:bottom w:val="single" w:sz="4" w:space="0" w:color="auto"/>
              <w:right w:val="nil"/>
            </w:tcBorders>
            <w:shd w:val="clear" w:color="auto" w:fill="auto"/>
            <w:noWrap/>
            <w:vAlign w:val="bottom"/>
            <w:hideMark/>
          </w:tcPr>
          <w:p w14:paraId="25FB5CB6" w14:textId="77777777" w:rsidR="00936A7A" w:rsidRPr="00936A7A" w:rsidRDefault="00936A7A" w:rsidP="00936A7A">
            <w:pPr>
              <w:spacing w:after="0" w:line="240" w:lineRule="auto"/>
              <w:jc w:val="right"/>
              <w:rPr>
                <w:rFonts w:ascii="Arial" w:hAnsi="Arial" w:cs="Arial"/>
                <w:b/>
                <w:bCs/>
                <w:color w:val="000000"/>
                <w:sz w:val="16"/>
                <w:szCs w:val="16"/>
              </w:rPr>
            </w:pPr>
            <w:r w:rsidRPr="00936A7A">
              <w:rPr>
                <w:rFonts w:ascii="Arial" w:hAnsi="Arial" w:cs="Arial"/>
                <w:b/>
                <w:bCs/>
                <w:color w:val="000000"/>
                <w:sz w:val="16"/>
                <w:szCs w:val="16"/>
              </w:rPr>
              <w:t xml:space="preserve">- </w:t>
            </w:r>
          </w:p>
        </w:tc>
        <w:tc>
          <w:tcPr>
            <w:tcW w:w="578" w:type="pct"/>
            <w:tcBorders>
              <w:top w:val="single" w:sz="4" w:space="0" w:color="auto"/>
              <w:left w:val="nil"/>
              <w:bottom w:val="single" w:sz="4" w:space="0" w:color="auto"/>
              <w:right w:val="nil"/>
            </w:tcBorders>
            <w:shd w:val="clear" w:color="000000" w:fill="E6E6E6"/>
            <w:noWrap/>
            <w:vAlign w:val="bottom"/>
            <w:hideMark/>
          </w:tcPr>
          <w:p w14:paraId="37206E96" w14:textId="77777777" w:rsidR="00936A7A" w:rsidRPr="00936A7A" w:rsidRDefault="00936A7A" w:rsidP="00936A7A">
            <w:pPr>
              <w:spacing w:after="0" w:line="240" w:lineRule="auto"/>
              <w:jc w:val="right"/>
              <w:rPr>
                <w:rFonts w:ascii="Arial" w:hAnsi="Arial" w:cs="Arial"/>
                <w:b/>
                <w:bCs/>
                <w:color w:val="000000"/>
                <w:sz w:val="16"/>
                <w:szCs w:val="16"/>
              </w:rPr>
            </w:pPr>
            <w:r w:rsidRPr="00936A7A">
              <w:rPr>
                <w:rFonts w:ascii="Arial" w:hAnsi="Arial" w:cs="Arial"/>
                <w:b/>
                <w:bCs/>
                <w:color w:val="000000"/>
                <w:sz w:val="16"/>
                <w:szCs w:val="16"/>
              </w:rPr>
              <w:t xml:space="preserve">- </w:t>
            </w:r>
          </w:p>
        </w:tc>
        <w:tc>
          <w:tcPr>
            <w:tcW w:w="578" w:type="pct"/>
            <w:tcBorders>
              <w:top w:val="single" w:sz="4" w:space="0" w:color="auto"/>
              <w:left w:val="nil"/>
              <w:bottom w:val="single" w:sz="4" w:space="0" w:color="auto"/>
              <w:right w:val="nil"/>
            </w:tcBorders>
            <w:shd w:val="clear" w:color="auto" w:fill="auto"/>
            <w:noWrap/>
            <w:vAlign w:val="bottom"/>
            <w:hideMark/>
          </w:tcPr>
          <w:p w14:paraId="723F3A5E" w14:textId="77777777" w:rsidR="00936A7A" w:rsidRPr="00936A7A" w:rsidRDefault="00936A7A" w:rsidP="00936A7A">
            <w:pPr>
              <w:spacing w:after="0" w:line="240" w:lineRule="auto"/>
              <w:jc w:val="right"/>
              <w:rPr>
                <w:rFonts w:ascii="Arial" w:hAnsi="Arial" w:cs="Arial"/>
                <w:b/>
                <w:bCs/>
                <w:color w:val="000000"/>
                <w:sz w:val="16"/>
                <w:szCs w:val="16"/>
              </w:rPr>
            </w:pPr>
            <w:r w:rsidRPr="00936A7A">
              <w:rPr>
                <w:rFonts w:ascii="Arial" w:hAnsi="Arial" w:cs="Arial"/>
                <w:b/>
                <w:bCs/>
                <w:color w:val="000000"/>
                <w:sz w:val="16"/>
                <w:szCs w:val="16"/>
              </w:rPr>
              <w:t xml:space="preserve">- </w:t>
            </w:r>
          </w:p>
        </w:tc>
        <w:tc>
          <w:tcPr>
            <w:tcW w:w="578" w:type="pct"/>
            <w:tcBorders>
              <w:top w:val="single" w:sz="4" w:space="0" w:color="auto"/>
              <w:left w:val="nil"/>
              <w:bottom w:val="single" w:sz="4" w:space="0" w:color="auto"/>
              <w:right w:val="nil"/>
            </w:tcBorders>
            <w:shd w:val="clear" w:color="auto" w:fill="auto"/>
            <w:noWrap/>
            <w:vAlign w:val="bottom"/>
            <w:hideMark/>
          </w:tcPr>
          <w:p w14:paraId="7EAF2C18" w14:textId="77777777" w:rsidR="00936A7A" w:rsidRPr="00936A7A" w:rsidRDefault="00936A7A" w:rsidP="00936A7A">
            <w:pPr>
              <w:spacing w:after="0" w:line="240" w:lineRule="auto"/>
              <w:jc w:val="right"/>
              <w:rPr>
                <w:rFonts w:ascii="Arial" w:hAnsi="Arial" w:cs="Arial"/>
                <w:b/>
                <w:bCs/>
                <w:color w:val="000000"/>
                <w:sz w:val="16"/>
                <w:szCs w:val="16"/>
              </w:rPr>
            </w:pPr>
            <w:r w:rsidRPr="00936A7A">
              <w:rPr>
                <w:rFonts w:ascii="Arial" w:hAnsi="Arial" w:cs="Arial"/>
                <w:b/>
                <w:bCs/>
                <w:color w:val="000000"/>
                <w:sz w:val="16"/>
                <w:szCs w:val="16"/>
              </w:rPr>
              <w:t xml:space="preserve">- </w:t>
            </w:r>
          </w:p>
        </w:tc>
        <w:tc>
          <w:tcPr>
            <w:tcW w:w="578" w:type="pct"/>
            <w:tcBorders>
              <w:top w:val="single" w:sz="4" w:space="0" w:color="auto"/>
              <w:left w:val="nil"/>
              <w:bottom w:val="single" w:sz="4" w:space="0" w:color="auto"/>
              <w:right w:val="nil"/>
            </w:tcBorders>
            <w:shd w:val="clear" w:color="auto" w:fill="auto"/>
            <w:noWrap/>
            <w:vAlign w:val="bottom"/>
            <w:hideMark/>
          </w:tcPr>
          <w:p w14:paraId="213B8FFA" w14:textId="77777777" w:rsidR="00936A7A" w:rsidRPr="00936A7A" w:rsidRDefault="00936A7A" w:rsidP="00936A7A">
            <w:pPr>
              <w:spacing w:after="0" w:line="240" w:lineRule="auto"/>
              <w:jc w:val="right"/>
              <w:rPr>
                <w:rFonts w:ascii="Arial" w:hAnsi="Arial" w:cs="Arial"/>
                <w:b/>
                <w:bCs/>
                <w:color w:val="000000"/>
                <w:sz w:val="16"/>
                <w:szCs w:val="16"/>
              </w:rPr>
            </w:pPr>
            <w:r w:rsidRPr="00936A7A">
              <w:rPr>
                <w:rFonts w:ascii="Arial" w:hAnsi="Arial" w:cs="Arial"/>
                <w:b/>
                <w:bCs/>
                <w:color w:val="000000"/>
                <w:sz w:val="16"/>
                <w:szCs w:val="16"/>
              </w:rPr>
              <w:t xml:space="preserve">- </w:t>
            </w:r>
          </w:p>
        </w:tc>
      </w:tr>
      <w:tr w:rsidR="00936A7A" w:rsidRPr="00936A7A" w14:paraId="7DEB9B84" w14:textId="77777777" w:rsidTr="00936A7A">
        <w:trPr>
          <w:trHeight w:val="225"/>
        </w:trPr>
        <w:tc>
          <w:tcPr>
            <w:tcW w:w="2110" w:type="pct"/>
            <w:tcBorders>
              <w:top w:val="nil"/>
              <w:left w:val="nil"/>
              <w:bottom w:val="nil"/>
              <w:right w:val="nil"/>
            </w:tcBorders>
            <w:shd w:val="clear" w:color="auto" w:fill="auto"/>
            <w:noWrap/>
            <w:vAlign w:val="bottom"/>
            <w:hideMark/>
          </w:tcPr>
          <w:p w14:paraId="347E4942" w14:textId="77777777" w:rsidR="00936A7A" w:rsidRPr="00936A7A" w:rsidRDefault="00936A7A" w:rsidP="00936A7A">
            <w:pPr>
              <w:spacing w:after="0" w:line="240" w:lineRule="auto"/>
              <w:jc w:val="left"/>
              <w:rPr>
                <w:rFonts w:ascii="Arial" w:hAnsi="Arial" w:cs="Arial"/>
                <w:b/>
                <w:bCs/>
                <w:color w:val="000000"/>
                <w:sz w:val="16"/>
                <w:szCs w:val="16"/>
              </w:rPr>
            </w:pPr>
            <w:r w:rsidRPr="00936A7A">
              <w:rPr>
                <w:rFonts w:ascii="Arial" w:hAnsi="Arial" w:cs="Arial"/>
                <w:b/>
                <w:bCs/>
                <w:color w:val="000000"/>
                <w:sz w:val="16"/>
                <w:szCs w:val="16"/>
              </w:rPr>
              <w:t>LESS:</w:t>
            </w:r>
          </w:p>
        </w:tc>
        <w:tc>
          <w:tcPr>
            <w:tcW w:w="578" w:type="pct"/>
            <w:tcBorders>
              <w:top w:val="nil"/>
              <w:left w:val="nil"/>
              <w:bottom w:val="nil"/>
              <w:right w:val="nil"/>
            </w:tcBorders>
            <w:shd w:val="clear" w:color="auto" w:fill="auto"/>
            <w:noWrap/>
            <w:vAlign w:val="bottom"/>
            <w:hideMark/>
          </w:tcPr>
          <w:p w14:paraId="6BCD40B7" w14:textId="77777777" w:rsidR="00936A7A" w:rsidRPr="00936A7A" w:rsidRDefault="00936A7A" w:rsidP="00936A7A">
            <w:pPr>
              <w:spacing w:after="0" w:line="240" w:lineRule="auto"/>
              <w:jc w:val="lef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bottom"/>
            <w:hideMark/>
          </w:tcPr>
          <w:p w14:paraId="3C38A138" w14:textId="77777777" w:rsidR="00936A7A" w:rsidRPr="00936A7A" w:rsidRDefault="00936A7A" w:rsidP="00936A7A">
            <w:pPr>
              <w:spacing w:after="0" w:line="240" w:lineRule="auto"/>
              <w:jc w:val="left"/>
              <w:rPr>
                <w:rFonts w:ascii="Arial" w:hAnsi="Arial" w:cs="Arial"/>
                <w:color w:val="000000"/>
                <w:sz w:val="16"/>
                <w:szCs w:val="16"/>
              </w:rPr>
            </w:pPr>
            <w:r w:rsidRPr="00936A7A">
              <w:rPr>
                <w:rFonts w:ascii="Arial" w:hAnsi="Arial" w:cs="Arial"/>
                <w:color w:val="000000"/>
                <w:sz w:val="16"/>
                <w:szCs w:val="16"/>
              </w:rPr>
              <w:t> </w:t>
            </w:r>
          </w:p>
        </w:tc>
        <w:tc>
          <w:tcPr>
            <w:tcW w:w="578" w:type="pct"/>
            <w:tcBorders>
              <w:top w:val="nil"/>
              <w:left w:val="nil"/>
              <w:bottom w:val="nil"/>
              <w:right w:val="nil"/>
            </w:tcBorders>
            <w:shd w:val="clear" w:color="auto" w:fill="auto"/>
            <w:noWrap/>
            <w:vAlign w:val="bottom"/>
            <w:hideMark/>
          </w:tcPr>
          <w:p w14:paraId="638DBB2E" w14:textId="77777777" w:rsidR="00936A7A" w:rsidRPr="00936A7A" w:rsidRDefault="00936A7A" w:rsidP="00936A7A">
            <w:pPr>
              <w:spacing w:after="0" w:line="240" w:lineRule="auto"/>
              <w:jc w:val="lef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4F52CBBF" w14:textId="77777777" w:rsidR="00936A7A" w:rsidRPr="00936A7A" w:rsidRDefault="00936A7A" w:rsidP="00936A7A">
            <w:pPr>
              <w:spacing w:after="0" w:line="240" w:lineRule="auto"/>
              <w:jc w:val="left"/>
              <w:rPr>
                <w:rFonts w:ascii="Times New Roman" w:hAnsi="Times New Roman"/>
              </w:rPr>
            </w:pPr>
          </w:p>
        </w:tc>
        <w:tc>
          <w:tcPr>
            <w:tcW w:w="578" w:type="pct"/>
            <w:tcBorders>
              <w:top w:val="nil"/>
              <w:left w:val="nil"/>
              <w:bottom w:val="nil"/>
              <w:right w:val="nil"/>
            </w:tcBorders>
            <w:shd w:val="clear" w:color="auto" w:fill="auto"/>
            <w:noWrap/>
            <w:vAlign w:val="bottom"/>
            <w:hideMark/>
          </w:tcPr>
          <w:p w14:paraId="365F37C7" w14:textId="77777777" w:rsidR="00936A7A" w:rsidRPr="00936A7A" w:rsidRDefault="00936A7A" w:rsidP="00936A7A">
            <w:pPr>
              <w:spacing w:after="0" w:line="240" w:lineRule="auto"/>
              <w:jc w:val="left"/>
              <w:rPr>
                <w:rFonts w:ascii="Times New Roman" w:hAnsi="Times New Roman"/>
              </w:rPr>
            </w:pPr>
          </w:p>
        </w:tc>
      </w:tr>
      <w:tr w:rsidR="00936A7A" w:rsidRPr="00936A7A" w14:paraId="3FC0F105" w14:textId="77777777" w:rsidTr="00936A7A">
        <w:trPr>
          <w:trHeight w:val="225"/>
        </w:trPr>
        <w:tc>
          <w:tcPr>
            <w:tcW w:w="2110" w:type="pct"/>
            <w:tcBorders>
              <w:top w:val="nil"/>
              <w:left w:val="nil"/>
              <w:bottom w:val="nil"/>
              <w:right w:val="nil"/>
            </w:tcBorders>
            <w:shd w:val="clear" w:color="auto" w:fill="auto"/>
            <w:noWrap/>
            <w:vAlign w:val="bottom"/>
            <w:hideMark/>
          </w:tcPr>
          <w:p w14:paraId="52BA0911" w14:textId="77777777" w:rsidR="00936A7A" w:rsidRPr="00936A7A" w:rsidRDefault="00936A7A" w:rsidP="00936A7A">
            <w:pPr>
              <w:spacing w:after="0" w:line="240" w:lineRule="auto"/>
              <w:jc w:val="left"/>
              <w:rPr>
                <w:rFonts w:ascii="Arial" w:hAnsi="Arial" w:cs="Arial"/>
                <w:b/>
                <w:bCs/>
                <w:color w:val="000000"/>
                <w:sz w:val="16"/>
                <w:szCs w:val="16"/>
              </w:rPr>
            </w:pPr>
            <w:r w:rsidRPr="00936A7A">
              <w:rPr>
                <w:rFonts w:ascii="Arial" w:hAnsi="Arial" w:cs="Arial"/>
                <w:b/>
                <w:bCs/>
                <w:color w:val="000000"/>
                <w:sz w:val="16"/>
                <w:szCs w:val="16"/>
              </w:rPr>
              <w:t>OWN-SOURCE INCOME</w:t>
            </w:r>
          </w:p>
        </w:tc>
        <w:tc>
          <w:tcPr>
            <w:tcW w:w="578" w:type="pct"/>
            <w:tcBorders>
              <w:top w:val="nil"/>
              <w:left w:val="nil"/>
              <w:bottom w:val="nil"/>
              <w:right w:val="nil"/>
            </w:tcBorders>
            <w:shd w:val="clear" w:color="auto" w:fill="auto"/>
            <w:noWrap/>
            <w:vAlign w:val="bottom"/>
            <w:hideMark/>
          </w:tcPr>
          <w:p w14:paraId="45FAC397" w14:textId="77777777" w:rsidR="00936A7A" w:rsidRPr="00936A7A" w:rsidRDefault="00936A7A" w:rsidP="00936A7A">
            <w:pPr>
              <w:spacing w:after="0" w:line="240" w:lineRule="auto"/>
              <w:jc w:val="lef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bottom"/>
            <w:hideMark/>
          </w:tcPr>
          <w:p w14:paraId="402E5FB5" w14:textId="77777777" w:rsidR="00936A7A" w:rsidRPr="00936A7A" w:rsidRDefault="00936A7A" w:rsidP="00936A7A">
            <w:pPr>
              <w:spacing w:after="0" w:line="240" w:lineRule="auto"/>
              <w:jc w:val="left"/>
              <w:rPr>
                <w:rFonts w:ascii="Arial" w:hAnsi="Arial" w:cs="Arial"/>
                <w:color w:val="000000"/>
                <w:sz w:val="16"/>
                <w:szCs w:val="16"/>
              </w:rPr>
            </w:pPr>
            <w:r w:rsidRPr="00936A7A">
              <w:rPr>
                <w:rFonts w:ascii="Arial" w:hAnsi="Arial" w:cs="Arial"/>
                <w:color w:val="000000"/>
                <w:sz w:val="16"/>
                <w:szCs w:val="16"/>
              </w:rPr>
              <w:t> </w:t>
            </w:r>
          </w:p>
        </w:tc>
        <w:tc>
          <w:tcPr>
            <w:tcW w:w="578" w:type="pct"/>
            <w:tcBorders>
              <w:top w:val="nil"/>
              <w:left w:val="nil"/>
              <w:bottom w:val="nil"/>
              <w:right w:val="nil"/>
            </w:tcBorders>
            <w:shd w:val="clear" w:color="auto" w:fill="auto"/>
            <w:noWrap/>
            <w:vAlign w:val="bottom"/>
            <w:hideMark/>
          </w:tcPr>
          <w:p w14:paraId="4E1A7327" w14:textId="77777777" w:rsidR="00936A7A" w:rsidRPr="00936A7A" w:rsidRDefault="00936A7A" w:rsidP="00936A7A">
            <w:pPr>
              <w:spacing w:after="0" w:line="240" w:lineRule="auto"/>
              <w:jc w:val="lef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67C0752F" w14:textId="77777777" w:rsidR="00936A7A" w:rsidRPr="00936A7A" w:rsidRDefault="00936A7A" w:rsidP="00936A7A">
            <w:pPr>
              <w:spacing w:after="0" w:line="240" w:lineRule="auto"/>
              <w:jc w:val="left"/>
              <w:rPr>
                <w:rFonts w:ascii="Times New Roman" w:hAnsi="Times New Roman"/>
              </w:rPr>
            </w:pPr>
          </w:p>
        </w:tc>
        <w:tc>
          <w:tcPr>
            <w:tcW w:w="578" w:type="pct"/>
            <w:tcBorders>
              <w:top w:val="nil"/>
              <w:left w:val="nil"/>
              <w:bottom w:val="nil"/>
              <w:right w:val="nil"/>
            </w:tcBorders>
            <w:shd w:val="clear" w:color="auto" w:fill="auto"/>
            <w:noWrap/>
            <w:vAlign w:val="bottom"/>
            <w:hideMark/>
          </w:tcPr>
          <w:p w14:paraId="5D5C79FE" w14:textId="77777777" w:rsidR="00936A7A" w:rsidRPr="00936A7A" w:rsidRDefault="00936A7A" w:rsidP="00936A7A">
            <w:pPr>
              <w:spacing w:after="0" w:line="240" w:lineRule="auto"/>
              <w:jc w:val="left"/>
              <w:rPr>
                <w:rFonts w:ascii="Times New Roman" w:hAnsi="Times New Roman"/>
              </w:rPr>
            </w:pPr>
          </w:p>
        </w:tc>
      </w:tr>
      <w:tr w:rsidR="00936A7A" w:rsidRPr="00936A7A" w14:paraId="60BEDE68" w14:textId="77777777" w:rsidTr="00936A7A">
        <w:trPr>
          <w:trHeight w:val="225"/>
        </w:trPr>
        <w:tc>
          <w:tcPr>
            <w:tcW w:w="2110" w:type="pct"/>
            <w:tcBorders>
              <w:top w:val="nil"/>
              <w:left w:val="nil"/>
              <w:bottom w:val="nil"/>
              <w:right w:val="nil"/>
            </w:tcBorders>
            <w:shd w:val="clear" w:color="auto" w:fill="auto"/>
            <w:noWrap/>
            <w:vAlign w:val="bottom"/>
            <w:hideMark/>
          </w:tcPr>
          <w:p w14:paraId="67EB2E4C" w14:textId="77777777" w:rsidR="00936A7A" w:rsidRPr="00936A7A" w:rsidRDefault="00936A7A" w:rsidP="00936A7A">
            <w:pPr>
              <w:spacing w:after="0" w:line="240" w:lineRule="auto"/>
              <w:jc w:val="left"/>
              <w:rPr>
                <w:rFonts w:ascii="Arial" w:hAnsi="Arial" w:cs="Arial"/>
                <w:b/>
                <w:bCs/>
                <w:color w:val="000000"/>
                <w:sz w:val="16"/>
                <w:szCs w:val="16"/>
              </w:rPr>
            </w:pPr>
            <w:r w:rsidRPr="00936A7A">
              <w:rPr>
                <w:rFonts w:ascii="Arial" w:hAnsi="Arial" w:cs="Arial"/>
                <w:b/>
                <w:bCs/>
                <w:color w:val="000000"/>
                <w:sz w:val="16"/>
                <w:szCs w:val="16"/>
              </w:rPr>
              <w:t>Own-source revenue</w:t>
            </w:r>
          </w:p>
        </w:tc>
        <w:tc>
          <w:tcPr>
            <w:tcW w:w="578" w:type="pct"/>
            <w:tcBorders>
              <w:top w:val="nil"/>
              <w:left w:val="nil"/>
              <w:bottom w:val="nil"/>
              <w:right w:val="nil"/>
            </w:tcBorders>
            <w:shd w:val="clear" w:color="auto" w:fill="auto"/>
            <w:noWrap/>
            <w:vAlign w:val="bottom"/>
            <w:hideMark/>
          </w:tcPr>
          <w:p w14:paraId="445BFF83" w14:textId="77777777" w:rsidR="00936A7A" w:rsidRPr="00936A7A" w:rsidRDefault="00936A7A" w:rsidP="00936A7A">
            <w:pPr>
              <w:spacing w:after="0" w:line="240" w:lineRule="auto"/>
              <w:jc w:val="lef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bottom"/>
            <w:hideMark/>
          </w:tcPr>
          <w:p w14:paraId="18661FA1" w14:textId="77777777" w:rsidR="00936A7A" w:rsidRPr="00936A7A" w:rsidRDefault="00936A7A" w:rsidP="00936A7A">
            <w:pPr>
              <w:spacing w:after="0" w:line="240" w:lineRule="auto"/>
              <w:jc w:val="left"/>
              <w:rPr>
                <w:rFonts w:ascii="Arial" w:hAnsi="Arial" w:cs="Arial"/>
                <w:color w:val="000000"/>
                <w:sz w:val="16"/>
                <w:szCs w:val="16"/>
              </w:rPr>
            </w:pPr>
            <w:r w:rsidRPr="00936A7A">
              <w:rPr>
                <w:rFonts w:ascii="Arial" w:hAnsi="Arial" w:cs="Arial"/>
                <w:color w:val="000000"/>
                <w:sz w:val="16"/>
                <w:szCs w:val="16"/>
              </w:rPr>
              <w:t> </w:t>
            </w:r>
          </w:p>
        </w:tc>
        <w:tc>
          <w:tcPr>
            <w:tcW w:w="578" w:type="pct"/>
            <w:tcBorders>
              <w:top w:val="nil"/>
              <w:left w:val="nil"/>
              <w:bottom w:val="nil"/>
              <w:right w:val="nil"/>
            </w:tcBorders>
            <w:shd w:val="clear" w:color="auto" w:fill="auto"/>
            <w:noWrap/>
            <w:vAlign w:val="bottom"/>
            <w:hideMark/>
          </w:tcPr>
          <w:p w14:paraId="20D83191" w14:textId="77777777" w:rsidR="00936A7A" w:rsidRPr="00936A7A" w:rsidRDefault="00936A7A" w:rsidP="00936A7A">
            <w:pPr>
              <w:spacing w:after="0" w:line="240" w:lineRule="auto"/>
              <w:jc w:val="lef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20F2457E" w14:textId="77777777" w:rsidR="00936A7A" w:rsidRPr="00936A7A" w:rsidRDefault="00936A7A" w:rsidP="00936A7A">
            <w:pPr>
              <w:spacing w:after="0" w:line="240" w:lineRule="auto"/>
              <w:jc w:val="left"/>
              <w:rPr>
                <w:rFonts w:ascii="Times New Roman" w:hAnsi="Times New Roman"/>
              </w:rPr>
            </w:pPr>
          </w:p>
        </w:tc>
        <w:tc>
          <w:tcPr>
            <w:tcW w:w="578" w:type="pct"/>
            <w:tcBorders>
              <w:top w:val="nil"/>
              <w:left w:val="nil"/>
              <w:bottom w:val="nil"/>
              <w:right w:val="nil"/>
            </w:tcBorders>
            <w:shd w:val="clear" w:color="auto" w:fill="auto"/>
            <w:noWrap/>
            <w:vAlign w:val="bottom"/>
            <w:hideMark/>
          </w:tcPr>
          <w:p w14:paraId="0960C6FF" w14:textId="77777777" w:rsidR="00936A7A" w:rsidRPr="00936A7A" w:rsidRDefault="00936A7A" w:rsidP="00936A7A">
            <w:pPr>
              <w:spacing w:after="0" w:line="240" w:lineRule="auto"/>
              <w:jc w:val="left"/>
              <w:rPr>
                <w:rFonts w:ascii="Times New Roman" w:hAnsi="Times New Roman"/>
              </w:rPr>
            </w:pPr>
          </w:p>
        </w:tc>
      </w:tr>
      <w:tr w:rsidR="00936A7A" w:rsidRPr="00936A7A" w14:paraId="02ED9854" w14:textId="77777777" w:rsidTr="00936A7A">
        <w:trPr>
          <w:trHeight w:val="225"/>
        </w:trPr>
        <w:tc>
          <w:tcPr>
            <w:tcW w:w="2110" w:type="pct"/>
            <w:tcBorders>
              <w:top w:val="nil"/>
              <w:left w:val="nil"/>
              <w:bottom w:val="nil"/>
              <w:right w:val="nil"/>
            </w:tcBorders>
            <w:shd w:val="clear" w:color="auto" w:fill="auto"/>
            <w:noWrap/>
            <w:vAlign w:val="bottom"/>
            <w:hideMark/>
          </w:tcPr>
          <w:p w14:paraId="15671759" w14:textId="77777777" w:rsidR="00936A7A" w:rsidRPr="00936A7A" w:rsidRDefault="00936A7A" w:rsidP="00936A7A">
            <w:pPr>
              <w:spacing w:after="0" w:line="240" w:lineRule="auto"/>
              <w:jc w:val="left"/>
              <w:rPr>
                <w:rFonts w:ascii="Arial" w:hAnsi="Arial" w:cs="Arial"/>
                <w:b/>
                <w:bCs/>
                <w:color w:val="000000"/>
                <w:sz w:val="16"/>
                <w:szCs w:val="16"/>
              </w:rPr>
            </w:pPr>
            <w:r w:rsidRPr="00936A7A">
              <w:rPr>
                <w:rFonts w:ascii="Arial" w:hAnsi="Arial" w:cs="Arial"/>
                <w:b/>
                <w:bCs/>
                <w:color w:val="000000"/>
                <w:sz w:val="16"/>
                <w:szCs w:val="16"/>
              </w:rPr>
              <w:t>Non-taxation revenue</w:t>
            </w:r>
          </w:p>
        </w:tc>
        <w:tc>
          <w:tcPr>
            <w:tcW w:w="578" w:type="pct"/>
            <w:tcBorders>
              <w:top w:val="nil"/>
              <w:left w:val="nil"/>
              <w:bottom w:val="nil"/>
              <w:right w:val="nil"/>
            </w:tcBorders>
            <w:shd w:val="clear" w:color="auto" w:fill="auto"/>
            <w:noWrap/>
            <w:vAlign w:val="bottom"/>
            <w:hideMark/>
          </w:tcPr>
          <w:p w14:paraId="2EF76376" w14:textId="77777777" w:rsidR="00936A7A" w:rsidRPr="00936A7A" w:rsidRDefault="00936A7A" w:rsidP="00936A7A">
            <w:pPr>
              <w:spacing w:after="0" w:line="240" w:lineRule="auto"/>
              <w:jc w:val="left"/>
              <w:rPr>
                <w:rFonts w:ascii="Arial" w:hAnsi="Arial" w:cs="Arial"/>
                <w:b/>
                <w:bCs/>
                <w:color w:val="000000"/>
                <w:sz w:val="16"/>
                <w:szCs w:val="16"/>
              </w:rPr>
            </w:pPr>
          </w:p>
        </w:tc>
        <w:tc>
          <w:tcPr>
            <w:tcW w:w="578" w:type="pct"/>
            <w:tcBorders>
              <w:top w:val="nil"/>
              <w:left w:val="nil"/>
              <w:bottom w:val="nil"/>
              <w:right w:val="nil"/>
            </w:tcBorders>
            <w:shd w:val="clear" w:color="000000" w:fill="E6E6E6"/>
            <w:noWrap/>
            <w:vAlign w:val="bottom"/>
            <w:hideMark/>
          </w:tcPr>
          <w:p w14:paraId="63AF6D32" w14:textId="77777777" w:rsidR="00936A7A" w:rsidRPr="00936A7A" w:rsidRDefault="00936A7A" w:rsidP="00936A7A">
            <w:pPr>
              <w:spacing w:after="0" w:line="240" w:lineRule="auto"/>
              <w:jc w:val="left"/>
              <w:rPr>
                <w:rFonts w:ascii="Arial" w:hAnsi="Arial" w:cs="Arial"/>
                <w:color w:val="000000"/>
                <w:sz w:val="16"/>
                <w:szCs w:val="16"/>
              </w:rPr>
            </w:pPr>
            <w:r w:rsidRPr="00936A7A">
              <w:rPr>
                <w:rFonts w:ascii="Arial" w:hAnsi="Arial" w:cs="Arial"/>
                <w:color w:val="000000"/>
                <w:sz w:val="16"/>
                <w:szCs w:val="16"/>
              </w:rPr>
              <w:t> </w:t>
            </w:r>
          </w:p>
        </w:tc>
        <w:tc>
          <w:tcPr>
            <w:tcW w:w="578" w:type="pct"/>
            <w:tcBorders>
              <w:top w:val="nil"/>
              <w:left w:val="nil"/>
              <w:bottom w:val="nil"/>
              <w:right w:val="nil"/>
            </w:tcBorders>
            <w:shd w:val="clear" w:color="auto" w:fill="auto"/>
            <w:noWrap/>
            <w:vAlign w:val="bottom"/>
            <w:hideMark/>
          </w:tcPr>
          <w:p w14:paraId="5BFD145E" w14:textId="77777777" w:rsidR="00936A7A" w:rsidRPr="00936A7A" w:rsidRDefault="00936A7A" w:rsidP="00936A7A">
            <w:pPr>
              <w:spacing w:after="0" w:line="240" w:lineRule="auto"/>
              <w:jc w:val="left"/>
              <w:rPr>
                <w:rFonts w:ascii="Arial" w:hAnsi="Arial" w:cs="Arial"/>
                <w:color w:val="000000"/>
                <w:sz w:val="16"/>
                <w:szCs w:val="16"/>
              </w:rPr>
            </w:pPr>
          </w:p>
        </w:tc>
        <w:tc>
          <w:tcPr>
            <w:tcW w:w="578" w:type="pct"/>
            <w:tcBorders>
              <w:top w:val="nil"/>
              <w:left w:val="nil"/>
              <w:bottom w:val="nil"/>
              <w:right w:val="nil"/>
            </w:tcBorders>
            <w:shd w:val="clear" w:color="auto" w:fill="auto"/>
            <w:noWrap/>
            <w:vAlign w:val="bottom"/>
            <w:hideMark/>
          </w:tcPr>
          <w:p w14:paraId="170347FF" w14:textId="77777777" w:rsidR="00936A7A" w:rsidRPr="00936A7A" w:rsidRDefault="00936A7A" w:rsidP="00936A7A">
            <w:pPr>
              <w:spacing w:after="0" w:line="240" w:lineRule="auto"/>
              <w:jc w:val="left"/>
              <w:rPr>
                <w:rFonts w:ascii="Times New Roman" w:hAnsi="Times New Roman"/>
              </w:rPr>
            </w:pPr>
          </w:p>
        </w:tc>
        <w:tc>
          <w:tcPr>
            <w:tcW w:w="578" w:type="pct"/>
            <w:tcBorders>
              <w:top w:val="nil"/>
              <w:left w:val="nil"/>
              <w:bottom w:val="nil"/>
              <w:right w:val="nil"/>
            </w:tcBorders>
            <w:shd w:val="clear" w:color="auto" w:fill="auto"/>
            <w:noWrap/>
            <w:vAlign w:val="bottom"/>
            <w:hideMark/>
          </w:tcPr>
          <w:p w14:paraId="73EDC00D" w14:textId="77777777" w:rsidR="00936A7A" w:rsidRPr="00936A7A" w:rsidRDefault="00936A7A" w:rsidP="00936A7A">
            <w:pPr>
              <w:spacing w:after="0" w:line="240" w:lineRule="auto"/>
              <w:jc w:val="left"/>
              <w:rPr>
                <w:rFonts w:ascii="Times New Roman" w:hAnsi="Times New Roman"/>
              </w:rPr>
            </w:pPr>
          </w:p>
        </w:tc>
      </w:tr>
      <w:tr w:rsidR="00936A7A" w:rsidRPr="00936A7A" w14:paraId="3FED4FCC" w14:textId="77777777" w:rsidTr="00936A7A">
        <w:trPr>
          <w:trHeight w:val="225"/>
        </w:trPr>
        <w:tc>
          <w:tcPr>
            <w:tcW w:w="2110" w:type="pct"/>
            <w:tcBorders>
              <w:top w:val="nil"/>
              <w:left w:val="nil"/>
              <w:bottom w:val="nil"/>
              <w:right w:val="nil"/>
            </w:tcBorders>
            <w:shd w:val="clear" w:color="auto" w:fill="auto"/>
            <w:noWrap/>
            <w:vAlign w:val="bottom"/>
            <w:hideMark/>
          </w:tcPr>
          <w:p w14:paraId="6FF98DAD" w14:textId="77777777" w:rsidR="00936A7A" w:rsidRPr="00936A7A" w:rsidRDefault="00936A7A" w:rsidP="00936A7A">
            <w:pPr>
              <w:spacing w:after="0" w:line="240" w:lineRule="auto"/>
              <w:ind w:firstLineChars="100" w:firstLine="160"/>
              <w:jc w:val="left"/>
              <w:rPr>
                <w:rFonts w:ascii="Arial" w:hAnsi="Arial" w:cs="Arial"/>
                <w:sz w:val="16"/>
                <w:szCs w:val="16"/>
              </w:rPr>
            </w:pPr>
            <w:r w:rsidRPr="00936A7A">
              <w:rPr>
                <w:rFonts w:ascii="Arial" w:hAnsi="Arial" w:cs="Arial"/>
                <w:sz w:val="16"/>
                <w:szCs w:val="16"/>
              </w:rPr>
              <w:t>Fines and costs</w:t>
            </w:r>
          </w:p>
        </w:tc>
        <w:tc>
          <w:tcPr>
            <w:tcW w:w="578" w:type="pct"/>
            <w:tcBorders>
              <w:top w:val="nil"/>
              <w:left w:val="nil"/>
              <w:bottom w:val="nil"/>
              <w:right w:val="nil"/>
            </w:tcBorders>
            <w:shd w:val="clear" w:color="auto" w:fill="auto"/>
            <w:noWrap/>
            <w:vAlign w:val="bottom"/>
            <w:hideMark/>
          </w:tcPr>
          <w:p w14:paraId="53BD2AC6" w14:textId="77777777" w:rsidR="00936A7A" w:rsidRPr="00936A7A" w:rsidRDefault="00936A7A" w:rsidP="00936A7A">
            <w:pPr>
              <w:spacing w:after="0" w:line="240" w:lineRule="auto"/>
              <w:jc w:val="right"/>
              <w:rPr>
                <w:rFonts w:ascii="Arial" w:hAnsi="Arial" w:cs="Arial"/>
                <w:color w:val="000000"/>
                <w:sz w:val="16"/>
                <w:szCs w:val="16"/>
              </w:rPr>
            </w:pPr>
            <w:r w:rsidRPr="00936A7A">
              <w:rPr>
                <w:rFonts w:ascii="Arial" w:hAnsi="Arial" w:cs="Arial"/>
                <w:color w:val="000000"/>
                <w:sz w:val="16"/>
                <w:szCs w:val="16"/>
              </w:rPr>
              <w:t xml:space="preserve">80,000 </w:t>
            </w:r>
          </w:p>
        </w:tc>
        <w:tc>
          <w:tcPr>
            <w:tcW w:w="578" w:type="pct"/>
            <w:tcBorders>
              <w:top w:val="nil"/>
              <w:left w:val="nil"/>
              <w:bottom w:val="nil"/>
              <w:right w:val="nil"/>
            </w:tcBorders>
            <w:shd w:val="clear" w:color="000000" w:fill="E6E6E6"/>
            <w:noWrap/>
            <w:vAlign w:val="bottom"/>
            <w:hideMark/>
          </w:tcPr>
          <w:p w14:paraId="1B1EC154" w14:textId="77777777" w:rsidR="00936A7A" w:rsidRPr="00936A7A" w:rsidRDefault="00936A7A" w:rsidP="00936A7A">
            <w:pPr>
              <w:spacing w:after="0" w:line="240" w:lineRule="auto"/>
              <w:jc w:val="right"/>
              <w:rPr>
                <w:rFonts w:ascii="Arial" w:hAnsi="Arial" w:cs="Arial"/>
                <w:color w:val="000000"/>
                <w:sz w:val="16"/>
                <w:szCs w:val="16"/>
              </w:rPr>
            </w:pPr>
            <w:r w:rsidRPr="00936A7A">
              <w:rPr>
                <w:rFonts w:ascii="Arial" w:hAnsi="Arial" w:cs="Arial"/>
                <w:color w:val="000000"/>
                <w:sz w:val="16"/>
                <w:szCs w:val="16"/>
              </w:rPr>
              <w:t xml:space="preserve">104,028 </w:t>
            </w:r>
          </w:p>
        </w:tc>
        <w:tc>
          <w:tcPr>
            <w:tcW w:w="578" w:type="pct"/>
            <w:tcBorders>
              <w:top w:val="nil"/>
              <w:left w:val="nil"/>
              <w:bottom w:val="nil"/>
              <w:right w:val="nil"/>
            </w:tcBorders>
            <w:shd w:val="clear" w:color="auto" w:fill="auto"/>
            <w:noWrap/>
            <w:vAlign w:val="bottom"/>
            <w:hideMark/>
          </w:tcPr>
          <w:p w14:paraId="05EB6D5D" w14:textId="77777777" w:rsidR="00936A7A" w:rsidRPr="00936A7A" w:rsidRDefault="00936A7A" w:rsidP="00936A7A">
            <w:pPr>
              <w:spacing w:after="0" w:line="240" w:lineRule="auto"/>
              <w:jc w:val="right"/>
              <w:rPr>
                <w:rFonts w:ascii="Arial" w:hAnsi="Arial" w:cs="Arial"/>
                <w:color w:val="000000"/>
                <w:sz w:val="16"/>
                <w:szCs w:val="16"/>
              </w:rPr>
            </w:pPr>
            <w:r w:rsidRPr="00936A7A">
              <w:rPr>
                <w:rFonts w:ascii="Arial" w:hAnsi="Arial" w:cs="Arial"/>
                <w:color w:val="000000"/>
                <w:sz w:val="16"/>
                <w:szCs w:val="16"/>
              </w:rPr>
              <w:t xml:space="preserve">120,724 </w:t>
            </w:r>
          </w:p>
        </w:tc>
        <w:tc>
          <w:tcPr>
            <w:tcW w:w="578" w:type="pct"/>
            <w:tcBorders>
              <w:top w:val="nil"/>
              <w:left w:val="nil"/>
              <w:bottom w:val="nil"/>
              <w:right w:val="nil"/>
            </w:tcBorders>
            <w:shd w:val="clear" w:color="auto" w:fill="auto"/>
            <w:noWrap/>
            <w:vAlign w:val="bottom"/>
            <w:hideMark/>
          </w:tcPr>
          <w:p w14:paraId="33CF44F4" w14:textId="77777777" w:rsidR="00936A7A" w:rsidRPr="00936A7A" w:rsidRDefault="00936A7A" w:rsidP="00936A7A">
            <w:pPr>
              <w:spacing w:after="0" w:line="240" w:lineRule="auto"/>
              <w:jc w:val="right"/>
              <w:rPr>
                <w:rFonts w:ascii="Arial" w:hAnsi="Arial" w:cs="Arial"/>
                <w:color w:val="000000"/>
                <w:sz w:val="16"/>
                <w:szCs w:val="16"/>
              </w:rPr>
            </w:pPr>
            <w:r w:rsidRPr="00936A7A">
              <w:rPr>
                <w:rFonts w:ascii="Arial" w:hAnsi="Arial" w:cs="Arial"/>
                <w:color w:val="000000"/>
                <w:sz w:val="16"/>
                <w:szCs w:val="16"/>
              </w:rPr>
              <w:t xml:space="preserve">137,498 </w:t>
            </w:r>
          </w:p>
        </w:tc>
        <w:tc>
          <w:tcPr>
            <w:tcW w:w="578" w:type="pct"/>
            <w:tcBorders>
              <w:top w:val="nil"/>
              <w:left w:val="nil"/>
              <w:bottom w:val="nil"/>
              <w:right w:val="nil"/>
            </w:tcBorders>
            <w:shd w:val="clear" w:color="auto" w:fill="auto"/>
            <w:noWrap/>
            <w:vAlign w:val="bottom"/>
            <w:hideMark/>
          </w:tcPr>
          <w:p w14:paraId="31951903" w14:textId="77777777" w:rsidR="00936A7A" w:rsidRPr="00936A7A" w:rsidRDefault="00936A7A" w:rsidP="00936A7A">
            <w:pPr>
              <w:spacing w:after="0" w:line="240" w:lineRule="auto"/>
              <w:jc w:val="right"/>
              <w:rPr>
                <w:rFonts w:ascii="Arial" w:hAnsi="Arial" w:cs="Arial"/>
                <w:color w:val="000000"/>
                <w:sz w:val="16"/>
                <w:szCs w:val="16"/>
              </w:rPr>
            </w:pPr>
            <w:r w:rsidRPr="00936A7A">
              <w:rPr>
                <w:rFonts w:ascii="Arial" w:hAnsi="Arial" w:cs="Arial"/>
                <w:color w:val="000000"/>
                <w:sz w:val="16"/>
                <w:szCs w:val="16"/>
              </w:rPr>
              <w:t xml:space="preserve">137,478 </w:t>
            </w:r>
          </w:p>
        </w:tc>
      </w:tr>
      <w:tr w:rsidR="00936A7A" w:rsidRPr="00936A7A" w14:paraId="79D0309C" w14:textId="77777777" w:rsidTr="00936A7A">
        <w:trPr>
          <w:trHeight w:val="225"/>
        </w:trPr>
        <w:tc>
          <w:tcPr>
            <w:tcW w:w="2110" w:type="pct"/>
            <w:tcBorders>
              <w:top w:val="nil"/>
              <w:left w:val="nil"/>
              <w:bottom w:val="nil"/>
              <w:right w:val="nil"/>
            </w:tcBorders>
            <w:shd w:val="clear" w:color="auto" w:fill="auto"/>
            <w:noWrap/>
            <w:vAlign w:val="bottom"/>
            <w:hideMark/>
          </w:tcPr>
          <w:p w14:paraId="0E1B186F" w14:textId="77777777" w:rsidR="00936A7A" w:rsidRPr="00936A7A" w:rsidRDefault="00936A7A" w:rsidP="00936A7A">
            <w:pPr>
              <w:spacing w:after="0" w:line="240" w:lineRule="auto"/>
              <w:jc w:val="left"/>
              <w:rPr>
                <w:rFonts w:ascii="Arial" w:hAnsi="Arial" w:cs="Arial"/>
                <w:b/>
                <w:bCs/>
                <w:i/>
                <w:iCs/>
                <w:color w:val="000000"/>
                <w:sz w:val="16"/>
                <w:szCs w:val="16"/>
              </w:rPr>
            </w:pPr>
            <w:r w:rsidRPr="00936A7A">
              <w:rPr>
                <w:rFonts w:ascii="Arial" w:hAnsi="Arial" w:cs="Arial"/>
                <w:b/>
                <w:bCs/>
                <w:i/>
                <w:iCs/>
                <w:color w:val="000000"/>
                <w:sz w:val="16"/>
                <w:szCs w:val="16"/>
              </w:rPr>
              <w:t>Total non-taxation revenue</w:t>
            </w:r>
          </w:p>
        </w:tc>
        <w:tc>
          <w:tcPr>
            <w:tcW w:w="578" w:type="pct"/>
            <w:tcBorders>
              <w:top w:val="single" w:sz="4" w:space="0" w:color="auto"/>
              <w:left w:val="nil"/>
              <w:bottom w:val="single" w:sz="4" w:space="0" w:color="auto"/>
              <w:right w:val="nil"/>
            </w:tcBorders>
            <w:shd w:val="clear" w:color="auto" w:fill="auto"/>
            <w:noWrap/>
            <w:vAlign w:val="bottom"/>
            <w:hideMark/>
          </w:tcPr>
          <w:p w14:paraId="40850D33" w14:textId="77777777" w:rsidR="00936A7A" w:rsidRPr="00936A7A" w:rsidRDefault="00936A7A" w:rsidP="00936A7A">
            <w:pPr>
              <w:spacing w:after="0" w:line="240" w:lineRule="auto"/>
              <w:jc w:val="right"/>
              <w:rPr>
                <w:rFonts w:ascii="Arial" w:hAnsi="Arial" w:cs="Arial"/>
                <w:b/>
                <w:bCs/>
                <w:i/>
                <w:iCs/>
                <w:color w:val="000000"/>
                <w:sz w:val="16"/>
                <w:szCs w:val="16"/>
              </w:rPr>
            </w:pPr>
            <w:r w:rsidRPr="00936A7A">
              <w:rPr>
                <w:rFonts w:ascii="Arial" w:hAnsi="Arial" w:cs="Arial"/>
                <w:b/>
                <w:bCs/>
                <w:i/>
                <w:iCs/>
                <w:color w:val="000000"/>
                <w:sz w:val="16"/>
                <w:szCs w:val="16"/>
              </w:rPr>
              <w:t xml:space="preserve">80,000 </w:t>
            </w:r>
          </w:p>
        </w:tc>
        <w:tc>
          <w:tcPr>
            <w:tcW w:w="578" w:type="pct"/>
            <w:tcBorders>
              <w:top w:val="single" w:sz="4" w:space="0" w:color="auto"/>
              <w:left w:val="nil"/>
              <w:bottom w:val="single" w:sz="4" w:space="0" w:color="auto"/>
              <w:right w:val="nil"/>
            </w:tcBorders>
            <w:shd w:val="clear" w:color="000000" w:fill="E6E6E6"/>
            <w:noWrap/>
            <w:vAlign w:val="bottom"/>
            <w:hideMark/>
          </w:tcPr>
          <w:p w14:paraId="4B58442E" w14:textId="77777777" w:rsidR="00936A7A" w:rsidRPr="00936A7A" w:rsidRDefault="00936A7A" w:rsidP="00936A7A">
            <w:pPr>
              <w:spacing w:after="0" w:line="240" w:lineRule="auto"/>
              <w:jc w:val="right"/>
              <w:rPr>
                <w:rFonts w:ascii="Arial" w:hAnsi="Arial" w:cs="Arial"/>
                <w:b/>
                <w:bCs/>
                <w:i/>
                <w:iCs/>
                <w:color w:val="000000"/>
                <w:sz w:val="16"/>
                <w:szCs w:val="16"/>
              </w:rPr>
            </w:pPr>
            <w:r w:rsidRPr="00936A7A">
              <w:rPr>
                <w:rFonts w:ascii="Arial" w:hAnsi="Arial" w:cs="Arial"/>
                <w:b/>
                <w:bCs/>
                <w:i/>
                <w:iCs/>
                <w:color w:val="000000"/>
                <w:sz w:val="16"/>
                <w:szCs w:val="16"/>
              </w:rPr>
              <w:t xml:space="preserve">104,028 </w:t>
            </w:r>
          </w:p>
        </w:tc>
        <w:tc>
          <w:tcPr>
            <w:tcW w:w="578" w:type="pct"/>
            <w:tcBorders>
              <w:top w:val="single" w:sz="4" w:space="0" w:color="auto"/>
              <w:left w:val="nil"/>
              <w:bottom w:val="single" w:sz="4" w:space="0" w:color="auto"/>
              <w:right w:val="nil"/>
            </w:tcBorders>
            <w:shd w:val="clear" w:color="auto" w:fill="auto"/>
            <w:noWrap/>
            <w:vAlign w:val="bottom"/>
            <w:hideMark/>
          </w:tcPr>
          <w:p w14:paraId="143C6CB5" w14:textId="77777777" w:rsidR="00936A7A" w:rsidRPr="00936A7A" w:rsidRDefault="00936A7A" w:rsidP="00936A7A">
            <w:pPr>
              <w:spacing w:after="0" w:line="240" w:lineRule="auto"/>
              <w:jc w:val="right"/>
              <w:rPr>
                <w:rFonts w:ascii="Arial" w:hAnsi="Arial" w:cs="Arial"/>
                <w:b/>
                <w:bCs/>
                <w:i/>
                <w:iCs/>
                <w:color w:val="000000"/>
                <w:sz w:val="16"/>
                <w:szCs w:val="16"/>
              </w:rPr>
            </w:pPr>
            <w:r w:rsidRPr="00936A7A">
              <w:rPr>
                <w:rFonts w:ascii="Arial" w:hAnsi="Arial" w:cs="Arial"/>
                <w:b/>
                <w:bCs/>
                <w:i/>
                <w:iCs/>
                <w:color w:val="000000"/>
                <w:sz w:val="16"/>
                <w:szCs w:val="16"/>
              </w:rPr>
              <w:t xml:space="preserve">120,724 </w:t>
            </w:r>
          </w:p>
        </w:tc>
        <w:tc>
          <w:tcPr>
            <w:tcW w:w="578" w:type="pct"/>
            <w:tcBorders>
              <w:top w:val="single" w:sz="4" w:space="0" w:color="auto"/>
              <w:left w:val="nil"/>
              <w:bottom w:val="single" w:sz="4" w:space="0" w:color="auto"/>
              <w:right w:val="nil"/>
            </w:tcBorders>
            <w:shd w:val="clear" w:color="auto" w:fill="auto"/>
            <w:noWrap/>
            <w:vAlign w:val="bottom"/>
            <w:hideMark/>
          </w:tcPr>
          <w:p w14:paraId="6D2326FB" w14:textId="77777777" w:rsidR="00936A7A" w:rsidRPr="00936A7A" w:rsidRDefault="00936A7A" w:rsidP="00936A7A">
            <w:pPr>
              <w:spacing w:after="0" w:line="240" w:lineRule="auto"/>
              <w:jc w:val="right"/>
              <w:rPr>
                <w:rFonts w:ascii="Arial" w:hAnsi="Arial" w:cs="Arial"/>
                <w:b/>
                <w:bCs/>
                <w:i/>
                <w:iCs/>
                <w:color w:val="000000"/>
                <w:sz w:val="16"/>
                <w:szCs w:val="16"/>
              </w:rPr>
            </w:pPr>
            <w:r w:rsidRPr="00936A7A">
              <w:rPr>
                <w:rFonts w:ascii="Arial" w:hAnsi="Arial" w:cs="Arial"/>
                <w:b/>
                <w:bCs/>
                <w:i/>
                <w:iCs/>
                <w:color w:val="000000"/>
                <w:sz w:val="16"/>
                <w:szCs w:val="16"/>
              </w:rPr>
              <w:t xml:space="preserve">137,498 </w:t>
            </w:r>
          </w:p>
        </w:tc>
        <w:tc>
          <w:tcPr>
            <w:tcW w:w="578" w:type="pct"/>
            <w:tcBorders>
              <w:top w:val="single" w:sz="4" w:space="0" w:color="auto"/>
              <w:left w:val="nil"/>
              <w:bottom w:val="single" w:sz="4" w:space="0" w:color="auto"/>
              <w:right w:val="nil"/>
            </w:tcBorders>
            <w:shd w:val="clear" w:color="auto" w:fill="auto"/>
            <w:noWrap/>
            <w:vAlign w:val="bottom"/>
            <w:hideMark/>
          </w:tcPr>
          <w:p w14:paraId="789B531B" w14:textId="77777777" w:rsidR="00936A7A" w:rsidRPr="00936A7A" w:rsidRDefault="00936A7A" w:rsidP="00936A7A">
            <w:pPr>
              <w:spacing w:after="0" w:line="240" w:lineRule="auto"/>
              <w:jc w:val="right"/>
              <w:rPr>
                <w:rFonts w:ascii="Arial" w:hAnsi="Arial" w:cs="Arial"/>
                <w:b/>
                <w:bCs/>
                <w:i/>
                <w:iCs/>
                <w:color w:val="000000"/>
                <w:sz w:val="16"/>
                <w:szCs w:val="16"/>
              </w:rPr>
            </w:pPr>
            <w:r w:rsidRPr="00936A7A">
              <w:rPr>
                <w:rFonts w:ascii="Arial" w:hAnsi="Arial" w:cs="Arial"/>
                <w:b/>
                <w:bCs/>
                <w:i/>
                <w:iCs/>
                <w:color w:val="000000"/>
                <w:sz w:val="16"/>
                <w:szCs w:val="16"/>
              </w:rPr>
              <w:t xml:space="preserve">137,478 </w:t>
            </w:r>
          </w:p>
        </w:tc>
      </w:tr>
      <w:tr w:rsidR="00936A7A" w:rsidRPr="00936A7A" w14:paraId="75C7AF3F" w14:textId="77777777" w:rsidTr="00936A7A">
        <w:trPr>
          <w:trHeight w:val="630"/>
        </w:trPr>
        <w:tc>
          <w:tcPr>
            <w:tcW w:w="2110" w:type="pct"/>
            <w:tcBorders>
              <w:top w:val="nil"/>
              <w:left w:val="nil"/>
              <w:bottom w:val="nil"/>
              <w:right w:val="nil"/>
            </w:tcBorders>
            <w:shd w:val="clear" w:color="auto" w:fill="auto"/>
            <w:vAlign w:val="bottom"/>
            <w:hideMark/>
          </w:tcPr>
          <w:p w14:paraId="42E5CFFA" w14:textId="77777777" w:rsidR="00936A7A" w:rsidRPr="00936A7A" w:rsidRDefault="00936A7A" w:rsidP="00936A7A">
            <w:pPr>
              <w:spacing w:after="0" w:line="240" w:lineRule="auto"/>
              <w:jc w:val="left"/>
              <w:rPr>
                <w:rFonts w:ascii="Arial" w:hAnsi="Arial" w:cs="Arial"/>
                <w:b/>
                <w:bCs/>
                <w:color w:val="000000"/>
                <w:sz w:val="16"/>
                <w:szCs w:val="16"/>
              </w:rPr>
            </w:pPr>
            <w:r w:rsidRPr="00936A7A">
              <w:rPr>
                <w:rFonts w:ascii="Arial" w:hAnsi="Arial" w:cs="Arial"/>
                <w:b/>
                <w:bCs/>
                <w:color w:val="000000"/>
                <w:sz w:val="16"/>
                <w:szCs w:val="16"/>
              </w:rPr>
              <w:t>Total own-source revenue</w:t>
            </w:r>
            <w:r w:rsidRPr="00936A7A">
              <w:rPr>
                <w:rFonts w:ascii="Arial" w:hAnsi="Arial" w:cs="Arial"/>
                <w:b/>
                <w:bCs/>
                <w:color w:val="000000"/>
                <w:sz w:val="16"/>
                <w:szCs w:val="16"/>
              </w:rPr>
              <w:br/>
              <w:t xml:space="preserve">  administered on behalf of</w:t>
            </w:r>
            <w:r w:rsidRPr="00936A7A">
              <w:rPr>
                <w:rFonts w:ascii="Arial" w:hAnsi="Arial" w:cs="Arial"/>
                <w:b/>
                <w:bCs/>
                <w:color w:val="000000"/>
                <w:sz w:val="16"/>
                <w:szCs w:val="16"/>
              </w:rPr>
              <w:br/>
              <w:t xml:space="preserve">  Government</w:t>
            </w:r>
          </w:p>
        </w:tc>
        <w:tc>
          <w:tcPr>
            <w:tcW w:w="578" w:type="pct"/>
            <w:tcBorders>
              <w:top w:val="nil"/>
              <w:left w:val="nil"/>
              <w:bottom w:val="single" w:sz="4" w:space="0" w:color="auto"/>
              <w:right w:val="nil"/>
            </w:tcBorders>
            <w:shd w:val="clear" w:color="auto" w:fill="auto"/>
            <w:noWrap/>
            <w:vAlign w:val="bottom"/>
            <w:hideMark/>
          </w:tcPr>
          <w:p w14:paraId="056874AD" w14:textId="77777777" w:rsidR="00936A7A" w:rsidRPr="00936A7A" w:rsidRDefault="00936A7A" w:rsidP="00936A7A">
            <w:pPr>
              <w:spacing w:after="0" w:line="240" w:lineRule="auto"/>
              <w:jc w:val="right"/>
              <w:rPr>
                <w:rFonts w:ascii="Arial" w:hAnsi="Arial" w:cs="Arial"/>
                <w:b/>
                <w:bCs/>
                <w:color w:val="000000"/>
                <w:sz w:val="16"/>
                <w:szCs w:val="16"/>
              </w:rPr>
            </w:pPr>
            <w:r w:rsidRPr="00936A7A">
              <w:rPr>
                <w:rFonts w:ascii="Arial" w:hAnsi="Arial" w:cs="Arial"/>
                <w:b/>
                <w:bCs/>
                <w:color w:val="000000"/>
                <w:sz w:val="16"/>
                <w:szCs w:val="16"/>
              </w:rPr>
              <w:t xml:space="preserve">80,000 </w:t>
            </w:r>
          </w:p>
        </w:tc>
        <w:tc>
          <w:tcPr>
            <w:tcW w:w="578" w:type="pct"/>
            <w:tcBorders>
              <w:top w:val="nil"/>
              <w:left w:val="nil"/>
              <w:bottom w:val="single" w:sz="4" w:space="0" w:color="auto"/>
              <w:right w:val="nil"/>
            </w:tcBorders>
            <w:shd w:val="clear" w:color="000000" w:fill="E6E6E6"/>
            <w:noWrap/>
            <w:vAlign w:val="bottom"/>
            <w:hideMark/>
          </w:tcPr>
          <w:p w14:paraId="1350D5EF" w14:textId="77777777" w:rsidR="00936A7A" w:rsidRPr="00936A7A" w:rsidRDefault="00936A7A" w:rsidP="00936A7A">
            <w:pPr>
              <w:spacing w:after="0" w:line="240" w:lineRule="auto"/>
              <w:jc w:val="right"/>
              <w:rPr>
                <w:rFonts w:ascii="Arial" w:hAnsi="Arial" w:cs="Arial"/>
                <w:b/>
                <w:bCs/>
                <w:color w:val="000000"/>
                <w:sz w:val="16"/>
                <w:szCs w:val="16"/>
              </w:rPr>
            </w:pPr>
            <w:r w:rsidRPr="00936A7A">
              <w:rPr>
                <w:rFonts w:ascii="Arial" w:hAnsi="Arial" w:cs="Arial"/>
                <w:b/>
                <w:bCs/>
                <w:color w:val="000000"/>
                <w:sz w:val="16"/>
                <w:szCs w:val="16"/>
              </w:rPr>
              <w:t xml:space="preserve">104,028 </w:t>
            </w:r>
          </w:p>
        </w:tc>
        <w:tc>
          <w:tcPr>
            <w:tcW w:w="578" w:type="pct"/>
            <w:tcBorders>
              <w:top w:val="nil"/>
              <w:left w:val="nil"/>
              <w:bottom w:val="single" w:sz="4" w:space="0" w:color="auto"/>
              <w:right w:val="nil"/>
            </w:tcBorders>
            <w:shd w:val="clear" w:color="auto" w:fill="auto"/>
            <w:noWrap/>
            <w:vAlign w:val="bottom"/>
            <w:hideMark/>
          </w:tcPr>
          <w:p w14:paraId="1F2BF76F" w14:textId="77777777" w:rsidR="00936A7A" w:rsidRPr="00936A7A" w:rsidRDefault="00936A7A" w:rsidP="00936A7A">
            <w:pPr>
              <w:spacing w:after="0" w:line="240" w:lineRule="auto"/>
              <w:jc w:val="right"/>
              <w:rPr>
                <w:rFonts w:ascii="Arial" w:hAnsi="Arial" w:cs="Arial"/>
                <w:b/>
                <w:bCs/>
                <w:color w:val="000000"/>
                <w:sz w:val="16"/>
                <w:szCs w:val="16"/>
              </w:rPr>
            </w:pPr>
            <w:r w:rsidRPr="00936A7A">
              <w:rPr>
                <w:rFonts w:ascii="Arial" w:hAnsi="Arial" w:cs="Arial"/>
                <w:b/>
                <w:bCs/>
                <w:color w:val="000000"/>
                <w:sz w:val="16"/>
                <w:szCs w:val="16"/>
              </w:rPr>
              <w:t xml:space="preserve">120,724 </w:t>
            </w:r>
          </w:p>
        </w:tc>
        <w:tc>
          <w:tcPr>
            <w:tcW w:w="578" w:type="pct"/>
            <w:tcBorders>
              <w:top w:val="nil"/>
              <w:left w:val="nil"/>
              <w:bottom w:val="single" w:sz="4" w:space="0" w:color="auto"/>
              <w:right w:val="nil"/>
            </w:tcBorders>
            <w:shd w:val="clear" w:color="auto" w:fill="auto"/>
            <w:noWrap/>
            <w:vAlign w:val="bottom"/>
            <w:hideMark/>
          </w:tcPr>
          <w:p w14:paraId="74C02D58" w14:textId="77777777" w:rsidR="00936A7A" w:rsidRPr="00936A7A" w:rsidRDefault="00936A7A" w:rsidP="00936A7A">
            <w:pPr>
              <w:spacing w:after="0" w:line="240" w:lineRule="auto"/>
              <w:jc w:val="right"/>
              <w:rPr>
                <w:rFonts w:ascii="Arial" w:hAnsi="Arial" w:cs="Arial"/>
                <w:b/>
                <w:bCs/>
                <w:color w:val="000000"/>
                <w:sz w:val="16"/>
                <w:szCs w:val="16"/>
              </w:rPr>
            </w:pPr>
            <w:r w:rsidRPr="00936A7A">
              <w:rPr>
                <w:rFonts w:ascii="Arial" w:hAnsi="Arial" w:cs="Arial"/>
                <w:b/>
                <w:bCs/>
                <w:color w:val="000000"/>
                <w:sz w:val="16"/>
                <w:szCs w:val="16"/>
              </w:rPr>
              <w:t xml:space="preserve">137,498 </w:t>
            </w:r>
          </w:p>
        </w:tc>
        <w:tc>
          <w:tcPr>
            <w:tcW w:w="578" w:type="pct"/>
            <w:tcBorders>
              <w:top w:val="nil"/>
              <w:left w:val="nil"/>
              <w:bottom w:val="single" w:sz="4" w:space="0" w:color="auto"/>
              <w:right w:val="nil"/>
            </w:tcBorders>
            <w:shd w:val="clear" w:color="auto" w:fill="auto"/>
            <w:noWrap/>
            <w:vAlign w:val="bottom"/>
            <w:hideMark/>
          </w:tcPr>
          <w:p w14:paraId="0B9888E0" w14:textId="77777777" w:rsidR="00936A7A" w:rsidRPr="00936A7A" w:rsidRDefault="00936A7A" w:rsidP="00936A7A">
            <w:pPr>
              <w:spacing w:after="0" w:line="240" w:lineRule="auto"/>
              <w:jc w:val="right"/>
              <w:rPr>
                <w:rFonts w:ascii="Arial" w:hAnsi="Arial" w:cs="Arial"/>
                <w:b/>
                <w:bCs/>
                <w:color w:val="000000"/>
                <w:sz w:val="16"/>
                <w:szCs w:val="16"/>
              </w:rPr>
            </w:pPr>
            <w:r w:rsidRPr="00936A7A">
              <w:rPr>
                <w:rFonts w:ascii="Arial" w:hAnsi="Arial" w:cs="Arial"/>
                <w:b/>
                <w:bCs/>
                <w:color w:val="000000"/>
                <w:sz w:val="16"/>
                <w:szCs w:val="16"/>
              </w:rPr>
              <w:t xml:space="preserve">137,478 </w:t>
            </w:r>
          </w:p>
        </w:tc>
      </w:tr>
      <w:tr w:rsidR="00936A7A" w:rsidRPr="00936A7A" w14:paraId="6B6AC4B7" w14:textId="77777777" w:rsidTr="00936A7A">
        <w:trPr>
          <w:trHeight w:val="630"/>
        </w:trPr>
        <w:tc>
          <w:tcPr>
            <w:tcW w:w="2110" w:type="pct"/>
            <w:tcBorders>
              <w:top w:val="nil"/>
              <w:left w:val="nil"/>
              <w:bottom w:val="nil"/>
              <w:right w:val="nil"/>
            </w:tcBorders>
            <w:shd w:val="clear" w:color="auto" w:fill="auto"/>
            <w:vAlign w:val="bottom"/>
            <w:hideMark/>
          </w:tcPr>
          <w:p w14:paraId="089AF4BC" w14:textId="77777777" w:rsidR="00936A7A" w:rsidRPr="00936A7A" w:rsidRDefault="00936A7A" w:rsidP="00936A7A">
            <w:pPr>
              <w:spacing w:after="0" w:line="240" w:lineRule="auto"/>
              <w:jc w:val="left"/>
              <w:rPr>
                <w:rFonts w:ascii="Arial" w:hAnsi="Arial" w:cs="Arial"/>
                <w:b/>
                <w:bCs/>
                <w:color w:val="000000"/>
                <w:sz w:val="16"/>
                <w:szCs w:val="16"/>
              </w:rPr>
            </w:pPr>
            <w:r w:rsidRPr="00936A7A">
              <w:rPr>
                <w:rFonts w:ascii="Arial" w:hAnsi="Arial" w:cs="Arial"/>
                <w:b/>
                <w:bCs/>
                <w:color w:val="000000"/>
                <w:sz w:val="16"/>
                <w:szCs w:val="16"/>
              </w:rPr>
              <w:t>Total own-sourced income</w:t>
            </w:r>
            <w:r w:rsidRPr="00936A7A">
              <w:rPr>
                <w:rFonts w:ascii="Arial" w:hAnsi="Arial" w:cs="Arial"/>
                <w:b/>
                <w:bCs/>
                <w:color w:val="000000"/>
                <w:sz w:val="16"/>
                <w:szCs w:val="16"/>
              </w:rPr>
              <w:br/>
              <w:t xml:space="preserve">  administered on behalf of</w:t>
            </w:r>
            <w:r w:rsidRPr="00936A7A">
              <w:rPr>
                <w:rFonts w:ascii="Arial" w:hAnsi="Arial" w:cs="Arial"/>
                <w:b/>
                <w:bCs/>
                <w:color w:val="000000"/>
                <w:sz w:val="16"/>
                <w:szCs w:val="16"/>
              </w:rPr>
              <w:br/>
              <w:t xml:space="preserve">  Government</w:t>
            </w:r>
          </w:p>
        </w:tc>
        <w:tc>
          <w:tcPr>
            <w:tcW w:w="578" w:type="pct"/>
            <w:tcBorders>
              <w:top w:val="nil"/>
              <w:left w:val="nil"/>
              <w:bottom w:val="single" w:sz="4" w:space="0" w:color="auto"/>
              <w:right w:val="nil"/>
            </w:tcBorders>
            <w:shd w:val="clear" w:color="auto" w:fill="auto"/>
            <w:noWrap/>
            <w:vAlign w:val="bottom"/>
            <w:hideMark/>
          </w:tcPr>
          <w:p w14:paraId="3BAB72B1" w14:textId="77777777" w:rsidR="00936A7A" w:rsidRPr="00936A7A" w:rsidRDefault="00936A7A" w:rsidP="00936A7A">
            <w:pPr>
              <w:spacing w:after="0" w:line="240" w:lineRule="auto"/>
              <w:jc w:val="right"/>
              <w:rPr>
                <w:rFonts w:ascii="Arial" w:hAnsi="Arial" w:cs="Arial"/>
                <w:b/>
                <w:bCs/>
                <w:color w:val="000000"/>
                <w:sz w:val="16"/>
                <w:szCs w:val="16"/>
              </w:rPr>
            </w:pPr>
            <w:r w:rsidRPr="00936A7A">
              <w:rPr>
                <w:rFonts w:ascii="Arial" w:hAnsi="Arial" w:cs="Arial"/>
                <w:b/>
                <w:bCs/>
                <w:color w:val="000000"/>
                <w:sz w:val="16"/>
                <w:szCs w:val="16"/>
              </w:rPr>
              <w:t xml:space="preserve">80,000 </w:t>
            </w:r>
          </w:p>
        </w:tc>
        <w:tc>
          <w:tcPr>
            <w:tcW w:w="578" w:type="pct"/>
            <w:tcBorders>
              <w:top w:val="nil"/>
              <w:left w:val="nil"/>
              <w:bottom w:val="single" w:sz="4" w:space="0" w:color="auto"/>
              <w:right w:val="nil"/>
            </w:tcBorders>
            <w:shd w:val="clear" w:color="000000" w:fill="E6E6E6"/>
            <w:noWrap/>
            <w:vAlign w:val="bottom"/>
            <w:hideMark/>
          </w:tcPr>
          <w:p w14:paraId="3B5BB217" w14:textId="77777777" w:rsidR="00936A7A" w:rsidRPr="00936A7A" w:rsidRDefault="00936A7A" w:rsidP="00936A7A">
            <w:pPr>
              <w:spacing w:after="0" w:line="240" w:lineRule="auto"/>
              <w:jc w:val="right"/>
              <w:rPr>
                <w:rFonts w:ascii="Arial" w:hAnsi="Arial" w:cs="Arial"/>
                <w:b/>
                <w:bCs/>
                <w:color w:val="000000"/>
                <w:sz w:val="16"/>
                <w:szCs w:val="16"/>
              </w:rPr>
            </w:pPr>
            <w:r w:rsidRPr="00936A7A">
              <w:rPr>
                <w:rFonts w:ascii="Arial" w:hAnsi="Arial" w:cs="Arial"/>
                <w:b/>
                <w:bCs/>
                <w:color w:val="000000"/>
                <w:sz w:val="16"/>
                <w:szCs w:val="16"/>
              </w:rPr>
              <w:t xml:space="preserve">104,028 </w:t>
            </w:r>
          </w:p>
        </w:tc>
        <w:tc>
          <w:tcPr>
            <w:tcW w:w="578" w:type="pct"/>
            <w:tcBorders>
              <w:top w:val="nil"/>
              <w:left w:val="nil"/>
              <w:bottom w:val="single" w:sz="4" w:space="0" w:color="auto"/>
              <w:right w:val="nil"/>
            </w:tcBorders>
            <w:shd w:val="clear" w:color="auto" w:fill="auto"/>
            <w:noWrap/>
            <w:vAlign w:val="bottom"/>
            <w:hideMark/>
          </w:tcPr>
          <w:p w14:paraId="47CBE243" w14:textId="77777777" w:rsidR="00936A7A" w:rsidRPr="00936A7A" w:rsidRDefault="00936A7A" w:rsidP="00936A7A">
            <w:pPr>
              <w:spacing w:after="0" w:line="240" w:lineRule="auto"/>
              <w:jc w:val="right"/>
              <w:rPr>
                <w:rFonts w:ascii="Arial" w:hAnsi="Arial" w:cs="Arial"/>
                <w:b/>
                <w:bCs/>
                <w:color w:val="000000"/>
                <w:sz w:val="16"/>
                <w:szCs w:val="16"/>
              </w:rPr>
            </w:pPr>
            <w:r w:rsidRPr="00936A7A">
              <w:rPr>
                <w:rFonts w:ascii="Arial" w:hAnsi="Arial" w:cs="Arial"/>
                <w:b/>
                <w:bCs/>
                <w:color w:val="000000"/>
                <w:sz w:val="16"/>
                <w:szCs w:val="16"/>
              </w:rPr>
              <w:t xml:space="preserve">120,724 </w:t>
            </w:r>
          </w:p>
        </w:tc>
        <w:tc>
          <w:tcPr>
            <w:tcW w:w="578" w:type="pct"/>
            <w:tcBorders>
              <w:top w:val="nil"/>
              <w:left w:val="nil"/>
              <w:bottom w:val="single" w:sz="4" w:space="0" w:color="auto"/>
              <w:right w:val="nil"/>
            </w:tcBorders>
            <w:shd w:val="clear" w:color="auto" w:fill="auto"/>
            <w:noWrap/>
            <w:vAlign w:val="bottom"/>
            <w:hideMark/>
          </w:tcPr>
          <w:p w14:paraId="73B4103C" w14:textId="77777777" w:rsidR="00936A7A" w:rsidRPr="00936A7A" w:rsidRDefault="00936A7A" w:rsidP="00936A7A">
            <w:pPr>
              <w:spacing w:after="0" w:line="240" w:lineRule="auto"/>
              <w:jc w:val="right"/>
              <w:rPr>
                <w:rFonts w:ascii="Arial" w:hAnsi="Arial" w:cs="Arial"/>
                <w:b/>
                <w:bCs/>
                <w:color w:val="000000"/>
                <w:sz w:val="16"/>
                <w:szCs w:val="16"/>
              </w:rPr>
            </w:pPr>
            <w:r w:rsidRPr="00936A7A">
              <w:rPr>
                <w:rFonts w:ascii="Arial" w:hAnsi="Arial" w:cs="Arial"/>
                <w:b/>
                <w:bCs/>
                <w:color w:val="000000"/>
                <w:sz w:val="16"/>
                <w:szCs w:val="16"/>
              </w:rPr>
              <w:t xml:space="preserve">137,498 </w:t>
            </w:r>
          </w:p>
        </w:tc>
        <w:tc>
          <w:tcPr>
            <w:tcW w:w="578" w:type="pct"/>
            <w:tcBorders>
              <w:top w:val="nil"/>
              <w:left w:val="nil"/>
              <w:bottom w:val="single" w:sz="4" w:space="0" w:color="auto"/>
              <w:right w:val="nil"/>
            </w:tcBorders>
            <w:shd w:val="clear" w:color="auto" w:fill="auto"/>
            <w:noWrap/>
            <w:vAlign w:val="bottom"/>
            <w:hideMark/>
          </w:tcPr>
          <w:p w14:paraId="5DDFBD37" w14:textId="77777777" w:rsidR="00936A7A" w:rsidRPr="00936A7A" w:rsidRDefault="00936A7A" w:rsidP="00936A7A">
            <w:pPr>
              <w:spacing w:after="0" w:line="240" w:lineRule="auto"/>
              <w:jc w:val="right"/>
              <w:rPr>
                <w:rFonts w:ascii="Arial" w:hAnsi="Arial" w:cs="Arial"/>
                <w:b/>
                <w:bCs/>
                <w:color w:val="000000"/>
                <w:sz w:val="16"/>
                <w:szCs w:val="16"/>
              </w:rPr>
            </w:pPr>
            <w:r w:rsidRPr="00936A7A">
              <w:rPr>
                <w:rFonts w:ascii="Arial" w:hAnsi="Arial" w:cs="Arial"/>
                <w:b/>
                <w:bCs/>
                <w:color w:val="000000"/>
                <w:sz w:val="16"/>
                <w:szCs w:val="16"/>
              </w:rPr>
              <w:t xml:space="preserve">137,478 </w:t>
            </w:r>
          </w:p>
        </w:tc>
      </w:tr>
      <w:tr w:rsidR="00936A7A" w:rsidRPr="00936A7A" w14:paraId="7CCF49D0" w14:textId="77777777" w:rsidTr="00936A7A">
        <w:trPr>
          <w:trHeight w:val="420"/>
        </w:trPr>
        <w:tc>
          <w:tcPr>
            <w:tcW w:w="2110" w:type="pct"/>
            <w:tcBorders>
              <w:top w:val="nil"/>
              <w:left w:val="nil"/>
              <w:bottom w:val="nil"/>
              <w:right w:val="nil"/>
            </w:tcBorders>
            <w:shd w:val="clear" w:color="auto" w:fill="auto"/>
            <w:vAlign w:val="bottom"/>
            <w:hideMark/>
          </w:tcPr>
          <w:p w14:paraId="7A09833C" w14:textId="77777777" w:rsidR="00936A7A" w:rsidRPr="00936A7A" w:rsidRDefault="00936A7A" w:rsidP="00936A7A">
            <w:pPr>
              <w:spacing w:after="0" w:line="240" w:lineRule="auto"/>
              <w:jc w:val="left"/>
              <w:rPr>
                <w:rFonts w:ascii="Arial" w:hAnsi="Arial" w:cs="Arial"/>
                <w:b/>
                <w:bCs/>
                <w:color w:val="000000"/>
                <w:sz w:val="16"/>
                <w:szCs w:val="16"/>
              </w:rPr>
            </w:pPr>
            <w:r w:rsidRPr="00936A7A">
              <w:rPr>
                <w:rFonts w:ascii="Arial" w:hAnsi="Arial" w:cs="Arial"/>
                <w:b/>
                <w:bCs/>
                <w:color w:val="000000"/>
                <w:sz w:val="16"/>
                <w:szCs w:val="16"/>
              </w:rPr>
              <w:t>Net (cost of)/contribution by</w:t>
            </w:r>
            <w:r w:rsidRPr="00936A7A">
              <w:rPr>
                <w:rFonts w:ascii="Arial" w:hAnsi="Arial" w:cs="Arial"/>
                <w:b/>
                <w:bCs/>
                <w:color w:val="000000"/>
                <w:sz w:val="16"/>
                <w:szCs w:val="16"/>
              </w:rPr>
              <w:br/>
              <w:t xml:space="preserve">  services</w:t>
            </w:r>
          </w:p>
        </w:tc>
        <w:tc>
          <w:tcPr>
            <w:tcW w:w="578" w:type="pct"/>
            <w:tcBorders>
              <w:top w:val="nil"/>
              <w:left w:val="nil"/>
              <w:bottom w:val="single" w:sz="4" w:space="0" w:color="auto"/>
              <w:right w:val="nil"/>
            </w:tcBorders>
            <w:shd w:val="clear" w:color="auto" w:fill="auto"/>
            <w:noWrap/>
            <w:vAlign w:val="bottom"/>
            <w:hideMark/>
          </w:tcPr>
          <w:p w14:paraId="59FC7E38" w14:textId="77777777" w:rsidR="00936A7A" w:rsidRPr="00936A7A" w:rsidRDefault="00936A7A" w:rsidP="00936A7A">
            <w:pPr>
              <w:spacing w:after="0" w:line="240" w:lineRule="auto"/>
              <w:jc w:val="right"/>
              <w:rPr>
                <w:rFonts w:ascii="Arial" w:hAnsi="Arial" w:cs="Arial"/>
                <w:b/>
                <w:bCs/>
                <w:color w:val="000000"/>
                <w:sz w:val="16"/>
                <w:szCs w:val="16"/>
              </w:rPr>
            </w:pPr>
            <w:r w:rsidRPr="00936A7A">
              <w:rPr>
                <w:rFonts w:ascii="Arial" w:hAnsi="Arial" w:cs="Arial"/>
                <w:b/>
                <w:bCs/>
                <w:color w:val="000000"/>
                <w:sz w:val="16"/>
                <w:szCs w:val="16"/>
              </w:rPr>
              <w:t>(80,000)</w:t>
            </w:r>
          </w:p>
        </w:tc>
        <w:tc>
          <w:tcPr>
            <w:tcW w:w="578" w:type="pct"/>
            <w:tcBorders>
              <w:top w:val="nil"/>
              <w:left w:val="nil"/>
              <w:bottom w:val="single" w:sz="4" w:space="0" w:color="auto"/>
              <w:right w:val="nil"/>
            </w:tcBorders>
            <w:shd w:val="clear" w:color="000000" w:fill="E6E6E6"/>
            <w:noWrap/>
            <w:vAlign w:val="bottom"/>
            <w:hideMark/>
          </w:tcPr>
          <w:p w14:paraId="46831A10" w14:textId="77777777" w:rsidR="00936A7A" w:rsidRPr="00936A7A" w:rsidRDefault="00936A7A" w:rsidP="00936A7A">
            <w:pPr>
              <w:spacing w:after="0" w:line="240" w:lineRule="auto"/>
              <w:jc w:val="right"/>
              <w:rPr>
                <w:rFonts w:ascii="Arial" w:hAnsi="Arial" w:cs="Arial"/>
                <w:b/>
                <w:bCs/>
                <w:color w:val="000000"/>
                <w:sz w:val="16"/>
                <w:szCs w:val="16"/>
              </w:rPr>
            </w:pPr>
            <w:r w:rsidRPr="00936A7A">
              <w:rPr>
                <w:rFonts w:ascii="Arial" w:hAnsi="Arial" w:cs="Arial"/>
                <w:b/>
                <w:bCs/>
                <w:color w:val="000000"/>
                <w:sz w:val="16"/>
                <w:szCs w:val="16"/>
              </w:rPr>
              <w:t>(104,028)</w:t>
            </w:r>
          </w:p>
        </w:tc>
        <w:tc>
          <w:tcPr>
            <w:tcW w:w="578" w:type="pct"/>
            <w:tcBorders>
              <w:top w:val="nil"/>
              <w:left w:val="nil"/>
              <w:bottom w:val="single" w:sz="4" w:space="0" w:color="auto"/>
              <w:right w:val="nil"/>
            </w:tcBorders>
            <w:shd w:val="clear" w:color="auto" w:fill="auto"/>
            <w:noWrap/>
            <w:vAlign w:val="bottom"/>
            <w:hideMark/>
          </w:tcPr>
          <w:p w14:paraId="2E8BAAFC" w14:textId="77777777" w:rsidR="00936A7A" w:rsidRPr="00936A7A" w:rsidRDefault="00936A7A" w:rsidP="00936A7A">
            <w:pPr>
              <w:spacing w:after="0" w:line="240" w:lineRule="auto"/>
              <w:jc w:val="right"/>
              <w:rPr>
                <w:rFonts w:ascii="Arial" w:hAnsi="Arial" w:cs="Arial"/>
                <w:b/>
                <w:bCs/>
                <w:color w:val="000000"/>
                <w:sz w:val="16"/>
                <w:szCs w:val="16"/>
              </w:rPr>
            </w:pPr>
            <w:r w:rsidRPr="00936A7A">
              <w:rPr>
                <w:rFonts w:ascii="Arial" w:hAnsi="Arial" w:cs="Arial"/>
                <w:b/>
                <w:bCs/>
                <w:color w:val="000000"/>
                <w:sz w:val="16"/>
                <w:szCs w:val="16"/>
              </w:rPr>
              <w:t>(120,724)</w:t>
            </w:r>
          </w:p>
        </w:tc>
        <w:tc>
          <w:tcPr>
            <w:tcW w:w="578" w:type="pct"/>
            <w:tcBorders>
              <w:top w:val="nil"/>
              <w:left w:val="nil"/>
              <w:bottom w:val="single" w:sz="4" w:space="0" w:color="auto"/>
              <w:right w:val="nil"/>
            </w:tcBorders>
            <w:shd w:val="clear" w:color="auto" w:fill="auto"/>
            <w:noWrap/>
            <w:vAlign w:val="bottom"/>
            <w:hideMark/>
          </w:tcPr>
          <w:p w14:paraId="3F2B50DA" w14:textId="77777777" w:rsidR="00936A7A" w:rsidRPr="00936A7A" w:rsidRDefault="00936A7A" w:rsidP="00936A7A">
            <w:pPr>
              <w:spacing w:after="0" w:line="240" w:lineRule="auto"/>
              <w:jc w:val="right"/>
              <w:rPr>
                <w:rFonts w:ascii="Arial" w:hAnsi="Arial" w:cs="Arial"/>
                <w:b/>
                <w:bCs/>
                <w:color w:val="000000"/>
                <w:sz w:val="16"/>
                <w:szCs w:val="16"/>
              </w:rPr>
            </w:pPr>
            <w:r w:rsidRPr="00936A7A">
              <w:rPr>
                <w:rFonts w:ascii="Arial" w:hAnsi="Arial" w:cs="Arial"/>
                <w:b/>
                <w:bCs/>
                <w:color w:val="000000"/>
                <w:sz w:val="16"/>
                <w:szCs w:val="16"/>
              </w:rPr>
              <w:t>(137,498)</w:t>
            </w:r>
          </w:p>
        </w:tc>
        <w:tc>
          <w:tcPr>
            <w:tcW w:w="578" w:type="pct"/>
            <w:tcBorders>
              <w:top w:val="nil"/>
              <w:left w:val="nil"/>
              <w:bottom w:val="single" w:sz="4" w:space="0" w:color="auto"/>
              <w:right w:val="nil"/>
            </w:tcBorders>
            <w:shd w:val="clear" w:color="auto" w:fill="auto"/>
            <w:noWrap/>
            <w:vAlign w:val="bottom"/>
            <w:hideMark/>
          </w:tcPr>
          <w:p w14:paraId="7BC983B9" w14:textId="77777777" w:rsidR="00936A7A" w:rsidRPr="00936A7A" w:rsidRDefault="00936A7A" w:rsidP="00936A7A">
            <w:pPr>
              <w:spacing w:after="0" w:line="240" w:lineRule="auto"/>
              <w:jc w:val="right"/>
              <w:rPr>
                <w:rFonts w:ascii="Arial" w:hAnsi="Arial" w:cs="Arial"/>
                <w:b/>
                <w:bCs/>
                <w:color w:val="000000"/>
                <w:sz w:val="16"/>
                <w:szCs w:val="16"/>
              </w:rPr>
            </w:pPr>
            <w:r w:rsidRPr="00936A7A">
              <w:rPr>
                <w:rFonts w:ascii="Arial" w:hAnsi="Arial" w:cs="Arial"/>
                <w:b/>
                <w:bCs/>
                <w:color w:val="000000"/>
                <w:sz w:val="16"/>
                <w:szCs w:val="16"/>
              </w:rPr>
              <w:t>(137,478)</w:t>
            </w:r>
          </w:p>
        </w:tc>
      </w:tr>
      <w:tr w:rsidR="00936A7A" w:rsidRPr="00936A7A" w14:paraId="0C59BEDA" w14:textId="77777777" w:rsidTr="00936A7A">
        <w:trPr>
          <w:trHeight w:val="210"/>
        </w:trPr>
        <w:tc>
          <w:tcPr>
            <w:tcW w:w="2110" w:type="pct"/>
            <w:tcBorders>
              <w:top w:val="nil"/>
              <w:left w:val="nil"/>
              <w:bottom w:val="single" w:sz="4" w:space="0" w:color="auto"/>
              <w:right w:val="nil"/>
            </w:tcBorders>
            <w:shd w:val="clear" w:color="auto" w:fill="auto"/>
            <w:vAlign w:val="bottom"/>
            <w:hideMark/>
          </w:tcPr>
          <w:p w14:paraId="374FA946" w14:textId="77777777" w:rsidR="00936A7A" w:rsidRPr="00936A7A" w:rsidRDefault="00936A7A" w:rsidP="00936A7A">
            <w:pPr>
              <w:spacing w:after="0" w:line="240" w:lineRule="auto"/>
              <w:jc w:val="left"/>
              <w:rPr>
                <w:rFonts w:ascii="Arial" w:hAnsi="Arial" w:cs="Arial"/>
                <w:b/>
                <w:bCs/>
                <w:color w:val="000000"/>
                <w:sz w:val="16"/>
                <w:szCs w:val="16"/>
              </w:rPr>
            </w:pPr>
            <w:r w:rsidRPr="00936A7A">
              <w:rPr>
                <w:rFonts w:ascii="Arial" w:hAnsi="Arial" w:cs="Arial"/>
                <w:b/>
                <w:bCs/>
                <w:color w:val="000000"/>
                <w:sz w:val="16"/>
                <w:szCs w:val="16"/>
              </w:rPr>
              <w:t>Surplus/(deficit)</w:t>
            </w:r>
          </w:p>
        </w:tc>
        <w:tc>
          <w:tcPr>
            <w:tcW w:w="578" w:type="pct"/>
            <w:tcBorders>
              <w:top w:val="nil"/>
              <w:left w:val="nil"/>
              <w:bottom w:val="single" w:sz="4" w:space="0" w:color="auto"/>
              <w:right w:val="nil"/>
            </w:tcBorders>
            <w:shd w:val="clear" w:color="auto" w:fill="auto"/>
            <w:noWrap/>
            <w:vAlign w:val="bottom"/>
            <w:hideMark/>
          </w:tcPr>
          <w:p w14:paraId="061DADE3" w14:textId="77777777" w:rsidR="00936A7A" w:rsidRPr="00936A7A" w:rsidRDefault="00936A7A" w:rsidP="00936A7A">
            <w:pPr>
              <w:spacing w:after="0" w:line="240" w:lineRule="auto"/>
              <w:jc w:val="right"/>
              <w:rPr>
                <w:rFonts w:ascii="Arial" w:hAnsi="Arial" w:cs="Arial"/>
                <w:b/>
                <w:bCs/>
                <w:color w:val="000000"/>
                <w:sz w:val="16"/>
                <w:szCs w:val="16"/>
              </w:rPr>
            </w:pPr>
            <w:r w:rsidRPr="00936A7A">
              <w:rPr>
                <w:rFonts w:ascii="Arial" w:hAnsi="Arial" w:cs="Arial"/>
                <w:b/>
                <w:bCs/>
                <w:color w:val="000000"/>
                <w:sz w:val="16"/>
                <w:szCs w:val="16"/>
              </w:rPr>
              <w:t xml:space="preserve">80,000 </w:t>
            </w:r>
          </w:p>
        </w:tc>
        <w:tc>
          <w:tcPr>
            <w:tcW w:w="578" w:type="pct"/>
            <w:tcBorders>
              <w:top w:val="nil"/>
              <w:left w:val="nil"/>
              <w:bottom w:val="single" w:sz="4" w:space="0" w:color="auto"/>
              <w:right w:val="nil"/>
            </w:tcBorders>
            <w:shd w:val="clear" w:color="000000" w:fill="E6E6E6"/>
            <w:noWrap/>
            <w:vAlign w:val="bottom"/>
            <w:hideMark/>
          </w:tcPr>
          <w:p w14:paraId="3BA48D92" w14:textId="77777777" w:rsidR="00936A7A" w:rsidRPr="00936A7A" w:rsidRDefault="00936A7A" w:rsidP="00936A7A">
            <w:pPr>
              <w:spacing w:after="0" w:line="240" w:lineRule="auto"/>
              <w:jc w:val="right"/>
              <w:rPr>
                <w:rFonts w:ascii="Arial" w:hAnsi="Arial" w:cs="Arial"/>
                <w:b/>
                <w:bCs/>
                <w:color w:val="000000"/>
                <w:sz w:val="16"/>
                <w:szCs w:val="16"/>
              </w:rPr>
            </w:pPr>
            <w:r w:rsidRPr="00936A7A">
              <w:rPr>
                <w:rFonts w:ascii="Arial" w:hAnsi="Arial" w:cs="Arial"/>
                <w:b/>
                <w:bCs/>
                <w:color w:val="000000"/>
                <w:sz w:val="16"/>
                <w:szCs w:val="16"/>
              </w:rPr>
              <w:t xml:space="preserve">104,028 </w:t>
            </w:r>
          </w:p>
        </w:tc>
        <w:tc>
          <w:tcPr>
            <w:tcW w:w="578" w:type="pct"/>
            <w:tcBorders>
              <w:top w:val="nil"/>
              <w:left w:val="nil"/>
              <w:bottom w:val="single" w:sz="4" w:space="0" w:color="auto"/>
              <w:right w:val="nil"/>
            </w:tcBorders>
            <w:shd w:val="clear" w:color="auto" w:fill="auto"/>
            <w:noWrap/>
            <w:vAlign w:val="bottom"/>
            <w:hideMark/>
          </w:tcPr>
          <w:p w14:paraId="32D7E50B" w14:textId="77777777" w:rsidR="00936A7A" w:rsidRPr="00936A7A" w:rsidRDefault="00936A7A" w:rsidP="00936A7A">
            <w:pPr>
              <w:spacing w:after="0" w:line="240" w:lineRule="auto"/>
              <w:jc w:val="right"/>
              <w:rPr>
                <w:rFonts w:ascii="Arial" w:hAnsi="Arial" w:cs="Arial"/>
                <w:b/>
                <w:bCs/>
                <w:color w:val="000000"/>
                <w:sz w:val="16"/>
                <w:szCs w:val="16"/>
              </w:rPr>
            </w:pPr>
            <w:r w:rsidRPr="00936A7A">
              <w:rPr>
                <w:rFonts w:ascii="Arial" w:hAnsi="Arial" w:cs="Arial"/>
                <w:b/>
                <w:bCs/>
                <w:color w:val="000000"/>
                <w:sz w:val="16"/>
                <w:szCs w:val="16"/>
              </w:rPr>
              <w:t xml:space="preserve">120,724 </w:t>
            </w:r>
          </w:p>
        </w:tc>
        <w:tc>
          <w:tcPr>
            <w:tcW w:w="578" w:type="pct"/>
            <w:tcBorders>
              <w:top w:val="nil"/>
              <w:left w:val="nil"/>
              <w:bottom w:val="single" w:sz="4" w:space="0" w:color="auto"/>
              <w:right w:val="nil"/>
            </w:tcBorders>
            <w:shd w:val="clear" w:color="auto" w:fill="auto"/>
            <w:noWrap/>
            <w:vAlign w:val="bottom"/>
            <w:hideMark/>
          </w:tcPr>
          <w:p w14:paraId="1F7AAA05" w14:textId="77777777" w:rsidR="00936A7A" w:rsidRPr="00936A7A" w:rsidRDefault="00936A7A" w:rsidP="00936A7A">
            <w:pPr>
              <w:spacing w:after="0" w:line="240" w:lineRule="auto"/>
              <w:jc w:val="right"/>
              <w:rPr>
                <w:rFonts w:ascii="Arial" w:hAnsi="Arial" w:cs="Arial"/>
                <w:b/>
                <w:bCs/>
                <w:color w:val="000000"/>
                <w:sz w:val="16"/>
                <w:szCs w:val="16"/>
              </w:rPr>
            </w:pPr>
            <w:r w:rsidRPr="00936A7A">
              <w:rPr>
                <w:rFonts w:ascii="Arial" w:hAnsi="Arial" w:cs="Arial"/>
                <w:b/>
                <w:bCs/>
                <w:color w:val="000000"/>
                <w:sz w:val="16"/>
                <w:szCs w:val="16"/>
              </w:rPr>
              <w:t xml:space="preserve">137,498 </w:t>
            </w:r>
          </w:p>
        </w:tc>
        <w:tc>
          <w:tcPr>
            <w:tcW w:w="578" w:type="pct"/>
            <w:tcBorders>
              <w:top w:val="nil"/>
              <w:left w:val="nil"/>
              <w:bottom w:val="single" w:sz="4" w:space="0" w:color="auto"/>
              <w:right w:val="nil"/>
            </w:tcBorders>
            <w:shd w:val="clear" w:color="auto" w:fill="auto"/>
            <w:noWrap/>
            <w:vAlign w:val="bottom"/>
            <w:hideMark/>
          </w:tcPr>
          <w:p w14:paraId="3FD93F2F" w14:textId="77777777" w:rsidR="00936A7A" w:rsidRPr="00936A7A" w:rsidRDefault="00936A7A" w:rsidP="00936A7A">
            <w:pPr>
              <w:spacing w:after="0" w:line="240" w:lineRule="auto"/>
              <w:jc w:val="right"/>
              <w:rPr>
                <w:rFonts w:ascii="Arial" w:hAnsi="Arial" w:cs="Arial"/>
                <w:b/>
                <w:bCs/>
                <w:color w:val="000000"/>
                <w:sz w:val="16"/>
                <w:szCs w:val="16"/>
              </w:rPr>
            </w:pPr>
            <w:r w:rsidRPr="00936A7A">
              <w:rPr>
                <w:rFonts w:ascii="Arial" w:hAnsi="Arial" w:cs="Arial"/>
                <w:b/>
                <w:bCs/>
                <w:color w:val="000000"/>
                <w:sz w:val="16"/>
                <w:szCs w:val="16"/>
              </w:rPr>
              <w:t xml:space="preserve">137,478 </w:t>
            </w:r>
          </w:p>
        </w:tc>
      </w:tr>
    </w:tbl>
    <w:p w14:paraId="1B0C01C8" w14:textId="79D76F46" w:rsidR="002E3F60" w:rsidRDefault="002E3F60" w:rsidP="002E3F60">
      <w:pPr>
        <w:spacing w:after="0" w:line="240" w:lineRule="auto"/>
        <w:rPr>
          <w:rFonts w:ascii="Arial" w:hAnsi="Arial" w:cs="Arial"/>
          <w:color w:val="000000"/>
          <w:sz w:val="16"/>
          <w:szCs w:val="16"/>
        </w:rPr>
      </w:pPr>
      <w:r w:rsidRPr="002E3F60">
        <w:rPr>
          <w:rFonts w:ascii="Arial" w:hAnsi="Arial" w:cs="Arial"/>
          <w:color w:val="000000"/>
          <w:sz w:val="16"/>
          <w:szCs w:val="16"/>
        </w:rPr>
        <w:t>Prepared on Australian Accounting Standards basis.</w:t>
      </w:r>
    </w:p>
    <w:p w14:paraId="77F6F104" w14:textId="53617741" w:rsidR="00BE6AB2" w:rsidRDefault="00BE6AB2" w:rsidP="002E3F60">
      <w:pPr>
        <w:spacing w:after="0" w:line="240" w:lineRule="auto"/>
        <w:rPr>
          <w:rFonts w:ascii="Arial" w:hAnsi="Arial" w:cs="Arial"/>
          <w:color w:val="000000"/>
          <w:sz w:val="16"/>
          <w:szCs w:val="16"/>
        </w:rPr>
      </w:pPr>
    </w:p>
    <w:p w14:paraId="71345694" w14:textId="07199E2B" w:rsidR="00BE6AB2" w:rsidRPr="00BE6AB2" w:rsidRDefault="00E86239" w:rsidP="005C7FBE">
      <w:pPr>
        <w:pStyle w:val="TableHeading"/>
      </w:pPr>
      <w:r w:rsidRPr="00BE6AB2">
        <w:t>Table 3.8: Schedule of budgeted assets and liabilities administered on behalf of Government (as at 30 June)</w:t>
      </w:r>
    </w:p>
    <w:tbl>
      <w:tblPr>
        <w:tblW w:w="7620" w:type="dxa"/>
        <w:tblLook w:val="04A0" w:firstRow="1" w:lastRow="0" w:firstColumn="1" w:lastColumn="0" w:noHBand="0" w:noVBand="1"/>
      </w:tblPr>
      <w:tblGrid>
        <w:gridCol w:w="3220"/>
        <w:gridCol w:w="928"/>
        <w:gridCol w:w="880"/>
        <w:gridCol w:w="880"/>
        <w:gridCol w:w="880"/>
        <w:gridCol w:w="880"/>
      </w:tblGrid>
      <w:tr w:rsidR="00BE6AB2" w:rsidRPr="00BE6AB2" w14:paraId="6FF998E5" w14:textId="77777777" w:rsidTr="00BE6AB2">
        <w:trPr>
          <w:trHeight w:val="900"/>
        </w:trPr>
        <w:tc>
          <w:tcPr>
            <w:tcW w:w="3220" w:type="dxa"/>
            <w:tcBorders>
              <w:top w:val="single" w:sz="4" w:space="0" w:color="auto"/>
              <w:left w:val="nil"/>
              <w:bottom w:val="nil"/>
              <w:right w:val="nil"/>
            </w:tcBorders>
            <w:shd w:val="clear" w:color="auto" w:fill="auto"/>
            <w:noWrap/>
            <w:hideMark/>
          </w:tcPr>
          <w:p w14:paraId="1A09385F" w14:textId="78D3D236" w:rsidR="00BE6AB2" w:rsidRPr="00BE6AB2" w:rsidRDefault="00BE6AB2">
            <w:pPr>
              <w:rPr>
                <w:rFonts w:ascii="Arial" w:hAnsi="Arial" w:cs="Arial"/>
                <w:b/>
                <w:bCs/>
                <w:sz w:val="16"/>
                <w:szCs w:val="16"/>
              </w:rPr>
            </w:pPr>
            <w:r w:rsidRPr="00BE6AB2">
              <w:rPr>
                <w:rFonts w:ascii="Arial" w:hAnsi="Arial" w:cs="Arial"/>
                <w:b/>
                <w:bCs/>
                <w:sz w:val="16"/>
                <w:szCs w:val="16"/>
              </w:rPr>
              <w:t> </w:t>
            </w:r>
          </w:p>
        </w:tc>
        <w:tc>
          <w:tcPr>
            <w:tcW w:w="880" w:type="dxa"/>
            <w:tcBorders>
              <w:top w:val="single" w:sz="4" w:space="0" w:color="auto"/>
              <w:left w:val="nil"/>
              <w:bottom w:val="single" w:sz="4" w:space="0" w:color="auto"/>
              <w:right w:val="nil"/>
            </w:tcBorders>
            <w:shd w:val="clear" w:color="auto" w:fill="auto"/>
            <w:hideMark/>
          </w:tcPr>
          <w:p w14:paraId="6EC4539A" w14:textId="77777777" w:rsidR="00BE6AB2" w:rsidRPr="00BE6AB2" w:rsidRDefault="00BE6AB2" w:rsidP="00BE6AB2">
            <w:pPr>
              <w:spacing w:after="0" w:line="240" w:lineRule="auto"/>
              <w:jc w:val="right"/>
              <w:rPr>
                <w:rFonts w:ascii="Arial" w:hAnsi="Arial" w:cs="Arial"/>
                <w:sz w:val="16"/>
                <w:szCs w:val="16"/>
              </w:rPr>
            </w:pPr>
            <w:r w:rsidRPr="00BE6AB2">
              <w:rPr>
                <w:rFonts w:ascii="Arial" w:hAnsi="Arial" w:cs="Arial"/>
                <w:sz w:val="16"/>
                <w:szCs w:val="16"/>
              </w:rPr>
              <w:t>2020-21 Estimated actual</w:t>
            </w:r>
            <w:r w:rsidRPr="00BE6AB2">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hideMark/>
          </w:tcPr>
          <w:p w14:paraId="7CC82989" w14:textId="77777777" w:rsidR="00BE6AB2" w:rsidRPr="00BE6AB2" w:rsidRDefault="00BE6AB2" w:rsidP="00BE6AB2">
            <w:pPr>
              <w:spacing w:after="0" w:line="240" w:lineRule="auto"/>
              <w:jc w:val="right"/>
              <w:rPr>
                <w:rFonts w:ascii="Arial" w:hAnsi="Arial" w:cs="Arial"/>
                <w:sz w:val="16"/>
                <w:szCs w:val="16"/>
              </w:rPr>
            </w:pPr>
            <w:r w:rsidRPr="00BE6AB2">
              <w:rPr>
                <w:rFonts w:ascii="Arial" w:hAnsi="Arial" w:cs="Arial"/>
                <w:sz w:val="16"/>
                <w:szCs w:val="16"/>
              </w:rPr>
              <w:t>2021-22</w:t>
            </w:r>
            <w:r w:rsidRPr="00BE6AB2">
              <w:rPr>
                <w:rFonts w:ascii="Arial" w:hAnsi="Arial" w:cs="Arial"/>
                <w:sz w:val="16"/>
                <w:szCs w:val="16"/>
              </w:rPr>
              <w:br/>
              <w:t>Budget</w:t>
            </w:r>
            <w:r w:rsidRPr="00BE6AB2">
              <w:rPr>
                <w:rFonts w:ascii="Arial" w:hAnsi="Arial" w:cs="Arial"/>
                <w:sz w:val="16"/>
                <w:szCs w:val="16"/>
              </w:rPr>
              <w:br/>
            </w:r>
            <w:r w:rsidRPr="00BE6AB2">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25EE70DF" w14:textId="77777777" w:rsidR="00BE6AB2" w:rsidRPr="00BE6AB2" w:rsidRDefault="00BE6AB2" w:rsidP="00BE6AB2">
            <w:pPr>
              <w:spacing w:after="0" w:line="240" w:lineRule="auto"/>
              <w:jc w:val="right"/>
              <w:rPr>
                <w:rFonts w:ascii="Arial" w:hAnsi="Arial" w:cs="Arial"/>
                <w:sz w:val="16"/>
                <w:szCs w:val="16"/>
              </w:rPr>
            </w:pPr>
            <w:r w:rsidRPr="00BE6AB2">
              <w:rPr>
                <w:rFonts w:ascii="Arial" w:hAnsi="Arial" w:cs="Arial"/>
                <w:sz w:val="16"/>
                <w:szCs w:val="16"/>
              </w:rPr>
              <w:t>2022-23 Forward estimate</w:t>
            </w:r>
            <w:r w:rsidRPr="00BE6AB2">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476CD77B" w14:textId="77777777" w:rsidR="00BE6AB2" w:rsidRPr="00BE6AB2" w:rsidRDefault="00BE6AB2" w:rsidP="00BE6AB2">
            <w:pPr>
              <w:spacing w:after="0" w:line="240" w:lineRule="auto"/>
              <w:jc w:val="right"/>
              <w:rPr>
                <w:rFonts w:ascii="Arial" w:hAnsi="Arial" w:cs="Arial"/>
                <w:sz w:val="16"/>
                <w:szCs w:val="16"/>
              </w:rPr>
            </w:pPr>
            <w:r w:rsidRPr="00BE6AB2">
              <w:rPr>
                <w:rFonts w:ascii="Arial" w:hAnsi="Arial" w:cs="Arial"/>
                <w:sz w:val="16"/>
                <w:szCs w:val="16"/>
              </w:rPr>
              <w:t>2023-24 Forward estimate</w:t>
            </w:r>
            <w:r w:rsidRPr="00BE6AB2">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35935390" w14:textId="77777777" w:rsidR="00BE6AB2" w:rsidRPr="00BE6AB2" w:rsidRDefault="00BE6AB2" w:rsidP="00BE6AB2">
            <w:pPr>
              <w:spacing w:after="0" w:line="240" w:lineRule="auto"/>
              <w:jc w:val="right"/>
              <w:rPr>
                <w:rFonts w:ascii="Arial" w:hAnsi="Arial" w:cs="Arial"/>
                <w:sz w:val="16"/>
                <w:szCs w:val="16"/>
              </w:rPr>
            </w:pPr>
            <w:r w:rsidRPr="00BE6AB2">
              <w:rPr>
                <w:rFonts w:ascii="Arial" w:hAnsi="Arial" w:cs="Arial"/>
                <w:sz w:val="16"/>
                <w:szCs w:val="16"/>
              </w:rPr>
              <w:t>2024-25</w:t>
            </w:r>
            <w:r w:rsidRPr="00BE6AB2">
              <w:rPr>
                <w:rFonts w:ascii="Arial" w:hAnsi="Arial" w:cs="Arial"/>
                <w:sz w:val="16"/>
                <w:szCs w:val="16"/>
              </w:rPr>
              <w:br/>
              <w:t>Forward estimate</w:t>
            </w:r>
            <w:r w:rsidRPr="00BE6AB2">
              <w:rPr>
                <w:rFonts w:ascii="Arial" w:hAnsi="Arial" w:cs="Arial"/>
                <w:sz w:val="16"/>
                <w:szCs w:val="16"/>
              </w:rPr>
              <w:br/>
              <w:t>$'000</w:t>
            </w:r>
          </w:p>
        </w:tc>
      </w:tr>
      <w:tr w:rsidR="00BE6AB2" w:rsidRPr="00BE6AB2" w14:paraId="0A0038C4" w14:textId="77777777" w:rsidTr="00BE6AB2">
        <w:trPr>
          <w:trHeight w:val="225"/>
        </w:trPr>
        <w:tc>
          <w:tcPr>
            <w:tcW w:w="3220" w:type="dxa"/>
            <w:tcBorders>
              <w:top w:val="nil"/>
              <w:left w:val="nil"/>
              <w:bottom w:val="nil"/>
              <w:right w:val="nil"/>
            </w:tcBorders>
            <w:shd w:val="clear" w:color="auto" w:fill="auto"/>
            <w:noWrap/>
            <w:vAlign w:val="bottom"/>
            <w:hideMark/>
          </w:tcPr>
          <w:p w14:paraId="556B845F" w14:textId="77777777" w:rsidR="00BE6AB2" w:rsidRPr="00BE6AB2" w:rsidRDefault="00BE6AB2" w:rsidP="00BE6AB2">
            <w:pPr>
              <w:spacing w:after="0" w:line="240" w:lineRule="auto"/>
              <w:jc w:val="left"/>
              <w:rPr>
                <w:rFonts w:ascii="Arial" w:hAnsi="Arial" w:cs="Arial"/>
                <w:b/>
                <w:bCs/>
                <w:color w:val="000000"/>
                <w:sz w:val="16"/>
                <w:szCs w:val="16"/>
              </w:rPr>
            </w:pPr>
            <w:r w:rsidRPr="00BE6AB2">
              <w:rPr>
                <w:rFonts w:ascii="Arial" w:hAnsi="Arial" w:cs="Arial"/>
                <w:b/>
                <w:bCs/>
                <w:color w:val="000000"/>
                <w:sz w:val="16"/>
                <w:szCs w:val="16"/>
              </w:rPr>
              <w:t xml:space="preserve">ASSETS </w:t>
            </w:r>
          </w:p>
        </w:tc>
        <w:tc>
          <w:tcPr>
            <w:tcW w:w="880" w:type="dxa"/>
            <w:tcBorders>
              <w:top w:val="nil"/>
              <w:left w:val="nil"/>
              <w:bottom w:val="nil"/>
              <w:right w:val="nil"/>
            </w:tcBorders>
            <w:shd w:val="clear" w:color="auto" w:fill="auto"/>
            <w:noWrap/>
            <w:vAlign w:val="bottom"/>
            <w:hideMark/>
          </w:tcPr>
          <w:p w14:paraId="18C22208" w14:textId="77777777" w:rsidR="00BE6AB2" w:rsidRPr="00BE6AB2" w:rsidRDefault="00BE6AB2" w:rsidP="00BE6AB2">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6AA0477F" w14:textId="77777777" w:rsidR="00BE6AB2" w:rsidRPr="00BE6AB2" w:rsidRDefault="00BE6AB2" w:rsidP="00BE6AB2">
            <w:pPr>
              <w:spacing w:after="0" w:line="240" w:lineRule="auto"/>
              <w:jc w:val="left"/>
              <w:rPr>
                <w:rFonts w:ascii="Arial" w:hAnsi="Arial" w:cs="Arial"/>
                <w:color w:val="000000"/>
                <w:sz w:val="16"/>
                <w:szCs w:val="16"/>
              </w:rPr>
            </w:pPr>
            <w:r w:rsidRPr="00BE6AB2">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14:paraId="21E3D4FD" w14:textId="77777777" w:rsidR="00BE6AB2" w:rsidRPr="00BE6AB2" w:rsidRDefault="00BE6AB2" w:rsidP="00BE6AB2">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3C6EBF6F" w14:textId="77777777" w:rsidR="00BE6AB2" w:rsidRPr="00BE6AB2" w:rsidRDefault="00BE6AB2" w:rsidP="00BE6AB2">
            <w:pPr>
              <w:spacing w:after="0" w:line="240" w:lineRule="auto"/>
              <w:jc w:val="left"/>
              <w:rPr>
                <w:rFonts w:ascii="Arial" w:hAnsi="Arial" w:cs="Arial"/>
              </w:rPr>
            </w:pPr>
          </w:p>
        </w:tc>
        <w:tc>
          <w:tcPr>
            <w:tcW w:w="880" w:type="dxa"/>
            <w:tcBorders>
              <w:top w:val="nil"/>
              <w:left w:val="nil"/>
              <w:bottom w:val="nil"/>
              <w:right w:val="nil"/>
            </w:tcBorders>
            <w:shd w:val="clear" w:color="auto" w:fill="auto"/>
            <w:noWrap/>
            <w:vAlign w:val="bottom"/>
            <w:hideMark/>
          </w:tcPr>
          <w:p w14:paraId="7FB2D0C6" w14:textId="77777777" w:rsidR="00BE6AB2" w:rsidRPr="00BE6AB2" w:rsidRDefault="00BE6AB2" w:rsidP="00BE6AB2">
            <w:pPr>
              <w:spacing w:after="0" w:line="240" w:lineRule="auto"/>
              <w:jc w:val="left"/>
              <w:rPr>
                <w:rFonts w:ascii="Arial" w:hAnsi="Arial" w:cs="Arial"/>
              </w:rPr>
            </w:pPr>
          </w:p>
        </w:tc>
      </w:tr>
      <w:tr w:rsidR="00BE6AB2" w:rsidRPr="00BE6AB2" w14:paraId="2524332F" w14:textId="77777777" w:rsidTr="00BE6AB2">
        <w:trPr>
          <w:trHeight w:val="225"/>
        </w:trPr>
        <w:tc>
          <w:tcPr>
            <w:tcW w:w="3220" w:type="dxa"/>
            <w:tcBorders>
              <w:top w:val="nil"/>
              <w:left w:val="nil"/>
              <w:bottom w:val="nil"/>
              <w:right w:val="nil"/>
            </w:tcBorders>
            <w:shd w:val="clear" w:color="auto" w:fill="auto"/>
            <w:noWrap/>
            <w:vAlign w:val="bottom"/>
            <w:hideMark/>
          </w:tcPr>
          <w:p w14:paraId="458E5BFE" w14:textId="77777777" w:rsidR="00BE6AB2" w:rsidRPr="00BE6AB2" w:rsidRDefault="00BE6AB2" w:rsidP="00BE6AB2">
            <w:pPr>
              <w:spacing w:after="0" w:line="240" w:lineRule="auto"/>
              <w:jc w:val="left"/>
              <w:rPr>
                <w:rFonts w:ascii="Arial" w:hAnsi="Arial" w:cs="Arial"/>
                <w:b/>
                <w:bCs/>
                <w:color w:val="000000"/>
                <w:sz w:val="16"/>
                <w:szCs w:val="16"/>
              </w:rPr>
            </w:pPr>
            <w:r w:rsidRPr="00BE6AB2">
              <w:rPr>
                <w:rFonts w:ascii="Arial" w:hAnsi="Arial" w:cs="Arial"/>
                <w:b/>
                <w:bCs/>
                <w:color w:val="000000"/>
                <w:sz w:val="16"/>
                <w:szCs w:val="16"/>
              </w:rPr>
              <w:t>Financial assets</w:t>
            </w:r>
          </w:p>
        </w:tc>
        <w:tc>
          <w:tcPr>
            <w:tcW w:w="880" w:type="dxa"/>
            <w:tcBorders>
              <w:top w:val="nil"/>
              <w:left w:val="nil"/>
              <w:bottom w:val="nil"/>
              <w:right w:val="nil"/>
            </w:tcBorders>
            <w:shd w:val="clear" w:color="auto" w:fill="auto"/>
            <w:noWrap/>
            <w:vAlign w:val="bottom"/>
            <w:hideMark/>
          </w:tcPr>
          <w:p w14:paraId="016C003C" w14:textId="77777777" w:rsidR="00BE6AB2" w:rsidRPr="00BE6AB2" w:rsidRDefault="00BE6AB2" w:rsidP="00BE6AB2">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2751B2EC" w14:textId="77777777" w:rsidR="00BE6AB2" w:rsidRPr="00BE6AB2" w:rsidRDefault="00BE6AB2" w:rsidP="00BE6AB2">
            <w:pPr>
              <w:spacing w:after="0" w:line="240" w:lineRule="auto"/>
              <w:jc w:val="left"/>
              <w:rPr>
                <w:rFonts w:ascii="Arial" w:hAnsi="Arial" w:cs="Arial"/>
                <w:color w:val="000000"/>
                <w:sz w:val="16"/>
                <w:szCs w:val="16"/>
              </w:rPr>
            </w:pPr>
            <w:r w:rsidRPr="00BE6AB2">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14:paraId="0449D943" w14:textId="77777777" w:rsidR="00BE6AB2" w:rsidRPr="00BE6AB2" w:rsidRDefault="00BE6AB2" w:rsidP="00BE6AB2">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20208FEF" w14:textId="77777777" w:rsidR="00BE6AB2" w:rsidRPr="00BE6AB2" w:rsidRDefault="00BE6AB2" w:rsidP="00BE6AB2">
            <w:pPr>
              <w:spacing w:after="0" w:line="240" w:lineRule="auto"/>
              <w:jc w:val="left"/>
              <w:rPr>
                <w:rFonts w:ascii="Arial" w:hAnsi="Arial" w:cs="Arial"/>
              </w:rPr>
            </w:pPr>
          </w:p>
        </w:tc>
        <w:tc>
          <w:tcPr>
            <w:tcW w:w="880" w:type="dxa"/>
            <w:tcBorders>
              <w:top w:val="nil"/>
              <w:left w:val="nil"/>
              <w:bottom w:val="nil"/>
              <w:right w:val="nil"/>
            </w:tcBorders>
            <w:shd w:val="clear" w:color="auto" w:fill="auto"/>
            <w:noWrap/>
            <w:vAlign w:val="bottom"/>
            <w:hideMark/>
          </w:tcPr>
          <w:p w14:paraId="1C3E8294" w14:textId="77777777" w:rsidR="00BE6AB2" w:rsidRPr="00BE6AB2" w:rsidRDefault="00BE6AB2" w:rsidP="00BE6AB2">
            <w:pPr>
              <w:spacing w:after="0" w:line="240" w:lineRule="auto"/>
              <w:jc w:val="left"/>
              <w:rPr>
                <w:rFonts w:ascii="Arial" w:hAnsi="Arial" w:cs="Arial"/>
              </w:rPr>
            </w:pPr>
          </w:p>
        </w:tc>
      </w:tr>
      <w:tr w:rsidR="00BE6AB2" w:rsidRPr="00BE6AB2" w14:paraId="6BDCF341" w14:textId="77777777" w:rsidTr="00BE6AB2">
        <w:trPr>
          <w:trHeight w:val="225"/>
        </w:trPr>
        <w:tc>
          <w:tcPr>
            <w:tcW w:w="3220" w:type="dxa"/>
            <w:tcBorders>
              <w:top w:val="nil"/>
              <w:left w:val="nil"/>
              <w:bottom w:val="nil"/>
              <w:right w:val="nil"/>
            </w:tcBorders>
            <w:shd w:val="clear" w:color="auto" w:fill="auto"/>
            <w:noWrap/>
            <w:vAlign w:val="bottom"/>
            <w:hideMark/>
          </w:tcPr>
          <w:p w14:paraId="78CC51DF" w14:textId="77777777" w:rsidR="00BE6AB2" w:rsidRPr="00BE6AB2" w:rsidRDefault="00BE6AB2" w:rsidP="00BE6AB2">
            <w:pPr>
              <w:spacing w:after="0" w:line="240" w:lineRule="auto"/>
              <w:ind w:firstLineChars="100" w:firstLine="160"/>
              <w:jc w:val="left"/>
              <w:rPr>
                <w:rFonts w:ascii="Arial" w:hAnsi="Arial" w:cs="Arial"/>
                <w:sz w:val="16"/>
                <w:szCs w:val="16"/>
              </w:rPr>
            </w:pPr>
            <w:r w:rsidRPr="00BE6AB2">
              <w:rPr>
                <w:rFonts w:ascii="Arial" w:hAnsi="Arial" w:cs="Arial"/>
                <w:sz w:val="16"/>
                <w:szCs w:val="16"/>
              </w:rPr>
              <w:t>Cash and cash equivalents</w:t>
            </w:r>
          </w:p>
        </w:tc>
        <w:tc>
          <w:tcPr>
            <w:tcW w:w="880" w:type="dxa"/>
            <w:tcBorders>
              <w:top w:val="nil"/>
              <w:left w:val="nil"/>
              <w:bottom w:val="nil"/>
              <w:right w:val="nil"/>
            </w:tcBorders>
            <w:shd w:val="clear" w:color="auto" w:fill="auto"/>
            <w:noWrap/>
            <w:vAlign w:val="bottom"/>
            <w:hideMark/>
          </w:tcPr>
          <w:p w14:paraId="516DDE9F" w14:textId="77777777" w:rsidR="00BE6AB2" w:rsidRPr="00BE6AB2" w:rsidRDefault="00BE6AB2" w:rsidP="00BE6AB2">
            <w:pPr>
              <w:spacing w:after="0" w:line="240" w:lineRule="auto"/>
              <w:jc w:val="right"/>
              <w:rPr>
                <w:rFonts w:ascii="Arial" w:hAnsi="Arial" w:cs="Arial"/>
                <w:color w:val="000000"/>
                <w:sz w:val="16"/>
                <w:szCs w:val="16"/>
              </w:rPr>
            </w:pPr>
            <w:r w:rsidRPr="00BE6AB2">
              <w:rPr>
                <w:rFonts w:ascii="Arial" w:hAnsi="Arial" w:cs="Arial"/>
                <w:color w:val="000000"/>
                <w:sz w:val="16"/>
                <w:szCs w:val="16"/>
              </w:rPr>
              <w:t xml:space="preserve">500 </w:t>
            </w:r>
          </w:p>
        </w:tc>
        <w:tc>
          <w:tcPr>
            <w:tcW w:w="880" w:type="dxa"/>
            <w:tcBorders>
              <w:top w:val="nil"/>
              <w:left w:val="nil"/>
              <w:bottom w:val="nil"/>
              <w:right w:val="nil"/>
            </w:tcBorders>
            <w:shd w:val="clear" w:color="000000" w:fill="E6E6E6"/>
            <w:noWrap/>
            <w:vAlign w:val="bottom"/>
            <w:hideMark/>
          </w:tcPr>
          <w:p w14:paraId="7F024CB4" w14:textId="77777777" w:rsidR="00BE6AB2" w:rsidRPr="00BE6AB2" w:rsidRDefault="00BE6AB2" w:rsidP="00BE6AB2">
            <w:pPr>
              <w:spacing w:after="0" w:line="240" w:lineRule="auto"/>
              <w:jc w:val="right"/>
              <w:rPr>
                <w:rFonts w:ascii="Arial" w:hAnsi="Arial" w:cs="Arial"/>
                <w:color w:val="000000"/>
                <w:sz w:val="16"/>
                <w:szCs w:val="16"/>
              </w:rPr>
            </w:pPr>
            <w:r w:rsidRPr="00BE6AB2">
              <w:rPr>
                <w:rFonts w:ascii="Arial" w:hAnsi="Arial" w:cs="Arial"/>
                <w:color w:val="000000"/>
                <w:sz w:val="16"/>
                <w:szCs w:val="16"/>
              </w:rPr>
              <w:t xml:space="preserve">500 </w:t>
            </w:r>
          </w:p>
        </w:tc>
        <w:tc>
          <w:tcPr>
            <w:tcW w:w="880" w:type="dxa"/>
            <w:tcBorders>
              <w:top w:val="nil"/>
              <w:left w:val="nil"/>
              <w:bottom w:val="nil"/>
              <w:right w:val="nil"/>
            </w:tcBorders>
            <w:shd w:val="clear" w:color="auto" w:fill="auto"/>
            <w:noWrap/>
            <w:vAlign w:val="bottom"/>
            <w:hideMark/>
          </w:tcPr>
          <w:p w14:paraId="16459885" w14:textId="77777777" w:rsidR="00BE6AB2" w:rsidRPr="00BE6AB2" w:rsidRDefault="00BE6AB2" w:rsidP="00BE6AB2">
            <w:pPr>
              <w:spacing w:after="0" w:line="240" w:lineRule="auto"/>
              <w:jc w:val="right"/>
              <w:rPr>
                <w:rFonts w:ascii="Arial" w:hAnsi="Arial" w:cs="Arial"/>
                <w:color w:val="000000"/>
                <w:sz w:val="16"/>
                <w:szCs w:val="16"/>
              </w:rPr>
            </w:pPr>
            <w:r w:rsidRPr="00BE6AB2">
              <w:rPr>
                <w:rFonts w:ascii="Arial" w:hAnsi="Arial" w:cs="Arial"/>
                <w:color w:val="000000"/>
                <w:sz w:val="16"/>
                <w:szCs w:val="16"/>
              </w:rPr>
              <w:t xml:space="preserve">500 </w:t>
            </w:r>
          </w:p>
        </w:tc>
        <w:tc>
          <w:tcPr>
            <w:tcW w:w="880" w:type="dxa"/>
            <w:tcBorders>
              <w:top w:val="nil"/>
              <w:left w:val="nil"/>
              <w:bottom w:val="nil"/>
              <w:right w:val="nil"/>
            </w:tcBorders>
            <w:shd w:val="clear" w:color="auto" w:fill="auto"/>
            <w:noWrap/>
            <w:vAlign w:val="bottom"/>
            <w:hideMark/>
          </w:tcPr>
          <w:p w14:paraId="06F8D500" w14:textId="77777777" w:rsidR="00BE6AB2" w:rsidRPr="00BE6AB2" w:rsidRDefault="00BE6AB2" w:rsidP="00BE6AB2">
            <w:pPr>
              <w:spacing w:after="0" w:line="240" w:lineRule="auto"/>
              <w:jc w:val="right"/>
              <w:rPr>
                <w:rFonts w:ascii="Arial" w:hAnsi="Arial" w:cs="Arial"/>
                <w:color w:val="000000"/>
                <w:sz w:val="16"/>
                <w:szCs w:val="16"/>
              </w:rPr>
            </w:pPr>
            <w:r w:rsidRPr="00BE6AB2">
              <w:rPr>
                <w:rFonts w:ascii="Arial" w:hAnsi="Arial" w:cs="Arial"/>
                <w:color w:val="000000"/>
                <w:sz w:val="16"/>
                <w:szCs w:val="16"/>
              </w:rPr>
              <w:t xml:space="preserve">500 </w:t>
            </w:r>
          </w:p>
        </w:tc>
        <w:tc>
          <w:tcPr>
            <w:tcW w:w="880" w:type="dxa"/>
            <w:tcBorders>
              <w:top w:val="nil"/>
              <w:left w:val="nil"/>
              <w:bottom w:val="nil"/>
              <w:right w:val="nil"/>
            </w:tcBorders>
            <w:shd w:val="clear" w:color="auto" w:fill="auto"/>
            <w:noWrap/>
            <w:vAlign w:val="bottom"/>
            <w:hideMark/>
          </w:tcPr>
          <w:p w14:paraId="13101AB3" w14:textId="77777777" w:rsidR="00BE6AB2" w:rsidRPr="00BE6AB2" w:rsidRDefault="00BE6AB2" w:rsidP="00BE6AB2">
            <w:pPr>
              <w:spacing w:after="0" w:line="240" w:lineRule="auto"/>
              <w:jc w:val="right"/>
              <w:rPr>
                <w:rFonts w:ascii="Arial" w:hAnsi="Arial" w:cs="Arial"/>
                <w:color w:val="000000"/>
                <w:sz w:val="16"/>
                <w:szCs w:val="16"/>
              </w:rPr>
            </w:pPr>
            <w:r w:rsidRPr="00BE6AB2">
              <w:rPr>
                <w:rFonts w:ascii="Arial" w:hAnsi="Arial" w:cs="Arial"/>
                <w:color w:val="000000"/>
                <w:sz w:val="16"/>
                <w:szCs w:val="16"/>
              </w:rPr>
              <w:t xml:space="preserve">500 </w:t>
            </w:r>
          </w:p>
        </w:tc>
      </w:tr>
      <w:tr w:rsidR="00BE6AB2" w:rsidRPr="00BE6AB2" w14:paraId="4D8FB6C7" w14:textId="77777777" w:rsidTr="00BE6AB2">
        <w:trPr>
          <w:trHeight w:val="225"/>
        </w:trPr>
        <w:tc>
          <w:tcPr>
            <w:tcW w:w="3220" w:type="dxa"/>
            <w:tcBorders>
              <w:top w:val="nil"/>
              <w:left w:val="nil"/>
              <w:bottom w:val="nil"/>
              <w:right w:val="nil"/>
            </w:tcBorders>
            <w:shd w:val="clear" w:color="auto" w:fill="auto"/>
            <w:noWrap/>
            <w:vAlign w:val="bottom"/>
            <w:hideMark/>
          </w:tcPr>
          <w:p w14:paraId="166D0797" w14:textId="77777777" w:rsidR="00BE6AB2" w:rsidRPr="00BE6AB2" w:rsidRDefault="00BE6AB2" w:rsidP="00BE6AB2">
            <w:pPr>
              <w:spacing w:after="0" w:line="240" w:lineRule="auto"/>
              <w:ind w:firstLineChars="100" w:firstLine="160"/>
              <w:jc w:val="left"/>
              <w:rPr>
                <w:rFonts w:ascii="Arial" w:hAnsi="Arial" w:cs="Arial"/>
                <w:color w:val="000000"/>
                <w:sz w:val="16"/>
                <w:szCs w:val="16"/>
              </w:rPr>
            </w:pPr>
            <w:r w:rsidRPr="00BE6AB2">
              <w:rPr>
                <w:rFonts w:ascii="Arial" w:hAnsi="Arial" w:cs="Arial"/>
                <w:color w:val="000000"/>
                <w:sz w:val="16"/>
                <w:szCs w:val="16"/>
              </w:rPr>
              <w:t>Trade and other receivables</w:t>
            </w:r>
          </w:p>
        </w:tc>
        <w:tc>
          <w:tcPr>
            <w:tcW w:w="880" w:type="dxa"/>
            <w:tcBorders>
              <w:top w:val="nil"/>
              <w:left w:val="nil"/>
              <w:bottom w:val="nil"/>
              <w:right w:val="nil"/>
            </w:tcBorders>
            <w:shd w:val="clear" w:color="auto" w:fill="auto"/>
            <w:noWrap/>
            <w:vAlign w:val="bottom"/>
            <w:hideMark/>
          </w:tcPr>
          <w:p w14:paraId="6FC8F2CF" w14:textId="77777777" w:rsidR="00BE6AB2" w:rsidRPr="00BE6AB2" w:rsidRDefault="00BE6AB2" w:rsidP="00BE6AB2">
            <w:pPr>
              <w:spacing w:after="0" w:line="240" w:lineRule="auto"/>
              <w:jc w:val="right"/>
              <w:rPr>
                <w:rFonts w:ascii="Arial" w:hAnsi="Arial" w:cs="Arial"/>
                <w:color w:val="000000"/>
                <w:sz w:val="16"/>
                <w:szCs w:val="16"/>
              </w:rPr>
            </w:pPr>
            <w:r w:rsidRPr="00BE6AB2">
              <w:rPr>
                <w:rFonts w:ascii="Arial" w:hAnsi="Arial" w:cs="Arial"/>
                <w:color w:val="000000"/>
                <w:sz w:val="16"/>
                <w:szCs w:val="16"/>
              </w:rPr>
              <w:t xml:space="preserve">37,553 </w:t>
            </w:r>
          </w:p>
        </w:tc>
        <w:tc>
          <w:tcPr>
            <w:tcW w:w="880" w:type="dxa"/>
            <w:tcBorders>
              <w:top w:val="nil"/>
              <w:left w:val="nil"/>
              <w:bottom w:val="nil"/>
              <w:right w:val="nil"/>
            </w:tcBorders>
            <w:shd w:val="clear" w:color="000000" w:fill="E6E6E6"/>
            <w:noWrap/>
            <w:vAlign w:val="bottom"/>
            <w:hideMark/>
          </w:tcPr>
          <w:p w14:paraId="0B17EFEE" w14:textId="77777777" w:rsidR="00BE6AB2" w:rsidRPr="00BE6AB2" w:rsidRDefault="00BE6AB2" w:rsidP="00BE6AB2">
            <w:pPr>
              <w:spacing w:after="0" w:line="240" w:lineRule="auto"/>
              <w:jc w:val="right"/>
              <w:rPr>
                <w:rFonts w:ascii="Arial" w:hAnsi="Arial" w:cs="Arial"/>
                <w:color w:val="000000"/>
                <w:sz w:val="16"/>
                <w:szCs w:val="16"/>
              </w:rPr>
            </w:pPr>
            <w:r w:rsidRPr="00BE6AB2">
              <w:rPr>
                <w:rFonts w:ascii="Arial" w:hAnsi="Arial" w:cs="Arial"/>
                <w:color w:val="000000"/>
                <w:sz w:val="16"/>
                <w:szCs w:val="16"/>
              </w:rPr>
              <w:t xml:space="preserve">37,553 </w:t>
            </w:r>
          </w:p>
        </w:tc>
        <w:tc>
          <w:tcPr>
            <w:tcW w:w="880" w:type="dxa"/>
            <w:tcBorders>
              <w:top w:val="nil"/>
              <w:left w:val="nil"/>
              <w:bottom w:val="nil"/>
              <w:right w:val="nil"/>
            </w:tcBorders>
            <w:shd w:val="clear" w:color="auto" w:fill="auto"/>
            <w:noWrap/>
            <w:vAlign w:val="bottom"/>
            <w:hideMark/>
          </w:tcPr>
          <w:p w14:paraId="305C3356" w14:textId="77777777" w:rsidR="00BE6AB2" w:rsidRPr="00BE6AB2" w:rsidRDefault="00BE6AB2" w:rsidP="00BE6AB2">
            <w:pPr>
              <w:spacing w:after="0" w:line="240" w:lineRule="auto"/>
              <w:jc w:val="right"/>
              <w:rPr>
                <w:rFonts w:ascii="Arial" w:hAnsi="Arial" w:cs="Arial"/>
                <w:color w:val="000000"/>
                <w:sz w:val="16"/>
                <w:szCs w:val="16"/>
              </w:rPr>
            </w:pPr>
            <w:r w:rsidRPr="00BE6AB2">
              <w:rPr>
                <w:rFonts w:ascii="Arial" w:hAnsi="Arial" w:cs="Arial"/>
                <w:color w:val="000000"/>
                <w:sz w:val="16"/>
                <w:szCs w:val="16"/>
              </w:rPr>
              <w:t xml:space="preserve">37,553 </w:t>
            </w:r>
          </w:p>
        </w:tc>
        <w:tc>
          <w:tcPr>
            <w:tcW w:w="880" w:type="dxa"/>
            <w:tcBorders>
              <w:top w:val="nil"/>
              <w:left w:val="nil"/>
              <w:bottom w:val="nil"/>
              <w:right w:val="nil"/>
            </w:tcBorders>
            <w:shd w:val="clear" w:color="auto" w:fill="auto"/>
            <w:noWrap/>
            <w:vAlign w:val="bottom"/>
            <w:hideMark/>
          </w:tcPr>
          <w:p w14:paraId="5C2A34B8" w14:textId="77777777" w:rsidR="00BE6AB2" w:rsidRPr="00BE6AB2" w:rsidRDefault="00BE6AB2" w:rsidP="00BE6AB2">
            <w:pPr>
              <w:spacing w:after="0" w:line="240" w:lineRule="auto"/>
              <w:jc w:val="right"/>
              <w:rPr>
                <w:rFonts w:ascii="Arial" w:hAnsi="Arial" w:cs="Arial"/>
                <w:color w:val="000000"/>
                <w:sz w:val="16"/>
                <w:szCs w:val="16"/>
              </w:rPr>
            </w:pPr>
            <w:r w:rsidRPr="00BE6AB2">
              <w:rPr>
                <w:rFonts w:ascii="Arial" w:hAnsi="Arial" w:cs="Arial"/>
                <w:color w:val="000000"/>
                <w:sz w:val="16"/>
                <w:szCs w:val="16"/>
              </w:rPr>
              <w:t xml:space="preserve">37,553 </w:t>
            </w:r>
          </w:p>
        </w:tc>
        <w:tc>
          <w:tcPr>
            <w:tcW w:w="880" w:type="dxa"/>
            <w:tcBorders>
              <w:top w:val="nil"/>
              <w:left w:val="nil"/>
              <w:bottom w:val="nil"/>
              <w:right w:val="nil"/>
            </w:tcBorders>
            <w:shd w:val="clear" w:color="auto" w:fill="auto"/>
            <w:noWrap/>
            <w:vAlign w:val="bottom"/>
            <w:hideMark/>
          </w:tcPr>
          <w:p w14:paraId="5A3565D0" w14:textId="77777777" w:rsidR="00BE6AB2" w:rsidRPr="00BE6AB2" w:rsidRDefault="00BE6AB2" w:rsidP="00BE6AB2">
            <w:pPr>
              <w:spacing w:after="0" w:line="240" w:lineRule="auto"/>
              <w:jc w:val="right"/>
              <w:rPr>
                <w:rFonts w:ascii="Arial" w:hAnsi="Arial" w:cs="Arial"/>
                <w:color w:val="000000"/>
                <w:sz w:val="16"/>
                <w:szCs w:val="16"/>
              </w:rPr>
            </w:pPr>
            <w:r w:rsidRPr="00BE6AB2">
              <w:rPr>
                <w:rFonts w:ascii="Arial" w:hAnsi="Arial" w:cs="Arial"/>
                <w:color w:val="000000"/>
                <w:sz w:val="16"/>
                <w:szCs w:val="16"/>
              </w:rPr>
              <w:t xml:space="preserve">37,553 </w:t>
            </w:r>
          </w:p>
        </w:tc>
      </w:tr>
      <w:tr w:rsidR="00BE6AB2" w:rsidRPr="00BE6AB2" w14:paraId="39D24D79" w14:textId="77777777" w:rsidTr="00BE6AB2">
        <w:trPr>
          <w:trHeight w:val="210"/>
        </w:trPr>
        <w:tc>
          <w:tcPr>
            <w:tcW w:w="3220" w:type="dxa"/>
            <w:tcBorders>
              <w:top w:val="nil"/>
              <w:left w:val="nil"/>
              <w:bottom w:val="nil"/>
              <w:right w:val="nil"/>
            </w:tcBorders>
            <w:shd w:val="clear" w:color="auto" w:fill="auto"/>
            <w:noWrap/>
            <w:vAlign w:val="bottom"/>
            <w:hideMark/>
          </w:tcPr>
          <w:p w14:paraId="1D63BE72" w14:textId="77777777" w:rsidR="00BE6AB2" w:rsidRPr="00BE6AB2" w:rsidRDefault="00BE6AB2" w:rsidP="00BE6AB2">
            <w:pPr>
              <w:spacing w:after="0" w:line="240" w:lineRule="auto"/>
              <w:jc w:val="left"/>
              <w:rPr>
                <w:rFonts w:ascii="Arial" w:hAnsi="Arial" w:cs="Arial"/>
                <w:b/>
                <w:bCs/>
                <w:i/>
                <w:iCs/>
                <w:color w:val="000000"/>
                <w:sz w:val="16"/>
                <w:szCs w:val="16"/>
              </w:rPr>
            </w:pPr>
            <w:r w:rsidRPr="00BE6AB2">
              <w:rPr>
                <w:rFonts w:ascii="Arial" w:hAnsi="Arial" w:cs="Arial"/>
                <w:b/>
                <w:bCs/>
                <w:i/>
                <w:iCs/>
                <w:color w:val="000000"/>
                <w:sz w:val="16"/>
                <w:szCs w:val="16"/>
              </w:rPr>
              <w:t>Total financial assets</w:t>
            </w:r>
          </w:p>
        </w:tc>
        <w:tc>
          <w:tcPr>
            <w:tcW w:w="880" w:type="dxa"/>
            <w:tcBorders>
              <w:top w:val="single" w:sz="4" w:space="0" w:color="000000"/>
              <w:left w:val="nil"/>
              <w:bottom w:val="single" w:sz="4" w:space="0" w:color="000000"/>
              <w:right w:val="nil"/>
            </w:tcBorders>
            <w:shd w:val="clear" w:color="auto" w:fill="auto"/>
            <w:noWrap/>
            <w:vAlign w:val="bottom"/>
            <w:hideMark/>
          </w:tcPr>
          <w:p w14:paraId="168DE033" w14:textId="77777777" w:rsidR="00BE6AB2" w:rsidRPr="00BE6AB2" w:rsidRDefault="00BE6AB2" w:rsidP="00BE6AB2">
            <w:pPr>
              <w:spacing w:after="0" w:line="240" w:lineRule="auto"/>
              <w:jc w:val="right"/>
              <w:rPr>
                <w:rFonts w:ascii="Arial" w:hAnsi="Arial" w:cs="Arial"/>
                <w:b/>
                <w:bCs/>
                <w:i/>
                <w:iCs/>
                <w:color w:val="000000"/>
                <w:sz w:val="16"/>
                <w:szCs w:val="16"/>
              </w:rPr>
            </w:pPr>
            <w:r w:rsidRPr="00BE6AB2">
              <w:rPr>
                <w:rFonts w:ascii="Arial" w:hAnsi="Arial" w:cs="Arial"/>
                <w:b/>
                <w:bCs/>
                <w:i/>
                <w:iCs/>
                <w:color w:val="000000"/>
                <w:sz w:val="16"/>
                <w:szCs w:val="16"/>
              </w:rPr>
              <w:t xml:space="preserve">38,053 </w:t>
            </w:r>
          </w:p>
        </w:tc>
        <w:tc>
          <w:tcPr>
            <w:tcW w:w="880" w:type="dxa"/>
            <w:tcBorders>
              <w:top w:val="single" w:sz="4" w:space="0" w:color="000000"/>
              <w:left w:val="nil"/>
              <w:bottom w:val="single" w:sz="4" w:space="0" w:color="000000"/>
              <w:right w:val="nil"/>
            </w:tcBorders>
            <w:shd w:val="clear" w:color="000000" w:fill="E6E6E6"/>
            <w:noWrap/>
            <w:vAlign w:val="bottom"/>
            <w:hideMark/>
          </w:tcPr>
          <w:p w14:paraId="5BDED4A0" w14:textId="77777777" w:rsidR="00BE6AB2" w:rsidRPr="00BE6AB2" w:rsidRDefault="00BE6AB2" w:rsidP="00BE6AB2">
            <w:pPr>
              <w:spacing w:after="0" w:line="240" w:lineRule="auto"/>
              <w:jc w:val="right"/>
              <w:rPr>
                <w:rFonts w:ascii="Arial" w:hAnsi="Arial" w:cs="Arial"/>
                <w:b/>
                <w:bCs/>
                <w:i/>
                <w:iCs/>
                <w:color w:val="000000"/>
                <w:sz w:val="16"/>
                <w:szCs w:val="16"/>
              </w:rPr>
            </w:pPr>
            <w:r w:rsidRPr="00BE6AB2">
              <w:rPr>
                <w:rFonts w:ascii="Arial" w:hAnsi="Arial" w:cs="Arial"/>
                <w:b/>
                <w:bCs/>
                <w:i/>
                <w:iCs/>
                <w:color w:val="000000"/>
                <w:sz w:val="16"/>
                <w:szCs w:val="16"/>
              </w:rPr>
              <w:t xml:space="preserve">38,053 </w:t>
            </w:r>
          </w:p>
        </w:tc>
        <w:tc>
          <w:tcPr>
            <w:tcW w:w="880" w:type="dxa"/>
            <w:tcBorders>
              <w:top w:val="single" w:sz="4" w:space="0" w:color="000000"/>
              <w:left w:val="nil"/>
              <w:bottom w:val="single" w:sz="4" w:space="0" w:color="000000"/>
              <w:right w:val="nil"/>
            </w:tcBorders>
            <w:shd w:val="clear" w:color="auto" w:fill="auto"/>
            <w:noWrap/>
            <w:vAlign w:val="bottom"/>
            <w:hideMark/>
          </w:tcPr>
          <w:p w14:paraId="0E8FDEA3" w14:textId="77777777" w:rsidR="00BE6AB2" w:rsidRPr="00BE6AB2" w:rsidRDefault="00BE6AB2" w:rsidP="00BE6AB2">
            <w:pPr>
              <w:spacing w:after="0" w:line="240" w:lineRule="auto"/>
              <w:jc w:val="right"/>
              <w:rPr>
                <w:rFonts w:ascii="Arial" w:hAnsi="Arial" w:cs="Arial"/>
                <w:b/>
                <w:bCs/>
                <w:i/>
                <w:iCs/>
                <w:color w:val="000000"/>
                <w:sz w:val="16"/>
                <w:szCs w:val="16"/>
              </w:rPr>
            </w:pPr>
            <w:r w:rsidRPr="00BE6AB2">
              <w:rPr>
                <w:rFonts w:ascii="Arial" w:hAnsi="Arial" w:cs="Arial"/>
                <w:b/>
                <w:bCs/>
                <w:i/>
                <w:iCs/>
                <w:color w:val="000000"/>
                <w:sz w:val="16"/>
                <w:szCs w:val="16"/>
              </w:rPr>
              <w:t xml:space="preserve">38,053 </w:t>
            </w:r>
          </w:p>
        </w:tc>
        <w:tc>
          <w:tcPr>
            <w:tcW w:w="880" w:type="dxa"/>
            <w:tcBorders>
              <w:top w:val="single" w:sz="4" w:space="0" w:color="000000"/>
              <w:left w:val="nil"/>
              <w:bottom w:val="single" w:sz="4" w:space="0" w:color="000000"/>
              <w:right w:val="nil"/>
            </w:tcBorders>
            <w:shd w:val="clear" w:color="auto" w:fill="auto"/>
            <w:noWrap/>
            <w:vAlign w:val="bottom"/>
            <w:hideMark/>
          </w:tcPr>
          <w:p w14:paraId="405CC4E5" w14:textId="77777777" w:rsidR="00BE6AB2" w:rsidRPr="00BE6AB2" w:rsidRDefault="00BE6AB2" w:rsidP="00BE6AB2">
            <w:pPr>
              <w:spacing w:after="0" w:line="240" w:lineRule="auto"/>
              <w:jc w:val="right"/>
              <w:rPr>
                <w:rFonts w:ascii="Arial" w:hAnsi="Arial" w:cs="Arial"/>
                <w:b/>
                <w:bCs/>
                <w:i/>
                <w:iCs/>
                <w:color w:val="000000"/>
                <w:sz w:val="16"/>
                <w:szCs w:val="16"/>
              </w:rPr>
            </w:pPr>
            <w:r w:rsidRPr="00BE6AB2">
              <w:rPr>
                <w:rFonts w:ascii="Arial" w:hAnsi="Arial" w:cs="Arial"/>
                <w:b/>
                <w:bCs/>
                <w:i/>
                <w:iCs/>
                <w:color w:val="000000"/>
                <w:sz w:val="16"/>
                <w:szCs w:val="16"/>
              </w:rPr>
              <w:t xml:space="preserve">38,053 </w:t>
            </w:r>
          </w:p>
        </w:tc>
        <w:tc>
          <w:tcPr>
            <w:tcW w:w="880" w:type="dxa"/>
            <w:tcBorders>
              <w:top w:val="single" w:sz="4" w:space="0" w:color="000000"/>
              <w:left w:val="nil"/>
              <w:bottom w:val="single" w:sz="4" w:space="0" w:color="000000"/>
              <w:right w:val="nil"/>
            </w:tcBorders>
            <w:shd w:val="clear" w:color="auto" w:fill="auto"/>
            <w:noWrap/>
            <w:vAlign w:val="bottom"/>
            <w:hideMark/>
          </w:tcPr>
          <w:p w14:paraId="41FA4914" w14:textId="77777777" w:rsidR="00BE6AB2" w:rsidRPr="00BE6AB2" w:rsidRDefault="00BE6AB2" w:rsidP="00BE6AB2">
            <w:pPr>
              <w:spacing w:after="0" w:line="240" w:lineRule="auto"/>
              <w:jc w:val="right"/>
              <w:rPr>
                <w:rFonts w:ascii="Arial" w:hAnsi="Arial" w:cs="Arial"/>
                <w:b/>
                <w:bCs/>
                <w:i/>
                <w:iCs/>
                <w:color w:val="000000"/>
                <w:sz w:val="16"/>
                <w:szCs w:val="16"/>
              </w:rPr>
            </w:pPr>
            <w:r w:rsidRPr="00BE6AB2">
              <w:rPr>
                <w:rFonts w:ascii="Arial" w:hAnsi="Arial" w:cs="Arial"/>
                <w:b/>
                <w:bCs/>
                <w:i/>
                <w:iCs/>
                <w:color w:val="000000"/>
                <w:sz w:val="16"/>
                <w:szCs w:val="16"/>
              </w:rPr>
              <w:t xml:space="preserve">38,053 </w:t>
            </w:r>
          </w:p>
        </w:tc>
      </w:tr>
      <w:tr w:rsidR="00BE6AB2" w:rsidRPr="00BE6AB2" w14:paraId="4C2445C4" w14:textId="77777777" w:rsidTr="00BE6AB2">
        <w:trPr>
          <w:trHeight w:val="450"/>
        </w:trPr>
        <w:tc>
          <w:tcPr>
            <w:tcW w:w="3220" w:type="dxa"/>
            <w:tcBorders>
              <w:top w:val="nil"/>
              <w:left w:val="nil"/>
              <w:bottom w:val="nil"/>
              <w:right w:val="nil"/>
            </w:tcBorders>
            <w:shd w:val="clear" w:color="auto" w:fill="auto"/>
            <w:vAlign w:val="bottom"/>
            <w:hideMark/>
          </w:tcPr>
          <w:p w14:paraId="53F2E031" w14:textId="77777777" w:rsidR="00BE6AB2" w:rsidRPr="00BE6AB2" w:rsidRDefault="00BE6AB2" w:rsidP="00BE6AB2">
            <w:pPr>
              <w:spacing w:after="0" w:line="240" w:lineRule="auto"/>
              <w:jc w:val="left"/>
              <w:rPr>
                <w:rFonts w:ascii="Arial" w:hAnsi="Arial" w:cs="Arial"/>
                <w:b/>
                <w:bCs/>
                <w:color w:val="000000"/>
                <w:sz w:val="16"/>
                <w:szCs w:val="16"/>
              </w:rPr>
            </w:pPr>
            <w:r w:rsidRPr="00BE6AB2">
              <w:rPr>
                <w:rFonts w:ascii="Arial" w:hAnsi="Arial" w:cs="Arial"/>
                <w:b/>
                <w:bCs/>
                <w:color w:val="000000"/>
                <w:sz w:val="16"/>
                <w:szCs w:val="16"/>
              </w:rPr>
              <w:t>Total assets administered on</w:t>
            </w:r>
            <w:r w:rsidRPr="00BE6AB2">
              <w:rPr>
                <w:rFonts w:ascii="Arial" w:hAnsi="Arial" w:cs="Arial"/>
                <w:b/>
                <w:bCs/>
                <w:color w:val="000000"/>
                <w:sz w:val="16"/>
                <w:szCs w:val="16"/>
              </w:rPr>
              <w:br/>
              <w:t xml:space="preserve">  behalf of Government</w:t>
            </w:r>
          </w:p>
        </w:tc>
        <w:tc>
          <w:tcPr>
            <w:tcW w:w="880" w:type="dxa"/>
            <w:tcBorders>
              <w:top w:val="nil"/>
              <w:left w:val="nil"/>
              <w:bottom w:val="single" w:sz="4" w:space="0" w:color="auto"/>
              <w:right w:val="nil"/>
            </w:tcBorders>
            <w:shd w:val="clear" w:color="auto" w:fill="auto"/>
            <w:noWrap/>
            <w:vAlign w:val="bottom"/>
            <w:hideMark/>
          </w:tcPr>
          <w:p w14:paraId="278F8B59" w14:textId="77777777" w:rsidR="00BE6AB2" w:rsidRPr="00BE6AB2" w:rsidRDefault="00BE6AB2" w:rsidP="00BE6AB2">
            <w:pPr>
              <w:spacing w:after="0" w:line="240" w:lineRule="auto"/>
              <w:jc w:val="right"/>
              <w:rPr>
                <w:rFonts w:ascii="Arial" w:hAnsi="Arial" w:cs="Arial"/>
                <w:b/>
                <w:bCs/>
                <w:color w:val="000000"/>
                <w:sz w:val="16"/>
                <w:szCs w:val="16"/>
              </w:rPr>
            </w:pPr>
            <w:r w:rsidRPr="00BE6AB2">
              <w:rPr>
                <w:rFonts w:ascii="Arial" w:hAnsi="Arial" w:cs="Arial"/>
                <w:b/>
                <w:bCs/>
                <w:color w:val="000000"/>
                <w:sz w:val="16"/>
                <w:szCs w:val="16"/>
              </w:rPr>
              <w:t xml:space="preserve">38,053 </w:t>
            </w:r>
          </w:p>
        </w:tc>
        <w:tc>
          <w:tcPr>
            <w:tcW w:w="880" w:type="dxa"/>
            <w:tcBorders>
              <w:top w:val="nil"/>
              <w:left w:val="nil"/>
              <w:bottom w:val="single" w:sz="4" w:space="0" w:color="auto"/>
              <w:right w:val="nil"/>
            </w:tcBorders>
            <w:shd w:val="clear" w:color="000000" w:fill="E6E6E6"/>
            <w:noWrap/>
            <w:vAlign w:val="bottom"/>
            <w:hideMark/>
          </w:tcPr>
          <w:p w14:paraId="48E19D1D" w14:textId="77777777" w:rsidR="00BE6AB2" w:rsidRPr="00BE6AB2" w:rsidRDefault="00BE6AB2" w:rsidP="00BE6AB2">
            <w:pPr>
              <w:spacing w:after="0" w:line="240" w:lineRule="auto"/>
              <w:jc w:val="right"/>
              <w:rPr>
                <w:rFonts w:ascii="Arial" w:hAnsi="Arial" w:cs="Arial"/>
                <w:b/>
                <w:bCs/>
                <w:color w:val="000000"/>
                <w:sz w:val="16"/>
                <w:szCs w:val="16"/>
              </w:rPr>
            </w:pPr>
            <w:r w:rsidRPr="00BE6AB2">
              <w:rPr>
                <w:rFonts w:ascii="Arial" w:hAnsi="Arial" w:cs="Arial"/>
                <w:b/>
                <w:bCs/>
                <w:color w:val="000000"/>
                <w:sz w:val="16"/>
                <w:szCs w:val="16"/>
              </w:rPr>
              <w:t xml:space="preserve">38,053 </w:t>
            </w:r>
          </w:p>
        </w:tc>
        <w:tc>
          <w:tcPr>
            <w:tcW w:w="880" w:type="dxa"/>
            <w:tcBorders>
              <w:top w:val="nil"/>
              <w:left w:val="nil"/>
              <w:bottom w:val="single" w:sz="4" w:space="0" w:color="auto"/>
              <w:right w:val="nil"/>
            </w:tcBorders>
            <w:shd w:val="clear" w:color="auto" w:fill="auto"/>
            <w:noWrap/>
            <w:vAlign w:val="bottom"/>
            <w:hideMark/>
          </w:tcPr>
          <w:p w14:paraId="12553BD4" w14:textId="77777777" w:rsidR="00BE6AB2" w:rsidRPr="00BE6AB2" w:rsidRDefault="00BE6AB2" w:rsidP="00BE6AB2">
            <w:pPr>
              <w:spacing w:after="0" w:line="240" w:lineRule="auto"/>
              <w:jc w:val="right"/>
              <w:rPr>
                <w:rFonts w:ascii="Arial" w:hAnsi="Arial" w:cs="Arial"/>
                <w:b/>
                <w:bCs/>
                <w:color w:val="000000"/>
                <w:sz w:val="16"/>
                <w:szCs w:val="16"/>
              </w:rPr>
            </w:pPr>
            <w:r w:rsidRPr="00BE6AB2">
              <w:rPr>
                <w:rFonts w:ascii="Arial" w:hAnsi="Arial" w:cs="Arial"/>
                <w:b/>
                <w:bCs/>
                <w:color w:val="000000"/>
                <w:sz w:val="16"/>
                <w:szCs w:val="16"/>
              </w:rPr>
              <w:t xml:space="preserve">38,053 </w:t>
            </w:r>
          </w:p>
        </w:tc>
        <w:tc>
          <w:tcPr>
            <w:tcW w:w="880" w:type="dxa"/>
            <w:tcBorders>
              <w:top w:val="nil"/>
              <w:left w:val="nil"/>
              <w:bottom w:val="single" w:sz="4" w:space="0" w:color="auto"/>
              <w:right w:val="nil"/>
            </w:tcBorders>
            <w:shd w:val="clear" w:color="auto" w:fill="auto"/>
            <w:noWrap/>
            <w:vAlign w:val="bottom"/>
            <w:hideMark/>
          </w:tcPr>
          <w:p w14:paraId="6AE4E2C5" w14:textId="77777777" w:rsidR="00BE6AB2" w:rsidRPr="00BE6AB2" w:rsidRDefault="00BE6AB2" w:rsidP="00BE6AB2">
            <w:pPr>
              <w:spacing w:after="0" w:line="240" w:lineRule="auto"/>
              <w:jc w:val="right"/>
              <w:rPr>
                <w:rFonts w:ascii="Arial" w:hAnsi="Arial" w:cs="Arial"/>
                <w:b/>
                <w:bCs/>
                <w:color w:val="000000"/>
                <w:sz w:val="16"/>
                <w:szCs w:val="16"/>
              </w:rPr>
            </w:pPr>
            <w:r w:rsidRPr="00BE6AB2">
              <w:rPr>
                <w:rFonts w:ascii="Arial" w:hAnsi="Arial" w:cs="Arial"/>
                <w:b/>
                <w:bCs/>
                <w:color w:val="000000"/>
                <w:sz w:val="16"/>
                <w:szCs w:val="16"/>
              </w:rPr>
              <w:t xml:space="preserve">38,053 </w:t>
            </w:r>
          </w:p>
        </w:tc>
        <w:tc>
          <w:tcPr>
            <w:tcW w:w="880" w:type="dxa"/>
            <w:tcBorders>
              <w:top w:val="nil"/>
              <w:left w:val="nil"/>
              <w:bottom w:val="single" w:sz="4" w:space="0" w:color="auto"/>
              <w:right w:val="nil"/>
            </w:tcBorders>
            <w:shd w:val="clear" w:color="auto" w:fill="auto"/>
            <w:noWrap/>
            <w:vAlign w:val="bottom"/>
            <w:hideMark/>
          </w:tcPr>
          <w:p w14:paraId="69DC8697" w14:textId="77777777" w:rsidR="00BE6AB2" w:rsidRPr="00BE6AB2" w:rsidRDefault="00BE6AB2" w:rsidP="00BE6AB2">
            <w:pPr>
              <w:spacing w:after="0" w:line="240" w:lineRule="auto"/>
              <w:jc w:val="right"/>
              <w:rPr>
                <w:rFonts w:ascii="Arial" w:hAnsi="Arial" w:cs="Arial"/>
                <w:b/>
                <w:bCs/>
                <w:color w:val="000000"/>
                <w:sz w:val="16"/>
                <w:szCs w:val="16"/>
              </w:rPr>
            </w:pPr>
            <w:r w:rsidRPr="00BE6AB2">
              <w:rPr>
                <w:rFonts w:ascii="Arial" w:hAnsi="Arial" w:cs="Arial"/>
                <w:b/>
                <w:bCs/>
                <w:color w:val="000000"/>
                <w:sz w:val="16"/>
                <w:szCs w:val="16"/>
              </w:rPr>
              <w:t xml:space="preserve">38,053 </w:t>
            </w:r>
          </w:p>
        </w:tc>
      </w:tr>
      <w:tr w:rsidR="00BE6AB2" w:rsidRPr="00BE6AB2" w14:paraId="4E7EFD9A" w14:textId="77777777" w:rsidTr="00BE6AB2">
        <w:trPr>
          <w:trHeight w:val="225"/>
        </w:trPr>
        <w:tc>
          <w:tcPr>
            <w:tcW w:w="3220" w:type="dxa"/>
            <w:tcBorders>
              <w:top w:val="nil"/>
              <w:left w:val="nil"/>
              <w:bottom w:val="single" w:sz="4" w:space="0" w:color="000000"/>
              <w:right w:val="nil"/>
            </w:tcBorders>
            <w:shd w:val="clear" w:color="auto" w:fill="auto"/>
            <w:noWrap/>
            <w:vAlign w:val="bottom"/>
            <w:hideMark/>
          </w:tcPr>
          <w:p w14:paraId="26955429" w14:textId="77777777" w:rsidR="00BE6AB2" w:rsidRPr="00BE6AB2" w:rsidRDefault="00BE6AB2" w:rsidP="00BE6AB2">
            <w:pPr>
              <w:spacing w:after="0" w:line="240" w:lineRule="auto"/>
              <w:jc w:val="left"/>
              <w:rPr>
                <w:rFonts w:ascii="Arial" w:hAnsi="Arial" w:cs="Arial"/>
                <w:b/>
                <w:bCs/>
                <w:color w:val="000000"/>
                <w:sz w:val="16"/>
                <w:szCs w:val="16"/>
              </w:rPr>
            </w:pPr>
            <w:r w:rsidRPr="00BE6AB2">
              <w:rPr>
                <w:rFonts w:ascii="Arial" w:hAnsi="Arial" w:cs="Arial"/>
                <w:b/>
                <w:bCs/>
                <w:color w:val="000000"/>
                <w:sz w:val="16"/>
                <w:szCs w:val="16"/>
              </w:rPr>
              <w:t>Net assets/(liabilities)</w:t>
            </w:r>
          </w:p>
        </w:tc>
        <w:tc>
          <w:tcPr>
            <w:tcW w:w="880" w:type="dxa"/>
            <w:tcBorders>
              <w:top w:val="nil"/>
              <w:left w:val="nil"/>
              <w:bottom w:val="single" w:sz="4" w:space="0" w:color="000000"/>
              <w:right w:val="nil"/>
            </w:tcBorders>
            <w:shd w:val="clear" w:color="auto" w:fill="auto"/>
            <w:noWrap/>
            <w:vAlign w:val="bottom"/>
            <w:hideMark/>
          </w:tcPr>
          <w:p w14:paraId="49CA6835" w14:textId="77777777" w:rsidR="00BE6AB2" w:rsidRPr="00BE6AB2" w:rsidRDefault="00BE6AB2" w:rsidP="00BE6AB2">
            <w:pPr>
              <w:spacing w:after="0" w:line="240" w:lineRule="auto"/>
              <w:jc w:val="right"/>
              <w:rPr>
                <w:rFonts w:ascii="Arial" w:hAnsi="Arial" w:cs="Arial"/>
                <w:b/>
                <w:bCs/>
                <w:color w:val="000000"/>
                <w:sz w:val="16"/>
                <w:szCs w:val="16"/>
              </w:rPr>
            </w:pPr>
            <w:r w:rsidRPr="00BE6AB2">
              <w:rPr>
                <w:rFonts w:ascii="Arial" w:hAnsi="Arial" w:cs="Arial"/>
                <w:b/>
                <w:bCs/>
                <w:color w:val="000000"/>
                <w:sz w:val="16"/>
                <w:szCs w:val="16"/>
              </w:rPr>
              <w:t xml:space="preserve">38,053 </w:t>
            </w:r>
          </w:p>
        </w:tc>
        <w:tc>
          <w:tcPr>
            <w:tcW w:w="880" w:type="dxa"/>
            <w:tcBorders>
              <w:top w:val="nil"/>
              <w:left w:val="nil"/>
              <w:bottom w:val="single" w:sz="4" w:space="0" w:color="000000"/>
              <w:right w:val="nil"/>
            </w:tcBorders>
            <w:shd w:val="clear" w:color="000000" w:fill="E6E6E6"/>
            <w:noWrap/>
            <w:vAlign w:val="bottom"/>
            <w:hideMark/>
          </w:tcPr>
          <w:p w14:paraId="750CA5BF" w14:textId="77777777" w:rsidR="00BE6AB2" w:rsidRPr="00BE6AB2" w:rsidRDefault="00BE6AB2" w:rsidP="00BE6AB2">
            <w:pPr>
              <w:spacing w:after="0" w:line="240" w:lineRule="auto"/>
              <w:jc w:val="right"/>
              <w:rPr>
                <w:rFonts w:ascii="Arial" w:hAnsi="Arial" w:cs="Arial"/>
                <w:b/>
                <w:bCs/>
                <w:color w:val="000000"/>
                <w:sz w:val="16"/>
                <w:szCs w:val="16"/>
              </w:rPr>
            </w:pPr>
            <w:r w:rsidRPr="00BE6AB2">
              <w:rPr>
                <w:rFonts w:ascii="Arial" w:hAnsi="Arial" w:cs="Arial"/>
                <w:b/>
                <w:bCs/>
                <w:color w:val="000000"/>
                <w:sz w:val="16"/>
                <w:szCs w:val="16"/>
              </w:rPr>
              <w:t xml:space="preserve">38,053 </w:t>
            </w:r>
          </w:p>
        </w:tc>
        <w:tc>
          <w:tcPr>
            <w:tcW w:w="880" w:type="dxa"/>
            <w:tcBorders>
              <w:top w:val="nil"/>
              <w:left w:val="nil"/>
              <w:bottom w:val="single" w:sz="4" w:space="0" w:color="000000"/>
              <w:right w:val="nil"/>
            </w:tcBorders>
            <w:shd w:val="clear" w:color="auto" w:fill="auto"/>
            <w:noWrap/>
            <w:vAlign w:val="bottom"/>
            <w:hideMark/>
          </w:tcPr>
          <w:p w14:paraId="013F9131" w14:textId="77777777" w:rsidR="00BE6AB2" w:rsidRPr="00BE6AB2" w:rsidRDefault="00BE6AB2" w:rsidP="00BE6AB2">
            <w:pPr>
              <w:spacing w:after="0" w:line="240" w:lineRule="auto"/>
              <w:jc w:val="right"/>
              <w:rPr>
                <w:rFonts w:ascii="Arial" w:hAnsi="Arial" w:cs="Arial"/>
                <w:b/>
                <w:bCs/>
                <w:color w:val="000000"/>
                <w:sz w:val="16"/>
                <w:szCs w:val="16"/>
              </w:rPr>
            </w:pPr>
            <w:r w:rsidRPr="00BE6AB2">
              <w:rPr>
                <w:rFonts w:ascii="Arial" w:hAnsi="Arial" w:cs="Arial"/>
                <w:b/>
                <w:bCs/>
                <w:color w:val="000000"/>
                <w:sz w:val="16"/>
                <w:szCs w:val="16"/>
              </w:rPr>
              <w:t xml:space="preserve">38,053 </w:t>
            </w:r>
          </w:p>
        </w:tc>
        <w:tc>
          <w:tcPr>
            <w:tcW w:w="880" w:type="dxa"/>
            <w:tcBorders>
              <w:top w:val="nil"/>
              <w:left w:val="nil"/>
              <w:bottom w:val="single" w:sz="4" w:space="0" w:color="000000"/>
              <w:right w:val="nil"/>
            </w:tcBorders>
            <w:shd w:val="clear" w:color="auto" w:fill="auto"/>
            <w:noWrap/>
            <w:vAlign w:val="bottom"/>
            <w:hideMark/>
          </w:tcPr>
          <w:p w14:paraId="7EB1C190" w14:textId="77777777" w:rsidR="00BE6AB2" w:rsidRPr="00BE6AB2" w:rsidRDefault="00BE6AB2" w:rsidP="00BE6AB2">
            <w:pPr>
              <w:spacing w:after="0" w:line="240" w:lineRule="auto"/>
              <w:jc w:val="right"/>
              <w:rPr>
                <w:rFonts w:ascii="Arial" w:hAnsi="Arial" w:cs="Arial"/>
                <w:b/>
                <w:bCs/>
                <w:color w:val="000000"/>
                <w:sz w:val="16"/>
                <w:szCs w:val="16"/>
              </w:rPr>
            </w:pPr>
            <w:r w:rsidRPr="00BE6AB2">
              <w:rPr>
                <w:rFonts w:ascii="Arial" w:hAnsi="Arial" w:cs="Arial"/>
                <w:b/>
                <w:bCs/>
                <w:color w:val="000000"/>
                <w:sz w:val="16"/>
                <w:szCs w:val="16"/>
              </w:rPr>
              <w:t xml:space="preserve">38,053 </w:t>
            </w:r>
          </w:p>
        </w:tc>
        <w:tc>
          <w:tcPr>
            <w:tcW w:w="880" w:type="dxa"/>
            <w:tcBorders>
              <w:top w:val="nil"/>
              <w:left w:val="nil"/>
              <w:bottom w:val="single" w:sz="4" w:space="0" w:color="000000"/>
              <w:right w:val="nil"/>
            </w:tcBorders>
            <w:shd w:val="clear" w:color="auto" w:fill="auto"/>
            <w:noWrap/>
            <w:vAlign w:val="bottom"/>
            <w:hideMark/>
          </w:tcPr>
          <w:p w14:paraId="045BBD6F" w14:textId="77777777" w:rsidR="00BE6AB2" w:rsidRPr="00BE6AB2" w:rsidRDefault="00BE6AB2" w:rsidP="00BE6AB2">
            <w:pPr>
              <w:spacing w:after="0" w:line="240" w:lineRule="auto"/>
              <w:jc w:val="right"/>
              <w:rPr>
                <w:rFonts w:ascii="Arial" w:hAnsi="Arial" w:cs="Arial"/>
                <w:b/>
                <w:bCs/>
                <w:color w:val="000000"/>
                <w:sz w:val="16"/>
                <w:szCs w:val="16"/>
              </w:rPr>
            </w:pPr>
            <w:r w:rsidRPr="00BE6AB2">
              <w:rPr>
                <w:rFonts w:ascii="Arial" w:hAnsi="Arial" w:cs="Arial"/>
                <w:b/>
                <w:bCs/>
                <w:color w:val="000000"/>
                <w:sz w:val="16"/>
                <w:szCs w:val="16"/>
              </w:rPr>
              <w:t xml:space="preserve">38,053 </w:t>
            </w:r>
          </w:p>
        </w:tc>
      </w:tr>
    </w:tbl>
    <w:p w14:paraId="55B95D81" w14:textId="09406970" w:rsidR="00E86239" w:rsidRPr="005C7FBE" w:rsidRDefault="00E86239" w:rsidP="005C7FBE">
      <w:pPr>
        <w:pStyle w:val="TableGraphic"/>
        <w:rPr>
          <w:rFonts w:ascii="Arial" w:hAnsi="Arial" w:cs="Arial"/>
          <w:sz w:val="16"/>
          <w:szCs w:val="16"/>
        </w:rPr>
      </w:pPr>
      <w:r w:rsidRPr="00BE6AB2">
        <w:rPr>
          <w:rFonts w:ascii="Arial" w:hAnsi="Arial" w:cs="Arial"/>
          <w:sz w:val="16"/>
          <w:szCs w:val="16"/>
        </w:rPr>
        <w:t>Prepared on Australian Accounting Standards bas</w:t>
      </w:r>
      <w:r w:rsidR="005C7FBE">
        <w:rPr>
          <w:rFonts w:ascii="Arial" w:hAnsi="Arial" w:cs="Arial"/>
          <w:sz w:val="16"/>
          <w:szCs w:val="16"/>
        </w:rPr>
        <w:t>is.</w:t>
      </w:r>
    </w:p>
    <w:p w14:paraId="74F34106" w14:textId="62B95225" w:rsidR="00BE6AB2" w:rsidRDefault="00BE6AB2">
      <w:pPr>
        <w:spacing w:after="0" w:line="240" w:lineRule="auto"/>
        <w:jc w:val="left"/>
        <w:rPr>
          <w:rFonts w:ascii="Arial" w:hAnsi="Arial" w:cs="Arial"/>
          <w:color w:val="000000"/>
          <w:sz w:val="16"/>
          <w:szCs w:val="16"/>
        </w:rPr>
      </w:pPr>
      <w:r>
        <w:rPr>
          <w:rFonts w:ascii="Arial" w:hAnsi="Arial" w:cs="Arial"/>
          <w:color w:val="000000"/>
          <w:sz w:val="16"/>
          <w:szCs w:val="16"/>
        </w:rPr>
        <w:br w:type="page"/>
      </w:r>
    </w:p>
    <w:p w14:paraId="45FA589B" w14:textId="713494E1" w:rsidR="00BE6AB2" w:rsidRPr="00265E99" w:rsidRDefault="00BE6AB2" w:rsidP="005C7FBE">
      <w:pPr>
        <w:pStyle w:val="TableHeading"/>
        <w:rPr>
          <w:rFonts w:ascii="Times New Roman" w:hAnsi="Times New Roman"/>
          <w:color w:val="auto"/>
          <w:lang w:val="en-AU" w:eastAsia="en-AU"/>
        </w:rPr>
      </w:pPr>
      <w:bookmarkStart w:id="32" w:name="OLE_LINK1"/>
      <w:r w:rsidRPr="00265E99">
        <w:lastRenderedPageBreak/>
        <w:t>Table 3.9: Schedule of budgeted administered cash flows (for the period ended 30 June)</w:t>
      </w:r>
      <w:bookmarkEnd w:id="32"/>
      <w:r w:rsidR="00265E99" w:rsidRPr="00265E99">
        <w:rPr>
          <w:lang w:val="en-AU"/>
        </w:rPr>
        <w:t xml:space="preserve"> </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BE6AB2" w:rsidRPr="00BE6AB2" w14:paraId="7B89DE10" w14:textId="77777777" w:rsidTr="00265E99">
        <w:trPr>
          <w:trHeight w:val="900"/>
        </w:trPr>
        <w:tc>
          <w:tcPr>
            <w:tcW w:w="2105" w:type="pct"/>
            <w:tcBorders>
              <w:top w:val="single" w:sz="4" w:space="0" w:color="auto"/>
              <w:left w:val="nil"/>
              <w:bottom w:val="nil"/>
              <w:right w:val="nil"/>
            </w:tcBorders>
            <w:shd w:val="clear" w:color="auto" w:fill="auto"/>
            <w:noWrap/>
            <w:hideMark/>
          </w:tcPr>
          <w:p w14:paraId="353EC1A7" w14:textId="0259B17A" w:rsidR="00BE6AB2" w:rsidRPr="00BE6AB2" w:rsidRDefault="00BE6AB2">
            <w:pPr>
              <w:rPr>
                <w:rFonts w:ascii="Arial" w:hAnsi="Arial" w:cs="Arial"/>
                <w:b/>
                <w:bCs/>
                <w:sz w:val="16"/>
                <w:szCs w:val="16"/>
              </w:rPr>
            </w:pPr>
            <w:r w:rsidRPr="00BE6AB2">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hideMark/>
          </w:tcPr>
          <w:p w14:paraId="439805C0" w14:textId="77777777" w:rsidR="00BE6AB2" w:rsidRPr="00BE6AB2" w:rsidRDefault="00BE6AB2" w:rsidP="00BE6AB2">
            <w:pPr>
              <w:spacing w:after="0" w:line="240" w:lineRule="auto"/>
              <w:jc w:val="right"/>
              <w:rPr>
                <w:rFonts w:ascii="Arial" w:hAnsi="Arial" w:cs="Arial"/>
                <w:sz w:val="16"/>
                <w:szCs w:val="16"/>
              </w:rPr>
            </w:pPr>
            <w:r w:rsidRPr="00BE6AB2">
              <w:rPr>
                <w:rFonts w:ascii="Arial" w:hAnsi="Arial" w:cs="Arial"/>
                <w:sz w:val="16"/>
                <w:szCs w:val="16"/>
              </w:rPr>
              <w:t>2020-21 Estimated actual</w:t>
            </w:r>
            <w:r w:rsidRPr="00BE6AB2">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000000" w:fill="E6E6E6"/>
            <w:hideMark/>
          </w:tcPr>
          <w:p w14:paraId="3A2167AC" w14:textId="77777777" w:rsidR="00BE6AB2" w:rsidRPr="00BE6AB2" w:rsidRDefault="00BE6AB2" w:rsidP="00BE6AB2">
            <w:pPr>
              <w:spacing w:after="0" w:line="240" w:lineRule="auto"/>
              <w:jc w:val="right"/>
              <w:rPr>
                <w:rFonts w:ascii="Arial" w:hAnsi="Arial" w:cs="Arial"/>
                <w:sz w:val="16"/>
                <w:szCs w:val="16"/>
              </w:rPr>
            </w:pPr>
            <w:r w:rsidRPr="00BE6AB2">
              <w:rPr>
                <w:rFonts w:ascii="Arial" w:hAnsi="Arial" w:cs="Arial"/>
                <w:sz w:val="16"/>
                <w:szCs w:val="16"/>
              </w:rPr>
              <w:t>2021-22</w:t>
            </w:r>
            <w:r w:rsidRPr="00BE6AB2">
              <w:rPr>
                <w:rFonts w:ascii="Arial" w:hAnsi="Arial" w:cs="Arial"/>
                <w:sz w:val="16"/>
                <w:szCs w:val="16"/>
              </w:rPr>
              <w:br/>
              <w:t>Budget</w:t>
            </w:r>
            <w:r w:rsidRPr="00BE6AB2">
              <w:rPr>
                <w:rFonts w:ascii="Arial" w:hAnsi="Arial" w:cs="Arial"/>
                <w:sz w:val="16"/>
                <w:szCs w:val="16"/>
              </w:rPr>
              <w:br/>
            </w:r>
            <w:r w:rsidRPr="00BE6AB2">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2E9311EB" w14:textId="77777777" w:rsidR="00BE6AB2" w:rsidRPr="00BE6AB2" w:rsidRDefault="00BE6AB2" w:rsidP="00BE6AB2">
            <w:pPr>
              <w:spacing w:after="0" w:line="240" w:lineRule="auto"/>
              <w:jc w:val="right"/>
              <w:rPr>
                <w:rFonts w:ascii="Arial" w:hAnsi="Arial" w:cs="Arial"/>
                <w:sz w:val="16"/>
                <w:szCs w:val="16"/>
              </w:rPr>
            </w:pPr>
            <w:r w:rsidRPr="00BE6AB2">
              <w:rPr>
                <w:rFonts w:ascii="Arial" w:hAnsi="Arial" w:cs="Arial"/>
                <w:sz w:val="16"/>
                <w:szCs w:val="16"/>
              </w:rPr>
              <w:t>2022-23 Forward estimate</w:t>
            </w:r>
            <w:r w:rsidRPr="00BE6AB2">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5B233571" w14:textId="77777777" w:rsidR="00BE6AB2" w:rsidRPr="00BE6AB2" w:rsidRDefault="00BE6AB2" w:rsidP="00BE6AB2">
            <w:pPr>
              <w:spacing w:after="0" w:line="240" w:lineRule="auto"/>
              <w:jc w:val="right"/>
              <w:rPr>
                <w:rFonts w:ascii="Arial" w:hAnsi="Arial" w:cs="Arial"/>
                <w:sz w:val="16"/>
                <w:szCs w:val="16"/>
              </w:rPr>
            </w:pPr>
            <w:r w:rsidRPr="00BE6AB2">
              <w:rPr>
                <w:rFonts w:ascii="Arial" w:hAnsi="Arial" w:cs="Arial"/>
                <w:sz w:val="16"/>
                <w:szCs w:val="16"/>
              </w:rPr>
              <w:t>2023-24 Forward estimate</w:t>
            </w:r>
            <w:r w:rsidRPr="00BE6AB2">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hideMark/>
          </w:tcPr>
          <w:p w14:paraId="70C61E6B" w14:textId="77777777" w:rsidR="00BE6AB2" w:rsidRPr="00BE6AB2" w:rsidRDefault="00BE6AB2" w:rsidP="00BE6AB2">
            <w:pPr>
              <w:spacing w:after="0" w:line="240" w:lineRule="auto"/>
              <w:jc w:val="right"/>
              <w:rPr>
                <w:rFonts w:ascii="Arial" w:hAnsi="Arial" w:cs="Arial"/>
                <w:sz w:val="16"/>
                <w:szCs w:val="16"/>
              </w:rPr>
            </w:pPr>
            <w:r w:rsidRPr="00BE6AB2">
              <w:rPr>
                <w:rFonts w:ascii="Arial" w:hAnsi="Arial" w:cs="Arial"/>
                <w:sz w:val="16"/>
                <w:szCs w:val="16"/>
              </w:rPr>
              <w:t>2024-25</w:t>
            </w:r>
            <w:r w:rsidRPr="00BE6AB2">
              <w:rPr>
                <w:rFonts w:ascii="Arial" w:hAnsi="Arial" w:cs="Arial"/>
                <w:sz w:val="16"/>
                <w:szCs w:val="16"/>
              </w:rPr>
              <w:br/>
              <w:t>Forward estimate</w:t>
            </w:r>
            <w:r w:rsidRPr="00BE6AB2">
              <w:rPr>
                <w:rFonts w:ascii="Arial" w:hAnsi="Arial" w:cs="Arial"/>
                <w:sz w:val="16"/>
                <w:szCs w:val="16"/>
              </w:rPr>
              <w:br/>
              <w:t>$'000</w:t>
            </w:r>
          </w:p>
        </w:tc>
      </w:tr>
      <w:tr w:rsidR="00BE6AB2" w:rsidRPr="00BE6AB2" w14:paraId="61A86BB2" w14:textId="77777777" w:rsidTr="00265E99">
        <w:trPr>
          <w:trHeight w:val="270"/>
        </w:trPr>
        <w:tc>
          <w:tcPr>
            <w:tcW w:w="2105" w:type="pct"/>
            <w:tcBorders>
              <w:top w:val="nil"/>
              <w:left w:val="nil"/>
              <w:bottom w:val="nil"/>
              <w:right w:val="nil"/>
            </w:tcBorders>
            <w:shd w:val="clear" w:color="auto" w:fill="auto"/>
            <w:noWrap/>
            <w:vAlign w:val="bottom"/>
            <w:hideMark/>
          </w:tcPr>
          <w:p w14:paraId="7318FAEE" w14:textId="77777777" w:rsidR="00BE6AB2" w:rsidRPr="00BE6AB2" w:rsidRDefault="00BE6AB2" w:rsidP="00BE6AB2">
            <w:pPr>
              <w:spacing w:after="0" w:line="240" w:lineRule="auto"/>
              <w:jc w:val="left"/>
              <w:rPr>
                <w:rFonts w:ascii="Arial" w:hAnsi="Arial" w:cs="Arial"/>
                <w:b/>
                <w:bCs/>
                <w:color w:val="000000"/>
                <w:sz w:val="16"/>
                <w:szCs w:val="16"/>
              </w:rPr>
            </w:pPr>
            <w:r w:rsidRPr="00BE6AB2">
              <w:rPr>
                <w:rFonts w:ascii="Arial" w:hAnsi="Arial" w:cs="Arial"/>
                <w:b/>
                <w:bCs/>
                <w:color w:val="000000"/>
                <w:sz w:val="16"/>
                <w:szCs w:val="16"/>
              </w:rPr>
              <w:t>OPERATING ACTIVITIES</w:t>
            </w:r>
          </w:p>
        </w:tc>
        <w:tc>
          <w:tcPr>
            <w:tcW w:w="579" w:type="pct"/>
            <w:tcBorders>
              <w:top w:val="nil"/>
              <w:left w:val="nil"/>
              <w:bottom w:val="nil"/>
              <w:right w:val="nil"/>
            </w:tcBorders>
            <w:shd w:val="clear" w:color="auto" w:fill="auto"/>
            <w:noWrap/>
            <w:vAlign w:val="bottom"/>
            <w:hideMark/>
          </w:tcPr>
          <w:p w14:paraId="205F64B0" w14:textId="77777777" w:rsidR="00BE6AB2" w:rsidRPr="00BE6AB2" w:rsidRDefault="00BE6AB2" w:rsidP="00BE6AB2">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06A680E5" w14:textId="77777777" w:rsidR="00BE6AB2" w:rsidRPr="00BE6AB2" w:rsidRDefault="00BE6AB2" w:rsidP="00BE6AB2">
            <w:pPr>
              <w:spacing w:after="0" w:line="240" w:lineRule="auto"/>
              <w:jc w:val="left"/>
              <w:rPr>
                <w:rFonts w:ascii="Arial" w:hAnsi="Arial" w:cs="Arial"/>
                <w:color w:val="000000"/>
                <w:sz w:val="16"/>
                <w:szCs w:val="16"/>
              </w:rPr>
            </w:pPr>
            <w:r w:rsidRPr="00BE6AB2">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3CAB7336" w14:textId="77777777" w:rsidR="00BE6AB2" w:rsidRPr="00BE6AB2" w:rsidRDefault="00BE6AB2" w:rsidP="00BE6AB2">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186FA3EE" w14:textId="77777777" w:rsidR="00BE6AB2" w:rsidRPr="00BE6AB2" w:rsidRDefault="00BE6AB2" w:rsidP="00BE6AB2">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0DF0959D" w14:textId="77777777" w:rsidR="00BE6AB2" w:rsidRPr="00BE6AB2" w:rsidRDefault="00BE6AB2" w:rsidP="00BE6AB2">
            <w:pPr>
              <w:spacing w:after="0" w:line="240" w:lineRule="auto"/>
              <w:jc w:val="left"/>
              <w:rPr>
                <w:rFonts w:ascii="Times New Roman" w:hAnsi="Times New Roman"/>
              </w:rPr>
            </w:pPr>
          </w:p>
        </w:tc>
      </w:tr>
      <w:tr w:rsidR="00BE6AB2" w:rsidRPr="00BE6AB2" w14:paraId="62B7039E" w14:textId="77777777" w:rsidTr="00265E99">
        <w:trPr>
          <w:trHeight w:val="225"/>
        </w:trPr>
        <w:tc>
          <w:tcPr>
            <w:tcW w:w="2105" w:type="pct"/>
            <w:tcBorders>
              <w:top w:val="nil"/>
              <w:left w:val="nil"/>
              <w:bottom w:val="nil"/>
              <w:right w:val="nil"/>
            </w:tcBorders>
            <w:shd w:val="clear" w:color="auto" w:fill="auto"/>
            <w:noWrap/>
            <w:vAlign w:val="bottom"/>
            <w:hideMark/>
          </w:tcPr>
          <w:p w14:paraId="15386655" w14:textId="77777777" w:rsidR="00BE6AB2" w:rsidRPr="00BE6AB2" w:rsidRDefault="00BE6AB2" w:rsidP="00BE6AB2">
            <w:pPr>
              <w:spacing w:after="0" w:line="240" w:lineRule="auto"/>
              <w:jc w:val="left"/>
              <w:rPr>
                <w:rFonts w:ascii="Arial" w:hAnsi="Arial" w:cs="Arial"/>
                <w:b/>
                <w:bCs/>
                <w:color w:val="000000"/>
                <w:sz w:val="16"/>
                <w:szCs w:val="16"/>
              </w:rPr>
            </w:pPr>
            <w:r w:rsidRPr="00BE6AB2">
              <w:rPr>
                <w:rFonts w:ascii="Arial" w:hAnsi="Arial" w:cs="Arial"/>
                <w:b/>
                <w:bCs/>
                <w:color w:val="000000"/>
                <w:sz w:val="16"/>
                <w:szCs w:val="16"/>
              </w:rPr>
              <w:t>Cash received</w:t>
            </w:r>
          </w:p>
        </w:tc>
        <w:tc>
          <w:tcPr>
            <w:tcW w:w="579" w:type="pct"/>
            <w:tcBorders>
              <w:top w:val="nil"/>
              <w:left w:val="nil"/>
              <w:bottom w:val="nil"/>
              <w:right w:val="nil"/>
            </w:tcBorders>
            <w:shd w:val="clear" w:color="auto" w:fill="auto"/>
            <w:noWrap/>
            <w:vAlign w:val="bottom"/>
            <w:hideMark/>
          </w:tcPr>
          <w:p w14:paraId="2FBA761D" w14:textId="77777777" w:rsidR="00BE6AB2" w:rsidRPr="00BE6AB2" w:rsidRDefault="00BE6AB2" w:rsidP="00BE6AB2">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1F5208F5" w14:textId="77777777" w:rsidR="00BE6AB2" w:rsidRPr="00BE6AB2" w:rsidRDefault="00BE6AB2" w:rsidP="00BE6AB2">
            <w:pPr>
              <w:spacing w:after="0" w:line="240" w:lineRule="auto"/>
              <w:jc w:val="left"/>
              <w:rPr>
                <w:rFonts w:ascii="Arial" w:hAnsi="Arial" w:cs="Arial"/>
                <w:color w:val="000000"/>
                <w:sz w:val="16"/>
                <w:szCs w:val="16"/>
              </w:rPr>
            </w:pPr>
            <w:r w:rsidRPr="00BE6AB2">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292E715A" w14:textId="77777777" w:rsidR="00BE6AB2" w:rsidRPr="00BE6AB2" w:rsidRDefault="00BE6AB2" w:rsidP="00BE6AB2">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75BF5512" w14:textId="77777777" w:rsidR="00BE6AB2" w:rsidRPr="00BE6AB2" w:rsidRDefault="00BE6AB2" w:rsidP="00BE6AB2">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bottom"/>
            <w:hideMark/>
          </w:tcPr>
          <w:p w14:paraId="482F8967" w14:textId="77777777" w:rsidR="00BE6AB2" w:rsidRPr="00BE6AB2" w:rsidRDefault="00BE6AB2" w:rsidP="00BE6AB2">
            <w:pPr>
              <w:spacing w:after="0" w:line="240" w:lineRule="auto"/>
              <w:jc w:val="left"/>
              <w:rPr>
                <w:rFonts w:ascii="Times New Roman" w:hAnsi="Times New Roman"/>
              </w:rPr>
            </w:pPr>
          </w:p>
        </w:tc>
      </w:tr>
      <w:tr w:rsidR="00BE6AB2" w:rsidRPr="00BE6AB2" w14:paraId="00A8CBD1" w14:textId="77777777" w:rsidTr="00265E99">
        <w:trPr>
          <w:trHeight w:val="225"/>
        </w:trPr>
        <w:tc>
          <w:tcPr>
            <w:tcW w:w="2105" w:type="pct"/>
            <w:tcBorders>
              <w:top w:val="nil"/>
              <w:left w:val="nil"/>
              <w:bottom w:val="nil"/>
              <w:right w:val="nil"/>
            </w:tcBorders>
            <w:shd w:val="clear" w:color="auto" w:fill="auto"/>
            <w:vAlign w:val="bottom"/>
            <w:hideMark/>
          </w:tcPr>
          <w:p w14:paraId="22129E04" w14:textId="77777777" w:rsidR="00BE6AB2" w:rsidRPr="00BE6AB2" w:rsidRDefault="00BE6AB2" w:rsidP="00BE6AB2">
            <w:pPr>
              <w:spacing w:after="0" w:line="240" w:lineRule="auto"/>
              <w:ind w:firstLineChars="100" w:firstLine="160"/>
              <w:jc w:val="left"/>
              <w:rPr>
                <w:rFonts w:ascii="Arial" w:hAnsi="Arial" w:cs="Arial"/>
                <w:sz w:val="16"/>
                <w:szCs w:val="16"/>
              </w:rPr>
            </w:pPr>
            <w:r w:rsidRPr="00BE6AB2">
              <w:rPr>
                <w:rFonts w:ascii="Arial" w:hAnsi="Arial" w:cs="Arial"/>
                <w:sz w:val="16"/>
                <w:szCs w:val="16"/>
              </w:rPr>
              <w:t>Fines and costs</w:t>
            </w:r>
          </w:p>
        </w:tc>
        <w:tc>
          <w:tcPr>
            <w:tcW w:w="579" w:type="pct"/>
            <w:tcBorders>
              <w:top w:val="nil"/>
              <w:left w:val="nil"/>
              <w:bottom w:val="nil"/>
              <w:right w:val="nil"/>
            </w:tcBorders>
            <w:shd w:val="clear" w:color="auto" w:fill="auto"/>
            <w:noWrap/>
            <w:vAlign w:val="bottom"/>
            <w:hideMark/>
          </w:tcPr>
          <w:p w14:paraId="3F44BC38" w14:textId="77777777" w:rsidR="00BE6AB2" w:rsidRPr="00BE6AB2" w:rsidRDefault="00BE6AB2" w:rsidP="00BE6AB2">
            <w:pPr>
              <w:spacing w:after="0" w:line="240" w:lineRule="auto"/>
              <w:jc w:val="right"/>
              <w:rPr>
                <w:rFonts w:ascii="Arial" w:hAnsi="Arial" w:cs="Arial"/>
                <w:color w:val="000000"/>
                <w:sz w:val="16"/>
                <w:szCs w:val="16"/>
              </w:rPr>
            </w:pPr>
            <w:r w:rsidRPr="00BE6AB2">
              <w:rPr>
                <w:rFonts w:ascii="Arial" w:hAnsi="Arial" w:cs="Arial"/>
                <w:color w:val="000000"/>
                <w:sz w:val="16"/>
                <w:szCs w:val="16"/>
              </w:rPr>
              <w:t xml:space="preserve">80,000 </w:t>
            </w:r>
          </w:p>
        </w:tc>
        <w:tc>
          <w:tcPr>
            <w:tcW w:w="579" w:type="pct"/>
            <w:tcBorders>
              <w:top w:val="nil"/>
              <w:left w:val="nil"/>
              <w:bottom w:val="nil"/>
              <w:right w:val="nil"/>
            </w:tcBorders>
            <w:shd w:val="clear" w:color="000000" w:fill="E6E6E6"/>
            <w:noWrap/>
            <w:vAlign w:val="bottom"/>
            <w:hideMark/>
          </w:tcPr>
          <w:p w14:paraId="4AF59619" w14:textId="77777777" w:rsidR="00BE6AB2" w:rsidRPr="00BE6AB2" w:rsidRDefault="00BE6AB2" w:rsidP="00BE6AB2">
            <w:pPr>
              <w:spacing w:after="0" w:line="240" w:lineRule="auto"/>
              <w:jc w:val="right"/>
              <w:rPr>
                <w:rFonts w:ascii="Arial" w:hAnsi="Arial" w:cs="Arial"/>
                <w:color w:val="000000"/>
                <w:sz w:val="16"/>
                <w:szCs w:val="16"/>
              </w:rPr>
            </w:pPr>
            <w:r w:rsidRPr="00BE6AB2">
              <w:rPr>
                <w:rFonts w:ascii="Arial" w:hAnsi="Arial" w:cs="Arial"/>
                <w:color w:val="000000"/>
                <w:sz w:val="16"/>
                <w:szCs w:val="16"/>
              </w:rPr>
              <w:t xml:space="preserve">104,028 </w:t>
            </w:r>
          </w:p>
        </w:tc>
        <w:tc>
          <w:tcPr>
            <w:tcW w:w="579" w:type="pct"/>
            <w:tcBorders>
              <w:top w:val="nil"/>
              <w:left w:val="nil"/>
              <w:bottom w:val="nil"/>
              <w:right w:val="nil"/>
            </w:tcBorders>
            <w:shd w:val="clear" w:color="auto" w:fill="auto"/>
            <w:noWrap/>
            <w:vAlign w:val="bottom"/>
            <w:hideMark/>
          </w:tcPr>
          <w:p w14:paraId="4A8C0A2F" w14:textId="77777777" w:rsidR="00BE6AB2" w:rsidRPr="00BE6AB2" w:rsidRDefault="00BE6AB2" w:rsidP="00BE6AB2">
            <w:pPr>
              <w:spacing w:after="0" w:line="240" w:lineRule="auto"/>
              <w:jc w:val="right"/>
              <w:rPr>
                <w:rFonts w:ascii="Arial" w:hAnsi="Arial" w:cs="Arial"/>
                <w:color w:val="000000"/>
                <w:sz w:val="16"/>
                <w:szCs w:val="16"/>
              </w:rPr>
            </w:pPr>
            <w:r w:rsidRPr="00BE6AB2">
              <w:rPr>
                <w:rFonts w:ascii="Arial" w:hAnsi="Arial" w:cs="Arial"/>
                <w:color w:val="000000"/>
                <w:sz w:val="16"/>
                <w:szCs w:val="16"/>
              </w:rPr>
              <w:t xml:space="preserve">120,724 </w:t>
            </w:r>
          </w:p>
        </w:tc>
        <w:tc>
          <w:tcPr>
            <w:tcW w:w="579" w:type="pct"/>
            <w:tcBorders>
              <w:top w:val="nil"/>
              <w:left w:val="nil"/>
              <w:bottom w:val="nil"/>
              <w:right w:val="nil"/>
            </w:tcBorders>
            <w:shd w:val="clear" w:color="auto" w:fill="auto"/>
            <w:noWrap/>
            <w:vAlign w:val="bottom"/>
            <w:hideMark/>
          </w:tcPr>
          <w:p w14:paraId="796F8363" w14:textId="77777777" w:rsidR="00BE6AB2" w:rsidRPr="00BE6AB2" w:rsidRDefault="00BE6AB2" w:rsidP="00BE6AB2">
            <w:pPr>
              <w:spacing w:after="0" w:line="240" w:lineRule="auto"/>
              <w:jc w:val="right"/>
              <w:rPr>
                <w:rFonts w:ascii="Arial" w:hAnsi="Arial" w:cs="Arial"/>
                <w:color w:val="000000"/>
                <w:sz w:val="16"/>
                <w:szCs w:val="16"/>
              </w:rPr>
            </w:pPr>
            <w:r w:rsidRPr="00BE6AB2">
              <w:rPr>
                <w:rFonts w:ascii="Arial" w:hAnsi="Arial" w:cs="Arial"/>
                <w:color w:val="000000"/>
                <w:sz w:val="16"/>
                <w:szCs w:val="16"/>
              </w:rPr>
              <w:t xml:space="preserve">137,498 </w:t>
            </w:r>
          </w:p>
        </w:tc>
        <w:tc>
          <w:tcPr>
            <w:tcW w:w="579" w:type="pct"/>
            <w:tcBorders>
              <w:top w:val="nil"/>
              <w:left w:val="nil"/>
              <w:bottom w:val="nil"/>
              <w:right w:val="nil"/>
            </w:tcBorders>
            <w:shd w:val="clear" w:color="auto" w:fill="auto"/>
            <w:noWrap/>
            <w:vAlign w:val="bottom"/>
            <w:hideMark/>
          </w:tcPr>
          <w:p w14:paraId="461076C2" w14:textId="77777777" w:rsidR="00BE6AB2" w:rsidRPr="00BE6AB2" w:rsidRDefault="00BE6AB2" w:rsidP="00BE6AB2">
            <w:pPr>
              <w:spacing w:after="0" w:line="240" w:lineRule="auto"/>
              <w:jc w:val="right"/>
              <w:rPr>
                <w:rFonts w:ascii="Arial" w:hAnsi="Arial" w:cs="Arial"/>
                <w:color w:val="000000"/>
                <w:sz w:val="16"/>
                <w:szCs w:val="16"/>
              </w:rPr>
            </w:pPr>
            <w:r w:rsidRPr="00BE6AB2">
              <w:rPr>
                <w:rFonts w:ascii="Arial" w:hAnsi="Arial" w:cs="Arial"/>
                <w:color w:val="000000"/>
                <w:sz w:val="16"/>
                <w:szCs w:val="16"/>
              </w:rPr>
              <w:t xml:space="preserve">137,478 </w:t>
            </w:r>
          </w:p>
        </w:tc>
      </w:tr>
      <w:tr w:rsidR="00BE6AB2" w:rsidRPr="00BE6AB2" w14:paraId="7311FEF7" w14:textId="77777777" w:rsidTr="00265E99">
        <w:trPr>
          <w:trHeight w:val="210"/>
        </w:trPr>
        <w:tc>
          <w:tcPr>
            <w:tcW w:w="2105" w:type="pct"/>
            <w:tcBorders>
              <w:top w:val="nil"/>
              <w:left w:val="nil"/>
              <w:bottom w:val="nil"/>
              <w:right w:val="nil"/>
            </w:tcBorders>
            <w:shd w:val="clear" w:color="auto" w:fill="auto"/>
            <w:noWrap/>
            <w:vAlign w:val="bottom"/>
            <w:hideMark/>
          </w:tcPr>
          <w:p w14:paraId="669FD482" w14:textId="77777777" w:rsidR="00BE6AB2" w:rsidRPr="00BE6AB2" w:rsidRDefault="00BE6AB2" w:rsidP="00BE6AB2">
            <w:pPr>
              <w:spacing w:after="0" w:line="240" w:lineRule="auto"/>
              <w:jc w:val="left"/>
              <w:rPr>
                <w:rFonts w:ascii="Arial" w:hAnsi="Arial" w:cs="Arial"/>
                <w:b/>
                <w:bCs/>
                <w:i/>
                <w:iCs/>
                <w:color w:val="000000"/>
                <w:sz w:val="16"/>
                <w:szCs w:val="16"/>
              </w:rPr>
            </w:pPr>
            <w:r w:rsidRPr="00BE6AB2">
              <w:rPr>
                <w:rFonts w:ascii="Arial" w:hAnsi="Arial" w:cs="Arial"/>
                <w:b/>
                <w:bCs/>
                <w:i/>
                <w:iCs/>
                <w:color w:val="000000"/>
                <w:sz w:val="16"/>
                <w:szCs w:val="16"/>
              </w:rPr>
              <w:t>Total cash received</w:t>
            </w:r>
          </w:p>
        </w:tc>
        <w:tc>
          <w:tcPr>
            <w:tcW w:w="579" w:type="pct"/>
            <w:tcBorders>
              <w:top w:val="single" w:sz="4" w:space="0" w:color="000000"/>
              <w:left w:val="nil"/>
              <w:bottom w:val="single" w:sz="4" w:space="0" w:color="000000"/>
              <w:right w:val="nil"/>
            </w:tcBorders>
            <w:shd w:val="clear" w:color="auto" w:fill="auto"/>
            <w:noWrap/>
            <w:vAlign w:val="bottom"/>
            <w:hideMark/>
          </w:tcPr>
          <w:p w14:paraId="1CA8794A" w14:textId="77777777" w:rsidR="00BE6AB2" w:rsidRPr="00BE6AB2" w:rsidRDefault="00BE6AB2" w:rsidP="00BE6AB2">
            <w:pPr>
              <w:spacing w:after="0" w:line="240" w:lineRule="auto"/>
              <w:jc w:val="right"/>
              <w:rPr>
                <w:rFonts w:ascii="Arial" w:hAnsi="Arial" w:cs="Arial"/>
                <w:b/>
                <w:bCs/>
                <w:i/>
                <w:iCs/>
                <w:color w:val="000000"/>
                <w:sz w:val="16"/>
                <w:szCs w:val="16"/>
              </w:rPr>
            </w:pPr>
            <w:r w:rsidRPr="00BE6AB2">
              <w:rPr>
                <w:rFonts w:ascii="Arial" w:hAnsi="Arial" w:cs="Arial"/>
                <w:b/>
                <w:bCs/>
                <w:i/>
                <w:iCs/>
                <w:color w:val="000000"/>
                <w:sz w:val="16"/>
                <w:szCs w:val="16"/>
              </w:rPr>
              <w:t xml:space="preserve">80,000 </w:t>
            </w:r>
          </w:p>
        </w:tc>
        <w:tc>
          <w:tcPr>
            <w:tcW w:w="579" w:type="pct"/>
            <w:tcBorders>
              <w:top w:val="single" w:sz="4" w:space="0" w:color="000000"/>
              <w:left w:val="nil"/>
              <w:bottom w:val="single" w:sz="4" w:space="0" w:color="000000"/>
              <w:right w:val="nil"/>
            </w:tcBorders>
            <w:shd w:val="clear" w:color="000000" w:fill="E6E6E6"/>
            <w:noWrap/>
            <w:vAlign w:val="bottom"/>
            <w:hideMark/>
          </w:tcPr>
          <w:p w14:paraId="0641C6B5" w14:textId="77777777" w:rsidR="00BE6AB2" w:rsidRPr="00BE6AB2" w:rsidRDefault="00BE6AB2" w:rsidP="00BE6AB2">
            <w:pPr>
              <w:spacing w:after="0" w:line="240" w:lineRule="auto"/>
              <w:jc w:val="right"/>
              <w:rPr>
                <w:rFonts w:ascii="Arial" w:hAnsi="Arial" w:cs="Arial"/>
                <w:b/>
                <w:bCs/>
                <w:i/>
                <w:iCs/>
                <w:color w:val="000000"/>
                <w:sz w:val="16"/>
                <w:szCs w:val="16"/>
              </w:rPr>
            </w:pPr>
            <w:r w:rsidRPr="00BE6AB2">
              <w:rPr>
                <w:rFonts w:ascii="Arial" w:hAnsi="Arial" w:cs="Arial"/>
                <w:b/>
                <w:bCs/>
                <w:i/>
                <w:iCs/>
                <w:color w:val="000000"/>
                <w:sz w:val="16"/>
                <w:szCs w:val="16"/>
              </w:rPr>
              <w:t xml:space="preserve">104,028 </w:t>
            </w:r>
          </w:p>
        </w:tc>
        <w:tc>
          <w:tcPr>
            <w:tcW w:w="579" w:type="pct"/>
            <w:tcBorders>
              <w:top w:val="single" w:sz="4" w:space="0" w:color="000000"/>
              <w:left w:val="nil"/>
              <w:bottom w:val="single" w:sz="4" w:space="0" w:color="000000"/>
              <w:right w:val="nil"/>
            </w:tcBorders>
            <w:shd w:val="clear" w:color="auto" w:fill="auto"/>
            <w:noWrap/>
            <w:vAlign w:val="bottom"/>
            <w:hideMark/>
          </w:tcPr>
          <w:p w14:paraId="2470B16C" w14:textId="77777777" w:rsidR="00BE6AB2" w:rsidRPr="00BE6AB2" w:rsidRDefault="00BE6AB2" w:rsidP="00BE6AB2">
            <w:pPr>
              <w:spacing w:after="0" w:line="240" w:lineRule="auto"/>
              <w:jc w:val="right"/>
              <w:rPr>
                <w:rFonts w:ascii="Arial" w:hAnsi="Arial" w:cs="Arial"/>
                <w:b/>
                <w:bCs/>
                <w:i/>
                <w:iCs/>
                <w:color w:val="000000"/>
                <w:sz w:val="16"/>
                <w:szCs w:val="16"/>
              </w:rPr>
            </w:pPr>
            <w:r w:rsidRPr="00BE6AB2">
              <w:rPr>
                <w:rFonts w:ascii="Arial" w:hAnsi="Arial" w:cs="Arial"/>
                <w:b/>
                <w:bCs/>
                <w:i/>
                <w:iCs/>
                <w:color w:val="000000"/>
                <w:sz w:val="16"/>
                <w:szCs w:val="16"/>
              </w:rPr>
              <w:t xml:space="preserve">120,724 </w:t>
            </w:r>
          </w:p>
        </w:tc>
        <w:tc>
          <w:tcPr>
            <w:tcW w:w="579" w:type="pct"/>
            <w:tcBorders>
              <w:top w:val="single" w:sz="4" w:space="0" w:color="000000"/>
              <w:left w:val="nil"/>
              <w:bottom w:val="single" w:sz="4" w:space="0" w:color="000000"/>
              <w:right w:val="nil"/>
            </w:tcBorders>
            <w:shd w:val="clear" w:color="auto" w:fill="auto"/>
            <w:noWrap/>
            <w:vAlign w:val="bottom"/>
            <w:hideMark/>
          </w:tcPr>
          <w:p w14:paraId="12534165" w14:textId="77777777" w:rsidR="00BE6AB2" w:rsidRPr="00BE6AB2" w:rsidRDefault="00BE6AB2" w:rsidP="00BE6AB2">
            <w:pPr>
              <w:spacing w:after="0" w:line="240" w:lineRule="auto"/>
              <w:jc w:val="right"/>
              <w:rPr>
                <w:rFonts w:ascii="Arial" w:hAnsi="Arial" w:cs="Arial"/>
                <w:b/>
                <w:bCs/>
                <w:i/>
                <w:iCs/>
                <w:color w:val="000000"/>
                <w:sz w:val="16"/>
                <w:szCs w:val="16"/>
              </w:rPr>
            </w:pPr>
            <w:r w:rsidRPr="00BE6AB2">
              <w:rPr>
                <w:rFonts w:ascii="Arial" w:hAnsi="Arial" w:cs="Arial"/>
                <w:b/>
                <w:bCs/>
                <w:i/>
                <w:iCs/>
                <w:color w:val="000000"/>
                <w:sz w:val="16"/>
                <w:szCs w:val="16"/>
              </w:rPr>
              <w:t xml:space="preserve">137,498 </w:t>
            </w:r>
          </w:p>
        </w:tc>
        <w:tc>
          <w:tcPr>
            <w:tcW w:w="579" w:type="pct"/>
            <w:tcBorders>
              <w:top w:val="single" w:sz="4" w:space="0" w:color="000000"/>
              <w:left w:val="nil"/>
              <w:bottom w:val="single" w:sz="4" w:space="0" w:color="000000"/>
              <w:right w:val="nil"/>
            </w:tcBorders>
            <w:shd w:val="clear" w:color="auto" w:fill="auto"/>
            <w:noWrap/>
            <w:vAlign w:val="bottom"/>
            <w:hideMark/>
          </w:tcPr>
          <w:p w14:paraId="1F008C45" w14:textId="77777777" w:rsidR="00BE6AB2" w:rsidRPr="00BE6AB2" w:rsidRDefault="00BE6AB2" w:rsidP="00BE6AB2">
            <w:pPr>
              <w:spacing w:after="0" w:line="240" w:lineRule="auto"/>
              <w:jc w:val="right"/>
              <w:rPr>
                <w:rFonts w:ascii="Arial" w:hAnsi="Arial" w:cs="Arial"/>
                <w:b/>
                <w:bCs/>
                <w:i/>
                <w:iCs/>
                <w:color w:val="000000"/>
                <w:sz w:val="16"/>
                <w:szCs w:val="16"/>
              </w:rPr>
            </w:pPr>
            <w:r w:rsidRPr="00BE6AB2">
              <w:rPr>
                <w:rFonts w:ascii="Arial" w:hAnsi="Arial" w:cs="Arial"/>
                <w:b/>
                <w:bCs/>
                <w:i/>
                <w:iCs/>
                <w:color w:val="000000"/>
                <w:sz w:val="16"/>
                <w:szCs w:val="16"/>
              </w:rPr>
              <w:t xml:space="preserve">137,478 </w:t>
            </w:r>
          </w:p>
        </w:tc>
      </w:tr>
      <w:tr w:rsidR="00BE6AB2" w:rsidRPr="00BE6AB2" w14:paraId="6F0330BD" w14:textId="77777777" w:rsidTr="00265E99">
        <w:trPr>
          <w:trHeight w:val="450"/>
        </w:trPr>
        <w:tc>
          <w:tcPr>
            <w:tcW w:w="2105" w:type="pct"/>
            <w:tcBorders>
              <w:top w:val="nil"/>
              <w:left w:val="nil"/>
              <w:bottom w:val="nil"/>
              <w:right w:val="nil"/>
            </w:tcBorders>
            <w:shd w:val="clear" w:color="auto" w:fill="auto"/>
            <w:vAlign w:val="bottom"/>
            <w:hideMark/>
          </w:tcPr>
          <w:p w14:paraId="146F4A03" w14:textId="77777777" w:rsidR="00BE6AB2" w:rsidRPr="00BE6AB2" w:rsidRDefault="00BE6AB2" w:rsidP="00BE6AB2">
            <w:pPr>
              <w:spacing w:after="0" w:line="240" w:lineRule="auto"/>
              <w:jc w:val="left"/>
              <w:rPr>
                <w:rFonts w:ascii="Arial" w:hAnsi="Arial" w:cs="Arial"/>
                <w:b/>
                <w:bCs/>
                <w:color w:val="000000"/>
                <w:sz w:val="16"/>
                <w:szCs w:val="16"/>
              </w:rPr>
            </w:pPr>
            <w:r w:rsidRPr="00BE6AB2">
              <w:rPr>
                <w:rFonts w:ascii="Arial" w:hAnsi="Arial" w:cs="Arial"/>
                <w:b/>
                <w:bCs/>
                <w:color w:val="000000"/>
                <w:sz w:val="16"/>
                <w:szCs w:val="16"/>
              </w:rPr>
              <w:t>Net cash from/(used by)</w:t>
            </w:r>
            <w:r w:rsidRPr="00BE6AB2">
              <w:rPr>
                <w:rFonts w:ascii="Arial" w:hAnsi="Arial" w:cs="Arial"/>
                <w:b/>
                <w:bCs/>
                <w:color w:val="000000"/>
                <w:sz w:val="16"/>
                <w:szCs w:val="16"/>
              </w:rPr>
              <w:br/>
              <w:t xml:space="preserve">  operating activities</w:t>
            </w:r>
          </w:p>
        </w:tc>
        <w:tc>
          <w:tcPr>
            <w:tcW w:w="579" w:type="pct"/>
            <w:tcBorders>
              <w:top w:val="nil"/>
              <w:left w:val="nil"/>
              <w:bottom w:val="single" w:sz="4" w:space="0" w:color="000000"/>
              <w:right w:val="nil"/>
            </w:tcBorders>
            <w:shd w:val="clear" w:color="auto" w:fill="auto"/>
            <w:noWrap/>
            <w:vAlign w:val="bottom"/>
            <w:hideMark/>
          </w:tcPr>
          <w:p w14:paraId="0C77075F" w14:textId="77777777" w:rsidR="00BE6AB2" w:rsidRPr="00BE6AB2" w:rsidRDefault="00BE6AB2" w:rsidP="00BE6AB2">
            <w:pPr>
              <w:spacing w:after="0" w:line="240" w:lineRule="auto"/>
              <w:jc w:val="right"/>
              <w:rPr>
                <w:rFonts w:ascii="Arial" w:hAnsi="Arial" w:cs="Arial"/>
                <w:b/>
                <w:bCs/>
                <w:color w:val="000000"/>
                <w:sz w:val="16"/>
                <w:szCs w:val="16"/>
              </w:rPr>
            </w:pPr>
            <w:r w:rsidRPr="00BE6AB2">
              <w:rPr>
                <w:rFonts w:ascii="Arial" w:hAnsi="Arial" w:cs="Arial"/>
                <w:b/>
                <w:bCs/>
                <w:color w:val="000000"/>
                <w:sz w:val="16"/>
                <w:szCs w:val="16"/>
              </w:rPr>
              <w:t xml:space="preserve">80,000 </w:t>
            </w:r>
          </w:p>
        </w:tc>
        <w:tc>
          <w:tcPr>
            <w:tcW w:w="579" w:type="pct"/>
            <w:tcBorders>
              <w:top w:val="nil"/>
              <w:left w:val="nil"/>
              <w:bottom w:val="single" w:sz="4" w:space="0" w:color="000000"/>
              <w:right w:val="nil"/>
            </w:tcBorders>
            <w:shd w:val="clear" w:color="000000" w:fill="E6E6E6"/>
            <w:noWrap/>
            <w:vAlign w:val="bottom"/>
            <w:hideMark/>
          </w:tcPr>
          <w:p w14:paraId="4D62766B" w14:textId="77777777" w:rsidR="00BE6AB2" w:rsidRPr="00BE6AB2" w:rsidRDefault="00BE6AB2" w:rsidP="00BE6AB2">
            <w:pPr>
              <w:spacing w:after="0" w:line="240" w:lineRule="auto"/>
              <w:jc w:val="right"/>
              <w:rPr>
                <w:rFonts w:ascii="Arial" w:hAnsi="Arial" w:cs="Arial"/>
                <w:b/>
                <w:bCs/>
                <w:color w:val="000000"/>
                <w:sz w:val="16"/>
                <w:szCs w:val="16"/>
              </w:rPr>
            </w:pPr>
            <w:r w:rsidRPr="00BE6AB2">
              <w:rPr>
                <w:rFonts w:ascii="Arial" w:hAnsi="Arial" w:cs="Arial"/>
                <w:b/>
                <w:bCs/>
                <w:color w:val="000000"/>
                <w:sz w:val="16"/>
                <w:szCs w:val="16"/>
              </w:rPr>
              <w:t xml:space="preserve">104,028 </w:t>
            </w:r>
          </w:p>
        </w:tc>
        <w:tc>
          <w:tcPr>
            <w:tcW w:w="579" w:type="pct"/>
            <w:tcBorders>
              <w:top w:val="nil"/>
              <w:left w:val="nil"/>
              <w:bottom w:val="single" w:sz="4" w:space="0" w:color="000000"/>
              <w:right w:val="nil"/>
            </w:tcBorders>
            <w:shd w:val="clear" w:color="auto" w:fill="auto"/>
            <w:noWrap/>
            <w:vAlign w:val="bottom"/>
            <w:hideMark/>
          </w:tcPr>
          <w:p w14:paraId="5565B578" w14:textId="77777777" w:rsidR="00BE6AB2" w:rsidRPr="00BE6AB2" w:rsidRDefault="00BE6AB2" w:rsidP="00BE6AB2">
            <w:pPr>
              <w:spacing w:after="0" w:line="240" w:lineRule="auto"/>
              <w:jc w:val="right"/>
              <w:rPr>
                <w:rFonts w:ascii="Arial" w:hAnsi="Arial" w:cs="Arial"/>
                <w:b/>
                <w:bCs/>
                <w:color w:val="000000"/>
                <w:sz w:val="16"/>
                <w:szCs w:val="16"/>
              </w:rPr>
            </w:pPr>
            <w:r w:rsidRPr="00BE6AB2">
              <w:rPr>
                <w:rFonts w:ascii="Arial" w:hAnsi="Arial" w:cs="Arial"/>
                <w:b/>
                <w:bCs/>
                <w:color w:val="000000"/>
                <w:sz w:val="16"/>
                <w:szCs w:val="16"/>
              </w:rPr>
              <w:t xml:space="preserve">120,724 </w:t>
            </w:r>
          </w:p>
        </w:tc>
        <w:tc>
          <w:tcPr>
            <w:tcW w:w="579" w:type="pct"/>
            <w:tcBorders>
              <w:top w:val="nil"/>
              <w:left w:val="nil"/>
              <w:bottom w:val="single" w:sz="4" w:space="0" w:color="000000"/>
              <w:right w:val="nil"/>
            </w:tcBorders>
            <w:shd w:val="clear" w:color="auto" w:fill="auto"/>
            <w:noWrap/>
            <w:vAlign w:val="bottom"/>
            <w:hideMark/>
          </w:tcPr>
          <w:p w14:paraId="39EFAB30" w14:textId="77777777" w:rsidR="00BE6AB2" w:rsidRPr="00BE6AB2" w:rsidRDefault="00BE6AB2" w:rsidP="00BE6AB2">
            <w:pPr>
              <w:spacing w:after="0" w:line="240" w:lineRule="auto"/>
              <w:jc w:val="right"/>
              <w:rPr>
                <w:rFonts w:ascii="Arial" w:hAnsi="Arial" w:cs="Arial"/>
                <w:b/>
                <w:bCs/>
                <w:color w:val="000000"/>
                <w:sz w:val="16"/>
                <w:szCs w:val="16"/>
              </w:rPr>
            </w:pPr>
            <w:r w:rsidRPr="00BE6AB2">
              <w:rPr>
                <w:rFonts w:ascii="Arial" w:hAnsi="Arial" w:cs="Arial"/>
                <w:b/>
                <w:bCs/>
                <w:color w:val="000000"/>
                <w:sz w:val="16"/>
                <w:szCs w:val="16"/>
              </w:rPr>
              <w:t xml:space="preserve">137,498 </w:t>
            </w:r>
          </w:p>
        </w:tc>
        <w:tc>
          <w:tcPr>
            <w:tcW w:w="579" w:type="pct"/>
            <w:tcBorders>
              <w:top w:val="nil"/>
              <w:left w:val="nil"/>
              <w:bottom w:val="single" w:sz="4" w:space="0" w:color="000000"/>
              <w:right w:val="nil"/>
            </w:tcBorders>
            <w:shd w:val="clear" w:color="auto" w:fill="auto"/>
            <w:noWrap/>
            <w:vAlign w:val="bottom"/>
            <w:hideMark/>
          </w:tcPr>
          <w:p w14:paraId="3A872E2C" w14:textId="77777777" w:rsidR="00BE6AB2" w:rsidRPr="00BE6AB2" w:rsidRDefault="00BE6AB2" w:rsidP="00BE6AB2">
            <w:pPr>
              <w:spacing w:after="0" w:line="240" w:lineRule="auto"/>
              <w:jc w:val="right"/>
              <w:rPr>
                <w:rFonts w:ascii="Arial" w:hAnsi="Arial" w:cs="Arial"/>
                <w:b/>
                <w:bCs/>
                <w:color w:val="000000"/>
                <w:sz w:val="16"/>
                <w:szCs w:val="16"/>
              </w:rPr>
            </w:pPr>
            <w:r w:rsidRPr="00BE6AB2">
              <w:rPr>
                <w:rFonts w:ascii="Arial" w:hAnsi="Arial" w:cs="Arial"/>
                <w:b/>
                <w:bCs/>
                <w:color w:val="000000"/>
                <w:sz w:val="16"/>
                <w:szCs w:val="16"/>
              </w:rPr>
              <w:t xml:space="preserve">137,478 </w:t>
            </w:r>
          </w:p>
        </w:tc>
      </w:tr>
      <w:tr w:rsidR="00BE6AB2" w:rsidRPr="00BE6AB2" w14:paraId="4FAC3378" w14:textId="77777777" w:rsidTr="00265E99">
        <w:trPr>
          <w:trHeight w:val="420"/>
        </w:trPr>
        <w:tc>
          <w:tcPr>
            <w:tcW w:w="2105" w:type="pct"/>
            <w:tcBorders>
              <w:top w:val="nil"/>
              <w:left w:val="nil"/>
              <w:bottom w:val="nil"/>
              <w:right w:val="nil"/>
            </w:tcBorders>
            <w:shd w:val="clear" w:color="auto" w:fill="auto"/>
            <w:vAlign w:val="bottom"/>
            <w:hideMark/>
          </w:tcPr>
          <w:p w14:paraId="6871ABEF" w14:textId="77777777" w:rsidR="00BE6AB2" w:rsidRPr="00BE6AB2" w:rsidRDefault="00BE6AB2" w:rsidP="00BE6AB2">
            <w:pPr>
              <w:spacing w:after="0" w:line="240" w:lineRule="auto"/>
              <w:jc w:val="left"/>
              <w:rPr>
                <w:rFonts w:ascii="Arial" w:hAnsi="Arial" w:cs="Arial"/>
                <w:b/>
                <w:bCs/>
                <w:i/>
                <w:iCs/>
                <w:color w:val="000000"/>
                <w:sz w:val="16"/>
                <w:szCs w:val="16"/>
              </w:rPr>
            </w:pPr>
            <w:r w:rsidRPr="00BE6AB2">
              <w:rPr>
                <w:rFonts w:ascii="Arial" w:hAnsi="Arial" w:cs="Arial"/>
                <w:b/>
                <w:bCs/>
                <w:i/>
                <w:iCs/>
                <w:color w:val="000000"/>
                <w:sz w:val="16"/>
                <w:szCs w:val="16"/>
              </w:rPr>
              <w:t>Net increase/(decrease) in cash</w:t>
            </w:r>
            <w:r w:rsidRPr="00BE6AB2">
              <w:rPr>
                <w:rFonts w:ascii="Arial" w:hAnsi="Arial" w:cs="Arial"/>
                <w:b/>
                <w:bCs/>
                <w:i/>
                <w:iCs/>
                <w:color w:val="000000"/>
                <w:sz w:val="16"/>
                <w:szCs w:val="16"/>
              </w:rPr>
              <w:br/>
              <w:t xml:space="preserve">  held</w:t>
            </w:r>
          </w:p>
        </w:tc>
        <w:tc>
          <w:tcPr>
            <w:tcW w:w="579" w:type="pct"/>
            <w:tcBorders>
              <w:top w:val="nil"/>
              <w:left w:val="nil"/>
              <w:bottom w:val="single" w:sz="4" w:space="0" w:color="auto"/>
              <w:right w:val="nil"/>
            </w:tcBorders>
            <w:shd w:val="clear" w:color="auto" w:fill="auto"/>
            <w:noWrap/>
            <w:vAlign w:val="bottom"/>
            <w:hideMark/>
          </w:tcPr>
          <w:p w14:paraId="6BDDD19A" w14:textId="77777777" w:rsidR="00BE6AB2" w:rsidRPr="00BE6AB2" w:rsidRDefault="00BE6AB2" w:rsidP="00BE6AB2">
            <w:pPr>
              <w:spacing w:after="0" w:line="240" w:lineRule="auto"/>
              <w:jc w:val="right"/>
              <w:rPr>
                <w:rFonts w:ascii="Arial" w:hAnsi="Arial" w:cs="Arial"/>
                <w:b/>
                <w:bCs/>
                <w:i/>
                <w:iCs/>
                <w:color w:val="000000"/>
                <w:sz w:val="16"/>
                <w:szCs w:val="16"/>
              </w:rPr>
            </w:pPr>
            <w:r w:rsidRPr="00BE6AB2">
              <w:rPr>
                <w:rFonts w:ascii="Arial" w:hAnsi="Arial" w:cs="Arial"/>
                <w:b/>
                <w:bCs/>
                <w:i/>
                <w:iCs/>
                <w:color w:val="000000"/>
                <w:sz w:val="16"/>
                <w:szCs w:val="16"/>
              </w:rPr>
              <w:t xml:space="preserve">80,000 </w:t>
            </w:r>
          </w:p>
        </w:tc>
        <w:tc>
          <w:tcPr>
            <w:tcW w:w="579" w:type="pct"/>
            <w:tcBorders>
              <w:top w:val="nil"/>
              <w:left w:val="nil"/>
              <w:bottom w:val="single" w:sz="4" w:space="0" w:color="auto"/>
              <w:right w:val="nil"/>
            </w:tcBorders>
            <w:shd w:val="clear" w:color="000000" w:fill="E6E6E6"/>
            <w:noWrap/>
            <w:vAlign w:val="bottom"/>
            <w:hideMark/>
          </w:tcPr>
          <w:p w14:paraId="37BF02B9" w14:textId="77777777" w:rsidR="00BE6AB2" w:rsidRPr="00BE6AB2" w:rsidRDefault="00BE6AB2" w:rsidP="00BE6AB2">
            <w:pPr>
              <w:spacing w:after="0" w:line="240" w:lineRule="auto"/>
              <w:jc w:val="right"/>
              <w:rPr>
                <w:rFonts w:ascii="Arial" w:hAnsi="Arial" w:cs="Arial"/>
                <w:b/>
                <w:bCs/>
                <w:i/>
                <w:iCs/>
                <w:color w:val="000000"/>
                <w:sz w:val="16"/>
                <w:szCs w:val="16"/>
              </w:rPr>
            </w:pPr>
            <w:r w:rsidRPr="00BE6AB2">
              <w:rPr>
                <w:rFonts w:ascii="Arial" w:hAnsi="Arial" w:cs="Arial"/>
                <w:b/>
                <w:bCs/>
                <w:i/>
                <w:iCs/>
                <w:color w:val="000000"/>
                <w:sz w:val="16"/>
                <w:szCs w:val="16"/>
              </w:rPr>
              <w:t xml:space="preserve">104,028 </w:t>
            </w:r>
          </w:p>
        </w:tc>
        <w:tc>
          <w:tcPr>
            <w:tcW w:w="579" w:type="pct"/>
            <w:tcBorders>
              <w:top w:val="nil"/>
              <w:left w:val="nil"/>
              <w:bottom w:val="single" w:sz="4" w:space="0" w:color="auto"/>
              <w:right w:val="nil"/>
            </w:tcBorders>
            <w:shd w:val="clear" w:color="auto" w:fill="auto"/>
            <w:noWrap/>
            <w:vAlign w:val="bottom"/>
            <w:hideMark/>
          </w:tcPr>
          <w:p w14:paraId="35D83DC3" w14:textId="77777777" w:rsidR="00BE6AB2" w:rsidRPr="00BE6AB2" w:rsidRDefault="00BE6AB2" w:rsidP="00BE6AB2">
            <w:pPr>
              <w:spacing w:after="0" w:line="240" w:lineRule="auto"/>
              <w:jc w:val="right"/>
              <w:rPr>
                <w:rFonts w:ascii="Arial" w:hAnsi="Arial" w:cs="Arial"/>
                <w:b/>
                <w:bCs/>
                <w:i/>
                <w:iCs/>
                <w:color w:val="000000"/>
                <w:sz w:val="16"/>
                <w:szCs w:val="16"/>
              </w:rPr>
            </w:pPr>
            <w:r w:rsidRPr="00BE6AB2">
              <w:rPr>
                <w:rFonts w:ascii="Arial" w:hAnsi="Arial" w:cs="Arial"/>
                <w:b/>
                <w:bCs/>
                <w:i/>
                <w:iCs/>
                <w:color w:val="000000"/>
                <w:sz w:val="16"/>
                <w:szCs w:val="16"/>
              </w:rPr>
              <w:t xml:space="preserve">120,724 </w:t>
            </w:r>
          </w:p>
        </w:tc>
        <w:tc>
          <w:tcPr>
            <w:tcW w:w="579" w:type="pct"/>
            <w:tcBorders>
              <w:top w:val="nil"/>
              <w:left w:val="nil"/>
              <w:bottom w:val="single" w:sz="4" w:space="0" w:color="auto"/>
              <w:right w:val="nil"/>
            </w:tcBorders>
            <w:shd w:val="clear" w:color="auto" w:fill="auto"/>
            <w:noWrap/>
            <w:vAlign w:val="bottom"/>
            <w:hideMark/>
          </w:tcPr>
          <w:p w14:paraId="43C6316A" w14:textId="77777777" w:rsidR="00BE6AB2" w:rsidRPr="00BE6AB2" w:rsidRDefault="00BE6AB2" w:rsidP="00BE6AB2">
            <w:pPr>
              <w:spacing w:after="0" w:line="240" w:lineRule="auto"/>
              <w:jc w:val="right"/>
              <w:rPr>
                <w:rFonts w:ascii="Arial" w:hAnsi="Arial" w:cs="Arial"/>
                <w:b/>
                <w:bCs/>
                <w:i/>
                <w:iCs/>
                <w:color w:val="000000"/>
                <w:sz w:val="16"/>
                <w:szCs w:val="16"/>
              </w:rPr>
            </w:pPr>
            <w:r w:rsidRPr="00BE6AB2">
              <w:rPr>
                <w:rFonts w:ascii="Arial" w:hAnsi="Arial" w:cs="Arial"/>
                <w:b/>
                <w:bCs/>
                <w:i/>
                <w:iCs/>
                <w:color w:val="000000"/>
                <w:sz w:val="16"/>
                <w:szCs w:val="16"/>
              </w:rPr>
              <w:t xml:space="preserve">137,498 </w:t>
            </w:r>
          </w:p>
        </w:tc>
        <w:tc>
          <w:tcPr>
            <w:tcW w:w="579" w:type="pct"/>
            <w:tcBorders>
              <w:top w:val="nil"/>
              <w:left w:val="nil"/>
              <w:bottom w:val="single" w:sz="4" w:space="0" w:color="auto"/>
              <w:right w:val="nil"/>
            </w:tcBorders>
            <w:shd w:val="clear" w:color="auto" w:fill="auto"/>
            <w:noWrap/>
            <w:vAlign w:val="bottom"/>
            <w:hideMark/>
          </w:tcPr>
          <w:p w14:paraId="2562859A" w14:textId="77777777" w:rsidR="00BE6AB2" w:rsidRPr="00BE6AB2" w:rsidRDefault="00BE6AB2" w:rsidP="00BE6AB2">
            <w:pPr>
              <w:spacing w:after="0" w:line="240" w:lineRule="auto"/>
              <w:jc w:val="right"/>
              <w:rPr>
                <w:rFonts w:ascii="Arial" w:hAnsi="Arial" w:cs="Arial"/>
                <w:b/>
                <w:bCs/>
                <w:i/>
                <w:iCs/>
                <w:color w:val="000000"/>
                <w:sz w:val="16"/>
                <w:szCs w:val="16"/>
              </w:rPr>
            </w:pPr>
            <w:r w:rsidRPr="00BE6AB2">
              <w:rPr>
                <w:rFonts w:ascii="Arial" w:hAnsi="Arial" w:cs="Arial"/>
                <w:b/>
                <w:bCs/>
                <w:i/>
                <w:iCs/>
                <w:color w:val="000000"/>
                <w:sz w:val="16"/>
                <w:szCs w:val="16"/>
              </w:rPr>
              <w:t xml:space="preserve">137,478 </w:t>
            </w:r>
          </w:p>
        </w:tc>
      </w:tr>
      <w:tr w:rsidR="00BE6AB2" w:rsidRPr="00BE6AB2" w14:paraId="59B25B81" w14:textId="77777777" w:rsidTr="00265E99">
        <w:trPr>
          <w:trHeight w:val="450"/>
        </w:trPr>
        <w:tc>
          <w:tcPr>
            <w:tcW w:w="2105" w:type="pct"/>
            <w:tcBorders>
              <w:top w:val="nil"/>
              <w:left w:val="nil"/>
              <w:bottom w:val="nil"/>
              <w:right w:val="nil"/>
            </w:tcBorders>
            <w:shd w:val="clear" w:color="auto" w:fill="auto"/>
            <w:vAlign w:val="bottom"/>
            <w:hideMark/>
          </w:tcPr>
          <w:p w14:paraId="1C3F6A39" w14:textId="725E2FF4" w:rsidR="00BE6AB2" w:rsidRPr="00BE6AB2" w:rsidRDefault="00BE6AB2" w:rsidP="00BE6AB2">
            <w:pPr>
              <w:spacing w:after="0" w:line="240" w:lineRule="auto"/>
              <w:ind w:firstLineChars="100" w:firstLine="160"/>
              <w:jc w:val="left"/>
              <w:rPr>
                <w:rFonts w:ascii="Arial" w:hAnsi="Arial" w:cs="Arial"/>
                <w:color w:val="000000"/>
                <w:sz w:val="16"/>
                <w:szCs w:val="16"/>
              </w:rPr>
            </w:pPr>
            <w:r w:rsidRPr="00BE6AB2">
              <w:rPr>
                <w:rFonts w:ascii="Arial" w:hAnsi="Arial" w:cs="Arial"/>
                <w:color w:val="000000"/>
                <w:sz w:val="16"/>
                <w:szCs w:val="16"/>
              </w:rPr>
              <w:t>Cash and cash equivalents at</w:t>
            </w:r>
            <w:r w:rsidRPr="00BE6AB2">
              <w:rPr>
                <w:rFonts w:ascii="Arial" w:hAnsi="Arial" w:cs="Arial"/>
                <w:color w:val="000000"/>
                <w:sz w:val="16"/>
                <w:szCs w:val="16"/>
              </w:rPr>
              <w:br/>
              <w:t xml:space="preserve"> </w:t>
            </w:r>
            <w:r w:rsidR="00265E99">
              <w:rPr>
                <w:rFonts w:ascii="Arial" w:hAnsi="Arial" w:cs="Arial"/>
                <w:color w:val="000000"/>
                <w:sz w:val="16"/>
                <w:szCs w:val="16"/>
              </w:rPr>
              <w:t xml:space="preserve">    </w:t>
            </w:r>
            <w:r w:rsidRPr="00BE6AB2">
              <w:rPr>
                <w:rFonts w:ascii="Arial" w:hAnsi="Arial" w:cs="Arial"/>
                <w:color w:val="000000"/>
                <w:sz w:val="16"/>
                <w:szCs w:val="16"/>
              </w:rPr>
              <w:t xml:space="preserve"> beginning of reporting period</w:t>
            </w:r>
          </w:p>
        </w:tc>
        <w:tc>
          <w:tcPr>
            <w:tcW w:w="579" w:type="pct"/>
            <w:tcBorders>
              <w:top w:val="nil"/>
              <w:left w:val="nil"/>
              <w:bottom w:val="nil"/>
              <w:right w:val="nil"/>
            </w:tcBorders>
            <w:shd w:val="clear" w:color="auto" w:fill="auto"/>
            <w:noWrap/>
            <w:vAlign w:val="bottom"/>
            <w:hideMark/>
          </w:tcPr>
          <w:p w14:paraId="47DAC833" w14:textId="77777777" w:rsidR="00BE6AB2" w:rsidRPr="00BE6AB2" w:rsidRDefault="00BE6AB2" w:rsidP="00BE6AB2">
            <w:pPr>
              <w:spacing w:after="0" w:line="240" w:lineRule="auto"/>
              <w:jc w:val="right"/>
              <w:rPr>
                <w:rFonts w:ascii="Arial" w:hAnsi="Arial" w:cs="Arial"/>
                <w:color w:val="000000"/>
                <w:sz w:val="16"/>
                <w:szCs w:val="16"/>
              </w:rPr>
            </w:pPr>
            <w:r w:rsidRPr="00BE6AB2">
              <w:rPr>
                <w:rFonts w:ascii="Arial" w:hAnsi="Arial" w:cs="Arial"/>
                <w:color w:val="000000"/>
                <w:sz w:val="16"/>
                <w:szCs w:val="16"/>
              </w:rPr>
              <w:t xml:space="preserve">500 </w:t>
            </w:r>
          </w:p>
        </w:tc>
        <w:tc>
          <w:tcPr>
            <w:tcW w:w="579" w:type="pct"/>
            <w:tcBorders>
              <w:top w:val="nil"/>
              <w:left w:val="nil"/>
              <w:bottom w:val="nil"/>
              <w:right w:val="nil"/>
            </w:tcBorders>
            <w:shd w:val="clear" w:color="000000" w:fill="E6E6E6"/>
            <w:noWrap/>
            <w:vAlign w:val="bottom"/>
            <w:hideMark/>
          </w:tcPr>
          <w:p w14:paraId="2F3F2EE9" w14:textId="77777777" w:rsidR="00BE6AB2" w:rsidRPr="00BE6AB2" w:rsidRDefault="00BE6AB2" w:rsidP="00BE6AB2">
            <w:pPr>
              <w:spacing w:after="0" w:line="240" w:lineRule="auto"/>
              <w:jc w:val="right"/>
              <w:rPr>
                <w:rFonts w:ascii="Arial" w:hAnsi="Arial" w:cs="Arial"/>
                <w:color w:val="000000"/>
                <w:sz w:val="16"/>
                <w:szCs w:val="16"/>
              </w:rPr>
            </w:pPr>
            <w:r w:rsidRPr="00BE6AB2">
              <w:rPr>
                <w:rFonts w:ascii="Arial" w:hAnsi="Arial" w:cs="Arial"/>
                <w:color w:val="000000"/>
                <w:sz w:val="16"/>
                <w:szCs w:val="16"/>
              </w:rPr>
              <w:t xml:space="preserve">500 </w:t>
            </w:r>
          </w:p>
        </w:tc>
        <w:tc>
          <w:tcPr>
            <w:tcW w:w="579" w:type="pct"/>
            <w:tcBorders>
              <w:top w:val="nil"/>
              <w:left w:val="nil"/>
              <w:bottom w:val="nil"/>
              <w:right w:val="nil"/>
            </w:tcBorders>
            <w:shd w:val="clear" w:color="auto" w:fill="auto"/>
            <w:noWrap/>
            <w:vAlign w:val="bottom"/>
            <w:hideMark/>
          </w:tcPr>
          <w:p w14:paraId="25F76714" w14:textId="77777777" w:rsidR="00BE6AB2" w:rsidRPr="00BE6AB2" w:rsidRDefault="00BE6AB2" w:rsidP="00BE6AB2">
            <w:pPr>
              <w:spacing w:after="0" w:line="240" w:lineRule="auto"/>
              <w:jc w:val="right"/>
              <w:rPr>
                <w:rFonts w:ascii="Arial" w:hAnsi="Arial" w:cs="Arial"/>
                <w:color w:val="000000"/>
                <w:sz w:val="16"/>
                <w:szCs w:val="16"/>
              </w:rPr>
            </w:pPr>
            <w:r w:rsidRPr="00BE6AB2">
              <w:rPr>
                <w:rFonts w:ascii="Arial" w:hAnsi="Arial" w:cs="Arial"/>
                <w:color w:val="000000"/>
                <w:sz w:val="16"/>
                <w:szCs w:val="16"/>
              </w:rPr>
              <w:t xml:space="preserve">500 </w:t>
            </w:r>
          </w:p>
        </w:tc>
        <w:tc>
          <w:tcPr>
            <w:tcW w:w="579" w:type="pct"/>
            <w:tcBorders>
              <w:top w:val="nil"/>
              <w:left w:val="nil"/>
              <w:bottom w:val="nil"/>
              <w:right w:val="nil"/>
            </w:tcBorders>
            <w:shd w:val="clear" w:color="auto" w:fill="auto"/>
            <w:noWrap/>
            <w:vAlign w:val="bottom"/>
            <w:hideMark/>
          </w:tcPr>
          <w:p w14:paraId="1F3A3A37" w14:textId="77777777" w:rsidR="00BE6AB2" w:rsidRPr="00BE6AB2" w:rsidRDefault="00BE6AB2" w:rsidP="00BE6AB2">
            <w:pPr>
              <w:spacing w:after="0" w:line="240" w:lineRule="auto"/>
              <w:jc w:val="right"/>
              <w:rPr>
                <w:rFonts w:ascii="Arial" w:hAnsi="Arial" w:cs="Arial"/>
                <w:color w:val="000000"/>
                <w:sz w:val="16"/>
                <w:szCs w:val="16"/>
              </w:rPr>
            </w:pPr>
            <w:r w:rsidRPr="00BE6AB2">
              <w:rPr>
                <w:rFonts w:ascii="Arial" w:hAnsi="Arial" w:cs="Arial"/>
                <w:color w:val="000000"/>
                <w:sz w:val="16"/>
                <w:szCs w:val="16"/>
              </w:rPr>
              <w:t xml:space="preserve">500 </w:t>
            </w:r>
          </w:p>
        </w:tc>
        <w:tc>
          <w:tcPr>
            <w:tcW w:w="579" w:type="pct"/>
            <w:tcBorders>
              <w:top w:val="nil"/>
              <w:left w:val="nil"/>
              <w:bottom w:val="nil"/>
              <w:right w:val="nil"/>
            </w:tcBorders>
            <w:shd w:val="clear" w:color="auto" w:fill="auto"/>
            <w:noWrap/>
            <w:vAlign w:val="bottom"/>
            <w:hideMark/>
          </w:tcPr>
          <w:p w14:paraId="17D8228E" w14:textId="77777777" w:rsidR="00BE6AB2" w:rsidRPr="00BE6AB2" w:rsidRDefault="00BE6AB2" w:rsidP="00BE6AB2">
            <w:pPr>
              <w:spacing w:after="0" w:line="240" w:lineRule="auto"/>
              <w:jc w:val="right"/>
              <w:rPr>
                <w:rFonts w:ascii="Arial" w:hAnsi="Arial" w:cs="Arial"/>
                <w:color w:val="000000"/>
                <w:sz w:val="16"/>
                <w:szCs w:val="16"/>
              </w:rPr>
            </w:pPr>
            <w:r w:rsidRPr="00BE6AB2">
              <w:rPr>
                <w:rFonts w:ascii="Arial" w:hAnsi="Arial" w:cs="Arial"/>
                <w:color w:val="000000"/>
                <w:sz w:val="16"/>
                <w:szCs w:val="16"/>
              </w:rPr>
              <w:t xml:space="preserve">500 </w:t>
            </w:r>
          </w:p>
        </w:tc>
      </w:tr>
      <w:tr w:rsidR="00BE6AB2" w:rsidRPr="00BE6AB2" w14:paraId="0D152F1C" w14:textId="77777777" w:rsidTr="00265E99">
        <w:trPr>
          <w:trHeight w:val="225"/>
        </w:trPr>
        <w:tc>
          <w:tcPr>
            <w:tcW w:w="2105" w:type="pct"/>
            <w:tcBorders>
              <w:top w:val="nil"/>
              <w:left w:val="nil"/>
              <w:bottom w:val="nil"/>
              <w:right w:val="nil"/>
            </w:tcBorders>
            <w:shd w:val="clear" w:color="auto" w:fill="auto"/>
            <w:noWrap/>
            <w:vAlign w:val="bottom"/>
            <w:hideMark/>
          </w:tcPr>
          <w:p w14:paraId="2A6D4D5D" w14:textId="77777777" w:rsidR="00BE6AB2" w:rsidRPr="00BE6AB2" w:rsidRDefault="00BE6AB2" w:rsidP="00BE6AB2">
            <w:pPr>
              <w:spacing w:after="0" w:line="240" w:lineRule="auto"/>
              <w:ind w:firstLineChars="200" w:firstLine="320"/>
              <w:jc w:val="left"/>
              <w:rPr>
                <w:rFonts w:ascii="Arial" w:hAnsi="Arial" w:cs="Arial"/>
                <w:color w:val="000000"/>
                <w:sz w:val="16"/>
                <w:szCs w:val="16"/>
              </w:rPr>
            </w:pPr>
            <w:r w:rsidRPr="00BE6AB2">
              <w:rPr>
                <w:rFonts w:ascii="Arial" w:hAnsi="Arial" w:cs="Arial"/>
                <w:color w:val="000000"/>
                <w:sz w:val="16"/>
                <w:szCs w:val="16"/>
              </w:rPr>
              <w:t>Cash to Official Public Account for:</w:t>
            </w:r>
          </w:p>
        </w:tc>
        <w:tc>
          <w:tcPr>
            <w:tcW w:w="579" w:type="pct"/>
            <w:tcBorders>
              <w:top w:val="single" w:sz="4" w:space="0" w:color="auto"/>
              <w:left w:val="nil"/>
              <w:bottom w:val="nil"/>
              <w:right w:val="nil"/>
            </w:tcBorders>
            <w:shd w:val="clear" w:color="auto" w:fill="auto"/>
            <w:noWrap/>
            <w:vAlign w:val="bottom"/>
            <w:hideMark/>
          </w:tcPr>
          <w:p w14:paraId="3E3DB909" w14:textId="77777777" w:rsidR="00BE6AB2" w:rsidRPr="00BE6AB2" w:rsidRDefault="00BE6AB2" w:rsidP="00BE6AB2">
            <w:pPr>
              <w:spacing w:after="0" w:line="240" w:lineRule="auto"/>
              <w:jc w:val="left"/>
              <w:rPr>
                <w:rFonts w:ascii="Arial" w:hAnsi="Arial" w:cs="Arial"/>
                <w:color w:val="000000"/>
                <w:sz w:val="16"/>
                <w:szCs w:val="16"/>
              </w:rPr>
            </w:pPr>
            <w:r w:rsidRPr="00BE6AB2">
              <w:rPr>
                <w:rFonts w:ascii="Arial" w:hAnsi="Arial" w:cs="Arial"/>
                <w:color w:val="000000"/>
                <w:sz w:val="16"/>
                <w:szCs w:val="16"/>
              </w:rPr>
              <w:t> </w:t>
            </w:r>
          </w:p>
        </w:tc>
        <w:tc>
          <w:tcPr>
            <w:tcW w:w="579" w:type="pct"/>
            <w:tcBorders>
              <w:top w:val="single" w:sz="4" w:space="0" w:color="auto"/>
              <w:left w:val="nil"/>
              <w:bottom w:val="nil"/>
              <w:right w:val="nil"/>
            </w:tcBorders>
            <w:shd w:val="clear" w:color="000000" w:fill="E6E6E6"/>
            <w:noWrap/>
            <w:vAlign w:val="bottom"/>
            <w:hideMark/>
          </w:tcPr>
          <w:p w14:paraId="60F05659" w14:textId="77777777" w:rsidR="00BE6AB2" w:rsidRPr="00BE6AB2" w:rsidRDefault="00BE6AB2" w:rsidP="00BE6AB2">
            <w:pPr>
              <w:spacing w:after="0" w:line="240" w:lineRule="auto"/>
              <w:jc w:val="left"/>
              <w:rPr>
                <w:rFonts w:ascii="Arial" w:hAnsi="Arial" w:cs="Arial"/>
                <w:color w:val="000000"/>
                <w:sz w:val="16"/>
                <w:szCs w:val="16"/>
              </w:rPr>
            </w:pPr>
            <w:r w:rsidRPr="00BE6AB2">
              <w:rPr>
                <w:rFonts w:ascii="Arial" w:hAnsi="Arial" w:cs="Arial"/>
                <w:color w:val="000000"/>
                <w:sz w:val="16"/>
                <w:szCs w:val="16"/>
              </w:rPr>
              <w:t> </w:t>
            </w:r>
          </w:p>
        </w:tc>
        <w:tc>
          <w:tcPr>
            <w:tcW w:w="579" w:type="pct"/>
            <w:tcBorders>
              <w:top w:val="single" w:sz="4" w:space="0" w:color="auto"/>
              <w:left w:val="nil"/>
              <w:bottom w:val="nil"/>
              <w:right w:val="nil"/>
            </w:tcBorders>
            <w:shd w:val="clear" w:color="auto" w:fill="auto"/>
            <w:noWrap/>
            <w:vAlign w:val="bottom"/>
            <w:hideMark/>
          </w:tcPr>
          <w:p w14:paraId="7F2D8A7E" w14:textId="77777777" w:rsidR="00BE6AB2" w:rsidRPr="00BE6AB2" w:rsidRDefault="00BE6AB2" w:rsidP="00BE6AB2">
            <w:pPr>
              <w:spacing w:after="0" w:line="240" w:lineRule="auto"/>
              <w:jc w:val="left"/>
              <w:rPr>
                <w:rFonts w:ascii="Arial" w:hAnsi="Arial" w:cs="Arial"/>
                <w:color w:val="000000"/>
                <w:sz w:val="16"/>
                <w:szCs w:val="16"/>
              </w:rPr>
            </w:pPr>
            <w:r w:rsidRPr="00BE6AB2">
              <w:rPr>
                <w:rFonts w:ascii="Arial" w:hAnsi="Arial" w:cs="Arial"/>
                <w:color w:val="000000"/>
                <w:sz w:val="16"/>
                <w:szCs w:val="16"/>
              </w:rPr>
              <w:t> </w:t>
            </w:r>
          </w:p>
        </w:tc>
        <w:tc>
          <w:tcPr>
            <w:tcW w:w="579" w:type="pct"/>
            <w:tcBorders>
              <w:top w:val="single" w:sz="4" w:space="0" w:color="auto"/>
              <w:left w:val="nil"/>
              <w:bottom w:val="nil"/>
              <w:right w:val="nil"/>
            </w:tcBorders>
            <w:shd w:val="clear" w:color="auto" w:fill="auto"/>
            <w:noWrap/>
            <w:vAlign w:val="bottom"/>
            <w:hideMark/>
          </w:tcPr>
          <w:p w14:paraId="1126EEC6" w14:textId="77777777" w:rsidR="00BE6AB2" w:rsidRPr="00BE6AB2" w:rsidRDefault="00BE6AB2" w:rsidP="00BE6AB2">
            <w:pPr>
              <w:spacing w:after="0" w:line="240" w:lineRule="auto"/>
              <w:jc w:val="left"/>
              <w:rPr>
                <w:rFonts w:ascii="Arial" w:hAnsi="Arial" w:cs="Arial"/>
                <w:color w:val="000000"/>
                <w:sz w:val="16"/>
                <w:szCs w:val="16"/>
              </w:rPr>
            </w:pPr>
            <w:r w:rsidRPr="00BE6AB2">
              <w:rPr>
                <w:rFonts w:ascii="Arial" w:hAnsi="Arial" w:cs="Arial"/>
                <w:color w:val="000000"/>
                <w:sz w:val="16"/>
                <w:szCs w:val="16"/>
              </w:rPr>
              <w:t> </w:t>
            </w:r>
          </w:p>
        </w:tc>
        <w:tc>
          <w:tcPr>
            <w:tcW w:w="579" w:type="pct"/>
            <w:tcBorders>
              <w:top w:val="single" w:sz="4" w:space="0" w:color="auto"/>
              <w:left w:val="nil"/>
              <w:bottom w:val="nil"/>
              <w:right w:val="nil"/>
            </w:tcBorders>
            <w:shd w:val="clear" w:color="auto" w:fill="auto"/>
            <w:noWrap/>
            <w:vAlign w:val="bottom"/>
            <w:hideMark/>
          </w:tcPr>
          <w:p w14:paraId="1DA2E418" w14:textId="77777777" w:rsidR="00BE6AB2" w:rsidRPr="00BE6AB2" w:rsidRDefault="00BE6AB2" w:rsidP="00BE6AB2">
            <w:pPr>
              <w:spacing w:after="0" w:line="240" w:lineRule="auto"/>
              <w:jc w:val="left"/>
              <w:rPr>
                <w:rFonts w:ascii="Arial" w:hAnsi="Arial" w:cs="Arial"/>
                <w:color w:val="000000"/>
                <w:sz w:val="16"/>
                <w:szCs w:val="16"/>
              </w:rPr>
            </w:pPr>
            <w:r w:rsidRPr="00BE6AB2">
              <w:rPr>
                <w:rFonts w:ascii="Arial" w:hAnsi="Arial" w:cs="Arial"/>
                <w:color w:val="000000"/>
                <w:sz w:val="16"/>
                <w:szCs w:val="16"/>
              </w:rPr>
              <w:t> </w:t>
            </w:r>
          </w:p>
        </w:tc>
      </w:tr>
      <w:tr w:rsidR="00BE6AB2" w:rsidRPr="00BE6AB2" w14:paraId="64FF3AA2" w14:textId="77777777" w:rsidTr="00265E99">
        <w:trPr>
          <w:trHeight w:val="675"/>
        </w:trPr>
        <w:tc>
          <w:tcPr>
            <w:tcW w:w="2105" w:type="pct"/>
            <w:tcBorders>
              <w:top w:val="nil"/>
              <w:left w:val="nil"/>
              <w:bottom w:val="nil"/>
              <w:right w:val="nil"/>
            </w:tcBorders>
            <w:shd w:val="clear" w:color="auto" w:fill="auto"/>
            <w:vAlign w:val="bottom"/>
            <w:hideMark/>
          </w:tcPr>
          <w:p w14:paraId="00BCF61B" w14:textId="033361A2" w:rsidR="00BE6AB2" w:rsidRPr="00BE6AB2" w:rsidRDefault="00BE6AB2" w:rsidP="00265E99">
            <w:pPr>
              <w:spacing w:after="0" w:line="240" w:lineRule="auto"/>
              <w:ind w:firstLineChars="300" w:firstLine="480"/>
              <w:jc w:val="left"/>
              <w:rPr>
                <w:rFonts w:ascii="Arial" w:hAnsi="Arial" w:cs="Arial"/>
                <w:color w:val="000000"/>
                <w:sz w:val="16"/>
                <w:szCs w:val="16"/>
              </w:rPr>
            </w:pPr>
            <w:r w:rsidRPr="00BE6AB2">
              <w:rPr>
                <w:rFonts w:ascii="Arial" w:hAnsi="Arial" w:cs="Arial"/>
                <w:color w:val="000000"/>
                <w:sz w:val="16"/>
                <w:szCs w:val="16"/>
              </w:rPr>
              <w:t xml:space="preserve">- Transfers to other entities </w:t>
            </w:r>
            <w:r w:rsidRPr="00BE6AB2">
              <w:rPr>
                <w:rFonts w:ascii="Arial" w:hAnsi="Arial" w:cs="Arial"/>
                <w:color w:val="000000"/>
                <w:sz w:val="16"/>
                <w:szCs w:val="16"/>
              </w:rPr>
              <w:br/>
              <w:t xml:space="preserve"> </w:t>
            </w:r>
            <w:r w:rsidR="00265E99">
              <w:rPr>
                <w:rFonts w:ascii="Arial" w:hAnsi="Arial" w:cs="Arial"/>
                <w:color w:val="000000"/>
                <w:sz w:val="16"/>
                <w:szCs w:val="16"/>
              </w:rPr>
              <w:t xml:space="preserve">             </w:t>
            </w:r>
            <w:r w:rsidRPr="00BE6AB2">
              <w:rPr>
                <w:rFonts w:ascii="Arial" w:hAnsi="Arial" w:cs="Arial"/>
                <w:color w:val="000000"/>
                <w:sz w:val="16"/>
                <w:szCs w:val="16"/>
              </w:rPr>
              <w:t xml:space="preserve"> (Finance - Whole of Government)</w:t>
            </w:r>
          </w:p>
        </w:tc>
        <w:tc>
          <w:tcPr>
            <w:tcW w:w="579" w:type="pct"/>
            <w:tcBorders>
              <w:top w:val="nil"/>
              <w:left w:val="nil"/>
              <w:bottom w:val="nil"/>
              <w:right w:val="nil"/>
            </w:tcBorders>
            <w:shd w:val="clear" w:color="auto" w:fill="auto"/>
            <w:noWrap/>
            <w:vAlign w:val="bottom"/>
            <w:hideMark/>
          </w:tcPr>
          <w:p w14:paraId="6C3A0E5F" w14:textId="77777777" w:rsidR="00BE6AB2" w:rsidRPr="00BE6AB2" w:rsidRDefault="00BE6AB2" w:rsidP="00BE6AB2">
            <w:pPr>
              <w:spacing w:after="0" w:line="240" w:lineRule="auto"/>
              <w:jc w:val="right"/>
              <w:rPr>
                <w:rFonts w:ascii="Arial" w:hAnsi="Arial" w:cs="Arial"/>
                <w:color w:val="000000"/>
                <w:sz w:val="16"/>
                <w:szCs w:val="16"/>
              </w:rPr>
            </w:pPr>
            <w:r w:rsidRPr="00BE6AB2">
              <w:rPr>
                <w:rFonts w:ascii="Arial" w:hAnsi="Arial" w:cs="Arial"/>
                <w:color w:val="000000"/>
                <w:sz w:val="16"/>
                <w:szCs w:val="16"/>
              </w:rPr>
              <w:t>(80,000)</w:t>
            </w:r>
          </w:p>
        </w:tc>
        <w:tc>
          <w:tcPr>
            <w:tcW w:w="579" w:type="pct"/>
            <w:tcBorders>
              <w:top w:val="nil"/>
              <w:left w:val="nil"/>
              <w:bottom w:val="nil"/>
              <w:right w:val="nil"/>
            </w:tcBorders>
            <w:shd w:val="clear" w:color="000000" w:fill="E6E6E6"/>
            <w:noWrap/>
            <w:vAlign w:val="bottom"/>
            <w:hideMark/>
          </w:tcPr>
          <w:p w14:paraId="0A4644EF" w14:textId="77777777" w:rsidR="00BE6AB2" w:rsidRPr="00BE6AB2" w:rsidRDefault="00BE6AB2" w:rsidP="00BE6AB2">
            <w:pPr>
              <w:spacing w:after="0" w:line="240" w:lineRule="auto"/>
              <w:jc w:val="right"/>
              <w:rPr>
                <w:rFonts w:ascii="Arial" w:hAnsi="Arial" w:cs="Arial"/>
                <w:color w:val="000000"/>
                <w:sz w:val="16"/>
                <w:szCs w:val="16"/>
              </w:rPr>
            </w:pPr>
            <w:r w:rsidRPr="00BE6AB2">
              <w:rPr>
                <w:rFonts w:ascii="Arial" w:hAnsi="Arial" w:cs="Arial"/>
                <w:color w:val="000000"/>
                <w:sz w:val="16"/>
                <w:szCs w:val="16"/>
              </w:rPr>
              <w:t>(104,028)</w:t>
            </w:r>
          </w:p>
        </w:tc>
        <w:tc>
          <w:tcPr>
            <w:tcW w:w="579" w:type="pct"/>
            <w:tcBorders>
              <w:top w:val="nil"/>
              <w:left w:val="nil"/>
              <w:bottom w:val="nil"/>
              <w:right w:val="nil"/>
            </w:tcBorders>
            <w:shd w:val="clear" w:color="auto" w:fill="auto"/>
            <w:noWrap/>
            <w:vAlign w:val="bottom"/>
            <w:hideMark/>
          </w:tcPr>
          <w:p w14:paraId="44CF2B90" w14:textId="77777777" w:rsidR="00BE6AB2" w:rsidRPr="00BE6AB2" w:rsidRDefault="00BE6AB2" w:rsidP="00BE6AB2">
            <w:pPr>
              <w:spacing w:after="0" w:line="240" w:lineRule="auto"/>
              <w:jc w:val="right"/>
              <w:rPr>
                <w:rFonts w:ascii="Arial" w:hAnsi="Arial" w:cs="Arial"/>
                <w:color w:val="000000"/>
                <w:sz w:val="16"/>
                <w:szCs w:val="16"/>
              </w:rPr>
            </w:pPr>
            <w:r w:rsidRPr="00BE6AB2">
              <w:rPr>
                <w:rFonts w:ascii="Arial" w:hAnsi="Arial" w:cs="Arial"/>
                <w:color w:val="000000"/>
                <w:sz w:val="16"/>
                <w:szCs w:val="16"/>
              </w:rPr>
              <w:t>(120,724)</w:t>
            </w:r>
          </w:p>
        </w:tc>
        <w:tc>
          <w:tcPr>
            <w:tcW w:w="579" w:type="pct"/>
            <w:tcBorders>
              <w:top w:val="nil"/>
              <w:left w:val="nil"/>
              <w:bottom w:val="nil"/>
              <w:right w:val="nil"/>
            </w:tcBorders>
            <w:shd w:val="clear" w:color="auto" w:fill="auto"/>
            <w:noWrap/>
            <w:vAlign w:val="bottom"/>
            <w:hideMark/>
          </w:tcPr>
          <w:p w14:paraId="5AC709A1" w14:textId="77777777" w:rsidR="00BE6AB2" w:rsidRPr="00BE6AB2" w:rsidRDefault="00BE6AB2" w:rsidP="00BE6AB2">
            <w:pPr>
              <w:spacing w:after="0" w:line="240" w:lineRule="auto"/>
              <w:jc w:val="right"/>
              <w:rPr>
                <w:rFonts w:ascii="Arial" w:hAnsi="Arial" w:cs="Arial"/>
                <w:color w:val="000000"/>
                <w:sz w:val="16"/>
                <w:szCs w:val="16"/>
              </w:rPr>
            </w:pPr>
            <w:r w:rsidRPr="00BE6AB2">
              <w:rPr>
                <w:rFonts w:ascii="Arial" w:hAnsi="Arial" w:cs="Arial"/>
                <w:color w:val="000000"/>
                <w:sz w:val="16"/>
                <w:szCs w:val="16"/>
              </w:rPr>
              <w:t>(137,498)</w:t>
            </w:r>
          </w:p>
        </w:tc>
        <w:tc>
          <w:tcPr>
            <w:tcW w:w="579" w:type="pct"/>
            <w:tcBorders>
              <w:top w:val="nil"/>
              <w:left w:val="nil"/>
              <w:bottom w:val="nil"/>
              <w:right w:val="nil"/>
            </w:tcBorders>
            <w:shd w:val="clear" w:color="auto" w:fill="auto"/>
            <w:noWrap/>
            <w:vAlign w:val="bottom"/>
            <w:hideMark/>
          </w:tcPr>
          <w:p w14:paraId="20C948EC" w14:textId="77777777" w:rsidR="00BE6AB2" w:rsidRPr="00BE6AB2" w:rsidRDefault="00BE6AB2" w:rsidP="00BE6AB2">
            <w:pPr>
              <w:spacing w:after="0" w:line="240" w:lineRule="auto"/>
              <w:jc w:val="right"/>
              <w:rPr>
                <w:rFonts w:ascii="Arial" w:hAnsi="Arial" w:cs="Arial"/>
                <w:color w:val="000000"/>
                <w:sz w:val="16"/>
                <w:szCs w:val="16"/>
              </w:rPr>
            </w:pPr>
            <w:r w:rsidRPr="00BE6AB2">
              <w:rPr>
                <w:rFonts w:ascii="Arial" w:hAnsi="Arial" w:cs="Arial"/>
                <w:color w:val="000000"/>
                <w:sz w:val="16"/>
                <w:szCs w:val="16"/>
              </w:rPr>
              <w:t>(137,478)</w:t>
            </w:r>
          </w:p>
        </w:tc>
      </w:tr>
      <w:tr w:rsidR="00BE6AB2" w:rsidRPr="00BE6AB2" w14:paraId="3BFDAE94" w14:textId="77777777" w:rsidTr="00265E99">
        <w:trPr>
          <w:trHeight w:val="225"/>
        </w:trPr>
        <w:tc>
          <w:tcPr>
            <w:tcW w:w="2105" w:type="pct"/>
            <w:tcBorders>
              <w:top w:val="nil"/>
              <w:left w:val="nil"/>
              <w:bottom w:val="nil"/>
              <w:right w:val="nil"/>
            </w:tcBorders>
            <w:shd w:val="clear" w:color="auto" w:fill="auto"/>
            <w:vAlign w:val="bottom"/>
            <w:hideMark/>
          </w:tcPr>
          <w:p w14:paraId="2E793BD5" w14:textId="77777777" w:rsidR="00BE6AB2" w:rsidRPr="00BE6AB2" w:rsidRDefault="00BE6AB2" w:rsidP="00BE6AB2">
            <w:pPr>
              <w:spacing w:after="0" w:line="240" w:lineRule="auto"/>
              <w:ind w:firstLineChars="100" w:firstLine="160"/>
              <w:jc w:val="left"/>
              <w:rPr>
                <w:rFonts w:ascii="Arial" w:hAnsi="Arial" w:cs="Arial"/>
                <w:i/>
                <w:iCs/>
                <w:color w:val="000000"/>
                <w:sz w:val="16"/>
                <w:szCs w:val="16"/>
              </w:rPr>
            </w:pPr>
            <w:r w:rsidRPr="00BE6AB2">
              <w:rPr>
                <w:rFonts w:ascii="Arial" w:hAnsi="Arial" w:cs="Arial"/>
                <w:i/>
                <w:iCs/>
                <w:color w:val="000000"/>
                <w:sz w:val="16"/>
                <w:szCs w:val="16"/>
              </w:rPr>
              <w:t>Total cash to Official Public Account</w:t>
            </w:r>
          </w:p>
        </w:tc>
        <w:tc>
          <w:tcPr>
            <w:tcW w:w="579" w:type="pct"/>
            <w:tcBorders>
              <w:top w:val="single" w:sz="4" w:space="0" w:color="000000"/>
              <w:left w:val="nil"/>
              <w:bottom w:val="nil"/>
              <w:right w:val="nil"/>
            </w:tcBorders>
            <w:shd w:val="clear" w:color="auto" w:fill="auto"/>
            <w:noWrap/>
            <w:vAlign w:val="bottom"/>
            <w:hideMark/>
          </w:tcPr>
          <w:p w14:paraId="7BF93231" w14:textId="77777777" w:rsidR="00BE6AB2" w:rsidRPr="00BE6AB2" w:rsidRDefault="00BE6AB2" w:rsidP="00BE6AB2">
            <w:pPr>
              <w:spacing w:after="0" w:line="240" w:lineRule="auto"/>
              <w:jc w:val="right"/>
              <w:rPr>
                <w:rFonts w:ascii="Arial" w:hAnsi="Arial" w:cs="Arial"/>
                <w:i/>
                <w:iCs/>
                <w:color w:val="000000"/>
                <w:sz w:val="16"/>
                <w:szCs w:val="16"/>
              </w:rPr>
            </w:pPr>
            <w:r w:rsidRPr="00BE6AB2">
              <w:rPr>
                <w:rFonts w:ascii="Arial" w:hAnsi="Arial" w:cs="Arial"/>
                <w:i/>
                <w:iCs/>
                <w:color w:val="000000"/>
                <w:sz w:val="16"/>
                <w:szCs w:val="16"/>
              </w:rPr>
              <w:t>(80,000)</w:t>
            </w:r>
          </w:p>
        </w:tc>
        <w:tc>
          <w:tcPr>
            <w:tcW w:w="579" w:type="pct"/>
            <w:tcBorders>
              <w:top w:val="single" w:sz="4" w:space="0" w:color="000000"/>
              <w:left w:val="nil"/>
              <w:bottom w:val="nil"/>
              <w:right w:val="nil"/>
            </w:tcBorders>
            <w:shd w:val="clear" w:color="000000" w:fill="E6E6E6"/>
            <w:noWrap/>
            <w:vAlign w:val="bottom"/>
            <w:hideMark/>
          </w:tcPr>
          <w:p w14:paraId="22077D82" w14:textId="77777777" w:rsidR="00BE6AB2" w:rsidRPr="00BE6AB2" w:rsidRDefault="00BE6AB2" w:rsidP="00BE6AB2">
            <w:pPr>
              <w:spacing w:after="0" w:line="240" w:lineRule="auto"/>
              <w:jc w:val="right"/>
              <w:rPr>
                <w:rFonts w:ascii="Arial" w:hAnsi="Arial" w:cs="Arial"/>
                <w:i/>
                <w:iCs/>
                <w:color w:val="000000"/>
                <w:sz w:val="16"/>
                <w:szCs w:val="16"/>
              </w:rPr>
            </w:pPr>
            <w:r w:rsidRPr="00BE6AB2">
              <w:rPr>
                <w:rFonts w:ascii="Arial" w:hAnsi="Arial" w:cs="Arial"/>
                <w:i/>
                <w:iCs/>
                <w:color w:val="000000"/>
                <w:sz w:val="16"/>
                <w:szCs w:val="16"/>
              </w:rPr>
              <w:t>(104,028)</w:t>
            </w:r>
          </w:p>
        </w:tc>
        <w:tc>
          <w:tcPr>
            <w:tcW w:w="579" w:type="pct"/>
            <w:tcBorders>
              <w:top w:val="single" w:sz="4" w:space="0" w:color="000000"/>
              <w:left w:val="nil"/>
              <w:bottom w:val="nil"/>
              <w:right w:val="nil"/>
            </w:tcBorders>
            <w:shd w:val="clear" w:color="auto" w:fill="auto"/>
            <w:noWrap/>
            <w:vAlign w:val="bottom"/>
            <w:hideMark/>
          </w:tcPr>
          <w:p w14:paraId="1466B9DF" w14:textId="77777777" w:rsidR="00BE6AB2" w:rsidRPr="00BE6AB2" w:rsidRDefault="00BE6AB2" w:rsidP="00BE6AB2">
            <w:pPr>
              <w:spacing w:after="0" w:line="240" w:lineRule="auto"/>
              <w:jc w:val="right"/>
              <w:rPr>
                <w:rFonts w:ascii="Arial" w:hAnsi="Arial" w:cs="Arial"/>
                <w:i/>
                <w:iCs/>
                <w:color w:val="000000"/>
                <w:sz w:val="16"/>
                <w:szCs w:val="16"/>
              </w:rPr>
            </w:pPr>
            <w:r w:rsidRPr="00BE6AB2">
              <w:rPr>
                <w:rFonts w:ascii="Arial" w:hAnsi="Arial" w:cs="Arial"/>
                <w:i/>
                <w:iCs/>
                <w:color w:val="000000"/>
                <w:sz w:val="16"/>
                <w:szCs w:val="16"/>
              </w:rPr>
              <w:t>(120,724)</w:t>
            </w:r>
          </w:p>
        </w:tc>
        <w:tc>
          <w:tcPr>
            <w:tcW w:w="579" w:type="pct"/>
            <w:tcBorders>
              <w:top w:val="single" w:sz="4" w:space="0" w:color="000000"/>
              <w:left w:val="nil"/>
              <w:bottom w:val="nil"/>
              <w:right w:val="nil"/>
            </w:tcBorders>
            <w:shd w:val="clear" w:color="auto" w:fill="auto"/>
            <w:noWrap/>
            <w:vAlign w:val="bottom"/>
            <w:hideMark/>
          </w:tcPr>
          <w:p w14:paraId="43F56B17" w14:textId="77777777" w:rsidR="00BE6AB2" w:rsidRPr="00BE6AB2" w:rsidRDefault="00BE6AB2" w:rsidP="00BE6AB2">
            <w:pPr>
              <w:spacing w:after="0" w:line="240" w:lineRule="auto"/>
              <w:jc w:val="right"/>
              <w:rPr>
                <w:rFonts w:ascii="Arial" w:hAnsi="Arial" w:cs="Arial"/>
                <w:i/>
                <w:iCs/>
                <w:color w:val="000000"/>
                <w:sz w:val="16"/>
                <w:szCs w:val="16"/>
              </w:rPr>
            </w:pPr>
            <w:r w:rsidRPr="00BE6AB2">
              <w:rPr>
                <w:rFonts w:ascii="Arial" w:hAnsi="Arial" w:cs="Arial"/>
                <w:i/>
                <w:iCs/>
                <w:color w:val="000000"/>
                <w:sz w:val="16"/>
                <w:szCs w:val="16"/>
              </w:rPr>
              <w:t>(137,498)</w:t>
            </w:r>
          </w:p>
        </w:tc>
        <w:tc>
          <w:tcPr>
            <w:tcW w:w="579" w:type="pct"/>
            <w:tcBorders>
              <w:top w:val="single" w:sz="4" w:space="0" w:color="000000"/>
              <w:left w:val="nil"/>
              <w:bottom w:val="nil"/>
              <w:right w:val="nil"/>
            </w:tcBorders>
            <w:shd w:val="clear" w:color="auto" w:fill="auto"/>
            <w:noWrap/>
            <w:vAlign w:val="bottom"/>
            <w:hideMark/>
          </w:tcPr>
          <w:p w14:paraId="391A2B58" w14:textId="77777777" w:rsidR="00BE6AB2" w:rsidRPr="00BE6AB2" w:rsidRDefault="00BE6AB2" w:rsidP="00BE6AB2">
            <w:pPr>
              <w:spacing w:after="0" w:line="240" w:lineRule="auto"/>
              <w:jc w:val="right"/>
              <w:rPr>
                <w:rFonts w:ascii="Arial" w:hAnsi="Arial" w:cs="Arial"/>
                <w:i/>
                <w:iCs/>
                <w:color w:val="000000"/>
                <w:sz w:val="16"/>
                <w:szCs w:val="16"/>
              </w:rPr>
            </w:pPr>
            <w:r w:rsidRPr="00BE6AB2">
              <w:rPr>
                <w:rFonts w:ascii="Arial" w:hAnsi="Arial" w:cs="Arial"/>
                <w:i/>
                <w:iCs/>
                <w:color w:val="000000"/>
                <w:sz w:val="16"/>
                <w:szCs w:val="16"/>
              </w:rPr>
              <w:t>(137,478)</w:t>
            </w:r>
          </w:p>
        </w:tc>
      </w:tr>
      <w:tr w:rsidR="00BE6AB2" w:rsidRPr="00BE6AB2" w14:paraId="328062C3" w14:textId="77777777" w:rsidTr="00265E99">
        <w:trPr>
          <w:trHeight w:val="450"/>
        </w:trPr>
        <w:tc>
          <w:tcPr>
            <w:tcW w:w="2105" w:type="pct"/>
            <w:tcBorders>
              <w:top w:val="nil"/>
              <w:left w:val="nil"/>
              <w:bottom w:val="single" w:sz="4" w:space="0" w:color="auto"/>
              <w:right w:val="nil"/>
            </w:tcBorders>
            <w:shd w:val="clear" w:color="auto" w:fill="auto"/>
            <w:vAlign w:val="bottom"/>
            <w:hideMark/>
          </w:tcPr>
          <w:p w14:paraId="0E1F34EB" w14:textId="77777777" w:rsidR="00BE6AB2" w:rsidRPr="00BE6AB2" w:rsidRDefault="00BE6AB2" w:rsidP="00BE6AB2">
            <w:pPr>
              <w:spacing w:after="0" w:line="240" w:lineRule="auto"/>
              <w:jc w:val="left"/>
              <w:rPr>
                <w:rFonts w:ascii="Arial" w:hAnsi="Arial" w:cs="Arial"/>
                <w:b/>
                <w:bCs/>
                <w:color w:val="000000"/>
                <w:sz w:val="16"/>
                <w:szCs w:val="16"/>
              </w:rPr>
            </w:pPr>
            <w:r w:rsidRPr="00BE6AB2">
              <w:rPr>
                <w:rFonts w:ascii="Arial" w:hAnsi="Arial" w:cs="Arial"/>
                <w:b/>
                <w:bCs/>
                <w:color w:val="000000"/>
                <w:sz w:val="16"/>
                <w:szCs w:val="16"/>
              </w:rPr>
              <w:t>Cash and cash equivalents at</w:t>
            </w:r>
            <w:r w:rsidRPr="00BE6AB2">
              <w:rPr>
                <w:rFonts w:ascii="Arial" w:hAnsi="Arial" w:cs="Arial"/>
                <w:b/>
                <w:bCs/>
                <w:color w:val="000000"/>
                <w:sz w:val="16"/>
                <w:szCs w:val="16"/>
              </w:rPr>
              <w:br/>
              <w:t xml:space="preserve">  end of reporting period</w:t>
            </w:r>
          </w:p>
        </w:tc>
        <w:tc>
          <w:tcPr>
            <w:tcW w:w="579" w:type="pct"/>
            <w:tcBorders>
              <w:top w:val="single" w:sz="4" w:space="0" w:color="000000"/>
              <w:left w:val="nil"/>
              <w:bottom w:val="single" w:sz="4" w:space="0" w:color="auto"/>
              <w:right w:val="nil"/>
            </w:tcBorders>
            <w:shd w:val="clear" w:color="auto" w:fill="auto"/>
            <w:noWrap/>
            <w:vAlign w:val="bottom"/>
            <w:hideMark/>
          </w:tcPr>
          <w:p w14:paraId="5E3DC3FB" w14:textId="77777777" w:rsidR="00BE6AB2" w:rsidRPr="00BE6AB2" w:rsidRDefault="00BE6AB2" w:rsidP="00BE6AB2">
            <w:pPr>
              <w:spacing w:after="0" w:line="240" w:lineRule="auto"/>
              <w:jc w:val="right"/>
              <w:rPr>
                <w:rFonts w:ascii="Arial" w:hAnsi="Arial" w:cs="Arial"/>
                <w:b/>
                <w:bCs/>
                <w:color w:val="000000"/>
                <w:sz w:val="16"/>
                <w:szCs w:val="16"/>
              </w:rPr>
            </w:pPr>
            <w:r w:rsidRPr="00BE6AB2">
              <w:rPr>
                <w:rFonts w:ascii="Arial" w:hAnsi="Arial" w:cs="Arial"/>
                <w:b/>
                <w:bCs/>
                <w:color w:val="000000"/>
                <w:sz w:val="16"/>
                <w:szCs w:val="16"/>
              </w:rPr>
              <w:t xml:space="preserve">500 </w:t>
            </w:r>
          </w:p>
        </w:tc>
        <w:tc>
          <w:tcPr>
            <w:tcW w:w="579" w:type="pct"/>
            <w:tcBorders>
              <w:top w:val="single" w:sz="4" w:space="0" w:color="000000"/>
              <w:left w:val="nil"/>
              <w:bottom w:val="single" w:sz="4" w:space="0" w:color="auto"/>
              <w:right w:val="nil"/>
            </w:tcBorders>
            <w:shd w:val="clear" w:color="000000" w:fill="E6E6E6"/>
            <w:noWrap/>
            <w:vAlign w:val="bottom"/>
            <w:hideMark/>
          </w:tcPr>
          <w:p w14:paraId="02945F43" w14:textId="77777777" w:rsidR="00BE6AB2" w:rsidRPr="00BE6AB2" w:rsidRDefault="00BE6AB2" w:rsidP="00BE6AB2">
            <w:pPr>
              <w:spacing w:after="0" w:line="240" w:lineRule="auto"/>
              <w:jc w:val="right"/>
              <w:rPr>
                <w:rFonts w:ascii="Arial" w:hAnsi="Arial" w:cs="Arial"/>
                <w:b/>
                <w:bCs/>
                <w:color w:val="000000"/>
                <w:sz w:val="16"/>
                <w:szCs w:val="16"/>
              </w:rPr>
            </w:pPr>
            <w:r w:rsidRPr="00BE6AB2">
              <w:rPr>
                <w:rFonts w:ascii="Arial" w:hAnsi="Arial" w:cs="Arial"/>
                <w:b/>
                <w:bCs/>
                <w:color w:val="000000"/>
                <w:sz w:val="16"/>
                <w:szCs w:val="16"/>
              </w:rPr>
              <w:t xml:space="preserve">500 </w:t>
            </w:r>
          </w:p>
        </w:tc>
        <w:tc>
          <w:tcPr>
            <w:tcW w:w="579" w:type="pct"/>
            <w:tcBorders>
              <w:top w:val="single" w:sz="4" w:space="0" w:color="000000"/>
              <w:left w:val="nil"/>
              <w:bottom w:val="single" w:sz="4" w:space="0" w:color="auto"/>
              <w:right w:val="nil"/>
            </w:tcBorders>
            <w:shd w:val="clear" w:color="auto" w:fill="auto"/>
            <w:noWrap/>
            <w:vAlign w:val="bottom"/>
            <w:hideMark/>
          </w:tcPr>
          <w:p w14:paraId="1117301C" w14:textId="77777777" w:rsidR="00BE6AB2" w:rsidRPr="00BE6AB2" w:rsidRDefault="00BE6AB2" w:rsidP="00BE6AB2">
            <w:pPr>
              <w:spacing w:after="0" w:line="240" w:lineRule="auto"/>
              <w:jc w:val="right"/>
              <w:rPr>
                <w:rFonts w:ascii="Arial" w:hAnsi="Arial" w:cs="Arial"/>
                <w:b/>
                <w:bCs/>
                <w:color w:val="000000"/>
                <w:sz w:val="16"/>
                <w:szCs w:val="16"/>
              </w:rPr>
            </w:pPr>
            <w:r w:rsidRPr="00BE6AB2">
              <w:rPr>
                <w:rFonts w:ascii="Arial" w:hAnsi="Arial" w:cs="Arial"/>
                <w:b/>
                <w:bCs/>
                <w:color w:val="000000"/>
                <w:sz w:val="16"/>
                <w:szCs w:val="16"/>
              </w:rPr>
              <w:t xml:space="preserve">500 </w:t>
            </w:r>
          </w:p>
        </w:tc>
        <w:tc>
          <w:tcPr>
            <w:tcW w:w="579" w:type="pct"/>
            <w:tcBorders>
              <w:top w:val="single" w:sz="4" w:space="0" w:color="000000"/>
              <w:left w:val="nil"/>
              <w:bottom w:val="single" w:sz="4" w:space="0" w:color="auto"/>
              <w:right w:val="nil"/>
            </w:tcBorders>
            <w:shd w:val="clear" w:color="auto" w:fill="auto"/>
            <w:noWrap/>
            <w:vAlign w:val="bottom"/>
            <w:hideMark/>
          </w:tcPr>
          <w:p w14:paraId="419D6071" w14:textId="77777777" w:rsidR="00BE6AB2" w:rsidRPr="00BE6AB2" w:rsidRDefault="00BE6AB2" w:rsidP="00BE6AB2">
            <w:pPr>
              <w:spacing w:after="0" w:line="240" w:lineRule="auto"/>
              <w:jc w:val="right"/>
              <w:rPr>
                <w:rFonts w:ascii="Arial" w:hAnsi="Arial" w:cs="Arial"/>
                <w:b/>
                <w:bCs/>
                <w:color w:val="000000"/>
                <w:sz w:val="16"/>
                <w:szCs w:val="16"/>
              </w:rPr>
            </w:pPr>
            <w:r w:rsidRPr="00BE6AB2">
              <w:rPr>
                <w:rFonts w:ascii="Arial" w:hAnsi="Arial" w:cs="Arial"/>
                <w:b/>
                <w:bCs/>
                <w:color w:val="000000"/>
                <w:sz w:val="16"/>
                <w:szCs w:val="16"/>
              </w:rPr>
              <w:t xml:space="preserve">500 </w:t>
            </w:r>
          </w:p>
        </w:tc>
        <w:tc>
          <w:tcPr>
            <w:tcW w:w="579" w:type="pct"/>
            <w:tcBorders>
              <w:top w:val="single" w:sz="4" w:space="0" w:color="000000"/>
              <w:left w:val="nil"/>
              <w:bottom w:val="single" w:sz="4" w:space="0" w:color="auto"/>
              <w:right w:val="nil"/>
            </w:tcBorders>
            <w:shd w:val="clear" w:color="auto" w:fill="auto"/>
            <w:noWrap/>
            <w:vAlign w:val="bottom"/>
            <w:hideMark/>
          </w:tcPr>
          <w:p w14:paraId="4D89975B" w14:textId="77777777" w:rsidR="00BE6AB2" w:rsidRPr="00BE6AB2" w:rsidRDefault="00BE6AB2" w:rsidP="00BE6AB2">
            <w:pPr>
              <w:spacing w:after="0" w:line="240" w:lineRule="auto"/>
              <w:jc w:val="right"/>
              <w:rPr>
                <w:rFonts w:ascii="Arial" w:hAnsi="Arial" w:cs="Arial"/>
                <w:b/>
                <w:bCs/>
                <w:color w:val="000000"/>
                <w:sz w:val="16"/>
                <w:szCs w:val="16"/>
              </w:rPr>
            </w:pPr>
            <w:r w:rsidRPr="00BE6AB2">
              <w:rPr>
                <w:rFonts w:ascii="Arial" w:hAnsi="Arial" w:cs="Arial"/>
                <w:b/>
                <w:bCs/>
                <w:color w:val="000000"/>
                <w:sz w:val="16"/>
                <w:szCs w:val="16"/>
              </w:rPr>
              <w:t xml:space="preserve">500 </w:t>
            </w:r>
          </w:p>
        </w:tc>
      </w:tr>
    </w:tbl>
    <w:p w14:paraId="789B3378" w14:textId="418D9FB4" w:rsidR="002E3F60" w:rsidRPr="005C7FBE" w:rsidRDefault="00BE6AB2" w:rsidP="005C7FBE">
      <w:pPr>
        <w:pStyle w:val="ChartandTableFootnote"/>
      </w:pPr>
      <w:r>
        <w:t>Prepared on Australian Accounting Standards basis.</w:t>
      </w:r>
    </w:p>
    <w:p w14:paraId="676FD75F" w14:textId="6AC781CE" w:rsidR="002E3F60" w:rsidRDefault="002E3F60" w:rsidP="002E3F60">
      <w:pPr>
        <w:spacing w:after="0" w:line="240" w:lineRule="auto"/>
        <w:rPr>
          <w:rFonts w:ascii="Arial" w:hAnsi="Arial" w:cs="Arial"/>
          <w:color w:val="000000"/>
          <w:sz w:val="16"/>
          <w:szCs w:val="16"/>
        </w:rPr>
      </w:pPr>
    </w:p>
    <w:p w14:paraId="2A131CA8" w14:textId="628EB3CB" w:rsidR="0061675B" w:rsidRDefault="0061675B" w:rsidP="0061675B">
      <w:pPr>
        <w:pStyle w:val="ExampleText0"/>
        <w:sectPr w:rsidR="0061675B" w:rsidSect="002E3F60">
          <w:headerReference w:type="even" r:id="rId21"/>
          <w:headerReference w:type="default" r:id="rId22"/>
          <w:footerReference w:type="even" r:id="rId23"/>
          <w:footerReference w:type="default" r:id="rId24"/>
          <w:headerReference w:type="first" r:id="rId25"/>
          <w:footerReference w:type="first" r:id="rId26"/>
          <w:pgSz w:w="11906" w:h="16838" w:code="9"/>
          <w:pgMar w:top="2466" w:right="2098" w:bottom="2466" w:left="2098" w:header="1899" w:footer="1899" w:gutter="0"/>
          <w:cols w:space="708"/>
          <w:titlePg/>
          <w:docGrid w:linePitch="360"/>
        </w:sectPr>
      </w:pPr>
    </w:p>
    <w:p w14:paraId="54155F4F" w14:textId="7945653B" w:rsidR="000C3B86" w:rsidRPr="00ED5CA4" w:rsidRDefault="000C3B86" w:rsidP="00353D74">
      <w:pPr>
        <w:spacing w:after="0" w:line="240" w:lineRule="auto"/>
        <w:rPr>
          <w:b/>
          <w:bCs/>
          <w:color w:val="FF0000"/>
          <w:sz w:val="72"/>
          <w:szCs w:val="72"/>
        </w:rPr>
      </w:pPr>
    </w:p>
    <w:sectPr w:rsidR="000C3B86" w:rsidRPr="00ED5CA4" w:rsidSect="002E3F60">
      <w:headerReference w:type="even" r:id="rId27"/>
      <w:headerReference w:type="default" r:id="rId28"/>
      <w:headerReference w:type="first" r:id="rId29"/>
      <w:footerReference w:type="first" r:id="rId30"/>
      <w:type w:val="oddPage"/>
      <w:pgSz w:w="11906" w:h="16838"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B906A" w14:textId="77777777" w:rsidR="00353D74" w:rsidRDefault="00353D74" w:rsidP="00C07DEC">
      <w:r>
        <w:separator/>
      </w:r>
    </w:p>
  </w:endnote>
  <w:endnote w:type="continuationSeparator" w:id="0">
    <w:p w14:paraId="671327C1" w14:textId="77777777" w:rsidR="00353D74" w:rsidRDefault="00353D74"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8091418"/>
      <w:docPartObj>
        <w:docPartGallery w:val="Page Numbers (Bottom of Page)"/>
        <w:docPartUnique/>
      </w:docPartObj>
    </w:sdtPr>
    <w:sdtEndPr>
      <w:rPr>
        <w:noProof/>
      </w:rPr>
    </w:sdtEndPr>
    <w:sdtContent>
      <w:p w14:paraId="623836BD" w14:textId="75744347" w:rsidR="00353D74" w:rsidRDefault="00353D74" w:rsidP="00353D74">
        <w:pPr>
          <w:pStyle w:val="Footer"/>
        </w:pPr>
        <w:r>
          <w:fldChar w:fldCharType="begin"/>
        </w:r>
        <w:r>
          <w:instrText xml:space="preserve"> PAGE   \* MERGEFORMAT </w:instrText>
        </w:r>
        <w:r>
          <w:fldChar w:fldCharType="separate"/>
        </w:r>
        <w:r w:rsidR="00711A46">
          <w:rPr>
            <w:noProof/>
          </w:rPr>
          <w:t>86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7889490"/>
      <w:docPartObj>
        <w:docPartGallery w:val="Page Numbers (Bottom of Page)"/>
        <w:docPartUnique/>
      </w:docPartObj>
    </w:sdtPr>
    <w:sdtEndPr>
      <w:rPr>
        <w:noProof/>
      </w:rPr>
    </w:sdtEndPr>
    <w:sdtContent>
      <w:p w14:paraId="0296C8E2" w14:textId="7FFA1789" w:rsidR="00353D74" w:rsidRDefault="00353D74" w:rsidP="00353D74">
        <w:pPr>
          <w:pStyle w:val="Footer"/>
        </w:pPr>
        <w:r>
          <w:fldChar w:fldCharType="begin"/>
        </w:r>
        <w:r>
          <w:instrText xml:space="preserve"> PAGE   \* MERGEFORMAT </w:instrText>
        </w:r>
        <w:r>
          <w:fldChar w:fldCharType="separate"/>
        </w:r>
        <w:r w:rsidR="00711A46">
          <w:rPr>
            <w:noProof/>
          </w:rPr>
          <w:t>87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5110570"/>
      <w:docPartObj>
        <w:docPartGallery w:val="Page Numbers (Bottom of Page)"/>
        <w:docPartUnique/>
      </w:docPartObj>
    </w:sdtPr>
    <w:sdtEndPr>
      <w:rPr>
        <w:noProof/>
      </w:rPr>
    </w:sdtEndPr>
    <w:sdtContent>
      <w:p w14:paraId="1BEDAD6F" w14:textId="16C0D8B9" w:rsidR="00353D74" w:rsidRDefault="00353D74" w:rsidP="00353D74">
        <w:pPr>
          <w:pStyle w:val="Footer"/>
        </w:pPr>
        <w:r>
          <w:fldChar w:fldCharType="begin"/>
        </w:r>
        <w:r>
          <w:instrText xml:space="preserve"> PAGE   \* MERGEFORMAT </w:instrText>
        </w:r>
        <w:r>
          <w:fldChar w:fldCharType="separate"/>
        </w:r>
        <w:r w:rsidR="00711A46">
          <w:rPr>
            <w:noProof/>
          </w:rPr>
          <w:t>79</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B253D" w14:textId="712C99C7" w:rsidR="00353D74" w:rsidRDefault="00353D74" w:rsidP="001808A4">
    <w:pPr>
      <w:pStyle w:val="Footer"/>
      <w:rPr>
        <w:noProof/>
      </w:rPr>
    </w:pPr>
    <w:r>
      <w:fldChar w:fldCharType="begin"/>
    </w:r>
    <w:r>
      <w:instrText xml:space="preserve"> PAGE   \* MERGEFORMAT </w:instrText>
    </w:r>
    <w:r>
      <w:fldChar w:fldCharType="separate"/>
    </w:r>
    <w:r w:rsidR="00711A46">
      <w:rPr>
        <w:noProof/>
      </w:rPr>
      <w:t>81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6A381" w14:textId="22E4D1A9" w:rsidR="00353D74" w:rsidRPr="00C97362" w:rsidRDefault="00353D74" w:rsidP="00C97362">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sidR="00711A46">
      <w:rPr>
        <w:rStyle w:val="PageNumber"/>
        <w:noProof/>
      </w:rPr>
      <w:t>100</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A2E5B" w14:textId="5FDCDEAD" w:rsidR="00353D74" w:rsidRPr="00EC1F39" w:rsidRDefault="00353D74" w:rsidP="00EC1F39">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sidR="00711A46">
      <w:rPr>
        <w:rStyle w:val="PageNumber"/>
        <w:noProof/>
      </w:rPr>
      <w:t>101</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FAB05" w14:textId="73314020" w:rsidR="00353D74" w:rsidRPr="00C97362" w:rsidRDefault="00353D74" w:rsidP="00845E77">
    <w:pPr>
      <w:pStyle w:val="Footer"/>
      <w:rPr>
        <w:rStyle w:val="PageNumber"/>
        <w:rFonts w:cs="Times New Roman"/>
      </w:rPr>
    </w:pPr>
    <w:r>
      <w:rPr>
        <w:rStyle w:val="PageNumber"/>
      </w:rPr>
      <w:fldChar w:fldCharType="begin"/>
    </w:r>
    <w:r>
      <w:rPr>
        <w:rStyle w:val="PageNumber"/>
      </w:rPr>
      <w:instrText xml:space="preserve"> PAGE  \* Arabic </w:instrText>
    </w:r>
    <w:r>
      <w:rPr>
        <w:rStyle w:val="PageNumber"/>
      </w:rPr>
      <w:fldChar w:fldCharType="separate"/>
    </w:r>
    <w:r w:rsidR="00711A46">
      <w:rPr>
        <w:rStyle w:val="PageNumber"/>
        <w:noProof/>
      </w:rPr>
      <w:t>88</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DEC07" w14:textId="3A788A52" w:rsidR="00353D74" w:rsidRPr="00C97362" w:rsidRDefault="00353D74" w:rsidP="00C97362">
    <w:pPr>
      <w:pStyle w:val="Footer"/>
      <w:rPr>
        <w:rFonts w:cs="Arial"/>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27DC4" w14:textId="77777777" w:rsidR="00353D74" w:rsidRDefault="00353D74" w:rsidP="00C07DEC">
      <w:r>
        <w:separator/>
      </w:r>
    </w:p>
  </w:footnote>
  <w:footnote w:type="continuationSeparator" w:id="0">
    <w:p w14:paraId="65D7846B" w14:textId="77777777" w:rsidR="00353D74" w:rsidRDefault="00353D74"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F856D" w14:textId="65D4D71B" w:rsidR="00353D74" w:rsidRPr="00F00984" w:rsidRDefault="00353D74" w:rsidP="00A02E16">
    <w:pPr>
      <w:pStyle w:val="HeaderEven"/>
    </w:pPr>
    <w:r>
      <w:t>Australian Competition and Consumer Commission</w:t>
    </w:r>
    <w:r w:rsidRPr="00F00984">
      <w:t xml:space="preserve"> Budget Statements</w:t>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87170" w14:textId="314D0CF0" w:rsidR="00353D74" w:rsidRDefault="00353D74" w:rsidP="00A02E16">
    <w:pPr>
      <w:pStyle w:val="HeaderOdd"/>
    </w:pPr>
    <w:r>
      <w:t>Australian Competition and Consumer Commission</w:t>
    </w:r>
    <w:r w:rsidRPr="00F00984">
      <w:t xml:space="preserve"> Budget Statements</w:t>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EDBC6" w14:textId="2845EE85" w:rsidR="00353D74" w:rsidRPr="00B4084B" w:rsidRDefault="00353D74" w:rsidP="0049200C">
    <w:pPr>
      <w:pStyle w:val="HeaderOd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4CC13" w14:textId="74BCBD3A" w:rsidR="00353D74" w:rsidRPr="000304FC" w:rsidRDefault="00353D74" w:rsidP="00A02E16">
    <w:pPr>
      <w:pStyle w:val="HeaderEven"/>
    </w:pPr>
    <w:r>
      <w:t>Australian Competition and Consumer Commission</w:t>
    </w:r>
    <w:r w:rsidRPr="00F00984">
      <w:t xml:space="preserve"> Budget Statements</w:t>
    </w:r>
    <w:r w:rsidR="00776410" w:rsidRPr="000304FC">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257A4" w14:textId="73F61CC4" w:rsidR="00353D74" w:rsidRPr="000304FC" w:rsidRDefault="00353D74" w:rsidP="00A02E16">
    <w:pPr>
      <w:pStyle w:val="HeaderOdd"/>
    </w:pPr>
    <w:r>
      <w:t>Australian Competition and Consumer Commission</w:t>
    </w:r>
    <w:r w:rsidRPr="00F00984">
      <w:t xml:space="preserve"> Budget Statements</w:t>
    </w:r>
    <w:r>
      <w:rPr>
        <w:noProof/>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6EFC3" w14:textId="62E5502B" w:rsidR="00353D74" w:rsidRPr="000304FC" w:rsidRDefault="00353D74" w:rsidP="00A02E16">
    <w:pPr>
      <w:pStyle w:val="HeaderEven"/>
    </w:pPr>
    <w:r>
      <w:t>Australian Competition and Consumer Commission</w:t>
    </w:r>
    <w:r w:rsidRPr="00F00984">
      <w:t xml:space="preserve"> Budget Statement</w:t>
    </w:r>
    <w:r>
      <w:t>s</w:t>
    </w:r>
    <w:r w:rsidR="00776410" w:rsidRPr="000304FC">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D39FF" w14:textId="1FA97651" w:rsidR="00353D74" w:rsidRDefault="00353D74" w:rsidP="004461A4">
    <w:pPr>
      <w:pStyle w:val="SecurityClassificationHeader"/>
    </w:pPr>
    <w:r>
      <w:fldChar w:fldCharType="begin"/>
    </w:r>
    <w:r>
      <w:instrText xml:space="preserve"> DOCPROPERTY SecurityClassification \* MERGEFORMAT </w:instrText>
    </w:r>
    <w:r>
      <w:fldChar w:fldCharType="separate"/>
    </w:r>
    <w:r w:rsidR="00776410">
      <w:rPr>
        <w:b w:val="0"/>
        <w:bCs/>
        <w:lang w:val="en-US"/>
      </w:rPr>
      <w:t>Error! Unknown document property name.</w:t>
    </w:r>
    <w:r>
      <w:fldChar w:fldCharType="end"/>
    </w:r>
  </w:p>
  <w:p w14:paraId="3516E70B" w14:textId="77777777" w:rsidR="00353D74" w:rsidRDefault="00353D74" w:rsidP="004461A4">
    <w:pPr>
      <w:pStyle w:val="SecurityClassificationHeader"/>
    </w:pPr>
  </w:p>
  <w:p w14:paraId="4AAA7121" w14:textId="77777777" w:rsidR="00353D74" w:rsidRDefault="00353D74" w:rsidP="00361259">
    <w:pPr>
      <w:pStyle w:val="HeaderEven"/>
    </w:pPr>
    <w:r>
      <w:t>Index</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72BB6" w14:textId="419989E9" w:rsidR="00353D74" w:rsidRDefault="00353D74" w:rsidP="004461A4">
    <w:pPr>
      <w:pStyle w:val="SecurityClassificationHeader"/>
    </w:pPr>
    <w:r>
      <w:fldChar w:fldCharType="begin"/>
    </w:r>
    <w:r>
      <w:instrText xml:space="preserve"> DOCPROPERTY SecurityClassification \* MERGEFORMAT </w:instrText>
    </w:r>
    <w:r>
      <w:fldChar w:fldCharType="separate"/>
    </w:r>
    <w:r w:rsidR="00776410">
      <w:rPr>
        <w:b w:val="0"/>
        <w:bCs/>
        <w:lang w:val="en-US"/>
      </w:rPr>
      <w:t>Error! Unknown document property name.</w:t>
    </w:r>
    <w:r>
      <w:fldChar w:fldCharType="end"/>
    </w:r>
  </w:p>
  <w:p w14:paraId="1A64D2D1" w14:textId="32786979" w:rsidR="00353D74" w:rsidRDefault="00353D74" w:rsidP="004461A4">
    <w:pPr>
      <w:pStyle w:val="DLMSecurityHeader"/>
    </w:pPr>
    <w:r>
      <w:fldChar w:fldCharType="begin"/>
    </w:r>
    <w:r>
      <w:instrText xml:space="preserve"> DOCPROPERTY DLMSecurityClassification \* MERGEFORMAT </w:instrText>
    </w:r>
    <w:r>
      <w:fldChar w:fldCharType="separate"/>
    </w:r>
    <w:r w:rsidR="00776410">
      <w:rPr>
        <w:b w:val="0"/>
        <w:bCs/>
        <w:lang w:val="en-US"/>
      </w:rPr>
      <w:t>Error! Unknown document property name.</w:t>
    </w:r>
    <w:r>
      <w:fldChar w:fldCharType="end"/>
    </w:r>
  </w:p>
  <w:p w14:paraId="28F84C68" w14:textId="77777777" w:rsidR="00353D74" w:rsidRDefault="00353D74" w:rsidP="00361259">
    <w:pPr>
      <w:pStyle w:val="HeaderOdd"/>
    </w:pPr>
    <w:r>
      <w:t>Index</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2641E" w14:textId="16748B73" w:rsidR="00353D74" w:rsidRPr="00970E65" w:rsidRDefault="00353D74" w:rsidP="004461A4">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AA02F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657ED5"/>
    <w:multiLevelType w:val="hybridMultilevel"/>
    <w:tmpl w:val="8DFA5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E93111"/>
    <w:multiLevelType w:val="hybridMultilevel"/>
    <w:tmpl w:val="0B4498F6"/>
    <w:lvl w:ilvl="0" w:tplc="EDD8F874">
      <w:numFmt w:val="bullet"/>
      <w:lvlText w:val="•"/>
      <w:lvlJc w:val="left"/>
      <w:pPr>
        <w:ind w:left="570" w:hanging="57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4"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5" w15:restartNumberingAfterBreak="0">
    <w:nsid w:val="17E14A20"/>
    <w:multiLevelType w:val="hybridMultilevel"/>
    <w:tmpl w:val="C41630F4"/>
    <w:lvl w:ilvl="0" w:tplc="B1743AC4">
      <w:start w:val="1"/>
      <w:numFmt w:val="lowerLetter"/>
      <w:lvlText w:val="(%1)"/>
      <w:lvlJc w:val="left"/>
      <w:pPr>
        <w:ind w:left="360" w:hanging="360"/>
      </w:pPr>
      <w:rPr>
        <w:rFonts w:ascii="Arial" w:hAnsi="Arial" w:cs="Arial" w:hint="default"/>
        <w:b w:val="0"/>
        <w:i w:val="0"/>
        <w:color w:val="000000"/>
        <w:sz w:val="16"/>
      </w:rPr>
    </w:lvl>
    <w:lvl w:ilvl="1" w:tplc="0C090019">
      <w:start w:val="1"/>
      <w:numFmt w:val="lowerLetter"/>
      <w:lvlText w:val="%2."/>
      <w:lvlJc w:val="left"/>
      <w:pPr>
        <w:ind w:left="1080" w:hanging="360"/>
      </w:pPr>
    </w:lvl>
    <w:lvl w:ilvl="2" w:tplc="B1743AC4">
      <w:start w:val="1"/>
      <w:numFmt w:val="lowerLetter"/>
      <w:lvlText w:val="(%3)"/>
      <w:lvlJc w:val="left"/>
      <w:pPr>
        <w:ind w:left="1800" w:hanging="180"/>
      </w:pPr>
      <w:rPr>
        <w:rFonts w:ascii="Arial" w:hAnsi="Arial" w:cs="Arial" w:hint="default"/>
        <w:b w:val="0"/>
        <w:i w:val="0"/>
        <w:color w:val="000000"/>
        <w:sz w:val="16"/>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88A2803"/>
    <w:multiLevelType w:val="hybridMultilevel"/>
    <w:tmpl w:val="2CBCB504"/>
    <w:lvl w:ilvl="0" w:tplc="0C09000F">
      <w:start w:val="1"/>
      <w:numFmt w:val="decimal"/>
      <w:lvlText w:val="%1."/>
      <w:lvlJc w:val="left"/>
      <w:pPr>
        <w:ind w:left="567" w:hanging="227"/>
      </w:pPr>
      <w:rPr>
        <w:rFonts w:hint="default"/>
      </w:rPr>
    </w:lvl>
    <w:lvl w:ilvl="1" w:tplc="0C090003">
      <w:start w:val="1"/>
      <w:numFmt w:val="bullet"/>
      <w:lvlText w:val="o"/>
      <w:lvlJc w:val="left"/>
      <w:pPr>
        <w:ind w:left="1080" w:hanging="360"/>
      </w:pPr>
      <w:rPr>
        <w:rFonts w:ascii="Courier New" w:hAnsi="Courier New" w:cs="Courier New" w:hint="default"/>
      </w:rPr>
    </w:lvl>
    <w:lvl w:ilvl="2" w:tplc="074C3490">
      <w:start w:val="1"/>
      <w:numFmt w:val="lowerLetter"/>
      <w:lvlText w:val="(%3)"/>
      <w:lvlJc w:val="left"/>
      <w:pPr>
        <w:ind w:left="2010" w:hanging="570"/>
      </w:pPr>
      <w:rPr>
        <w:rFonts w:hint="default"/>
        <w:i w:val="0"/>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8"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9" w15:restartNumberingAfterBreak="0">
    <w:nsid w:val="35A701B2"/>
    <w:multiLevelType w:val="hybridMultilevel"/>
    <w:tmpl w:val="9702B232"/>
    <w:lvl w:ilvl="0" w:tplc="B1743AC4">
      <w:start w:val="1"/>
      <w:numFmt w:val="lowerLetter"/>
      <w:lvlText w:val="(%1)"/>
      <w:lvlJc w:val="left"/>
      <w:pPr>
        <w:ind w:left="360" w:hanging="360"/>
      </w:pPr>
      <w:rPr>
        <w:rFonts w:ascii="Arial" w:hAnsi="Arial" w:cs="Arial"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12" w15:restartNumberingAfterBreak="0">
    <w:nsid w:val="3EA756DF"/>
    <w:multiLevelType w:val="hybridMultilevel"/>
    <w:tmpl w:val="F4261766"/>
    <w:lvl w:ilvl="0" w:tplc="B1743AC4">
      <w:start w:val="1"/>
      <w:numFmt w:val="lowerLetter"/>
      <w:lvlText w:val="(%1)"/>
      <w:lvlJc w:val="left"/>
      <w:pPr>
        <w:ind w:left="360" w:hanging="360"/>
      </w:pPr>
      <w:rPr>
        <w:rFonts w:ascii="Arial" w:hAnsi="Arial" w:cs="Arial"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4" w15:restartNumberingAfterBreak="0">
    <w:nsid w:val="51725557"/>
    <w:multiLevelType w:val="hybridMultilevel"/>
    <w:tmpl w:val="77DE0EA6"/>
    <w:lvl w:ilvl="0" w:tplc="B1743AC4">
      <w:start w:val="1"/>
      <w:numFmt w:val="lowerLetter"/>
      <w:lvlText w:val="(%1)"/>
      <w:lvlJc w:val="left"/>
      <w:pPr>
        <w:ind w:left="360" w:hanging="360"/>
      </w:pPr>
      <w:rPr>
        <w:rFonts w:ascii="Arial" w:hAnsi="Arial" w:cs="Arial"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6" w15:restartNumberingAfterBreak="0">
    <w:nsid w:val="66CD0EFD"/>
    <w:multiLevelType w:val="hybridMultilevel"/>
    <w:tmpl w:val="40741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15:restartNumberingAfterBreak="0">
    <w:nsid w:val="6F7A5D58"/>
    <w:multiLevelType w:val="hybridMultilevel"/>
    <w:tmpl w:val="A3F8FC74"/>
    <w:lvl w:ilvl="0" w:tplc="465E09F2">
      <w:start w:val="1"/>
      <w:numFmt w:val="bullet"/>
      <w:lvlText w:val=""/>
      <w:lvlJc w:val="left"/>
      <w:pPr>
        <w:ind w:left="227" w:hanging="227"/>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2AC7C42"/>
    <w:multiLevelType w:val="hybridMultilevel"/>
    <w:tmpl w:val="97C00EE8"/>
    <w:lvl w:ilvl="0" w:tplc="B1743AC4">
      <w:start w:val="1"/>
      <w:numFmt w:val="lowerLetter"/>
      <w:lvlText w:val="(%1)"/>
      <w:lvlJc w:val="left"/>
      <w:pPr>
        <w:ind w:left="720" w:hanging="360"/>
      </w:pPr>
      <w:rPr>
        <w:rFonts w:ascii="Arial" w:hAnsi="Arial" w:cs="Arial" w:hint="default"/>
        <w:b w:val="0"/>
        <w:i w:val="0"/>
        <w:color w:val="000000"/>
        <w:sz w:val="16"/>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1"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3"/>
  </w:num>
  <w:num w:numId="3">
    <w:abstractNumId w:val="17"/>
  </w:num>
  <w:num w:numId="4">
    <w:abstractNumId w:val="11"/>
  </w:num>
  <w:num w:numId="5">
    <w:abstractNumId w:val="20"/>
  </w:num>
  <w:num w:numId="6">
    <w:abstractNumId w:val="8"/>
  </w:num>
  <w:num w:numId="7">
    <w:abstractNumId w:val="15"/>
  </w:num>
  <w:num w:numId="8">
    <w:abstractNumId w:val="11"/>
    <w:lvlOverride w:ilvl="0">
      <w:startOverride w:val="1"/>
    </w:lvlOverride>
  </w:num>
  <w:num w:numId="9">
    <w:abstractNumId w:val="11"/>
    <w:lvlOverride w:ilvl="0">
      <w:startOverride w:val="1"/>
    </w:lvlOverride>
  </w:num>
  <w:num w:numId="10">
    <w:abstractNumId w:val="11"/>
    <w:lvlOverride w:ilvl="0">
      <w:startOverride w:val="1"/>
    </w:lvlOverride>
  </w:num>
  <w:num w:numId="11">
    <w:abstractNumId w:val="0"/>
  </w:num>
  <w:num w:numId="12">
    <w:abstractNumId w:val="7"/>
  </w:num>
  <w:num w:numId="13">
    <w:abstractNumId w:val="11"/>
    <w:lvlOverride w:ilvl="0">
      <w:startOverride w:val="1"/>
    </w:lvlOverride>
  </w:num>
  <w:num w:numId="14">
    <w:abstractNumId w:val="2"/>
  </w:num>
  <w:num w:numId="15">
    <w:abstractNumId w:val="21"/>
  </w:num>
  <w:num w:numId="16">
    <w:abstractNumId w:val="16"/>
  </w:num>
  <w:num w:numId="17">
    <w:abstractNumId w:val="1"/>
  </w:num>
  <w:num w:numId="18">
    <w:abstractNumId w:val="18"/>
  </w:num>
  <w:num w:numId="19">
    <w:abstractNumId w:val="6"/>
  </w:num>
  <w:num w:numId="20">
    <w:abstractNumId w:val="10"/>
  </w:num>
  <w:num w:numId="21">
    <w:abstractNumId w:val="14"/>
  </w:num>
  <w:num w:numId="22">
    <w:abstractNumId w:val="19"/>
  </w:num>
  <w:num w:numId="23">
    <w:abstractNumId w:val="5"/>
  </w:num>
  <w:num w:numId="24">
    <w:abstractNumId w:val="9"/>
  </w:num>
  <w:num w:numId="25">
    <w:abstractNumId w:val="12"/>
  </w:num>
  <w:num w:numId="26">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358C"/>
    <w:rsid w:val="00003AC4"/>
    <w:rsid w:val="00003CA0"/>
    <w:rsid w:val="00003FFA"/>
    <w:rsid w:val="00006AE4"/>
    <w:rsid w:val="0000711B"/>
    <w:rsid w:val="00010AC6"/>
    <w:rsid w:val="0001294C"/>
    <w:rsid w:val="00012BB0"/>
    <w:rsid w:val="00013D25"/>
    <w:rsid w:val="0001438C"/>
    <w:rsid w:val="0001615A"/>
    <w:rsid w:val="00016D95"/>
    <w:rsid w:val="00017619"/>
    <w:rsid w:val="00017840"/>
    <w:rsid w:val="00020573"/>
    <w:rsid w:val="000216BF"/>
    <w:rsid w:val="00021DA6"/>
    <w:rsid w:val="000220B0"/>
    <w:rsid w:val="00023CED"/>
    <w:rsid w:val="00025CB2"/>
    <w:rsid w:val="00026189"/>
    <w:rsid w:val="00027737"/>
    <w:rsid w:val="000300D7"/>
    <w:rsid w:val="000304FC"/>
    <w:rsid w:val="00030FDA"/>
    <w:rsid w:val="0003384E"/>
    <w:rsid w:val="00034C41"/>
    <w:rsid w:val="0003503B"/>
    <w:rsid w:val="00035198"/>
    <w:rsid w:val="00036095"/>
    <w:rsid w:val="000364F3"/>
    <w:rsid w:val="000366AE"/>
    <w:rsid w:val="000369AC"/>
    <w:rsid w:val="0003724F"/>
    <w:rsid w:val="00037BA1"/>
    <w:rsid w:val="000413D4"/>
    <w:rsid w:val="00042FDD"/>
    <w:rsid w:val="00044CF1"/>
    <w:rsid w:val="0004509D"/>
    <w:rsid w:val="00045667"/>
    <w:rsid w:val="00054A04"/>
    <w:rsid w:val="00054CC3"/>
    <w:rsid w:val="0005600E"/>
    <w:rsid w:val="00056260"/>
    <w:rsid w:val="0005722F"/>
    <w:rsid w:val="000606CB"/>
    <w:rsid w:val="00060890"/>
    <w:rsid w:val="00061415"/>
    <w:rsid w:val="0006199A"/>
    <w:rsid w:val="00061FD8"/>
    <w:rsid w:val="00063C44"/>
    <w:rsid w:val="00063CE1"/>
    <w:rsid w:val="000641DA"/>
    <w:rsid w:val="00065053"/>
    <w:rsid w:val="000654D8"/>
    <w:rsid w:val="000655E4"/>
    <w:rsid w:val="000656AD"/>
    <w:rsid w:val="00065C71"/>
    <w:rsid w:val="00066BBA"/>
    <w:rsid w:val="000671B7"/>
    <w:rsid w:val="00067B6F"/>
    <w:rsid w:val="00067E1D"/>
    <w:rsid w:val="0007064C"/>
    <w:rsid w:val="000712EE"/>
    <w:rsid w:val="000725C0"/>
    <w:rsid w:val="00074CE6"/>
    <w:rsid w:val="000768A5"/>
    <w:rsid w:val="00077277"/>
    <w:rsid w:val="0007743A"/>
    <w:rsid w:val="00080069"/>
    <w:rsid w:val="00080125"/>
    <w:rsid w:val="00080F4F"/>
    <w:rsid w:val="00082159"/>
    <w:rsid w:val="0008449F"/>
    <w:rsid w:val="000846ED"/>
    <w:rsid w:val="00090681"/>
    <w:rsid w:val="000924A7"/>
    <w:rsid w:val="000928E0"/>
    <w:rsid w:val="00093D79"/>
    <w:rsid w:val="00094B28"/>
    <w:rsid w:val="00094B9A"/>
    <w:rsid w:val="00096568"/>
    <w:rsid w:val="00096DEE"/>
    <w:rsid w:val="00097063"/>
    <w:rsid w:val="00097336"/>
    <w:rsid w:val="000975DA"/>
    <w:rsid w:val="000A1920"/>
    <w:rsid w:val="000A1A89"/>
    <w:rsid w:val="000A1C91"/>
    <w:rsid w:val="000A24C4"/>
    <w:rsid w:val="000A345B"/>
    <w:rsid w:val="000A372A"/>
    <w:rsid w:val="000A395D"/>
    <w:rsid w:val="000A532C"/>
    <w:rsid w:val="000A56A5"/>
    <w:rsid w:val="000A5C86"/>
    <w:rsid w:val="000A6897"/>
    <w:rsid w:val="000A6DBE"/>
    <w:rsid w:val="000A7E1F"/>
    <w:rsid w:val="000B1FC4"/>
    <w:rsid w:val="000B21D6"/>
    <w:rsid w:val="000B2404"/>
    <w:rsid w:val="000B36D8"/>
    <w:rsid w:val="000B3B7D"/>
    <w:rsid w:val="000B6E38"/>
    <w:rsid w:val="000C056F"/>
    <w:rsid w:val="000C1442"/>
    <w:rsid w:val="000C1928"/>
    <w:rsid w:val="000C19B3"/>
    <w:rsid w:val="000C19EF"/>
    <w:rsid w:val="000C2D7D"/>
    <w:rsid w:val="000C3B86"/>
    <w:rsid w:val="000C4A46"/>
    <w:rsid w:val="000C55A6"/>
    <w:rsid w:val="000C6A39"/>
    <w:rsid w:val="000C6FB8"/>
    <w:rsid w:val="000D0547"/>
    <w:rsid w:val="000D13E5"/>
    <w:rsid w:val="000D28EB"/>
    <w:rsid w:val="000D308C"/>
    <w:rsid w:val="000D4262"/>
    <w:rsid w:val="000D43DE"/>
    <w:rsid w:val="000D55B5"/>
    <w:rsid w:val="000D58A1"/>
    <w:rsid w:val="000D7E54"/>
    <w:rsid w:val="000E04C6"/>
    <w:rsid w:val="000E0A5A"/>
    <w:rsid w:val="000E0A85"/>
    <w:rsid w:val="000E2F5F"/>
    <w:rsid w:val="000E68E3"/>
    <w:rsid w:val="000E6DDB"/>
    <w:rsid w:val="000E74A6"/>
    <w:rsid w:val="000F03B1"/>
    <w:rsid w:val="000F08AE"/>
    <w:rsid w:val="000F1AAB"/>
    <w:rsid w:val="000F2D33"/>
    <w:rsid w:val="000F3F9F"/>
    <w:rsid w:val="000F43F4"/>
    <w:rsid w:val="000F440E"/>
    <w:rsid w:val="000F6647"/>
    <w:rsid w:val="000F73B7"/>
    <w:rsid w:val="000F794F"/>
    <w:rsid w:val="000F7E7B"/>
    <w:rsid w:val="001002F8"/>
    <w:rsid w:val="00102654"/>
    <w:rsid w:val="001028CC"/>
    <w:rsid w:val="001045F9"/>
    <w:rsid w:val="0010472B"/>
    <w:rsid w:val="00104F95"/>
    <w:rsid w:val="0010657F"/>
    <w:rsid w:val="00111159"/>
    <w:rsid w:val="00111EE1"/>
    <w:rsid w:val="00112D0F"/>
    <w:rsid w:val="001133E0"/>
    <w:rsid w:val="00115DE5"/>
    <w:rsid w:val="001163D6"/>
    <w:rsid w:val="0011726A"/>
    <w:rsid w:val="0012022D"/>
    <w:rsid w:val="00120B5E"/>
    <w:rsid w:val="0012108F"/>
    <w:rsid w:val="00121EB0"/>
    <w:rsid w:val="0012228D"/>
    <w:rsid w:val="00123218"/>
    <w:rsid w:val="001237BA"/>
    <w:rsid w:val="00123925"/>
    <w:rsid w:val="00126641"/>
    <w:rsid w:val="00126954"/>
    <w:rsid w:val="00131AE3"/>
    <w:rsid w:val="00132F9E"/>
    <w:rsid w:val="00133D3A"/>
    <w:rsid w:val="001352EE"/>
    <w:rsid w:val="00135505"/>
    <w:rsid w:val="001364A7"/>
    <w:rsid w:val="00136827"/>
    <w:rsid w:val="001375D4"/>
    <w:rsid w:val="00143750"/>
    <w:rsid w:val="00143E88"/>
    <w:rsid w:val="001455D8"/>
    <w:rsid w:val="00146B5E"/>
    <w:rsid w:val="0014790A"/>
    <w:rsid w:val="00150E70"/>
    <w:rsid w:val="00151609"/>
    <w:rsid w:val="00151ABB"/>
    <w:rsid w:val="00152B2B"/>
    <w:rsid w:val="00153EDD"/>
    <w:rsid w:val="00154447"/>
    <w:rsid w:val="001549BE"/>
    <w:rsid w:val="00154CDE"/>
    <w:rsid w:val="00154DC7"/>
    <w:rsid w:val="00154F5B"/>
    <w:rsid w:val="00161DAC"/>
    <w:rsid w:val="00162B55"/>
    <w:rsid w:val="00162D8B"/>
    <w:rsid w:val="00163101"/>
    <w:rsid w:val="001638E9"/>
    <w:rsid w:val="00165824"/>
    <w:rsid w:val="00165ADE"/>
    <w:rsid w:val="001666EA"/>
    <w:rsid w:val="00167406"/>
    <w:rsid w:val="0017111A"/>
    <w:rsid w:val="00171A85"/>
    <w:rsid w:val="00173F5C"/>
    <w:rsid w:val="00174186"/>
    <w:rsid w:val="00174565"/>
    <w:rsid w:val="00174EC9"/>
    <w:rsid w:val="00175BB3"/>
    <w:rsid w:val="00177A9A"/>
    <w:rsid w:val="001808A4"/>
    <w:rsid w:val="00180FF3"/>
    <w:rsid w:val="001815A5"/>
    <w:rsid w:val="00181F30"/>
    <w:rsid w:val="00182740"/>
    <w:rsid w:val="00184071"/>
    <w:rsid w:val="001852C5"/>
    <w:rsid w:val="00185A3B"/>
    <w:rsid w:val="00186850"/>
    <w:rsid w:val="00186AFD"/>
    <w:rsid w:val="001904A5"/>
    <w:rsid w:val="001923C8"/>
    <w:rsid w:val="001939FF"/>
    <w:rsid w:val="00194DE8"/>
    <w:rsid w:val="00197990"/>
    <w:rsid w:val="001A0106"/>
    <w:rsid w:val="001A02CB"/>
    <w:rsid w:val="001A02FD"/>
    <w:rsid w:val="001A0F41"/>
    <w:rsid w:val="001A11DB"/>
    <w:rsid w:val="001A33F4"/>
    <w:rsid w:val="001A53AE"/>
    <w:rsid w:val="001A6256"/>
    <w:rsid w:val="001A6F29"/>
    <w:rsid w:val="001A789B"/>
    <w:rsid w:val="001B03CC"/>
    <w:rsid w:val="001B0C75"/>
    <w:rsid w:val="001B2010"/>
    <w:rsid w:val="001B2A29"/>
    <w:rsid w:val="001B2DEE"/>
    <w:rsid w:val="001B368E"/>
    <w:rsid w:val="001B44C2"/>
    <w:rsid w:val="001B4EC1"/>
    <w:rsid w:val="001B659F"/>
    <w:rsid w:val="001B7399"/>
    <w:rsid w:val="001B7655"/>
    <w:rsid w:val="001B7BAD"/>
    <w:rsid w:val="001B7F09"/>
    <w:rsid w:val="001C1166"/>
    <w:rsid w:val="001C261E"/>
    <w:rsid w:val="001C3AC7"/>
    <w:rsid w:val="001C42D0"/>
    <w:rsid w:val="001C7B78"/>
    <w:rsid w:val="001C7FB4"/>
    <w:rsid w:val="001D057F"/>
    <w:rsid w:val="001D0A25"/>
    <w:rsid w:val="001D0BA6"/>
    <w:rsid w:val="001D1354"/>
    <w:rsid w:val="001D1903"/>
    <w:rsid w:val="001D1942"/>
    <w:rsid w:val="001D1D2A"/>
    <w:rsid w:val="001D1DDB"/>
    <w:rsid w:val="001D53EA"/>
    <w:rsid w:val="001D6F7C"/>
    <w:rsid w:val="001E0156"/>
    <w:rsid w:val="001E12A5"/>
    <w:rsid w:val="001E1BF9"/>
    <w:rsid w:val="001E1EDB"/>
    <w:rsid w:val="001E3A18"/>
    <w:rsid w:val="001E7093"/>
    <w:rsid w:val="001E717D"/>
    <w:rsid w:val="001E71F5"/>
    <w:rsid w:val="001E7D86"/>
    <w:rsid w:val="001F377B"/>
    <w:rsid w:val="001F3CF9"/>
    <w:rsid w:val="001F55E5"/>
    <w:rsid w:val="001F5CB9"/>
    <w:rsid w:val="002003A1"/>
    <w:rsid w:val="00200DC3"/>
    <w:rsid w:val="002011E2"/>
    <w:rsid w:val="00201BB9"/>
    <w:rsid w:val="00202925"/>
    <w:rsid w:val="00202C70"/>
    <w:rsid w:val="002050B0"/>
    <w:rsid w:val="00205D80"/>
    <w:rsid w:val="00206401"/>
    <w:rsid w:val="00210874"/>
    <w:rsid w:val="0021093F"/>
    <w:rsid w:val="002133CA"/>
    <w:rsid w:val="002146B5"/>
    <w:rsid w:val="00214FA2"/>
    <w:rsid w:val="00215783"/>
    <w:rsid w:val="0021644B"/>
    <w:rsid w:val="00216489"/>
    <w:rsid w:val="00216DC9"/>
    <w:rsid w:val="00217CA0"/>
    <w:rsid w:val="002202EB"/>
    <w:rsid w:val="00220FCF"/>
    <w:rsid w:val="00221705"/>
    <w:rsid w:val="00221972"/>
    <w:rsid w:val="002231C8"/>
    <w:rsid w:val="00224154"/>
    <w:rsid w:val="00230194"/>
    <w:rsid w:val="00231923"/>
    <w:rsid w:val="002329C3"/>
    <w:rsid w:val="002332AE"/>
    <w:rsid w:val="002333C2"/>
    <w:rsid w:val="00233F2D"/>
    <w:rsid w:val="00234040"/>
    <w:rsid w:val="00235D67"/>
    <w:rsid w:val="0023626B"/>
    <w:rsid w:val="00237138"/>
    <w:rsid w:val="002376AD"/>
    <w:rsid w:val="00242161"/>
    <w:rsid w:val="00242F07"/>
    <w:rsid w:val="00243020"/>
    <w:rsid w:val="00244D22"/>
    <w:rsid w:val="00246C09"/>
    <w:rsid w:val="002470E4"/>
    <w:rsid w:val="00247262"/>
    <w:rsid w:val="0025144C"/>
    <w:rsid w:val="0025616B"/>
    <w:rsid w:val="00257285"/>
    <w:rsid w:val="00257FF4"/>
    <w:rsid w:val="002608CE"/>
    <w:rsid w:val="00261660"/>
    <w:rsid w:val="0026279C"/>
    <w:rsid w:val="00262CD3"/>
    <w:rsid w:val="00264181"/>
    <w:rsid w:val="00264BB2"/>
    <w:rsid w:val="00265289"/>
    <w:rsid w:val="00265E99"/>
    <w:rsid w:val="00266613"/>
    <w:rsid w:val="00266FE9"/>
    <w:rsid w:val="00272396"/>
    <w:rsid w:val="00273D98"/>
    <w:rsid w:val="00275A4E"/>
    <w:rsid w:val="0027614D"/>
    <w:rsid w:val="0027651A"/>
    <w:rsid w:val="002770A1"/>
    <w:rsid w:val="0028001E"/>
    <w:rsid w:val="00280D53"/>
    <w:rsid w:val="00281CF6"/>
    <w:rsid w:val="0028359B"/>
    <w:rsid w:val="00284441"/>
    <w:rsid w:val="002857FE"/>
    <w:rsid w:val="00290933"/>
    <w:rsid w:val="002915B9"/>
    <w:rsid w:val="00291E57"/>
    <w:rsid w:val="00292D6A"/>
    <w:rsid w:val="0029312A"/>
    <w:rsid w:val="0029325C"/>
    <w:rsid w:val="00293B2D"/>
    <w:rsid w:val="00293B46"/>
    <w:rsid w:val="00294E5F"/>
    <w:rsid w:val="002960B7"/>
    <w:rsid w:val="00297643"/>
    <w:rsid w:val="00297824"/>
    <w:rsid w:val="00297942"/>
    <w:rsid w:val="002A0F2E"/>
    <w:rsid w:val="002A153F"/>
    <w:rsid w:val="002A1CC2"/>
    <w:rsid w:val="002A32FD"/>
    <w:rsid w:val="002A40DC"/>
    <w:rsid w:val="002A4534"/>
    <w:rsid w:val="002A5329"/>
    <w:rsid w:val="002A5C2D"/>
    <w:rsid w:val="002A5CB3"/>
    <w:rsid w:val="002A61E5"/>
    <w:rsid w:val="002A74DD"/>
    <w:rsid w:val="002A7FC8"/>
    <w:rsid w:val="002B0A81"/>
    <w:rsid w:val="002B1CE7"/>
    <w:rsid w:val="002B2F0F"/>
    <w:rsid w:val="002B595D"/>
    <w:rsid w:val="002B5F6A"/>
    <w:rsid w:val="002B779E"/>
    <w:rsid w:val="002B7D6F"/>
    <w:rsid w:val="002B7D78"/>
    <w:rsid w:val="002C0552"/>
    <w:rsid w:val="002C0961"/>
    <w:rsid w:val="002C1CF7"/>
    <w:rsid w:val="002C1D11"/>
    <w:rsid w:val="002C25D0"/>
    <w:rsid w:val="002C280B"/>
    <w:rsid w:val="002C2DB0"/>
    <w:rsid w:val="002C4D41"/>
    <w:rsid w:val="002C75B0"/>
    <w:rsid w:val="002C7703"/>
    <w:rsid w:val="002C7A63"/>
    <w:rsid w:val="002D0153"/>
    <w:rsid w:val="002D0985"/>
    <w:rsid w:val="002D2711"/>
    <w:rsid w:val="002D403A"/>
    <w:rsid w:val="002D4262"/>
    <w:rsid w:val="002D46B7"/>
    <w:rsid w:val="002E1064"/>
    <w:rsid w:val="002E2551"/>
    <w:rsid w:val="002E323F"/>
    <w:rsid w:val="002E3F60"/>
    <w:rsid w:val="002E5554"/>
    <w:rsid w:val="002E5D24"/>
    <w:rsid w:val="002F1B12"/>
    <w:rsid w:val="002F530C"/>
    <w:rsid w:val="002F591B"/>
    <w:rsid w:val="002F7B47"/>
    <w:rsid w:val="00300013"/>
    <w:rsid w:val="0030032D"/>
    <w:rsid w:val="003006F8"/>
    <w:rsid w:val="00300BF2"/>
    <w:rsid w:val="00300CC8"/>
    <w:rsid w:val="003027C1"/>
    <w:rsid w:val="00302A25"/>
    <w:rsid w:val="00304900"/>
    <w:rsid w:val="00304C13"/>
    <w:rsid w:val="00305718"/>
    <w:rsid w:val="00305EC5"/>
    <w:rsid w:val="00306107"/>
    <w:rsid w:val="003077B8"/>
    <w:rsid w:val="003111F8"/>
    <w:rsid w:val="0031204A"/>
    <w:rsid w:val="0031272B"/>
    <w:rsid w:val="00315435"/>
    <w:rsid w:val="00316FB8"/>
    <w:rsid w:val="003171B2"/>
    <w:rsid w:val="0032038C"/>
    <w:rsid w:val="00321889"/>
    <w:rsid w:val="00325C5E"/>
    <w:rsid w:val="0032738E"/>
    <w:rsid w:val="00330CF0"/>
    <w:rsid w:val="00331B40"/>
    <w:rsid w:val="00331C5F"/>
    <w:rsid w:val="003325B9"/>
    <w:rsid w:val="00332E95"/>
    <w:rsid w:val="00333074"/>
    <w:rsid w:val="00333223"/>
    <w:rsid w:val="00333A43"/>
    <w:rsid w:val="00334F7E"/>
    <w:rsid w:val="003364C1"/>
    <w:rsid w:val="00337F82"/>
    <w:rsid w:val="00340640"/>
    <w:rsid w:val="00340810"/>
    <w:rsid w:val="003435D6"/>
    <w:rsid w:val="003458E0"/>
    <w:rsid w:val="00345CCD"/>
    <w:rsid w:val="003511CE"/>
    <w:rsid w:val="00351909"/>
    <w:rsid w:val="00351A27"/>
    <w:rsid w:val="00352BE0"/>
    <w:rsid w:val="0035333E"/>
    <w:rsid w:val="003538F0"/>
    <w:rsid w:val="00353D74"/>
    <w:rsid w:val="00357DAE"/>
    <w:rsid w:val="003602A5"/>
    <w:rsid w:val="00361259"/>
    <w:rsid w:val="00361429"/>
    <w:rsid w:val="00362AA7"/>
    <w:rsid w:val="00363B11"/>
    <w:rsid w:val="003672D6"/>
    <w:rsid w:val="003705BF"/>
    <w:rsid w:val="00370935"/>
    <w:rsid w:val="00371C1A"/>
    <w:rsid w:val="00375E52"/>
    <w:rsid w:val="00380888"/>
    <w:rsid w:val="00380D9F"/>
    <w:rsid w:val="003819E1"/>
    <w:rsid w:val="00382234"/>
    <w:rsid w:val="003847C8"/>
    <w:rsid w:val="00385A6A"/>
    <w:rsid w:val="0038672F"/>
    <w:rsid w:val="00386BC9"/>
    <w:rsid w:val="00386F24"/>
    <w:rsid w:val="003876AB"/>
    <w:rsid w:val="00387957"/>
    <w:rsid w:val="0039053D"/>
    <w:rsid w:val="00392B8A"/>
    <w:rsid w:val="00392DD1"/>
    <w:rsid w:val="0039449C"/>
    <w:rsid w:val="00395E02"/>
    <w:rsid w:val="0039684C"/>
    <w:rsid w:val="003A0290"/>
    <w:rsid w:val="003A25BB"/>
    <w:rsid w:val="003A300D"/>
    <w:rsid w:val="003A3E7B"/>
    <w:rsid w:val="003A4566"/>
    <w:rsid w:val="003A7067"/>
    <w:rsid w:val="003B09F6"/>
    <w:rsid w:val="003B0D03"/>
    <w:rsid w:val="003B1F0A"/>
    <w:rsid w:val="003B2C1F"/>
    <w:rsid w:val="003B329D"/>
    <w:rsid w:val="003B3684"/>
    <w:rsid w:val="003B5533"/>
    <w:rsid w:val="003B5A85"/>
    <w:rsid w:val="003B71EE"/>
    <w:rsid w:val="003B7621"/>
    <w:rsid w:val="003B7C64"/>
    <w:rsid w:val="003C0593"/>
    <w:rsid w:val="003C13A6"/>
    <w:rsid w:val="003C1615"/>
    <w:rsid w:val="003C1EB4"/>
    <w:rsid w:val="003C2A44"/>
    <w:rsid w:val="003C42FD"/>
    <w:rsid w:val="003C4E3A"/>
    <w:rsid w:val="003D0E1C"/>
    <w:rsid w:val="003D1E47"/>
    <w:rsid w:val="003D3662"/>
    <w:rsid w:val="003D3C14"/>
    <w:rsid w:val="003D4188"/>
    <w:rsid w:val="003D4557"/>
    <w:rsid w:val="003D543D"/>
    <w:rsid w:val="003D59FD"/>
    <w:rsid w:val="003E0249"/>
    <w:rsid w:val="003E10B8"/>
    <w:rsid w:val="003E122D"/>
    <w:rsid w:val="003E13F5"/>
    <w:rsid w:val="003E1978"/>
    <w:rsid w:val="003E2B5E"/>
    <w:rsid w:val="003E3FF4"/>
    <w:rsid w:val="003E4E15"/>
    <w:rsid w:val="003E53E8"/>
    <w:rsid w:val="003E5912"/>
    <w:rsid w:val="003E5AE8"/>
    <w:rsid w:val="003E68C4"/>
    <w:rsid w:val="003F07EE"/>
    <w:rsid w:val="003F1607"/>
    <w:rsid w:val="003F1684"/>
    <w:rsid w:val="003F29F2"/>
    <w:rsid w:val="003F367E"/>
    <w:rsid w:val="003F3C77"/>
    <w:rsid w:val="003F47DF"/>
    <w:rsid w:val="003F6209"/>
    <w:rsid w:val="00401831"/>
    <w:rsid w:val="0040314A"/>
    <w:rsid w:val="004038EB"/>
    <w:rsid w:val="00405DAB"/>
    <w:rsid w:val="00405E90"/>
    <w:rsid w:val="0040629D"/>
    <w:rsid w:val="004065CE"/>
    <w:rsid w:val="00406802"/>
    <w:rsid w:val="00407A61"/>
    <w:rsid w:val="004105DD"/>
    <w:rsid w:val="00410DCE"/>
    <w:rsid w:val="00412C0B"/>
    <w:rsid w:val="0041404E"/>
    <w:rsid w:val="0041429D"/>
    <w:rsid w:val="004147D0"/>
    <w:rsid w:val="00414E1F"/>
    <w:rsid w:val="0041581E"/>
    <w:rsid w:val="004161E5"/>
    <w:rsid w:val="0041765C"/>
    <w:rsid w:val="00420837"/>
    <w:rsid w:val="00421EEC"/>
    <w:rsid w:val="00422933"/>
    <w:rsid w:val="00422F4B"/>
    <w:rsid w:val="00423003"/>
    <w:rsid w:val="004248B4"/>
    <w:rsid w:val="00424C66"/>
    <w:rsid w:val="0042526D"/>
    <w:rsid w:val="004254A2"/>
    <w:rsid w:val="00426D71"/>
    <w:rsid w:val="00430256"/>
    <w:rsid w:val="00430E3D"/>
    <w:rsid w:val="0043194D"/>
    <w:rsid w:val="00431BF1"/>
    <w:rsid w:val="00433D22"/>
    <w:rsid w:val="004342F8"/>
    <w:rsid w:val="00434A2F"/>
    <w:rsid w:val="00434B63"/>
    <w:rsid w:val="0044083A"/>
    <w:rsid w:val="004408FA"/>
    <w:rsid w:val="004414D0"/>
    <w:rsid w:val="0044552A"/>
    <w:rsid w:val="00445663"/>
    <w:rsid w:val="004461A4"/>
    <w:rsid w:val="00446612"/>
    <w:rsid w:val="00450E44"/>
    <w:rsid w:val="00451501"/>
    <w:rsid w:val="004528D0"/>
    <w:rsid w:val="00453C86"/>
    <w:rsid w:val="00454564"/>
    <w:rsid w:val="004562E5"/>
    <w:rsid w:val="00456561"/>
    <w:rsid w:val="00457BC3"/>
    <w:rsid w:val="004601BE"/>
    <w:rsid w:val="0046034D"/>
    <w:rsid w:val="00461801"/>
    <w:rsid w:val="00462272"/>
    <w:rsid w:val="0046390C"/>
    <w:rsid w:val="00464569"/>
    <w:rsid w:val="00465D4E"/>
    <w:rsid w:val="00466381"/>
    <w:rsid w:val="00467393"/>
    <w:rsid w:val="00467BDD"/>
    <w:rsid w:val="004717F6"/>
    <w:rsid w:val="0047364D"/>
    <w:rsid w:val="0047481E"/>
    <w:rsid w:val="00474918"/>
    <w:rsid w:val="00475EAF"/>
    <w:rsid w:val="0047681C"/>
    <w:rsid w:val="004815F8"/>
    <w:rsid w:val="00481A3D"/>
    <w:rsid w:val="00481E32"/>
    <w:rsid w:val="004831ED"/>
    <w:rsid w:val="004831FC"/>
    <w:rsid w:val="004836A7"/>
    <w:rsid w:val="004847B4"/>
    <w:rsid w:val="00484921"/>
    <w:rsid w:val="00486614"/>
    <w:rsid w:val="00487E11"/>
    <w:rsid w:val="00487FB8"/>
    <w:rsid w:val="004900FE"/>
    <w:rsid w:val="004919D4"/>
    <w:rsid w:val="00491FB2"/>
    <w:rsid w:val="0049200C"/>
    <w:rsid w:val="0049212C"/>
    <w:rsid w:val="00493AB1"/>
    <w:rsid w:val="00495C39"/>
    <w:rsid w:val="004975DB"/>
    <w:rsid w:val="00497CDF"/>
    <w:rsid w:val="004A1224"/>
    <w:rsid w:val="004A247B"/>
    <w:rsid w:val="004A28C5"/>
    <w:rsid w:val="004A2F59"/>
    <w:rsid w:val="004A5E53"/>
    <w:rsid w:val="004A64B4"/>
    <w:rsid w:val="004A660C"/>
    <w:rsid w:val="004A6B44"/>
    <w:rsid w:val="004A6E0E"/>
    <w:rsid w:val="004B0B19"/>
    <w:rsid w:val="004B1E81"/>
    <w:rsid w:val="004B35F0"/>
    <w:rsid w:val="004B3650"/>
    <w:rsid w:val="004B37A7"/>
    <w:rsid w:val="004B4426"/>
    <w:rsid w:val="004B44E1"/>
    <w:rsid w:val="004B5F2A"/>
    <w:rsid w:val="004B6DAF"/>
    <w:rsid w:val="004B74B2"/>
    <w:rsid w:val="004C0F1D"/>
    <w:rsid w:val="004C103D"/>
    <w:rsid w:val="004C1303"/>
    <w:rsid w:val="004C1399"/>
    <w:rsid w:val="004C1C09"/>
    <w:rsid w:val="004C2A17"/>
    <w:rsid w:val="004C2B0E"/>
    <w:rsid w:val="004C3971"/>
    <w:rsid w:val="004C5507"/>
    <w:rsid w:val="004D0D6B"/>
    <w:rsid w:val="004D1E1A"/>
    <w:rsid w:val="004D1EFF"/>
    <w:rsid w:val="004D23A9"/>
    <w:rsid w:val="004D2683"/>
    <w:rsid w:val="004D29F5"/>
    <w:rsid w:val="004D2F90"/>
    <w:rsid w:val="004D7804"/>
    <w:rsid w:val="004E0308"/>
    <w:rsid w:val="004E1F8B"/>
    <w:rsid w:val="004E2825"/>
    <w:rsid w:val="004E3079"/>
    <w:rsid w:val="004E3276"/>
    <w:rsid w:val="004E3836"/>
    <w:rsid w:val="004E3B3F"/>
    <w:rsid w:val="004E62E4"/>
    <w:rsid w:val="004E6578"/>
    <w:rsid w:val="004E7C41"/>
    <w:rsid w:val="004F0E90"/>
    <w:rsid w:val="004F0F5B"/>
    <w:rsid w:val="004F1212"/>
    <w:rsid w:val="004F22B8"/>
    <w:rsid w:val="004F2437"/>
    <w:rsid w:val="004F38E1"/>
    <w:rsid w:val="004F4624"/>
    <w:rsid w:val="004F5573"/>
    <w:rsid w:val="004F5D8B"/>
    <w:rsid w:val="004F634F"/>
    <w:rsid w:val="004F7556"/>
    <w:rsid w:val="004F7771"/>
    <w:rsid w:val="004F78BF"/>
    <w:rsid w:val="00500700"/>
    <w:rsid w:val="0050141B"/>
    <w:rsid w:val="00502638"/>
    <w:rsid w:val="005029BC"/>
    <w:rsid w:val="00502B87"/>
    <w:rsid w:val="0050346A"/>
    <w:rsid w:val="00504472"/>
    <w:rsid w:val="005048E3"/>
    <w:rsid w:val="00505A77"/>
    <w:rsid w:val="00505CB3"/>
    <w:rsid w:val="005067C7"/>
    <w:rsid w:val="00506EB0"/>
    <w:rsid w:val="0050798C"/>
    <w:rsid w:val="0051207B"/>
    <w:rsid w:val="005136CD"/>
    <w:rsid w:val="00514B1A"/>
    <w:rsid w:val="00514E2B"/>
    <w:rsid w:val="005150C5"/>
    <w:rsid w:val="00517351"/>
    <w:rsid w:val="00521860"/>
    <w:rsid w:val="00521D74"/>
    <w:rsid w:val="005222CC"/>
    <w:rsid w:val="00522622"/>
    <w:rsid w:val="00523B5E"/>
    <w:rsid w:val="005250EE"/>
    <w:rsid w:val="00525AB1"/>
    <w:rsid w:val="00526B01"/>
    <w:rsid w:val="00526C61"/>
    <w:rsid w:val="00527492"/>
    <w:rsid w:val="005277F5"/>
    <w:rsid w:val="005310C1"/>
    <w:rsid w:val="00531934"/>
    <w:rsid w:val="0053222C"/>
    <w:rsid w:val="005328A9"/>
    <w:rsid w:val="00532994"/>
    <w:rsid w:val="005329BE"/>
    <w:rsid w:val="00533515"/>
    <w:rsid w:val="005342DE"/>
    <w:rsid w:val="00534AC0"/>
    <w:rsid w:val="00535557"/>
    <w:rsid w:val="0053606A"/>
    <w:rsid w:val="005369C0"/>
    <w:rsid w:val="00536B92"/>
    <w:rsid w:val="00540811"/>
    <w:rsid w:val="00540B25"/>
    <w:rsid w:val="00540D82"/>
    <w:rsid w:val="00541254"/>
    <w:rsid w:val="00541FF4"/>
    <w:rsid w:val="005421CC"/>
    <w:rsid w:val="00542BA5"/>
    <w:rsid w:val="00544841"/>
    <w:rsid w:val="00545D76"/>
    <w:rsid w:val="00546526"/>
    <w:rsid w:val="00547058"/>
    <w:rsid w:val="00547CD4"/>
    <w:rsid w:val="00547E34"/>
    <w:rsid w:val="00547EB8"/>
    <w:rsid w:val="00552FC2"/>
    <w:rsid w:val="00553DA2"/>
    <w:rsid w:val="005543FB"/>
    <w:rsid w:val="00555623"/>
    <w:rsid w:val="005562DC"/>
    <w:rsid w:val="00556725"/>
    <w:rsid w:val="00557A85"/>
    <w:rsid w:val="005606B5"/>
    <w:rsid w:val="00560E2D"/>
    <w:rsid w:val="00561AD2"/>
    <w:rsid w:val="00562BAD"/>
    <w:rsid w:val="0056365E"/>
    <w:rsid w:val="00565C77"/>
    <w:rsid w:val="00566181"/>
    <w:rsid w:val="005708BD"/>
    <w:rsid w:val="0057317E"/>
    <w:rsid w:val="005731D3"/>
    <w:rsid w:val="00573C7D"/>
    <w:rsid w:val="00574906"/>
    <w:rsid w:val="00574E9E"/>
    <w:rsid w:val="005752BC"/>
    <w:rsid w:val="0057622F"/>
    <w:rsid w:val="00577772"/>
    <w:rsid w:val="00577977"/>
    <w:rsid w:val="00581719"/>
    <w:rsid w:val="00581D30"/>
    <w:rsid w:val="0058259C"/>
    <w:rsid w:val="00583362"/>
    <w:rsid w:val="00584245"/>
    <w:rsid w:val="00584C2D"/>
    <w:rsid w:val="00584D80"/>
    <w:rsid w:val="00586535"/>
    <w:rsid w:val="00586BB5"/>
    <w:rsid w:val="00586DFB"/>
    <w:rsid w:val="00587C83"/>
    <w:rsid w:val="005905BC"/>
    <w:rsid w:val="005909CB"/>
    <w:rsid w:val="00590B75"/>
    <w:rsid w:val="00590DAA"/>
    <w:rsid w:val="0059205C"/>
    <w:rsid w:val="00592349"/>
    <w:rsid w:val="00592D49"/>
    <w:rsid w:val="005955BA"/>
    <w:rsid w:val="00596F3F"/>
    <w:rsid w:val="00596F9B"/>
    <w:rsid w:val="00597EEF"/>
    <w:rsid w:val="005A1C4E"/>
    <w:rsid w:val="005A3678"/>
    <w:rsid w:val="005A3DAF"/>
    <w:rsid w:val="005A4251"/>
    <w:rsid w:val="005A4A1A"/>
    <w:rsid w:val="005A5CB4"/>
    <w:rsid w:val="005A61D3"/>
    <w:rsid w:val="005A7C0B"/>
    <w:rsid w:val="005A7E70"/>
    <w:rsid w:val="005B1A53"/>
    <w:rsid w:val="005B2AF7"/>
    <w:rsid w:val="005B40E8"/>
    <w:rsid w:val="005B6DAA"/>
    <w:rsid w:val="005B7314"/>
    <w:rsid w:val="005B7C27"/>
    <w:rsid w:val="005B7D8B"/>
    <w:rsid w:val="005C03F6"/>
    <w:rsid w:val="005C0475"/>
    <w:rsid w:val="005C1569"/>
    <w:rsid w:val="005C348A"/>
    <w:rsid w:val="005C3C1A"/>
    <w:rsid w:val="005C4604"/>
    <w:rsid w:val="005C46D8"/>
    <w:rsid w:val="005C4BEE"/>
    <w:rsid w:val="005C6E74"/>
    <w:rsid w:val="005C732E"/>
    <w:rsid w:val="005C781C"/>
    <w:rsid w:val="005C7FBE"/>
    <w:rsid w:val="005D13ED"/>
    <w:rsid w:val="005D181E"/>
    <w:rsid w:val="005D330E"/>
    <w:rsid w:val="005D7A35"/>
    <w:rsid w:val="005E034F"/>
    <w:rsid w:val="005E09A7"/>
    <w:rsid w:val="005E198B"/>
    <w:rsid w:val="005E19D9"/>
    <w:rsid w:val="005E1D35"/>
    <w:rsid w:val="005E2A31"/>
    <w:rsid w:val="005E3D2F"/>
    <w:rsid w:val="005E442F"/>
    <w:rsid w:val="005E54A3"/>
    <w:rsid w:val="005E5625"/>
    <w:rsid w:val="005E61D8"/>
    <w:rsid w:val="005E6F2B"/>
    <w:rsid w:val="005E7E2C"/>
    <w:rsid w:val="005F1ADE"/>
    <w:rsid w:val="005F29CD"/>
    <w:rsid w:val="005F3175"/>
    <w:rsid w:val="005F3436"/>
    <w:rsid w:val="005F3506"/>
    <w:rsid w:val="005F41D8"/>
    <w:rsid w:val="005F4739"/>
    <w:rsid w:val="005F6228"/>
    <w:rsid w:val="005F642B"/>
    <w:rsid w:val="005F67FC"/>
    <w:rsid w:val="006001BD"/>
    <w:rsid w:val="00601630"/>
    <w:rsid w:val="00601A28"/>
    <w:rsid w:val="006026E1"/>
    <w:rsid w:val="00603A90"/>
    <w:rsid w:val="00605163"/>
    <w:rsid w:val="006065BF"/>
    <w:rsid w:val="006070EA"/>
    <w:rsid w:val="00607ABE"/>
    <w:rsid w:val="00607F53"/>
    <w:rsid w:val="006103D0"/>
    <w:rsid w:val="0061103A"/>
    <w:rsid w:val="00611C86"/>
    <w:rsid w:val="00611EAE"/>
    <w:rsid w:val="0061364A"/>
    <w:rsid w:val="00613BEA"/>
    <w:rsid w:val="0061402C"/>
    <w:rsid w:val="0061595F"/>
    <w:rsid w:val="00615A79"/>
    <w:rsid w:val="00616179"/>
    <w:rsid w:val="0061675B"/>
    <w:rsid w:val="006171C3"/>
    <w:rsid w:val="0062052B"/>
    <w:rsid w:val="00620F8F"/>
    <w:rsid w:val="00621A86"/>
    <w:rsid w:val="00623401"/>
    <w:rsid w:val="00625C40"/>
    <w:rsid w:val="00627E7C"/>
    <w:rsid w:val="00630CFF"/>
    <w:rsid w:val="00631369"/>
    <w:rsid w:val="00632481"/>
    <w:rsid w:val="0063262D"/>
    <w:rsid w:val="0063268B"/>
    <w:rsid w:val="0063390E"/>
    <w:rsid w:val="00634673"/>
    <w:rsid w:val="00637BBD"/>
    <w:rsid w:val="00640D17"/>
    <w:rsid w:val="00641A99"/>
    <w:rsid w:val="00642768"/>
    <w:rsid w:val="00642A84"/>
    <w:rsid w:val="0064411F"/>
    <w:rsid w:val="00645E69"/>
    <w:rsid w:val="00646130"/>
    <w:rsid w:val="00646ACE"/>
    <w:rsid w:val="006474C0"/>
    <w:rsid w:val="00647927"/>
    <w:rsid w:val="00650B2D"/>
    <w:rsid w:val="00652B9B"/>
    <w:rsid w:val="00652F78"/>
    <w:rsid w:val="00653743"/>
    <w:rsid w:val="00653DD9"/>
    <w:rsid w:val="00654119"/>
    <w:rsid w:val="00654E6A"/>
    <w:rsid w:val="00654EC2"/>
    <w:rsid w:val="006551FC"/>
    <w:rsid w:val="006575F3"/>
    <w:rsid w:val="0065782C"/>
    <w:rsid w:val="00660871"/>
    <w:rsid w:val="0066176D"/>
    <w:rsid w:val="00662809"/>
    <w:rsid w:val="00663823"/>
    <w:rsid w:val="00664E08"/>
    <w:rsid w:val="006650D0"/>
    <w:rsid w:val="0066774D"/>
    <w:rsid w:val="00667F42"/>
    <w:rsid w:val="00671284"/>
    <w:rsid w:val="006727FC"/>
    <w:rsid w:val="00673906"/>
    <w:rsid w:val="006753C4"/>
    <w:rsid w:val="006756CD"/>
    <w:rsid w:val="00676E5B"/>
    <w:rsid w:val="00677D6B"/>
    <w:rsid w:val="00680795"/>
    <w:rsid w:val="00682713"/>
    <w:rsid w:val="00683451"/>
    <w:rsid w:val="00683579"/>
    <w:rsid w:val="00683E40"/>
    <w:rsid w:val="006843F4"/>
    <w:rsid w:val="006854CE"/>
    <w:rsid w:val="00685C1F"/>
    <w:rsid w:val="00686B47"/>
    <w:rsid w:val="0068790B"/>
    <w:rsid w:val="006906E4"/>
    <w:rsid w:val="00691C54"/>
    <w:rsid w:val="00691E49"/>
    <w:rsid w:val="006922DC"/>
    <w:rsid w:val="006941DD"/>
    <w:rsid w:val="006943D1"/>
    <w:rsid w:val="0069466B"/>
    <w:rsid w:val="00694795"/>
    <w:rsid w:val="00695014"/>
    <w:rsid w:val="00696AA8"/>
    <w:rsid w:val="006A00D5"/>
    <w:rsid w:val="006A257C"/>
    <w:rsid w:val="006A2615"/>
    <w:rsid w:val="006A4158"/>
    <w:rsid w:val="006A4AA7"/>
    <w:rsid w:val="006A4E15"/>
    <w:rsid w:val="006A5866"/>
    <w:rsid w:val="006A5E4F"/>
    <w:rsid w:val="006A643C"/>
    <w:rsid w:val="006A76A9"/>
    <w:rsid w:val="006B013C"/>
    <w:rsid w:val="006B0F54"/>
    <w:rsid w:val="006B12C6"/>
    <w:rsid w:val="006B415B"/>
    <w:rsid w:val="006B4C95"/>
    <w:rsid w:val="006B4CBA"/>
    <w:rsid w:val="006B6FEB"/>
    <w:rsid w:val="006B7542"/>
    <w:rsid w:val="006C0A59"/>
    <w:rsid w:val="006C19EE"/>
    <w:rsid w:val="006C2E46"/>
    <w:rsid w:val="006C3B05"/>
    <w:rsid w:val="006C4E45"/>
    <w:rsid w:val="006C5EE1"/>
    <w:rsid w:val="006C61B1"/>
    <w:rsid w:val="006C6DB8"/>
    <w:rsid w:val="006D0669"/>
    <w:rsid w:val="006D1D4E"/>
    <w:rsid w:val="006D3771"/>
    <w:rsid w:val="006D440A"/>
    <w:rsid w:val="006D46C5"/>
    <w:rsid w:val="006D5599"/>
    <w:rsid w:val="006D592F"/>
    <w:rsid w:val="006D62BE"/>
    <w:rsid w:val="006D7B71"/>
    <w:rsid w:val="006E0006"/>
    <w:rsid w:val="006E01BB"/>
    <w:rsid w:val="006E0DF6"/>
    <w:rsid w:val="006E1BDE"/>
    <w:rsid w:val="006E336C"/>
    <w:rsid w:val="006E35A9"/>
    <w:rsid w:val="006E3B9E"/>
    <w:rsid w:val="006E4A27"/>
    <w:rsid w:val="006E4DF1"/>
    <w:rsid w:val="006E5828"/>
    <w:rsid w:val="006E6BB9"/>
    <w:rsid w:val="006E7198"/>
    <w:rsid w:val="006E784F"/>
    <w:rsid w:val="006F0B4F"/>
    <w:rsid w:val="006F0E97"/>
    <w:rsid w:val="006F2DF3"/>
    <w:rsid w:val="006F2DF9"/>
    <w:rsid w:val="006F3C6F"/>
    <w:rsid w:val="006F41C6"/>
    <w:rsid w:val="006F5DD9"/>
    <w:rsid w:val="006F6FA2"/>
    <w:rsid w:val="007001D0"/>
    <w:rsid w:val="00700CE3"/>
    <w:rsid w:val="00701498"/>
    <w:rsid w:val="00701E70"/>
    <w:rsid w:val="00704BB6"/>
    <w:rsid w:val="00704F47"/>
    <w:rsid w:val="00705001"/>
    <w:rsid w:val="00705BC0"/>
    <w:rsid w:val="007072C2"/>
    <w:rsid w:val="0070746B"/>
    <w:rsid w:val="007075CA"/>
    <w:rsid w:val="00710C02"/>
    <w:rsid w:val="0071151E"/>
    <w:rsid w:val="007118AC"/>
    <w:rsid w:val="00711A46"/>
    <w:rsid w:val="00711FC7"/>
    <w:rsid w:val="0071482B"/>
    <w:rsid w:val="00714C8F"/>
    <w:rsid w:val="00715A32"/>
    <w:rsid w:val="00716F57"/>
    <w:rsid w:val="00717A74"/>
    <w:rsid w:val="00720EA2"/>
    <w:rsid w:val="00721409"/>
    <w:rsid w:val="00721CE0"/>
    <w:rsid w:val="007221A2"/>
    <w:rsid w:val="00722935"/>
    <w:rsid w:val="00723BA8"/>
    <w:rsid w:val="00724257"/>
    <w:rsid w:val="00727815"/>
    <w:rsid w:val="007301A7"/>
    <w:rsid w:val="00730E31"/>
    <w:rsid w:val="007333BD"/>
    <w:rsid w:val="007346F8"/>
    <w:rsid w:val="00734D66"/>
    <w:rsid w:val="00734E06"/>
    <w:rsid w:val="00736D81"/>
    <w:rsid w:val="00736E9D"/>
    <w:rsid w:val="007373FA"/>
    <w:rsid w:val="00737E7D"/>
    <w:rsid w:val="0074063F"/>
    <w:rsid w:val="00740EF1"/>
    <w:rsid w:val="00741BF8"/>
    <w:rsid w:val="0074250E"/>
    <w:rsid w:val="007437BA"/>
    <w:rsid w:val="007444E7"/>
    <w:rsid w:val="00744DBD"/>
    <w:rsid w:val="00745398"/>
    <w:rsid w:val="00746FC3"/>
    <w:rsid w:val="00747B90"/>
    <w:rsid w:val="00754870"/>
    <w:rsid w:val="007561F0"/>
    <w:rsid w:val="00756632"/>
    <w:rsid w:val="0075754A"/>
    <w:rsid w:val="0076019C"/>
    <w:rsid w:val="00760554"/>
    <w:rsid w:val="0076083D"/>
    <w:rsid w:val="00761DC2"/>
    <w:rsid w:val="00762B1E"/>
    <w:rsid w:val="00764B94"/>
    <w:rsid w:val="007652E2"/>
    <w:rsid w:val="00765A82"/>
    <w:rsid w:val="00766434"/>
    <w:rsid w:val="00770E10"/>
    <w:rsid w:val="00771E5C"/>
    <w:rsid w:val="00772107"/>
    <w:rsid w:val="00772BA7"/>
    <w:rsid w:val="00772E69"/>
    <w:rsid w:val="00773E30"/>
    <w:rsid w:val="007742FF"/>
    <w:rsid w:val="00774A83"/>
    <w:rsid w:val="00775146"/>
    <w:rsid w:val="0077566D"/>
    <w:rsid w:val="00776097"/>
    <w:rsid w:val="00776410"/>
    <w:rsid w:val="007766A5"/>
    <w:rsid w:val="00776E39"/>
    <w:rsid w:val="0078016D"/>
    <w:rsid w:val="00781778"/>
    <w:rsid w:val="00782098"/>
    <w:rsid w:val="00783D75"/>
    <w:rsid w:val="007857E3"/>
    <w:rsid w:val="00786231"/>
    <w:rsid w:val="0079000B"/>
    <w:rsid w:val="007900CB"/>
    <w:rsid w:val="007905B2"/>
    <w:rsid w:val="00790E9B"/>
    <w:rsid w:val="007917E7"/>
    <w:rsid w:val="007927C6"/>
    <w:rsid w:val="0079348E"/>
    <w:rsid w:val="00793EEB"/>
    <w:rsid w:val="0079405B"/>
    <w:rsid w:val="00795679"/>
    <w:rsid w:val="0079797F"/>
    <w:rsid w:val="007A05F4"/>
    <w:rsid w:val="007A0BB9"/>
    <w:rsid w:val="007A14E8"/>
    <w:rsid w:val="007A1D73"/>
    <w:rsid w:val="007A4023"/>
    <w:rsid w:val="007A5445"/>
    <w:rsid w:val="007A5A94"/>
    <w:rsid w:val="007A5E11"/>
    <w:rsid w:val="007A6C47"/>
    <w:rsid w:val="007B31F7"/>
    <w:rsid w:val="007B347F"/>
    <w:rsid w:val="007B39F6"/>
    <w:rsid w:val="007B4481"/>
    <w:rsid w:val="007B5A98"/>
    <w:rsid w:val="007B5E30"/>
    <w:rsid w:val="007B5E45"/>
    <w:rsid w:val="007C1DB0"/>
    <w:rsid w:val="007C2270"/>
    <w:rsid w:val="007C27D4"/>
    <w:rsid w:val="007C4720"/>
    <w:rsid w:val="007C4CCE"/>
    <w:rsid w:val="007C570A"/>
    <w:rsid w:val="007C7D49"/>
    <w:rsid w:val="007C7DE5"/>
    <w:rsid w:val="007D0EEB"/>
    <w:rsid w:val="007D1D99"/>
    <w:rsid w:val="007D4D2A"/>
    <w:rsid w:val="007D763D"/>
    <w:rsid w:val="007D77A3"/>
    <w:rsid w:val="007E00B1"/>
    <w:rsid w:val="007E0749"/>
    <w:rsid w:val="007E2F87"/>
    <w:rsid w:val="007E334F"/>
    <w:rsid w:val="007E3AC7"/>
    <w:rsid w:val="007E4155"/>
    <w:rsid w:val="007E47B6"/>
    <w:rsid w:val="007E57B5"/>
    <w:rsid w:val="007E5D39"/>
    <w:rsid w:val="007E66C8"/>
    <w:rsid w:val="007E67BD"/>
    <w:rsid w:val="007E6BBD"/>
    <w:rsid w:val="007F06E1"/>
    <w:rsid w:val="007F0C09"/>
    <w:rsid w:val="007F3E75"/>
    <w:rsid w:val="007F517F"/>
    <w:rsid w:val="007F6391"/>
    <w:rsid w:val="007F6CAD"/>
    <w:rsid w:val="007F6FB8"/>
    <w:rsid w:val="007F7481"/>
    <w:rsid w:val="007F76FF"/>
    <w:rsid w:val="007F7E83"/>
    <w:rsid w:val="00801491"/>
    <w:rsid w:val="008015A7"/>
    <w:rsid w:val="00801B8F"/>
    <w:rsid w:val="00801EF6"/>
    <w:rsid w:val="00802AEC"/>
    <w:rsid w:val="00803099"/>
    <w:rsid w:val="0080406C"/>
    <w:rsid w:val="0080562C"/>
    <w:rsid w:val="008071D0"/>
    <w:rsid w:val="0081066B"/>
    <w:rsid w:val="00810809"/>
    <w:rsid w:val="00810C6A"/>
    <w:rsid w:val="00810C86"/>
    <w:rsid w:val="00811BBE"/>
    <w:rsid w:val="00812350"/>
    <w:rsid w:val="00812369"/>
    <w:rsid w:val="00812741"/>
    <w:rsid w:val="008128E3"/>
    <w:rsid w:val="00812B12"/>
    <w:rsid w:val="00815871"/>
    <w:rsid w:val="00821671"/>
    <w:rsid w:val="00821789"/>
    <w:rsid w:val="0082180B"/>
    <w:rsid w:val="00821BC9"/>
    <w:rsid w:val="00825147"/>
    <w:rsid w:val="00825D4F"/>
    <w:rsid w:val="00830017"/>
    <w:rsid w:val="00830787"/>
    <w:rsid w:val="00830DC9"/>
    <w:rsid w:val="00831489"/>
    <w:rsid w:val="00833A6A"/>
    <w:rsid w:val="00833E2F"/>
    <w:rsid w:val="00834240"/>
    <w:rsid w:val="00834F9A"/>
    <w:rsid w:val="008368F3"/>
    <w:rsid w:val="008400A8"/>
    <w:rsid w:val="0084156A"/>
    <w:rsid w:val="008427B1"/>
    <w:rsid w:val="008449FF"/>
    <w:rsid w:val="00845E77"/>
    <w:rsid w:val="0084601D"/>
    <w:rsid w:val="008462FB"/>
    <w:rsid w:val="00846C73"/>
    <w:rsid w:val="00850462"/>
    <w:rsid w:val="0085161D"/>
    <w:rsid w:val="00852EEF"/>
    <w:rsid w:val="00855597"/>
    <w:rsid w:val="00855780"/>
    <w:rsid w:val="008557AA"/>
    <w:rsid w:val="00856178"/>
    <w:rsid w:val="008567C0"/>
    <w:rsid w:val="00856C69"/>
    <w:rsid w:val="00856FD6"/>
    <w:rsid w:val="008570AB"/>
    <w:rsid w:val="008618E9"/>
    <w:rsid w:val="00862545"/>
    <w:rsid w:val="00862D62"/>
    <w:rsid w:val="00863356"/>
    <w:rsid w:val="00864544"/>
    <w:rsid w:val="008653B5"/>
    <w:rsid w:val="00865A76"/>
    <w:rsid w:val="008663D7"/>
    <w:rsid w:val="00866CB8"/>
    <w:rsid w:val="0086730B"/>
    <w:rsid w:val="008674DC"/>
    <w:rsid w:val="008679E6"/>
    <w:rsid w:val="00867A0F"/>
    <w:rsid w:val="00871811"/>
    <w:rsid w:val="00872E1F"/>
    <w:rsid w:val="00873942"/>
    <w:rsid w:val="0087400E"/>
    <w:rsid w:val="00874680"/>
    <w:rsid w:val="00880558"/>
    <w:rsid w:val="00881DD6"/>
    <w:rsid w:val="00882ED0"/>
    <w:rsid w:val="00883894"/>
    <w:rsid w:val="00885DA2"/>
    <w:rsid w:val="00885E17"/>
    <w:rsid w:val="00886342"/>
    <w:rsid w:val="008875DE"/>
    <w:rsid w:val="0089092F"/>
    <w:rsid w:val="00893594"/>
    <w:rsid w:val="008947EA"/>
    <w:rsid w:val="00894ABF"/>
    <w:rsid w:val="00895FFF"/>
    <w:rsid w:val="00896FF4"/>
    <w:rsid w:val="008A0E85"/>
    <w:rsid w:val="008A15CB"/>
    <w:rsid w:val="008A1DDE"/>
    <w:rsid w:val="008A2544"/>
    <w:rsid w:val="008A34CE"/>
    <w:rsid w:val="008A371D"/>
    <w:rsid w:val="008A5443"/>
    <w:rsid w:val="008A55A8"/>
    <w:rsid w:val="008A5F01"/>
    <w:rsid w:val="008A6B66"/>
    <w:rsid w:val="008A7078"/>
    <w:rsid w:val="008B0969"/>
    <w:rsid w:val="008B11D0"/>
    <w:rsid w:val="008B32B6"/>
    <w:rsid w:val="008B4464"/>
    <w:rsid w:val="008B4BF2"/>
    <w:rsid w:val="008B56E5"/>
    <w:rsid w:val="008B5AFD"/>
    <w:rsid w:val="008B6650"/>
    <w:rsid w:val="008B729C"/>
    <w:rsid w:val="008B7A4E"/>
    <w:rsid w:val="008C1506"/>
    <w:rsid w:val="008C2D30"/>
    <w:rsid w:val="008C33F2"/>
    <w:rsid w:val="008C6C92"/>
    <w:rsid w:val="008C77F7"/>
    <w:rsid w:val="008D0262"/>
    <w:rsid w:val="008D0AE4"/>
    <w:rsid w:val="008D1B0D"/>
    <w:rsid w:val="008D20E6"/>
    <w:rsid w:val="008D2F52"/>
    <w:rsid w:val="008D2F9A"/>
    <w:rsid w:val="008D3E19"/>
    <w:rsid w:val="008D57A4"/>
    <w:rsid w:val="008D5F06"/>
    <w:rsid w:val="008D6B57"/>
    <w:rsid w:val="008D74C3"/>
    <w:rsid w:val="008D7DFC"/>
    <w:rsid w:val="008E00FD"/>
    <w:rsid w:val="008E07C6"/>
    <w:rsid w:val="008E152D"/>
    <w:rsid w:val="008E3214"/>
    <w:rsid w:val="008E33EA"/>
    <w:rsid w:val="008E4180"/>
    <w:rsid w:val="008E4ECE"/>
    <w:rsid w:val="008E5BB7"/>
    <w:rsid w:val="008E5F84"/>
    <w:rsid w:val="008E6A1B"/>
    <w:rsid w:val="008E6FF6"/>
    <w:rsid w:val="008E72E5"/>
    <w:rsid w:val="008E79F9"/>
    <w:rsid w:val="008E7DCC"/>
    <w:rsid w:val="008F0EA9"/>
    <w:rsid w:val="008F1B1E"/>
    <w:rsid w:val="008F2B7E"/>
    <w:rsid w:val="008F31DF"/>
    <w:rsid w:val="008F38F6"/>
    <w:rsid w:val="008F411D"/>
    <w:rsid w:val="008F4D31"/>
    <w:rsid w:val="008F53F5"/>
    <w:rsid w:val="008F56A2"/>
    <w:rsid w:val="008F5FF0"/>
    <w:rsid w:val="008F61F2"/>
    <w:rsid w:val="008F63BC"/>
    <w:rsid w:val="008F6485"/>
    <w:rsid w:val="008F710C"/>
    <w:rsid w:val="008F743D"/>
    <w:rsid w:val="008F7B17"/>
    <w:rsid w:val="008F7F78"/>
    <w:rsid w:val="00900316"/>
    <w:rsid w:val="00900BE5"/>
    <w:rsid w:val="009010D0"/>
    <w:rsid w:val="0090122A"/>
    <w:rsid w:val="00901F73"/>
    <w:rsid w:val="0090394F"/>
    <w:rsid w:val="009054D3"/>
    <w:rsid w:val="00905587"/>
    <w:rsid w:val="009057D3"/>
    <w:rsid w:val="00907B9D"/>
    <w:rsid w:val="00910CFA"/>
    <w:rsid w:val="009125D2"/>
    <w:rsid w:val="00914007"/>
    <w:rsid w:val="00914BAD"/>
    <w:rsid w:val="00915A24"/>
    <w:rsid w:val="00915E3F"/>
    <w:rsid w:val="00915F49"/>
    <w:rsid w:val="00915F97"/>
    <w:rsid w:val="009179EB"/>
    <w:rsid w:val="0092273F"/>
    <w:rsid w:val="009238F1"/>
    <w:rsid w:val="009249B4"/>
    <w:rsid w:val="00926716"/>
    <w:rsid w:val="009270DB"/>
    <w:rsid w:val="00930BEB"/>
    <w:rsid w:val="009323DF"/>
    <w:rsid w:val="00932AFC"/>
    <w:rsid w:val="0093389C"/>
    <w:rsid w:val="00933A7D"/>
    <w:rsid w:val="00933DA9"/>
    <w:rsid w:val="0093452F"/>
    <w:rsid w:val="0093491F"/>
    <w:rsid w:val="00935E14"/>
    <w:rsid w:val="00936A7A"/>
    <w:rsid w:val="00941D68"/>
    <w:rsid w:val="00941E4F"/>
    <w:rsid w:val="00942454"/>
    <w:rsid w:val="0094480E"/>
    <w:rsid w:val="00947B5B"/>
    <w:rsid w:val="00950281"/>
    <w:rsid w:val="00951BD3"/>
    <w:rsid w:val="0095259E"/>
    <w:rsid w:val="009529FD"/>
    <w:rsid w:val="00952B8F"/>
    <w:rsid w:val="0095569B"/>
    <w:rsid w:val="009559F2"/>
    <w:rsid w:val="009562CC"/>
    <w:rsid w:val="0095695E"/>
    <w:rsid w:val="00957310"/>
    <w:rsid w:val="0095750D"/>
    <w:rsid w:val="00962B8F"/>
    <w:rsid w:val="009637E4"/>
    <w:rsid w:val="00964464"/>
    <w:rsid w:val="00965665"/>
    <w:rsid w:val="0096632E"/>
    <w:rsid w:val="00966D4F"/>
    <w:rsid w:val="00970E65"/>
    <w:rsid w:val="0097102C"/>
    <w:rsid w:val="00971CBF"/>
    <w:rsid w:val="00971F52"/>
    <w:rsid w:val="0097202E"/>
    <w:rsid w:val="00972E0B"/>
    <w:rsid w:val="0097462D"/>
    <w:rsid w:val="009748F0"/>
    <w:rsid w:val="00974A7C"/>
    <w:rsid w:val="0097587B"/>
    <w:rsid w:val="009763C1"/>
    <w:rsid w:val="009766FE"/>
    <w:rsid w:val="00976D74"/>
    <w:rsid w:val="00977715"/>
    <w:rsid w:val="00980439"/>
    <w:rsid w:val="00982444"/>
    <w:rsid w:val="00982BA7"/>
    <w:rsid w:val="00982D92"/>
    <w:rsid w:val="00982F10"/>
    <w:rsid w:val="009834A0"/>
    <w:rsid w:val="009843A8"/>
    <w:rsid w:val="00984993"/>
    <w:rsid w:val="00984CA2"/>
    <w:rsid w:val="009854F1"/>
    <w:rsid w:val="0098714A"/>
    <w:rsid w:val="00993EA1"/>
    <w:rsid w:val="0099496C"/>
    <w:rsid w:val="00995582"/>
    <w:rsid w:val="00996569"/>
    <w:rsid w:val="0099739A"/>
    <w:rsid w:val="009A057B"/>
    <w:rsid w:val="009A06F0"/>
    <w:rsid w:val="009A14DE"/>
    <w:rsid w:val="009A2294"/>
    <w:rsid w:val="009A40DD"/>
    <w:rsid w:val="009A5F36"/>
    <w:rsid w:val="009A6DED"/>
    <w:rsid w:val="009A72B5"/>
    <w:rsid w:val="009A7BC2"/>
    <w:rsid w:val="009B011E"/>
    <w:rsid w:val="009B180F"/>
    <w:rsid w:val="009B1897"/>
    <w:rsid w:val="009B1BB7"/>
    <w:rsid w:val="009B1C51"/>
    <w:rsid w:val="009B48D4"/>
    <w:rsid w:val="009B751B"/>
    <w:rsid w:val="009C0992"/>
    <w:rsid w:val="009C0C48"/>
    <w:rsid w:val="009C1830"/>
    <w:rsid w:val="009C23DA"/>
    <w:rsid w:val="009C24B3"/>
    <w:rsid w:val="009C2C09"/>
    <w:rsid w:val="009C2E5A"/>
    <w:rsid w:val="009C6214"/>
    <w:rsid w:val="009C672A"/>
    <w:rsid w:val="009C703A"/>
    <w:rsid w:val="009C7B18"/>
    <w:rsid w:val="009C7D55"/>
    <w:rsid w:val="009C7F52"/>
    <w:rsid w:val="009D07F2"/>
    <w:rsid w:val="009D1884"/>
    <w:rsid w:val="009D24A3"/>
    <w:rsid w:val="009D2FD6"/>
    <w:rsid w:val="009D3295"/>
    <w:rsid w:val="009D3665"/>
    <w:rsid w:val="009D3C84"/>
    <w:rsid w:val="009D40C6"/>
    <w:rsid w:val="009D54F3"/>
    <w:rsid w:val="009D5DA3"/>
    <w:rsid w:val="009D6969"/>
    <w:rsid w:val="009D7470"/>
    <w:rsid w:val="009D7A58"/>
    <w:rsid w:val="009E0638"/>
    <w:rsid w:val="009E0828"/>
    <w:rsid w:val="009E0CED"/>
    <w:rsid w:val="009E17A2"/>
    <w:rsid w:val="009E2D23"/>
    <w:rsid w:val="009E4043"/>
    <w:rsid w:val="009E43C1"/>
    <w:rsid w:val="009E54AE"/>
    <w:rsid w:val="009E5FC3"/>
    <w:rsid w:val="009E6DF1"/>
    <w:rsid w:val="009F3BA0"/>
    <w:rsid w:val="009F3F5D"/>
    <w:rsid w:val="009F43CB"/>
    <w:rsid w:val="009F4CB9"/>
    <w:rsid w:val="00A00283"/>
    <w:rsid w:val="00A01C02"/>
    <w:rsid w:val="00A02D24"/>
    <w:rsid w:val="00A02E16"/>
    <w:rsid w:val="00A05113"/>
    <w:rsid w:val="00A054DC"/>
    <w:rsid w:val="00A069AE"/>
    <w:rsid w:val="00A10389"/>
    <w:rsid w:val="00A1133E"/>
    <w:rsid w:val="00A11888"/>
    <w:rsid w:val="00A11E62"/>
    <w:rsid w:val="00A11E8F"/>
    <w:rsid w:val="00A12369"/>
    <w:rsid w:val="00A13522"/>
    <w:rsid w:val="00A14357"/>
    <w:rsid w:val="00A14398"/>
    <w:rsid w:val="00A1524F"/>
    <w:rsid w:val="00A15E63"/>
    <w:rsid w:val="00A167D9"/>
    <w:rsid w:val="00A16DB9"/>
    <w:rsid w:val="00A17672"/>
    <w:rsid w:val="00A20A6B"/>
    <w:rsid w:val="00A20C5D"/>
    <w:rsid w:val="00A222CA"/>
    <w:rsid w:val="00A225E3"/>
    <w:rsid w:val="00A239CC"/>
    <w:rsid w:val="00A23BC2"/>
    <w:rsid w:val="00A248C9"/>
    <w:rsid w:val="00A279AC"/>
    <w:rsid w:val="00A27A30"/>
    <w:rsid w:val="00A305D4"/>
    <w:rsid w:val="00A30C5D"/>
    <w:rsid w:val="00A310F1"/>
    <w:rsid w:val="00A31C68"/>
    <w:rsid w:val="00A325AE"/>
    <w:rsid w:val="00A326A6"/>
    <w:rsid w:val="00A342D9"/>
    <w:rsid w:val="00A35FAA"/>
    <w:rsid w:val="00A377D4"/>
    <w:rsid w:val="00A40163"/>
    <w:rsid w:val="00A409BC"/>
    <w:rsid w:val="00A42F6D"/>
    <w:rsid w:val="00A43C9A"/>
    <w:rsid w:val="00A44612"/>
    <w:rsid w:val="00A44720"/>
    <w:rsid w:val="00A455A5"/>
    <w:rsid w:val="00A46164"/>
    <w:rsid w:val="00A46A8E"/>
    <w:rsid w:val="00A51337"/>
    <w:rsid w:val="00A537E5"/>
    <w:rsid w:val="00A540A5"/>
    <w:rsid w:val="00A54248"/>
    <w:rsid w:val="00A55B6F"/>
    <w:rsid w:val="00A61BD0"/>
    <w:rsid w:val="00A6388E"/>
    <w:rsid w:val="00A64BC6"/>
    <w:rsid w:val="00A64FD7"/>
    <w:rsid w:val="00A659CB"/>
    <w:rsid w:val="00A70398"/>
    <w:rsid w:val="00A709AD"/>
    <w:rsid w:val="00A70D03"/>
    <w:rsid w:val="00A71441"/>
    <w:rsid w:val="00A721F1"/>
    <w:rsid w:val="00A72DA9"/>
    <w:rsid w:val="00A733CB"/>
    <w:rsid w:val="00A739DF"/>
    <w:rsid w:val="00A740A0"/>
    <w:rsid w:val="00A744D7"/>
    <w:rsid w:val="00A745EF"/>
    <w:rsid w:val="00A751AD"/>
    <w:rsid w:val="00A76045"/>
    <w:rsid w:val="00A773CD"/>
    <w:rsid w:val="00A775CF"/>
    <w:rsid w:val="00A77853"/>
    <w:rsid w:val="00A77FAF"/>
    <w:rsid w:val="00A805EB"/>
    <w:rsid w:val="00A80C87"/>
    <w:rsid w:val="00A81EED"/>
    <w:rsid w:val="00A84503"/>
    <w:rsid w:val="00A867DA"/>
    <w:rsid w:val="00A8782F"/>
    <w:rsid w:val="00A905F8"/>
    <w:rsid w:val="00A9167D"/>
    <w:rsid w:val="00A91895"/>
    <w:rsid w:val="00A92D25"/>
    <w:rsid w:val="00A9401F"/>
    <w:rsid w:val="00A94689"/>
    <w:rsid w:val="00A94DDB"/>
    <w:rsid w:val="00A94F82"/>
    <w:rsid w:val="00A950A1"/>
    <w:rsid w:val="00A965CD"/>
    <w:rsid w:val="00A96970"/>
    <w:rsid w:val="00AA1BEC"/>
    <w:rsid w:val="00AA27AA"/>
    <w:rsid w:val="00AA2DF3"/>
    <w:rsid w:val="00AA4761"/>
    <w:rsid w:val="00AA50BC"/>
    <w:rsid w:val="00AA69B4"/>
    <w:rsid w:val="00AA6AE4"/>
    <w:rsid w:val="00AB24E7"/>
    <w:rsid w:val="00AB3237"/>
    <w:rsid w:val="00AB3917"/>
    <w:rsid w:val="00AB3A2D"/>
    <w:rsid w:val="00AB4AC8"/>
    <w:rsid w:val="00AB5E21"/>
    <w:rsid w:val="00AB6AD4"/>
    <w:rsid w:val="00AB75AE"/>
    <w:rsid w:val="00AB76EC"/>
    <w:rsid w:val="00AB7933"/>
    <w:rsid w:val="00AB7947"/>
    <w:rsid w:val="00AC13C9"/>
    <w:rsid w:val="00AC3071"/>
    <w:rsid w:val="00AC3A08"/>
    <w:rsid w:val="00AC3D18"/>
    <w:rsid w:val="00AC4EF5"/>
    <w:rsid w:val="00AC6332"/>
    <w:rsid w:val="00AD10CF"/>
    <w:rsid w:val="00AD2FC0"/>
    <w:rsid w:val="00AD3581"/>
    <w:rsid w:val="00AD35EA"/>
    <w:rsid w:val="00AD3BC7"/>
    <w:rsid w:val="00AD42E2"/>
    <w:rsid w:val="00AD4967"/>
    <w:rsid w:val="00AD562E"/>
    <w:rsid w:val="00AD5B1B"/>
    <w:rsid w:val="00AD66BE"/>
    <w:rsid w:val="00AD6DB9"/>
    <w:rsid w:val="00AD7120"/>
    <w:rsid w:val="00AE12A9"/>
    <w:rsid w:val="00AE2459"/>
    <w:rsid w:val="00AE29C2"/>
    <w:rsid w:val="00AE3D23"/>
    <w:rsid w:val="00AE4CEC"/>
    <w:rsid w:val="00AE4EC8"/>
    <w:rsid w:val="00AE517C"/>
    <w:rsid w:val="00AE599E"/>
    <w:rsid w:val="00AE5D9F"/>
    <w:rsid w:val="00AE5F15"/>
    <w:rsid w:val="00AE61C0"/>
    <w:rsid w:val="00AE72C2"/>
    <w:rsid w:val="00AE76C9"/>
    <w:rsid w:val="00AF06B4"/>
    <w:rsid w:val="00AF0C7E"/>
    <w:rsid w:val="00AF0EB2"/>
    <w:rsid w:val="00AF2791"/>
    <w:rsid w:val="00AF2EF5"/>
    <w:rsid w:val="00AF3117"/>
    <w:rsid w:val="00AF326B"/>
    <w:rsid w:val="00AF32F0"/>
    <w:rsid w:val="00AF3811"/>
    <w:rsid w:val="00AF418D"/>
    <w:rsid w:val="00AF560E"/>
    <w:rsid w:val="00AF6220"/>
    <w:rsid w:val="00AF70EE"/>
    <w:rsid w:val="00AF7618"/>
    <w:rsid w:val="00B00B01"/>
    <w:rsid w:val="00B01538"/>
    <w:rsid w:val="00B04550"/>
    <w:rsid w:val="00B04964"/>
    <w:rsid w:val="00B04CBD"/>
    <w:rsid w:val="00B07754"/>
    <w:rsid w:val="00B10605"/>
    <w:rsid w:val="00B10F95"/>
    <w:rsid w:val="00B11B0A"/>
    <w:rsid w:val="00B12331"/>
    <w:rsid w:val="00B124AD"/>
    <w:rsid w:val="00B154B3"/>
    <w:rsid w:val="00B15B71"/>
    <w:rsid w:val="00B16085"/>
    <w:rsid w:val="00B166C6"/>
    <w:rsid w:val="00B21941"/>
    <w:rsid w:val="00B21EB4"/>
    <w:rsid w:val="00B22A5B"/>
    <w:rsid w:val="00B2691D"/>
    <w:rsid w:val="00B26C44"/>
    <w:rsid w:val="00B27820"/>
    <w:rsid w:val="00B306EA"/>
    <w:rsid w:val="00B30944"/>
    <w:rsid w:val="00B3104B"/>
    <w:rsid w:val="00B32AAC"/>
    <w:rsid w:val="00B33F4D"/>
    <w:rsid w:val="00B36CFC"/>
    <w:rsid w:val="00B37148"/>
    <w:rsid w:val="00B37AFC"/>
    <w:rsid w:val="00B4084B"/>
    <w:rsid w:val="00B41232"/>
    <w:rsid w:val="00B42B56"/>
    <w:rsid w:val="00B45864"/>
    <w:rsid w:val="00B460B5"/>
    <w:rsid w:val="00B47F4C"/>
    <w:rsid w:val="00B50032"/>
    <w:rsid w:val="00B50958"/>
    <w:rsid w:val="00B51526"/>
    <w:rsid w:val="00B567D8"/>
    <w:rsid w:val="00B60F6F"/>
    <w:rsid w:val="00B61A52"/>
    <w:rsid w:val="00B6230B"/>
    <w:rsid w:val="00B63C3C"/>
    <w:rsid w:val="00B64DE4"/>
    <w:rsid w:val="00B65561"/>
    <w:rsid w:val="00B676B8"/>
    <w:rsid w:val="00B70250"/>
    <w:rsid w:val="00B70C9E"/>
    <w:rsid w:val="00B70F85"/>
    <w:rsid w:val="00B71222"/>
    <w:rsid w:val="00B7174A"/>
    <w:rsid w:val="00B7358B"/>
    <w:rsid w:val="00B7388C"/>
    <w:rsid w:val="00B73E0D"/>
    <w:rsid w:val="00B7521F"/>
    <w:rsid w:val="00B830A1"/>
    <w:rsid w:val="00B83160"/>
    <w:rsid w:val="00B8365B"/>
    <w:rsid w:val="00B83705"/>
    <w:rsid w:val="00B83CA0"/>
    <w:rsid w:val="00B84243"/>
    <w:rsid w:val="00B85C34"/>
    <w:rsid w:val="00B86CCD"/>
    <w:rsid w:val="00B876C0"/>
    <w:rsid w:val="00B87806"/>
    <w:rsid w:val="00B91495"/>
    <w:rsid w:val="00B92B09"/>
    <w:rsid w:val="00B93884"/>
    <w:rsid w:val="00B93D53"/>
    <w:rsid w:val="00B94405"/>
    <w:rsid w:val="00B94A65"/>
    <w:rsid w:val="00B94ADF"/>
    <w:rsid w:val="00B94FB4"/>
    <w:rsid w:val="00B95D2D"/>
    <w:rsid w:val="00B9607C"/>
    <w:rsid w:val="00B9676C"/>
    <w:rsid w:val="00BA0966"/>
    <w:rsid w:val="00BA0F2F"/>
    <w:rsid w:val="00BA28F3"/>
    <w:rsid w:val="00BA379F"/>
    <w:rsid w:val="00BA603C"/>
    <w:rsid w:val="00BA6777"/>
    <w:rsid w:val="00BA7262"/>
    <w:rsid w:val="00BB2A98"/>
    <w:rsid w:val="00BB3AB5"/>
    <w:rsid w:val="00BB3DA8"/>
    <w:rsid w:val="00BB498B"/>
    <w:rsid w:val="00BB5A84"/>
    <w:rsid w:val="00BB6D23"/>
    <w:rsid w:val="00BB721D"/>
    <w:rsid w:val="00BB7455"/>
    <w:rsid w:val="00BB7E00"/>
    <w:rsid w:val="00BC2C65"/>
    <w:rsid w:val="00BC3472"/>
    <w:rsid w:val="00BC3CAB"/>
    <w:rsid w:val="00BC42CE"/>
    <w:rsid w:val="00BC6702"/>
    <w:rsid w:val="00BC76B4"/>
    <w:rsid w:val="00BD210E"/>
    <w:rsid w:val="00BD2CB2"/>
    <w:rsid w:val="00BD34C3"/>
    <w:rsid w:val="00BD40CB"/>
    <w:rsid w:val="00BD4954"/>
    <w:rsid w:val="00BD78D5"/>
    <w:rsid w:val="00BE0659"/>
    <w:rsid w:val="00BE0A68"/>
    <w:rsid w:val="00BE537C"/>
    <w:rsid w:val="00BE6AB2"/>
    <w:rsid w:val="00BE6D85"/>
    <w:rsid w:val="00BE70B3"/>
    <w:rsid w:val="00BE7D58"/>
    <w:rsid w:val="00BF0270"/>
    <w:rsid w:val="00BF0E14"/>
    <w:rsid w:val="00BF164E"/>
    <w:rsid w:val="00BF1A33"/>
    <w:rsid w:val="00BF23C3"/>
    <w:rsid w:val="00BF3D35"/>
    <w:rsid w:val="00BF6D42"/>
    <w:rsid w:val="00BF7ED9"/>
    <w:rsid w:val="00C00AA5"/>
    <w:rsid w:val="00C00B3B"/>
    <w:rsid w:val="00C02450"/>
    <w:rsid w:val="00C038D0"/>
    <w:rsid w:val="00C066AF"/>
    <w:rsid w:val="00C06CE4"/>
    <w:rsid w:val="00C07DEC"/>
    <w:rsid w:val="00C1005F"/>
    <w:rsid w:val="00C1071B"/>
    <w:rsid w:val="00C107D2"/>
    <w:rsid w:val="00C11F05"/>
    <w:rsid w:val="00C11F2F"/>
    <w:rsid w:val="00C12D0A"/>
    <w:rsid w:val="00C13681"/>
    <w:rsid w:val="00C13DA0"/>
    <w:rsid w:val="00C15DEF"/>
    <w:rsid w:val="00C17B32"/>
    <w:rsid w:val="00C20E76"/>
    <w:rsid w:val="00C21BF4"/>
    <w:rsid w:val="00C23647"/>
    <w:rsid w:val="00C2476F"/>
    <w:rsid w:val="00C24BB1"/>
    <w:rsid w:val="00C2641F"/>
    <w:rsid w:val="00C276B1"/>
    <w:rsid w:val="00C3009E"/>
    <w:rsid w:val="00C31E81"/>
    <w:rsid w:val="00C3239B"/>
    <w:rsid w:val="00C3249E"/>
    <w:rsid w:val="00C3303C"/>
    <w:rsid w:val="00C3324A"/>
    <w:rsid w:val="00C334B8"/>
    <w:rsid w:val="00C342CD"/>
    <w:rsid w:val="00C34390"/>
    <w:rsid w:val="00C34C59"/>
    <w:rsid w:val="00C359BA"/>
    <w:rsid w:val="00C36775"/>
    <w:rsid w:val="00C40689"/>
    <w:rsid w:val="00C41D55"/>
    <w:rsid w:val="00C42089"/>
    <w:rsid w:val="00C428E6"/>
    <w:rsid w:val="00C42D37"/>
    <w:rsid w:val="00C431A3"/>
    <w:rsid w:val="00C43DF8"/>
    <w:rsid w:val="00C44BE3"/>
    <w:rsid w:val="00C44C1D"/>
    <w:rsid w:val="00C450A9"/>
    <w:rsid w:val="00C45903"/>
    <w:rsid w:val="00C46399"/>
    <w:rsid w:val="00C46D0E"/>
    <w:rsid w:val="00C53EF2"/>
    <w:rsid w:val="00C55846"/>
    <w:rsid w:val="00C619AC"/>
    <w:rsid w:val="00C62C39"/>
    <w:rsid w:val="00C6305B"/>
    <w:rsid w:val="00C63109"/>
    <w:rsid w:val="00C63C1F"/>
    <w:rsid w:val="00C63ED7"/>
    <w:rsid w:val="00C65870"/>
    <w:rsid w:val="00C66319"/>
    <w:rsid w:val="00C705DA"/>
    <w:rsid w:val="00C7356F"/>
    <w:rsid w:val="00C74126"/>
    <w:rsid w:val="00C74C39"/>
    <w:rsid w:val="00C74DA9"/>
    <w:rsid w:val="00C74E8D"/>
    <w:rsid w:val="00C753BA"/>
    <w:rsid w:val="00C7638D"/>
    <w:rsid w:val="00C763EA"/>
    <w:rsid w:val="00C77417"/>
    <w:rsid w:val="00C8049D"/>
    <w:rsid w:val="00C8201E"/>
    <w:rsid w:val="00C854F5"/>
    <w:rsid w:val="00C85E77"/>
    <w:rsid w:val="00C86D90"/>
    <w:rsid w:val="00C872C5"/>
    <w:rsid w:val="00C8748F"/>
    <w:rsid w:val="00C87FB8"/>
    <w:rsid w:val="00C91347"/>
    <w:rsid w:val="00C91CF4"/>
    <w:rsid w:val="00C92123"/>
    <w:rsid w:val="00C946DC"/>
    <w:rsid w:val="00C95596"/>
    <w:rsid w:val="00C957D7"/>
    <w:rsid w:val="00C95850"/>
    <w:rsid w:val="00C95B85"/>
    <w:rsid w:val="00C97362"/>
    <w:rsid w:val="00C978F2"/>
    <w:rsid w:val="00C97F24"/>
    <w:rsid w:val="00C97F3F"/>
    <w:rsid w:val="00CA0B5E"/>
    <w:rsid w:val="00CA0F4F"/>
    <w:rsid w:val="00CA15D7"/>
    <w:rsid w:val="00CA2F21"/>
    <w:rsid w:val="00CA3214"/>
    <w:rsid w:val="00CA450E"/>
    <w:rsid w:val="00CA475B"/>
    <w:rsid w:val="00CA4819"/>
    <w:rsid w:val="00CA49A3"/>
    <w:rsid w:val="00CA600B"/>
    <w:rsid w:val="00CA709C"/>
    <w:rsid w:val="00CB1F59"/>
    <w:rsid w:val="00CB2844"/>
    <w:rsid w:val="00CB4589"/>
    <w:rsid w:val="00CB4CBB"/>
    <w:rsid w:val="00CB54F0"/>
    <w:rsid w:val="00CB60C9"/>
    <w:rsid w:val="00CB62C0"/>
    <w:rsid w:val="00CB6D24"/>
    <w:rsid w:val="00CB795F"/>
    <w:rsid w:val="00CC0486"/>
    <w:rsid w:val="00CC0B67"/>
    <w:rsid w:val="00CC12AE"/>
    <w:rsid w:val="00CC2A06"/>
    <w:rsid w:val="00CC36A5"/>
    <w:rsid w:val="00CC4867"/>
    <w:rsid w:val="00CC5AB0"/>
    <w:rsid w:val="00CC6371"/>
    <w:rsid w:val="00CC6562"/>
    <w:rsid w:val="00CC6AFF"/>
    <w:rsid w:val="00CC7ED8"/>
    <w:rsid w:val="00CC7F08"/>
    <w:rsid w:val="00CD1BF3"/>
    <w:rsid w:val="00CD3382"/>
    <w:rsid w:val="00CD6D33"/>
    <w:rsid w:val="00CD7202"/>
    <w:rsid w:val="00CD7E50"/>
    <w:rsid w:val="00CE0085"/>
    <w:rsid w:val="00CE0472"/>
    <w:rsid w:val="00CE082B"/>
    <w:rsid w:val="00CE179F"/>
    <w:rsid w:val="00CE2B6C"/>
    <w:rsid w:val="00CE2C1A"/>
    <w:rsid w:val="00CE3F53"/>
    <w:rsid w:val="00CE4134"/>
    <w:rsid w:val="00CE4D05"/>
    <w:rsid w:val="00CE558E"/>
    <w:rsid w:val="00CE5774"/>
    <w:rsid w:val="00CE7083"/>
    <w:rsid w:val="00CE7933"/>
    <w:rsid w:val="00CF164C"/>
    <w:rsid w:val="00CF2C6F"/>
    <w:rsid w:val="00CF40E8"/>
    <w:rsid w:val="00CF4131"/>
    <w:rsid w:val="00CF5085"/>
    <w:rsid w:val="00CF5FDC"/>
    <w:rsid w:val="00D00382"/>
    <w:rsid w:val="00D0086A"/>
    <w:rsid w:val="00D02C8E"/>
    <w:rsid w:val="00D02EF1"/>
    <w:rsid w:val="00D043CF"/>
    <w:rsid w:val="00D05719"/>
    <w:rsid w:val="00D07A8D"/>
    <w:rsid w:val="00D1024D"/>
    <w:rsid w:val="00D10EC9"/>
    <w:rsid w:val="00D11F5B"/>
    <w:rsid w:val="00D120BF"/>
    <w:rsid w:val="00D143EC"/>
    <w:rsid w:val="00D1469B"/>
    <w:rsid w:val="00D15792"/>
    <w:rsid w:val="00D1741D"/>
    <w:rsid w:val="00D174C3"/>
    <w:rsid w:val="00D17D15"/>
    <w:rsid w:val="00D17E55"/>
    <w:rsid w:val="00D17E96"/>
    <w:rsid w:val="00D2179B"/>
    <w:rsid w:val="00D21F46"/>
    <w:rsid w:val="00D22699"/>
    <w:rsid w:val="00D2316C"/>
    <w:rsid w:val="00D232B7"/>
    <w:rsid w:val="00D23531"/>
    <w:rsid w:val="00D24D0C"/>
    <w:rsid w:val="00D24FF4"/>
    <w:rsid w:val="00D30A84"/>
    <w:rsid w:val="00D30CBA"/>
    <w:rsid w:val="00D323B5"/>
    <w:rsid w:val="00D327B7"/>
    <w:rsid w:val="00D3564F"/>
    <w:rsid w:val="00D36333"/>
    <w:rsid w:val="00D37A7B"/>
    <w:rsid w:val="00D37C36"/>
    <w:rsid w:val="00D4187B"/>
    <w:rsid w:val="00D428B3"/>
    <w:rsid w:val="00D43E58"/>
    <w:rsid w:val="00D44150"/>
    <w:rsid w:val="00D44D21"/>
    <w:rsid w:val="00D456C4"/>
    <w:rsid w:val="00D459CF"/>
    <w:rsid w:val="00D46A7B"/>
    <w:rsid w:val="00D46D74"/>
    <w:rsid w:val="00D5073A"/>
    <w:rsid w:val="00D50C9B"/>
    <w:rsid w:val="00D52088"/>
    <w:rsid w:val="00D549BF"/>
    <w:rsid w:val="00D550F6"/>
    <w:rsid w:val="00D551E1"/>
    <w:rsid w:val="00D55763"/>
    <w:rsid w:val="00D5708A"/>
    <w:rsid w:val="00D576B5"/>
    <w:rsid w:val="00D57849"/>
    <w:rsid w:val="00D579C5"/>
    <w:rsid w:val="00D60439"/>
    <w:rsid w:val="00D606C2"/>
    <w:rsid w:val="00D6199A"/>
    <w:rsid w:val="00D62AB4"/>
    <w:rsid w:val="00D634BA"/>
    <w:rsid w:val="00D6445A"/>
    <w:rsid w:val="00D6661E"/>
    <w:rsid w:val="00D6714F"/>
    <w:rsid w:val="00D70BF5"/>
    <w:rsid w:val="00D70EB2"/>
    <w:rsid w:val="00D715EF"/>
    <w:rsid w:val="00D720BB"/>
    <w:rsid w:val="00D729FE"/>
    <w:rsid w:val="00D75924"/>
    <w:rsid w:val="00D75DD0"/>
    <w:rsid w:val="00D7602E"/>
    <w:rsid w:val="00D76996"/>
    <w:rsid w:val="00D77C45"/>
    <w:rsid w:val="00D81071"/>
    <w:rsid w:val="00D82879"/>
    <w:rsid w:val="00D83B82"/>
    <w:rsid w:val="00D85D3F"/>
    <w:rsid w:val="00D86FFD"/>
    <w:rsid w:val="00D87479"/>
    <w:rsid w:val="00D9150D"/>
    <w:rsid w:val="00D92B42"/>
    <w:rsid w:val="00D93254"/>
    <w:rsid w:val="00D952A8"/>
    <w:rsid w:val="00D961F2"/>
    <w:rsid w:val="00D97687"/>
    <w:rsid w:val="00D9774A"/>
    <w:rsid w:val="00D9775E"/>
    <w:rsid w:val="00DA021D"/>
    <w:rsid w:val="00DA1610"/>
    <w:rsid w:val="00DA1A11"/>
    <w:rsid w:val="00DA1BEF"/>
    <w:rsid w:val="00DA28A8"/>
    <w:rsid w:val="00DA3143"/>
    <w:rsid w:val="00DA4EAE"/>
    <w:rsid w:val="00DA6854"/>
    <w:rsid w:val="00DA6D4F"/>
    <w:rsid w:val="00DA6FB4"/>
    <w:rsid w:val="00DA7AC3"/>
    <w:rsid w:val="00DA7B65"/>
    <w:rsid w:val="00DB10A8"/>
    <w:rsid w:val="00DB22B0"/>
    <w:rsid w:val="00DB4C98"/>
    <w:rsid w:val="00DB584E"/>
    <w:rsid w:val="00DB69D9"/>
    <w:rsid w:val="00DC16AF"/>
    <w:rsid w:val="00DC1D72"/>
    <w:rsid w:val="00DC32EC"/>
    <w:rsid w:val="00DC4099"/>
    <w:rsid w:val="00DC4790"/>
    <w:rsid w:val="00DC6737"/>
    <w:rsid w:val="00DD051E"/>
    <w:rsid w:val="00DD05B3"/>
    <w:rsid w:val="00DD0BA0"/>
    <w:rsid w:val="00DD1046"/>
    <w:rsid w:val="00DD53A9"/>
    <w:rsid w:val="00DD5856"/>
    <w:rsid w:val="00DD7B40"/>
    <w:rsid w:val="00DE117E"/>
    <w:rsid w:val="00DE1987"/>
    <w:rsid w:val="00DE1EF9"/>
    <w:rsid w:val="00DE2A71"/>
    <w:rsid w:val="00DE36CF"/>
    <w:rsid w:val="00DE370B"/>
    <w:rsid w:val="00DE42BA"/>
    <w:rsid w:val="00DE50C2"/>
    <w:rsid w:val="00DE566F"/>
    <w:rsid w:val="00DE5DF9"/>
    <w:rsid w:val="00DE5E0C"/>
    <w:rsid w:val="00DF0728"/>
    <w:rsid w:val="00DF1ADC"/>
    <w:rsid w:val="00DF2249"/>
    <w:rsid w:val="00DF2347"/>
    <w:rsid w:val="00DF2C5D"/>
    <w:rsid w:val="00DF30D5"/>
    <w:rsid w:val="00DF363A"/>
    <w:rsid w:val="00DF4173"/>
    <w:rsid w:val="00DF4488"/>
    <w:rsid w:val="00DF4979"/>
    <w:rsid w:val="00DF53E8"/>
    <w:rsid w:val="00DF61C8"/>
    <w:rsid w:val="00DF6323"/>
    <w:rsid w:val="00DF6B26"/>
    <w:rsid w:val="00DF744E"/>
    <w:rsid w:val="00E00258"/>
    <w:rsid w:val="00E0068F"/>
    <w:rsid w:val="00E01AB5"/>
    <w:rsid w:val="00E01B7C"/>
    <w:rsid w:val="00E054BA"/>
    <w:rsid w:val="00E05967"/>
    <w:rsid w:val="00E06F9F"/>
    <w:rsid w:val="00E1099E"/>
    <w:rsid w:val="00E10D3F"/>
    <w:rsid w:val="00E1129E"/>
    <w:rsid w:val="00E120DB"/>
    <w:rsid w:val="00E121DD"/>
    <w:rsid w:val="00E15A7E"/>
    <w:rsid w:val="00E160CA"/>
    <w:rsid w:val="00E1675C"/>
    <w:rsid w:val="00E16977"/>
    <w:rsid w:val="00E16BE1"/>
    <w:rsid w:val="00E17DAB"/>
    <w:rsid w:val="00E20209"/>
    <w:rsid w:val="00E20628"/>
    <w:rsid w:val="00E2103B"/>
    <w:rsid w:val="00E223BE"/>
    <w:rsid w:val="00E22A07"/>
    <w:rsid w:val="00E235C3"/>
    <w:rsid w:val="00E253F7"/>
    <w:rsid w:val="00E26003"/>
    <w:rsid w:val="00E273FF"/>
    <w:rsid w:val="00E27B91"/>
    <w:rsid w:val="00E306E7"/>
    <w:rsid w:val="00E3087C"/>
    <w:rsid w:val="00E30E1D"/>
    <w:rsid w:val="00E30FE2"/>
    <w:rsid w:val="00E335C8"/>
    <w:rsid w:val="00E3780C"/>
    <w:rsid w:val="00E37BA9"/>
    <w:rsid w:val="00E37F9B"/>
    <w:rsid w:val="00E42411"/>
    <w:rsid w:val="00E42C8A"/>
    <w:rsid w:val="00E436F2"/>
    <w:rsid w:val="00E43965"/>
    <w:rsid w:val="00E43E3B"/>
    <w:rsid w:val="00E4452C"/>
    <w:rsid w:val="00E4582E"/>
    <w:rsid w:val="00E46611"/>
    <w:rsid w:val="00E46AB8"/>
    <w:rsid w:val="00E473B3"/>
    <w:rsid w:val="00E507B9"/>
    <w:rsid w:val="00E50E8D"/>
    <w:rsid w:val="00E51F1C"/>
    <w:rsid w:val="00E53F1A"/>
    <w:rsid w:val="00E54185"/>
    <w:rsid w:val="00E5444F"/>
    <w:rsid w:val="00E55ABA"/>
    <w:rsid w:val="00E57681"/>
    <w:rsid w:val="00E57CA7"/>
    <w:rsid w:val="00E61C5E"/>
    <w:rsid w:val="00E61EC0"/>
    <w:rsid w:val="00E62415"/>
    <w:rsid w:val="00E62B36"/>
    <w:rsid w:val="00E62DF5"/>
    <w:rsid w:val="00E63BDC"/>
    <w:rsid w:val="00E647C8"/>
    <w:rsid w:val="00E67C82"/>
    <w:rsid w:val="00E702CE"/>
    <w:rsid w:val="00E70F0A"/>
    <w:rsid w:val="00E71844"/>
    <w:rsid w:val="00E720A9"/>
    <w:rsid w:val="00E731D7"/>
    <w:rsid w:val="00E7371B"/>
    <w:rsid w:val="00E73765"/>
    <w:rsid w:val="00E74ACE"/>
    <w:rsid w:val="00E75A0F"/>
    <w:rsid w:val="00E77C06"/>
    <w:rsid w:val="00E831F7"/>
    <w:rsid w:val="00E835D7"/>
    <w:rsid w:val="00E855E0"/>
    <w:rsid w:val="00E860B7"/>
    <w:rsid w:val="00E86239"/>
    <w:rsid w:val="00E8780D"/>
    <w:rsid w:val="00E9221F"/>
    <w:rsid w:val="00E92644"/>
    <w:rsid w:val="00E93186"/>
    <w:rsid w:val="00E93C24"/>
    <w:rsid w:val="00E94499"/>
    <w:rsid w:val="00E95DB8"/>
    <w:rsid w:val="00E95E3B"/>
    <w:rsid w:val="00E97527"/>
    <w:rsid w:val="00EA186C"/>
    <w:rsid w:val="00EA3695"/>
    <w:rsid w:val="00EA46A8"/>
    <w:rsid w:val="00EA5A9E"/>
    <w:rsid w:val="00EA6556"/>
    <w:rsid w:val="00EA6842"/>
    <w:rsid w:val="00EA6D25"/>
    <w:rsid w:val="00EB1B80"/>
    <w:rsid w:val="00EB4C26"/>
    <w:rsid w:val="00EB5127"/>
    <w:rsid w:val="00EB53F2"/>
    <w:rsid w:val="00EB548C"/>
    <w:rsid w:val="00EB7803"/>
    <w:rsid w:val="00EC0295"/>
    <w:rsid w:val="00EC0454"/>
    <w:rsid w:val="00EC19C7"/>
    <w:rsid w:val="00EC19FA"/>
    <w:rsid w:val="00EC1F39"/>
    <w:rsid w:val="00EC2948"/>
    <w:rsid w:val="00EC5F86"/>
    <w:rsid w:val="00ED0701"/>
    <w:rsid w:val="00ED0940"/>
    <w:rsid w:val="00ED25CE"/>
    <w:rsid w:val="00ED3A55"/>
    <w:rsid w:val="00ED3B06"/>
    <w:rsid w:val="00ED402C"/>
    <w:rsid w:val="00ED511B"/>
    <w:rsid w:val="00ED5CA4"/>
    <w:rsid w:val="00ED7DD7"/>
    <w:rsid w:val="00EE0ACF"/>
    <w:rsid w:val="00EE22E3"/>
    <w:rsid w:val="00EE2ED0"/>
    <w:rsid w:val="00EE37DE"/>
    <w:rsid w:val="00EE67C5"/>
    <w:rsid w:val="00EF18EF"/>
    <w:rsid w:val="00EF4031"/>
    <w:rsid w:val="00EF45CE"/>
    <w:rsid w:val="00EF4C71"/>
    <w:rsid w:val="00EF695C"/>
    <w:rsid w:val="00F00984"/>
    <w:rsid w:val="00F01FF7"/>
    <w:rsid w:val="00F03060"/>
    <w:rsid w:val="00F05908"/>
    <w:rsid w:val="00F10305"/>
    <w:rsid w:val="00F1076B"/>
    <w:rsid w:val="00F10D71"/>
    <w:rsid w:val="00F11B9B"/>
    <w:rsid w:val="00F11D20"/>
    <w:rsid w:val="00F120D0"/>
    <w:rsid w:val="00F1363A"/>
    <w:rsid w:val="00F13E0D"/>
    <w:rsid w:val="00F15DFF"/>
    <w:rsid w:val="00F175CA"/>
    <w:rsid w:val="00F20B6E"/>
    <w:rsid w:val="00F20FF5"/>
    <w:rsid w:val="00F248EC"/>
    <w:rsid w:val="00F24BCF"/>
    <w:rsid w:val="00F24C64"/>
    <w:rsid w:val="00F2639B"/>
    <w:rsid w:val="00F271F4"/>
    <w:rsid w:val="00F276EE"/>
    <w:rsid w:val="00F3255F"/>
    <w:rsid w:val="00F33271"/>
    <w:rsid w:val="00F3510E"/>
    <w:rsid w:val="00F35B8D"/>
    <w:rsid w:val="00F373DC"/>
    <w:rsid w:val="00F37EF3"/>
    <w:rsid w:val="00F403D6"/>
    <w:rsid w:val="00F40782"/>
    <w:rsid w:val="00F422EF"/>
    <w:rsid w:val="00F42894"/>
    <w:rsid w:val="00F43E26"/>
    <w:rsid w:val="00F4532B"/>
    <w:rsid w:val="00F45CF2"/>
    <w:rsid w:val="00F470EA"/>
    <w:rsid w:val="00F47B25"/>
    <w:rsid w:val="00F506AE"/>
    <w:rsid w:val="00F51346"/>
    <w:rsid w:val="00F5235B"/>
    <w:rsid w:val="00F52750"/>
    <w:rsid w:val="00F541D3"/>
    <w:rsid w:val="00F54947"/>
    <w:rsid w:val="00F54F7B"/>
    <w:rsid w:val="00F55CD7"/>
    <w:rsid w:val="00F560DC"/>
    <w:rsid w:val="00F56916"/>
    <w:rsid w:val="00F56AD0"/>
    <w:rsid w:val="00F56CB1"/>
    <w:rsid w:val="00F626C2"/>
    <w:rsid w:val="00F630EF"/>
    <w:rsid w:val="00F63F85"/>
    <w:rsid w:val="00F65819"/>
    <w:rsid w:val="00F66865"/>
    <w:rsid w:val="00F67A6B"/>
    <w:rsid w:val="00F70B5B"/>
    <w:rsid w:val="00F71634"/>
    <w:rsid w:val="00F7244F"/>
    <w:rsid w:val="00F72962"/>
    <w:rsid w:val="00F72D23"/>
    <w:rsid w:val="00F743D8"/>
    <w:rsid w:val="00F74CB0"/>
    <w:rsid w:val="00F75495"/>
    <w:rsid w:val="00F7639C"/>
    <w:rsid w:val="00F765EB"/>
    <w:rsid w:val="00F773A0"/>
    <w:rsid w:val="00F81CE4"/>
    <w:rsid w:val="00F822BA"/>
    <w:rsid w:val="00F8673B"/>
    <w:rsid w:val="00F87522"/>
    <w:rsid w:val="00F908F8"/>
    <w:rsid w:val="00F91F9C"/>
    <w:rsid w:val="00F92442"/>
    <w:rsid w:val="00F926C8"/>
    <w:rsid w:val="00F939DB"/>
    <w:rsid w:val="00F94E8C"/>
    <w:rsid w:val="00F964B0"/>
    <w:rsid w:val="00F973F0"/>
    <w:rsid w:val="00F97B52"/>
    <w:rsid w:val="00F97D2D"/>
    <w:rsid w:val="00FA05A4"/>
    <w:rsid w:val="00FA2F87"/>
    <w:rsid w:val="00FA30C2"/>
    <w:rsid w:val="00FA31D8"/>
    <w:rsid w:val="00FA63B6"/>
    <w:rsid w:val="00FA6958"/>
    <w:rsid w:val="00FA7135"/>
    <w:rsid w:val="00FA784C"/>
    <w:rsid w:val="00FB06E1"/>
    <w:rsid w:val="00FB0CA2"/>
    <w:rsid w:val="00FB1A25"/>
    <w:rsid w:val="00FB4A9E"/>
    <w:rsid w:val="00FB66AB"/>
    <w:rsid w:val="00FB6912"/>
    <w:rsid w:val="00FC00DD"/>
    <w:rsid w:val="00FC0A72"/>
    <w:rsid w:val="00FC1247"/>
    <w:rsid w:val="00FC13E2"/>
    <w:rsid w:val="00FC14D9"/>
    <w:rsid w:val="00FC1C66"/>
    <w:rsid w:val="00FC27D4"/>
    <w:rsid w:val="00FC3CD4"/>
    <w:rsid w:val="00FC4E2A"/>
    <w:rsid w:val="00FC6CF3"/>
    <w:rsid w:val="00FC6F4F"/>
    <w:rsid w:val="00FD1B30"/>
    <w:rsid w:val="00FD2E36"/>
    <w:rsid w:val="00FD3D3E"/>
    <w:rsid w:val="00FD4975"/>
    <w:rsid w:val="00FD5051"/>
    <w:rsid w:val="00FD522D"/>
    <w:rsid w:val="00FD5958"/>
    <w:rsid w:val="00FD5A0F"/>
    <w:rsid w:val="00FD756D"/>
    <w:rsid w:val="00FD7972"/>
    <w:rsid w:val="00FD79EA"/>
    <w:rsid w:val="00FE059A"/>
    <w:rsid w:val="00FE0781"/>
    <w:rsid w:val="00FE1091"/>
    <w:rsid w:val="00FE2022"/>
    <w:rsid w:val="00FE29AF"/>
    <w:rsid w:val="00FE395C"/>
    <w:rsid w:val="00FE3DE9"/>
    <w:rsid w:val="00FE54AE"/>
    <w:rsid w:val="00FE6362"/>
    <w:rsid w:val="00FF1E56"/>
    <w:rsid w:val="00FF2122"/>
    <w:rsid w:val="00FF2339"/>
    <w:rsid w:val="00FF2430"/>
    <w:rsid w:val="00FF26B9"/>
    <w:rsid w:val="00FF33AA"/>
    <w:rsid w:val="00FF371D"/>
    <w:rsid w:val="00FF4B33"/>
    <w:rsid w:val="00FF581C"/>
    <w:rsid w:val="00FF637D"/>
    <w:rsid w:val="00FF64CF"/>
    <w:rsid w:val="00FF6B5D"/>
    <w:rsid w:val="00FF75BA"/>
    <w:rsid w:val="00FF76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HeadingBase"/>
    <w:next w:val="Normal"/>
    <w:qFormat/>
    <w:rsid w:val="005328A9"/>
    <w:pPr>
      <w:spacing w:after="360"/>
      <w:jc w:val="center"/>
      <w:outlineLvl w:val="0"/>
    </w:pPr>
    <w:rPr>
      <w:rFonts w:ascii="Arial Bold" w:hAnsi="Arial Bold"/>
      <w:b/>
      <w:kern w:val="28"/>
      <w:sz w:val="36"/>
    </w:rPr>
  </w:style>
  <w:style w:type="paragraph" w:styleId="Heading2">
    <w:name w:val="heading 2"/>
    <w:basedOn w:val="HeadingBase"/>
    <w:next w:val="Normal"/>
    <w:qFormat/>
    <w:rsid w:val="005328A9"/>
    <w:pPr>
      <w:spacing w:before="360" w:after="120"/>
      <w:outlineLvl w:val="1"/>
    </w:pPr>
    <w:rPr>
      <w:b/>
      <w:sz w:val="26"/>
    </w:rPr>
  </w:style>
  <w:style w:type="paragraph" w:styleId="Heading3">
    <w:name w:val="heading 3"/>
    <w:basedOn w:val="HeadingBase"/>
    <w:next w:val="Normal"/>
    <w:link w:val="Heading3Char"/>
    <w:qFormat/>
    <w:rsid w:val="005328A9"/>
    <w:pPr>
      <w:tabs>
        <w:tab w:val="left" w:pos="709"/>
      </w:tabs>
      <w:spacing w:before="360" w:after="120"/>
      <w:outlineLvl w:val="2"/>
    </w:pPr>
    <w:rPr>
      <w:rFonts w:ascii="Arial Bold" w:hAnsi="Arial Bold"/>
      <w:b/>
      <w:sz w:val="22"/>
    </w:rPr>
  </w:style>
  <w:style w:type="paragraph" w:styleId="Heading4">
    <w:name w:val="heading 4"/>
    <w:basedOn w:val="HeadingBase"/>
    <w:next w:val="Normal"/>
    <w:qFormat/>
    <w:rsid w:val="005328A9"/>
    <w:pPr>
      <w:tabs>
        <w:tab w:val="left" w:pos="709"/>
      </w:tabs>
      <w:spacing w:before="240" w:after="120"/>
      <w:outlineLvl w:val="3"/>
    </w:pPr>
    <w:rPr>
      <w:b/>
      <w:sz w:val="20"/>
    </w:rPr>
  </w:style>
  <w:style w:type="paragraph" w:styleId="Heading5">
    <w:name w:val="heading 5"/>
    <w:basedOn w:val="HeadingBase"/>
    <w:next w:val="Normal"/>
    <w:qFormat/>
    <w:rsid w:val="005328A9"/>
    <w:pPr>
      <w:spacing w:after="120"/>
      <w:outlineLvl w:val="4"/>
    </w:pPr>
    <w:rPr>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semiHidden/>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semiHidden/>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basedOn w:val="Normal"/>
    <w:uiPriority w:val="34"/>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5328A9"/>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semiHidden/>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rsid w:val="003B3684"/>
    <w:pPr>
      <w:jc w:val="left"/>
    </w:pPr>
    <w:rPr>
      <w:sz w:val="18"/>
      <w:lang w:val="en-AU" w:eastAsia="en-AU"/>
    </w:rPr>
  </w:style>
  <w:style w:type="paragraph" w:customStyle="1" w:styleId="ChartandTableFootnoteAlpha-Bullet">
    <w:name w:val="Chart and Table Footnote Alpha - Bullet"/>
    <w:basedOn w:val="ChartandTableFootnoteAlpha"/>
    <w:rsid w:val="00392DD1"/>
    <w:pPr>
      <w:numPr>
        <w:numId w:val="12"/>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customStyle="1" w:styleId="Bulletpoint">
    <w:name w:val="Bullet point"/>
    <w:basedOn w:val="ListBullet"/>
    <w:qFormat/>
    <w:rsid w:val="00DF4979"/>
    <w:pPr>
      <w:numPr>
        <w:numId w:val="15"/>
      </w:numPr>
      <w:tabs>
        <w:tab w:val="num" w:pos="284"/>
        <w:tab w:val="left" w:pos="340"/>
      </w:tabs>
      <w:spacing w:before="120" w:after="0" w:line="240" w:lineRule="auto"/>
      <w:ind w:left="284" w:hanging="284"/>
      <w:contextualSpacing w:val="0"/>
      <w:jc w:val="left"/>
    </w:pPr>
    <w:rPr>
      <w:rFonts w:ascii="Arial" w:eastAsia="Arial" w:hAnsi="Arial"/>
      <w:sz w:val="22"/>
      <w:szCs w:val="22"/>
      <w:lang w:eastAsia="en-US"/>
    </w:rPr>
  </w:style>
  <w:style w:type="paragraph" w:styleId="ListBullet">
    <w:name w:val="List Bullet"/>
    <w:basedOn w:val="Normal"/>
    <w:semiHidden/>
    <w:unhideWhenUsed/>
    <w:rsid w:val="00DF4979"/>
    <w:pPr>
      <w:numPr>
        <w:numId w:val="11"/>
      </w:numPr>
      <w:contextualSpacing/>
    </w:pPr>
  </w:style>
  <w:style w:type="character" w:customStyle="1" w:styleId="UnresolvedMention1">
    <w:name w:val="Unresolved Mention1"/>
    <w:basedOn w:val="DefaultParagraphFont"/>
    <w:uiPriority w:val="99"/>
    <w:semiHidden/>
    <w:unhideWhenUsed/>
    <w:rsid w:val="005A5CB4"/>
    <w:rPr>
      <w:color w:val="605E5C"/>
      <w:shd w:val="clear" w:color="auto" w:fill="E1DFDD"/>
    </w:rPr>
  </w:style>
  <w:style w:type="character" w:customStyle="1" w:styleId="null1">
    <w:name w:val="null1"/>
    <w:basedOn w:val="DefaultParagraphFont"/>
    <w:rsid w:val="00F03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54">
      <w:bodyDiv w:val="1"/>
      <w:marLeft w:val="0"/>
      <w:marRight w:val="0"/>
      <w:marTop w:val="0"/>
      <w:marBottom w:val="0"/>
      <w:divBdr>
        <w:top w:val="none" w:sz="0" w:space="0" w:color="auto"/>
        <w:left w:val="none" w:sz="0" w:space="0" w:color="auto"/>
        <w:bottom w:val="none" w:sz="0" w:space="0" w:color="auto"/>
        <w:right w:val="none" w:sz="0" w:space="0" w:color="auto"/>
      </w:divBdr>
    </w:div>
    <w:div w:id="22365889">
      <w:bodyDiv w:val="1"/>
      <w:marLeft w:val="0"/>
      <w:marRight w:val="0"/>
      <w:marTop w:val="0"/>
      <w:marBottom w:val="0"/>
      <w:divBdr>
        <w:top w:val="none" w:sz="0" w:space="0" w:color="auto"/>
        <w:left w:val="none" w:sz="0" w:space="0" w:color="auto"/>
        <w:bottom w:val="none" w:sz="0" w:space="0" w:color="auto"/>
        <w:right w:val="none" w:sz="0" w:space="0" w:color="auto"/>
      </w:divBdr>
    </w:div>
    <w:div w:id="51118264">
      <w:bodyDiv w:val="1"/>
      <w:marLeft w:val="0"/>
      <w:marRight w:val="0"/>
      <w:marTop w:val="0"/>
      <w:marBottom w:val="0"/>
      <w:divBdr>
        <w:top w:val="none" w:sz="0" w:space="0" w:color="auto"/>
        <w:left w:val="none" w:sz="0" w:space="0" w:color="auto"/>
        <w:bottom w:val="none" w:sz="0" w:space="0" w:color="auto"/>
        <w:right w:val="none" w:sz="0" w:space="0" w:color="auto"/>
      </w:divBdr>
    </w:div>
    <w:div w:id="61677781">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11754213">
      <w:bodyDiv w:val="1"/>
      <w:marLeft w:val="0"/>
      <w:marRight w:val="0"/>
      <w:marTop w:val="0"/>
      <w:marBottom w:val="0"/>
      <w:divBdr>
        <w:top w:val="none" w:sz="0" w:space="0" w:color="auto"/>
        <w:left w:val="none" w:sz="0" w:space="0" w:color="auto"/>
        <w:bottom w:val="none" w:sz="0" w:space="0" w:color="auto"/>
        <w:right w:val="none" w:sz="0" w:space="0" w:color="auto"/>
      </w:divBdr>
    </w:div>
    <w:div w:id="135417473">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0025574">
      <w:bodyDiv w:val="1"/>
      <w:marLeft w:val="0"/>
      <w:marRight w:val="0"/>
      <w:marTop w:val="0"/>
      <w:marBottom w:val="0"/>
      <w:divBdr>
        <w:top w:val="none" w:sz="0" w:space="0" w:color="auto"/>
        <w:left w:val="none" w:sz="0" w:space="0" w:color="auto"/>
        <w:bottom w:val="none" w:sz="0" w:space="0" w:color="auto"/>
        <w:right w:val="none" w:sz="0" w:space="0" w:color="auto"/>
      </w:divBdr>
    </w:div>
    <w:div w:id="151265493">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67141641">
      <w:bodyDiv w:val="1"/>
      <w:marLeft w:val="0"/>
      <w:marRight w:val="0"/>
      <w:marTop w:val="0"/>
      <w:marBottom w:val="0"/>
      <w:divBdr>
        <w:top w:val="none" w:sz="0" w:space="0" w:color="auto"/>
        <w:left w:val="none" w:sz="0" w:space="0" w:color="auto"/>
        <w:bottom w:val="none" w:sz="0" w:space="0" w:color="auto"/>
        <w:right w:val="none" w:sz="0" w:space="0" w:color="auto"/>
      </w:divBdr>
    </w:div>
    <w:div w:id="168643855">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8785526">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04870643">
      <w:bodyDiv w:val="1"/>
      <w:marLeft w:val="0"/>
      <w:marRight w:val="0"/>
      <w:marTop w:val="0"/>
      <w:marBottom w:val="0"/>
      <w:divBdr>
        <w:top w:val="none" w:sz="0" w:space="0" w:color="auto"/>
        <w:left w:val="none" w:sz="0" w:space="0" w:color="auto"/>
        <w:bottom w:val="none" w:sz="0" w:space="0" w:color="auto"/>
        <w:right w:val="none" w:sz="0" w:space="0" w:color="auto"/>
      </w:divBdr>
    </w:div>
    <w:div w:id="206725573">
      <w:bodyDiv w:val="1"/>
      <w:marLeft w:val="0"/>
      <w:marRight w:val="0"/>
      <w:marTop w:val="0"/>
      <w:marBottom w:val="0"/>
      <w:divBdr>
        <w:top w:val="none" w:sz="0" w:space="0" w:color="auto"/>
        <w:left w:val="none" w:sz="0" w:space="0" w:color="auto"/>
        <w:bottom w:val="none" w:sz="0" w:space="0" w:color="auto"/>
        <w:right w:val="none" w:sz="0" w:space="0" w:color="auto"/>
      </w:divBdr>
    </w:div>
    <w:div w:id="211892772">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39608771">
      <w:bodyDiv w:val="1"/>
      <w:marLeft w:val="0"/>
      <w:marRight w:val="0"/>
      <w:marTop w:val="0"/>
      <w:marBottom w:val="0"/>
      <w:divBdr>
        <w:top w:val="none" w:sz="0" w:space="0" w:color="auto"/>
        <w:left w:val="none" w:sz="0" w:space="0" w:color="auto"/>
        <w:bottom w:val="none" w:sz="0" w:space="0" w:color="auto"/>
        <w:right w:val="none" w:sz="0" w:space="0" w:color="auto"/>
      </w:divBdr>
    </w:div>
    <w:div w:id="277300039">
      <w:bodyDiv w:val="1"/>
      <w:marLeft w:val="0"/>
      <w:marRight w:val="0"/>
      <w:marTop w:val="0"/>
      <w:marBottom w:val="0"/>
      <w:divBdr>
        <w:top w:val="none" w:sz="0" w:space="0" w:color="auto"/>
        <w:left w:val="none" w:sz="0" w:space="0" w:color="auto"/>
        <w:bottom w:val="none" w:sz="0" w:space="0" w:color="auto"/>
        <w:right w:val="none" w:sz="0" w:space="0" w:color="auto"/>
      </w:divBdr>
    </w:div>
    <w:div w:id="277418268">
      <w:bodyDiv w:val="1"/>
      <w:marLeft w:val="0"/>
      <w:marRight w:val="0"/>
      <w:marTop w:val="0"/>
      <w:marBottom w:val="0"/>
      <w:divBdr>
        <w:top w:val="none" w:sz="0" w:space="0" w:color="auto"/>
        <w:left w:val="none" w:sz="0" w:space="0" w:color="auto"/>
        <w:bottom w:val="none" w:sz="0" w:space="0" w:color="auto"/>
        <w:right w:val="none" w:sz="0" w:space="0" w:color="auto"/>
      </w:divBdr>
    </w:div>
    <w:div w:id="279145991">
      <w:bodyDiv w:val="1"/>
      <w:marLeft w:val="0"/>
      <w:marRight w:val="0"/>
      <w:marTop w:val="0"/>
      <w:marBottom w:val="0"/>
      <w:divBdr>
        <w:top w:val="none" w:sz="0" w:space="0" w:color="auto"/>
        <w:left w:val="none" w:sz="0" w:space="0" w:color="auto"/>
        <w:bottom w:val="none" w:sz="0" w:space="0" w:color="auto"/>
        <w:right w:val="none" w:sz="0" w:space="0" w:color="auto"/>
      </w:divBdr>
    </w:div>
    <w:div w:id="281545165">
      <w:bodyDiv w:val="1"/>
      <w:marLeft w:val="0"/>
      <w:marRight w:val="0"/>
      <w:marTop w:val="0"/>
      <w:marBottom w:val="0"/>
      <w:divBdr>
        <w:top w:val="none" w:sz="0" w:space="0" w:color="auto"/>
        <w:left w:val="none" w:sz="0" w:space="0" w:color="auto"/>
        <w:bottom w:val="none" w:sz="0" w:space="0" w:color="auto"/>
        <w:right w:val="none" w:sz="0" w:space="0" w:color="auto"/>
      </w:divBdr>
    </w:div>
    <w:div w:id="29356102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19622337">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75668242">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71894662">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3445715">
      <w:bodyDiv w:val="1"/>
      <w:marLeft w:val="0"/>
      <w:marRight w:val="0"/>
      <w:marTop w:val="0"/>
      <w:marBottom w:val="0"/>
      <w:divBdr>
        <w:top w:val="none" w:sz="0" w:space="0" w:color="auto"/>
        <w:left w:val="none" w:sz="0" w:space="0" w:color="auto"/>
        <w:bottom w:val="none" w:sz="0" w:space="0" w:color="auto"/>
        <w:right w:val="none" w:sz="0" w:space="0" w:color="auto"/>
      </w:divBdr>
    </w:div>
    <w:div w:id="670372215">
      <w:bodyDiv w:val="1"/>
      <w:marLeft w:val="0"/>
      <w:marRight w:val="0"/>
      <w:marTop w:val="0"/>
      <w:marBottom w:val="0"/>
      <w:divBdr>
        <w:top w:val="none" w:sz="0" w:space="0" w:color="auto"/>
        <w:left w:val="none" w:sz="0" w:space="0" w:color="auto"/>
        <w:bottom w:val="none" w:sz="0" w:space="0" w:color="auto"/>
        <w:right w:val="none" w:sz="0" w:space="0" w:color="auto"/>
      </w:divBdr>
    </w:div>
    <w:div w:id="683484356">
      <w:bodyDiv w:val="1"/>
      <w:marLeft w:val="0"/>
      <w:marRight w:val="0"/>
      <w:marTop w:val="0"/>
      <w:marBottom w:val="0"/>
      <w:divBdr>
        <w:top w:val="none" w:sz="0" w:space="0" w:color="auto"/>
        <w:left w:val="none" w:sz="0" w:space="0" w:color="auto"/>
        <w:bottom w:val="none" w:sz="0" w:space="0" w:color="auto"/>
        <w:right w:val="none" w:sz="0" w:space="0" w:color="auto"/>
      </w:divBdr>
    </w:div>
    <w:div w:id="684552527">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6857030">
      <w:bodyDiv w:val="1"/>
      <w:marLeft w:val="0"/>
      <w:marRight w:val="0"/>
      <w:marTop w:val="0"/>
      <w:marBottom w:val="0"/>
      <w:divBdr>
        <w:top w:val="none" w:sz="0" w:space="0" w:color="auto"/>
        <w:left w:val="none" w:sz="0" w:space="0" w:color="auto"/>
        <w:bottom w:val="none" w:sz="0" w:space="0" w:color="auto"/>
        <w:right w:val="none" w:sz="0" w:space="0" w:color="auto"/>
      </w:divBdr>
    </w:div>
    <w:div w:id="810942985">
      <w:bodyDiv w:val="1"/>
      <w:marLeft w:val="0"/>
      <w:marRight w:val="0"/>
      <w:marTop w:val="0"/>
      <w:marBottom w:val="0"/>
      <w:divBdr>
        <w:top w:val="none" w:sz="0" w:space="0" w:color="auto"/>
        <w:left w:val="none" w:sz="0" w:space="0" w:color="auto"/>
        <w:bottom w:val="none" w:sz="0" w:space="0" w:color="auto"/>
        <w:right w:val="none" w:sz="0" w:space="0" w:color="auto"/>
      </w:divBdr>
    </w:div>
    <w:div w:id="815416265">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69998709">
      <w:bodyDiv w:val="1"/>
      <w:marLeft w:val="0"/>
      <w:marRight w:val="0"/>
      <w:marTop w:val="0"/>
      <w:marBottom w:val="0"/>
      <w:divBdr>
        <w:top w:val="none" w:sz="0" w:space="0" w:color="auto"/>
        <w:left w:val="none" w:sz="0" w:space="0" w:color="auto"/>
        <w:bottom w:val="none" w:sz="0" w:space="0" w:color="auto"/>
        <w:right w:val="none" w:sz="0" w:space="0" w:color="auto"/>
      </w:divBdr>
    </w:div>
    <w:div w:id="892930315">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20258865">
      <w:bodyDiv w:val="1"/>
      <w:marLeft w:val="0"/>
      <w:marRight w:val="0"/>
      <w:marTop w:val="0"/>
      <w:marBottom w:val="0"/>
      <w:divBdr>
        <w:top w:val="none" w:sz="0" w:space="0" w:color="auto"/>
        <w:left w:val="none" w:sz="0" w:space="0" w:color="auto"/>
        <w:bottom w:val="none" w:sz="0" w:space="0" w:color="auto"/>
        <w:right w:val="none" w:sz="0" w:space="0" w:color="auto"/>
      </w:divBdr>
    </w:div>
    <w:div w:id="94916980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8849459">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1997600">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5690051">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52845359">
      <w:bodyDiv w:val="1"/>
      <w:marLeft w:val="0"/>
      <w:marRight w:val="0"/>
      <w:marTop w:val="0"/>
      <w:marBottom w:val="0"/>
      <w:divBdr>
        <w:top w:val="none" w:sz="0" w:space="0" w:color="auto"/>
        <w:left w:val="none" w:sz="0" w:space="0" w:color="auto"/>
        <w:bottom w:val="none" w:sz="0" w:space="0" w:color="auto"/>
        <w:right w:val="none" w:sz="0" w:space="0" w:color="auto"/>
      </w:divBdr>
    </w:div>
    <w:div w:id="1053428586">
      <w:bodyDiv w:val="1"/>
      <w:marLeft w:val="0"/>
      <w:marRight w:val="0"/>
      <w:marTop w:val="0"/>
      <w:marBottom w:val="0"/>
      <w:divBdr>
        <w:top w:val="none" w:sz="0" w:space="0" w:color="auto"/>
        <w:left w:val="none" w:sz="0" w:space="0" w:color="auto"/>
        <w:bottom w:val="none" w:sz="0" w:space="0" w:color="auto"/>
        <w:right w:val="none" w:sz="0" w:space="0" w:color="auto"/>
      </w:divBdr>
    </w:div>
    <w:div w:id="1058280697">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89813163">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03638947">
      <w:bodyDiv w:val="1"/>
      <w:marLeft w:val="0"/>
      <w:marRight w:val="0"/>
      <w:marTop w:val="0"/>
      <w:marBottom w:val="0"/>
      <w:divBdr>
        <w:top w:val="none" w:sz="0" w:space="0" w:color="auto"/>
        <w:left w:val="none" w:sz="0" w:space="0" w:color="auto"/>
        <w:bottom w:val="none" w:sz="0" w:space="0" w:color="auto"/>
        <w:right w:val="none" w:sz="0" w:space="0" w:color="auto"/>
      </w:divBdr>
    </w:div>
    <w:div w:id="1203863468">
      <w:bodyDiv w:val="1"/>
      <w:marLeft w:val="0"/>
      <w:marRight w:val="0"/>
      <w:marTop w:val="0"/>
      <w:marBottom w:val="0"/>
      <w:divBdr>
        <w:top w:val="none" w:sz="0" w:space="0" w:color="auto"/>
        <w:left w:val="none" w:sz="0" w:space="0" w:color="auto"/>
        <w:bottom w:val="none" w:sz="0" w:space="0" w:color="auto"/>
        <w:right w:val="none" w:sz="0" w:space="0" w:color="auto"/>
      </w:divBdr>
    </w:div>
    <w:div w:id="1210337715">
      <w:bodyDiv w:val="1"/>
      <w:marLeft w:val="0"/>
      <w:marRight w:val="0"/>
      <w:marTop w:val="0"/>
      <w:marBottom w:val="0"/>
      <w:divBdr>
        <w:top w:val="none" w:sz="0" w:space="0" w:color="auto"/>
        <w:left w:val="none" w:sz="0" w:space="0" w:color="auto"/>
        <w:bottom w:val="none" w:sz="0" w:space="0" w:color="auto"/>
        <w:right w:val="none" w:sz="0" w:space="0" w:color="auto"/>
      </w:divBdr>
    </w:div>
    <w:div w:id="124002161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8829861">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10550418">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59283758">
      <w:bodyDiv w:val="1"/>
      <w:marLeft w:val="0"/>
      <w:marRight w:val="0"/>
      <w:marTop w:val="0"/>
      <w:marBottom w:val="0"/>
      <w:divBdr>
        <w:top w:val="none" w:sz="0" w:space="0" w:color="auto"/>
        <w:left w:val="none" w:sz="0" w:space="0" w:color="auto"/>
        <w:bottom w:val="none" w:sz="0" w:space="0" w:color="auto"/>
        <w:right w:val="none" w:sz="0" w:space="0" w:color="auto"/>
      </w:divBdr>
    </w:div>
    <w:div w:id="1363046962">
      <w:bodyDiv w:val="1"/>
      <w:marLeft w:val="0"/>
      <w:marRight w:val="0"/>
      <w:marTop w:val="0"/>
      <w:marBottom w:val="0"/>
      <w:divBdr>
        <w:top w:val="none" w:sz="0" w:space="0" w:color="auto"/>
        <w:left w:val="none" w:sz="0" w:space="0" w:color="auto"/>
        <w:bottom w:val="none" w:sz="0" w:space="0" w:color="auto"/>
        <w:right w:val="none" w:sz="0" w:space="0" w:color="auto"/>
      </w:divBdr>
    </w:div>
    <w:div w:id="1405444576">
      <w:bodyDiv w:val="1"/>
      <w:marLeft w:val="0"/>
      <w:marRight w:val="0"/>
      <w:marTop w:val="0"/>
      <w:marBottom w:val="0"/>
      <w:divBdr>
        <w:top w:val="none" w:sz="0" w:space="0" w:color="auto"/>
        <w:left w:val="none" w:sz="0" w:space="0" w:color="auto"/>
        <w:bottom w:val="none" w:sz="0" w:space="0" w:color="auto"/>
        <w:right w:val="none" w:sz="0" w:space="0" w:color="auto"/>
      </w:divBdr>
    </w:div>
    <w:div w:id="1409304453">
      <w:bodyDiv w:val="1"/>
      <w:marLeft w:val="0"/>
      <w:marRight w:val="0"/>
      <w:marTop w:val="0"/>
      <w:marBottom w:val="0"/>
      <w:divBdr>
        <w:top w:val="none" w:sz="0" w:space="0" w:color="auto"/>
        <w:left w:val="none" w:sz="0" w:space="0" w:color="auto"/>
        <w:bottom w:val="none" w:sz="0" w:space="0" w:color="auto"/>
        <w:right w:val="none" w:sz="0" w:space="0" w:color="auto"/>
      </w:divBdr>
    </w:div>
    <w:div w:id="1445030673">
      <w:bodyDiv w:val="1"/>
      <w:marLeft w:val="0"/>
      <w:marRight w:val="0"/>
      <w:marTop w:val="0"/>
      <w:marBottom w:val="0"/>
      <w:divBdr>
        <w:top w:val="none" w:sz="0" w:space="0" w:color="auto"/>
        <w:left w:val="none" w:sz="0" w:space="0" w:color="auto"/>
        <w:bottom w:val="none" w:sz="0" w:space="0" w:color="auto"/>
        <w:right w:val="none" w:sz="0" w:space="0" w:color="auto"/>
      </w:divBdr>
    </w:div>
    <w:div w:id="1445659120">
      <w:bodyDiv w:val="1"/>
      <w:marLeft w:val="0"/>
      <w:marRight w:val="0"/>
      <w:marTop w:val="0"/>
      <w:marBottom w:val="0"/>
      <w:divBdr>
        <w:top w:val="none" w:sz="0" w:space="0" w:color="auto"/>
        <w:left w:val="none" w:sz="0" w:space="0" w:color="auto"/>
        <w:bottom w:val="none" w:sz="0" w:space="0" w:color="auto"/>
        <w:right w:val="none" w:sz="0" w:space="0" w:color="auto"/>
      </w:divBdr>
    </w:div>
    <w:div w:id="1452749072">
      <w:bodyDiv w:val="1"/>
      <w:marLeft w:val="0"/>
      <w:marRight w:val="0"/>
      <w:marTop w:val="0"/>
      <w:marBottom w:val="0"/>
      <w:divBdr>
        <w:top w:val="none" w:sz="0" w:space="0" w:color="auto"/>
        <w:left w:val="none" w:sz="0" w:space="0" w:color="auto"/>
        <w:bottom w:val="none" w:sz="0" w:space="0" w:color="auto"/>
        <w:right w:val="none" w:sz="0" w:space="0" w:color="auto"/>
      </w:divBdr>
    </w:div>
    <w:div w:id="1455827411">
      <w:bodyDiv w:val="1"/>
      <w:marLeft w:val="0"/>
      <w:marRight w:val="0"/>
      <w:marTop w:val="0"/>
      <w:marBottom w:val="0"/>
      <w:divBdr>
        <w:top w:val="none" w:sz="0" w:space="0" w:color="auto"/>
        <w:left w:val="none" w:sz="0" w:space="0" w:color="auto"/>
        <w:bottom w:val="none" w:sz="0" w:space="0" w:color="auto"/>
        <w:right w:val="none" w:sz="0" w:space="0" w:color="auto"/>
      </w:divBdr>
    </w:div>
    <w:div w:id="1465464025">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74248243">
      <w:bodyDiv w:val="1"/>
      <w:marLeft w:val="0"/>
      <w:marRight w:val="0"/>
      <w:marTop w:val="0"/>
      <w:marBottom w:val="0"/>
      <w:divBdr>
        <w:top w:val="none" w:sz="0" w:space="0" w:color="auto"/>
        <w:left w:val="none" w:sz="0" w:space="0" w:color="auto"/>
        <w:bottom w:val="none" w:sz="0" w:space="0" w:color="auto"/>
        <w:right w:val="none" w:sz="0" w:space="0" w:color="auto"/>
      </w:divBdr>
    </w:div>
    <w:div w:id="1487941021">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28374565">
      <w:bodyDiv w:val="1"/>
      <w:marLeft w:val="0"/>
      <w:marRight w:val="0"/>
      <w:marTop w:val="0"/>
      <w:marBottom w:val="0"/>
      <w:divBdr>
        <w:top w:val="none" w:sz="0" w:space="0" w:color="auto"/>
        <w:left w:val="none" w:sz="0" w:space="0" w:color="auto"/>
        <w:bottom w:val="none" w:sz="0" w:space="0" w:color="auto"/>
        <w:right w:val="none" w:sz="0" w:space="0" w:color="auto"/>
      </w:divBdr>
    </w:div>
    <w:div w:id="1531650651">
      <w:bodyDiv w:val="1"/>
      <w:marLeft w:val="0"/>
      <w:marRight w:val="0"/>
      <w:marTop w:val="0"/>
      <w:marBottom w:val="0"/>
      <w:divBdr>
        <w:top w:val="none" w:sz="0" w:space="0" w:color="auto"/>
        <w:left w:val="none" w:sz="0" w:space="0" w:color="auto"/>
        <w:bottom w:val="none" w:sz="0" w:space="0" w:color="auto"/>
        <w:right w:val="none" w:sz="0" w:space="0" w:color="auto"/>
      </w:divBdr>
    </w:div>
    <w:div w:id="1532450731">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2666772">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8732244">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21104107">
      <w:bodyDiv w:val="1"/>
      <w:marLeft w:val="0"/>
      <w:marRight w:val="0"/>
      <w:marTop w:val="0"/>
      <w:marBottom w:val="0"/>
      <w:divBdr>
        <w:top w:val="none" w:sz="0" w:space="0" w:color="auto"/>
        <w:left w:val="none" w:sz="0" w:space="0" w:color="auto"/>
        <w:bottom w:val="none" w:sz="0" w:space="0" w:color="auto"/>
        <w:right w:val="none" w:sz="0" w:space="0" w:color="auto"/>
      </w:divBdr>
    </w:div>
    <w:div w:id="1630666809">
      <w:bodyDiv w:val="1"/>
      <w:marLeft w:val="0"/>
      <w:marRight w:val="0"/>
      <w:marTop w:val="0"/>
      <w:marBottom w:val="0"/>
      <w:divBdr>
        <w:top w:val="none" w:sz="0" w:space="0" w:color="auto"/>
        <w:left w:val="none" w:sz="0" w:space="0" w:color="auto"/>
        <w:bottom w:val="none" w:sz="0" w:space="0" w:color="auto"/>
        <w:right w:val="none" w:sz="0" w:space="0" w:color="auto"/>
      </w:divBdr>
    </w:div>
    <w:div w:id="1631471617">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3123493">
      <w:bodyDiv w:val="1"/>
      <w:marLeft w:val="0"/>
      <w:marRight w:val="0"/>
      <w:marTop w:val="0"/>
      <w:marBottom w:val="0"/>
      <w:divBdr>
        <w:top w:val="none" w:sz="0" w:space="0" w:color="auto"/>
        <w:left w:val="none" w:sz="0" w:space="0" w:color="auto"/>
        <w:bottom w:val="none" w:sz="0" w:space="0" w:color="auto"/>
        <w:right w:val="none" w:sz="0" w:space="0" w:color="auto"/>
      </w:divBdr>
    </w:div>
    <w:div w:id="1663699875">
      <w:bodyDiv w:val="1"/>
      <w:marLeft w:val="0"/>
      <w:marRight w:val="0"/>
      <w:marTop w:val="0"/>
      <w:marBottom w:val="0"/>
      <w:divBdr>
        <w:top w:val="none" w:sz="0" w:space="0" w:color="auto"/>
        <w:left w:val="none" w:sz="0" w:space="0" w:color="auto"/>
        <w:bottom w:val="none" w:sz="0" w:space="0" w:color="auto"/>
        <w:right w:val="none" w:sz="0" w:space="0" w:color="auto"/>
      </w:divBdr>
    </w:div>
    <w:div w:id="168532505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7875489">
      <w:bodyDiv w:val="1"/>
      <w:marLeft w:val="0"/>
      <w:marRight w:val="0"/>
      <w:marTop w:val="0"/>
      <w:marBottom w:val="0"/>
      <w:divBdr>
        <w:top w:val="none" w:sz="0" w:space="0" w:color="auto"/>
        <w:left w:val="none" w:sz="0" w:space="0" w:color="auto"/>
        <w:bottom w:val="none" w:sz="0" w:space="0" w:color="auto"/>
        <w:right w:val="none" w:sz="0" w:space="0" w:color="auto"/>
      </w:divBdr>
    </w:div>
    <w:div w:id="1711999811">
      <w:bodyDiv w:val="1"/>
      <w:marLeft w:val="0"/>
      <w:marRight w:val="0"/>
      <w:marTop w:val="0"/>
      <w:marBottom w:val="0"/>
      <w:divBdr>
        <w:top w:val="none" w:sz="0" w:space="0" w:color="auto"/>
        <w:left w:val="none" w:sz="0" w:space="0" w:color="auto"/>
        <w:bottom w:val="none" w:sz="0" w:space="0" w:color="auto"/>
        <w:right w:val="none" w:sz="0" w:space="0" w:color="auto"/>
      </w:divBdr>
    </w:div>
    <w:div w:id="1723671814">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9689592">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99226007">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50219101">
      <w:bodyDiv w:val="1"/>
      <w:marLeft w:val="0"/>
      <w:marRight w:val="0"/>
      <w:marTop w:val="0"/>
      <w:marBottom w:val="0"/>
      <w:divBdr>
        <w:top w:val="none" w:sz="0" w:space="0" w:color="auto"/>
        <w:left w:val="none" w:sz="0" w:space="0" w:color="auto"/>
        <w:bottom w:val="none" w:sz="0" w:space="0" w:color="auto"/>
        <w:right w:val="none" w:sz="0" w:space="0" w:color="auto"/>
      </w:divBdr>
    </w:div>
    <w:div w:id="1876766617">
      <w:bodyDiv w:val="1"/>
      <w:marLeft w:val="0"/>
      <w:marRight w:val="0"/>
      <w:marTop w:val="0"/>
      <w:marBottom w:val="0"/>
      <w:divBdr>
        <w:top w:val="none" w:sz="0" w:space="0" w:color="auto"/>
        <w:left w:val="none" w:sz="0" w:space="0" w:color="auto"/>
        <w:bottom w:val="none" w:sz="0" w:space="0" w:color="auto"/>
        <w:right w:val="none" w:sz="0" w:space="0" w:color="auto"/>
      </w:divBdr>
    </w:div>
    <w:div w:id="1884053378">
      <w:bodyDiv w:val="1"/>
      <w:marLeft w:val="0"/>
      <w:marRight w:val="0"/>
      <w:marTop w:val="0"/>
      <w:marBottom w:val="0"/>
      <w:divBdr>
        <w:top w:val="none" w:sz="0" w:space="0" w:color="auto"/>
        <w:left w:val="none" w:sz="0" w:space="0" w:color="auto"/>
        <w:bottom w:val="none" w:sz="0" w:space="0" w:color="auto"/>
        <w:right w:val="none" w:sz="0" w:space="0" w:color="auto"/>
      </w:divBdr>
    </w:div>
    <w:div w:id="1909881222">
      <w:bodyDiv w:val="1"/>
      <w:marLeft w:val="0"/>
      <w:marRight w:val="0"/>
      <w:marTop w:val="0"/>
      <w:marBottom w:val="0"/>
      <w:divBdr>
        <w:top w:val="none" w:sz="0" w:space="0" w:color="auto"/>
        <w:left w:val="none" w:sz="0" w:space="0" w:color="auto"/>
        <w:bottom w:val="none" w:sz="0" w:space="0" w:color="auto"/>
        <w:right w:val="none" w:sz="0" w:space="0" w:color="auto"/>
      </w:divBdr>
    </w:div>
    <w:div w:id="1912931491">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57253504">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01108901">
      <w:bodyDiv w:val="1"/>
      <w:marLeft w:val="0"/>
      <w:marRight w:val="0"/>
      <w:marTop w:val="0"/>
      <w:marBottom w:val="0"/>
      <w:divBdr>
        <w:top w:val="none" w:sz="0" w:space="0" w:color="auto"/>
        <w:left w:val="none" w:sz="0" w:space="0" w:color="auto"/>
        <w:bottom w:val="none" w:sz="0" w:space="0" w:color="auto"/>
        <w:right w:val="none" w:sz="0" w:space="0" w:color="auto"/>
      </w:divBdr>
    </w:div>
    <w:div w:id="2002851774">
      <w:bodyDiv w:val="1"/>
      <w:marLeft w:val="0"/>
      <w:marRight w:val="0"/>
      <w:marTop w:val="0"/>
      <w:marBottom w:val="0"/>
      <w:divBdr>
        <w:top w:val="none" w:sz="0" w:space="0" w:color="auto"/>
        <w:left w:val="none" w:sz="0" w:space="0" w:color="auto"/>
        <w:bottom w:val="none" w:sz="0" w:space="0" w:color="auto"/>
        <w:right w:val="none" w:sz="0" w:space="0" w:color="auto"/>
      </w:divBdr>
    </w:div>
    <w:div w:id="2005089715">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2007125">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49408465">
      <w:bodyDiv w:val="1"/>
      <w:marLeft w:val="0"/>
      <w:marRight w:val="0"/>
      <w:marTop w:val="0"/>
      <w:marBottom w:val="0"/>
      <w:divBdr>
        <w:top w:val="none" w:sz="0" w:space="0" w:color="auto"/>
        <w:left w:val="none" w:sz="0" w:space="0" w:color="auto"/>
        <w:bottom w:val="none" w:sz="0" w:space="0" w:color="auto"/>
        <w:right w:val="none" w:sz="0" w:space="0" w:color="auto"/>
      </w:divBdr>
    </w:div>
    <w:div w:id="2050296770">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81829452">
      <w:bodyDiv w:val="1"/>
      <w:marLeft w:val="0"/>
      <w:marRight w:val="0"/>
      <w:marTop w:val="0"/>
      <w:marBottom w:val="0"/>
      <w:divBdr>
        <w:top w:val="none" w:sz="0" w:space="0" w:color="auto"/>
        <w:left w:val="none" w:sz="0" w:space="0" w:color="auto"/>
        <w:bottom w:val="none" w:sz="0" w:space="0" w:color="auto"/>
        <w:right w:val="none" w:sz="0" w:space="0" w:color="auto"/>
      </w:divBdr>
    </w:div>
    <w:div w:id="2122794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www.accc.gov.au/publications/corporate-plan-priorities" TargetMode="External"/><Relationship Id="rId20" Type="http://schemas.openxmlformats.org/officeDocument/2006/relationships/footer" Target="foot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eader" Target="header8.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78</Value>
    </TaxCatchAll>
    <_dlc_DocId xmlns="0f563589-9cf9-4143-b1eb-fb0534803d38">2021CSSG-1276-21053</_dlc_DocId>
    <_dlc_DocIdUrl xmlns="0f563589-9cf9-4143-b1eb-fb0534803d38">
      <Url>http://tweb/sites/cssg/ffmd/frbu/_layouts/15/DocIdRedir.aspx?ID=2021CSSG-1276-21053</Url>
      <Description>2021CSSG-1276-21053</Description>
    </_dlc_DocIdUrl>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AE-20341-Destroy 10 years after action completed</TermName>
          <TermId xmlns="http://schemas.microsoft.com/office/infopath/2007/PartnerControls">a29f8278-9b5d-472b-8440-da85e58ca657</TermId>
        </TermInfo>
      </Terms>
    </lb508a4dc5e84436a0fe496b536466aa>
    <IconOverlay xmlns="http://schemas.microsoft.com/sharepoint/v4" xsi:nil="true"/>
    <n748a1c17def4c93b413435c48ea6417 xmlns="eb47d8b7-fefc-4923-b53c-9685ba6b7210">
      <Terms xmlns="http://schemas.microsoft.com/office/infopath/2007/PartnerControls"/>
    </n748a1c17def4c93b413435c48ea6417>
  </documentManagement>
</p:properti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E709DDE67615F4408F65E920E886D157" ma:contentTypeVersion="37731" ma:contentTypeDescription="" ma:contentTypeScope="" ma:versionID="67e7fa359fc7929add1d1575c8f6917f">
  <xsd:schema xmlns:xsd="http://www.w3.org/2001/XMLSchema" xmlns:xs="http://www.w3.org/2001/XMLSchema" xmlns:p="http://schemas.microsoft.com/office/2006/metadata/properties" xmlns:ns2="0f563589-9cf9-4143-b1eb-fb0534803d38" xmlns:ns3="eb47d8b7-fefc-4923-b53c-9685ba6b7210" xmlns:ns5="http://schemas.microsoft.com/sharepoint/v4" targetNamespace="http://schemas.microsoft.com/office/2006/metadata/properties" ma:root="true" ma:fieldsID="e8c7b24041b1df91630a8f4a74b87df2" ns2:_="" ns3:_="" ns5:_="">
    <xsd:import namespace="0f563589-9cf9-4143-b1eb-fb0534803d38"/>
    <xsd:import namespace="eb47d8b7-fefc-4923-b53c-9685ba6b721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3:n748a1c17def4c93b413435c48ea641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8;#AE-20341-Destroy 10 years after action completed|a29f8278-9b5d-472b-8440-da85e58ca65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n748a1c17def4c93b413435c48ea6417" ma:index="17" nillable="true" ma:taxonomy="true" ma:internalName="n748a1c17def4c93b413435c48ea6417" ma:taxonomyFieldName="TSY_x0020_Topic" ma:displayName="TSY Topic" ma:readOnly="false" ma:fieldId="{7748a1c1-7def-4c93-b413-435c48ea6417}" ma:taxonomyMulti="true"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AA8AAC70-2223-4D28-B7A5-55556970E722}">
  <ds:schemaRefs>
    <ds:schemaRef ds:uri="http://schemas.microsoft.com/sharepoint/events"/>
  </ds:schemaRefs>
</ds:datastoreItem>
</file>

<file path=customXml/itemProps2.xml><?xml version="1.0" encoding="utf-8"?>
<ds:datastoreItem xmlns:ds="http://schemas.openxmlformats.org/officeDocument/2006/customXml" ds:itemID="{112FC31D-711A-4AC1-8DBD-C05D987B16BC}">
  <ds:schemaRefs>
    <ds:schemaRef ds:uri="http://schemas.openxmlformats.org/officeDocument/2006/bibliography"/>
  </ds:schemaRefs>
</ds:datastoreItem>
</file>

<file path=customXml/itemProps3.xml><?xml version="1.0" encoding="utf-8"?>
<ds:datastoreItem xmlns:ds="http://schemas.openxmlformats.org/officeDocument/2006/customXml" ds:itemID="{26CEAD22-808A-4C85-A925-26BD5C865F70}">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eb47d8b7-fefc-4923-b53c-9685ba6b7210"/>
    <ds:schemaRef ds:uri="http://www.w3.org/XML/1998/namespace"/>
    <ds:schemaRef ds:uri="http://purl.org/dc/dcmitype/"/>
  </ds:schemaRefs>
</ds:datastoreItem>
</file>

<file path=customXml/itemProps4.xml><?xml version="1.0" encoding="utf-8"?>
<ds:datastoreItem xmlns:ds="http://schemas.openxmlformats.org/officeDocument/2006/customXml" ds:itemID="{3ED1702F-B9D6-43A8-9C8D-D968329AB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63589-9cf9-4143-b1eb-fb0534803d38"/>
    <ds:schemaRef ds:uri="eb47d8b7-fefc-4923-b53c-9685ba6b72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6.xml><?xml version="1.0" encoding="utf-8"?>
<ds:datastoreItem xmlns:ds="http://schemas.openxmlformats.org/officeDocument/2006/customXml" ds:itemID="{9E88E723-AF2D-4232-B5FF-594031DF8EF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6612</Words>
  <Characters>37691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Treasury Portfolio Parliamentary Budget Statement</vt:lpstr>
    </vt:vector>
  </TitlesOfParts>
  <Company/>
  <LinksUpToDate>false</LinksUpToDate>
  <CharactersWithSpaces>44215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Treasury Portfolio Parliamentary Budget Statement</dc:title>
  <dc:subject>Budget</dc:subject>
  <dc:creator/>
  <cp:keywords/>
  <cp:lastModifiedBy/>
  <cp:revision>1</cp:revision>
  <dcterms:created xsi:type="dcterms:W3CDTF">2021-05-03T04:52:00Z</dcterms:created>
  <dcterms:modified xsi:type="dcterms:W3CDTF">2021-05-10T23:43:00Z</dcterms:modified>
  <cp:contentStatus/>
</cp:coreProperties>
</file>