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3A09C" w14:textId="77777777" w:rsidR="0008358A" w:rsidRPr="002A32FD" w:rsidRDefault="0008358A" w:rsidP="0008358A">
      <w:pPr>
        <w:pStyle w:val="ContentsHeading"/>
      </w:pPr>
      <w:r>
        <w:t>Australian Prudential Regulation Authority</w:t>
      </w:r>
    </w:p>
    <w:p w14:paraId="0203A2D0" w14:textId="01BDD6A3" w:rsidR="00D02839" w:rsidRPr="00F463EA" w:rsidRDefault="00D02839" w:rsidP="002E50B5">
      <w:pPr>
        <w:pStyle w:val="TOC3"/>
        <w:rPr>
          <w:caps w:val="0"/>
        </w:rPr>
      </w:pPr>
      <w:r w:rsidRPr="00F463EA">
        <w:rPr>
          <w:caps w:val="0"/>
        </w:rPr>
        <w:fldChar w:fldCharType="begin"/>
      </w:r>
      <w:r w:rsidRPr="00F463EA">
        <w:rPr>
          <w:caps w:val="0"/>
        </w:rPr>
        <w:instrText xml:space="preserve"> TOC \h \z \t "Heading 2,1,Heading 3,2" </w:instrText>
      </w:r>
      <w:r w:rsidRPr="00F463EA">
        <w:rPr>
          <w:caps w:val="0"/>
        </w:rPr>
        <w:fldChar w:fldCharType="separate"/>
      </w:r>
      <w:hyperlink w:anchor="_Toc69915706" w:history="1">
        <w:r w:rsidRPr="00F463EA">
          <w:rPr>
            <w:caps w:val="0"/>
          </w:rPr>
          <w:t>Section 1: Entity overview and resources</w:t>
        </w:r>
        <w:r w:rsidRPr="00F463EA">
          <w:rPr>
            <w:caps w:val="0"/>
            <w:webHidden/>
          </w:rPr>
          <w:tab/>
        </w:r>
        <w:r w:rsidR="00CE6C64" w:rsidRPr="00F463EA">
          <w:rPr>
            <w:caps w:val="0"/>
            <w:webHidden/>
          </w:rPr>
          <w:t>1</w:t>
        </w:r>
        <w:r w:rsidR="003F3013" w:rsidRPr="00F463EA">
          <w:rPr>
            <w:caps w:val="0"/>
            <w:webHidden/>
          </w:rPr>
          <w:t>3</w:t>
        </w:r>
      </w:hyperlink>
      <w:r w:rsidR="009E263B" w:rsidRPr="00F463EA">
        <w:rPr>
          <w:caps w:val="0"/>
        </w:rPr>
        <w:t>3</w:t>
      </w:r>
    </w:p>
    <w:p w14:paraId="6089A46E" w14:textId="07CD11DD" w:rsidR="00D02839" w:rsidRPr="00F463EA" w:rsidRDefault="00033422" w:rsidP="00D02839">
      <w:pPr>
        <w:pStyle w:val="TOC4"/>
        <w:keepNext/>
        <w:tabs>
          <w:tab w:val="clear" w:pos="851"/>
          <w:tab w:val="clear" w:pos="9027"/>
          <w:tab w:val="left" w:pos="800"/>
          <w:tab w:val="right" w:leader="dot" w:pos="7700"/>
        </w:tabs>
        <w:spacing w:before="40" w:after="0"/>
        <w:ind w:right="851"/>
        <w:jc w:val="left"/>
        <w:rPr>
          <w:rFonts w:eastAsia="Times New Roman" w:cs="Times New Roman"/>
          <w:i w:val="0"/>
          <w:noProof/>
          <w:color w:val="auto"/>
          <w:sz w:val="20"/>
          <w:szCs w:val="20"/>
          <w:lang w:eastAsia="en-AU"/>
        </w:rPr>
      </w:pPr>
      <w:hyperlink w:anchor="_Toc69915707" w:history="1">
        <w:r w:rsidR="00D02839" w:rsidRPr="00F463EA">
          <w:rPr>
            <w:rFonts w:eastAsia="Times New Roman" w:cs="Times New Roman"/>
            <w:i w:val="0"/>
            <w:noProof/>
            <w:color w:val="auto"/>
            <w:sz w:val="20"/>
            <w:szCs w:val="20"/>
            <w:lang w:eastAsia="en-AU"/>
          </w:rPr>
          <w:t>1.1</w:t>
        </w:r>
        <w:r w:rsidR="00D02839" w:rsidRPr="00F463EA">
          <w:rPr>
            <w:rFonts w:eastAsia="Times New Roman" w:cs="Times New Roman"/>
            <w:i w:val="0"/>
            <w:noProof/>
            <w:color w:val="auto"/>
            <w:sz w:val="20"/>
            <w:szCs w:val="20"/>
            <w:lang w:eastAsia="en-AU"/>
          </w:rPr>
          <w:tab/>
          <w:t>Strategic direction statement</w:t>
        </w:r>
        <w:r w:rsidR="00D02839" w:rsidRPr="00F463EA">
          <w:rPr>
            <w:rFonts w:eastAsia="Times New Roman" w:cs="Times New Roman"/>
            <w:i w:val="0"/>
            <w:noProof/>
            <w:webHidden/>
            <w:color w:val="auto"/>
            <w:sz w:val="20"/>
            <w:szCs w:val="20"/>
            <w:lang w:eastAsia="en-AU"/>
          </w:rPr>
          <w:tab/>
        </w:r>
        <w:r w:rsidR="00CE6C64" w:rsidRPr="00F463EA">
          <w:rPr>
            <w:rFonts w:eastAsia="Times New Roman" w:cs="Times New Roman"/>
            <w:i w:val="0"/>
            <w:noProof/>
            <w:webHidden/>
            <w:color w:val="auto"/>
            <w:sz w:val="20"/>
            <w:szCs w:val="20"/>
            <w:lang w:eastAsia="en-AU"/>
          </w:rPr>
          <w:t>1</w:t>
        </w:r>
        <w:r w:rsidR="003F3013" w:rsidRPr="00F463EA">
          <w:rPr>
            <w:rFonts w:eastAsia="Times New Roman" w:cs="Times New Roman"/>
            <w:i w:val="0"/>
            <w:noProof/>
            <w:webHidden/>
            <w:color w:val="auto"/>
            <w:sz w:val="20"/>
            <w:szCs w:val="20"/>
            <w:lang w:eastAsia="en-AU"/>
          </w:rPr>
          <w:t>3</w:t>
        </w:r>
      </w:hyperlink>
      <w:r w:rsidR="006403E8" w:rsidRPr="00F463EA">
        <w:rPr>
          <w:rFonts w:eastAsia="Times New Roman" w:cs="Times New Roman"/>
          <w:i w:val="0"/>
          <w:noProof/>
          <w:color w:val="auto"/>
          <w:sz w:val="20"/>
          <w:szCs w:val="20"/>
          <w:lang w:eastAsia="en-AU"/>
        </w:rPr>
        <w:t>3</w:t>
      </w:r>
    </w:p>
    <w:p w14:paraId="1B7609E0" w14:textId="7A958554" w:rsidR="00D02839" w:rsidRPr="00F463EA" w:rsidRDefault="00033422" w:rsidP="00D02839">
      <w:pPr>
        <w:pStyle w:val="TOC4"/>
        <w:keepNext/>
        <w:tabs>
          <w:tab w:val="clear" w:pos="851"/>
          <w:tab w:val="clear" w:pos="9027"/>
          <w:tab w:val="left" w:pos="800"/>
          <w:tab w:val="right" w:leader="dot" w:pos="7700"/>
        </w:tabs>
        <w:spacing w:before="40" w:after="0"/>
        <w:ind w:right="851"/>
        <w:jc w:val="left"/>
        <w:rPr>
          <w:rFonts w:eastAsia="Times New Roman" w:cs="Times New Roman"/>
          <w:i w:val="0"/>
          <w:noProof/>
          <w:color w:val="auto"/>
          <w:sz w:val="20"/>
          <w:szCs w:val="20"/>
          <w:lang w:eastAsia="en-AU"/>
        </w:rPr>
      </w:pPr>
      <w:hyperlink w:anchor="_Toc69915708" w:history="1">
        <w:r w:rsidR="00D02839" w:rsidRPr="00F463EA">
          <w:rPr>
            <w:rFonts w:eastAsia="Times New Roman" w:cs="Times New Roman"/>
            <w:i w:val="0"/>
            <w:noProof/>
            <w:color w:val="auto"/>
            <w:sz w:val="20"/>
            <w:szCs w:val="20"/>
            <w:lang w:eastAsia="en-AU"/>
          </w:rPr>
          <w:t>1.2</w:t>
        </w:r>
        <w:r w:rsidR="00D02839" w:rsidRPr="00F463EA">
          <w:rPr>
            <w:rFonts w:eastAsia="Times New Roman" w:cs="Times New Roman"/>
            <w:i w:val="0"/>
            <w:noProof/>
            <w:color w:val="auto"/>
            <w:sz w:val="20"/>
            <w:szCs w:val="20"/>
            <w:lang w:eastAsia="en-AU"/>
          </w:rPr>
          <w:tab/>
          <w:t>Entity resource statement</w:t>
        </w:r>
        <w:r w:rsidR="00D02839" w:rsidRPr="00F463EA">
          <w:rPr>
            <w:rFonts w:eastAsia="Times New Roman" w:cs="Times New Roman"/>
            <w:i w:val="0"/>
            <w:noProof/>
            <w:webHidden/>
            <w:color w:val="auto"/>
            <w:sz w:val="20"/>
            <w:szCs w:val="20"/>
            <w:lang w:eastAsia="en-AU"/>
          </w:rPr>
          <w:tab/>
        </w:r>
        <w:r w:rsidR="00CE6C64" w:rsidRPr="00F463EA">
          <w:rPr>
            <w:rFonts w:eastAsia="Times New Roman" w:cs="Times New Roman"/>
            <w:i w:val="0"/>
            <w:noProof/>
            <w:webHidden/>
            <w:color w:val="auto"/>
            <w:sz w:val="20"/>
            <w:szCs w:val="20"/>
            <w:lang w:eastAsia="en-AU"/>
          </w:rPr>
          <w:t>1</w:t>
        </w:r>
        <w:r w:rsidR="003F3013" w:rsidRPr="00F463EA">
          <w:rPr>
            <w:rFonts w:eastAsia="Times New Roman" w:cs="Times New Roman"/>
            <w:i w:val="0"/>
            <w:noProof/>
            <w:webHidden/>
            <w:color w:val="auto"/>
            <w:sz w:val="20"/>
            <w:szCs w:val="20"/>
            <w:lang w:eastAsia="en-AU"/>
          </w:rPr>
          <w:t>3</w:t>
        </w:r>
      </w:hyperlink>
      <w:r w:rsidR="006403E8" w:rsidRPr="00F463EA">
        <w:rPr>
          <w:rFonts w:eastAsia="Times New Roman" w:cs="Times New Roman"/>
          <w:i w:val="0"/>
          <w:noProof/>
          <w:color w:val="auto"/>
          <w:sz w:val="20"/>
          <w:szCs w:val="20"/>
          <w:lang w:eastAsia="en-AU"/>
        </w:rPr>
        <w:t>5</w:t>
      </w:r>
    </w:p>
    <w:p w14:paraId="62B99FF7" w14:textId="1EEF1CC4" w:rsidR="006F36E6" w:rsidRPr="00F463EA" w:rsidRDefault="00033422" w:rsidP="006F36E6">
      <w:pPr>
        <w:pStyle w:val="TOC4"/>
        <w:keepNext/>
        <w:tabs>
          <w:tab w:val="clear" w:pos="851"/>
          <w:tab w:val="clear" w:pos="9027"/>
          <w:tab w:val="left" w:pos="800"/>
          <w:tab w:val="right" w:leader="dot" w:pos="7700"/>
        </w:tabs>
        <w:spacing w:before="40" w:after="0"/>
        <w:ind w:right="851"/>
        <w:jc w:val="left"/>
        <w:rPr>
          <w:rFonts w:eastAsia="Times New Roman" w:cs="Times New Roman"/>
          <w:i w:val="0"/>
          <w:noProof/>
          <w:color w:val="auto"/>
          <w:sz w:val="20"/>
          <w:szCs w:val="20"/>
          <w:lang w:eastAsia="en-AU"/>
        </w:rPr>
      </w:pPr>
      <w:hyperlink w:anchor="_Toc69915708" w:history="1">
        <w:r w:rsidR="006F36E6" w:rsidRPr="00F463EA">
          <w:rPr>
            <w:rFonts w:eastAsia="Times New Roman" w:cs="Times New Roman"/>
            <w:i w:val="0"/>
            <w:noProof/>
            <w:color w:val="auto"/>
            <w:sz w:val="20"/>
            <w:szCs w:val="20"/>
            <w:lang w:eastAsia="en-AU"/>
          </w:rPr>
          <w:t>1.3</w:t>
        </w:r>
        <w:r w:rsidR="006F36E6" w:rsidRPr="00F463EA">
          <w:rPr>
            <w:rFonts w:eastAsia="Times New Roman" w:cs="Times New Roman"/>
            <w:i w:val="0"/>
            <w:noProof/>
            <w:color w:val="auto"/>
            <w:sz w:val="20"/>
            <w:szCs w:val="20"/>
            <w:lang w:eastAsia="en-AU"/>
          </w:rPr>
          <w:tab/>
          <w:t>Budget measures</w:t>
        </w:r>
        <w:r w:rsidR="006F36E6" w:rsidRPr="00F463EA">
          <w:rPr>
            <w:rFonts w:eastAsia="Times New Roman" w:cs="Times New Roman"/>
            <w:i w:val="0"/>
            <w:noProof/>
            <w:webHidden/>
            <w:color w:val="auto"/>
            <w:sz w:val="20"/>
            <w:szCs w:val="20"/>
            <w:lang w:eastAsia="en-AU"/>
          </w:rPr>
          <w:tab/>
        </w:r>
        <w:r w:rsidR="00CE6C64" w:rsidRPr="00F463EA">
          <w:rPr>
            <w:rFonts w:eastAsia="Times New Roman" w:cs="Times New Roman"/>
            <w:i w:val="0"/>
            <w:noProof/>
            <w:webHidden/>
            <w:color w:val="auto"/>
            <w:sz w:val="20"/>
            <w:szCs w:val="20"/>
            <w:lang w:eastAsia="en-AU"/>
          </w:rPr>
          <w:t>1</w:t>
        </w:r>
        <w:r w:rsidR="003F3013" w:rsidRPr="00F463EA">
          <w:rPr>
            <w:rFonts w:eastAsia="Times New Roman" w:cs="Times New Roman"/>
            <w:i w:val="0"/>
            <w:noProof/>
            <w:webHidden/>
            <w:color w:val="auto"/>
            <w:sz w:val="20"/>
            <w:szCs w:val="20"/>
            <w:lang w:eastAsia="en-AU"/>
          </w:rPr>
          <w:t>3</w:t>
        </w:r>
      </w:hyperlink>
      <w:r w:rsidR="006403E8" w:rsidRPr="00F463EA">
        <w:rPr>
          <w:rFonts w:eastAsia="Times New Roman" w:cs="Times New Roman"/>
          <w:i w:val="0"/>
          <w:noProof/>
          <w:color w:val="auto"/>
          <w:sz w:val="20"/>
          <w:szCs w:val="20"/>
          <w:lang w:eastAsia="en-AU"/>
        </w:rPr>
        <w:t>7</w:t>
      </w:r>
    </w:p>
    <w:p w14:paraId="1A658ECC" w14:textId="77617FC7" w:rsidR="00D02839" w:rsidRPr="00F463EA" w:rsidRDefault="00033422" w:rsidP="002E50B5">
      <w:pPr>
        <w:pStyle w:val="TOC3"/>
        <w:rPr>
          <w:caps w:val="0"/>
        </w:rPr>
      </w:pPr>
      <w:hyperlink w:anchor="_Toc69915709" w:history="1">
        <w:r w:rsidR="00D02839" w:rsidRPr="00F463EA">
          <w:rPr>
            <w:caps w:val="0"/>
          </w:rPr>
          <w:t>Section 2: Outcomes and planned performance</w:t>
        </w:r>
        <w:r w:rsidR="00D02839" w:rsidRPr="00F463EA">
          <w:rPr>
            <w:caps w:val="0"/>
            <w:webHidden/>
          </w:rPr>
          <w:tab/>
        </w:r>
        <w:r w:rsidR="00CE6C64" w:rsidRPr="00F463EA">
          <w:rPr>
            <w:caps w:val="0"/>
            <w:webHidden/>
          </w:rPr>
          <w:t>1</w:t>
        </w:r>
      </w:hyperlink>
      <w:r w:rsidR="006403E8" w:rsidRPr="00F463EA">
        <w:rPr>
          <w:caps w:val="0"/>
        </w:rPr>
        <w:t>38</w:t>
      </w:r>
    </w:p>
    <w:p w14:paraId="4523F955" w14:textId="6144830E" w:rsidR="00D02839" w:rsidRPr="00F463EA" w:rsidRDefault="00033422" w:rsidP="00D02839">
      <w:pPr>
        <w:pStyle w:val="TOC2"/>
        <w:rPr>
          <w:rFonts w:eastAsia="Times New Roman" w:cs="Times New Roman"/>
          <w:b w:val="0"/>
          <w:noProof/>
          <w:color w:val="auto"/>
          <w:sz w:val="20"/>
          <w:szCs w:val="20"/>
          <w:lang w:eastAsia="en-AU"/>
        </w:rPr>
      </w:pPr>
      <w:hyperlink w:anchor="_Toc69915710" w:history="1">
        <w:r w:rsidR="00D02839" w:rsidRPr="00F463EA">
          <w:rPr>
            <w:rFonts w:eastAsia="Times New Roman" w:cs="Times New Roman"/>
            <w:b w:val="0"/>
            <w:noProof/>
            <w:color w:val="auto"/>
            <w:sz w:val="20"/>
            <w:szCs w:val="20"/>
            <w:lang w:eastAsia="en-AU"/>
          </w:rPr>
          <w:t xml:space="preserve">2.1 </w:t>
        </w:r>
        <w:r w:rsidR="00D02839" w:rsidRPr="00F463EA">
          <w:rPr>
            <w:rFonts w:eastAsia="Times New Roman" w:cs="Times New Roman"/>
            <w:b w:val="0"/>
            <w:noProof/>
            <w:color w:val="auto"/>
            <w:sz w:val="20"/>
            <w:szCs w:val="20"/>
            <w:lang w:eastAsia="en-AU"/>
          </w:rPr>
          <w:tab/>
          <w:t>Budgeted expenses and performance for Outcome</w:t>
        </w:r>
        <w:r w:rsidR="00D864BF" w:rsidRPr="00F463EA">
          <w:rPr>
            <w:rFonts w:eastAsia="Times New Roman" w:cs="Times New Roman"/>
            <w:b w:val="0"/>
            <w:noProof/>
            <w:color w:val="auto"/>
            <w:sz w:val="20"/>
            <w:szCs w:val="20"/>
            <w:lang w:eastAsia="en-AU"/>
          </w:rPr>
          <w:t xml:space="preserve"> 1</w:t>
        </w:r>
        <w:r w:rsidR="00C50AF5">
          <w:rPr>
            <w:rFonts w:eastAsia="Times New Roman" w:cs="Times New Roman"/>
            <w:b w:val="0"/>
            <w:noProof/>
            <w:color w:val="auto"/>
            <w:sz w:val="20"/>
            <w:szCs w:val="20"/>
            <w:lang w:eastAsia="en-AU"/>
          </w:rPr>
          <w:t>…….</w:t>
        </w:r>
        <w:r w:rsidR="00DC4CFC" w:rsidRPr="00F463EA">
          <w:rPr>
            <w:rFonts w:eastAsia="Times New Roman" w:cs="Times New Roman"/>
            <w:b w:val="0"/>
            <w:noProof/>
            <w:color w:val="auto"/>
            <w:sz w:val="20"/>
            <w:szCs w:val="20"/>
            <w:lang w:eastAsia="en-AU"/>
          </w:rPr>
          <w:t>…………………</w:t>
        </w:r>
        <w:r w:rsidR="00CE6C64" w:rsidRPr="00F463EA">
          <w:rPr>
            <w:rFonts w:eastAsia="Times New Roman" w:cs="Times New Roman"/>
            <w:b w:val="0"/>
            <w:noProof/>
            <w:color w:val="auto"/>
            <w:sz w:val="20"/>
            <w:szCs w:val="20"/>
            <w:lang w:eastAsia="en-AU"/>
          </w:rPr>
          <w:t>1</w:t>
        </w:r>
      </w:hyperlink>
      <w:r w:rsidR="006403E8" w:rsidRPr="00F463EA">
        <w:rPr>
          <w:rFonts w:eastAsia="Times New Roman" w:cs="Times New Roman"/>
          <w:b w:val="0"/>
          <w:noProof/>
          <w:color w:val="auto"/>
          <w:sz w:val="20"/>
          <w:szCs w:val="20"/>
          <w:lang w:eastAsia="en-AU"/>
        </w:rPr>
        <w:t>39</w:t>
      </w:r>
    </w:p>
    <w:p w14:paraId="102107D3" w14:textId="0D3B616B" w:rsidR="00D02839" w:rsidRPr="00F463EA" w:rsidRDefault="00033422" w:rsidP="002E50B5">
      <w:pPr>
        <w:pStyle w:val="TOC1"/>
        <w:rPr>
          <w:caps w:val="0"/>
        </w:rPr>
      </w:pPr>
      <w:hyperlink w:anchor="_Toc69915711" w:history="1">
        <w:r w:rsidR="00D02839" w:rsidRPr="00F463EA">
          <w:rPr>
            <w:caps w:val="0"/>
          </w:rPr>
          <w:t>Section 3: Budgeted financial statements</w:t>
        </w:r>
        <w:r w:rsidR="006907A8" w:rsidRPr="00F463EA">
          <w:rPr>
            <w:caps w:val="0"/>
          </w:rPr>
          <w:t>………………</w:t>
        </w:r>
        <w:r w:rsidR="007770A5" w:rsidRPr="00F463EA">
          <w:rPr>
            <w:caps w:val="0"/>
          </w:rPr>
          <w:t>.</w:t>
        </w:r>
        <w:r w:rsidR="006907A8" w:rsidRPr="00F463EA">
          <w:rPr>
            <w:caps w:val="0"/>
          </w:rPr>
          <w:t>……………...</w:t>
        </w:r>
        <w:r w:rsidR="00C50AF5">
          <w:rPr>
            <w:caps w:val="0"/>
            <w:webHidden/>
          </w:rPr>
          <w:t>..................</w:t>
        </w:r>
        <w:r w:rsidR="00D02839" w:rsidRPr="00F463EA">
          <w:rPr>
            <w:caps w:val="0"/>
            <w:webHidden/>
          </w:rPr>
          <w:fldChar w:fldCharType="begin"/>
        </w:r>
        <w:r w:rsidR="00D02839" w:rsidRPr="00F463EA">
          <w:rPr>
            <w:caps w:val="0"/>
            <w:webHidden/>
          </w:rPr>
          <w:instrText xml:space="preserve"> PAGEREF _Toc69915711 \h </w:instrText>
        </w:r>
        <w:r w:rsidR="00D02839" w:rsidRPr="00F463EA">
          <w:rPr>
            <w:caps w:val="0"/>
            <w:webHidden/>
          </w:rPr>
        </w:r>
        <w:r w:rsidR="00D02839" w:rsidRPr="00F463EA">
          <w:rPr>
            <w:caps w:val="0"/>
            <w:webHidden/>
          </w:rPr>
          <w:fldChar w:fldCharType="separate"/>
        </w:r>
        <w:r w:rsidR="00950D0A">
          <w:rPr>
            <w:caps w:val="0"/>
            <w:webHidden/>
          </w:rPr>
          <w:t>142</w:t>
        </w:r>
        <w:r w:rsidR="00D02839" w:rsidRPr="00F463EA">
          <w:rPr>
            <w:caps w:val="0"/>
            <w:webHidden/>
          </w:rPr>
          <w:fldChar w:fldCharType="end"/>
        </w:r>
      </w:hyperlink>
    </w:p>
    <w:p w14:paraId="5E35EA3D" w14:textId="240E193A" w:rsidR="00D02839" w:rsidRPr="00F463EA" w:rsidRDefault="00033422" w:rsidP="00D02839">
      <w:pPr>
        <w:pStyle w:val="TOC4"/>
        <w:keepNext/>
        <w:tabs>
          <w:tab w:val="clear" w:pos="851"/>
          <w:tab w:val="clear" w:pos="9027"/>
          <w:tab w:val="left" w:pos="800"/>
          <w:tab w:val="right" w:leader="dot" w:pos="7700"/>
        </w:tabs>
        <w:spacing w:before="40" w:after="0"/>
        <w:ind w:right="851"/>
        <w:jc w:val="left"/>
        <w:rPr>
          <w:rFonts w:eastAsia="Times New Roman" w:cs="Times New Roman"/>
          <w:i w:val="0"/>
          <w:noProof/>
          <w:color w:val="auto"/>
          <w:sz w:val="20"/>
          <w:szCs w:val="20"/>
          <w:lang w:eastAsia="en-AU"/>
        </w:rPr>
      </w:pPr>
      <w:hyperlink w:anchor="_Toc69915712" w:history="1">
        <w:r w:rsidR="00D02839" w:rsidRPr="00F463EA">
          <w:rPr>
            <w:rFonts w:eastAsia="Times New Roman" w:cs="Times New Roman"/>
            <w:i w:val="0"/>
            <w:noProof/>
            <w:color w:val="auto"/>
            <w:sz w:val="20"/>
            <w:szCs w:val="20"/>
            <w:lang w:eastAsia="en-AU"/>
          </w:rPr>
          <w:t>3.1</w:t>
        </w:r>
        <w:r w:rsidR="00D02839" w:rsidRPr="00F463EA">
          <w:rPr>
            <w:rFonts w:eastAsia="Times New Roman" w:cs="Times New Roman"/>
            <w:i w:val="0"/>
            <w:noProof/>
            <w:color w:val="auto"/>
            <w:sz w:val="20"/>
            <w:szCs w:val="20"/>
            <w:lang w:eastAsia="en-AU"/>
          </w:rPr>
          <w:tab/>
          <w:t>Budgeted financial statements</w:t>
        </w:r>
        <w:r w:rsidR="00D02839" w:rsidRPr="00F463EA">
          <w:rPr>
            <w:rFonts w:eastAsia="Times New Roman" w:cs="Times New Roman"/>
            <w:i w:val="0"/>
            <w:noProof/>
            <w:webHidden/>
            <w:color w:val="auto"/>
            <w:sz w:val="20"/>
            <w:szCs w:val="20"/>
            <w:lang w:eastAsia="en-AU"/>
          </w:rPr>
          <w:tab/>
        </w:r>
        <w:r w:rsidR="00D02839" w:rsidRPr="00F463EA">
          <w:rPr>
            <w:rFonts w:eastAsia="Times New Roman" w:cs="Times New Roman"/>
            <w:i w:val="0"/>
            <w:noProof/>
            <w:webHidden/>
            <w:color w:val="auto"/>
            <w:sz w:val="20"/>
            <w:szCs w:val="20"/>
            <w:lang w:eastAsia="en-AU"/>
          </w:rPr>
          <w:fldChar w:fldCharType="begin"/>
        </w:r>
        <w:r w:rsidR="00D02839" w:rsidRPr="00F463EA">
          <w:rPr>
            <w:rFonts w:eastAsia="Times New Roman" w:cs="Times New Roman"/>
            <w:i w:val="0"/>
            <w:noProof/>
            <w:webHidden/>
            <w:color w:val="auto"/>
            <w:sz w:val="20"/>
            <w:szCs w:val="20"/>
            <w:lang w:eastAsia="en-AU"/>
          </w:rPr>
          <w:instrText xml:space="preserve"> PAGEREF _Toc69915712 \h </w:instrText>
        </w:r>
        <w:r w:rsidR="00D02839" w:rsidRPr="00F463EA">
          <w:rPr>
            <w:rFonts w:eastAsia="Times New Roman" w:cs="Times New Roman"/>
            <w:i w:val="0"/>
            <w:noProof/>
            <w:webHidden/>
            <w:color w:val="auto"/>
            <w:sz w:val="20"/>
            <w:szCs w:val="20"/>
            <w:lang w:eastAsia="en-AU"/>
          </w:rPr>
        </w:r>
        <w:r w:rsidR="00D02839" w:rsidRPr="00F463EA">
          <w:rPr>
            <w:rFonts w:eastAsia="Times New Roman" w:cs="Times New Roman"/>
            <w:i w:val="0"/>
            <w:noProof/>
            <w:webHidden/>
            <w:color w:val="auto"/>
            <w:sz w:val="20"/>
            <w:szCs w:val="20"/>
            <w:lang w:eastAsia="en-AU"/>
          </w:rPr>
          <w:fldChar w:fldCharType="separate"/>
        </w:r>
        <w:r w:rsidR="00950D0A">
          <w:rPr>
            <w:rFonts w:eastAsia="Times New Roman" w:cs="Times New Roman"/>
            <w:i w:val="0"/>
            <w:noProof/>
            <w:webHidden/>
            <w:color w:val="auto"/>
            <w:sz w:val="20"/>
            <w:szCs w:val="20"/>
            <w:lang w:eastAsia="en-AU"/>
          </w:rPr>
          <w:t>142</w:t>
        </w:r>
        <w:r w:rsidR="00D02839" w:rsidRPr="00F463EA">
          <w:rPr>
            <w:rFonts w:eastAsia="Times New Roman" w:cs="Times New Roman"/>
            <w:i w:val="0"/>
            <w:noProof/>
            <w:webHidden/>
            <w:color w:val="auto"/>
            <w:sz w:val="20"/>
            <w:szCs w:val="20"/>
            <w:lang w:eastAsia="en-AU"/>
          </w:rPr>
          <w:fldChar w:fldCharType="end"/>
        </w:r>
      </w:hyperlink>
    </w:p>
    <w:p w14:paraId="55681607" w14:textId="019E2F7C" w:rsidR="00D02839" w:rsidRPr="00F463EA" w:rsidRDefault="00033422" w:rsidP="00D02839">
      <w:pPr>
        <w:pStyle w:val="TOC4"/>
        <w:keepNext/>
        <w:tabs>
          <w:tab w:val="clear" w:pos="851"/>
          <w:tab w:val="clear" w:pos="9027"/>
          <w:tab w:val="left" w:pos="800"/>
          <w:tab w:val="right" w:leader="dot" w:pos="7700"/>
        </w:tabs>
        <w:spacing w:before="40" w:after="0"/>
        <w:ind w:right="851"/>
        <w:jc w:val="left"/>
        <w:rPr>
          <w:rFonts w:eastAsia="Times New Roman" w:cs="Times New Roman"/>
          <w:i w:val="0"/>
          <w:noProof/>
          <w:color w:val="auto"/>
          <w:sz w:val="20"/>
          <w:szCs w:val="20"/>
          <w:lang w:eastAsia="en-AU"/>
        </w:rPr>
      </w:pPr>
      <w:hyperlink w:anchor="_Toc69915713" w:history="1">
        <w:r w:rsidR="00D02839" w:rsidRPr="00F463EA">
          <w:rPr>
            <w:rFonts w:eastAsia="Times New Roman" w:cs="Times New Roman"/>
            <w:i w:val="0"/>
            <w:noProof/>
            <w:color w:val="auto"/>
            <w:sz w:val="20"/>
            <w:szCs w:val="20"/>
            <w:lang w:eastAsia="en-AU"/>
          </w:rPr>
          <w:t>3.2</w:t>
        </w:r>
        <w:r w:rsidR="00D02839" w:rsidRPr="00F463EA">
          <w:rPr>
            <w:rFonts w:eastAsia="Times New Roman" w:cs="Times New Roman"/>
            <w:i w:val="0"/>
            <w:noProof/>
            <w:color w:val="auto"/>
            <w:sz w:val="20"/>
            <w:szCs w:val="20"/>
            <w:lang w:eastAsia="en-AU"/>
          </w:rPr>
          <w:tab/>
          <w:t>Budgeted financial statements tables</w:t>
        </w:r>
        <w:r w:rsidR="00D02839" w:rsidRPr="00F463EA">
          <w:rPr>
            <w:rFonts w:eastAsia="Times New Roman" w:cs="Times New Roman"/>
            <w:i w:val="0"/>
            <w:noProof/>
            <w:webHidden/>
            <w:color w:val="auto"/>
            <w:sz w:val="20"/>
            <w:szCs w:val="20"/>
            <w:lang w:eastAsia="en-AU"/>
          </w:rPr>
          <w:tab/>
        </w:r>
        <w:r w:rsidR="00D02839" w:rsidRPr="00F463EA">
          <w:rPr>
            <w:rFonts w:eastAsia="Times New Roman" w:cs="Times New Roman"/>
            <w:i w:val="0"/>
            <w:noProof/>
            <w:webHidden/>
            <w:color w:val="auto"/>
            <w:sz w:val="20"/>
            <w:szCs w:val="20"/>
            <w:lang w:eastAsia="en-AU"/>
          </w:rPr>
          <w:fldChar w:fldCharType="begin"/>
        </w:r>
        <w:r w:rsidR="00D02839" w:rsidRPr="00F463EA">
          <w:rPr>
            <w:rFonts w:eastAsia="Times New Roman" w:cs="Times New Roman"/>
            <w:i w:val="0"/>
            <w:noProof/>
            <w:webHidden/>
            <w:color w:val="auto"/>
            <w:sz w:val="20"/>
            <w:szCs w:val="20"/>
            <w:lang w:eastAsia="en-AU"/>
          </w:rPr>
          <w:instrText xml:space="preserve"> PAGEREF _Toc69915713 \h </w:instrText>
        </w:r>
        <w:r w:rsidR="00D02839" w:rsidRPr="00F463EA">
          <w:rPr>
            <w:rFonts w:eastAsia="Times New Roman" w:cs="Times New Roman"/>
            <w:i w:val="0"/>
            <w:noProof/>
            <w:webHidden/>
            <w:color w:val="auto"/>
            <w:sz w:val="20"/>
            <w:szCs w:val="20"/>
            <w:lang w:eastAsia="en-AU"/>
          </w:rPr>
        </w:r>
        <w:r w:rsidR="00D02839" w:rsidRPr="00F463EA">
          <w:rPr>
            <w:rFonts w:eastAsia="Times New Roman" w:cs="Times New Roman"/>
            <w:i w:val="0"/>
            <w:noProof/>
            <w:webHidden/>
            <w:color w:val="auto"/>
            <w:sz w:val="20"/>
            <w:szCs w:val="20"/>
            <w:lang w:eastAsia="en-AU"/>
          </w:rPr>
          <w:fldChar w:fldCharType="separate"/>
        </w:r>
        <w:r w:rsidR="00950D0A">
          <w:rPr>
            <w:rFonts w:eastAsia="Times New Roman" w:cs="Times New Roman"/>
            <w:i w:val="0"/>
            <w:noProof/>
            <w:webHidden/>
            <w:color w:val="auto"/>
            <w:sz w:val="20"/>
            <w:szCs w:val="20"/>
            <w:lang w:eastAsia="en-AU"/>
          </w:rPr>
          <w:t>144</w:t>
        </w:r>
        <w:r w:rsidR="00D02839" w:rsidRPr="00F463EA">
          <w:rPr>
            <w:rFonts w:eastAsia="Times New Roman" w:cs="Times New Roman"/>
            <w:i w:val="0"/>
            <w:noProof/>
            <w:webHidden/>
            <w:color w:val="auto"/>
            <w:sz w:val="20"/>
            <w:szCs w:val="20"/>
            <w:lang w:eastAsia="en-AU"/>
          </w:rPr>
          <w:fldChar w:fldCharType="end"/>
        </w:r>
      </w:hyperlink>
    </w:p>
    <w:p w14:paraId="6FF67A63" w14:textId="1521EBA7" w:rsidR="0008358A" w:rsidRPr="00F27F3D" w:rsidRDefault="00D02839" w:rsidP="002E50B5">
      <w:pPr>
        <w:pStyle w:val="TOC1"/>
      </w:pPr>
      <w:r w:rsidRPr="00F463EA">
        <w:rPr>
          <w:caps w:val="0"/>
        </w:rPr>
        <w:fldChar w:fldCharType="end"/>
      </w:r>
    </w:p>
    <w:p w14:paraId="5DC20DA4" w14:textId="77777777" w:rsidR="0008358A" w:rsidRPr="008B5AFD" w:rsidRDefault="0008358A" w:rsidP="0008358A"/>
    <w:p w14:paraId="78923925" w14:textId="77777777" w:rsidR="0008358A" w:rsidRDefault="0008358A" w:rsidP="0008358A">
      <w:pPr>
        <w:sectPr w:rsidR="0008358A" w:rsidSect="009E263B">
          <w:footerReference w:type="even" r:id="rId12"/>
          <w:footerReference w:type="default" r:id="rId13"/>
          <w:footerReference w:type="first" r:id="rId14"/>
          <w:pgSz w:w="11906" w:h="16838" w:code="9"/>
          <w:pgMar w:top="2466" w:right="2098" w:bottom="2466" w:left="2098" w:header="1899" w:footer="1899" w:gutter="0"/>
          <w:pgNumType w:start="131"/>
          <w:cols w:space="708"/>
          <w:titlePg/>
          <w:docGrid w:linePitch="360"/>
        </w:sectPr>
      </w:pPr>
    </w:p>
    <w:p w14:paraId="5046A1E7" w14:textId="77777777" w:rsidR="007007FC" w:rsidRPr="00795F60" w:rsidRDefault="007007FC" w:rsidP="007007FC">
      <w:pPr>
        <w:pStyle w:val="Heading1"/>
        <w:jc w:val="center"/>
        <w:rPr>
          <w:rFonts w:ascii="Arial" w:eastAsia="Times New Roman" w:hAnsi="Arial" w:cs="Times New Roman"/>
          <w:bCs w:val="0"/>
          <w:smallCaps/>
          <w:color w:val="auto"/>
          <w:kern w:val="28"/>
          <w:sz w:val="34"/>
          <w:szCs w:val="20"/>
          <w:lang w:eastAsia="en-AU"/>
        </w:rPr>
      </w:pPr>
      <w:bookmarkStart w:id="0" w:name="_Toc190682309"/>
      <w:bookmarkStart w:id="1" w:name="_Toc190682527"/>
      <w:bookmarkStart w:id="2" w:name="_Toc444523509"/>
      <w:bookmarkStart w:id="3" w:name="_Toc69915707"/>
      <w:r w:rsidRPr="00795F60">
        <w:rPr>
          <w:rFonts w:ascii="Arial" w:eastAsia="Times New Roman" w:hAnsi="Arial" w:cs="Times New Roman"/>
          <w:bCs w:val="0"/>
          <w:smallCaps/>
          <w:color w:val="auto"/>
          <w:kern w:val="28"/>
          <w:sz w:val="34"/>
          <w:szCs w:val="20"/>
          <w:lang w:eastAsia="en-AU"/>
        </w:rPr>
        <w:lastRenderedPageBreak/>
        <w:t>Australian Prudential Regulation Authority</w:t>
      </w:r>
    </w:p>
    <w:p w14:paraId="4EE77770" w14:textId="77777777" w:rsidR="00221F2A" w:rsidRPr="00724DC8" w:rsidRDefault="00221F2A" w:rsidP="00221F2A">
      <w:pPr>
        <w:pStyle w:val="Heading2"/>
        <w:rPr>
          <w:rFonts w:ascii="Arial" w:eastAsia="Times New Roman" w:hAnsi="Arial" w:cs="Times New Roman"/>
          <w:b w:val="0"/>
          <w:bCs w:val="0"/>
          <w:i w:val="0"/>
          <w:color w:val="auto"/>
          <w:sz w:val="30"/>
          <w:szCs w:val="20"/>
          <w:lang w:eastAsia="en-AU"/>
        </w:rPr>
      </w:pPr>
      <w:r w:rsidRPr="00724DC8">
        <w:rPr>
          <w:rFonts w:ascii="Arial" w:eastAsia="Times New Roman" w:hAnsi="Arial" w:cs="Times New Roman"/>
          <w:b w:val="0"/>
          <w:bCs w:val="0"/>
          <w:i w:val="0"/>
          <w:color w:val="auto"/>
          <w:sz w:val="30"/>
          <w:szCs w:val="20"/>
          <w:lang w:eastAsia="en-AU"/>
        </w:rPr>
        <w:t>Section 1: Entity overview and resources</w:t>
      </w:r>
    </w:p>
    <w:p w14:paraId="59C8109F" w14:textId="40300FC3" w:rsidR="00221F2A" w:rsidRPr="00724DC8" w:rsidRDefault="0008358A" w:rsidP="009E263B">
      <w:pPr>
        <w:pStyle w:val="Heading3"/>
        <w:rPr>
          <w:rFonts w:eastAsia="Times New Roman"/>
          <w:lang w:eastAsia="en-AU"/>
        </w:rPr>
      </w:pPr>
      <w:r w:rsidRPr="00505185">
        <w:t>1.1</w:t>
      </w:r>
      <w:r w:rsidRPr="00505185">
        <w:tab/>
      </w:r>
      <w:bookmarkEnd w:id="0"/>
      <w:bookmarkEnd w:id="1"/>
      <w:bookmarkEnd w:id="2"/>
      <w:bookmarkEnd w:id="3"/>
      <w:r w:rsidR="00221F2A" w:rsidRPr="00724DC8">
        <w:rPr>
          <w:rFonts w:eastAsia="Times New Roman"/>
          <w:lang w:eastAsia="en-AU"/>
        </w:rPr>
        <w:t>Strategic direction statement</w:t>
      </w:r>
    </w:p>
    <w:p w14:paraId="610D0B4D" w14:textId="77777777" w:rsidR="0008358A" w:rsidRPr="00221F2A" w:rsidRDefault="0008358A" w:rsidP="0008358A">
      <w:pPr>
        <w:rPr>
          <w:rFonts w:ascii="Book Antiqua" w:hAnsi="Book Antiqua"/>
          <w:sz w:val="20"/>
        </w:rPr>
      </w:pPr>
      <w:bookmarkStart w:id="4" w:name="_Toc190682310"/>
      <w:bookmarkStart w:id="5" w:name="_Toc190682528"/>
      <w:r w:rsidRPr="00221F2A">
        <w:rPr>
          <w:rFonts w:ascii="Book Antiqua" w:hAnsi="Book Antiqua"/>
          <w:sz w:val="20"/>
        </w:rPr>
        <w:t xml:space="preserve">The role of the Australian Prudential Regulation Authority (APRA) is to regulate relevant financial institutions in accordance with the laws of the Commonwealth that provide for prudential regulation or retirement income standards. Under the legislation that APRA administers, APRA is tasked with protecting the interests of depositors, policyholders and superannuation fund members. In performing and exercising its functions, APRA is to balance the objectives of financial safety and efficiency, competition, contestability and competitive neutrality, and, in balancing these objectives, is to promote financial system stability in Australia. </w:t>
      </w:r>
    </w:p>
    <w:p w14:paraId="4C7770AC" w14:textId="1153E41F" w:rsidR="0008358A" w:rsidRPr="00221F2A" w:rsidRDefault="0008358A" w:rsidP="0008358A">
      <w:pPr>
        <w:rPr>
          <w:rFonts w:ascii="Book Antiqua" w:hAnsi="Book Antiqua"/>
          <w:sz w:val="20"/>
        </w:rPr>
      </w:pPr>
      <w:r w:rsidRPr="00221F2A">
        <w:rPr>
          <w:rFonts w:ascii="Book Antiqua" w:hAnsi="Book Antiqua"/>
          <w:sz w:val="20"/>
        </w:rPr>
        <w:t xml:space="preserve">APRA's mandate is to protect the Australian community by establishing and enforcing prudential standards and practices designed to ensure that, under all reasonable circumstances, financial promises made by institutions APRA supervises are met within a stable, efficient and competitive financial system. </w:t>
      </w:r>
    </w:p>
    <w:p w14:paraId="1D2A5F50" w14:textId="0E654E41" w:rsidR="0008358A" w:rsidRPr="00221F2A" w:rsidRDefault="0008358A" w:rsidP="0008358A">
      <w:pPr>
        <w:rPr>
          <w:rFonts w:ascii="Book Antiqua" w:hAnsi="Book Antiqua"/>
          <w:sz w:val="20"/>
        </w:rPr>
      </w:pPr>
      <w:r w:rsidRPr="00221F2A">
        <w:rPr>
          <w:rFonts w:ascii="Book Antiqua" w:hAnsi="Book Antiqua"/>
          <w:sz w:val="20"/>
        </w:rPr>
        <w:t>APRA works closely with other regulatory agencies</w:t>
      </w:r>
      <w:r w:rsidR="003A7E4D" w:rsidRPr="00221F2A">
        <w:rPr>
          <w:rFonts w:ascii="Book Antiqua" w:hAnsi="Book Antiqua"/>
          <w:sz w:val="20"/>
        </w:rPr>
        <w:t xml:space="preserve"> to achieve its mandate</w:t>
      </w:r>
      <w:r w:rsidRPr="00221F2A">
        <w:rPr>
          <w:rFonts w:ascii="Book Antiqua" w:hAnsi="Book Antiqua"/>
          <w:sz w:val="20"/>
        </w:rPr>
        <w:t xml:space="preserve"> </w:t>
      </w:r>
      <w:r w:rsidR="00D46AB3" w:rsidRPr="00221F2A">
        <w:rPr>
          <w:rFonts w:ascii="Book Antiqua" w:hAnsi="Book Antiqua"/>
          <w:sz w:val="20"/>
        </w:rPr>
        <w:t xml:space="preserve">including those </w:t>
      </w:r>
      <w:r w:rsidRPr="00221F2A">
        <w:rPr>
          <w:rFonts w:ascii="Book Antiqua" w:hAnsi="Book Antiqua"/>
          <w:sz w:val="20"/>
        </w:rPr>
        <w:t>that form part of the Council of Financial Regulators (CFR)</w:t>
      </w:r>
      <w:r w:rsidR="00B4653B" w:rsidRPr="00221F2A">
        <w:rPr>
          <w:rFonts w:ascii="Book Antiqua" w:hAnsi="Book Antiqua"/>
          <w:sz w:val="20"/>
        </w:rPr>
        <w:t xml:space="preserve"> which </w:t>
      </w:r>
      <w:r w:rsidRPr="00221F2A">
        <w:rPr>
          <w:rFonts w:ascii="Book Antiqua" w:hAnsi="Book Antiqua"/>
          <w:sz w:val="20"/>
        </w:rPr>
        <w:t>includ</w:t>
      </w:r>
      <w:r w:rsidR="00B4653B" w:rsidRPr="00221F2A">
        <w:rPr>
          <w:rFonts w:ascii="Book Antiqua" w:hAnsi="Book Antiqua"/>
          <w:sz w:val="20"/>
        </w:rPr>
        <w:t>es</w:t>
      </w:r>
      <w:r w:rsidRPr="00221F2A">
        <w:rPr>
          <w:rFonts w:ascii="Book Antiqua" w:hAnsi="Book Antiqua"/>
          <w:sz w:val="20"/>
        </w:rPr>
        <w:t xml:space="preserve"> the Department of the Treasury (the Treasury), the Reserve Bank of Australia (RBA), and the Australian Securities and Investments Commission (ASIC). </w:t>
      </w:r>
    </w:p>
    <w:p w14:paraId="7D9737F5" w14:textId="5F77BD1F" w:rsidR="0008358A" w:rsidRPr="00221F2A" w:rsidRDefault="0008358A" w:rsidP="0008358A">
      <w:pPr>
        <w:rPr>
          <w:rFonts w:ascii="Book Antiqua" w:hAnsi="Book Antiqua"/>
          <w:sz w:val="20"/>
        </w:rPr>
      </w:pPr>
      <w:r w:rsidRPr="00221F2A">
        <w:rPr>
          <w:rFonts w:ascii="Book Antiqua" w:hAnsi="Book Antiqua"/>
          <w:sz w:val="20"/>
        </w:rPr>
        <w:t>APRA places a strong emphasis on an active program of prudential supervision.</w:t>
      </w:r>
      <w:r w:rsidR="00D46AB3" w:rsidRPr="00221F2A">
        <w:rPr>
          <w:rFonts w:ascii="Book Antiqua" w:hAnsi="Book Antiqua"/>
          <w:sz w:val="20"/>
        </w:rPr>
        <w:t xml:space="preserve"> APRA’s supervisory approach is forward-looking, primarily risk-based, consultative, consistent and in line with international best practice. </w:t>
      </w:r>
      <w:r w:rsidRPr="00221F2A">
        <w:rPr>
          <w:rFonts w:ascii="Book Antiqua" w:hAnsi="Book Antiqua"/>
          <w:sz w:val="20"/>
        </w:rPr>
        <w:t>APRA's approach is based on the fundamental premise that the primary responsibility for financial soundness and prudent risk management within an APRA-regulated institution rests with its board of directors and senior management. APRA's role is to promote prudent behaviour by institutions through a robust framework of legislation, prudential standards and prudential guidance, which aims to ensure that risk-taking is conducted within reasonable bounds and that risks are clearly identified and well-managed.</w:t>
      </w:r>
    </w:p>
    <w:p w14:paraId="22C94DDA" w14:textId="0F9F403B" w:rsidR="0008358A" w:rsidRPr="00221F2A" w:rsidRDefault="0008358A" w:rsidP="0008358A">
      <w:pPr>
        <w:rPr>
          <w:rFonts w:ascii="Book Antiqua" w:hAnsi="Book Antiqua"/>
          <w:sz w:val="20"/>
        </w:rPr>
      </w:pPr>
      <w:r w:rsidRPr="00221F2A">
        <w:rPr>
          <w:rFonts w:ascii="Book Antiqua" w:hAnsi="Book Antiqua"/>
          <w:sz w:val="20"/>
        </w:rPr>
        <w:t>Consistent with the Government's expectations, APRA does not pursue a zero</w:t>
      </w:r>
      <w:r w:rsidR="00765B12" w:rsidRPr="00221F2A">
        <w:rPr>
          <w:rFonts w:ascii="Book Antiqua" w:hAnsi="Book Antiqua"/>
          <w:sz w:val="20"/>
        </w:rPr>
        <w:t>-</w:t>
      </w:r>
      <w:r w:rsidRPr="00221F2A">
        <w:rPr>
          <w:rFonts w:ascii="Book Antiqua" w:hAnsi="Book Antiqua"/>
          <w:sz w:val="20"/>
        </w:rPr>
        <w:t xml:space="preserve">failure objective. APRA cannot eliminate the risk that any institution might fail and it recognises that attempting to do so would impose an unnecessary burden on institutions and the financial system. APRA seeks to maintain a low incidence of failure of APRA-regulated institutions whilst not unduly hindering efficiency, competition or otherwise impeding the competitive neutrality or contestability of the financial system. APRA's aim is to identify likely failure of an APRA-regulated institution early enough so that corrective action can be promptly initiated or an orderly exit achieved. </w:t>
      </w:r>
    </w:p>
    <w:p w14:paraId="7060ECDD" w14:textId="0AB1680B" w:rsidR="00C96D95" w:rsidRPr="00221F2A" w:rsidRDefault="0008358A" w:rsidP="0095364E">
      <w:pPr>
        <w:rPr>
          <w:rFonts w:ascii="Book Antiqua" w:hAnsi="Book Antiqua"/>
          <w:sz w:val="20"/>
        </w:rPr>
      </w:pPr>
      <w:r w:rsidRPr="00221F2A">
        <w:rPr>
          <w:rFonts w:ascii="Book Antiqua" w:hAnsi="Book Antiqua"/>
          <w:sz w:val="20"/>
        </w:rPr>
        <w:t xml:space="preserve">The structure of the Australian financial system continues to evolve and risks to APRA, the institutions and industries it regulates or financial system stability can emerge </w:t>
      </w:r>
      <w:r w:rsidRPr="00221F2A">
        <w:rPr>
          <w:rFonts w:ascii="Book Antiqua" w:hAnsi="Book Antiqua"/>
          <w:sz w:val="20"/>
        </w:rPr>
        <w:lastRenderedPageBreak/>
        <w:t xml:space="preserve">quickly. Each year, in setting its strategic priorities, APRA takes into consideration </w:t>
      </w:r>
      <w:r w:rsidR="001D5DC3" w:rsidRPr="00221F2A">
        <w:rPr>
          <w:rFonts w:ascii="Book Antiqua" w:hAnsi="Book Antiqua"/>
          <w:sz w:val="20"/>
        </w:rPr>
        <w:t xml:space="preserve">changes in </w:t>
      </w:r>
      <w:r w:rsidRPr="00221F2A">
        <w:rPr>
          <w:rFonts w:ascii="Book Antiqua" w:hAnsi="Book Antiqua"/>
          <w:sz w:val="20"/>
        </w:rPr>
        <w:t xml:space="preserve">its operating environment and the Government's policy priorities to ensure it continues to effectively deliver on its </w:t>
      </w:r>
      <w:r w:rsidR="00492EAE" w:rsidRPr="00221F2A">
        <w:rPr>
          <w:rFonts w:ascii="Book Antiqua" w:hAnsi="Book Antiqua"/>
          <w:sz w:val="20"/>
        </w:rPr>
        <w:t>statutory objectives and APRA’s Statement of Intent in response to the Australian Government’s Statement of Expectations for APRA</w:t>
      </w:r>
      <w:r w:rsidRPr="00221F2A">
        <w:rPr>
          <w:rFonts w:ascii="Book Antiqua" w:hAnsi="Book Antiqua"/>
          <w:sz w:val="20"/>
        </w:rPr>
        <w:t>.</w:t>
      </w:r>
    </w:p>
    <w:p w14:paraId="40D6CB48" w14:textId="4BE9338A" w:rsidR="00C55BA0" w:rsidRPr="00221F2A" w:rsidRDefault="00895373" w:rsidP="00C96D95">
      <w:pPr>
        <w:rPr>
          <w:rFonts w:ascii="Book Antiqua" w:hAnsi="Book Antiqua"/>
          <w:sz w:val="20"/>
        </w:rPr>
      </w:pPr>
      <w:r w:rsidRPr="00221F2A">
        <w:rPr>
          <w:rFonts w:ascii="Book Antiqua" w:hAnsi="Book Antiqua"/>
          <w:sz w:val="20"/>
        </w:rPr>
        <w:t xml:space="preserve">APRA’s strategic priorities are outlined in its rolling four-year Corporate Plan published annually. </w:t>
      </w:r>
      <w:r w:rsidR="00C96D95" w:rsidRPr="00221F2A">
        <w:rPr>
          <w:rFonts w:ascii="Book Antiqua" w:hAnsi="Book Antiqua"/>
          <w:sz w:val="20"/>
        </w:rPr>
        <w:t xml:space="preserve">APRA’s 2020-2024 Corporate Plan </w:t>
      </w:r>
      <w:r w:rsidR="00C55BA0" w:rsidRPr="00221F2A">
        <w:rPr>
          <w:rFonts w:ascii="Book Antiqua" w:hAnsi="Book Antiqua"/>
          <w:sz w:val="20"/>
        </w:rPr>
        <w:t xml:space="preserve">includes four strategic focus areas </w:t>
      </w:r>
      <w:r w:rsidR="00C96D95" w:rsidRPr="00221F2A">
        <w:rPr>
          <w:rFonts w:ascii="Book Antiqua" w:hAnsi="Book Antiqua"/>
          <w:sz w:val="20"/>
        </w:rPr>
        <w:t>to</w:t>
      </w:r>
      <w:r w:rsidR="00C55BA0" w:rsidRPr="00221F2A">
        <w:rPr>
          <w:rFonts w:ascii="Book Antiqua" w:hAnsi="Book Antiqua"/>
          <w:sz w:val="20"/>
        </w:rPr>
        <w:t xml:space="preserve"> strengthen outcomes for the Australian community</w:t>
      </w:r>
      <w:r w:rsidR="002F1626">
        <w:rPr>
          <w:rFonts w:ascii="Book Antiqua" w:hAnsi="Book Antiqua"/>
          <w:sz w:val="20"/>
        </w:rPr>
        <w:t>:</w:t>
      </w:r>
      <w:r w:rsidR="00C96D95" w:rsidRPr="00221F2A">
        <w:rPr>
          <w:rFonts w:ascii="Book Antiqua" w:hAnsi="Book Antiqua"/>
          <w:sz w:val="20"/>
        </w:rPr>
        <w:t xml:space="preserve"> </w:t>
      </w:r>
      <w:r w:rsidR="00C55BA0" w:rsidRPr="00221F2A">
        <w:rPr>
          <w:rFonts w:ascii="Book Antiqua" w:hAnsi="Book Antiqua"/>
          <w:sz w:val="20"/>
        </w:rPr>
        <w:t xml:space="preserve">to </w:t>
      </w:r>
      <w:r w:rsidR="00C96D95" w:rsidRPr="00221F2A">
        <w:rPr>
          <w:rFonts w:ascii="Book Antiqua" w:hAnsi="Book Antiqua"/>
          <w:sz w:val="20"/>
        </w:rPr>
        <w:t>maintain financial system resilience; improve outcomes for superannuation members; transform governance, culture, remuneration and accountability across all regulated institutions; and improve cyber resilience across the financial system</w:t>
      </w:r>
      <w:r w:rsidR="00C55BA0" w:rsidRPr="00221F2A">
        <w:rPr>
          <w:rFonts w:ascii="Book Antiqua" w:hAnsi="Book Antiqua"/>
          <w:sz w:val="20"/>
        </w:rPr>
        <w:t xml:space="preserve">. The plan also includes areas where APRA intends to improve </w:t>
      </w:r>
      <w:r w:rsidR="00C96D95" w:rsidRPr="00221F2A">
        <w:rPr>
          <w:rFonts w:ascii="Book Antiqua" w:hAnsi="Book Antiqua"/>
          <w:sz w:val="20"/>
        </w:rPr>
        <w:t>its internal capabilities</w:t>
      </w:r>
      <w:r w:rsidR="00C55BA0" w:rsidRPr="00221F2A">
        <w:rPr>
          <w:rFonts w:ascii="Book Antiqua" w:hAnsi="Book Antiqua"/>
          <w:sz w:val="20"/>
        </w:rPr>
        <w:t xml:space="preserve"> to deliver on those outcomes. </w:t>
      </w:r>
    </w:p>
    <w:p w14:paraId="56AED38D" w14:textId="6B6FD579" w:rsidR="00052AF4" w:rsidRPr="00221F2A" w:rsidRDefault="00C55BA0" w:rsidP="0037570B">
      <w:pPr>
        <w:spacing w:before="240"/>
        <w:rPr>
          <w:rFonts w:ascii="Book Antiqua" w:hAnsi="Book Antiqua"/>
          <w:sz w:val="20"/>
        </w:rPr>
      </w:pPr>
      <w:r w:rsidRPr="00221F2A">
        <w:rPr>
          <w:rFonts w:ascii="Book Antiqua" w:hAnsi="Book Antiqua"/>
          <w:sz w:val="20"/>
        </w:rPr>
        <w:t xml:space="preserve">In 2020 APRA reprioritised its efforts to respond with urgency to COVID-19 and its economic and financial impacts </w:t>
      </w:r>
      <w:r w:rsidR="002467E6" w:rsidRPr="00221F2A">
        <w:rPr>
          <w:rFonts w:ascii="Book Antiqua" w:hAnsi="Book Antiqua"/>
          <w:sz w:val="20"/>
        </w:rPr>
        <w:t xml:space="preserve">through </w:t>
      </w:r>
      <w:r w:rsidR="008D4EDC" w:rsidRPr="00221F2A">
        <w:rPr>
          <w:rFonts w:ascii="Book Antiqua" w:hAnsi="Book Antiqua"/>
          <w:sz w:val="20"/>
        </w:rPr>
        <w:t xml:space="preserve">the </w:t>
      </w:r>
      <w:r w:rsidRPr="00221F2A">
        <w:rPr>
          <w:rFonts w:ascii="Book Antiqua" w:hAnsi="Book Antiqua"/>
          <w:sz w:val="20"/>
        </w:rPr>
        <w:t xml:space="preserve">significant changes in the external environment. This included APRA focusing on protecting the financial safety and soundness of regulated entities; fostering the operational resilience of regulated entities during a period of significant disruption; and enhancing contingency plans for adverse events. </w:t>
      </w:r>
    </w:p>
    <w:p w14:paraId="516BCE0C" w14:textId="67083579" w:rsidR="00C96D95" w:rsidRPr="00221F2A" w:rsidRDefault="00C55BA0" w:rsidP="00C96D95">
      <w:pPr>
        <w:rPr>
          <w:rFonts w:ascii="Book Antiqua" w:hAnsi="Book Antiqua"/>
          <w:sz w:val="20"/>
        </w:rPr>
      </w:pPr>
      <w:r w:rsidRPr="00221F2A">
        <w:rPr>
          <w:rFonts w:ascii="Book Antiqua" w:hAnsi="Book Antiqua"/>
          <w:sz w:val="20"/>
        </w:rPr>
        <w:t xml:space="preserve">APRA continues to monitor the impact of COVID-19 and </w:t>
      </w:r>
      <w:r w:rsidR="00052AF4" w:rsidRPr="00221F2A">
        <w:rPr>
          <w:rFonts w:ascii="Book Antiqua" w:hAnsi="Book Antiqua"/>
          <w:sz w:val="20"/>
        </w:rPr>
        <w:t xml:space="preserve">intends to </w:t>
      </w:r>
      <w:r w:rsidRPr="00221F2A">
        <w:rPr>
          <w:rFonts w:ascii="Book Antiqua" w:hAnsi="Book Antiqua"/>
          <w:sz w:val="20"/>
        </w:rPr>
        <w:t xml:space="preserve">adjust its </w:t>
      </w:r>
      <w:r w:rsidR="00052AF4" w:rsidRPr="00221F2A">
        <w:rPr>
          <w:rFonts w:ascii="Book Antiqua" w:hAnsi="Book Antiqua"/>
          <w:sz w:val="20"/>
        </w:rPr>
        <w:t xml:space="preserve">priorities </w:t>
      </w:r>
      <w:r w:rsidRPr="00221F2A">
        <w:rPr>
          <w:rFonts w:ascii="Book Antiqua" w:hAnsi="Book Antiqua"/>
          <w:sz w:val="20"/>
        </w:rPr>
        <w:t>accordingly including wind</w:t>
      </w:r>
      <w:r w:rsidR="002467E6" w:rsidRPr="00221F2A">
        <w:rPr>
          <w:rFonts w:ascii="Book Antiqua" w:hAnsi="Book Antiqua"/>
          <w:sz w:val="20"/>
        </w:rPr>
        <w:t>ing</w:t>
      </w:r>
      <w:r w:rsidRPr="00221F2A">
        <w:rPr>
          <w:rFonts w:ascii="Book Antiqua" w:hAnsi="Book Antiqua"/>
          <w:sz w:val="20"/>
        </w:rPr>
        <w:t xml:space="preserve"> down some specific COVID-19 response activities where improvements are evident</w:t>
      </w:r>
      <w:r w:rsidR="0039117B" w:rsidRPr="00221F2A">
        <w:rPr>
          <w:rFonts w:ascii="Book Antiqua" w:hAnsi="Book Antiqua"/>
          <w:sz w:val="20"/>
        </w:rPr>
        <w:t xml:space="preserve"> and the operating environment stabilises</w:t>
      </w:r>
      <w:r w:rsidRPr="00221F2A">
        <w:rPr>
          <w:rFonts w:ascii="Book Antiqua" w:hAnsi="Book Antiqua"/>
          <w:sz w:val="20"/>
        </w:rPr>
        <w:t>.</w:t>
      </w:r>
      <w:r w:rsidR="00052AF4" w:rsidRPr="00221F2A">
        <w:rPr>
          <w:rFonts w:ascii="Book Antiqua" w:hAnsi="Book Antiqua"/>
          <w:sz w:val="20"/>
        </w:rPr>
        <w:t xml:space="preserve"> APRA’s strategic priorities will be </w:t>
      </w:r>
      <w:r w:rsidR="007D0CB8" w:rsidRPr="00221F2A">
        <w:rPr>
          <w:rFonts w:ascii="Book Antiqua" w:hAnsi="Book Antiqua"/>
          <w:sz w:val="20"/>
        </w:rPr>
        <w:t>reviewed</w:t>
      </w:r>
      <w:r w:rsidR="00121005" w:rsidRPr="00221F2A">
        <w:rPr>
          <w:rFonts w:ascii="Book Antiqua" w:hAnsi="Book Antiqua"/>
          <w:sz w:val="20"/>
        </w:rPr>
        <w:t xml:space="preserve"> as part of settling APRA’s</w:t>
      </w:r>
      <w:r w:rsidR="00052AF4" w:rsidRPr="00221F2A">
        <w:rPr>
          <w:rFonts w:ascii="Book Antiqua" w:hAnsi="Book Antiqua"/>
          <w:sz w:val="20"/>
        </w:rPr>
        <w:t xml:space="preserve"> 2021-2025 Corporate Plan.</w:t>
      </w:r>
      <w:r w:rsidR="00C96D95" w:rsidRPr="00221F2A">
        <w:rPr>
          <w:rFonts w:ascii="Book Antiqua" w:hAnsi="Book Antiqua"/>
          <w:sz w:val="20"/>
        </w:rPr>
        <w:t xml:space="preserve"> </w:t>
      </w:r>
    </w:p>
    <w:p w14:paraId="1A19F507" w14:textId="27A2B3D5" w:rsidR="0008358A" w:rsidRDefault="0008358A" w:rsidP="00595B4E">
      <w:pPr>
        <w:pStyle w:val="Heading3"/>
      </w:pPr>
      <w:r w:rsidRPr="0079797F">
        <w:br w:type="page"/>
      </w:r>
      <w:bookmarkStart w:id="6" w:name="_Toc444523510"/>
      <w:bookmarkStart w:id="7" w:name="_Toc69915708"/>
      <w:r>
        <w:lastRenderedPageBreak/>
        <w:t>1.2</w:t>
      </w:r>
      <w:r>
        <w:tab/>
      </w:r>
      <w:bookmarkEnd w:id="4"/>
      <w:bookmarkEnd w:id="5"/>
      <w:bookmarkEnd w:id="6"/>
      <w:bookmarkEnd w:id="7"/>
      <w:r w:rsidR="00221F2A" w:rsidRPr="00724DC8">
        <w:rPr>
          <w:rFonts w:ascii="Arial" w:eastAsia="Times New Roman" w:hAnsi="Arial" w:cs="Times New Roman"/>
          <w:bCs w:val="0"/>
          <w:smallCaps/>
          <w:color w:val="auto"/>
          <w:sz w:val="26"/>
          <w:szCs w:val="20"/>
          <w:lang w:eastAsia="en-AU"/>
        </w:rPr>
        <w:t>Entity resource statement</w:t>
      </w:r>
    </w:p>
    <w:p w14:paraId="70D9BF71" w14:textId="77777777" w:rsidR="0008358A" w:rsidRPr="00221F2A" w:rsidRDefault="0008358A" w:rsidP="0008358A">
      <w:pPr>
        <w:rPr>
          <w:rFonts w:ascii="Book Antiqua" w:hAnsi="Book Antiqua"/>
          <w:sz w:val="20"/>
        </w:rPr>
      </w:pPr>
      <w:bookmarkStart w:id="8" w:name="OLE_LINK11"/>
      <w:bookmarkStart w:id="9" w:name="OLE_LINK12"/>
      <w:r w:rsidRPr="00221F2A">
        <w:rPr>
          <w:rFonts w:ascii="Book Antiqua" w:hAnsi="Book Antiqua"/>
          <w:sz w:val="20"/>
        </w:rPr>
        <w:t>Table 1.1 shows the total funding from all sources available to the entity for its operations and to deliver programs and services on behalf of the Government.</w:t>
      </w:r>
    </w:p>
    <w:p w14:paraId="6C925134" w14:textId="0FB9BED8" w:rsidR="0008358A" w:rsidRPr="00221F2A" w:rsidRDefault="0008358A" w:rsidP="0008358A">
      <w:pPr>
        <w:rPr>
          <w:rFonts w:ascii="Book Antiqua" w:hAnsi="Book Antiqua"/>
          <w:sz w:val="20"/>
        </w:rPr>
      </w:pPr>
      <w:r w:rsidRPr="00221F2A">
        <w:rPr>
          <w:rFonts w:ascii="Book Antiqua" w:hAnsi="Book Antiqua"/>
          <w:sz w:val="20"/>
        </w:rPr>
        <w:t xml:space="preserve">The table summarises how resources will be applied by outcome (government strategic policy objectives) and by </w:t>
      </w:r>
      <w:r w:rsidR="00311228" w:rsidRPr="00221F2A">
        <w:rPr>
          <w:rFonts w:ascii="Book Antiqua" w:hAnsi="Book Antiqua"/>
          <w:sz w:val="20"/>
        </w:rPr>
        <w:t>A</w:t>
      </w:r>
      <w:r w:rsidRPr="00221F2A">
        <w:rPr>
          <w:rFonts w:ascii="Book Antiqua" w:hAnsi="Book Antiqua"/>
          <w:sz w:val="20"/>
        </w:rPr>
        <w:t xml:space="preserve">dministered (on behalf of the Government or the public) and </w:t>
      </w:r>
      <w:r w:rsidR="00311228" w:rsidRPr="00221F2A">
        <w:rPr>
          <w:rFonts w:ascii="Book Antiqua" w:hAnsi="Book Antiqua"/>
          <w:sz w:val="20"/>
        </w:rPr>
        <w:t xml:space="preserve">Departmental </w:t>
      </w:r>
      <w:r w:rsidRPr="00221F2A">
        <w:rPr>
          <w:rFonts w:ascii="Book Antiqua" w:hAnsi="Book Antiqua"/>
          <w:sz w:val="20"/>
        </w:rPr>
        <w:t>(for the entity’s operations) classification.</w:t>
      </w:r>
    </w:p>
    <w:p w14:paraId="44421B2C" w14:textId="77777777" w:rsidR="0008358A" w:rsidRPr="00221F2A" w:rsidRDefault="0008358A" w:rsidP="0008358A">
      <w:pPr>
        <w:rPr>
          <w:rFonts w:ascii="Book Antiqua" w:hAnsi="Book Antiqua"/>
          <w:sz w:val="20"/>
        </w:rPr>
      </w:pPr>
      <w:r w:rsidRPr="00221F2A">
        <w:rPr>
          <w:rFonts w:ascii="Book Antiqua" w:hAnsi="Book Antiqua"/>
          <w:sz w:val="20"/>
        </w:rPr>
        <w:t xml:space="preserve">For more detailed information on special accounts and special appropriations, please refer to </w:t>
      </w:r>
      <w:r w:rsidRPr="00221F2A">
        <w:rPr>
          <w:rFonts w:ascii="Book Antiqua" w:hAnsi="Book Antiqua"/>
          <w:i/>
          <w:sz w:val="20"/>
        </w:rPr>
        <w:t>Budget Paper No. 4 – Agency Resourcing</w:t>
      </w:r>
      <w:r w:rsidRPr="00221F2A">
        <w:rPr>
          <w:rFonts w:ascii="Book Antiqua" w:hAnsi="Book Antiqua"/>
          <w:sz w:val="20"/>
        </w:rPr>
        <w:t>.</w:t>
      </w:r>
    </w:p>
    <w:p w14:paraId="37193463" w14:textId="77777777" w:rsidR="0008358A" w:rsidRPr="00221F2A" w:rsidRDefault="0008358A" w:rsidP="0008358A">
      <w:pPr>
        <w:rPr>
          <w:rFonts w:ascii="Book Antiqua" w:hAnsi="Book Antiqua"/>
          <w:sz w:val="20"/>
        </w:rPr>
      </w:pPr>
      <w:r w:rsidRPr="00221F2A">
        <w:rPr>
          <w:rFonts w:ascii="Book Antiqua" w:hAnsi="Book Antiqua"/>
          <w:sz w:val="20"/>
        </w:rPr>
        <w:t>Information in this table is presented on a resourcing (that is, appropriations/cash available) basis, whilst the ‘Budgeted expenses by Outcome 1’ tables in Section 2 and the financial statements in Section 3 are presented on an accrual basis.</w:t>
      </w:r>
    </w:p>
    <w:p w14:paraId="5CFB85CA" w14:textId="6BC1FE18" w:rsidR="0008358A" w:rsidRPr="001E04A8" w:rsidRDefault="0008358A" w:rsidP="00663122">
      <w:pPr>
        <w:pStyle w:val="TableHeading"/>
        <w:spacing w:before="0" w:after="0"/>
        <w:rPr>
          <w:i w:val="0"/>
          <w:sz w:val="20"/>
        </w:rPr>
      </w:pPr>
      <w:r w:rsidRPr="001E04A8">
        <w:rPr>
          <w:i w:val="0"/>
          <w:sz w:val="20"/>
        </w:rPr>
        <w:t xml:space="preserve">Table 1.1: </w:t>
      </w:r>
      <w:r w:rsidRPr="001E04A8">
        <w:rPr>
          <w:rFonts w:cs="Arial"/>
          <w:i w:val="0"/>
          <w:sz w:val="20"/>
        </w:rPr>
        <w:t>Australian Prudential Regulation Authority</w:t>
      </w:r>
      <w:r w:rsidRPr="001E04A8">
        <w:rPr>
          <w:i w:val="0"/>
          <w:sz w:val="20"/>
        </w:rPr>
        <w:t xml:space="preserve"> resource statement — Budget estimates for 20</w:t>
      </w:r>
      <w:r w:rsidR="00B912AF" w:rsidRPr="001E04A8">
        <w:rPr>
          <w:i w:val="0"/>
          <w:sz w:val="20"/>
        </w:rPr>
        <w:t>2</w:t>
      </w:r>
      <w:r w:rsidR="00FC2A10" w:rsidRPr="001E04A8">
        <w:rPr>
          <w:i w:val="0"/>
          <w:sz w:val="20"/>
        </w:rPr>
        <w:t>1</w:t>
      </w:r>
      <w:r w:rsidRPr="001E04A8">
        <w:rPr>
          <w:i w:val="0"/>
          <w:sz w:val="20"/>
        </w:rPr>
        <w:t>-2</w:t>
      </w:r>
      <w:r w:rsidR="00FC2A10" w:rsidRPr="001E04A8">
        <w:rPr>
          <w:i w:val="0"/>
          <w:sz w:val="20"/>
        </w:rPr>
        <w:t>2</w:t>
      </w:r>
      <w:r w:rsidRPr="001E04A8">
        <w:rPr>
          <w:i w:val="0"/>
          <w:sz w:val="20"/>
        </w:rPr>
        <w:t xml:space="preserve"> as at Budget </w:t>
      </w:r>
      <w:r w:rsidR="00FC2A10" w:rsidRPr="001E04A8">
        <w:rPr>
          <w:i w:val="0"/>
          <w:sz w:val="20"/>
        </w:rPr>
        <w:t xml:space="preserve">May </w:t>
      </w:r>
      <w:r w:rsidRPr="001E04A8">
        <w:rPr>
          <w:i w:val="0"/>
          <w:sz w:val="20"/>
        </w:rPr>
        <w:t>20</w:t>
      </w:r>
      <w:r w:rsidR="00B912AF" w:rsidRPr="001E04A8">
        <w:rPr>
          <w:i w:val="0"/>
          <w:sz w:val="20"/>
        </w:rPr>
        <w:t>2</w:t>
      </w:r>
      <w:r w:rsidR="00FC2A10" w:rsidRPr="001E04A8">
        <w:rPr>
          <w:i w:val="0"/>
          <w:sz w:val="20"/>
        </w:rPr>
        <w:t>1</w:t>
      </w:r>
    </w:p>
    <w:tbl>
      <w:tblPr>
        <w:tblW w:w="5000" w:type="pct"/>
        <w:tblCellMar>
          <w:left w:w="0" w:type="dxa"/>
          <w:right w:w="28" w:type="dxa"/>
        </w:tblCellMar>
        <w:tblLook w:val="04A0" w:firstRow="1" w:lastRow="0" w:firstColumn="1" w:lastColumn="0" w:noHBand="0" w:noVBand="1"/>
      </w:tblPr>
      <w:tblGrid>
        <w:gridCol w:w="5338"/>
        <w:gridCol w:w="1186"/>
        <w:gridCol w:w="1186"/>
      </w:tblGrid>
      <w:tr w:rsidR="00514D61" w:rsidRPr="00B11728" w14:paraId="3A231168" w14:textId="77777777" w:rsidTr="006D3CA7">
        <w:trPr>
          <w:trHeight w:val="800"/>
        </w:trPr>
        <w:tc>
          <w:tcPr>
            <w:tcW w:w="3462" w:type="pct"/>
            <w:tcBorders>
              <w:top w:val="single" w:sz="4" w:space="0" w:color="auto"/>
              <w:left w:val="nil"/>
              <w:bottom w:val="nil"/>
              <w:right w:val="nil"/>
            </w:tcBorders>
            <w:shd w:val="clear" w:color="000000" w:fill="FFFFFF"/>
            <w:vAlign w:val="bottom"/>
            <w:hideMark/>
          </w:tcPr>
          <w:p w14:paraId="3BDB73FD" w14:textId="77777777" w:rsidR="00514D61" w:rsidRPr="00043432" w:rsidRDefault="00514D61" w:rsidP="00043432">
            <w:pPr>
              <w:pStyle w:val="ListParagraph"/>
              <w:numPr>
                <w:ilvl w:val="0"/>
                <w:numId w:val="20"/>
              </w:numPr>
              <w:spacing w:after="0"/>
              <w:rPr>
                <w:rFonts w:eastAsia="Times New Roman" w:cs="Arial"/>
                <w:sz w:val="16"/>
                <w:szCs w:val="16"/>
                <w:lang w:eastAsia="en-AU"/>
              </w:rPr>
            </w:pPr>
            <w:r w:rsidRPr="00043432">
              <w:rPr>
                <w:rFonts w:eastAsia="Times New Roman" w:cs="Arial"/>
                <w:sz w:val="16"/>
                <w:szCs w:val="16"/>
                <w:lang w:eastAsia="en-AU"/>
              </w:rPr>
              <w:t> </w:t>
            </w:r>
          </w:p>
        </w:tc>
        <w:tc>
          <w:tcPr>
            <w:tcW w:w="769" w:type="pct"/>
            <w:tcBorders>
              <w:top w:val="single" w:sz="4" w:space="0" w:color="auto"/>
              <w:left w:val="nil"/>
              <w:bottom w:val="single" w:sz="4" w:space="0" w:color="auto"/>
              <w:right w:val="nil"/>
            </w:tcBorders>
            <w:shd w:val="clear" w:color="000000" w:fill="FFFFFF"/>
            <w:hideMark/>
          </w:tcPr>
          <w:p w14:paraId="6CFD8AE6"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2020-21 Estimated actual</w:t>
            </w:r>
            <w:r w:rsidRPr="00043432">
              <w:rPr>
                <w:rFonts w:eastAsia="Times New Roman" w:cs="Arial"/>
                <w:i/>
                <w:iCs/>
                <w:sz w:val="16"/>
                <w:szCs w:val="16"/>
                <w:lang w:eastAsia="en-AU"/>
              </w:rPr>
              <w:br/>
              <w:t>$'000</w:t>
            </w:r>
          </w:p>
        </w:tc>
        <w:tc>
          <w:tcPr>
            <w:tcW w:w="769" w:type="pct"/>
            <w:tcBorders>
              <w:top w:val="single" w:sz="4" w:space="0" w:color="auto"/>
              <w:left w:val="nil"/>
              <w:bottom w:val="single" w:sz="4" w:space="0" w:color="auto"/>
              <w:right w:val="nil"/>
            </w:tcBorders>
            <w:shd w:val="clear" w:color="000000" w:fill="E6E6E6"/>
            <w:hideMark/>
          </w:tcPr>
          <w:p w14:paraId="55C6792A" w14:textId="77777777"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2021-22 Estimate</w:t>
            </w:r>
            <w:r w:rsidRPr="00043432">
              <w:rPr>
                <w:rFonts w:eastAsia="Times New Roman" w:cs="Arial"/>
                <w:sz w:val="16"/>
                <w:szCs w:val="16"/>
                <w:lang w:eastAsia="en-AU"/>
              </w:rPr>
              <w:br/>
            </w:r>
            <w:r w:rsidRPr="00043432">
              <w:rPr>
                <w:rFonts w:eastAsia="Times New Roman" w:cs="Arial"/>
                <w:sz w:val="16"/>
                <w:szCs w:val="16"/>
                <w:lang w:eastAsia="en-AU"/>
              </w:rPr>
              <w:br/>
              <w:t>$'000</w:t>
            </w:r>
          </w:p>
        </w:tc>
      </w:tr>
      <w:tr w:rsidR="00514D61" w:rsidRPr="00B11728" w14:paraId="5D3DF52C" w14:textId="77777777" w:rsidTr="006D3CA7">
        <w:trPr>
          <w:trHeight w:val="238"/>
        </w:trPr>
        <w:tc>
          <w:tcPr>
            <w:tcW w:w="3462" w:type="pct"/>
            <w:tcBorders>
              <w:top w:val="nil"/>
              <w:left w:val="nil"/>
              <w:bottom w:val="nil"/>
              <w:right w:val="nil"/>
            </w:tcBorders>
            <w:shd w:val="clear" w:color="000000" w:fill="FFFFFF"/>
            <w:vAlign w:val="bottom"/>
            <w:hideMark/>
          </w:tcPr>
          <w:p w14:paraId="6E5F91C1" w14:textId="77777777" w:rsidR="00514D61" w:rsidRPr="00043432" w:rsidRDefault="00514D61"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Departmental</w:t>
            </w:r>
          </w:p>
        </w:tc>
        <w:tc>
          <w:tcPr>
            <w:tcW w:w="769" w:type="pct"/>
            <w:tcBorders>
              <w:top w:val="nil"/>
              <w:left w:val="nil"/>
              <w:bottom w:val="nil"/>
              <w:right w:val="nil"/>
            </w:tcBorders>
            <w:shd w:val="clear" w:color="000000" w:fill="FFFFFF"/>
            <w:vAlign w:val="bottom"/>
            <w:hideMark/>
          </w:tcPr>
          <w:p w14:paraId="6367842F" w14:textId="77777777" w:rsidR="00514D61" w:rsidRPr="00043432" w:rsidRDefault="00514D61"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 </w:t>
            </w:r>
          </w:p>
        </w:tc>
        <w:tc>
          <w:tcPr>
            <w:tcW w:w="769" w:type="pct"/>
            <w:tcBorders>
              <w:top w:val="nil"/>
              <w:left w:val="nil"/>
              <w:bottom w:val="nil"/>
              <w:right w:val="nil"/>
            </w:tcBorders>
            <w:shd w:val="clear" w:color="000000" w:fill="E6E6E6"/>
            <w:vAlign w:val="bottom"/>
            <w:hideMark/>
          </w:tcPr>
          <w:p w14:paraId="1546EEA5"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r>
      <w:tr w:rsidR="00514D61" w:rsidRPr="00B11728" w14:paraId="74226881" w14:textId="77777777" w:rsidTr="006D3CA7">
        <w:trPr>
          <w:trHeight w:val="238"/>
        </w:trPr>
        <w:tc>
          <w:tcPr>
            <w:tcW w:w="3462" w:type="pct"/>
            <w:tcBorders>
              <w:top w:val="nil"/>
              <w:left w:val="nil"/>
              <w:bottom w:val="nil"/>
              <w:right w:val="nil"/>
            </w:tcBorders>
            <w:shd w:val="clear" w:color="000000" w:fill="FFFFFF"/>
            <w:vAlign w:val="bottom"/>
            <w:hideMark/>
          </w:tcPr>
          <w:p w14:paraId="2CF392E5"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Annual appropriations - ordinary annual services (a)</w:t>
            </w:r>
          </w:p>
        </w:tc>
        <w:tc>
          <w:tcPr>
            <w:tcW w:w="769" w:type="pct"/>
            <w:tcBorders>
              <w:top w:val="nil"/>
              <w:left w:val="nil"/>
              <w:bottom w:val="nil"/>
              <w:right w:val="nil"/>
            </w:tcBorders>
            <w:shd w:val="clear" w:color="000000" w:fill="FFFFFF"/>
            <w:vAlign w:val="bottom"/>
            <w:hideMark/>
          </w:tcPr>
          <w:p w14:paraId="175722FA" w14:textId="77777777" w:rsidR="00514D61" w:rsidRPr="00043432" w:rsidRDefault="00514D61"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 </w:t>
            </w:r>
          </w:p>
        </w:tc>
        <w:tc>
          <w:tcPr>
            <w:tcW w:w="769" w:type="pct"/>
            <w:tcBorders>
              <w:top w:val="nil"/>
              <w:left w:val="nil"/>
              <w:bottom w:val="nil"/>
              <w:right w:val="nil"/>
            </w:tcBorders>
            <w:shd w:val="clear" w:color="000000" w:fill="E6E6E6"/>
            <w:vAlign w:val="bottom"/>
            <w:hideMark/>
          </w:tcPr>
          <w:p w14:paraId="04E584C0"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r>
      <w:tr w:rsidR="00514D61" w:rsidRPr="00B11728" w14:paraId="4B533AD8" w14:textId="77777777" w:rsidTr="006D3CA7">
        <w:trPr>
          <w:trHeight w:val="238"/>
        </w:trPr>
        <w:tc>
          <w:tcPr>
            <w:tcW w:w="3462" w:type="pct"/>
            <w:tcBorders>
              <w:top w:val="nil"/>
              <w:left w:val="nil"/>
              <w:bottom w:val="nil"/>
              <w:right w:val="nil"/>
            </w:tcBorders>
            <w:shd w:val="clear" w:color="000000" w:fill="FFFFFF"/>
            <w:vAlign w:val="bottom"/>
            <w:hideMark/>
          </w:tcPr>
          <w:p w14:paraId="671003E3"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    Departmental appropriation</w:t>
            </w:r>
          </w:p>
        </w:tc>
        <w:tc>
          <w:tcPr>
            <w:tcW w:w="769" w:type="pct"/>
            <w:tcBorders>
              <w:top w:val="nil"/>
              <w:left w:val="nil"/>
              <w:bottom w:val="nil"/>
              <w:right w:val="nil"/>
            </w:tcBorders>
            <w:shd w:val="clear" w:color="000000" w:fill="FFFFFF"/>
            <w:vAlign w:val="bottom"/>
            <w:hideMark/>
          </w:tcPr>
          <w:p w14:paraId="6C721260"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3,630 </w:t>
            </w:r>
          </w:p>
        </w:tc>
        <w:tc>
          <w:tcPr>
            <w:tcW w:w="769" w:type="pct"/>
            <w:tcBorders>
              <w:top w:val="nil"/>
              <w:left w:val="nil"/>
              <w:bottom w:val="nil"/>
              <w:right w:val="nil"/>
            </w:tcBorders>
            <w:shd w:val="clear" w:color="000000" w:fill="E6E6E6"/>
            <w:vAlign w:val="bottom"/>
            <w:hideMark/>
          </w:tcPr>
          <w:p w14:paraId="6F37D0D4" w14:textId="71D702ED"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2,680 </w:t>
            </w:r>
          </w:p>
        </w:tc>
      </w:tr>
      <w:tr w:rsidR="00514D61" w:rsidRPr="00B11728" w14:paraId="0FCA97BC" w14:textId="77777777" w:rsidTr="006D3CA7">
        <w:trPr>
          <w:trHeight w:val="238"/>
        </w:trPr>
        <w:tc>
          <w:tcPr>
            <w:tcW w:w="3462" w:type="pct"/>
            <w:tcBorders>
              <w:top w:val="nil"/>
              <w:left w:val="nil"/>
              <w:bottom w:val="nil"/>
              <w:right w:val="nil"/>
            </w:tcBorders>
            <w:shd w:val="clear" w:color="000000" w:fill="FFFFFF"/>
            <w:vAlign w:val="bottom"/>
            <w:hideMark/>
          </w:tcPr>
          <w:p w14:paraId="5305449D"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    s74 External Revenue (b)</w:t>
            </w:r>
          </w:p>
        </w:tc>
        <w:tc>
          <w:tcPr>
            <w:tcW w:w="769" w:type="pct"/>
            <w:tcBorders>
              <w:top w:val="nil"/>
              <w:left w:val="nil"/>
              <w:bottom w:val="nil"/>
              <w:right w:val="nil"/>
            </w:tcBorders>
            <w:shd w:val="clear" w:color="000000" w:fill="FFFFFF"/>
            <w:vAlign w:val="bottom"/>
            <w:hideMark/>
          </w:tcPr>
          <w:p w14:paraId="0C261434"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2,630 </w:t>
            </w:r>
          </w:p>
        </w:tc>
        <w:tc>
          <w:tcPr>
            <w:tcW w:w="769" w:type="pct"/>
            <w:tcBorders>
              <w:top w:val="nil"/>
              <w:left w:val="nil"/>
              <w:bottom w:val="nil"/>
              <w:right w:val="nil"/>
            </w:tcBorders>
            <w:shd w:val="clear" w:color="000000" w:fill="E6E6E6"/>
            <w:vAlign w:val="bottom"/>
            <w:hideMark/>
          </w:tcPr>
          <w:p w14:paraId="2BE1C836" w14:textId="4A926D9E"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4,587 </w:t>
            </w:r>
          </w:p>
        </w:tc>
      </w:tr>
      <w:tr w:rsidR="00514D61" w:rsidRPr="00B11728" w14:paraId="512650BB" w14:textId="77777777" w:rsidTr="006D3CA7">
        <w:trPr>
          <w:trHeight w:val="238"/>
        </w:trPr>
        <w:tc>
          <w:tcPr>
            <w:tcW w:w="3462" w:type="pct"/>
            <w:tcBorders>
              <w:top w:val="nil"/>
              <w:left w:val="nil"/>
              <w:bottom w:val="nil"/>
              <w:right w:val="nil"/>
            </w:tcBorders>
            <w:shd w:val="clear" w:color="000000" w:fill="FFFFFF"/>
            <w:vAlign w:val="bottom"/>
            <w:hideMark/>
          </w:tcPr>
          <w:p w14:paraId="6A2BD226"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Total departmental special appropriations</w:t>
            </w:r>
          </w:p>
        </w:tc>
        <w:tc>
          <w:tcPr>
            <w:tcW w:w="769" w:type="pct"/>
            <w:tcBorders>
              <w:top w:val="single" w:sz="4" w:space="0" w:color="auto"/>
              <w:left w:val="nil"/>
              <w:bottom w:val="single" w:sz="4" w:space="0" w:color="auto"/>
              <w:right w:val="nil"/>
            </w:tcBorders>
            <w:shd w:val="clear" w:color="000000" w:fill="FFFFFF"/>
            <w:vAlign w:val="bottom"/>
            <w:hideMark/>
          </w:tcPr>
          <w:p w14:paraId="2E29E741"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6,260 </w:t>
            </w:r>
          </w:p>
        </w:tc>
        <w:tc>
          <w:tcPr>
            <w:tcW w:w="769" w:type="pct"/>
            <w:tcBorders>
              <w:top w:val="single" w:sz="4" w:space="0" w:color="auto"/>
              <w:left w:val="nil"/>
              <w:bottom w:val="single" w:sz="4" w:space="0" w:color="auto"/>
              <w:right w:val="nil"/>
            </w:tcBorders>
            <w:shd w:val="clear" w:color="000000" w:fill="E6E6E6"/>
            <w:vAlign w:val="bottom"/>
            <w:hideMark/>
          </w:tcPr>
          <w:p w14:paraId="18996E39" w14:textId="5E233257"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7,267 </w:t>
            </w:r>
          </w:p>
        </w:tc>
      </w:tr>
      <w:tr w:rsidR="00514D61" w:rsidRPr="00B11728" w14:paraId="224459A9" w14:textId="77777777" w:rsidTr="006D3CA7">
        <w:trPr>
          <w:trHeight w:val="238"/>
        </w:trPr>
        <w:tc>
          <w:tcPr>
            <w:tcW w:w="3462" w:type="pct"/>
            <w:tcBorders>
              <w:top w:val="nil"/>
              <w:left w:val="nil"/>
              <w:bottom w:val="nil"/>
              <w:right w:val="nil"/>
            </w:tcBorders>
            <w:shd w:val="clear" w:color="000000" w:fill="FFFFFF"/>
            <w:vAlign w:val="bottom"/>
            <w:hideMark/>
          </w:tcPr>
          <w:p w14:paraId="45F3EF79"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Special accounts</w:t>
            </w:r>
          </w:p>
        </w:tc>
        <w:tc>
          <w:tcPr>
            <w:tcW w:w="769" w:type="pct"/>
            <w:tcBorders>
              <w:top w:val="nil"/>
              <w:left w:val="nil"/>
              <w:bottom w:val="nil"/>
              <w:right w:val="nil"/>
            </w:tcBorders>
            <w:shd w:val="clear" w:color="000000" w:fill="FFFFFF"/>
            <w:vAlign w:val="bottom"/>
            <w:hideMark/>
          </w:tcPr>
          <w:p w14:paraId="3A36D11F" w14:textId="77777777" w:rsidR="00514D61" w:rsidRPr="00043432" w:rsidRDefault="00514D61"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 </w:t>
            </w:r>
          </w:p>
        </w:tc>
        <w:tc>
          <w:tcPr>
            <w:tcW w:w="769" w:type="pct"/>
            <w:tcBorders>
              <w:top w:val="nil"/>
              <w:left w:val="nil"/>
              <w:bottom w:val="nil"/>
              <w:right w:val="nil"/>
            </w:tcBorders>
            <w:shd w:val="clear" w:color="000000" w:fill="E6E6E6"/>
            <w:vAlign w:val="bottom"/>
            <w:hideMark/>
          </w:tcPr>
          <w:p w14:paraId="640155C5" w14:textId="7F47DA22"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514D61" w:rsidRPr="00B11728" w14:paraId="4AB23EF5" w14:textId="77777777" w:rsidTr="006D3CA7">
        <w:trPr>
          <w:trHeight w:val="238"/>
        </w:trPr>
        <w:tc>
          <w:tcPr>
            <w:tcW w:w="3462" w:type="pct"/>
            <w:tcBorders>
              <w:top w:val="nil"/>
              <w:left w:val="nil"/>
              <w:bottom w:val="nil"/>
              <w:right w:val="nil"/>
            </w:tcBorders>
            <w:shd w:val="clear" w:color="000000" w:fill="FFFFFF"/>
            <w:vAlign w:val="bottom"/>
            <w:hideMark/>
          </w:tcPr>
          <w:p w14:paraId="33305BDF"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    Opening balance (c)</w:t>
            </w:r>
          </w:p>
        </w:tc>
        <w:tc>
          <w:tcPr>
            <w:tcW w:w="769" w:type="pct"/>
            <w:tcBorders>
              <w:top w:val="nil"/>
              <w:left w:val="nil"/>
              <w:bottom w:val="nil"/>
              <w:right w:val="nil"/>
            </w:tcBorders>
            <w:shd w:val="clear" w:color="000000" w:fill="FFFFFF"/>
            <w:vAlign w:val="bottom"/>
            <w:hideMark/>
          </w:tcPr>
          <w:p w14:paraId="61414BAF"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72,828 </w:t>
            </w:r>
          </w:p>
        </w:tc>
        <w:tc>
          <w:tcPr>
            <w:tcW w:w="769" w:type="pct"/>
            <w:tcBorders>
              <w:top w:val="nil"/>
              <w:left w:val="nil"/>
              <w:bottom w:val="nil"/>
              <w:right w:val="nil"/>
            </w:tcBorders>
            <w:shd w:val="clear" w:color="000000" w:fill="E6E6E6"/>
            <w:vAlign w:val="bottom"/>
            <w:hideMark/>
          </w:tcPr>
          <w:p w14:paraId="210151F7" w14:textId="41E5F83B"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61,686 </w:t>
            </w:r>
          </w:p>
        </w:tc>
      </w:tr>
      <w:tr w:rsidR="00514D61" w:rsidRPr="00B11728" w14:paraId="1FC187B3" w14:textId="77777777" w:rsidTr="006D3CA7">
        <w:trPr>
          <w:trHeight w:val="238"/>
        </w:trPr>
        <w:tc>
          <w:tcPr>
            <w:tcW w:w="3462" w:type="pct"/>
            <w:tcBorders>
              <w:top w:val="nil"/>
              <w:left w:val="nil"/>
              <w:bottom w:val="nil"/>
              <w:right w:val="nil"/>
            </w:tcBorders>
            <w:shd w:val="clear" w:color="000000" w:fill="FFFFFF"/>
            <w:vAlign w:val="bottom"/>
            <w:hideMark/>
          </w:tcPr>
          <w:p w14:paraId="332608C2"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    Appropriation receipts (d)</w:t>
            </w:r>
          </w:p>
        </w:tc>
        <w:tc>
          <w:tcPr>
            <w:tcW w:w="769" w:type="pct"/>
            <w:tcBorders>
              <w:top w:val="nil"/>
              <w:left w:val="nil"/>
              <w:bottom w:val="nil"/>
              <w:right w:val="nil"/>
            </w:tcBorders>
            <w:shd w:val="clear" w:color="000000" w:fill="FFFFFF"/>
            <w:vAlign w:val="bottom"/>
            <w:hideMark/>
          </w:tcPr>
          <w:p w14:paraId="552AC674"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6,260 </w:t>
            </w:r>
          </w:p>
        </w:tc>
        <w:tc>
          <w:tcPr>
            <w:tcW w:w="769" w:type="pct"/>
            <w:tcBorders>
              <w:top w:val="nil"/>
              <w:left w:val="nil"/>
              <w:bottom w:val="nil"/>
              <w:right w:val="nil"/>
            </w:tcBorders>
            <w:shd w:val="clear" w:color="000000" w:fill="E6E6E6"/>
            <w:vAlign w:val="bottom"/>
            <w:hideMark/>
          </w:tcPr>
          <w:p w14:paraId="650C3105" w14:textId="358DA622"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7,267 </w:t>
            </w:r>
          </w:p>
        </w:tc>
      </w:tr>
      <w:tr w:rsidR="00514D61" w:rsidRPr="00B11728" w14:paraId="3199B795" w14:textId="77777777" w:rsidTr="006D3CA7">
        <w:trPr>
          <w:trHeight w:val="238"/>
        </w:trPr>
        <w:tc>
          <w:tcPr>
            <w:tcW w:w="3462" w:type="pct"/>
            <w:tcBorders>
              <w:top w:val="nil"/>
              <w:left w:val="nil"/>
              <w:bottom w:val="nil"/>
              <w:right w:val="nil"/>
            </w:tcBorders>
            <w:shd w:val="clear" w:color="000000" w:fill="FFFFFF"/>
            <w:vAlign w:val="bottom"/>
            <w:hideMark/>
          </w:tcPr>
          <w:p w14:paraId="5E7FB3AB"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    Non-appropriation receipts</w:t>
            </w:r>
          </w:p>
        </w:tc>
        <w:tc>
          <w:tcPr>
            <w:tcW w:w="769" w:type="pct"/>
            <w:tcBorders>
              <w:top w:val="nil"/>
              <w:left w:val="nil"/>
              <w:bottom w:val="nil"/>
              <w:right w:val="nil"/>
            </w:tcBorders>
            <w:shd w:val="clear" w:color="000000" w:fill="FFFFFF"/>
            <w:vAlign w:val="bottom"/>
            <w:hideMark/>
          </w:tcPr>
          <w:p w14:paraId="641C9890"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182,216 </w:t>
            </w:r>
          </w:p>
        </w:tc>
        <w:tc>
          <w:tcPr>
            <w:tcW w:w="769" w:type="pct"/>
            <w:tcBorders>
              <w:top w:val="nil"/>
              <w:left w:val="nil"/>
              <w:bottom w:val="nil"/>
              <w:right w:val="nil"/>
            </w:tcBorders>
            <w:shd w:val="clear" w:color="000000" w:fill="E6E6E6"/>
            <w:vAlign w:val="bottom"/>
            <w:hideMark/>
          </w:tcPr>
          <w:p w14:paraId="3815A64D" w14:textId="15755C07"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221,744 </w:t>
            </w:r>
          </w:p>
        </w:tc>
      </w:tr>
      <w:tr w:rsidR="00514D61" w:rsidRPr="00B11728" w14:paraId="15BFB0AB" w14:textId="77777777" w:rsidTr="006D3CA7">
        <w:trPr>
          <w:trHeight w:val="238"/>
        </w:trPr>
        <w:tc>
          <w:tcPr>
            <w:tcW w:w="3462" w:type="pct"/>
            <w:tcBorders>
              <w:top w:val="nil"/>
              <w:left w:val="nil"/>
              <w:bottom w:val="nil"/>
              <w:right w:val="nil"/>
            </w:tcBorders>
            <w:shd w:val="clear" w:color="000000" w:fill="FFFFFF"/>
            <w:vAlign w:val="bottom"/>
            <w:hideMark/>
          </w:tcPr>
          <w:p w14:paraId="7124A046"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Total special accounts</w:t>
            </w:r>
          </w:p>
        </w:tc>
        <w:tc>
          <w:tcPr>
            <w:tcW w:w="769" w:type="pct"/>
            <w:tcBorders>
              <w:top w:val="single" w:sz="4" w:space="0" w:color="auto"/>
              <w:left w:val="nil"/>
              <w:bottom w:val="single" w:sz="4" w:space="0" w:color="auto"/>
              <w:right w:val="nil"/>
            </w:tcBorders>
            <w:shd w:val="clear" w:color="000000" w:fill="FFFFFF"/>
            <w:vAlign w:val="bottom"/>
            <w:hideMark/>
          </w:tcPr>
          <w:p w14:paraId="252592C5"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261,304 </w:t>
            </w:r>
          </w:p>
        </w:tc>
        <w:tc>
          <w:tcPr>
            <w:tcW w:w="769" w:type="pct"/>
            <w:tcBorders>
              <w:top w:val="single" w:sz="4" w:space="0" w:color="auto"/>
              <w:left w:val="nil"/>
              <w:bottom w:val="single" w:sz="4" w:space="0" w:color="auto"/>
              <w:right w:val="nil"/>
            </w:tcBorders>
            <w:shd w:val="clear" w:color="000000" w:fill="E6E6E6"/>
            <w:vAlign w:val="bottom"/>
            <w:hideMark/>
          </w:tcPr>
          <w:p w14:paraId="2D7C546D" w14:textId="1A8F59A6"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290,697 </w:t>
            </w:r>
          </w:p>
        </w:tc>
      </w:tr>
      <w:tr w:rsidR="00514D61" w:rsidRPr="00B11728" w14:paraId="33C8BC7C" w14:textId="77777777" w:rsidTr="006D3CA7">
        <w:trPr>
          <w:trHeight w:val="448"/>
        </w:trPr>
        <w:tc>
          <w:tcPr>
            <w:tcW w:w="3462" w:type="pct"/>
            <w:tcBorders>
              <w:top w:val="nil"/>
              <w:left w:val="nil"/>
              <w:bottom w:val="nil"/>
              <w:right w:val="nil"/>
            </w:tcBorders>
            <w:shd w:val="clear" w:color="000000" w:fill="FFFFFF"/>
            <w:vAlign w:val="bottom"/>
            <w:hideMark/>
          </w:tcPr>
          <w:p w14:paraId="75E94624" w14:textId="77777777" w:rsidR="00514D61" w:rsidRPr="00043432" w:rsidRDefault="00514D61"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less departmental appropriations drawn from annual/special</w:t>
            </w:r>
            <w:r w:rsidRPr="00043432">
              <w:rPr>
                <w:rFonts w:eastAsia="Times New Roman" w:cs="Arial"/>
                <w:i/>
                <w:iCs/>
                <w:sz w:val="16"/>
                <w:szCs w:val="16"/>
                <w:lang w:eastAsia="en-AU"/>
              </w:rPr>
              <w:br/>
              <w:t xml:space="preserve">  appropriations and credited to special accounts</w:t>
            </w:r>
          </w:p>
        </w:tc>
        <w:tc>
          <w:tcPr>
            <w:tcW w:w="769" w:type="pct"/>
            <w:tcBorders>
              <w:top w:val="nil"/>
              <w:left w:val="nil"/>
              <w:bottom w:val="nil"/>
              <w:right w:val="nil"/>
            </w:tcBorders>
            <w:shd w:val="clear" w:color="000000" w:fill="FFFFFF"/>
            <w:vAlign w:val="bottom"/>
            <w:hideMark/>
          </w:tcPr>
          <w:p w14:paraId="1134D1DC"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6,260 </w:t>
            </w:r>
          </w:p>
        </w:tc>
        <w:tc>
          <w:tcPr>
            <w:tcW w:w="769" w:type="pct"/>
            <w:tcBorders>
              <w:top w:val="nil"/>
              <w:left w:val="nil"/>
              <w:bottom w:val="nil"/>
              <w:right w:val="nil"/>
            </w:tcBorders>
            <w:shd w:val="clear" w:color="000000" w:fill="E6E6E6"/>
            <w:vAlign w:val="bottom"/>
            <w:hideMark/>
          </w:tcPr>
          <w:p w14:paraId="3263A549" w14:textId="22638CA4"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7,267 </w:t>
            </w:r>
          </w:p>
        </w:tc>
      </w:tr>
      <w:tr w:rsidR="00514D61" w:rsidRPr="00B11728" w14:paraId="4783E758" w14:textId="77777777" w:rsidTr="006D3CA7">
        <w:trPr>
          <w:trHeight w:val="238"/>
        </w:trPr>
        <w:tc>
          <w:tcPr>
            <w:tcW w:w="3462" w:type="pct"/>
            <w:tcBorders>
              <w:top w:val="nil"/>
              <w:left w:val="nil"/>
              <w:bottom w:val="nil"/>
              <w:right w:val="nil"/>
            </w:tcBorders>
            <w:shd w:val="clear" w:color="000000" w:fill="FFFFFF"/>
            <w:vAlign w:val="bottom"/>
            <w:hideMark/>
          </w:tcPr>
          <w:p w14:paraId="36F3A828" w14:textId="77777777" w:rsidR="00514D61" w:rsidRPr="00043432" w:rsidRDefault="00514D61"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departmental resourcing</w:t>
            </w:r>
          </w:p>
        </w:tc>
        <w:tc>
          <w:tcPr>
            <w:tcW w:w="769" w:type="pct"/>
            <w:tcBorders>
              <w:top w:val="single" w:sz="4" w:space="0" w:color="auto"/>
              <w:left w:val="nil"/>
              <w:bottom w:val="single" w:sz="4" w:space="0" w:color="auto"/>
              <w:right w:val="nil"/>
            </w:tcBorders>
            <w:shd w:val="clear" w:color="000000" w:fill="FFFFFF"/>
            <w:vAlign w:val="bottom"/>
            <w:hideMark/>
          </w:tcPr>
          <w:p w14:paraId="3C86C878" w14:textId="77777777" w:rsidR="00514D61" w:rsidRPr="00043432" w:rsidRDefault="00514D61"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261,304 </w:t>
            </w:r>
          </w:p>
        </w:tc>
        <w:tc>
          <w:tcPr>
            <w:tcW w:w="769" w:type="pct"/>
            <w:tcBorders>
              <w:top w:val="single" w:sz="4" w:space="0" w:color="auto"/>
              <w:left w:val="nil"/>
              <w:bottom w:val="single" w:sz="4" w:space="0" w:color="auto"/>
              <w:right w:val="nil"/>
            </w:tcBorders>
            <w:shd w:val="clear" w:color="000000" w:fill="E6E6E6"/>
            <w:vAlign w:val="bottom"/>
            <w:hideMark/>
          </w:tcPr>
          <w:p w14:paraId="19C57771" w14:textId="7429D06D" w:rsidR="00514D61" w:rsidRPr="00043432" w:rsidRDefault="00514D61"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290,697 </w:t>
            </w:r>
          </w:p>
        </w:tc>
      </w:tr>
      <w:tr w:rsidR="00514D61" w:rsidRPr="00B11728" w14:paraId="11CBB041" w14:textId="77777777" w:rsidTr="006D3CA7">
        <w:trPr>
          <w:trHeight w:val="238"/>
        </w:trPr>
        <w:tc>
          <w:tcPr>
            <w:tcW w:w="3462" w:type="pct"/>
            <w:tcBorders>
              <w:top w:val="nil"/>
              <w:left w:val="nil"/>
              <w:bottom w:val="nil"/>
              <w:right w:val="nil"/>
            </w:tcBorders>
            <w:shd w:val="clear" w:color="000000" w:fill="FFFFFF"/>
            <w:vAlign w:val="bottom"/>
            <w:hideMark/>
          </w:tcPr>
          <w:p w14:paraId="2A4EE4C6" w14:textId="77777777" w:rsidR="00514D61" w:rsidRPr="00043432" w:rsidRDefault="00514D61"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Administered</w:t>
            </w:r>
          </w:p>
        </w:tc>
        <w:tc>
          <w:tcPr>
            <w:tcW w:w="769" w:type="pct"/>
            <w:tcBorders>
              <w:top w:val="nil"/>
              <w:left w:val="nil"/>
              <w:bottom w:val="nil"/>
              <w:right w:val="nil"/>
            </w:tcBorders>
            <w:shd w:val="clear" w:color="000000" w:fill="FFFFFF"/>
            <w:vAlign w:val="bottom"/>
            <w:hideMark/>
          </w:tcPr>
          <w:p w14:paraId="2FAB568C" w14:textId="77777777" w:rsidR="00514D61" w:rsidRPr="00043432" w:rsidRDefault="00514D61"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 </w:t>
            </w:r>
          </w:p>
        </w:tc>
        <w:tc>
          <w:tcPr>
            <w:tcW w:w="769" w:type="pct"/>
            <w:tcBorders>
              <w:top w:val="nil"/>
              <w:left w:val="nil"/>
              <w:bottom w:val="nil"/>
              <w:right w:val="nil"/>
            </w:tcBorders>
            <w:shd w:val="clear" w:color="000000" w:fill="E6E6E6"/>
            <w:vAlign w:val="bottom"/>
            <w:hideMark/>
          </w:tcPr>
          <w:p w14:paraId="5B2411CC" w14:textId="107FD61F"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514D61" w:rsidRPr="00B11728" w14:paraId="7F5B95EA" w14:textId="77777777" w:rsidTr="006D3CA7">
        <w:trPr>
          <w:trHeight w:val="200"/>
        </w:trPr>
        <w:tc>
          <w:tcPr>
            <w:tcW w:w="3462" w:type="pct"/>
            <w:tcBorders>
              <w:top w:val="nil"/>
              <w:left w:val="nil"/>
              <w:bottom w:val="nil"/>
              <w:right w:val="nil"/>
            </w:tcBorders>
            <w:shd w:val="clear" w:color="000000" w:fill="FFFFFF"/>
            <w:vAlign w:val="bottom"/>
            <w:hideMark/>
          </w:tcPr>
          <w:p w14:paraId="4E356BBA"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Special accounts</w:t>
            </w:r>
          </w:p>
        </w:tc>
        <w:tc>
          <w:tcPr>
            <w:tcW w:w="769" w:type="pct"/>
            <w:tcBorders>
              <w:top w:val="nil"/>
              <w:left w:val="nil"/>
              <w:bottom w:val="nil"/>
              <w:right w:val="nil"/>
            </w:tcBorders>
            <w:shd w:val="clear" w:color="000000" w:fill="FFFFFF"/>
            <w:vAlign w:val="bottom"/>
            <w:hideMark/>
          </w:tcPr>
          <w:p w14:paraId="7272AEA9" w14:textId="77777777" w:rsidR="00514D61" w:rsidRPr="00043432" w:rsidRDefault="00514D61"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 </w:t>
            </w:r>
          </w:p>
        </w:tc>
        <w:tc>
          <w:tcPr>
            <w:tcW w:w="769" w:type="pct"/>
            <w:tcBorders>
              <w:top w:val="nil"/>
              <w:left w:val="nil"/>
              <w:bottom w:val="nil"/>
              <w:right w:val="nil"/>
            </w:tcBorders>
            <w:shd w:val="clear" w:color="000000" w:fill="E6E6E6"/>
            <w:vAlign w:val="bottom"/>
            <w:hideMark/>
          </w:tcPr>
          <w:p w14:paraId="34A37F68" w14:textId="05D73753"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514D61" w:rsidRPr="00B11728" w14:paraId="7DA9B364" w14:textId="77777777" w:rsidTr="006D3CA7">
        <w:trPr>
          <w:trHeight w:val="200"/>
        </w:trPr>
        <w:tc>
          <w:tcPr>
            <w:tcW w:w="3462" w:type="pct"/>
            <w:tcBorders>
              <w:top w:val="nil"/>
              <w:left w:val="nil"/>
              <w:bottom w:val="nil"/>
              <w:right w:val="nil"/>
            </w:tcBorders>
            <w:shd w:val="clear" w:color="000000" w:fill="FFFFFF"/>
            <w:vAlign w:val="bottom"/>
            <w:hideMark/>
          </w:tcPr>
          <w:p w14:paraId="779329BD"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    Opening balance (c)</w:t>
            </w:r>
          </w:p>
        </w:tc>
        <w:tc>
          <w:tcPr>
            <w:tcW w:w="769" w:type="pct"/>
            <w:tcBorders>
              <w:top w:val="nil"/>
              <w:left w:val="nil"/>
              <w:bottom w:val="nil"/>
              <w:right w:val="nil"/>
            </w:tcBorders>
            <w:shd w:val="clear" w:color="000000" w:fill="FFFFFF"/>
            <w:vAlign w:val="bottom"/>
            <w:hideMark/>
          </w:tcPr>
          <w:p w14:paraId="63B5420D"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835 </w:t>
            </w:r>
          </w:p>
        </w:tc>
        <w:tc>
          <w:tcPr>
            <w:tcW w:w="769" w:type="pct"/>
            <w:tcBorders>
              <w:top w:val="nil"/>
              <w:left w:val="nil"/>
              <w:bottom w:val="nil"/>
              <w:right w:val="nil"/>
            </w:tcBorders>
            <w:shd w:val="clear" w:color="000000" w:fill="E6E6E6"/>
            <w:vAlign w:val="bottom"/>
            <w:hideMark/>
          </w:tcPr>
          <w:p w14:paraId="3BB3D972" w14:textId="33EDB70E"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835 </w:t>
            </w:r>
          </w:p>
        </w:tc>
      </w:tr>
      <w:tr w:rsidR="00514D61" w:rsidRPr="00B11728" w14:paraId="616FAE80" w14:textId="77777777" w:rsidTr="006D3CA7">
        <w:trPr>
          <w:trHeight w:val="200"/>
        </w:trPr>
        <w:tc>
          <w:tcPr>
            <w:tcW w:w="3462" w:type="pct"/>
            <w:tcBorders>
              <w:top w:val="nil"/>
              <w:left w:val="nil"/>
              <w:bottom w:val="nil"/>
              <w:right w:val="nil"/>
            </w:tcBorders>
            <w:shd w:val="clear" w:color="000000" w:fill="FFFFFF"/>
            <w:vAlign w:val="bottom"/>
            <w:hideMark/>
          </w:tcPr>
          <w:p w14:paraId="72540061"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    Non-appropriation receipts to Special Accounts (e)</w:t>
            </w:r>
          </w:p>
        </w:tc>
        <w:tc>
          <w:tcPr>
            <w:tcW w:w="769" w:type="pct"/>
            <w:tcBorders>
              <w:top w:val="nil"/>
              <w:left w:val="nil"/>
              <w:bottom w:val="nil"/>
              <w:right w:val="nil"/>
            </w:tcBorders>
            <w:shd w:val="clear" w:color="000000" w:fill="FFFFFF"/>
            <w:vAlign w:val="bottom"/>
            <w:hideMark/>
          </w:tcPr>
          <w:p w14:paraId="1B9F8F96"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450,000 </w:t>
            </w:r>
          </w:p>
        </w:tc>
        <w:tc>
          <w:tcPr>
            <w:tcW w:w="769" w:type="pct"/>
            <w:tcBorders>
              <w:top w:val="nil"/>
              <w:left w:val="nil"/>
              <w:bottom w:val="nil"/>
              <w:right w:val="nil"/>
            </w:tcBorders>
            <w:shd w:val="clear" w:color="000000" w:fill="E6E6E6"/>
            <w:vAlign w:val="bottom"/>
            <w:hideMark/>
          </w:tcPr>
          <w:p w14:paraId="53543B31" w14:textId="7358D0A6"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r>
      <w:tr w:rsidR="00514D61" w:rsidRPr="00B11728" w14:paraId="26D413EE" w14:textId="77777777" w:rsidTr="006D3CA7">
        <w:trPr>
          <w:trHeight w:val="200"/>
        </w:trPr>
        <w:tc>
          <w:tcPr>
            <w:tcW w:w="3462" w:type="pct"/>
            <w:tcBorders>
              <w:top w:val="nil"/>
              <w:left w:val="nil"/>
              <w:bottom w:val="nil"/>
              <w:right w:val="nil"/>
            </w:tcBorders>
            <w:shd w:val="clear" w:color="000000" w:fill="FFFFFF"/>
            <w:vAlign w:val="bottom"/>
            <w:hideMark/>
          </w:tcPr>
          <w:p w14:paraId="14864D54"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Total special account receipts</w:t>
            </w:r>
          </w:p>
        </w:tc>
        <w:tc>
          <w:tcPr>
            <w:tcW w:w="769" w:type="pct"/>
            <w:tcBorders>
              <w:top w:val="single" w:sz="4" w:space="0" w:color="auto"/>
              <w:left w:val="nil"/>
              <w:bottom w:val="single" w:sz="4" w:space="0" w:color="auto"/>
              <w:right w:val="nil"/>
            </w:tcBorders>
            <w:shd w:val="clear" w:color="000000" w:fill="FFFFFF"/>
            <w:vAlign w:val="bottom"/>
            <w:hideMark/>
          </w:tcPr>
          <w:p w14:paraId="7F514769"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450,835 </w:t>
            </w:r>
          </w:p>
        </w:tc>
        <w:tc>
          <w:tcPr>
            <w:tcW w:w="769" w:type="pct"/>
            <w:tcBorders>
              <w:top w:val="single" w:sz="4" w:space="0" w:color="auto"/>
              <w:left w:val="nil"/>
              <w:bottom w:val="single" w:sz="4" w:space="0" w:color="auto"/>
              <w:right w:val="nil"/>
            </w:tcBorders>
            <w:shd w:val="clear" w:color="000000" w:fill="E6E6E6"/>
            <w:vAlign w:val="bottom"/>
            <w:hideMark/>
          </w:tcPr>
          <w:p w14:paraId="6C2D7450" w14:textId="6A31742D"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450,835 </w:t>
            </w:r>
          </w:p>
        </w:tc>
      </w:tr>
      <w:tr w:rsidR="00514D61" w:rsidRPr="00B11728" w14:paraId="3EDC63BC" w14:textId="77777777" w:rsidTr="006D3CA7">
        <w:trPr>
          <w:trHeight w:val="240"/>
        </w:trPr>
        <w:tc>
          <w:tcPr>
            <w:tcW w:w="3462" w:type="pct"/>
            <w:tcBorders>
              <w:top w:val="nil"/>
              <w:left w:val="nil"/>
              <w:bottom w:val="nil"/>
              <w:right w:val="nil"/>
            </w:tcBorders>
            <w:shd w:val="clear" w:color="000000" w:fill="FFFFFF"/>
            <w:vAlign w:val="bottom"/>
            <w:hideMark/>
          </w:tcPr>
          <w:p w14:paraId="310D5679" w14:textId="77777777" w:rsidR="00514D61" w:rsidRPr="00043432" w:rsidRDefault="00514D61"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administered resourcing</w:t>
            </w:r>
          </w:p>
        </w:tc>
        <w:tc>
          <w:tcPr>
            <w:tcW w:w="769" w:type="pct"/>
            <w:tcBorders>
              <w:top w:val="nil"/>
              <w:left w:val="nil"/>
              <w:bottom w:val="single" w:sz="4" w:space="0" w:color="auto"/>
              <w:right w:val="nil"/>
            </w:tcBorders>
            <w:shd w:val="clear" w:color="000000" w:fill="FFFFFF"/>
            <w:vAlign w:val="bottom"/>
            <w:hideMark/>
          </w:tcPr>
          <w:p w14:paraId="67BB1E98" w14:textId="77777777" w:rsidR="00514D61" w:rsidRPr="00043432" w:rsidRDefault="00514D61"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450,835 </w:t>
            </w:r>
          </w:p>
        </w:tc>
        <w:tc>
          <w:tcPr>
            <w:tcW w:w="769" w:type="pct"/>
            <w:tcBorders>
              <w:top w:val="nil"/>
              <w:left w:val="nil"/>
              <w:bottom w:val="single" w:sz="4" w:space="0" w:color="auto"/>
              <w:right w:val="nil"/>
            </w:tcBorders>
            <w:shd w:val="clear" w:color="000000" w:fill="E6E6E6"/>
            <w:vAlign w:val="bottom"/>
            <w:hideMark/>
          </w:tcPr>
          <w:p w14:paraId="1091A7BB" w14:textId="4E33B5D1" w:rsidR="00514D61" w:rsidRPr="00043432" w:rsidRDefault="00514D61"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450,835 </w:t>
            </w:r>
          </w:p>
        </w:tc>
      </w:tr>
      <w:tr w:rsidR="00514D61" w:rsidRPr="00B11728" w14:paraId="7CA0F52C" w14:textId="77777777" w:rsidTr="006D3CA7">
        <w:trPr>
          <w:trHeight w:val="210"/>
        </w:trPr>
        <w:tc>
          <w:tcPr>
            <w:tcW w:w="3462" w:type="pct"/>
            <w:tcBorders>
              <w:top w:val="nil"/>
              <w:left w:val="nil"/>
              <w:bottom w:val="single" w:sz="4" w:space="0" w:color="auto"/>
              <w:right w:val="nil"/>
            </w:tcBorders>
            <w:shd w:val="clear" w:color="000000" w:fill="FFFFFF"/>
            <w:vAlign w:val="bottom"/>
            <w:hideMark/>
          </w:tcPr>
          <w:p w14:paraId="27EB02FB" w14:textId="77777777" w:rsidR="00514D61" w:rsidRPr="00043432" w:rsidRDefault="00514D61"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resourcing for APRA</w:t>
            </w:r>
          </w:p>
        </w:tc>
        <w:tc>
          <w:tcPr>
            <w:tcW w:w="769" w:type="pct"/>
            <w:tcBorders>
              <w:top w:val="nil"/>
              <w:left w:val="nil"/>
              <w:bottom w:val="single" w:sz="4" w:space="0" w:color="auto"/>
              <w:right w:val="nil"/>
            </w:tcBorders>
            <w:shd w:val="clear" w:color="000000" w:fill="FFFFFF"/>
            <w:vAlign w:val="bottom"/>
            <w:hideMark/>
          </w:tcPr>
          <w:p w14:paraId="7DDE2F4C" w14:textId="77777777" w:rsidR="00514D61" w:rsidRPr="00043432" w:rsidRDefault="00514D61"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712,139 </w:t>
            </w:r>
          </w:p>
        </w:tc>
        <w:tc>
          <w:tcPr>
            <w:tcW w:w="769" w:type="pct"/>
            <w:tcBorders>
              <w:top w:val="nil"/>
              <w:left w:val="nil"/>
              <w:bottom w:val="single" w:sz="4" w:space="0" w:color="auto"/>
              <w:right w:val="nil"/>
            </w:tcBorders>
            <w:shd w:val="clear" w:color="000000" w:fill="E6E6E6"/>
            <w:vAlign w:val="bottom"/>
            <w:hideMark/>
          </w:tcPr>
          <w:p w14:paraId="4FC967D3" w14:textId="291F325D" w:rsidR="00514D61" w:rsidRPr="00043432" w:rsidRDefault="00514D61"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741,532 </w:t>
            </w:r>
          </w:p>
        </w:tc>
      </w:tr>
      <w:tr w:rsidR="00514D61" w:rsidRPr="00B11728" w14:paraId="12C9196F" w14:textId="77777777" w:rsidTr="006D3CA7">
        <w:trPr>
          <w:trHeight w:val="73"/>
        </w:trPr>
        <w:tc>
          <w:tcPr>
            <w:tcW w:w="3462" w:type="pct"/>
            <w:tcBorders>
              <w:top w:val="nil"/>
              <w:left w:val="nil"/>
              <w:bottom w:val="nil"/>
              <w:right w:val="nil"/>
            </w:tcBorders>
            <w:shd w:val="clear" w:color="000000" w:fill="FFFFFF"/>
            <w:vAlign w:val="bottom"/>
            <w:hideMark/>
          </w:tcPr>
          <w:p w14:paraId="45EA8BED"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769" w:type="pct"/>
            <w:tcBorders>
              <w:top w:val="nil"/>
              <w:left w:val="nil"/>
              <w:bottom w:val="nil"/>
              <w:right w:val="nil"/>
            </w:tcBorders>
            <w:shd w:val="clear" w:color="000000" w:fill="FFFFFF"/>
            <w:vAlign w:val="bottom"/>
            <w:hideMark/>
          </w:tcPr>
          <w:p w14:paraId="5206CF26" w14:textId="77777777" w:rsidR="00514D61" w:rsidRPr="00043432" w:rsidRDefault="00514D61"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 </w:t>
            </w:r>
          </w:p>
        </w:tc>
        <w:tc>
          <w:tcPr>
            <w:tcW w:w="769" w:type="pct"/>
            <w:tcBorders>
              <w:top w:val="nil"/>
              <w:left w:val="nil"/>
              <w:bottom w:val="nil"/>
              <w:right w:val="nil"/>
            </w:tcBorders>
            <w:shd w:val="clear" w:color="000000" w:fill="FFFFFF"/>
            <w:vAlign w:val="bottom"/>
            <w:hideMark/>
          </w:tcPr>
          <w:p w14:paraId="6A45CCA7"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r>
      <w:tr w:rsidR="00514D61" w:rsidRPr="00B11728" w14:paraId="53C77F43" w14:textId="77777777" w:rsidTr="006D3CA7">
        <w:trPr>
          <w:trHeight w:val="200"/>
        </w:trPr>
        <w:tc>
          <w:tcPr>
            <w:tcW w:w="3462" w:type="pct"/>
            <w:tcBorders>
              <w:top w:val="single" w:sz="4" w:space="0" w:color="auto"/>
              <w:left w:val="nil"/>
              <w:bottom w:val="nil"/>
              <w:right w:val="nil"/>
            </w:tcBorders>
            <w:shd w:val="clear" w:color="000000" w:fill="FFFFFF"/>
            <w:vAlign w:val="bottom"/>
            <w:hideMark/>
          </w:tcPr>
          <w:p w14:paraId="47E166FA" w14:textId="77777777" w:rsidR="00514D61" w:rsidRPr="00043432" w:rsidRDefault="00514D6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769" w:type="pct"/>
            <w:tcBorders>
              <w:top w:val="single" w:sz="4" w:space="0" w:color="auto"/>
              <w:left w:val="nil"/>
              <w:bottom w:val="single" w:sz="4" w:space="0" w:color="auto"/>
              <w:right w:val="nil"/>
            </w:tcBorders>
            <w:shd w:val="clear" w:color="000000" w:fill="FFFFFF"/>
            <w:vAlign w:val="bottom"/>
            <w:hideMark/>
          </w:tcPr>
          <w:p w14:paraId="2D3872BE"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2020-21</w:t>
            </w:r>
          </w:p>
        </w:tc>
        <w:tc>
          <w:tcPr>
            <w:tcW w:w="769" w:type="pct"/>
            <w:tcBorders>
              <w:top w:val="single" w:sz="4" w:space="0" w:color="auto"/>
              <w:left w:val="nil"/>
              <w:bottom w:val="single" w:sz="4" w:space="0" w:color="auto"/>
              <w:right w:val="nil"/>
            </w:tcBorders>
            <w:shd w:val="clear" w:color="000000" w:fill="E6E6E6"/>
            <w:vAlign w:val="bottom"/>
            <w:hideMark/>
          </w:tcPr>
          <w:p w14:paraId="6996A868" w14:textId="77777777"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2021-22</w:t>
            </w:r>
          </w:p>
        </w:tc>
      </w:tr>
      <w:tr w:rsidR="00514D61" w:rsidRPr="00B11728" w14:paraId="16C3C026" w14:textId="77777777" w:rsidTr="006D3CA7">
        <w:trPr>
          <w:trHeight w:val="210"/>
        </w:trPr>
        <w:tc>
          <w:tcPr>
            <w:tcW w:w="3462" w:type="pct"/>
            <w:tcBorders>
              <w:top w:val="nil"/>
              <w:left w:val="nil"/>
              <w:bottom w:val="single" w:sz="4" w:space="0" w:color="auto"/>
              <w:right w:val="nil"/>
            </w:tcBorders>
            <w:shd w:val="clear" w:color="000000" w:fill="FFFFFF"/>
            <w:vAlign w:val="bottom"/>
            <w:hideMark/>
          </w:tcPr>
          <w:p w14:paraId="276A133F" w14:textId="77777777" w:rsidR="00514D61" w:rsidRPr="00043432" w:rsidRDefault="00514D61"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Average staffing level (number)</w:t>
            </w:r>
          </w:p>
        </w:tc>
        <w:tc>
          <w:tcPr>
            <w:tcW w:w="769" w:type="pct"/>
            <w:tcBorders>
              <w:top w:val="nil"/>
              <w:left w:val="nil"/>
              <w:bottom w:val="single" w:sz="4" w:space="0" w:color="auto"/>
              <w:right w:val="nil"/>
            </w:tcBorders>
            <w:shd w:val="clear" w:color="000000" w:fill="FFFFFF"/>
            <w:vAlign w:val="bottom"/>
            <w:hideMark/>
          </w:tcPr>
          <w:p w14:paraId="2B710C90" w14:textId="77777777" w:rsidR="00514D61" w:rsidRPr="00043432" w:rsidRDefault="00514D6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785 </w:t>
            </w:r>
          </w:p>
        </w:tc>
        <w:tc>
          <w:tcPr>
            <w:tcW w:w="769" w:type="pct"/>
            <w:tcBorders>
              <w:top w:val="nil"/>
              <w:left w:val="nil"/>
              <w:bottom w:val="single" w:sz="4" w:space="0" w:color="auto"/>
              <w:right w:val="nil"/>
            </w:tcBorders>
            <w:shd w:val="clear" w:color="000000" w:fill="E6E6E6"/>
            <w:vAlign w:val="bottom"/>
            <w:hideMark/>
          </w:tcPr>
          <w:p w14:paraId="2AFBBE64" w14:textId="065B414F" w:rsidR="00514D61" w:rsidRPr="00043432" w:rsidRDefault="00514D61"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82</w:t>
            </w:r>
            <w:r w:rsidR="00314FAB" w:rsidRPr="00043432">
              <w:rPr>
                <w:rFonts w:eastAsia="Times New Roman" w:cs="Arial"/>
                <w:sz w:val="16"/>
                <w:szCs w:val="16"/>
                <w:lang w:eastAsia="en-AU"/>
              </w:rPr>
              <w:t>9</w:t>
            </w:r>
            <w:r w:rsidRPr="00043432">
              <w:rPr>
                <w:rFonts w:eastAsia="Times New Roman" w:cs="Arial"/>
                <w:sz w:val="16"/>
                <w:szCs w:val="16"/>
                <w:lang w:eastAsia="en-AU"/>
              </w:rPr>
              <w:t xml:space="preserve"> </w:t>
            </w:r>
          </w:p>
        </w:tc>
      </w:tr>
    </w:tbl>
    <w:p w14:paraId="38488FB1" w14:textId="049DD06A" w:rsidR="0008358A" w:rsidRDefault="0008358A" w:rsidP="0008358A">
      <w:pPr>
        <w:pStyle w:val="TableGraphic"/>
      </w:pPr>
    </w:p>
    <w:p w14:paraId="52BD5610" w14:textId="77777777" w:rsidR="0008358A" w:rsidRPr="005D4769" w:rsidRDefault="0008358A" w:rsidP="00043432">
      <w:pPr>
        <w:pStyle w:val="ListParagraph"/>
        <w:numPr>
          <w:ilvl w:val="0"/>
          <w:numId w:val="20"/>
        </w:numPr>
        <w:rPr>
          <w:lang w:eastAsia="x-none"/>
        </w:rPr>
      </w:pPr>
      <w:bookmarkStart w:id="10" w:name="_Toc190682311"/>
      <w:bookmarkStart w:id="11" w:name="_Toc190682529"/>
      <w:bookmarkEnd w:id="8"/>
      <w:bookmarkEnd w:id="9"/>
    </w:p>
    <w:p w14:paraId="449B78B5" w14:textId="0894F70D" w:rsidR="0008358A" w:rsidRPr="001E04A8" w:rsidRDefault="0008358A" w:rsidP="0008358A">
      <w:pPr>
        <w:pStyle w:val="TableHeading"/>
        <w:rPr>
          <w:i w:val="0"/>
        </w:rPr>
      </w:pPr>
      <w:r>
        <w:br w:type="page"/>
      </w:r>
      <w:r w:rsidRPr="001E04A8">
        <w:rPr>
          <w:i w:val="0"/>
          <w:sz w:val="20"/>
        </w:rPr>
        <w:lastRenderedPageBreak/>
        <w:t xml:space="preserve">Table 1.1: </w:t>
      </w:r>
      <w:r w:rsidRPr="001E04A8">
        <w:rPr>
          <w:rFonts w:cs="Arial"/>
          <w:i w:val="0"/>
          <w:sz w:val="20"/>
        </w:rPr>
        <w:t>Australian Prudential Regulation Authority</w:t>
      </w:r>
      <w:r w:rsidRPr="001E04A8">
        <w:rPr>
          <w:i w:val="0"/>
          <w:sz w:val="20"/>
        </w:rPr>
        <w:t xml:space="preserve"> resource statement — Budget estimates for 20</w:t>
      </w:r>
      <w:r w:rsidR="00B912AF" w:rsidRPr="001E04A8">
        <w:rPr>
          <w:i w:val="0"/>
          <w:sz w:val="20"/>
        </w:rPr>
        <w:t>2</w:t>
      </w:r>
      <w:r w:rsidR="00FC2A10" w:rsidRPr="001E04A8">
        <w:rPr>
          <w:i w:val="0"/>
          <w:sz w:val="20"/>
        </w:rPr>
        <w:t>1</w:t>
      </w:r>
      <w:r w:rsidRPr="001E04A8">
        <w:rPr>
          <w:i w:val="0"/>
          <w:sz w:val="20"/>
        </w:rPr>
        <w:t>-2</w:t>
      </w:r>
      <w:r w:rsidR="00FC2A10" w:rsidRPr="001E04A8">
        <w:rPr>
          <w:i w:val="0"/>
          <w:sz w:val="20"/>
        </w:rPr>
        <w:t>2</w:t>
      </w:r>
      <w:r w:rsidRPr="001E04A8">
        <w:rPr>
          <w:i w:val="0"/>
          <w:sz w:val="20"/>
        </w:rPr>
        <w:t xml:space="preserve"> as at Budget </w:t>
      </w:r>
      <w:r w:rsidR="00FC2A10" w:rsidRPr="001E04A8">
        <w:rPr>
          <w:i w:val="0"/>
          <w:sz w:val="20"/>
        </w:rPr>
        <w:t xml:space="preserve">May </w:t>
      </w:r>
      <w:r w:rsidRPr="001E04A8">
        <w:rPr>
          <w:i w:val="0"/>
          <w:sz w:val="20"/>
        </w:rPr>
        <w:t>20</w:t>
      </w:r>
      <w:r w:rsidR="00B912AF" w:rsidRPr="001E04A8">
        <w:rPr>
          <w:i w:val="0"/>
          <w:sz w:val="20"/>
        </w:rPr>
        <w:t>2</w:t>
      </w:r>
      <w:r w:rsidR="00FC2A10" w:rsidRPr="001E04A8">
        <w:rPr>
          <w:i w:val="0"/>
          <w:sz w:val="20"/>
        </w:rPr>
        <w:t>1</w:t>
      </w:r>
      <w:r w:rsidRPr="001E04A8">
        <w:rPr>
          <w:i w:val="0"/>
          <w:sz w:val="20"/>
        </w:rPr>
        <w:t xml:space="preserve"> (continued)</w:t>
      </w:r>
    </w:p>
    <w:p w14:paraId="1B7289E1" w14:textId="77777777" w:rsidR="0008358A" w:rsidRDefault="0008358A" w:rsidP="0008358A">
      <w:pPr>
        <w:pStyle w:val="ChartandTableFootnote"/>
      </w:pPr>
    </w:p>
    <w:p w14:paraId="14203337" w14:textId="77777777" w:rsidR="0008358A" w:rsidRPr="00D6530B" w:rsidRDefault="0008358A" w:rsidP="0008358A">
      <w:pPr>
        <w:pStyle w:val="TableHeadingNoTable"/>
        <w:spacing w:after="0"/>
        <w:rPr>
          <w:i/>
        </w:rPr>
      </w:pPr>
      <w:r>
        <w:t>Third party payments from and on behalf of other entities</w:t>
      </w:r>
    </w:p>
    <w:tbl>
      <w:tblPr>
        <w:tblW w:w="5000" w:type="pct"/>
        <w:tblCellMar>
          <w:left w:w="0" w:type="dxa"/>
          <w:right w:w="28" w:type="dxa"/>
        </w:tblCellMar>
        <w:tblLook w:val="04A0" w:firstRow="1" w:lastRow="0" w:firstColumn="1" w:lastColumn="0" w:noHBand="0" w:noVBand="1"/>
      </w:tblPr>
      <w:tblGrid>
        <w:gridCol w:w="5338"/>
        <w:gridCol w:w="1186"/>
        <w:gridCol w:w="1186"/>
      </w:tblGrid>
      <w:tr w:rsidR="00CC7871" w:rsidRPr="00B11728" w14:paraId="1251A6BF" w14:textId="77777777" w:rsidTr="006D3CA7">
        <w:trPr>
          <w:trHeight w:val="800"/>
        </w:trPr>
        <w:tc>
          <w:tcPr>
            <w:tcW w:w="3462" w:type="pct"/>
            <w:tcBorders>
              <w:top w:val="single" w:sz="4" w:space="0" w:color="auto"/>
              <w:left w:val="nil"/>
              <w:bottom w:val="nil"/>
              <w:right w:val="nil"/>
            </w:tcBorders>
            <w:shd w:val="clear" w:color="000000" w:fill="FFFFFF"/>
            <w:vAlign w:val="bottom"/>
            <w:hideMark/>
          </w:tcPr>
          <w:p w14:paraId="0AD56631" w14:textId="77777777" w:rsidR="00CC7871" w:rsidRPr="00043432" w:rsidRDefault="00CC7871" w:rsidP="00043432">
            <w:pPr>
              <w:pStyle w:val="ListParagraph"/>
              <w:numPr>
                <w:ilvl w:val="0"/>
                <w:numId w:val="20"/>
              </w:numPr>
              <w:spacing w:after="0"/>
              <w:rPr>
                <w:rFonts w:eastAsia="Times New Roman" w:cs="Arial"/>
                <w:sz w:val="16"/>
                <w:szCs w:val="16"/>
                <w:lang w:eastAsia="en-AU"/>
              </w:rPr>
            </w:pPr>
            <w:r w:rsidRPr="00043432">
              <w:rPr>
                <w:rFonts w:eastAsia="Times New Roman" w:cs="Arial"/>
                <w:sz w:val="16"/>
                <w:szCs w:val="16"/>
                <w:lang w:eastAsia="en-AU"/>
              </w:rPr>
              <w:t> </w:t>
            </w:r>
          </w:p>
        </w:tc>
        <w:tc>
          <w:tcPr>
            <w:tcW w:w="769" w:type="pct"/>
            <w:tcBorders>
              <w:top w:val="single" w:sz="4" w:space="0" w:color="auto"/>
              <w:left w:val="nil"/>
              <w:bottom w:val="single" w:sz="4" w:space="0" w:color="auto"/>
              <w:right w:val="nil"/>
            </w:tcBorders>
            <w:shd w:val="clear" w:color="000000" w:fill="FFFFFF"/>
            <w:hideMark/>
          </w:tcPr>
          <w:p w14:paraId="37BE1515" w14:textId="77777777" w:rsidR="00CC7871" w:rsidRPr="00043432" w:rsidRDefault="00CC787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2020-21 Estimated actual</w:t>
            </w:r>
            <w:r w:rsidRPr="00043432">
              <w:rPr>
                <w:rFonts w:eastAsia="Times New Roman" w:cs="Arial"/>
                <w:i/>
                <w:iCs/>
                <w:sz w:val="16"/>
                <w:szCs w:val="16"/>
                <w:lang w:eastAsia="en-AU"/>
              </w:rPr>
              <w:br/>
              <w:t>$'000</w:t>
            </w:r>
          </w:p>
        </w:tc>
        <w:tc>
          <w:tcPr>
            <w:tcW w:w="769" w:type="pct"/>
            <w:tcBorders>
              <w:top w:val="single" w:sz="4" w:space="0" w:color="auto"/>
              <w:left w:val="nil"/>
              <w:bottom w:val="single" w:sz="4" w:space="0" w:color="auto"/>
              <w:right w:val="nil"/>
            </w:tcBorders>
            <w:shd w:val="clear" w:color="000000" w:fill="E6E6E6"/>
            <w:hideMark/>
          </w:tcPr>
          <w:p w14:paraId="123B91B6" w14:textId="77777777" w:rsidR="00CC7871" w:rsidRPr="00043432" w:rsidRDefault="00CC7871"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2021-22 Estimate</w:t>
            </w:r>
            <w:r w:rsidRPr="00043432">
              <w:rPr>
                <w:rFonts w:eastAsia="Times New Roman" w:cs="Arial"/>
                <w:sz w:val="16"/>
                <w:szCs w:val="16"/>
                <w:lang w:eastAsia="en-AU"/>
              </w:rPr>
              <w:br/>
            </w:r>
            <w:r w:rsidRPr="00043432">
              <w:rPr>
                <w:rFonts w:eastAsia="Times New Roman" w:cs="Arial"/>
                <w:sz w:val="16"/>
                <w:szCs w:val="16"/>
                <w:lang w:eastAsia="en-AU"/>
              </w:rPr>
              <w:br/>
              <w:t>$'000</w:t>
            </w:r>
          </w:p>
        </w:tc>
      </w:tr>
      <w:tr w:rsidR="00CC7871" w:rsidRPr="00B11728" w14:paraId="5B462787" w14:textId="77777777" w:rsidTr="006D3CA7">
        <w:trPr>
          <w:trHeight w:val="400"/>
        </w:trPr>
        <w:tc>
          <w:tcPr>
            <w:tcW w:w="3462" w:type="pct"/>
            <w:tcBorders>
              <w:top w:val="nil"/>
              <w:left w:val="nil"/>
              <w:bottom w:val="single" w:sz="4" w:space="0" w:color="auto"/>
              <w:right w:val="nil"/>
            </w:tcBorders>
            <w:shd w:val="clear" w:color="000000" w:fill="FFFFFF"/>
            <w:vAlign w:val="bottom"/>
            <w:hideMark/>
          </w:tcPr>
          <w:p w14:paraId="6176A6A1" w14:textId="77777777" w:rsidR="00CC7871" w:rsidRPr="00043432" w:rsidRDefault="00CC7871"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Receipts received from other entities for the provision of services </w:t>
            </w:r>
            <w:r w:rsidRPr="00043432">
              <w:rPr>
                <w:rFonts w:eastAsia="Times New Roman" w:cs="Arial"/>
                <w:sz w:val="16"/>
                <w:szCs w:val="16"/>
                <w:lang w:eastAsia="en-AU"/>
              </w:rPr>
              <w:br/>
              <w:t xml:space="preserve">  (disclosed above in s74 External Revenue section above)</w:t>
            </w:r>
          </w:p>
        </w:tc>
        <w:tc>
          <w:tcPr>
            <w:tcW w:w="769" w:type="pct"/>
            <w:tcBorders>
              <w:top w:val="nil"/>
              <w:left w:val="nil"/>
              <w:bottom w:val="single" w:sz="4" w:space="0" w:color="auto"/>
              <w:right w:val="nil"/>
            </w:tcBorders>
            <w:shd w:val="clear" w:color="000000" w:fill="FFFFFF"/>
            <w:vAlign w:val="bottom"/>
            <w:hideMark/>
          </w:tcPr>
          <w:p w14:paraId="1FE36600" w14:textId="77777777" w:rsidR="00CC7871" w:rsidRPr="00043432" w:rsidRDefault="00CC7871" w:rsidP="00043432">
            <w:pPr>
              <w:pStyle w:val="ListParagraph"/>
              <w:numPr>
                <w:ilvl w:val="0"/>
                <w:numId w:val="20"/>
              </w:numPr>
              <w:spacing w:after="0"/>
              <w:jc w:val="right"/>
              <w:rPr>
                <w:rFonts w:eastAsia="Times New Roman" w:cs="Arial"/>
                <w:i/>
                <w:iCs/>
                <w:sz w:val="16"/>
                <w:szCs w:val="16"/>
                <w:lang w:eastAsia="en-AU"/>
              </w:rPr>
            </w:pPr>
            <w:r w:rsidRPr="00043432">
              <w:rPr>
                <w:rFonts w:eastAsia="Times New Roman" w:cs="Arial"/>
                <w:i/>
                <w:iCs/>
                <w:sz w:val="16"/>
                <w:szCs w:val="16"/>
                <w:lang w:eastAsia="en-AU"/>
              </w:rPr>
              <w:t xml:space="preserve">705 </w:t>
            </w:r>
          </w:p>
        </w:tc>
        <w:tc>
          <w:tcPr>
            <w:tcW w:w="769" w:type="pct"/>
            <w:tcBorders>
              <w:top w:val="nil"/>
              <w:left w:val="nil"/>
              <w:bottom w:val="single" w:sz="4" w:space="0" w:color="auto"/>
              <w:right w:val="nil"/>
            </w:tcBorders>
            <w:shd w:val="clear" w:color="000000" w:fill="E6E6E6"/>
            <w:vAlign w:val="bottom"/>
            <w:hideMark/>
          </w:tcPr>
          <w:p w14:paraId="71CCDCF9" w14:textId="77777777" w:rsidR="00CC7871" w:rsidRPr="00043432" w:rsidRDefault="00CC7871"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1,205 </w:t>
            </w:r>
          </w:p>
        </w:tc>
      </w:tr>
    </w:tbl>
    <w:p w14:paraId="536EB6B5" w14:textId="77777777" w:rsidR="00CC7871" w:rsidRPr="00B11728" w:rsidRDefault="00CC7871" w:rsidP="00CC7871">
      <w:pPr>
        <w:pStyle w:val="TableGraphic"/>
        <w:rPr>
          <w:rFonts w:asciiTheme="majorHAnsi" w:hAnsiTheme="majorHAnsi" w:cstheme="majorHAnsi"/>
          <w:sz w:val="16"/>
          <w:lang w:val="x-none" w:eastAsia="x-none"/>
        </w:rPr>
      </w:pPr>
      <w:r w:rsidRPr="00B11728">
        <w:rPr>
          <w:rFonts w:asciiTheme="majorHAnsi" w:hAnsiTheme="majorHAnsi" w:cstheme="majorHAnsi"/>
          <w:sz w:val="16"/>
          <w:lang w:val="x-none" w:eastAsia="x-none"/>
        </w:rPr>
        <w:t xml:space="preserve">All figures shown above are GST exclusive - these may not match figures in the cash flow statement. </w:t>
      </w:r>
    </w:p>
    <w:p w14:paraId="59642BE6" w14:textId="77777777" w:rsidR="00CC7871" w:rsidRPr="00043432" w:rsidRDefault="00CC7871" w:rsidP="00043432">
      <w:pPr>
        <w:pStyle w:val="ListParagraph"/>
        <w:numPr>
          <w:ilvl w:val="0"/>
          <w:numId w:val="20"/>
        </w:numPr>
        <w:spacing w:after="0"/>
        <w:rPr>
          <w:rFonts w:eastAsia="Times New Roman" w:cs="Times New Roman"/>
          <w:sz w:val="16"/>
          <w:szCs w:val="20"/>
          <w:lang w:val="x-none" w:eastAsia="x-none"/>
        </w:rPr>
      </w:pPr>
      <w:r w:rsidRPr="00043432">
        <w:rPr>
          <w:rFonts w:eastAsia="Times New Roman" w:cs="Times New Roman"/>
          <w:sz w:val="16"/>
          <w:szCs w:val="20"/>
          <w:lang w:val="x-none" w:eastAsia="x-none"/>
        </w:rPr>
        <w:t>(a) Appropriation Bill (No. 1) 202</w:t>
      </w:r>
      <w:r w:rsidRPr="00043432">
        <w:rPr>
          <w:rFonts w:eastAsia="Times New Roman" w:cs="Times New Roman"/>
          <w:sz w:val="16"/>
          <w:szCs w:val="20"/>
          <w:lang w:eastAsia="x-none"/>
        </w:rPr>
        <w:t>1</w:t>
      </w:r>
      <w:r w:rsidRPr="00043432">
        <w:rPr>
          <w:rFonts w:eastAsia="Times New Roman" w:cs="Times New Roman"/>
          <w:sz w:val="16"/>
          <w:szCs w:val="20"/>
          <w:lang w:val="x-none" w:eastAsia="x-none"/>
        </w:rPr>
        <w:t>-2</w:t>
      </w:r>
      <w:r w:rsidRPr="00043432">
        <w:rPr>
          <w:rFonts w:eastAsia="Times New Roman" w:cs="Times New Roman"/>
          <w:sz w:val="16"/>
          <w:szCs w:val="20"/>
          <w:lang w:eastAsia="x-none"/>
        </w:rPr>
        <w:t>2</w:t>
      </w:r>
      <w:r w:rsidRPr="00043432">
        <w:rPr>
          <w:rFonts w:eastAsia="Times New Roman" w:cs="Times New Roman"/>
          <w:sz w:val="16"/>
          <w:szCs w:val="20"/>
          <w:lang w:val="x-none" w:eastAsia="x-none"/>
        </w:rPr>
        <w:t xml:space="preserve">. </w:t>
      </w:r>
      <w:r w:rsidRPr="00043432">
        <w:rPr>
          <w:rFonts w:eastAsia="Times New Roman" w:cs="Times New Roman"/>
          <w:sz w:val="16"/>
          <w:szCs w:val="20"/>
          <w:lang w:val="x-none" w:eastAsia="x-none"/>
        </w:rPr>
        <w:tab/>
      </w:r>
      <w:r w:rsidRPr="00043432">
        <w:rPr>
          <w:rFonts w:eastAsia="Times New Roman" w:cs="Times New Roman"/>
          <w:sz w:val="16"/>
          <w:szCs w:val="20"/>
          <w:lang w:val="x-none" w:eastAsia="x-none"/>
        </w:rPr>
        <w:tab/>
      </w:r>
    </w:p>
    <w:p w14:paraId="72F4F0D7" w14:textId="77777777" w:rsidR="00CC7871" w:rsidRPr="00043432" w:rsidRDefault="00CC7871" w:rsidP="00043432">
      <w:pPr>
        <w:pStyle w:val="ListParagraph"/>
        <w:numPr>
          <w:ilvl w:val="0"/>
          <w:numId w:val="20"/>
        </w:numPr>
        <w:spacing w:after="0"/>
        <w:rPr>
          <w:rFonts w:eastAsia="Times New Roman" w:cs="Times New Roman"/>
          <w:sz w:val="16"/>
          <w:szCs w:val="20"/>
          <w:lang w:val="x-none" w:eastAsia="x-none"/>
        </w:rPr>
      </w:pPr>
      <w:r w:rsidRPr="00043432">
        <w:rPr>
          <w:rFonts w:eastAsia="Times New Roman" w:cs="Times New Roman"/>
          <w:sz w:val="16"/>
          <w:szCs w:val="20"/>
          <w:lang w:val="x-none" w:eastAsia="x-none"/>
        </w:rPr>
        <w:t>(b)</w:t>
      </w:r>
      <w:r w:rsidRPr="00043432">
        <w:rPr>
          <w:rFonts w:eastAsia="Times New Roman" w:cs="Times New Roman"/>
          <w:sz w:val="16"/>
          <w:szCs w:val="20"/>
          <w:lang w:eastAsia="x-none"/>
        </w:rPr>
        <w:t xml:space="preserve"> </w:t>
      </w:r>
      <w:r w:rsidRPr="00043432">
        <w:rPr>
          <w:rFonts w:eastAsia="Times New Roman" w:cs="Times New Roman"/>
          <w:sz w:val="16"/>
          <w:szCs w:val="20"/>
          <w:lang w:val="x-none" w:eastAsia="x-none"/>
        </w:rPr>
        <w:t xml:space="preserve">Estimated Retained Revenue receipts under section 74 of the </w:t>
      </w:r>
      <w:r w:rsidRPr="00043432">
        <w:rPr>
          <w:rFonts w:eastAsia="Times New Roman" w:cs="Times New Roman"/>
          <w:i/>
          <w:sz w:val="16"/>
          <w:szCs w:val="20"/>
          <w:lang w:val="x-none" w:eastAsia="x-none"/>
        </w:rPr>
        <w:t>Public Governance, Performance and Accountability Act 2013</w:t>
      </w:r>
      <w:r w:rsidRPr="00043432">
        <w:rPr>
          <w:rFonts w:eastAsia="Times New Roman" w:cs="Times New Roman"/>
          <w:sz w:val="16"/>
          <w:szCs w:val="20"/>
          <w:lang w:val="x-none" w:eastAsia="x-none"/>
        </w:rPr>
        <w:t xml:space="preserve"> (PGPA Act).</w:t>
      </w:r>
      <w:r w:rsidRPr="00043432">
        <w:rPr>
          <w:rFonts w:eastAsia="Times New Roman" w:cs="Times New Roman"/>
          <w:sz w:val="16"/>
          <w:szCs w:val="20"/>
          <w:lang w:val="x-none" w:eastAsia="x-none"/>
        </w:rPr>
        <w:tab/>
      </w:r>
      <w:r w:rsidRPr="00043432">
        <w:rPr>
          <w:rFonts w:eastAsia="Times New Roman" w:cs="Times New Roman"/>
          <w:sz w:val="16"/>
          <w:szCs w:val="20"/>
          <w:lang w:val="x-none" w:eastAsia="x-none"/>
        </w:rPr>
        <w:tab/>
      </w:r>
    </w:p>
    <w:p w14:paraId="39C86397" w14:textId="77777777" w:rsidR="00CC7871" w:rsidRPr="00043432" w:rsidRDefault="00CC7871" w:rsidP="00043432">
      <w:pPr>
        <w:pStyle w:val="ListParagraph"/>
        <w:numPr>
          <w:ilvl w:val="0"/>
          <w:numId w:val="20"/>
        </w:numPr>
        <w:spacing w:after="0"/>
        <w:rPr>
          <w:rFonts w:eastAsia="Times New Roman" w:cs="Times New Roman"/>
          <w:sz w:val="16"/>
          <w:szCs w:val="20"/>
          <w:lang w:val="x-none" w:eastAsia="x-none"/>
        </w:rPr>
      </w:pPr>
      <w:r w:rsidRPr="00043432">
        <w:rPr>
          <w:rFonts w:eastAsia="Times New Roman" w:cs="Times New Roman"/>
          <w:sz w:val="16"/>
          <w:szCs w:val="20"/>
          <w:lang w:val="x-none" w:eastAsia="x-none"/>
        </w:rPr>
        <w:t>(c)</w:t>
      </w:r>
      <w:r w:rsidRPr="00043432">
        <w:rPr>
          <w:rFonts w:eastAsia="Times New Roman" w:cs="Times New Roman"/>
          <w:sz w:val="16"/>
          <w:szCs w:val="20"/>
          <w:lang w:eastAsia="x-none"/>
        </w:rPr>
        <w:t xml:space="preserve"> </w:t>
      </w:r>
      <w:r w:rsidRPr="00043432">
        <w:rPr>
          <w:rFonts w:eastAsia="Times New Roman" w:cs="Times New Roman"/>
          <w:sz w:val="16"/>
          <w:szCs w:val="20"/>
          <w:lang w:val="x-none" w:eastAsia="x-none"/>
        </w:rPr>
        <w:t xml:space="preserve">Excludes 'Special Public Money'. For further information on special appropriations and special accounts, refer to </w:t>
      </w:r>
      <w:r w:rsidRPr="00043432">
        <w:rPr>
          <w:rFonts w:eastAsia="Times New Roman" w:cs="Times New Roman"/>
          <w:i/>
          <w:sz w:val="16"/>
          <w:szCs w:val="20"/>
          <w:lang w:val="x-none" w:eastAsia="x-none"/>
        </w:rPr>
        <w:t>Budget Paper No. 4 - Agency Resourcing</w:t>
      </w:r>
      <w:r w:rsidRPr="00043432">
        <w:rPr>
          <w:rFonts w:eastAsia="Times New Roman" w:cs="Times New Roman"/>
          <w:sz w:val="16"/>
          <w:szCs w:val="20"/>
          <w:lang w:val="x-none" w:eastAsia="x-none"/>
        </w:rPr>
        <w:t>. Please also see Table 2.1 for further information on outcome and program expenses broken down by various funding sources, e.g. annual appropriations, special appropriations and special accounts.</w:t>
      </w:r>
      <w:r w:rsidRPr="00043432">
        <w:rPr>
          <w:rFonts w:eastAsia="Times New Roman" w:cs="Times New Roman"/>
          <w:sz w:val="16"/>
          <w:szCs w:val="20"/>
          <w:lang w:val="x-none" w:eastAsia="x-none"/>
        </w:rPr>
        <w:tab/>
      </w:r>
      <w:r w:rsidRPr="00043432">
        <w:rPr>
          <w:rFonts w:eastAsia="Times New Roman" w:cs="Times New Roman"/>
          <w:sz w:val="16"/>
          <w:szCs w:val="20"/>
          <w:lang w:val="x-none" w:eastAsia="x-none"/>
        </w:rPr>
        <w:tab/>
      </w:r>
    </w:p>
    <w:p w14:paraId="57A15884" w14:textId="77777777" w:rsidR="00CC7871" w:rsidRPr="00043432" w:rsidRDefault="00CC7871" w:rsidP="00043432">
      <w:pPr>
        <w:pStyle w:val="ListParagraph"/>
        <w:numPr>
          <w:ilvl w:val="0"/>
          <w:numId w:val="20"/>
        </w:numPr>
        <w:spacing w:after="0"/>
        <w:rPr>
          <w:rFonts w:eastAsia="Times New Roman" w:cs="Times New Roman"/>
          <w:sz w:val="16"/>
          <w:szCs w:val="20"/>
          <w:lang w:val="x-none" w:eastAsia="x-none"/>
        </w:rPr>
      </w:pPr>
      <w:r w:rsidRPr="00043432">
        <w:rPr>
          <w:rFonts w:eastAsia="Times New Roman" w:cs="Times New Roman"/>
          <w:sz w:val="16"/>
          <w:szCs w:val="20"/>
          <w:lang w:val="x-none" w:eastAsia="x-none"/>
        </w:rPr>
        <w:t>(d) Appropriation receipts include receipts from the Department of Foreign Affairs and Trade, the Reserve Bank of Australia, the Australian Bureau of Statistics, and the Department of Agriculture, Water  and the Environment.</w:t>
      </w:r>
      <w:r w:rsidRPr="00043432">
        <w:rPr>
          <w:rFonts w:eastAsia="Times New Roman" w:cs="Times New Roman"/>
          <w:sz w:val="16"/>
          <w:szCs w:val="20"/>
          <w:lang w:val="x-none" w:eastAsia="x-none"/>
        </w:rPr>
        <w:tab/>
      </w:r>
      <w:r w:rsidRPr="00043432">
        <w:rPr>
          <w:rFonts w:eastAsia="Times New Roman" w:cs="Times New Roman"/>
          <w:sz w:val="16"/>
          <w:szCs w:val="20"/>
          <w:lang w:val="x-none" w:eastAsia="x-none"/>
        </w:rPr>
        <w:tab/>
      </w:r>
    </w:p>
    <w:p w14:paraId="2A84A471" w14:textId="63CDB6CA" w:rsidR="004311F8" w:rsidRPr="00043432" w:rsidRDefault="00CC7871" w:rsidP="00043432">
      <w:pPr>
        <w:pStyle w:val="ListParagraph"/>
        <w:numPr>
          <w:ilvl w:val="0"/>
          <w:numId w:val="20"/>
        </w:numPr>
        <w:spacing w:after="0"/>
        <w:rPr>
          <w:rFonts w:eastAsia="Times New Roman" w:cs="Times New Roman"/>
          <w:sz w:val="16"/>
          <w:szCs w:val="20"/>
          <w:lang w:val="x-none" w:eastAsia="x-none"/>
        </w:rPr>
      </w:pPr>
      <w:r w:rsidRPr="00043432">
        <w:rPr>
          <w:rFonts w:eastAsia="Times New Roman" w:cs="Times New Roman"/>
          <w:sz w:val="16"/>
          <w:szCs w:val="20"/>
          <w:lang w:val="x-none" w:eastAsia="x-none"/>
        </w:rPr>
        <w:t xml:space="preserve">(e) </w:t>
      </w:r>
      <w:r w:rsidRPr="00043432">
        <w:rPr>
          <w:rFonts w:eastAsia="Times New Roman" w:cs="Times New Roman"/>
          <w:sz w:val="16"/>
          <w:szCs w:val="20"/>
          <w:lang w:eastAsia="x-none"/>
        </w:rPr>
        <w:t>Comprises</w:t>
      </w:r>
      <w:r w:rsidRPr="00043432">
        <w:rPr>
          <w:rFonts w:eastAsia="Times New Roman" w:cs="Times New Roman"/>
          <w:sz w:val="16"/>
          <w:szCs w:val="20"/>
          <w:lang w:val="x-none" w:eastAsia="x-none"/>
        </w:rPr>
        <w:t xml:space="preserve"> Private Health Insurance risk equalisation receipts which are redistributed to industry</w:t>
      </w:r>
      <w:r w:rsidRPr="00043432">
        <w:rPr>
          <w:rFonts w:eastAsia="Times New Roman" w:cs="Times New Roman"/>
          <w:sz w:val="16"/>
          <w:szCs w:val="20"/>
          <w:lang w:eastAsia="x-none"/>
        </w:rPr>
        <w:t>.</w:t>
      </w:r>
      <w:r w:rsidR="004311F8" w:rsidRPr="00043432">
        <w:rPr>
          <w:rFonts w:eastAsia="Times New Roman" w:cs="Times New Roman"/>
          <w:sz w:val="16"/>
          <w:szCs w:val="20"/>
          <w:lang w:val="x-none" w:eastAsia="x-none"/>
        </w:rPr>
        <w:tab/>
      </w:r>
    </w:p>
    <w:p w14:paraId="3D492ECB" w14:textId="5AB2429F" w:rsidR="0008358A" w:rsidRPr="000E1442" w:rsidRDefault="004311F8" w:rsidP="00043432">
      <w:pPr>
        <w:pStyle w:val="ListParagraph"/>
        <w:numPr>
          <w:ilvl w:val="0"/>
          <w:numId w:val="20"/>
        </w:numPr>
        <w:spacing w:after="0"/>
      </w:pPr>
      <w:r w:rsidRPr="00043432">
        <w:rPr>
          <w:rFonts w:eastAsia="Times New Roman" w:cs="Times New Roman"/>
          <w:sz w:val="16"/>
          <w:szCs w:val="20"/>
          <w:lang w:val="x-none" w:eastAsia="x-none"/>
        </w:rPr>
        <w:tab/>
      </w:r>
      <w:r w:rsidRPr="00043432">
        <w:rPr>
          <w:rFonts w:eastAsia="Times New Roman" w:cs="Times New Roman"/>
          <w:sz w:val="16"/>
          <w:szCs w:val="20"/>
          <w:lang w:val="x-none" w:eastAsia="x-none"/>
        </w:rPr>
        <w:tab/>
      </w:r>
    </w:p>
    <w:p w14:paraId="22FE8AC9" w14:textId="10B8150F" w:rsidR="0008358A" w:rsidRDefault="0008358A" w:rsidP="005656A7">
      <w:pPr>
        <w:pStyle w:val="Heading3"/>
        <w:spacing w:before="0" w:after="200"/>
      </w:pPr>
      <w:r>
        <w:br w:type="page"/>
      </w:r>
      <w:bookmarkEnd w:id="10"/>
      <w:bookmarkEnd w:id="11"/>
    </w:p>
    <w:p w14:paraId="32B178D9" w14:textId="2522E66D" w:rsidR="00CC7871" w:rsidRPr="00CC7871" w:rsidRDefault="00CC7871" w:rsidP="00CC7871">
      <w:pPr>
        <w:pStyle w:val="ListParagraph"/>
        <w:numPr>
          <w:ilvl w:val="1"/>
          <w:numId w:val="19"/>
        </w:numPr>
        <w:spacing w:after="0"/>
        <w:rPr>
          <w:rFonts w:eastAsia="Times New Roman" w:cs="Times New Roman"/>
          <w:b/>
          <w:smallCaps/>
          <w:color w:val="auto"/>
          <w:sz w:val="26"/>
          <w:szCs w:val="20"/>
          <w:lang w:eastAsia="en-AU"/>
        </w:rPr>
      </w:pPr>
      <w:bookmarkStart w:id="12" w:name="_Toc444523511"/>
      <w:bookmarkStart w:id="13" w:name="_Toc51077514"/>
      <w:bookmarkStart w:id="14" w:name="_Toc444523512"/>
      <w:bookmarkStart w:id="15" w:name="_Toc69915709"/>
      <w:bookmarkStart w:id="16" w:name="_Toc190682312"/>
      <w:bookmarkStart w:id="17" w:name="_Toc190682530"/>
      <w:r w:rsidRPr="00CC7871">
        <w:rPr>
          <w:rFonts w:eastAsia="Times New Roman" w:cs="Times New Roman"/>
          <w:b/>
          <w:smallCaps/>
          <w:color w:val="auto"/>
          <w:sz w:val="26"/>
          <w:szCs w:val="20"/>
          <w:lang w:eastAsia="en-AU"/>
        </w:rPr>
        <w:lastRenderedPageBreak/>
        <w:t>Budget measures</w:t>
      </w:r>
      <w:bookmarkEnd w:id="12"/>
      <w:bookmarkEnd w:id="13"/>
    </w:p>
    <w:p w14:paraId="5D75E6EF" w14:textId="77777777" w:rsidR="00CC7871" w:rsidRPr="00CC7871" w:rsidRDefault="00CC7871" w:rsidP="00CC7871">
      <w:pPr>
        <w:pStyle w:val="ListParagraph"/>
        <w:spacing w:after="0"/>
        <w:ind w:left="720"/>
        <w:rPr>
          <w:rFonts w:eastAsia="Times New Roman" w:cs="Times New Roman"/>
          <w:b/>
          <w:smallCaps/>
          <w:color w:val="auto"/>
          <w:sz w:val="26"/>
          <w:szCs w:val="20"/>
          <w:lang w:eastAsia="en-AU"/>
        </w:rPr>
      </w:pPr>
    </w:p>
    <w:p w14:paraId="0F295151" w14:textId="27E3F178" w:rsidR="00CC7871" w:rsidRPr="00CC7871" w:rsidRDefault="00CC7871" w:rsidP="00CC7871">
      <w:pPr>
        <w:numPr>
          <w:ilvl w:val="0"/>
          <w:numId w:val="0"/>
        </w:numPr>
        <w:rPr>
          <w:rFonts w:ascii="Book Antiqua" w:eastAsia="Times New Roman" w:hAnsi="Book Antiqua" w:cs="Times New Roman"/>
          <w:color w:val="auto"/>
          <w:sz w:val="20"/>
          <w:szCs w:val="20"/>
          <w:lang w:eastAsia="en-AU"/>
        </w:rPr>
      </w:pPr>
      <w:r w:rsidRPr="00CC7871">
        <w:rPr>
          <w:rFonts w:ascii="Book Antiqua" w:eastAsia="Times New Roman" w:hAnsi="Book Antiqua" w:cs="Times New Roman"/>
          <w:color w:val="auto"/>
          <w:sz w:val="20"/>
          <w:szCs w:val="20"/>
          <w:lang w:eastAsia="en-AU"/>
        </w:rPr>
        <w:t xml:space="preserve">Budget measures relating to </w:t>
      </w:r>
      <w:r>
        <w:rPr>
          <w:rFonts w:ascii="Book Antiqua" w:eastAsia="Times New Roman" w:hAnsi="Book Antiqua" w:cs="Times New Roman"/>
          <w:color w:val="auto"/>
          <w:sz w:val="20"/>
          <w:szCs w:val="20"/>
          <w:lang w:eastAsia="en-AU"/>
        </w:rPr>
        <w:t>APRA</w:t>
      </w:r>
      <w:r w:rsidRPr="00CC7871">
        <w:rPr>
          <w:rFonts w:ascii="Book Antiqua" w:eastAsia="Times New Roman" w:hAnsi="Book Antiqua" w:cs="Times New Roman"/>
          <w:color w:val="auto"/>
          <w:sz w:val="20"/>
          <w:szCs w:val="20"/>
          <w:lang w:eastAsia="en-AU"/>
        </w:rPr>
        <w:t xml:space="preserve"> are detailed in Budget Paper No. 2 and are summarised below.</w:t>
      </w:r>
    </w:p>
    <w:p w14:paraId="3B5B8EC4" w14:textId="2B5B7C9C" w:rsidR="001F1831" w:rsidRPr="003F3013" w:rsidRDefault="00CC7871" w:rsidP="003F3013">
      <w:pPr>
        <w:pStyle w:val="TableHeadingcontinued"/>
        <w:rPr>
          <w:bCs/>
        </w:rPr>
      </w:pPr>
      <w:r w:rsidRPr="00CC7871">
        <w:t xml:space="preserve">Table 1.2: </w:t>
      </w:r>
      <w:r w:rsidR="0098070E">
        <w:t>Australian Prudential Regulation Authority</w:t>
      </w:r>
      <w:r w:rsidRPr="00CC7871">
        <w:t xml:space="preserve"> 2021-22 Budget measures – Measures announced since the 2020-21 Mid-Year Economic and Fiscal Outlook </w:t>
      </w:r>
      <w:r w:rsidRPr="003F3013">
        <w:t>(MYEFO)</w:t>
      </w:r>
    </w:p>
    <w:tbl>
      <w:tblPr>
        <w:tblW w:w="5000" w:type="pct"/>
        <w:tblCellMar>
          <w:left w:w="0" w:type="dxa"/>
          <w:right w:w="28" w:type="dxa"/>
        </w:tblCellMar>
        <w:tblLook w:val="04A0" w:firstRow="1" w:lastRow="0" w:firstColumn="1" w:lastColumn="0" w:noHBand="0" w:noVBand="1"/>
      </w:tblPr>
      <w:tblGrid>
        <w:gridCol w:w="3235"/>
        <w:gridCol w:w="746"/>
        <w:gridCol w:w="746"/>
        <w:gridCol w:w="746"/>
        <w:gridCol w:w="746"/>
        <w:gridCol w:w="746"/>
        <w:gridCol w:w="745"/>
      </w:tblGrid>
      <w:tr w:rsidR="001F1831" w:rsidRPr="003F3013" w14:paraId="3F7C95B7" w14:textId="77777777" w:rsidTr="001F1831">
        <w:trPr>
          <w:trHeight w:val="450"/>
        </w:trPr>
        <w:tc>
          <w:tcPr>
            <w:tcW w:w="2097" w:type="pct"/>
            <w:tcBorders>
              <w:top w:val="single" w:sz="4" w:space="0" w:color="auto"/>
              <w:left w:val="nil"/>
              <w:bottom w:val="nil"/>
              <w:right w:val="nil"/>
            </w:tcBorders>
            <w:shd w:val="clear" w:color="auto" w:fill="auto"/>
            <w:noWrap/>
            <w:vAlign w:val="bottom"/>
            <w:hideMark/>
          </w:tcPr>
          <w:p w14:paraId="2CC970FF" w14:textId="3A431A7A" w:rsidR="001F1831" w:rsidRPr="003F3013" w:rsidRDefault="001F1831" w:rsidP="001F1831">
            <w:pPr>
              <w:spacing w:after="0"/>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single" w:sz="4" w:space="0" w:color="auto"/>
              <w:left w:val="nil"/>
              <w:bottom w:val="single" w:sz="4" w:space="0" w:color="auto"/>
              <w:right w:val="nil"/>
            </w:tcBorders>
            <w:shd w:val="clear" w:color="auto" w:fill="auto"/>
            <w:noWrap/>
            <w:vAlign w:val="bottom"/>
            <w:hideMark/>
          </w:tcPr>
          <w:p w14:paraId="4700A9D9"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Program</w:t>
            </w:r>
          </w:p>
        </w:tc>
        <w:tc>
          <w:tcPr>
            <w:tcW w:w="484" w:type="pct"/>
            <w:tcBorders>
              <w:top w:val="single" w:sz="4" w:space="0" w:color="auto"/>
              <w:left w:val="nil"/>
              <w:bottom w:val="single" w:sz="4" w:space="0" w:color="auto"/>
              <w:right w:val="nil"/>
            </w:tcBorders>
            <w:shd w:val="clear" w:color="000000" w:fill="E6E6E6"/>
            <w:vAlign w:val="bottom"/>
            <w:hideMark/>
          </w:tcPr>
          <w:p w14:paraId="7F80C10C"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2020-21</w:t>
            </w:r>
            <w:r w:rsidRPr="003F3013">
              <w:rPr>
                <w:rFonts w:eastAsia="Times New Roman" w:cs="Arial"/>
                <w:color w:val="auto"/>
                <w:sz w:val="16"/>
                <w:szCs w:val="16"/>
                <w:lang w:eastAsia="en-AU"/>
              </w:rPr>
              <w:br/>
              <w:t>$'000</w:t>
            </w:r>
          </w:p>
        </w:tc>
        <w:tc>
          <w:tcPr>
            <w:tcW w:w="484" w:type="pct"/>
            <w:tcBorders>
              <w:top w:val="single" w:sz="4" w:space="0" w:color="auto"/>
              <w:left w:val="nil"/>
              <w:bottom w:val="single" w:sz="4" w:space="0" w:color="auto"/>
              <w:right w:val="nil"/>
            </w:tcBorders>
            <w:shd w:val="clear" w:color="auto" w:fill="auto"/>
            <w:vAlign w:val="bottom"/>
            <w:hideMark/>
          </w:tcPr>
          <w:p w14:paraId="097AD3B0"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2021-22</w:t>
            </w:r>
            <w:r w:rsidRPr="003F3013">
              <w:rPr>
                <w:rFonts w:eastAsia="Times New Roman" w:cs="Arial"/>
                <w:color w:val="auto"/>
                <w:sz w:val="16"/>
                <w:szCs w:val="16"/>
                <w:lang w:eastAsia="en-AU"/>
              </w:rPr>
              <w:br/>
              <w:t>$'000</w:t>
            </w:r>
          </w:p>
        </w:tc>
        <w:tc>
          <w:tcPr>
            <w:tcW w:w="484" w:type="pct"/>
            <w:tcBorders>
              <w:top w:val="single" w:sz="4" w:space="0" w:color="auto"/>
              <w:left w:val="nil"/>
              <w:bottom w:val="single" w:sz="4" w:space="0" w:color="auto"/>
              <w:right w:val="nil"/>
            </w:tcBorders>
            <w:shd w:val="clear" w:color="000000" w:fill="E6E6E6"/>
            <w:vAlign w:val="bottom"/>
            <w:hideMark/>
          </w:tcPr>
          <w:p w14:paraId="4817B0D2"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2022-23</w:t>
            </w:r>
            <w:r w:rsidRPr="003F3013">
              <w:rPr>
                <w:rFonts w:eastAsia="Times New Roman" w:cs="Arial"/>
                <w:color w:val="auto"/>
                <w:sz w:val="16"/>
                <w:szCs w:val="16"/>
                <w:lang w:eastAsia="en-AU"/>
              </w:rPr>
              <w:br/>
              <w:t>$'000</w:t>
            </w:r>
          </w:p>
        </w:tc>
        <w:tc>
          <w:tcPr>
            <w:tcW w:w="484" w:type="pct"/>
            <w:tcBorders>
              <w:top w:val="single" w:sz="4" w:space="0" w:color="auto"/>
              <w:left w:val="nil"/>
              <w:bottom w:val="single" w:sz="4" w:space="0" w:color="auto"/>
              <w:right w:val="nil"/>
            </w:tcBorders>
            <w:shd w:val="clear" w:color="auto" w:fill="auto"/>
            <w:vAlign w:val="bottom"/>
            <w:hideMark/>
          </w:tcPr>
          <w:p w14:paraId="4FE756BC"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2023-24</w:t>
            </w:r>
            <w:r w:rsidRPr="003F3013">
              <w:rPr>
                <w:rFonts w:eastAsia="Times New Roman" w:cs="Arial"/>
                <w:color w:val="auto"/>
                <w:sz w:val="16"/>
                <w:szCs w:val="16"/>
                <w:lang w:eastAsia="en-AU"/>
              </w:rPr>
              <w:br/>
              <w:t>$'000</w:t>
            </w:r>
          </w:p>
        </w:tc>
        <w:tc>
          <w:tcPr>
            <w:tcW w:w="484" w:type="pct"/>
            <w:tcBorders>
              <w:top w:val="single" w:sz="4" w:space="0" w:color="auto"/>
              <w:left w:val="nil"/>
              <w:bottom w:val="single" w:sz="4" w:space="0" w:color="auto"/>
              <w:right w:val="nil"/>
            </w:tcBorders>
            <w:shd w:val="clear" w:color="000000" w:fill="E6E6E6"/>
            <w:vAlign w:val="bottom"/>
            <w:hideMark/>
          </w:tcPr>
          <w:p w14:paraId="78F73A18"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2024-25</w:t>
            </w:r>
            <w:r w:rsidRPr="003F3013">
              <w:rPr>
                <w:rFonts w:eastAsia="Times New Roman" w:cs="Arial"/>
                <w:color w:val="auto"/>
                <w:sz w:val="16"/>
                <w:szCs w:val="16"/>
                <w:lang w:eastAsia="en-AU"/>
              </w:rPr>
              <w:br/>
              <w:t>$'000</w:t>
            </w:r>
          </w:p>
        </w:tc>
      </w:tr>
      <w:tr w:rsidR="001F1831" w:rsidRPr="003F3013" w14:paraId="23A4316F" w14:textId="77777777" w:rsidTr="001F1831">
        <w:trPr>
          <w:trHeight w:val="237"/>
        </w:trPr>
        <w:tc>
          <w:tcPr>
            <w:tcW w:w="2097" w:type="pct"/>
            <w:tcBorders>
              <w:top w:val="nil"/>
              <w:left w:val="nil"/>
              <w:bottom w:val="nil"/>
              <w:right w:val="nil"/>
            </w:tcBorders>
            <w:shd w:val="clear" w:color="auto" w:fill="auto"/>
            <w:noWrap/>
            <w:vAlign w:val="bottom"/>
            <w:hideMark/>
          </w:tcPr>
          <w:p w14:paraId="29887602"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Receipt measures</w:t>
            </w:r>
          </w:p>
        </w:tc>
        <w:tc>
          <w:tcPr>
            <w:tcW w:w="484" w:type="pct"/>
            <w:tcBorders>
              <w:top w:val="nil"/>
              <w:left w:val="nil"/>
              <w:bottom w:val="nil"/>
              <w:right w:val="nil"/>
            </w:tcBorders>
            <w:shd w:val="clear" w:color="auto" w:fill="auto"/>
            <w:noWrap/>
            <w:vAlign w:val="bottom"/>
            <w:hideMark/>
          </w:tcPr>
          <w:p w14:paraId="7323ED1C"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444C48D4"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3D92B805"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40AA6AD6"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64D17778"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52E12DBB"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r>
      <w:tr w:rsidR="001F1831" w:rsidRPr="003F3013" w14:paraId="13E5D3AC" w14:textId="77777777" w:rsidTr="001F1831">
        <w:trPr>
          <w:trHeight w:val="237"/>
        </w:trPr>
        <w:tc>
          <w:tcPr>
            <w:tcW w:w="2097" w:type="pct"/>
            <w:tcBorders>
              <w:top w:val="nil"/>
              <w:left w:val="nil"/>
              <w:bottom w:val="nil"/>
              <w:right w:val="nil"/>
            </w:tcBorders>
            <w:shd w:val="clear" w:color="auto" w:fill="auto"/>
            <w:vAlign w:val="bottom"/>
            <w:hideMark/>
          </w:tcPr>
          <w:p w14:paraId="1531D99A"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Stronger Consumer Outcomes for Members</w:t>
            </w:r>
          </w:p>
          <w:p w14:paraId="6D092246" w14:textId="22010A40"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of Superannuation</w:t>
            </w:r>
          </w:p>
        </w:tc>
        <w:tc>
          <w:tcPr>
            <w:tcW w:w="484" w:type="pct"/>
            <w:tcBorders>
              <w:top w:val="nil"/>
              <w:left w:val="nil"/>
              <w:bottom w:val="nil"/>
              <w:right w:val="nil"/>
            </w:tcBorders>
            <w:shd w:val="clear" w:color="auto" w:fill="auto"/>
            <w:noWrap/>
            <w:vAlign w:val="bottom"/>
            <w:hideMark/>
          </w:tcPr>
          <w:p w14:paraId="1274C50E" w14:textId="77777777" w:rsidR="001F1831" w:rsidRPr="003F3013" w:rsidRDefault="001F1831" w:rsidP="001F1831">
            <w:pPr>
              <w:spacing w:after="0"/>
              <w:jc w:val="center"/>
              <w:rPr>
                <w:rFonts w:eastAsia="Times New Roman" w:cs="Arial"/>
                <w:color w:val="auto"/>
                <w:sz w:val="16"/>
                <w:szCs w:val="16"/>
                <w:lang w:eastAsia="en-AU"/>
              </w:rPr>
            </w:pPr>
            <w:r w:rsidRPr="003F3013">
              <w:rPr>
                <w:rFonts w:eastAsia="Times New Roman" w:cs="Arial"/>
                <w:color w:val="auto"/>
                <w:sz w:val="16"/>
                <w:szCs w:val="16"/>
                <w:lang w:eastAsia="en-AU"/>
              </w:rPr>
              <w:t xml:space="preserve"> 1.1 </w:t>
            </w:r>
          </w:p>
        </w:tc>
        <w:tc>
          <w:tcPr>
            <w:tcW w:w="484" w:type="pct"/>
            <w:tcBorders>
              <w:top w:val="nil"/>
              <w:left w:val="nil"/>
              <w:bottom w:val="nil"/>
              <w:right w:val="nil"/>
            </w:tcBorders>
            <w:shd w:val="clear" w:color="000000" w:fill="E6E6E6"/>
            <w:noWrap/>
            <w:vAlign w:val="bottom"/>
            <w:hideMark/>
          </w:tcPr>
          <w:p w14:paraId="24B853AC" w14:textId="77777777" w:rsidR="001F1831" w:rsidRPr="003F3013" w:rsidRDefault="001F1831" w:rsidP="001F1831">
            <w:pPr>
              <w:spacing w:after="0"/>
              <w:jc w:val="center"/>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4E6EC00E" w14:textId="77777777" w:rsidR="001F1831" w:rsidRPr="003F3013" w:rsidRDefault="001F1831" w:rsidP="001F1831">
            <w:pPr>
              <w:spacing w:after="0"/>
              <w:jc w:val="center"/>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09CAB95F" w14:textId="77777777" w:rsidR="001F1831" w:rsidRPr="003F3013" w:rsidRDefault="001F1831" w:rsidP="001F1831">
            <w:pPr>
              <w:spacing w:after="0"/>
              <w:jc w:val="center"/>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413634A6" w14:textId="77777777" w:rsidR="001F1831" w:rsidRPr="003F3013" w:rsidRDefault="001F1831" w:rsidP="001F1831">
            <w:pPr>
              <w:spacing w:after="0"/>
              <w:jc w:val="center"/>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578E948D" w14:textId="77777777" w:rsidR="001F1831" w:rsidRPr="003F3013" w:rsidRDefault="001F1831" w:rsidP="001F1831">
            <w:pPr>
              <w:spacing w:after="0"/>
              <w:jc w:val="center"/>
              <w:rPr>
                <w:rFonts w:eastAsia="Times New Roman" w:cs="Arial"/>
                <w:color w:val="auto"/>
                <w:sz w:val="16"/>
                <w:szCs w:val="16"/>
                <w:lang w:eastAsia="en-AU"/>
              </w:rPr>
            </w:pPr>
            <w:r w:rsidRPr="003F3013">
              <w:rPr>
                <w:rFonts w:eastAsia="Times New Roman" w:cs="Arial"/>
                <w:color w:val="auto"/>
                <w:sz w:val="16"/>
                <w:szCs w:val="16"/>
                <w:lang w:eastAsia="en-AU"/>
              </w:rPr>
              <w:t> </w:t>
            </w:r>
          </w:p>
        </w:tc>
      </w:tr>
      <w:tr w:rsidR="001F1831" w:rsidRPr="003F3013" w14:paraId="59B0E84C" w14:textId="77777777" w:rsidTr="001F1831">
        <w:trPr>
          <w:trHeight w:val="237"/>
        </w:trPr>
        <w:tc>
          <w:tcPr>
            <w:tcW w:w="2097" w:type="pct"/>
            <w:tcBorders>
              <w:top w:val="nil"/>
              <w:left w:val="nil"/>
              <w:bottom w:val="nil"/>
              <w:right w:val="nil"/>
            </w:tcBorders>
            <w:shd w:val="clear" w:color="auto" w:fill="auto"/>
            <w:vAlign w:val="bottom"/>
            <w:hideMark/>
          </w:tcPr>
          <w:p w14:paraId="72F616EB" w14:textId="77777777" w:rsidR="001F1831" w:rsidRPr="003F3013" w:rsidRDefault="001F1831" w:rsidP="001F1831">
            <w:pPr>
              <w:spacing w:after="0"/>
              <w:ind w:firstLineChars="100" w:firstLine="160"/>
              <w:jc w:val="left"/>
              <w:rPr>
                <w:rFonts w:eastAsia="Times New Roman" w:cs="Arial"/>
                <w:color w:val="auto"/>
                <w:sz w:val="16"/>
                <w:szCs w:val="16"/>
                <w:lang w:eastAsia="en-AU"/>
              </w:rPr>
            </w:pPr>
            <w:r w:rsidRPr="003F3013">
              <w:rPr>
                <w:rFonts w:eastAsia="Times New Roman" w:cs="Arial"/>
                <w:color w:val="auto"/>
                <w:sz w:val="16"/>
                <w:szCs w:val="16"/>
                <w:lang w:eastAsia="en-AU"/>
              </w:rPr>
              <w:t>Administered receipt</w:t>
            </w:r>
          </w:p>
        </w:tc>
        <w:tc>
          <w:tcPr>
            <w:tcW w:w="484" w:type="pct"/>
            <w:tcBorders>
              <w:top w:val="nil"/>
              <w:left w:val="nil"/>
              <w:bottom w:val="nil"/>
              <w:right w:val="nil"/>
            </w:tcBorders>
            <w:shd w:val="clear" w:color="auto" w:fill="auto"/>
            <w:noWrap/>
            <w:vAlign w:val="bottom"/>
            <w:hideMark/>
          </w:tcPr>
          <w:p w14:paraId="65DA205E" w14:textId="77777777" w:rsidR="001F1831" w:rsidRPr="003F3013" w:rsidRDefault="001F1831" w:rsidP="001F1831">
            <w:pPr>
              <w:spacing w:after="0"/>
              <w:ind w:firstLineChars="100" w:firstLine="16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7C189EAC"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 </w:t>
            </w:r>
          </w:p>
        </w:tc>
        <w:tc>
          <w:tcPr>
            <w:tcW w:w="484" w:type="pct"/>
            <w:tcBorders>
              <w:top w:val="nil"/>
              <w:left w:val="nil"/>
              <w:bottom w:val="nil"/>
              <w:right w:val="nil"/>
            </w:tcBorders>
            <w:shd w:val="clear" w:color="auto" w:fill="auto"/>
            <w:noWrap/>
            <w:vAlign w:val="bottom"/>
            <w:hideMark/>
          </w:tcPr>
          <w:p w14:paraId="578C153C"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1,891 </w:t>
            </w:r>
          </w:p>
        </w:tc>
        <w:tc>
          <w:tcPr>
            <w:tcW w:w="484" w:type="pct"/>
            <w:tcBorders>
              <w:top w:val="nil"/>
              <w:left w:val="nil"/>
              <w:bottom w:val="nil"/>
              <w:right w:val="nil"/>
            </w:tcBorders>
            <w:shd w:val="clear" w:color="000000" w:fill="E6E6E6"/>
            <w:noWrap/>
            <w:vAlign w:val="bottom"/>
            <w:hideMark/>
          </w:tcPr>
          <w:p w14:paraId="3417763D"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2,329 </w:t>
            </w:r>
          </w:p>
        </w:tc>
        <w:tc>
          <w:tcPr>
            <w:tcW w:w="484" w:type="pct"/>
            <w:tcBorders>
              <w:top w:val="nil"/>
              <w:left w:val="nil"/>
              <w:bottom w:val="nil"/>
              <w:right w:val="nil"/>
            </w:tcBorders>
            <w:shd w:val="clear" w:color="auto" w:fill="auto"/>
            <w:noWrap/>
            <w:vAlign w:val="bottom"/>
            <w:hideMark/>
          </w:tcPr>
          <w:p w14:paraId="031FDB07"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2,665 </w:t>
            </w:r>
          </w:p>
        </w:tc>
        <w:tc>
          <w:tcPr>
            <w:tcW w:w="484" w:type="pct"/>
            <w:tcBorders>
              <w:top w:val="nil"/>
              <w:left w:val="nil"/>
              <w:bottom w:val="nil"/>
              <w:right w:val="nil"/>
            </w:tcBorders>
            <w:shd w:val="clear" w:color="000000" w:fill="E6E6E6"/>
            <w:noWrap/>
            <w:vAlign w:val="bottom"/>
            <w:hideMark/>
          </w:tcPr>
          <w:p w14:paraId="78225F5A"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2,676 </w:t>
            </w:r>
          </w:p>
        </w:tc>
      </w:tr>
      <w:tr w:rsidR="001F1831" w:rsidRPr="003F3013" w14:paraId="649593E2" w14:textId="77777777" w:rsidTr="001F1831">
        <w:trPr>
          <w:trHeight w:val="285"/>
        </w:trPr>
        <w:tc>
          <w:tcPr>
            <w:tcW w:w="2097" w:type="pct"/>
            <w:tcBorders>
              <w:top w:val="nil"/>
              <w:left w:val="nil"/>
              <w:bottom w:val="nil"/>
              <w:right w:val="nil"/>
            </w:tcBorders>
            <w:shd w:val="clear" w:color="auto" w:fill="auto"/>
            <w:noWrap/>
            <w:vAlign w:val="bottom"/>
            <w:hideMark/>
          </w:tcPr>
          <w:p w14:paraId="72CC8C0A"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Total </w:t>
            </w:r>
          </w:p>
        </w:tc>
        <w:tc>
          <w:tcPr>
            <w:tcW w:w="484" w:type="pct"/>
            <w:tcBorders>
              <w:top w:val="nil"/>
              <w:left w:val="nil"/>
              <w:bottom w:val="nil"/>
              <w:right w:val="nil"/>
            </w:tcBorders>
            <w:shd w:val="clear" w:color="auto" w:fill="auto"/>
            <w:noWrap/>
            <w:vAlign w:val="bottom"/>
            <w:hideMark/>
          </w:tcPr>
          <w:p w14:paraId="2C255312"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2EF0A1B2"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 </w:t>
            </w:r>
          </w:p>
        </w:tc>
        <w:tc>
          <w:tcPr>
            <w:tcW w:w="484" w:type="pct"/>
            <w:tcBorders>
              <w:top w:val="nil"/>
              <w:left w:val="nil"/>
              <w:bottom w:val="nil"/>
              <w:right w:val="nil"/>
            </w:tcBorders>
            <w:shd w:val="clear" w:color="auto" w:fill="auto"/>
            <w:noWrap/>
            <w:vAlign w:val="bottom"/>
            <w:hideMark/>
          </w:tcPr>
          <w:p w14:paraId="6078006E"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1,891 </w:t>
            </w:r>
          </w:p>
        </w:tc>
        <w:tc>
          <w:tcPr>
            <w:tcW w:w="484" w:type="pct"/>
            <w:tcBorders>
              <w:top w:val="nil"/>
              <w:left w:val="nil"/>
              <w:bottom w:val="nil"/>
              <w:right w:val="nil"/>
            </w:tcBorders>
            <w:shd w:val="clear" w:color="000000" w:fill="E6E6E6"/>
            <w:noWrap/>
            <w:vAlign w:val="bottom"/>
            <w:hideMark/>
          </w:tcPr>
          <w:p w14:paraId="76B562D6"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2,329 </w:t>
            </w:r>
          </w:p>
        </w:tc>
        <w:tc>
          <w:tcPr>
            <w:tcW w:w="484" w:type="pct"/>
            <w:tcBorders>
              <w:top w:val="nil"/>
              <w:left w:val="nil"/>
              <w:bottom w:val="nil"/>
              <w:right w:val="nil"/>
            </w:tcBorders>
            <w:shd w:val="clear" w:color="auto" w:fill="auto"/>
            <w:noWrap/>
            <w:vAlign w:val="bottom"/>
            <w:hideMark/>
          </w:tcPr>
          <w:p w14:paraId="279D94A5"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2,665 </w:t>
            </w:r>
          </w:p>
        </w:tc>
        <w:tc>
          <w:tcPr>
            <w:tcW w:w="484" w:type="pct"/>
            <w:tcBorders>
              <w:top w:val="nil"/>
              <w:left w:val="nil"/>
              <w:bottom w:val="nil"/>
              <w:right w:val="nil"/>
            </w:tcBorders>
            <w:shd w:val="clear" w:color="000000" w:fill="E6E6E6"/>
            <w:noWrap/>
            <w:vAlign w:val="bottom"/>
            <w:hideMark/>
          </w:tcPr>
          <w:p w14:paraId="635C3CCE"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2,676 </w:t>
            </w:r>
          </w:p>
        </w:tc>
      </w:tr>
      <w:tr w:rsidR="001F1831" w:rsidRPr="003F3013" w14:paraId="3158946F" w14:textId="77777777" w:rsidTr="001F1831">
        <w:trPr>
          <w:trHeight w:val="237"/>
        </w:trPr>
        <w:tc>
          <w:tcPr>
            <w:tcW w:w="2097" w:type="pct"/>
            <w:tcBorders>
              <w:top w:val="nil"/>
              <w:left w:val="nil"/>
              <w:bottom w:val="nil"/>
              <w:right w:val="nil"/>
            </w:tcBorders>
            <w:shd w:val="clear" w:color="auto" w:fill="auto"/>
            <w:noWrap/>
            <w:vAlign w:val="bottom"/>
            <w:hideMark/>
          </w:tcPr>
          <w:p w14:paraId="59573844"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Total receipt measures</w:t>
            </w:r>
          </w:p>
        </w:tc>
        <w:tc>
          <w:tcPr>
            <w:tcW w:w="484" w:type="pct"/>
            <w:tcBorders>
              <w:top w:val="nil"/>
              <w:left w:val="nil"/>
              <w:bottom w:val="nil"/>
              <w:right w:val="nil"/>
            </w:tcBorders>
            <w:shd w:val="clear" w:color="auto" w:fill="auto"/>
            <w:noWrap/>
            <w:vAlign w:val="bottom"/>
            <w:hideMark/>
          </w:tcPr>
          <w:p w14:paraId="02166984"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30DA9424"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4C7202D8" w14:textId="77777777" w:rsidR="001F1831" w:rsidRPr="003F3013" w:rsidRDefault="001F1831" w:rsidP="001F1831">
            <w:pPr>
              <w:spacing w:after="0"/>
              <w:jc w:val="righ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4CE3FA2D"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610164CA" w14:textId="77777777" w:rsidR="001F1831" w:rsidRPr="003F3013" w:rsidRDefault="001F1831" w:rsidP="001F1831">
            <w:pPr>
              <w:spacing w:after="0"/>
              <w:jc w:val="righ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0D848E6D"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w:t>
            </w:r>
          </w:p>
        </w:tc>
      </w:tr>
      <w:tr w:rsidR="001F1831" w:rsidRPr="003F3013" w14:paraId="54126015" w14:textId="77777777" w:rsidTr="001F1831">
        <w:trPr>
          <w:trHeight w:val="237"/>
        </w:trPr>
        <w:tc>
          <w:tcPr>
            <w:tcW w:w="2097" w:type="pct"/>
            <w:tcBorders>
              <w:top w:val="nil"/>
              <w:left w:val="nil"/>
              <w:bottom w:val="nil"/>
              <w:right w:val="nil"/>
            </w:tcBorders>
            <w:shd w:val="clear" w:color="auto" w:fill="auto"/>
            <w:noWrap/>
            <w:vAlign w:val="bottom"/>
            <w:hideMark/>
          </w:tcPr>
          <w:p w14:paraId="2E433FF1" w14:textId="77777777" w:rsidR="001F1831" w:rsidRPr="003F3013" w:rsidRDefault="001F1831" w:rsidP="001F1831">
            <w:pPr>
              <w:spacing w:after="0"/>
              <w:ind w:firstLineChars="100" w:firstLine="160"/>
              <w:jc w:val="left"/>
              <w:rPr>
                <w:rFonts w:eastAsia="Times New Roman" w:cs="Arial"/>
                <w:color w:val="auto"/>
                <w:sz w:val="16"/>
                <w:szCs w:val="16"/>
                <w:lang w:eastAsia="en-AU"/>
              </w:rPr>
            </w:pPr>
            <w:r w:rsidRPr="003F3013">
              <w:rPr>
                <w:rFonts w:eastAsia="Times New Roman" w:cs="Arial"/>
                <w:color w:val="auto"/>
                <w:sz w:val="16"/>
                <w:szCs w:val="16"/>
                <w:lang w:eastAsia="en-AU"/>
              </w:rPr>
              <w:t>Administered</w:t>
            </w:r>
          </w:p>
        </w:tc>
        <w:tc>
          <w:tcPr>
            <w:tcW w:w="484" w:type="pct"/>
            <w:tcBorders>
              <w:top w:val="nil"/>
              <w:left w:val="nil"/>
              <w:bottom w:val="nil"/>
              <w:right w:val="nil"/>
            </w:tcBorders>
            <w:shd w:val="clear" w:color="auto" w:fill="auto"/>
            <w:noWrap/>
            <w:vAlign w:val="bottom"/>
            <w:hideMark/>
          </w:tcPr>
          <w:p w14:paraId="64F8BD51" w14:textId="77777777" w:rsidR="001F1831" w:rsidRPr="003F3013" w:rsidRDefault="001F1831" w:rsidP="001F1831">
            <w:pPr>
              <w:spacing w:after="0"/>
              <w:ind w:firstLineChars="100" w:firstLine="16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3583B22E"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 </w:t>
            </w:r>
          </w:p>
        </w:tc>
        <w:tc>
          <w:tcPr>
            <w:tcW w:w="484" w:type="pct"/>
            <w:tcBorders>
              <w:top w:val="nil"/>
              <w:left w:val="nil"/>
              <w:bottom w:val="nil"/>
              <w:right w:val="nil"/>
            </w:tcBorders>
            <w:shd w:val="clear" w:color="auto" w:fill="auto"/>
            <w:noWrap/>
            <w:vAlign w:val="bottom"/>
            <w:hideMark/>
          </w:tcPr>
          <w:p w14:paraId="18575BD1"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1,891 </w:t>
            </w:r>
          </w:p>
        </w:tc>
        <w:tc>
          <w:tcPr>
            <w:tcW w:w="484" w:type="pct"/>
            <w:tcBorders>
              <w:top w:val="nil"/>
              <w:left w:val="nil"/>
              <w:bottom w:val="nil"/>
              <w:right w:val="nil"/>
            </w:tcBorders>
            <w:shd w:val="clear" w:color="000000" w:fill="E6E6E6"/>
            <w:noWrap/>
            <w:vAlign w:val="bottom"/>
            <w:hideMark/>
          </w:tcPr>
          <w:p w14:paraId="6A6A10E1"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2,329 </w:t>
            </w:r>
          </w:p>
        </w:tc>
        <w:tc>
          <w:tcPr>
            <w:tcW w:w="484" w:type="pct"/>
            <w:tcBorders>
              <w:top w:val="nil"/>
              <w:left w:val="nil"/>
              <w:bottom w:val="nil"/>
              <w:right w:val="nil"/>
            </w:tcBorders>
            <w:shd w:val="clear" w:color="auto" w:fill="auto"/>
            <w:noWrap/>
            <w:vAlign w:val="bottom"/>
            <w:hideMark/>
          </w:tcPr>
          <w:p w14:paraId="02166B2C"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2,665 </w:t>
            </w:r>
          </w:p>
        </w:tc>
        <w:tc>
          <w:tcPr>
            <w:tcW w:w="484" w:type="pct"/>
            <w:tcBorders>
              <w:top w:val="nil"/>
              <w:left w:val="nil"/>
              <w:bottom w:val="nil"/>
              <w:right w:val="nil"/>
            </w:tcBorders>
            <w:shd w:val="clear" w:color="000000" w:fill="E6E6E6"/>
            <w:noWrap/>
            <w:vAlign w:val="bottom"/>
            <w:hideMark/>
          </w:tcPr>
          <w:p w14:paraId="311A2BE3"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2,676 </w:t>
            </w:r>
          </w:p>
        </w:tc>
      </w:tr>
      <w:tr w:rsidR="001F1831" w:rsidRPr="003F3013" w14:paraId="4FC9ACCB" w14:textId="77777777" w:rsidTr="001F1831">
        <w:trPr>
          <w:trHeight w:val="285"/>
        </w:trPr>
        <w:tc>
          <w:tcPr>
            <w:tcW w:w="2097" w:type="pct"/>
            <w:tcBorders>
              <w:top w:val="nil"/>
              <w:left w:val="nil"/>
              <w:bottom w:val="nil"/>
              <w:right w:val="nil"/>
            </w:tcBorders>
            <w:shd w:val="clear" w:color="auto" w:fill="auto"/>
            <w:noWrap/>
            <w:vAlign w:val="bottom"/>
            <w:hideMark/>
          </w:tcPr>
          <w:p w14:paraId="5FFCF472"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Total</w:t>
            </w:r>
          </w:p>
        </w:tc>
        <w:tc>
          <w:tcPr>
            <w:tcW w:w="484" w:type="pct"/>
            <w:tcBorders>
              <w:top w:val="nil"/>
              <w:left w:val="nil"/>
              <w:bottom w:val="nil"/>
              <w:right w:val="nil"/>
            </w:tcBorders>
            <w:shd w:val="clear" w:color="auto" w:fill="auto"/>
            <w:noWrap/>
            <w:vAlign w:val="bottom"/>
            <w:hideMark/>
          </w:tcPr>
          <w:p w14:paraId="063AAC0F"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13E76B7B"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 </w:t>
            </w:r>
          </w:p>
        </w:tc>
        <w:tc>
          <w:tcPr>
            <w:tcW w:w="484" w:type="pct"/>
            <w:tcBorders>
              <w:top w:val="nil"/>
              <w:left w:val="nil"/>
              <w:bottom w:val="nil"/>
              <w:right w:val="nil"/>
            </w:tcBorders>
            <w:shd w:val="clear" w:color="auto" w:fill="auto"/>
            <w:noWrap/>
            <w:vAlign w:val="bottom"/>
            <w:hideMark/>
          </w:tcPr>
          <w:p w14:paraId="301311B8"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1,891 </w:t>
            </w:r>
          </w:p>
        </w:tc>
        <w:tc>
          <w:tcPr>
            <w:tcW w:w="484" w:type="pct"/>
            <w:tcBorders>
              <w:top w:val="nil"/>
              <w:left w:val="nil"/>
              <w:bottom w:val="nil"/>
              <w:right w:val="nil"/>
            </w:tcBorders>
            <w:shd w:val="clear" w:color="000000" w:fill="E6E6E6"/>
            <w:noWrap/>
            <w:vAlign w:val="bottom"/>
            <w:hideMark/>
          </w:tcPr>
          <w:p w14:paraId="669B96FC"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2,329 </w:t>
            </w:r>
          </w:p>
        </w:tc>
        <w:tc>
          <w:tcPr>
            <w:tcW w:w="484" w:type="pct"/>
            <w:tcBorders>
              <w:top w:val="nil"/>
              <w:left w:val="nil"/>
              <w:bottom w:val="nil"/>
              <w:right w:val="nil"/>
            </w:tcBorders>
            <w:shd w:val="clear" w:color="auto" w:fill="auto"/>
            <w:noWrap/>
            <w:vAlign w:val="bottom"/>
            <w:hideMark/>
          </w:tcPr>
          <w:p w14:paraId="79FC24E6"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2,665 </w:t>
            </w:r>
          </w:p>
        </w:tc>
        <w:tc>
          <w:tcPr>
            <w:tcW w:w="484" w:type="pct"/>
            <w:tcBorders>
              <w:top w:val="nil"/>
              <w:left w:val="nil"/>
              <w:bottom w:val="nil"/>
              <w:right w:val="nil"/>
            </w:tcBorders>
            <w:shd w:val="clear" w:color="000000" w:fill="E6E6E6"/>
            <w:noWrap/>
            <w:vAlign w:val="bottom"/>
            <w:hideMark/>
          </w:tcPr>
          <w:p w14:paraId="59208636"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2,676 </w:t>
            </w:r>
          </w:p>
        </w:tc>
      </w:tr>
      <w:tr w:rsidR="001F1831" w:rsidRPr="003F3013" w14:paraId="45A78D2B" w14:textId="77777777" w:rsidTr="001F1831">
        <w:trPr>
          <w:trHeight w:val="237"/>
        </w:trPr>
        <w:tc>
          <w:tcPr>
            <w:tcW w:w="2097" w:type="pct"/>
            <w:tcBorders>
              <w:top w:val="nil"/>
              <w:left w:val="nil"/>
              <w:bottom w:val="nil"/>
              <w:right w:val="nil"/>
            </w:tcBorders>
            <w:shd w:val="clear" w:color="auto" w:fill="auto"/>
            <w:vAlign w:val="bottom"/>
            <w:hideMark/>
          </w:tcPr>
          <w:p w14:paraId="06F6C629"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Payment measures</w:t>
            </w:r>
          </w:p>
        </w:tc>
        <w:tc>
          <w:tcPr>
            <w:tcW w:w="484" w:type="pct"/>
            <w:tcBorders>
              <w:top w:val="nil"/>
              <w:left w:val="nil"/>
              <w:bottom w:val="nil"/>
              <w:right w:val="nil"/>
            </w:tcBorders>
            <w:shd w:val="clear" w:color="auto" w:fill="auto"/>
            <w:noWrap/>
            <w:vAlign w:val="bottom"/>
            <w:hideMark/>
          </w:tcPr>
          <w:p w14:paraId="441CC146"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1E2F84FB"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200D4FE7"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39BF05AB"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70494629"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46159951"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r>
      <w:tr w:rsidR="001F1831" w:rsidRPr="003F3013" w14:paraId="2E60D108" w14:textId="77777777" w:rsidTr="001F1831">
        <w:trPr>
          <w:trHeight w:val="237"/>
        </w:trPr>
        <w:tc>
          <w:tcPr>
            <w:tcW w:w="2097" w:type="pct"/>
            <w:tcBorders>
              <w:top w:val="nil"/>
              <w:left w:val="nil"/>
              <w:bottom w:val="nil"/>
              <w:right w:val="nil"/>
            </w:tcBorders>
            <w:shd w:val="clear" w:color="auto" w:fill="auto"/>
            <w:vAlign w:val="bottom"/>
            <w:hideMark/>
          </w:tcPr>
          <w:p w14:paraId="2F95A00D"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Stronger Consumer Outcomes for Members</w:t>
            </w:r>
          </w:p>
          <w:p w14:paraId="47DF952B" w14:textId="1A29EDC3"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of Superannuation</w:t>
            </w:r>
          </w:p>
        </w:tc>
        <w:tc>
          <w:tcPr>
            <w:tcW w:w="484" w:type="pct"/>
            <w:tcBorders>
              <w:top w:val="nil"/>
              <w:left w:val="nil"/>
              <w:bottom w:val="nil"/>
              <w:right w:val="nil"/>
            </w:tcBorders>
            <w:shd w:val="clear" w:color="auto" w:fill="auto"/>
            <w:noWrap/>
            <w:vAlign w:val="bottom"/>
            <w:hideMark/>
          </w:tcPr>
          <w:p w14:paraId="676A77B3"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7A7EE923"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71C2DF1E"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5BF68865"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1BDB6655"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4AF183F9"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r>
      <w:tr w:rsidR="001F1831" w:rsidRPr="003F3013" w14:paraId="22E946F8" w14:textId="77777777" w:rsidTr="001F1831">
        <w:trPr>
          <w:trHeight w:val="237"/>
        </w:trPr>
        <w:tc>
          <w:tcPr>
            <w:tcW w:w="2097" w:type="pct"/>
            <w:tcBorders>
              <w:top w:val="nil"/>
              <w:left w:val="nil"/>
              <w:bottom w:val="nil"/>
              <w:right w:val="nil"/>
            </w:tcBorders>
            <w:shd w:val="clear" w:color="auto" w:fill="auto"/>
            <w:vAlign w:val="bottom"/>
            <w:hideMark/>
          </w:tcPr>
          <w:p w14:paraId="533FF71F" w14:textId="77777777" w:rsidR="001F1831" w:rsidRPr="003F3013" w:rsidRDefault="001F1831" w:rsidP="001F1831">
            <w:pPr>
              <w:spacing w:after="0"/>
              <w:ind w:firstLineChars="100" w:firstLine="160"/>
              <w:jc w:val="left"/>
              <w:rPr>
                <w:rFonts w:eastAsia="Times New Roman" w:cs="Arial"/>
                <w:color w:val="auto"/>
                <w:sz w:val="16"/>
                <w:szCs w:val="16"/>
                <w:lang w:eastAsia="en-AU"/>
              </w:rPr>
            </w:pPr>
            <w:r w:rsidRPr="003F3013">
              <w:rPr>
                <w:rFonts w:eastAsia="Times New Roman" w:cs="Arial"/>
                <w:color w:val="auto"/>
                <w:sz w:val="16"/>
                <w:szCs w:val="16"/>
                <w:lang w:eastAsia="en-AU"/>
              </w:rPr>
              <w:t>Departmental payment</w:t>
            </w:r>
          </w:p>
        </w:tc>
        <w:tc>
          <w:tcPr>
            <w:tcW w:w="484" w:type="pct"/>
            <w:tcBorders>
              <w:top w:val="nil"/>
              <w:left w:val="nil"/>
              <w:bottom w:val="nil"/>
              <w:right w:val="nil"/>
            </w:tcBorders>
            <w:shd w:val="clear" w:color="auto" w:fill="auto"/>
            <w:noWrap/>
            <w:vAlign w:val="bottom"/>
            <w:hideMark/>
          </w:tcPr>
          <w:p w14:paraId="57F84A95" w14:textId="77777777" w:rsidR="001F1831" w:rsidRPr="003F3013" w:rsidRDefault="001F1831" w:rsidP="001F1831">
            <w:pPr>
              <w:spacing w:after="0"/>
              <w:jc w:val="center"/>
              <w:rPr>
                <w:rFonts w:eastAsia="Times New Roman" w:cs="Arial"/>
                <w:color w:val="auto"/>
                <w:sz w:val="16"/>
                <w:szCs w:val="16"/>
                <w:lang w:eastAsia="en-AU"/>
              </w:rPr>
            </w:pPr>
            <w:r w:rsidRPr="003F3013">
              <w:rPr>
                <w:rFonts w:eastAsia="Times New Roman" w:cs="Arial"/>
                <w:color w:val="auto"/>
                <w:sz w:val="16"/>
                <w:szCs w:val="16"/>
                <w:lang w:eastAsia="en-AU"/>
              </w:rPr>
              <w:t xml:space="preserve"> 1.1 </w:t>
            </w:r>
          </w:p>
        </w:tc>
        <w:tc>
          <w:tcPr>
            <w:tcW w:w="484" w:type="pct"/>
            <w:tcBorders>
              <w:top w:val="nil"/>
              <w:left w:val="nil"/>
              <w:bottom w:val="nil"/>
              <w:right w:val="nil"/>
            </w:tcBorders>
            <w:shd w:val="clear" w:color="000000" w:fill="E6E6E6"/>
            <w:noWrap/>
            <w:vAlign w:val="bottom"/>
            <w:hideMark/>
          </w:tcPr>
          <w:p w14:paraId="6B522CAA"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 </w:t>
            </w:r>
          </w:p>
        </w:tc>
        <w:tc>
          <w:tcPr>
            <w:tcW w:w="484" w:type="pct"/>
            <w:tcBorders>
              <w:top w:val="nil"/>
              <w:left w:val="nil"/>
              <w:bottom w:val="nil"/>
              <w:right w:val="nil"/>
            </w:tcBorders>
            <w:shd w:val="clear" w:color="auto" w:fill="auto"/>
            <w:noWrap/>
            <w:vAlign w:val="bottom"/>
            <w:hideMark/>
          </w:tcPr>
          <w:p w14:paraId="4A885D3C"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1,891 </w:t>
            </w:r>
          </w:p>
        </w:tc>
        <w:tc>
          <w:tcPr>
            <w:tcW w:w="484" w:type="pct"/>
            <w:tcBorders>
              <w:top w:val="nil"/>
              <w:left w:val="nil"/>
              <w:bottom w:val="nil"/>
              <w:right w:val="nil"/>
            </w:tcBorders>
            <w:shd w:val="clear" w:color="000000" w:fill="E6E6E6"/>
            <w:noWrap/>
            <w:vAlign w:val="bottom"/>
            <w:hideMark/>
          </w:tcPr>
          <w:p w14:paraId="6C6D9ACA"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2,329 </w:t>
            </w:r>
          </w:p>
        </w:tc>
        <w:tc>
          <w:tcPr>
            <w:tcW w:w="484" w:type="pct"/>
            <w:tcBorders>
              <w:top w:val="nil"/>
              <w:left w:val="nil"/>
              <w:bottom w:val="nil"/>
              <w:right w:val="nil"/>
            </w:tcBorders>
            <w:shd w:val="clear" w:color="auto" w:fill="auto"/>
            <w:noWrap/>
            <w:vAlign w:val="bottom"/>
            <w:hideMark/>
          </w:tcPr>
          <w:p w14:paraId="43D828F9"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2,665 </w:t>
            </w:r>
          </w:p>
        </w:tc>
        <w:tc>
          <w:tcPr>
            <w:tcW w:w="484" w:type="pct"/>
            <w:tcBorders>
              <w:top w:val="nil"/>
              <w:left w:val="nil"/>
              <w:bottom w:val="nil"/>
              <w:right w:val="nil"/>
            </w:tcBorders>
            <w:shd w:val="clear" w:color="000000" w:fill="E6E6E6"/>
            <w:noWrap/>
            <w:vAlign w:val="bottom"/>
            <w:hideMark/>
          </w:tcPr>
          <w:p w14:paraId="56A8C062"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2,676 </w:t>
            </w:r>
          </w:p>
        </w:tc>
      </w:tr>
      <w:tr w:rsidR="001F1831" w:rsidRPr="003F3013" w14:paraId="4C08AD3D" w14:textId="77777777" w:rsidTr="001F1831">
        <w:trPr>
          <w:trHeight w:val="285"/>
        </w:trPr>
        <w:tc>
          <w:tcPr>
            <w:tcW w:w="2097" w:type="pct"/>
            <w:tcBorders>
              <w:top w:val="nil"/>
              <w:left w:val="nil"/>
              <w:bottom w:val="nil"/>
              <w:right w:val="nil"/>
            </w:tcBorders>
            <w:shd w:val="clear" w:color="auto" w:fill="auto"/>
            <w:noWrap/>
            <w:vAlign w:val="bottom"/>
            <w:hideMark/>
          </w:tcPr>
          <w:p w14:paraId="6A5469FD"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Total </w:t>
            </w:r>
          </w:p>
        </w:tc>
        <w:tc>
          <w:tcPr>
            <w:tcW w:w="484" w:type="pct"/>
            <w:tcBorders>
              <w:top w:val="nil"/>
              <w:left w:val="nil"/>
              <w:bottom w:val="nil"/>
              <w:right w:val="nil"/>
            </w:tcBorders>
            <w:shd w:val="clear" w:color="auto" w:fill="auto"/>
            <w:noWrap/>
            <w:vAlign w:val="bottom"/>
            <w:hideMark/>
          </w:tcPr>
          <w:p w14:paraId="4372FD34"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2D689C1E"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 </w:t>
            </w:r>
          </w:p>
        </w:tc>
        <w:tc>
          <w:tcPr>
            <w:tcW w:w="484" w:type="pct"/>
            <w:tcBorders>
              <w:top w:val="nil"/>
              <w:left w:val="nil"/>
              <w:bottom w:val="nil"/>
              <w:right w:val="nil"/>
            </w:tcBorders>
            <w:shd w:val="clear" w:color="auto" w:fill="auto"/>
            <w:noWrap/>
            <w:vAlign w:val="bottom"/>
            <w:hideMark/>
          </w:tcPr>
          <w:p w14:paraId="2139F7C7"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1,891 </w:t>
            </w:r>
          </w:p>
        </w:tc>
        <w:tc>
          <w:tcPr>
            <w:tcW w:w="484" w:type="pct"/>
            <w:tcBorders>
              <w:top w:val="nil"/>
              <w:left w:val="nil"/>
              <w:bottom w:val="nil"/>
              <w:right w:val="nil"/>
            </w:tcBorders>
            <w:shd w:val="clear" w:color="000000" w:fill="E6E6E6"/>
            <w:noWrap/>
            <w:vAlign w:val="bottom"/>
            <w:hideMark/>
          </w:tcPr>
          <w:p w14:paraId="47E34EB5"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2,329 </w:t>
            </w:r>
          </w:p>
        </w:tc>
        <w:tc>
          <w:tcPr>
            <w:tcW w:w="484" w:type="pct"/>
            <w:tcBorders>
              <w:top w:val="nil"/>
              <w:left w:val="nil"/>
              <w:bottom w:val="nil"/>
              <w:right w:val="nil"/>
            </w:tcBorders>
            <w:shd w:val="clear" w:color="auto" w:fill="auto"/>
            <w:noWrap/>
            <w:vAlign w:val="bottom"/>
            <w:hideMark/>
          </w:tcPr>
          <w:p w14:paraId="764F3F2E"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2,665 </w:t>
            </w:r>
          </w:p>
        </w:tc>
        <w:tc>
          <w:tcPr>
            <w:tcW w:w="484" w:type="pct"/>
            <w:tcBorders>
              <w:top w:val="nil"/>
              <w:left w:val="nil"/>
              <w:bottom w:val="nil"/>
              <w:right w:val="nil"/>
            </w:tcBorders>
            <w:shd w:val="clear" w:color="000000" w:fill="E6E6E6"/>
            <w:noWrap/>
            <w:vAlign w:val="bottom"/>
            <w:hideMark/>
          </w:tcPr>
          <w:p w14:paraId="5937C836"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2,676 </w:t>
            </w:r>
          </w:p>
        </w:tc>
      </w:tr>
      <w:tr w:rsidR="001F1831" w:rsidRPr="003F3013" w14:paraId="2567F9A3" w14:textId="77777777" w:rsidTr="001F1831">
        <w:trPr>
          <w:trHeight w:val="237"/>
        </w:trPr>
        <w:tc>
          <w:tcPr>
            <w:tcW w:w="2097" w:type="pct"/>
            <w:tcBorders>
              <w:top w:val="nil"/>
              <w:left w:val="nil"/>
              <w:bottom w:val="nil"/>
              <w:right w:val="nil"/>
            </w:tcBorders>
            <w:shd w:val="clear" w:color="auto" w:fill="auto"/>
            <w:noWrap/>
            <w:vAlign w:val="bottom"/>
            <w:hideMark/>
          </w:tcPr>
          <w:p w14:paraId="03EACD0A"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Total payment measures</w:t>
            </w:r>
          </w:p>
        </w:tc>
        <w:tc>
          <w:tcPr>
            <w:tcW w:w="484" w:type="pct"/>
            <w:tcBorders>
              <w:top w:val="nil"/>
              <w:left w:val="nil"/>
              <w:bottom w:val="nil"/>
              <w:right w:val="nil"/>
            </w:tcBorders>
            <w:shd w:val="clear" w:color="auto" w:fill="auto"/>
            <w:noWrap/>
            <w:vAlign w:val="bottom"/>
            <w:hideMark/>
          </w:tcPr>
          <w:p w14:paraId="61C89DDF"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685D586A"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6015C3A1"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3DFEF19F"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nil"/>
              <w:right w:val="nil"/>
            </w:tcBorders>
            <w:shd w:val="clear" w:color="auto" w:fill="auto"/>
            <w:noWrap/>
            <w:vAlign w:val="bottom"/>
            <w:hideMark/>
          </w:tcPr>
          <w:p w14:paraId="78883D72" w14:textId="77777777" w:rsidR="001F1831" w:rsidRPr="003F3013" w:rsidRDefault="001F1831" w:rsidP="001F1831">
            <w:pPr>
              <w:spacing w:after="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1DAA32B5"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r>
      <w:tr w:rsidR="001F1831" w:rsidRPr="003F3013" w14:paraId="4F32B83C" w14:textId="77777777" w:rsidTr="001F1831">
        <w:trPr>
          <w:trHeight w:val="237"/>
        </w:trPr>
        <w:tc>
          <w:tcPr>
            <w:tcW w:w="2097" w:type="pct"/>
            <w:tcBorders>
              <w:top w:val="nil"/>
              <w:left w:val="nil"/>
              <w:bottom w:val="nil"/>
              <w:right w:val="nil"/>
            </w:tcBorders>
            <w:shd w:val="clear" w:color="auto" w:fill="auto"/>
            <w:noWrap/>
            <w:vAlign w:val="bottom"/>
            <w:hideMark/>
          </w:tcPr>
          <w:p w14:paraId="20E09851" w14:textId="77777777" w:rsidR="001F1831" w:rsidRPr="003F3013" w:rsidRDefault="001F1831" w:rsidP="001F1831">
            <w:pPr>
              <w:spacing w:after="0"/>
              <w:ind w:firstLineChars="100" w:firstLine="160"/>
              <w:jc w:val="left"/>
              <w:rPr>
                <w:rFonts w:eastAsia="Times New Roman" w:cs="Arial"/>
                <w:color w:val="auto"/>
                <w:sz w:val="16"/>
                <w:szCs w:val="16"/>
                <w:lang w:eastAsia="en-AU"/>
              </w:rPr>
            </w:pPr>
            <w:r w:rsidRPr="003F3013">
              <w:rPr>
                <w:rFonts w:eastAsia="Times New Roman" w:cs="Arial"/>
                <w:color w:val="auto"/>
                <w:sz w:val="16"/>
                <w:szCs w:val="16"/>
                <w:lang w:eastAsia="en-AU"/>
              </w:rPr>
              <w:t>Departmental</w:t>
            </w:r>
          </w:p>
        </w:tc>
        <w:tc>
          <w:tcPr>
            <w:tcW w:w="484" w:type="pct"/>
            <w:tcBorders>
              <w:top w:val="nil"/>
              <w:left w:val="nil"/>
              <w:bottom w:val="nil"/>
              <w:right w:val="nil"/>
            </w:tcBorders>
            <w:shd w:val="clear" w:color="auto" w:fill="auto"/>
            <w:noWrap/>
            <w:vAlign w:val="bottom"/>
            <w:hideMark/>
          </w:tcPr>
          <w:p w14:paraId="63401472" w14:textId="77777777" w:rsidR="001F1831" w:rsidRPr="003F3013" w:rsidRDefault="001F1831" w:rsidP="001F1831">
            <w:pPr>
              <w:spacing w:after="0"/>
              <w:ind w:firstLineChars="100" w:firstLine="160"/>
              <w:jc w:val="left"/>
              <w:rPr>
                <w:rFonts w:eastAsia="Times New Roman" w:cs="Arial"/>
                <w:color w:val="auto"/>
                <w:sz w:val="16"/>
                <w:szCs w:val="16"/>
                <w:lang w:eastAsia="en-AU"/>
              </w:rPr>
            </w:pPr>
          </w:p>
        </w:tc>
        <w:tc>
          <w:tcPr>
            <w:tcW w:w="484" w:type="pct"/>
            <w:tcBorders>
              <w:top w:val="nil"/>
              <w:left w:val="nil"/>
              <w:bottom w:val="nil"/>
              <w:right w:val="nil"/>
            </w:tcBorders>
            <w:shd w:val="clear" w:color="000000" w:fill="E6E6E6"/>
            <w:noWrap/>
            <w:vAlign w:val="bottom"/>
            <w:hideMark/>
          </w:tcPr>
          <w:p w14:paraId="2C5D3C05"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 </w:t>
            </w:r>
          </w:p>
        </w:tc>
        <w:tc>
          <w:tcPr>
            <w:tcW w:w="484" w:type="pct"/>
            <w:tcBorders>
              <w:top w:val="nil"/>
              <w:left w:val="nil"/>
              <w:bottom w:val="nil"/>
              <w:right w:val="nil"/>
            </w:tcBorders>
            <w:shd w:val="clear" w:color="auto" w:fill="auto"/>
            <w:noWrap/>
            <w:vAlign w:val="bottom"/>
            <w:hideMark/>
          </w:tcPr>
          <w:p w14:paraId="0FD46728"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1,891 </w:t>
            </w:r>
          </w:p>
        </w:tc>
        <w:tc>
          <w:tcPr>
            <w:tcW w:w="484" w:type="pct"/>
            <w:tcBorders>
              <w:top w:val="nil"/>
              <w:left w:val="nil"/>
              <w:bottom w:val="nil"/>
              <w:right w:val="nil"/>
            </w:tcBorders>
            <w:shd w:val="clear" w:color="000000" w:fill="E6E6E6"/>
            <w:noWrap/>
            <w:vAlign w:val="bottom"/>
            <w:hideMark/>
          </w:tcPr>
          <w:p w14:paraId="62862D1D"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2,329 </w:t>
            </w:r>
          </w:p>
        </w:tc>
        <w:tc>
          <w:tcPr>
            <w:tcW w:w="484" w:type="pct"/>
            <w:tcBorders>
              <w:top w:val="nil"/>
              <w:left w:val="nil"/>
              <w:bottom w:val="nil"/>
              <w:right w:val="nil"/>
            </w:tcBorders>
            <w:shd w:val="clear" w:color="auto" w:fill="auto"/>
            <w:noWrap/>
            <w:vAlign w:val="bottom"/>
            <w:hideMark/>
          </w:tcPr>
          <w:p w14:paraId="507DAB98" w14:textId="77777777"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2,665 </w:t>
            </w:r>
          </w:p>
        </w:tc>
        <w:tc>
          <w:tcPr>
            <w:tcW w:w="484" w:type="pct"/>
            <w:tcBorders>
              <w:top w:val="nil"/>
              <w:left w:val="nil"/>
              <w:bottom w:val="nil"/>
              <w:right w:val="nil"/>
            </w:tcBorders>
            <w:shd w:val="clear" w:color="000000" w:fill="E6E6E6"/>
            <w:noWrap/>
            <w:vAlign w:val="bottom"/>
            <w:hideMark/>
          </w:tcPr>
          <w:p w14:paraId="002CBBF1"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xml:space="preserve">      2,676 </w:t>
            </w:r>
          </w:p>
        </w:tc>
      </w:tr>
      <w:tr w:rsidR="001F1831" w:rsidRPr="003F3013" w14:paraId="143D3383" w14:textId="77777777" w:rsidTr="001F1831">
        <w:trPr>
          <w:trHeight w:val="285"/>
        </w:trPr>
        <w:tc>
          <w:tcPr>
            <w:tcW w:w="2097" w:type="pct"/>
            <w:tcBorders>
              <w:top w:val="nil"/>
              <w:left w:val="nil"/>
              <w:bottom w:val="single" w:sz="4" w:space="0" w:color="auto"/>
              <w:right w:val="nil"/>
            </w:tcBorders>
            <w:shd w:val="clear" w:color="auto" w:fill="auto"/>
            <w:noWrap/>
            <w:vAlign w:val="bottom"/>
            <w:hideMark/>
          </w:tcPr>
          <w:p w14:paraId="67D2ABAA"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Total</w:t>
            </w:r>
          </w:p>
        </w:tc>
        <w:tc>
          <w:tcPr>
            <w:tcW w:w="484" w:type="pct"/>
            <w:tcBorders>
              <w:top w:val="nil"/>
              <w:left w:val="nil"/>
              <w:bottom w:val="single" w:sz="4" w:space="0" w:color="auto"/>
              <w:right w:val="nil"/>
            </w:tcBorders>
            <w:shd w:val="clear" w:color="auto" w:fill="auto"/>
            <w:noWrap/>
            <w:vAlign w:val="bottom"/>
            <w:hideMark/>
          </w:tcPr>
          <w:p w14:paraId="18108721" w14:textId="77777777" w:rsidR="001F1831" w:rsidRPr="003F3013" w:rsidRDefault="001F1831" w:rsidP="001F1831">
            <w:pPr>
              <w:spacing w:after="0"/>
              <w:jc w:val="left"/>
              <w:rPr>
                <w:rFonts w:eastAsia="Times New Roman" w:cs="Arial"/>
                <w:color w:val="auto"/>
                <w:sz w:val="16"/>
                <w:szCs w:val="16"/>
                <w:lang w:eastAsia="en-AU"/>
              </w:rPr>
            </w:pPr>
            <w:r w:rsidRPr="003F3013">
              <w:rPr>
                <w:rFonts w:eastAsia="Times New Roman" w:cs="Arial"/>
                <w:color w:val="auto"/>
                <w:sz w:val="16"/>
                <w:szCs w:val="16"/>
                <w:lang w:eastAsia="en-AU"/>
              </w:rPr>
              <w:t> </w:t>
            </w:r>
          </w:p>
        </w:tc>
        <w:tc>
          <w:tcPr>
            <w:tcW w:w="484" w:type="pct"/>
            <w:tcBorders>
              <w:top w:val="nil"/>
              <w:left w:val="nil"/>
              <w:bottom w:val="single" w:sz="4" w:space="0" w:color="auto"/>
              <w:right w:val="nil"/>
            </w:tcBorders>
            <w:shd w:val="clear" w:color="000000" w:fill="E6E6E6"/>
            <w:noWrap/>
            <w:vAlign w:val="bottom"/>
            <w:hideMark/>
          </w:tcPr>
          <w:p w14:paraId="4D1CC5D1" w14:textId="58412075"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 </w:t>
            </w:r>
          </w:p>
        </w:tc>
        <w:tc>
          <w:tcPr>
            <w:tcW w:w="484" w:type="pct"/>
            <w:tcBorders>
              <w:top w:val="nil"/>
              <w:left w:val="nil"/>
              <w:bottom w:val="single" w:sz="4" w:space="0" w:color="auto"/>
              <w:right w:val="nil"/>
            </w:tcBorders>
            <w:shd w:val="clear" w:color="auto" w:fill="auto"/>
            <w:noWrap/>
            <w:vAlign w:val="bottom"/>
            <w:hideMark/>
          </w:tcPr>
          <w:p w14:paraId="63DDD20B" w14:textId="3BD888F2"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1,891 </w:t>
            </w:r>
          </w:p>
        </w:tc>
        <w:tc>
          <w:tcPr>
            <w:tcW w:w="484" w:type="pct"/>
            <w:tcBorders>
              <w:top w:val="nil"/>
              <w:left w:val="nil"/>
              <w:bottom w:val="single" w:sz="4" w:space="0" w:color="auto"/>
              <w:right w:val="nil"/>
            </w:tcBorders>
            <w:shd w:val="clear" w:color="000000" w:fill="E6E6E6"/>
            <w:noWrap/>
            <w:vAlign w:val="bottom"/>
            <w:hideMark/>
          </w:tcPr>
          <w:p w14:paraId="4FCFD825" w14:textId="1707D6CE"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2,329 </w:t>
            </w:r>
          </w:p>
        </w:tc>
        <w:tc>
          <w:tcPr>
            <w:tcW w:w="484" w:type="pct"/>
            <w:tcBorders>
              <w:top w:val="nil"/>
              <w:left w:val="nil"/>
              <w:bottom w:val="single" w:sz="4" w:space="0" w:color="auto"/>
              <w:right w:val="nil"/>
            </w:tcBorders>
            <w:shd w:val="clear" w:color="auto" w:fill="auto"/>
            <w:noWrap/>
            <w:vAlign w:val="bottom"/>
            <w:hideMark/>
          </w:tcPr>
          <w:p w14:paraId="73A3EFB6" w14:textId="7D7833CB"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2,665 </w:t>
            </w:r>
          </w:p>
        </w:tc>
        <w:tc>
          <w:tcPr>
            <w:tcW w:w="484" w:type="pct"/>
            <w:tcBorders>
              <w:top w:val="nil"/>
              <w:left w:val="nil"/>
              <w:bottom w:val="single" w:sz="4" w:space="0" w:color="auto"/>
              <w:right w:val="nil"/>
            </w:tcBorders>
            <w:shd w:val="clear" w:color="000000" w:fill="E6E6E6"/>
            <w:noWrap/>
            <w:vAlign w:val="bottom"/>
            <w:hideMark/>
          </w:tcPr>
          <w:p w14:paraId="73300503" w14:textId="3BBD508E" w:rsidR="001F1831" w:rsidRPr="003F3013" w:rsidRDefault="001F1831" w:rsidP="001F1831">
            <w:pPr>
              <w:spacing w:after="0"/>
              <w:jc w:val="right"/>
              <w:rPr>
                <w:rFonts w:eastAsia="Times New Roman" w:cs="Arial"/>
                <w:color w:val="auto"/>
                <w:sz w:val="16"/>
                <w:szCs w:val="16"/>
                <w:lang w:eastAsia="en-AU"/>
              </w:rPr>
            </w:pPr>
            <w:r w:rsidRPr="003F3013">
              <w:rPr>
                <w:rFonts w:eastAsia="Times New Roman" w:cs="Arial"/>
                <w:color w:val="auto"/>
                <w:sz w:val="16"/>
                <w:szCs w:val="16"/>
                <w:lang w:eastAsia="en-AU"/>
              </w:rPr>
              <w:t xml:space="preserve">2,676 </w:t>
            </w:r>
          </w:p>
        </w:tc>
      </w:tr>
    </w:tbl>
    <w:p w14:paraId="277C7A37" w14:textId="667ED919" w:rsidR="0016435C" w:rsidRPr="00043432" w:rsidRDefault="0016435C" w:rsidP="00467CAA">
      <w:pPr>
        <w:pStyle w:val="ChartandTableFootnote"/>
        <w:rPr>
          <w:b/>
          <w:bCs/>
        </w:rPr>
      </w:pPr>
      <w:r w:rsidRPr="00043432">
        <w:t>Prepared on a Government Finance Statistics (Underlying Cash) basis. Figures displayed as a negative (-) represent a decrease in funds and a positive (+) represent an increase in funds.</w:t>
      </w:r>
    </w:p>
    <w:p w14:paraId="3F7139A2" w14:textId="77777777" w:rsidR="00CC7871" w:rsidRDefault="00CC7871">
      <w:pPr>
        <w:numPr>
          <w:ilvl w:val="0"/>
          <w:numId w:val="0"/>
        </w:numPr>
        <w:rPr>
          <w:rFonts w:eastAsia="Times New Roman" w:cs="Times New Roman"/>
          <w:color w:val="auto"/>
          <w:sz w:val="30"/>
          <w:szCs w:val="20"/>
          <w:lang w:eastAsia="en-AU"/>
        </w:rPr>
      </w:pPr>
      <w:r>
        <w:rPr>
          <w:rFonts w:eastAsia="Times New Roman" w:cs="Times New Roman"/>
          <w:b/>
          <w:bCs/>
          <w:i/>
          <w:color w:val="auto"/>
          <w:sz w:val="30"/>
          <w:szCs w:val="20"/>
          <w:lang w:eastAsia="en-AU"/>
        </w:rPr>
        <w:br w:type="page"/>
      </w:r>
    </w:p>
    <w:p w14:paraId="59E4FFBB" w14:textId="7D5BA260" w:rsidR="000F5AB1" w:rsidRPr="00724DC8" w:rsidRDefault="000F5AB1" w:rsidP="000F5AB1">
      <w:pPr>
        <w:pStyle w:val="Heading2"/>
        <w:rPr>
          <w:rFonts w:ascii="Arial" w:eastAsia="Times New Roman" w:hAnsi="Arial" w:cs="Times New Roman"/>
          <w:b w:val="0"/>
          <w:bCs w:val="0"/>
          <w:i w:val="0"/>
          <w:color w:val="auto"/>
          <w:sz w:val="30"/>
          <w:szCs w:val="20"/>
          <w:lang w:eastAsia="en-AU"/>
        </w:rPr>
      </w:pPr>
      <w:r w:rsidRPr="00724DC8">
        <w:rPr>
          <w:rFonts w:ascii="Arial" w:eastAsia="Times New Roman" w:hAnsi="Arial" w:cs="Times New Roman"/>
          <w:b w:val="0"/>
          <w:bCs w:val="0"/>
          <w:i w:val="0"/>
          <w:color w:val="auto"/>
          <w:sz w:val="30"/>
          <w:szCs w:val="20"/>
          <w:lang w:eastAsia="en-AU"/>
        </w:rPr>
        <w:lastRenderedPageBreak/>
        <w:t>Section 2: Outcomes and planned performance</w:t>
      </w:r>
      <w:bookmarkEnd w:id="14"/>
      <w:bookmarkEnd w:id="15"/>
    </w:p>
    <w:p w14:paraId="6947D043" w14:textId="77777777" w:rsidR="0008358A" w:rsidRPr="00043432" w:rsidRDefault="0008358A" w:rsidP="00043432">
      <w:pPr>
        <w:pStyle w:val="ListParagraph"/>
        <w:numPr>
          <w:ilvl w:val="0"/>
          <w:numId w:val="20"/>
        </w:numPr>
        <w:contextualSpacing w:val="0"/>
        <w:rPr>
          <w:rFonts w:ascii="Book Antiqua" w:hAnsi="Book Antiqua"/>
          <w:sz w:val="20"/>
        </w:rPr>
      </w:pPr>
      <w:r w:rsidRPr="00043432">
        <w:rPr>
          <w:rFonts w:ascii="Book Antiqua" w:hAnsi="Book Antiqua"/>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30D85CB" w14:textId="0E280442" w:rsidR="0008358A" w:rsidRDefault="0008358A" w:rsidP="00043432">
      <w:pPr>
        <w:pStyle w:val="ListParagraph"/>
        <w:numPr>
          <w:ilvl w:val="0"/>
          <w:numId w:val="20"/>
        </w:numPr>
        <w:rPr>
          <w:rFonts w:ascii="Book Antiqua" w:hAnsi="Book Antiqua"/>
          <w:sz w:val="20"/>
        </w:rPr>
      </w:pPr>
      <w:r w:rsidRPr="00043432">
        <w:rPr>
          <w:rFonts w:ascii="Book Antiqua" w:hAnsi="Book Antiqua"/>
          <w:sz w:val="20"/>
        </w:rPr>
        <w:t xml:space="preserve">APRA’s outcome is described below together with its related program. The following provides detailed information on expenses for each outcome and program, further broken down by funding source. </w:t>
      </w:r>
    </w:p>
    <w:p w14:paraId="30380D8D" w14:textId="77777777" w:rsidR="00663122" w:rsidRPr="00043432" w:rsidRDefault="00663122" w:rsidP="00043432">
      <w:pPr>
        <w:pStyle w:val="ListParagraph"/>
        <w:numPr>
          <w:ilvl w:val="0"/>
          <w:numId w:val="20"/>
        </w:numPr>
        <w:rPr>
          <w:rFonts w:ascii="Book Antiqua" w:hAnsi="Book Antiqua"/>
          <w:sz w:val="20"/>
        </w:rPr>
      </w:pPr>
    </w:p>
    <w:p w14:paraId="38D25BFE" w14:textId="77777777" w:rsidR="0008358A" w:rsidRPr="00043432" w:rsidRDefault="0008358A" w:rsidP="00043432">
      <w:pPr>
        <w:pStyle w:val="ListParagraph"/>
        <w:numPr>
          <w:ilvl w:val="0"/>
          <w:numId w:val="20"/>
        </w:numPr>
        <w:pBdr>
          <w:top w:val="single" w:sz="2" w:space="6" w:color="auto"/>
          <w:left w:val="single" w:sz="2" w:space="4" w:color="auto"/>
          <w:bottom w:val="single" w:sz="2" w:space="6" w:color="auto"/>
          <w:right w:val="single" w:sz="2" w:space="4" w:color="auto"/>
        </w:pBdr>
        <w:spacing w:after="120"/>
        <w:rPr>
          <w:rFonts w:ascii="Book Antiqua" w:hAnsi="Book Antiqua"/>
          <w:b/>
          <w:sz w:val="20"/>
        </w:rPr>
      </w:pPr>
      <w:r w:rsidRPr="00043432">
        <w:rPr>
          <w:rFonts w:ascii="Book Antiqua" w:hAnsi="Book Antiqua"/>
          <w:b/>
          <w:sz w:val="20"/>
        </w:rPr>
        <w:t>Note:</w:t>
      </w:r>
    </w:p>
    <w:p w14:paraId="791FEF4C" w14:textId="17F4D801" w:rsidR="0008358A" w:rsidRPr="00043432" w:rsidRDefault="0008358A" w:rsidP="00043432">
      <w:pPr>
        <w:pStyle w:val="ListParagraph"/>
        <w:numPr>
          <w:ilvl w:val="0"/>
          <w:numId w:val="20"/>
        </w:numPr>
        <w:pBdr>
          <w:top w:val="single" w:sz="2" w:space="6" w:color="auto"/>
          <w:left w:val="single" w:sz="2" w:space="4" w:color="auto"/>
          <w:bottom w:val="single" w:sz="2" w:space="6" w:color="auto"/>
          <w:right w:val="single" w:sz="2" w:space="4" w:color="auto"/>
        </w:pBdr>
        <w:rPr>
          <w:rFonts w:ascii="Book Antiqua" w:hAnsi="Book Antiqua"/>
          <w:sz w:val="20"/>
        </w:rPr>
      </w:pPr>
      <w:r w:rsidRPr="00043432">
        <w:rPr>
          <w:rFonts w:ascii="Book Antiqua" w:hAnsi="Book Antiqua"/>
          <w:sz w:val="20"/>
        </w:rPr>
        <w:t xml:space="preserve">Performance reporting requirements in the Portfolio Budget Statements are part of the enhanced Commonwealth performance framework established by the </w:t>
      </w:r>
      <w:r w:rsidRPr="00043432">
        <w:rPr>
          <w:rFonts w:ascii="Book Antiqua" w:hAnsi="Book Antiqua"/>
          <w:i/>
          <w:sz w:val="20"/>
        </w:rPr>
        <w:t>Public Governance, Performance and Accountability Act 2013</w:t>
      </w:r>
      <w:r w:rsidRPr="00043432">
        <w:rPr>
          <w:rFonts w:ascii="Book Antiqua" w:hAnsi="Book Antiqua"/>
          <w:sz w:val="20"/>
        </w:rPr>
        <w:t xml:space="preserve">. It is anticipated that the performance criteria described in Portfolio Budget Statements will be read with broader information provided in an entity’s corporate plans and annual performance statements – included in Annual Reports - to provide an entity’s </w:t>
      </w:r>
      <w:r w:rsidR="00A72F3E" w:rsidRPr="00043432">
        <w:rPr>
          <w:rFonts w:ascii="Book Antiqua" w:hAnsi="Book Antiqua"/>
          <w:sz w:val="20"/>
        </w:rPr>
        <w:t>planned and actual performance</w:t>
      </w:r>
      <w:r w:rsidRPr="00043432">
        <w:rPr>
          <w:rFonts w:ascii="Book Antiqua" w:hAnsi="Book Antiqua"/>
          <w:sz w:val="20"/>
        </w:rPr>
        <w:t>.</w:t>
      </w:r>
    </w:p>
    <w:p w14:paraId="00FADE5F" w14:textId="77777777" w:rsidR="000F5AB1" w:rsidRPr="00043432" w:rsidRDefault="000F5AB1" w:rsidP="00043432">
      <w:pPr>
        <w:pStyle w:val="ListParagraph"/>
        <w:numPr>
          <w:ilvl w:val="0"/>
          <w:numId w:val="20"/>
        </w:numPr>
        <w:pBdr>
          <w:top w:val="single" w:sz="2" w:space="6" w:color="auto"/>
          <w:left w:val="single" w:sz="2" w:space="4" w:color="auto"/>
          <w:bottom w:val="single" w:sz="2" w:space="6" w:color="auto"/>
          <w:right w:val="single" w:sz="2" w:space="4" w:color="auto"/>
        </w:pBdr>
        <w:jc w:val="left"/>
        <w:rPr>
          <w:rFonts w:ascii="Book Antiqua" w:eastAsia="Times New Roman" w:hAnsi="Book Antiqua" w:cs="Times New Roman"/>
          <w:color w:val="auto"/>
          <w:sz w:val="20"/>
          <w:szCs w:val="20"/>
          <w:lang w:eastAsia="en-AU"/>
        </w:rPr>
      </w:pPr>
      <w:r w:rsidRPr="00043432">
        <w:rPr>
          <w:rFonts w:ascii="Book Antiqua" w:eastAsia="Times New Roman" w:hAnsi="Book Antiqua" w:cs="Times New Roman"/>
          <w:color w:val="auto"/>
          <w:sz w:val="20"/>
          <w:szCs w:val="20"/>
          <w:lang w:eastAsia="en-AU"/>
        </w:rPr>
        <w:t>The most recent corporate plan for APRA can be found at: (</w:t>
      </w:r>
      <w:hyperlink r:id="rId15" w:history="1">
        <w:r w:rsidRPr="00043432">
          <w:rPr>
            <w:rFonts w:ascii="Book Antiqua" w:eastAsia="Times New Roman" w:hAnsi="Book Antiqua" w:cs="Times New Roman"/>
            <w:color w:val="auto"/>
            <w:sz w:val="20"/>
            <w:szCs w:val="20"/>
            <w:lang w:eastAsia="en-AU"/>
          </w:rPr>
          <w:t>https://www.apra.gov.au/news-and-publications/apra-2020-2024-corporate-plan</w:t>
        </w:r>
      </w:hyperlink>
      <w:r w:rsidRPr="00043432">
        <w:rPr>
          <w:rFonts w:ascii="Book Antiqua" w:eastAsia="Times New Roman" w:hAnsi="Book Antiqua" w:cs="Times New Roman"/>
          <w:color w:val="auto"/>
          <w:sz w:val="20"/>
          <w:szCs w:val="20"/>
          <w:lang w:eastAsia="en-AU"/>
        </w:rPr>
        <w:t>)</w:t>
      </w:r>
    </w:p>
    <w:p w14:paraId="3331A294" w14:textId="77777777" w:rsidR="000F5AB1" w:rsidRPr="00043432" w:rsidRDefault="000F5AB1" w:rsidP="00043432">
      <w:pPr>
        <w:pStyle w:val="ListParagraph"/>
        <w:numPr>
          <w:ilvl w:val="0"/>
          <w:numId w:val="20"/>
        </w:numPr>
        <w:pBdr>
          <w:top w:val="single" w:sz="2" w:space="6" w:color="auto"/>
          <w:left w:val="single" w:sz="2" w:space="4" w:color="auto"/>
          <w:bottom w:val="single" w:sz="2" w:space="6" w:color="auto"/>
          <w:right w:val="single" w:sz="2" w:space="4" w:color="auto"/>
        </w:pBdr>
        <w:jc w:val="left"/>
        <w:rPr>
          <w:rFonts w:ascii="Book Antiqua" w:eastAsia="Times New Roman" w:hAnsi="Book Antiqua" w:cs="Times New Roman"/>
          <w:color w:val="auto"/>
          <w:sz w:val="20"/>
          <w:szCs w:val="20"/>
          <w:lang w:eastAsia="en-AU"/>
        </w:rPr>
      </w:pPr>
      <w:r w:rsidRPr="00043432">
        <w:rPr>
          <w:rFonts w:ascii="Book Antiqua" w:eastAsia="Times New Roman" w:hAnsi="Book Antiqua" w:cs="Times New Roman"/>
          <w:color w:val="auto"/>
          <w:sz w:val="20"/>
          <w:szCs w:val="20"/>
          <w:lang w:eastAsia="en-AU"/>
        </w:rPr>
        <w:t>The most recent annual performance statement can be found at: (</w:t>
      </w:r>
      <w:hyperlink r:id="rId16" w:history="1">
        <w:r w:rsidRPr="00043432">
          <w:rPr>
            <w:rFonts w:ascii="Book Antiqua" w:eastAsia="Times New Roman" w:hAnsi="Book Antiqua" w:cs="Times New Roman"/>
            <w:color w:val="auto"/>
            <w:sz w:val="20"/>
            <w:szCs w:val="20"/>
            <w:lang w:eastAsia="en-AU"/>
          </w:rPr>
          <w:t>https://www.apra.gov.au/news-and-publications/apra-annual-reports</w:t>
        </w:r>
      </w:hyperlink>
      <w:r w:rsidRPr="00043432">
        <w:rPr>
          <w:rFonts w:ascii="Book Antiqua" w:eastAsia="Times New Roman" w:hAnsi="Book Antiqua" w:cs="Times New Roman"/>
          <w:color w:val="auto"/>
          <w:sz w:val="20"/>
          <w:szCs w:val="20"/>
          <w:lang w:eastAsia="en-AU"/>
        </w:rPr>
        <w:t>)</w:t>
      </w:r>
    </w:p>
    <w:p w14:paraId="6BBC72C7" w14:textId="77777777" w:rsidR="0008358A" w:rsidRPr="00043432" w:rsidRDefault="0008358A" w:rsidP="00043432">
      <w:pPr>
        <w:pStyle w:val="ListParagraph"/>
        <w:numPr>
          <w:ilvl w:val="0"/>
          <w:numId w:val="20"/>
        </w:numPr>
        <w:rPr>
          <w:highlight w:val="yellow"/>
        </w:rPr>
      </w:pPr>
    </w:p>
    <w:p w14:paraId="378C2711" w14:textId="77777777" w:rsidR="0008358A" w:rsidRDefault="0008358A" w:rsidP="0008358A">
      <w:pPr>
        <w:pStyle w:val="Heading3"/>
        <w:sectPr w:rsidR="0008358A" w:rsidSect="006E23A4">
          <w:headerReference w:type="even" r:id="rId17"/>
          <w:headerReference w:type="default" r:id="rId18"/>
          <w:headerReference w:type="first" r:id="rId19"/>
          <w:type w:val="oddPage"/>
          <w:pgSz w:w="11906" w:h="16838" w:code="9"/>
          <w:pgMar w:top="2466" w:right="2098" w:bottom="2466" w:left="2098" w:header="1899" w:footer="1899" w:gutter="0"/>
          <w:cols w:space="708"/>
          <w:titlePg/>
          <w:docGrid w:linePitch="360"/>
        </w:sectPr>
      </w:pPr>
    </w:p>
    <w:p w14:paraId="16C38AE0" w14:textId="3AA7AFC1" w:rsidR="0008358A" w:rsidRPr="00F743D8" w:rsidRDefault="0008358A" w:rsidP="0008358A">
      <w:pPr>
        <w:pStyle w:val="Heading3"/>
      </w:pPr>
      <w:bookmarkStart w:id="18" w:name="_Toc444523513"/>
      <w:bookmarkStart w:id="19" w:name="_Toc69915710"/>
      <w:r>
        <w:lastRenderedPageBreak/>
        <w:t>2.1</w:t>
      </w:r>
      <w:r w:rsidRPr="00F743D8">
        <w:t xml:space="preserve"> </w:t>
      </w:r>
      <w:r w:rsidRPr="00F743D8">
        <w:tab/>
      </w:r>
      <w:bookmarkEnd w:id="18"/>
      <w:bookmarkEnd w:id="19"/>
      <w:r w:rsidR="000F5AB1" w:rsidRPr="00E57ECC">
        <w:rPr>
          <w:rFonts w:ascii="Arial" w:eastAsia="Times New Roman" w:hAnsi="Arial" w:cs="Times New Roman"/>
          <w:bCs w:val="0"/>
          <w:smallCaps/>
          <w:color w:val="auto"/>
          <w:sz w:val="26"/>
          <w:szCs w:val="20"/>
          <w:lang w:eastAsia="en-AU"/>
        </w:rPr>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08358A" w:rsidRPr="005E6F2B" w14:paraId="3924800D" w14:textId="77777777" w:rsidTr="000F5AB1">
        <w:tc>
          <w:tcPr>
            <w:tcW w:w="7596" w:type="dxa"/>
            <w:shd w:val="clear" w:color="auto" w:fill="E6E6E6"/>
          </w:tcPr>
          <w:p w14:paraId="0ADF71FC" w14:textId="05E5461A" w:rsidR="0008358A" w:rsidRPr="005E6F2B" w:rsidRDefault="0008358A" w:rsidP="000F5AB1">
            <w:pPr>
              <w:pStyle w:val="TableColumnHeadingLeft"/>
              <w:spacing w:before="120" w:after="120" w:line="281" w:lineRule="auto"/>
            </w:pPr>
            <w:r w:rsidRPr="005E6F2B">
              <w:t xml:space="preserve">Outcome </w:t>
            </w:r>
            <w:r>
              <w:t>1</w:t>
            </w:r>
            <w:r w:rsidRPr="005E6F2B">
              <w:t xml:space="preserve">: </w:t>
            </w:r>
            <w:r w:rsidRPr="000F5AB1">
              <w:rPr>
                <w:rFonts w:cs="Arial"/>
              </w:rPr>
              <w:t>Enhanced public confidence in Australia’s financial institutions through a framework of prudential regulation which balances financial safety and efficiency, competition, contestability and competitive neutrality and, in balancing these objectives, promotes financial system stability in Australia.</w:t>
            </w:r>
          </w:p>
        </w:tc>
      </w:tr>
    </w:tbl>
    <w:p w14:paraId="5E7C19BB" w14:textId="77777777" w:rsidR="000F5AB1" w:rsidRPr="00E57ECC" w:rsidRDefault="000F5AB1" w:rsidP="000F5AB1">
      <w:pPr>
        <w:pStyle w:val="Heading5"/>
        <w:rPr>
          <w:rFonts w:ascii="Arial" w:eastAsia="Times New Roman" w:hAnsi="Arial" w:cs="Times New Roman"/>
          <w:bCs/>
          <w:iCs/>
          <w:color w:val="auto"/>
          <w:sz w:val="20"/>
          <w:szCs w:val="26"/>
          <w:lang w:eastAsia="en-AU"/>
        </w:rPr>
      </w:pPr>
      <w:r w:rsidRPr="00E57ECC">
        <w:rPr>
          <w:rFonts w:ascii="Arial" w:eastAsia="Times New Roman" w:hAnsi="Arial" w:cs="Times New Roman"/>
          <w:bCs/>
          <w:iCs/>
          <w:color w:val="auto"/>
          <w:sz w:val="20"/>
          <w:szCs w:val="26"/>
          <w:lang w:eastAsia="en-AU"/>
        </w:rPr>
        <w:t>Budgeted expenses for Outcome 1</w:t>
      </w:r>
    </w:p>
    <w:p w14:paraId="652DE4F8" w14:textId="492D3615" w:rsidR="0008358A" w:rsidRPr="00043432" w:rsidRDefault="0008358A" w:rsidP="00043432">
      <w:pPr>
        <w:pStyle w:val="ListParagraph"/>
        <w:numPr>
          <w:ilvl w:val="0"/>
          <w:numId w:val="20"/>
        </w:numPr>
        <w:rPr>
          <w:rFonts w:ascii="Book Antiqua" w:hAnsi="Book Antiqua"/>
          <w:sz w:val="20"/>
        </w:rPr>
      </w:pPr>
      <w:r w:rsidRPr="00043432">
        <w:rPr>
          <w:rFonts w:ascii="Book Antiqua" w:hAnsi="Book Antiqua"/>
          <w:sz w:val="20"/>
        </w:rPr>
        <w:t>This table shows how much APRA intends to spend (on an accrual basis) on achieving the outcome, broken down by program, as well as by Administered and Departmental funding sources.</w:t>
      </w:r>
      <w:r w:rsidR="000F5AB1" w:rsidRPr="00043432">
        <w:rPr>
          <w:rFonts w:eastAsia="Times New Roman" w:cs="Arial"/>
          <w:i/>
          <w:color w:val="auto"/>
          <w:sz w:val="20"/>
          <w:szCs w:val="20"/>
          <w:lang w:eastAsia="en-AU"/>
        </w:rPr>
        <w:t xml:space="preserve"> </w:t>
      </w:r>
    </w:p>
    <w:p w14:paraId="2CB5EB1E" w14:textId="77777777" w:rsidR="0008358A" w:rsidRPr="000F5AB1" w:rsidRDefault="0008358A" w:rsidP="00663122">
      <w:pPr>
        <w:pStyle w:val="TableHeading"/>
        <w:spacing w:before="0" w:after="0"/>
        <w:rPr>
          <w:i w:val="0"/>
          <w:sz w:val="20"/>
        </w:rPr>
      </w:pPr>
      <w:r w:rsidRPr="000F5AB1">
        <w:rPr>
          <w:i w:val="0"/>
          <w:sz w:val="20"/>
        </w:rPr>
        <w:t>Table 2.1: Budgeted expenses for Outcome 1</w:t>
      </w:r>
    </w:p>
    <w:tbl>
      <w:tblPr>
        <w:tblW w:w="5000" w:type="pct"/>
        <w:tblCellMar>
          <w:left w:w="0" w:type="dxa"/>
          <w:right w:w="28" w:type="dxa"/>
        </w:tblCellMar>
        <w:tblLook w:val="04A0" w:firstRow="1" w:lastRow="0" w:firstColumn="1" w:lastColumn="0" w:noHBand="0" w:noVBand="1"/>
      </w:tblPr>
      <w:tblGrid>
        <w:gridCol w:w="3259"/>
        <w:gridCol w:w="891"/>
        <w:gridCol w:w="891"/>
        <w:gridCol w:w="891"/>
        <w:gridCol w:w="891"/>
        <w:gridCol w:w="887"/>
      </w:tblGrid>
      <w:tr w:rsidR="0016435C" w:rsidRPr="0080618E" w14:paraId="7481912F" w14:textId="77777777" w:rsidTr="0016435C">
        <w:trPr>
          <w:trHeight w:val="800"/>
        </w:trPr>
        <w:tc>
          <w:tcPr>
            <w:tcW w:w="2113" w:type="pct"/>
            <w:tcBorders>
              <w:top w:val="single" w:sz="4" w:space="0" w:color="auto"/>
              <w:left w:val="nil"/>
              <w:bottom w:val="single" w:sz="4" w:space="0" w:color="auto"/>
              <w:right w:val="nil"/>
            </w:tcBorders>
            <w:shd w:val="clear" w:color="auto" w:fill="auto"/>
            <w:vAlign w:val="center"/>
            <w:hideMark/>
          </w:tcPr>
          <w:p w14:paraId="7E2B4AAA" w14:textId="77777777" w:rsidR="0016435C" w:rsidRPr="0080618E" w:rsidRDefault="0016435C" w:rsidP="0016435C">
            <w:pPr>
              <w:numPr>
                <w:ilvl w:val="0"/>
                <w:numId w:val="0"/>
              </w:numPr>
              <w:spacing w:after="0"/>
              <w:rPr>
                <w:rFonts w:eastAsia="Times New Roman" w:cs="Arial"/>
                <w:b/>
                <w:bCs/>
                <w:sz w:val="16"/>
                <w:szCs w:val="16"/>
                <w:lang w:eastAsia="en-AU"/>
              </w:rPr>
            </w:pPr>
            <w:r w:rsidRPr="0080618E">
              <w:rPr>
                <w:rFonts w:eastAsia="Times New Roman" w:cs="Arial"/>
                <w:b/>
                <w:bCs/>
                <w:sz w:val="16"/>
                <w:szCs w:val="16"/>
                <w:lang w:eastAsia="en-AU"/>
              </w:rPr>
              <w:t> </w:t>
            </w:r>
          </w:p>
        </w:tc>
        <w:tc>
          <w:tcPr>
            <w:tcW w:w="578" w:type="pct"/>
            <w:tcBorders>
              <w:top w:val="single" w:sz="4" w:space="0" w:color="auto"/>
              <w:left w:val="nil"/>
              <w:bottom w:val="single" w:sz="4" w:space="0" w:color="auto"/>
              <w:right w:val="nil"/>
            </w:tcBorders>
            <w:shd w:val="clear" w:color="auto" w:fill="auto"/>
            <w:hideMark/>
          </w:tcPr>
          <w:p w14:paraId="5DDC5F1B"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 Estimated actual</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000000" w:fill="E6E6E6"/>
            <w:hideMark/>
          </w:tcPr>
          <w:p w14:paraId="6A3978AE"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r w:rsidRPr="00043432">
              <w:rPr>
                <w:rFonts w:eastAsia="Times New Roman" w:cs="Arial"/>
                <w:color w:val="auto"/>
                <w:sz w:val="16"/>
                <w:szCs w:val="16"/>
                <w:lang w:eastAsia="en-AU"/>
              </w:rPr>
              <w:br/>
              <w:t>Budget</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39D79E4D"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2022-23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1FE0C9D0"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2023-24 Forward estimate</w:t>
            </w:r>
            <w:r w:rsidRPr="00043432">
              <w:rPr>
                <w:rFonts w:eastAsia="Times New Roman" w:cs="Arial"/>
                <w:color w:val="auto"/>
                <w:sz w:val="16"/>
                <w:szCs w:val="16"/>
                <w:lang w:eastAsia="en-AU"/>
              </w:rPr>
              <w:br/>
              <w:t>$'000</w:t>
            </w:r>
          </w:p>
        </w:tc>
        <w:tc>
          <w:tcPr>
            <w:tcW w:w="576" w:type="pct"/>
            <w:tcBorders>
              <w:top w:val="single" w:sz="4" w:space="0" w:color="auto"/>
              <w:left w:val="nil"/>
              <w:bottom w:val="single" w:sz="4" w:space="0" w:color="auto"/>
              <w:right w:val="nil"/>
            </w:tcBorders>
            <w:shd w:val="clear" w:color="auto" w:fill="auto"/>
            <w:hideMark/>
          </w:tcPr>
          <w:p w14:paraId="0DAB023D"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2024-25</w:t>
            </w:r>
            <w:r w:rsidRPr="00043432">
              <w:rPr>
                <w:rFonts w:eastAsia="Times New Roman" w:cs="Arial"/>
                <w:color w:val="auto"/>
                <w:sz w:val="16"/>
                <w:szCs w:val="16"/>
                <w:lang w:eastAsia="en-AU"/>
              </w:rPr>
              <w:br/>
              <w:t>Forward estimate</w:t>
            </w:r>
            <w:r w:rsidRPr="00043432">
              <w:rPr>
                <w:rFonts w:eastAsia="Times New Roman" w:cs="Arial"/>
                <w:color w:val="auto"/>
                <w:sz w:val="16"/>
                <w:szCs w:val="16"/>
                <w:lang w:eastAsia="en-AU"/>
              </w:rPr>
              <w:br/>
              <w:t>$'000</w:t>
            </w:r>
          </w:p>
        </w:tc>
      </w:tr>
      <w:tr w:rsidR="0016435C" w:rsidRPr="0080618E" w14:paraId="3A0BC183" w14:textId="77777777" w:rsidTr="006D3CA7">
        <w:trPr>
          <w:trHeight w:val="210"/>
        </w:trPr>
        <w:tc>
          <w:tcPr>
            <w:tcW w:w="5000" w:type="pct"/>
            <w:gridSpan w:val="6"/>
            <w:tcBorders>
              <w:top w:val="single" w:sz="4" w:space="0" w:color="auto"/>
              <w:left w:val="nil"/>
              <w:bottom w:val="nil"/>
              <w:right w:val="nil"/>
            </w:tcBorders>
            <w:shd w:val="clear" w:color="000000" w:fill="E6E6E6"/>
            <w:vAlign w:val="center"/>
            <w:hideMark/>
          </w:tcPr>
          <w:p w14:paraId="29ABACAA" w14:textId="77777777" w:rsidR="0016435C" w:rsidRPr="00043432" w:rsidRDefault="0016435C"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Program 1.1: Australian Prudential Regulation Authority</w:t>
            </w:r>
          </w:p>
        </w:tc>
      </w:tr>
      <w:tr w:rsidR="0016435C" w:rsidRPr="0080618E" w14:paraId="769925BA" w14:textId="77777777" w:rsidTr="0016435C">
        <w:trPr>
          <w:trHeight w:val="200"/>
        </w:trPr>
        <w:tc>
          <w:tcPr>
            <w:tcW w:w="2113" w:type="pct"/>
            <w:tcBorders>
              <w:top w:val="single" w:sz="4" w:space="0" w:color="000000"/>
              <w:left w:val="nil"/>
              <w:bottom w:val="nil"/>
              <w:right w:val="nil"/>
            </w:tcBorders>
            <w:shd w:val="clear" w:color="auto" w:fill="auto"/>
            <w:noWrap/>
            <w:vAlign w:val="center"/>
            <w:hideMark/>
          </w:tcPr>
          <w:p w14:paraId="700B8A91"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Administered expenses</w:t>
            </w:r>
          </w:p>
        </w:tc>
        <w:tc>
          <w:tcPr>
            <w:tcW w:w="578" w:type="pct"/>
            <w:tcBorders>
              <w:top w:val="single" w:sz="4" w:space="0" w:color="000000"/>
              <w:left w:val="nil"/>
              <w:bottom w:val="nil"/>
              <w:right w:val="nil"/>
            </w:tcBorders>
            <w:shd w:val="clear" w:color="auto" w:fill="auto"/>
            <w:noWrap/>
            <w:vAlign w:val="center"/>
            <w:hideMark/>
          </w:tcPr>
          <w:p w14:paraId="05CFBD90"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single" w:sz="4" w:space="0" w:color="000000"/>
              <w:left w:val="nil"/>
              <w:bottom w:val="nil"/>
              <w:right w:val="nil"/>
            </w:tcBorders>
            <w:shd w:val="clear" w:color="000000" w:fill="E6E6E6"/>
            <w:noWrap/>
            <w:vAlign w:val="center"/>
            <w:hideMark/>
          </w:tcPr>
          <w:p w14:paraId="0DA7EB8C"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w:t>
            </w:r>
          </w:p>
        </w:tc>
        <w:tc>
          <w:tcPr>
            <w:tcW w:w="578" w:type="pct"/>
            <w:tcBorders>
              <w:top w:val="single" w:sz="4" w:space="0" w:color="000000"/>
              <w:left w:val="nil"/>
              <w:bottom w:val="nil"/>
              <w:right w:val="nil"/>
            </w:tcBorders>
            <w:shd w:val="clear" w:color="auto" w:fill="auto"/>
            <w:noWrap/>
            <w:vAlign w:val="center"/>
            <w:hideMark/>
          </w:tcPr>
          <w:p w14:paraId="7E04101B"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w:t>
            </w:r>
          </w:p>
        </w:tc>
        <w:tc>
          <w:tcPr>
            <w:tcW w:w="578" w:type="pct"/>
            <w:tcBorders>
              <w:top w:val="single" w:sz="4" w:space="0" w:color="000000"/>
              <w:left w:val="nil"/>
              <w:bottom w:val="nil"/>
              <w:right w:val="nil"/>
            </w:tcBorders>
            <w:shd w:val="clear" w:color="auto" w:fill="auto"/>
            <w:noWrap/>
            <w:vAlign w:val="center"/>
            <w:hideMark/>
          </w:tcPr>
          <w:p w14:paraId="7CEAC920"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w:t>
            </w:r>
          </w:p>
        </w:tc>
        <w:tc>
          <w:tcPr>
            <w:tcW w:w="576" w:type="pct"/>
            <w:tcBorders>
              <w:top w:val="single" w:sz="4" w:space="0" w:color="000000"/>
              <w:left w:val="nil"/>
              <w:bottom w:val="nil"/>
              <w:right w:val="nil"/>
            </w:tcBorders>
            <w:shd w:val="clear" w:color="auto" w:fill="auto"/>
            <w:noWrap/>
            <w:vAlign w:val="center"/>
            <w:hideMark/>
          </w:tcPr>
          <w:p w14:paraId="5632D16D"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w:t>
            </w:r>
          </w:p>
        </w:tc>
      </w:tr>
      <w:tr w:rsidR="0016435C" w:rsidRPr="0080618E" w14:paraId="6F4B323D" w14:textId="77777777" w:rsidTr="0016435C">
        <w:trPr>
          <w:trHeight w:val="200"/>
        </w:trPr>
        <w:tc>
          <w:tcPr>
            <w:tcW w:w="2113" w:type="pct"/>
            <w:tcBorders>
              <w:top w:val="nil"/>
              <w:left w:val="nil"/>
              <w:bottom w:val="nil"/>
              <w:right w:val="nil"/>
            </w:tcBorders>
            <w:shd w:val="clear" w:color="000000" w:fill="FFFFFF"/>
            <w:noWrap/>
            <w:vAlign w:val="center"/>
            <w:hideMark/>
          </w:tcPr>
          <w:p w14:paraId="6C493652"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Special appropriations (a)</w:t>
            </w:r>
          </w:p>
        </w:tc>
        <w:tc>
          <w:tcPr>
            <w:tcW w:w="578" w:type="pct"/>
            <w:tcBorders>
              <w:top w:val="nil"/>
              <w:left w:val="nil"/>
              <w:bottom w:val="nil"/>
              <w:right w:val="nil"/>
            </w:tcBorders>
            <w:shd w:val="clear" w:color="auto" w:fill="auto"/>
            <w:noWrap/>
            <w:vAlign w:val="center"/>
            <w:hideMark/>
          </w:tcPr>
          <w:p w14:paraId="4FB5DB67"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450,000 </w:t>
            </w:r>
          </w:p>
        </w:tc>
        <w:tc>
          <w:tcPr>
            <w:tcW w:w="578" w:type="pct"/>
            <w:tcBorders>
              <w:top w:val="nil"/>
              <w:left w:val="nil"/>
              <w:bottom w:val="nil"/>
              <w:right w:val="nil"/>
            </w:tcBorders>
            <w:shd w:val="clear" w:color="000000" w:fill="E6E6E6"/>
            <w:noWrap/>
            <w:vAlign w:val="center"/>
            <w:hideMark/>
          </w:tcPr>
          <w:p w14:paraId="0EAEE2C0" w14:textId="22DF95B3"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auto" w:fill="auto"/>
            <w:noWrap/>
            <w:vAlign w:val="center"/>
            <w:hideMark/>
          </w:tcPr>
          <w:p w14:paraId="663D9B8A" w14:textId="7864DE0F"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auto" w:fill="auto"/>
            <w:noWrap/>
            <w:vAlign w:val="center"/>
            <w:hideMark/>
          </w:tcPr>
          <w:p w14:paraId="6484FB63" w14:textId="557AF9E5"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450,000 </w:t>
            </w:r>
          </w:p>
        </w:tc>
        <w:tc>
          <w:tcPr>
            <w:tcW w:w="576" w:type="pct"/>
            <w:tcBorders>
              <w:top w:val="nil"/>
              <w:left w:val="nil"/>
              <w:bottom w:val="nil"/>
              <w:right w:val="nil"/>
            </w:tcBorders>
            <w:shd w:val="clear" w:color="auto" w:fill="auto"/>
            <w:noWrap/>
            <w:vAlign w:val="center"/>
            <w:hideMark/>
          </w:tcPr>
          <w:p w14:paraId="5CACE146" w14:textId="2B903216"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450,000 </w:t>
            </w:r>
          </w:p>
        </w:tc>
      </w:tr>
      <w:tr w:rsidR="0016435C" w:rsidRPr="0080618E" w14:paraId="35BD799A" w14:textId="77777777" w:rsidTr="0016435C">
        <w:trPr>
          <w:trHeight w:val="600"/>
        </w:trPr>
        <w:tc>
          <w:tcPr>
            <w:tcW w:w="2113" w:type="pct"/>
            <w:tcBorders>
              <w:top w:val="nil"/>
              <w:left w:val="nil"/>
              <w:bottom w:val="nil"/>
              <w:right w:val="nil"/>
            </w:tcBorders>
            <w:shd w:val="clear" w:color="000000" w:fill="FFFFFF"/>
            <w:vAlign w:val="center"/>
            <w:hideMark/>
          </w:tcPr>
          <w:p w14:paraId="32D33902"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Expenses not requiring</w:t>
            </w:r>
            <w:r w:rsidRPr="00043432">
              <w:rPr>
                <w:rFonts w:eastAsia="Times New Roman" w:cs="Arial"/>
                <w:color w:val="auto"/>
                <w:sz w:val="16"/>
                <w:szCs w:val="16"/>
                <w:lang w:eastAsia="en-AU"/>
              </w:rPr>
              <w:br/>
              <w:t xml:space="preserve">      appropriation in the Budget </w:t>
            </w:r>
            <w:r w:rsidRPr="00043432">
              <w:rPr>
                <w:rFonts w:eastAsia="Times New Roman" w:cs="Arial"/>
                <w:color w:val="auto"/>
                <w:sz w:val="16"/>
                <w:szCs w:val="16"/>
                <w:lang w:eastAsia="en-AU"/>
              </w:rPr>
              <w:br/>
              <w:t xml:space="preserve">      year</w:t>
            </w:r>
          </w:p>
        </w:tc>
        <w:tc>
          <w:tcPr>
            <w:tcW w:w="578" w:type="pct"/>
            <w:tcBorders>
              <w:top w:val="nil"/>
              <w:left w:val="nil"/>
              <w:bottom w:val="nil"/>
              <w:right w:val="nil"/>
            </w:tcBorders>
            <w:shd w:val="clear" w:color="auto" w:fill="auto"/>
            <w:noWrap/>
            <w:vAlign w:val="center"/>
            <w:hideMark/>
          </w:tcPr>
          <w:p w14:paraId="6C3EDC76"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55 </w:t>
            </w:r>
          </w:p>
        </w:tc>
        <w:tc>
          <w:tcPr>
            <w:tcW w:w="578" w:type="pct"/>
            <w:tcBorders>
              <w:top w:val="nil"/>
              <w:left w:val="nil"/>
              <w:bottom w:val="nil"/>
              <w:right w:val="nil"/>
            </w:tcBorders>
            <w:shd w:val="clear" w:color="000000" w:fill="E6E6E6"/>
            <w:noWrap/>
            <w:vAlign w:val="center"/>
            <w:hideMark/>
          </w:tcPr>
          <w:p w14:paraId="429C99CC" w14:textId="4A8468C0"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auto" w:fill="auto"/>
            <w:noWrap/>
            <w:vAlign w:val="center"/>
            <w:hideMark/>
          </w:tcPr>
          <w:p w14:paraId="0CC4F590" w14:textId="04825C09"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auto" w:fill="auto"/>
            <w:noWrap/>
            <w:vAlign w:val="center"/>
            <w:hideMark/>
          </w:tcPr>
          <w:p w14:paraId="7B0D4F9A" w14:textId="72465E10"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55 </w:t>
            </w:r>
          </w:p>
        </w:tc>
        <w:tc>
          <w:tcPr>
            <w:tcW w:w="576" w:type="pct"/>
            <w:tcBorders>
              <w:top w:val="nil"/>
              <w:left w:val="nil"/>
              <w:bottom w:val="nil"/>
              <w:right w:val="nil"/>
            </w:tcBorders>
            <w:shd w:val="clear" w:color="auto" w:fill="auto"/>
            <w:noWrap/>
            <w:vAlign w:val="center"/>
            <w:hideMark/>
          </w:tcPr>
          <w:p w14:paraId="48B3D349" w14:textId="069D70B8"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55 </w:t>
            </w:r>
          </w:p>
        </w:tc>
      </w:tr>
      <w:tr w:rsidR="0016435C" w:rsidRPr="0080618E" w14:paraId="63322B7E" w14:textId="77777777" w:rsidTr="0016435C">
        <w:trPr>
          <w:trHeight w:val="210"/>
        </w:trPr>
        <w:tc>
          <w:tcPr>
            <w:tcW w:w="2113" w:type="pct"/>
            <w:tcBorders>
              <w:top w:val="nil"/>
              <w:left w:val="nil"/>
              <w:bottom w:val="nil"/>
              <w:right w:val="nil"/>
            </w:tcBorders>
            <w:shd w:val="clear" w:color="000000" w:fill="FFFFFF"/>
            <w:vAlign w:val="center"/>
            <w:hideMark/>
          </w:tcPr>
          <w:p w14:paraId="40EED9DE" w14:textId="77777777"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Administered total</w:t>
            </w:r>
          </w:p>
        </w:tc>
        <w:tc>
          <w:tcPr>
            <w:tcW w:w="578" w:type="pct"/>
            <w:tcBorders>
              <w:top w:val="single" w:sz="4" w:space="0" w:color="000000"/>
              <w:left w:val="nil"/>
              <w:bottom w:val="single" w:sz="4" w:space="0" w:color="000000"/>
              <w:right w:val="nil"/>
            </w:tcBorders>
            <w:shd w:val="clear" w:color="auto" w:fill="auto"/>
            <w:noWrap/>
            <w:vAlign w:val="center"/>
            <w:hideMark/>
          </w:tcPr>
          <w:p w14:paraId="2628FA15"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450,055 </w:t>
            </w:r>
          </w:p>
        </w:tc>
        <w:tc>
          <w:tcPr>
            <w:tcW w:w="578" w:type="pct"/>
            <w:tcBorders>
              <w:top w:val="single" w:sz="4" w:space="0" w:color="000000"/>
              <w:left w:val="nil"/>
              <w:bottom w:val="single" w:sz="4" w:space="0" w:color="000000"/>
              <w:right w:val="nil"/>
            </w:tcBorders>
            <w:shd w:val="clear" w:color="000000" w:fill="E6E6E6"/>
            <w:noWrap/>
            <w:vAlign w:val="center"/>
            <w:hideMark/>
          </w:tcPr>
          <w:p w14:paraId="0D0EC8B4" w14:textId="71880CA8"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450,055 </w:t>
            </w:r>
          </w:p>
        </w:tc>
        <w:tc>
          <w:tcPr>
            <w:tcW w:w="578" w:type="pct"/>
            <w:tcBorders>
              <w:top w:val="single" w:sz="4" w:space="0" w:color="000000"/>
              <w:left w:val="nil"/>
              <w:bottom w:val="single" w:sz="4" w:space="0" w:color="000000"/>
              <w:right w:val="nil"/>
            </w:tcBorders>
            <w:shd w:val="clear" w:color="auto" w:fill="auto"/>
            <w:noWrap/>
            <w:vAlign w:val="center"/>
            <w:hideMark/>
          </w:tcPr>
          <w:p w14:paraId="0B366966" w14:textId="27981F4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450,055 </w:t>
            </w:r>
          </w:p>
        </w:tc>
        <w:tc>
          <w:tcPr>
            <w:tcW w:w="578" w:type="pct"/>
            <w:tcBorders>
              <w:top w:val="single" w:sz="4" w:space="0" w:color="000000"/>
              <w:left w:val="nil"/>
              <w:bottom w:val="single" w:sz="4" w:space="0" w:color="000000"/>
              <w:right w:val="nil"/>
            </w:tcBorders>
            <w:shd w:val="clear" w:color="auto" w:fill="auto"/>
            <w:noWrap/>
            <w:vAlign w:val="center"/>
            <w:hideMark/>
          </w:tcPr>
          <w:p w14:paraId="417636E3" w14:textId="72F116A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450,055 </w:t>
            </w:r>
          </w:p>
        </w:tc>
        <w:tc>
          <w:tcPr>
            <w:tcW w:w="576" w:type="pct"/>
            <w:tcBorders>
              <w:top w:val="single" w:sz="4" w:space="0" w:color="000000"/>
              <w:left w:val="nil"/>
              <w:bottom w:val="single" w:sz="4" w:space="0" w:color="000000"/>
              <w:right w:val="nil"/>
            </w:tcBorders>
            <w:shd w:val="clear" w:color="auto" w:fill="auto"/>
            <w:noWrap/>
            <w:vAlign w:val="center"/>
            <w:hideMark/>
          </w:tcPr>
          <w:p w14:paraId="6F246B38" w14:textId="43848F85"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450,055 </w:t>
            </w:r>
          </w:p>
        </w:tc>
      </w:tr>
      <w:tr w:rsidR="0016435C" w:rsidRPr="0080618E" w14:paraId="0B21641A" w14:textId="77777777" w:rsidTr="0016435C">
        <w:trPr>
          <w:trHeight w:val="200"/>
        </w:trPr>
        <w:tc>
          <w:tcPr>
            <w:tcW w:w="2113" w:type="pct"/>
            <w:tcBorders>
              <w:top w:val="nil"/>
              <w:left w:val="nil"/>
              <w:bottom w:val="nil"/>
              <w:right w:val="nil"/>
            </w:tcBorders>
            <w:shd w:val="clear" w:color="000000" w:fill="FFFFFF"/>
            <w:noWrap/>
            <w:vAlign w:val="center"/>
            <w:hideMark/>
          </w:tcPr>
          <w:p w14:paraId="16BB6D33"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Departmental expenses</w:t>
            </w:r>
          </w:p>
        </w:tc>
        <w:tc>
          <w:tcPr>
            <w:tcW w:w="578" w:type="pct"/>
            <w:tcBorders>
              <w:top w:val="nil"/>
              <w:left w:val="nil"/>
              <w:bottom w:val="nil"/>
              <w:right w:val="nil"/>
            </w:tcBorders>
            <w:shd w:val="clear" w:color="auto" w:fill="auto"/>
            <w:noWrap/>
            <w:vAlign w:val="center"/>
            <w:hideMark/>
          </w:tcPr>
          <w:p w14:paraId="2F58EAA3"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p>
        </w:tc>
        <w:tc>
          <w:tcPr>
            <w:tcW w:w="578" w:type="pct"/>
            <w:tcBorders>
              <w:top w:val="nil"/>
              <w:left w:val="nil"/>
              <w:bottom w:val="nil"/>
              <w:right w:val="nil"/>
            </w:tcBorders>
            <w:shd w:val="clear" w:color="000000" w:fill="E6E6E6"/>
            <w:noWrap/>
            <w:vAlign w:val="center"/>
            <w:hideMark/>
          </w:tcPr>
          <w:p w14:paraId="012E3008" w14:textId="65725DC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center"/>
            <w:hideMark/>
          </w:tcPr>
          <w:p w14:paraId="63F55AF3"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p>
        </w:tc>
        <w:tc>
          <w:tcPr>
            <w:tcW w:w="578" w:type="pct"/>
            <w:tcBorders>
              <w:top w:val="nil"/>
              <w:left w:val="nil"/>
              <w:bottom w:val="nil"/>
              <w:right w:val="nil"/>
            </w:tcBorders>
            <w:shd w:val="clear" w:color="auto" w:fill="auto"/>
            <w:noWrap/>
            <w:vAlign w:val="center"/>
            <w:hideMark/>
          </w:tcPr>
          <w:p w14:paraId="56AF1762"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6" w:type="pct"/>
            <w:tcBorders>
              <w:top w:val="nil"/>
              <w:left w:val="nil"/>
              <w:bottom w:val="nil"/>
              <w:right w:val="nil"/>
            </w:tcBorders>
            <w:shd w:val="clear" w:color="auto" w:fill="auto"/>
            <w:noWrap/>
            <w:vAlign w:val="center"/>
            <w:hideMark/>
          </w:tcPr>
          <w:p w14:paraId="1621009E"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16435C" w:rsidRPr="0080618E" w14:paraId="7C344B79" w14:textId="77777777" w:rsidTr="0016435C">
        <w:trPr>
          <w:trHeight w:val="200"/>
        </w:trPr>
        <w:tc>
          <w:tcPr>
            <w:tcW w:w="2113" w:type="pct"/>
            <w:tcBorders>
              <w:top w:val="nil"/>
              <w:left w:val="nil"/>
              <w:bottom w:val="nil"/>
              <w:right w:val="nil"/>
            </w:tcBorders>
            <w:shd w:val="clear" w:color="000000" w:fill="FFFFFF"/>
            <w:noWrap/>
            <w:vAlign w:val="center"/>
            <w:hideMark/>
          </w:tcPr>
          <w:p w14:paraId="1B09DD7D"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Special accounts</w:t>
            </w:r>
          </w:p>
        </w:tc>
        <w:tc>
          <w:tcPr>
            <w:tcW w:w="578" w:type="pct"/>
            <w:tcBorders>
              <w:top w:val="nil"/>
              <w:left w:val="nil"/>
              <w:bottom w:val="nil"/>
              <w:right w:val="nil"/>
            </w:tcBorders>
            <w:shd w:val="clear" w:color="auto" w:fill="auto"/>
            <w:noWrap/>
            <w:vAlign w:val="center"/>
            <w:hideMark/>
          </w:tcPr>
          <w:p w14:paraId="6482C60C"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189,873 </w:t>
            </w:r>
          </w:p>
        </w:tc>
        <w:tc>
          <w:tcPr>
            <w:tcW w:w="578" w:type="pct"/>
            <w:tcBorders>
              <w:top w:val="nil"/>
              <w:left w:val="nil"/>
              <w:bottom w:val="nil"/>
              <w:right w:val="nil"/>
            </w:tcBorders>
            <w:shd w:val="clear" w:color="000000" w:fill="E6E6E6"/>
            <w:noWrap/>
            <w:vAlign w:val="center"/>
            <w:hideMark/>
          </w:tcPr>
          <w:p w14:paraId="07F498B3" w14:textId="4C31959D"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218,308 </w:t>
            </w:r>
          </w:p>
        </w:tc>
        <w:tc>
          <w:tcPr>
            <w:tcW w:w="578" w:type="pct"/>
            <w:tcBorders>
              <w:top w:val="nil"/>
              <w:left w:val="nil"/>
              <w:bottom w:val="nil"/>
              <w:right w:val="nil"/>
            </w:tcBorders>
            <w:shd w:val="clear" w:color="auto" w:fill="auto"/>
            <w:noWrap/>
            <w:vAlign w:val="center"/>
            <w:hideMark/>
          </w:tcPr>
          <w:p w14:paraId="4D92B270" w14:textId="746C58E0"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198,992 </w:t>
            </w:r>
          </w:p>
        </w:tc>
        <w:tc>
          <w:tcPr>
            <w:tcW w:w="578" w:type="pct"/>
            <w:tcBorders>
              <w:top w:val="nil"/>
              <w:left w:val="nil"/>
              <w:bottom w:val="nil"/>
              <w:right w:val="nil"/>
            </w:tcBorders>
            <w:shd w:val="clear" w:color="auto" w:fill="auto"/>
            <w:noWrap/>
            <w:vAlign w:val="center"/>
            <w:hideMark/>
          </w:tcPr>
          <w:p w14:paraId="0FD4615C" w14:textId="70639E1E"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199,699 </w:t>
            </w:r>
          </w:p>
        </w:tc>
        <w:tc>
          <w:tcPr>
            <w:tcW w:w="576" w:type="pct"/>
            <w:tcBorders>
              <w:top w:val="nil"/>
              <w:left w:val="nil"/>
              <w:bottom w:val="nil"/>
              <w:right w:val="nil"/>
            </w:tcBorders>
            <w:shd w:val="clear" w:color="auto" w:fill="auto"/>
            <w:noWrap/>
            <w:vAlign w:val="center"/>
            <w:hideMark/>
          </w:tcPr>
          <w:p w14:paraId="61A7C4C3" w14:textId="31ECCD2E"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197,297 </w:t>
            </w:r>
          </w:p>
        </w:tc>
      </w:tr>
      <w:tr w:rsidR="0016435C" w:rsidRPr="0080618E" w14:paraId="3C6243F1" w14:textId="77777777" w:rsidTr="0016435C">
        <w:trPr>
          <w:trHeight w:val="210"/>
        </w:trPr>
        <w:tc>
          <w:tcPr>
            <w:tcW w:w="2113" w:type="pct"/>
            <w:tcBorders>
              <w:top w:val="nil"/>
              <w:left w:val="nil"/>
              <w:bottom w:val="nil"/>
              <w:right w:val="nil"/>
            </w:tcBorders>
            <w:shd w:val="clear" w:color="000000" w:fill="FFFFFF"/>
            <w:vAlign w:val="center"/>
            <w:hideMark/>
          </w:tcPr>
          <w:p w14:paraId="7D404A9A"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s74 External Revenue (b)</w:t>
            </w:r>
          </w:p>
        </w:tc>
        <w:tc>
          <w:tcPr>
            <w:tcW w:w="578" w:type="pct"/>
            <w:tcBorders>
              <w:top w:val="nil"/>
              <w:left w:val="nil"/>
              <w:bottom w:val="nil"/>
              <w:right w:val="nil"/>
            </w:tcBorders>
            <w:shd w:val="clear" w:color="auto" w:fill="auto"/>
            <w:noWrap/>
            <w:vAlign w:val="center"/>
            <w:hideMark/>
          </w:tcPr>
          <w:p w14:paraId="267AFAA5"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2,514 </w:t>
            </w:r>
          </w:p>
        </w:tc>
        <w:tc>
          <w:tcPr>
            <w:tcW w:w="578" w:type="pct"/>
            <w:tcBorders>
              <w:top w:val="nil"/>
              <w:left w:val="nil"/>
              <w:bottom w:val="nil"/>
              <w:right w:val="nil"/>
            </w:tcBorders>
            <w:shd w:val="clear" w:color="000000" w:fill="E6E6E6"/>
            <w:noWrap/>
            <w:vAlign w:val="center"/>
            <w:hideMark/>
          </w:tcPr>
          <w:p w14:paraId="56EE59CA" w14:textId="5829D502"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4,587 </w:t>
            </w:r>
          </w:p>
        </w:tc>
        <w:tc>
          <w:tcPr>
            <w:tcW w:w="578" w:type="pct"/>
            <w:tcBorders>
              <w:top w:val="nil"/>
              <w:left w:val="nil"/>
              <w:bottom w:val="nil"/>
              <w:right w:val="nil"/>
            </w:tcBorders>
            <w:shd w:val="clear" w:color="auto" w:fill="auto"/>
            <w:noWrap/>
            <w:vAlign w:val="center"/>
            <w:hideMark/>
          </w:tcPr>
          <w:p w14:paraId="10F79006" w14:textId="680E3E33"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4,542 </w:t>
            </w:r>
          </w:p>
        </w:tc>
        <w:tc>
          <w:tcPr>
            <w:tcW w:w="578" w:type="pct"/>
            <w:tcBorders>
              <w:top w:val="nil"/>
              <w:left w:val="nil"/>
              <w:bottom w:val="nil"/>
              <w:right w:val="nil"/>
            </w:tcBorders>
            <w:shd w:val="clear" w:color="auto" w:fill="auto"/>
            <w:noWrap/>
            <w:vAlign w:val="center"/>
            <w:hideMark/>
          </w:tcPr>
          <w:p w14:paraId="045CF067" w14:textId="79208EAF"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4,542 </w:t>
            </w:r>
          </w:p>
        </w:tc>
        <w:tc>
          <w:tcPr>
            <w:tcW w:w="576" w:type="pct"/>
            <w:tcBorders>
              <w:top w:val="nil"/>
              <w:left w:val="nil"/>
              <w:bottom w:val="nil"/>
              <w:right w:val="nil"/>
            </w:tcBorders>
            <w:shd w:val="clear" w:color="auto" w:fill="auto"/>
            <w:noWrap/>
            <w:vAlign w:val="center"/>
            <w:hideMark/>
          </w:tcPr>
          <w:p w14:paraId="7C7F580F" w14:textId="5D63185A"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4,542 </w:t>
            </w:r>
          </w:p>
        </w:tc>
      </w:tr>
      <w:tr w:rsidR="0016435C" w:rsidRPr="0080618E" w14:paraId="40CACEA6" w14:textId="77777777" w:rsidTr="0016435C">
        <w:trPr>
          <w:trHeight w:val="400"/>
        </w:trPr>
        <w:tc>
          <w:tcPr>
            <w:tcW w:w="2113" w:type="pct"/>
            <w:tcBorders>
              <w:top w:val="nil"/>
              <w:left w:val="nil"/>
              <w:bottom w:val="nil"/>
              <w:right w:val="nil"/>
            </w:tcBorders>
            <w:shd w:val="clear" w:color="000000" w:fill="FFFFFF"/>
            <w:vAlign w:val="center"/>
            <w:hideMark/>
          </w:tcPr>
          <w:p w14:paraId="20D53E35"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Ordinary annual services</w:t>
            </w:r>
            <w:r w:rsidRPr="00043432">
              <w:rPr>
                <w:rFonts w:eastAsia="Times New Roman" w:cs="Arial"/>
                <w:color w:val="auto"/>
                <w:sz w:val="16"/>
                <w:szCs w:val="16"/>
                <w:lang w:eastAsia="en-AU"/>
              </w:rPr>
              <w:br/>
              <w:t xml:space="preserve">     (Appropriation Bill No. 1)</w:t>
            </w:r>
          </w:p>
        </w:tc>
        <w:tc>
          <w:tcPr>
            <w:tcW w:w="578" w:type="pct"/>
            <w:tcBorders>
              <w:top w:val="nil"/>
              <w:left w:val="nil"/>
              <w:bottom w:val="nil"/>
              <w:right w:val="nil"/>
            </w:tcBorders>
            <w:shd w:val="clear" w:color="auto" w:fill="auto"/>
            <w:noWrap/>
            <w:vAlign w:val="center"/>
            <w:hideMark/>
          </w:tcPr>
          <w:p w14:paraId="2FC03FF0"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3,630 </w:t>
            </w:r>
          </w:p>
        </w:tc>
        <w:tc>
          <w:tcPr>
            <w:tcW w:w="578" w:type="pct"/>
            <w:tcBorders>
              <w:top w:val="nil"/>
              <w:left w:val="nil"/>
              <w:bottom w:val="nil"/>
              <w:right w:val="nil"/>
            </w:tcBorders>
            <w:shd w:val="clear" w:color="000000" w:fill="E6E6E6"/>
            <w:noWrap/>
            <w:vAlign w:val="center"/>
            <w:hideMark/>
          </w:tcPr>
          <w:p w14:paraId="7D619501" w14:textId="3FC2F20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2,680 </w:t>
            </w:r>
          </w:p>
        </w:tc>
        <w:tc>
          <w:tcPr>
            <w:tcW w:w="578" w:type="pct"/>
            <w:tcBorders>
              <w:top w:val="nil"/>
              <w:left w:val="nil"/>
              <w:bottom w:val="nil"/>
              <w:right w:val="nil"/>
            </w:tcBorders>
            <w:shd w:val="clear" w:color="auto" w:fill="auto"/>
            <w:noWrap/>
            <w:vAlign w:val="center"/>
            <w:hideMark/>
          </w:tcPr>
          <w:p w14:paraId="239E37C2" w14:textId="0ACF4839"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2,229 </w:t>
            </w:r>
          </w:p>
        </w:tc>
        <w:tc>
          <w:tcPr>
            <w:tcW w:w="578" w:type="pct"/>
            <w:tcBorders>
              <w:top w:val="nil"/>
              <w:left w:val="nil"/>
              <w:bottom w:val="nil"/>
              <w:right w:val="nil"/>
            </w:tcBorders>
            <w:shd w:val="clear" w:color="auto" w:fill="auto"/>
            <w:noWrap/>
            <w:vAlign w:val="center"/>
            <w:hideMark/>
          </w:tcPr>
          <w:p w14:paraId="07CDD2A4" w14:textId="5898CBB5"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2,262 </w:t>
            </w:r>
          </w:p>
        </w:tc>
        <w:tc>
          <w:tcPr>
            <w:tcW w:w="576" w:type="pct"/>
            <w:tcBorders>
              <w:top w:val="nil"/>
              <w:left w:val="nil"/>
              <w:bottom w:val="nil"/>
              <w:right w:val="nil"/>
            </w:tcBorders>
            <w:shd w:val="clear" w:color="auto" w:fill="auto"/>
            <w:noWrap/>
            <w:vAlign w:val="center"/>
            <w:hideMark/>
          </w:tcPr>
          <w:p w14:paraId="7E1683CA" w14:textId="3BA6232F"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4,815 </w:t>
            </w:r>
          </w:p>
        </w:tc>
      </w:tr>
      <w:tr w:rsidR="0016435C" w:rsidRPr="0080618E" w14:paraId="63E47FF2" w14:textId="77777777" w:rsidTr="0016435C">
        <w:trPr>
          <w:trHeight w:val="600"/>
        </w:trPr>
        <w:tc>
          <w:tcPr>
            <w:tcW w:w="2113" w:type="pct"/>
            <w:tcBorders>
              <w:top w:val="nil"/>
              <w:left w:val="nil"/>
              <w:bottom w:val="nil"/>
              <w:right w:val="nil"/>
            </w:tcBorders>
            <w:shd w:val="clear" w:color="auto" w:fill="auto"/>
            <w:vAlign w:val="center"/>
            <w:hideMark/>
          </w:tcPr>
          <w:p w14:paraId="3F66904B" w14:textId="77777777" w:rsidR="0016435C" w:rsidRPr="00043432" w:rsidRDefault="0016435C"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Expenses not requiring</w:t>
            </w:r>
            <w:r w:rsidRPr="00043432">
              <w:rPr>
                <w:rFonts w:eastAsia="Times New Roman" w:cs="Arial"/>
                <w:color w:val="auto"/>
                <w:sz w:val="16"/>
                <w:szCs w:val="16"/>
                <w:lang w:eastAsia="en-AU"/>
              </w:rPr>
              <w:br/>
              <w:t xml:space="preserve">     appropriation in the Budget</w:t>
            </w:r>
            <w:r w:rsidRPr="00043432">
              <w:rPr>
                <w:rFonts w:eastAsia="Times New Roman" w:cs="Arial"/>
                <w:color w:val="auto"/>
                <w:sz w:val="16"/>
                <w:szCs w:val="16"/>
                <w:lang w:eastAsia="en-AU"/>
              </w:rPr>
              <w:br/>
              <w:t xml:space="preserve">     year (c)</w:t>
            </w:r>
          </w:p>
        </w:tc>
        <w:tc>
          <w:tcPr>
            <w:tcW w:w="578" w:type="pct"/>
            <w:tcBorders>
              <w:top w:val="nil"/>
              <w:left w:val="nil"/>
              <w:bottom w:val="nil"/>
              <w:right w:val="nil"/>
            </w:tcBorders>
            <w:shd w:val="clear" w:color="auto" w:fill="auto"/>
            <w:noWrap/>
            <w:vAlign w:val="center"/>
            <w:hideMark/>
          </w:tcPr>
          <w:p w14:paraId="5CBA6CDA"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240 </w:t>
            </w:r>
          </w:p>
        </w:tc>
        <w:tc>
          <w:tcPr>
            <w:tcW w:w="578" w:type="pct"/>
            <w:tcBorders>
              <w:top w:val="nil"/>
              <w:left w:val="nil"/>
              <w:bottom w:val="nil"/>
              <w:right w:val="nil"/>
            </w:tcBorders>
            <w:shd w:val="clear" w:color="000000" w:fill="E6E6E6"/>
            <w:noWrap/>
            <w:vAlign w:val="center"/>
            <w:hideMark/>
          </w:tcPr>
          <w:p w14:paraId="76EEDEB4" w14:textId="7D3FCC0F"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240 </w:t>
            </w:r>
          </w:p>
        </w:tc>
        <w:tc>
          <w:tcPr>
            <w:tcW w:w="578" w:type="pct"/>
            <w:tcBorders>
              <w:top w:val="nil"/>
              <w:left w:val="nil"/>
              <w:bottom w:val="nil"/>
              <w:right w:val="nil"/>
            </w:tcBorders>
            <w:shd w:val="clear" w:color="auto" w:fill="auto"/>
            <w:noWrap/>
            <w:vAlign w:val="center"/>
            <w:hideMark/>
          </w:tcPr>
          <w:p w14:paraId="44E294BA" w14:textId="5732ED9F"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240 </w:t>
            </w:r>
          </w:p>
        </w:tc>
        <w:tc>
          <w:tcPr>
            <w:tcW w:w="578" w:type="pct"/>
            <w:tcBorders>
              <w:top w:val="nil"/>
              <w:left w:val="nil"/>
              <w:bottom w:val="nil"/>
              <w:right w:val="nil"/>
            </w:tcBorders>
            <w:shd w:val="clear" w:color="auto" w:fill="auto"/>
            <w:noWrap/>
            <w:vAlign w:val="center"/>
            <w:hideMark/>
          </w:tcPr>
          <w:p w14:paraId="43708ECB" w14:textId="4DF9DE05"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240 </w:t>
            </w:r>
          </w:p>
        </w:tc>
        <w:tc>
          <w:tcPr>
            <w:tcW w:w="576" w:type="pct"/>
            <w:tcBorders>
              <w:top w:val="nil"/>
              <w:left w:val="nil"/>
              <w:bottom w:val="nil"/>
              <w:right w:val="nil"/>
            </w:tcBorders>
            <w:shd w:val="clear" w:color="auto" w:fill="auto"/>
            <w:noWrap/>
            <w:vAlign w:val="center"/>
            <w:hideMark/>
          </w:tcPr>
          <w:p w14:paraId="5022D8D0" w14:textId="4829BE78"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240 </w:t>
            </w:r>
          </w:p>
        </w:tc>
      </w:tr>
      <w:tr w:rsidR="0016435C" w:rsidRPr="0080618E" w14:paraId="273CA122" w14:textId="77777777" w:rsidTr="0016435C">
        <w:trPr>
          <w:trHeight w:val="210"/>
        </w:trPr>
        <w:tc>
          <w:tcPr>
            <w:tcW w:w="2113" w:type="pct"/>
            <w:tcBorders>
              <w:top w:val="nil"/>
              <w:left w:val="nil"/>
              <w:bottom w:val="nil"/>
              <w:right w:val="nil"/>
            </w:tcBorders>
            <w:shd w:val="clear" w:color="auto" w:fill="auto"/>
            <w:vAlign w:val="center"/>
            <w:hideMark/>
          </w:tcPr>
          <w:p w14:paraId="500D65B1" w14:textId="77777777"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Departmental total</w:t>
            </w:r>
          </w:p>
        </w:tc>
        <w:tc>
          <w:tcPr>
            <w:tcW w:w="578" w:type="pct"/>
            <w:tcBorders>
              <w:top w:val="single" w:sz="4" w:space="0" w:color="000000"/>
              <w:left w:val="nil"/>
              <w:bottom w:val="single" w:sz="4" w:space="0" w:color="000000"/>
              <w:right w:val="nil"/>
            </w:tcBorders>
            <w:shd w:val="clear" w:color="auto" w:fill="auto"/>
            <w:noWrap/>
            <w:vAlign w:val="center"/>
            <w:hideMark/>
          </w:tcPr>
          <w:p w14:paraId="2D031E07"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196,257 </w:t>
            </w:r>
          </w:p>
        </w:tc>
        <w:tc>
          <w:tcPr>
            <w:tcW w:w="578" w:type="pct"/>
            <w:tcBorders>
              <w:top w:val="single" w:sz="4" w:space="0" w:color="000000"/>
              <w:left w:val="nil"/>
              <w:bottom w:val="single" w:sz="4" w:space="0" w:color="000000"/>
              <w:right w:val="nil"/>
            </w:tcBorders>
            <w:shd w:val="clear" w:color="000000" w:fill="E6E6E6"/>
            <w:noWrap/>
            <w:vAlign w:val="center"/>
            <w:hideMark/>
          </w:tcPr>
          <w:p w14:paraId="6BA3CD81" w14:textId="46B88EF3"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225,815 </w:t>
            </w:r>
          </w:p>
        </w:tc>
        <w:tc>
          <w:tcPr>
            <w:tcW w:w="578" w:type="pct"/>
            <w:tcBorders>
              <w:top w:val="single" w:sz="4" w:space="0" w:color="000000"/>
              <w:left w:val="nil"/>
              <w:bottom w:val="single" w:sz="4" w:space="0" w:color="000000"/>
              <w:right w:val="nil"/>
            </w:tcBorders>
            <w:shd w:val="clear" w:color="auto" w:fill="auto"/>
            <w:noWrap/>
            <w:vAlign w:val="center"/>
            <w:hideMark/>
          </w:tcPr>
          <w:p w14:paraId="060FBB56" w14:textId="07BDCC33"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206,003 </w:t>
            </w:r>
          </w:p>
        </w:tc>
        <w:tc>
          <w:tcPr>
            <w:tcW w:w="578" w:type="pct"/>
            <w:tcBorders>
              <w:top w:val="single" w:sz="4" w:space="0" w:color="000000"/>
              <w:left w:val="nil"/>
              <w:bottom w:val="single" w:sz="4" w:space="0" w:color="000000"/>
              <w:right w:val="nil"/>
            </w:tcBorders>
            <w:shd w:val="clear" w:color="auto" w:fill="auto"/>
            <w:noWrap/>
            <w:vAlign w:val="center"/>
            <w:hideMark/>
          </w:tcPr>
          <w:p w14:paraId="24929442" w14:textId="60752143"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206,743 </w:t>
            </w:r>
          </w:p>
        </w:tc>
        <w:tc>
          <w:tcPr>
            <w:tcW w:w="576" w:type="pct"/>
            <w:tcBorders>
              <w:top w:val="single" w:sz="4" w:space="0" w:color="000000"/>
              <w:left w:val="nil"/>
              <w:bottom w:val="single" w:sz="4" w:space="0" w:color="000000"/>
              <w:right w:val="nil"/>
            </w:tcBorders>
            <w:shd w:val="clear" w:color="auto" w:fill="auto"/>
            <w:noWrap/>
            <w:vAlign w:val="center"/>
            <w:hideMark/>
          </w:tcPr>
          <w:p w14:paraId="264E5C6E" w14:textId="30E32198"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206,894 </w:t>
            </w:r>
          </w:p>
        </w:tc>
      </w:tr>
      <w:tr w:rsidR="0016435C" w:rsidRPr="0080618E" w14:paraId="3687D3C0" w14:textId="77777777" w:rsidTr="0016435C">
        <w:trPr>
          <w:trHeight w:val="210"/>
        </w:trPr>
        <w:tc>
          <w:tcPr>
            <w:tcW w:w="2113" w:type="pct"/>
            <w:tcBorders>
              <w:top w:val="nil"/>
              <w:left w:val="nil"/>
              <w:bottom w:val="single" w:sz="4" w:space="0" w:color="000000"/>
              <w:right w:val="nil"/>
            </w:tcBorders>
            <w:shd w:val="clear" w:color="auto" w:fill="auto"/>
            <w:vAlign w:val="center"/>
            <w:hideMark/>
          </w:tcPr>
          <w:p w14:paraId="5BFE5F87" w14:textId="77777777" w:rsidR="0016435C" w:rsidRPr="00043432" w:rsidRDefault="0016435C"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expenses for program 1.1</w:t>
            </w:r>
          </w:p>
        </w:tc>
        <w:tc>
          <w:tcPr>
            <w:tcW w:w="578" w:type="pct"/>
            <w:tcBorders>
              <w:top w:val="nil"/>
              <w:left w:val="nil"/>
              <w:bottom w:val="single" w:sz="4" w:space="0" w:color="000000"/>
              <w:right w:val="nil"/>
            </w:tcBorders>
            <w:shd w:val="clear" w:color="auto" w:fill="auto"/>
            <w:noWrap/>
            <w:vAlign w:val="center"/>
            <w:hideMark/>
          </w:tcPr>
          <w:p w14:paraId="48A3B780" w14:textId="77777777" w:rsidR="0016435C" w:rsidRPr="00043432" w:rsidRDefault="0016435C"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646,312 </w:t>
            </w:r>
          </w:p>
        </w:tc>
        <w:tc>
          <w:tcPr>
            <w:tcW w:w="578" w:type="pct"/>
            <w:tcBorders>
              <w:top w:val="nil"/>
              <w:left w:val="nil"/>
              <w:bottom w:val="single" w:sz="4" w:space="0" w:color="000000"/>
              <w:right w:val="nil"/>
            </w:tcBorders>
            <w:shd w:val="clear" w:color="000000" w:fill="E6E6E6"/>
            <w:noWrap/>
            <w:vAlign w:val="center"/>
            <w:hideMark/>
          </w:tcPr>
          <w:p w14:paraId="4BC39433" w14:textId="6F792F90" w:rsidR="0016435C" w:rsidRPr="00043432" w:rsidRDefault="0016435C"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675,870 </w:t>
            </w:r>
          </w:p>
        </w:tc>
        <w:tc>
          <w:tcPr>
            <w:tcW w:w="578" w:type="pct"/>
            <w:tcBorders>
              <w:top w:val="nil"/>
              <w:left w:val="nil"/>
              <w:bottom w:val="single" w:sz="4" w:space="0" w:color="000000"/>
              <w:right w:val="nil"/>
            </w:tcBorders>
            <w:shd w:val="clear" w:color="auto" w:fill="auto"/>
            <w:noWrap/>
            <w:vAlign w:val="center"/>
            <w:hideMark/>
          </w:tcPr>
          <w:p w14:paraId="2919352E" w14:textId="236DD393"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656,058 </w:t>
            </w:r>
          </w:p>
        </w:tc>
        <w:tc>
          <w:tcPr>
            <w:tcW w:w="578" w:type="pct"/>
            <w:tcBorders>
              <w:top w:val="nil"/>
              <w:left w:val="nil"/>
              <w:bottom w:val="single" w:sz="4" w:space="0" w:color="000000"/>
              <w:right w:val="nil"/>
            </w:tcBorders>
            <w:shd w:val="clear" w:color="auto" w:fill="auto"/>
            <w:noWrap/>
            <w:vAlign w:val="center"/>
            <w:hideMark/>
          </w:tcPr>
          <w:p w14:paraId="4719F895" w14:textId="714FE792"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656,798 </w:t>
            </w:r>
          </w:p>
        </w:tc>
        <w:tc>
          <w:tcPr>
            <w:tcW w:w="576" w:type="pct"/>
            <w:tcBorders>
              <w:top w:val="nil"/>
              <w:left w:val="nil"/>
              <w:bottom w:val="single" w:sz="4" w:space="0" w:color="000000"/>
              <w:right w:val="nil"/>
            </w:tcBorders>
            <w:shd w:val="clear" w:color="auto" w:fill="auto"/>
            <w:noWrap/>
            <w:vAlign w:val="center"/>
            <w:hideMark/>
          </w:tcPr>
          <w:p w14:paraId="4A6241EC" w14:textId="722D1B2B"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656,949 </w:t>
            </w:r>
          </w:p>
        </w:tc>
      </w:tr>
      <w:tr w:rsidR="0016435C" w:rsidRPr="0080618E" w14:paraId="58818C4F" w14:textId="77777777" w:rsidTr="0016435C">
        <w:trPr>
          <w:trHeight w:val="210"/>
        </w:trPr>
        <w:tc>
          <w:tcPr>
            <w:tcW w:w="2113" w:type="pct"/>
            <w:tcBorders>
              <w:top w:val="nil"/>
              <w:left w:val="nil"/>
              <w:bottom w:val="single" w:sz="4" w:space="0" w:color="auto"/>
              <w:right w:val="nil"/>
            </w:tcBorders>
            <w:shd w:val="clear" w:color="auto" w:fill="auto"/>
            <w:noWrap/>
            <w:vAlign w:val="center"/>
            <w:hideMark/>
          </w:tcPr>
          <w:p w14:paraId="13D33E80" w14:textId="77777777" w:rsidR="0016435C" w:rsidRPr="00043432" w:rsidRDefault="0016435C"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expenses for Outcome 1</w:t>
            </w:r>
          </w:p>
        </w:tc>
        <w:tc>
          <w:tcPr>
            <w:tcW w:w="578" w:type="pct"/>
            <w:tcBorders>
              <w:top w:val="single" w:sz="4" w:space="0" w:color="auto"/>
              <w:left w:val="nil"/>
              <w:bottom w:val="single" w:sz="4" w:space="0" w:color="auto"/>
              <w:right w:val="nil"/>
            </w:tcBorders>
            <w:shd w:val="clear" w:color="auto" w:fill="auto"/>
            <w:noWrap/>
            <w:vAlign w:val="center"/>
            <w:hideMark/>
          </w:tcPr>
          <w:p w14:paraId="2A116E7F" w14:textId="77777777" w:rsidR="0016435C" w:rsidRPr="00043432" w:rsidRDefault="0016435C"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646,312 </w:t>
            </w:r>
          </w:p>
        </w:tc>
        <w:tc>
          <w:tcPr>
            <w:tcW w:w="578" w:type="pct"/>
            <w:tcBorders>
              <w:top w:val="single" w:sz="4" w:space="0" w:color="auto"/>
              <w:left w:val="nil"/>
              <w:bottom w:val="single" w:sz="4" w:space="0" w:color="auto"/>
              <w:right w:val="nil"/>
            </w:tcBorders>
            <w:shd w:val="clear" w:color="000000" w:fill="E6E6E6"/>
            <w:noWrap/>
            <w:vAlign w:val="center"/>
            <w:hideMark/>
          </w:tcPr>
          <w:p w14:paraId="79C8C83D" w14:textId="683F744C" w:rsidR="0016435C" w:rsidRPr="00043432" w:rsidRDefault="0016435C"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675,870 </w:t>
            </w:r>
          </w:p>
        </w:tc>
        <w:tc>
          <w:tcPr>
            <w:tcW w:w="578" w:type="pct"/>
            <w:tcBorders>
              <w:top w:val="single" w:sz="4" w:space="0" w:color="auto"/>
              <w:left w:val="nil"/>
              <w:bottom w:val="single" w:sz="4" w:space="0" w:color="auto"/>
              <w:right w:val="nil"/>
            </w:tcBorders>
            <w:shd w:val="clear" w:color="auto" w:fill="auto"/>
            <w:noWrap/>
            <w:vAlign w:val="center"/>
            <w:hideMark/>
          </w:tcPr>
          <w:p w14:paraId="26B6BEA7" w14:textId="4B0E6356"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656,058 </w:t>
            </w:r>
          </w:p>
        </w:tc>
        <w:tc>
          <w:tcPr>
            <w:tcW w:w="578" w:type="pct"/>
            <w:tcBorders>
              <w:top w:val="single" w:sz="4" w:space="0" w:color="auto"/>
              <w:left w:val="nil"/>
              <w:bottom w:val="single" w:sz="4" w:space="0" w:color="auto"/>
              <w:right w:val="nil"/>
            </w:tcBorders>
            <w:shd w:val="clear" w:color="auto" w:fill="auto"/>
            <w:noWrap/>
            <w:vAlign w:val="center"/>
            <w:hideMark/>
          </w:tcPr>
          <w:p w14:paraId="4BBCD520" w14:textId="30503600"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656,798 </w:t>
            </w:r>
          </w:p>
        </w:tc>
        <w:tc>
          <w:tcPr>
            <w:tcW w:w="576" w:type="pct"/>
            <w:tcBorders>
              <w:top w:val="single" w:sz="4" w:space="0" w:color="auto"/>
              <w:left w:val="nil"/>
              <w:bottom w:val="single" w:sz="4" w:space="0" w:color="auto"/>
              <w:right w:val="nil"/>
            </w:tcBorders>
            <w:shd w:val="clear" w:color="auto" w:fill="auto"/>
            <w:noWrap/>
            <w:vAlign w:val="center"/>
            <w:hideMark/>
          </w:tcPr>
          <w:p w14:paraId="2648F8E7" w14:textId="45821754"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656,949 </w:t>
            </w:r>
          </w:p>
        </w:tc>
      </w:tr>
      <w:tr w:rsidR="0016435C" w:rsidRPr="0080618E" w14:paraId="14BD9B3B" w14:textId="77777777" w:rsidTr="0016435C">
        <w:trPr>
          <w:trHeight w:val="238"/>
        </w:trPr>
        <w:tc>
          <w:tcPr>
            <w:tcW w:w="2113" w:type="pct"/>
            <w:tcBorders>
              <w:top w:val="nil"/>
              <w:left w:val="nil"/>
              <w:bottom w:val="nil"/>
              <w:right w:val="nil"/>
            </w:tcBorders>
            <w:shd w:val="clear" w:color="auto" w:fill="auto"/>
            <w:noWrap/>
            <w:vAlign w:val="center"/>
            <w:hideMark/>
          </w:tcPr>
          <w:p w14:paraId="7CF09D18" w14:textId="77777777" w:rsidR="0016435C" w:rsidRPr="00043432" w:rsidRDefault="0016435C" w:rsidP="00043432">
            <w:pPr>
              <w:pStyle w:val="ListParagraph"/>
              <w:numPr>
                <w:ilvl w:val="0"/>
                <w:numId w:val="20"/>
              </w:numPr>
              <w:spacing w:after="0"/>
              <w:jc w:val="right"/>
              <w:rPr>
                <w:rFonts w:eastAsia="Times New Roman" w:cs="Arial"/>
                <w:b/>
                <w:bCs/>
                <w:color w:val="auto"/>
                <w:sz w:val="16"/>
                <w:szCs w:val="16"/>
                <w:lang w:eastAsia="en-AU"/>
              </w:rPr>
            </w:pPr>
          </w:p>
        </w:tc>
        <w:tc>
          <w:tcPr>
            <w:tcW w:w="578" w:type="pct"/>
            <w:tcBorders>
              <w:top w:val="nil"/>
              <w:left w:val="nil"/>
              <w:bottom w:val="nil"/>
              <w:right w:val="nil"/>
            </w:tcBorders>
            <w:shd w:val="clear" w:color="auto" w:fill="auto"/>
            <w:noWrap/>
            <w:vAlign w:val="center"/>
            <w:hideMark/>
          </w:tcPr>
          <w:p w14:paraId="35C79F39"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center"/>
            <w:hideMark/>
          </w:tcPr>
          <w:p w14:paraId="46343123" w14:textId="77777777" w:rsidR="0016435C" w:rsidRPr="00043432" w:rsidRDefault="0016435C"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center"/>
            <w:hideMark/>
          </w:tcPr>
          <w:p w14:paraId="5B4DE6FA" w14:textId="77777777" w:rsidR="0016435C" w:rsidRPr="00043432" w:rsidRDefault="0016435C"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center"/>
            <w:hideMark/>
          </w:tcPr>
          <w:p w14:paraId="56A2E7CD"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6" w:type="pct"/>
            <w:tcBorders>
              <w:top w:val="nil"/>
              <w:left w:val="nil"/>
              <w:bottom w:val="nil"/>
              <w:right w:val="nil"/>
            </w:tcBorders>
            <w:shd w:val="clear" w:color="auto" w:fill="auto"/>
            <w:noWrap/>
            <w:vAlign w:val="center"/>
            <w:hideMark/>
          </w:tcPr>
          <w:p w14:paraId="42A37B4A"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16435C" w:rsidRPr="0080618E" w14:paraId="65E520F4" w14:textId="77777777" w:rsidTr="0016435C">
        <w:trPr>
          <w:trHeight w:val="210"/>
        </w:trPr>
        <w:tc>
          <w:tcPr>
            <w:tcW w:w="2113" w:type="pct"/>
            <w:tcBorders>
              <w:top w:val="single" w:sz="4" w:space="0" w:color="000000"/>
              <w:left w:val="nil"/>
              <w:bottom w:val="nil"/>
              <w:right w:val="nil"/>
            </w:tcBorders>
            <w:shd w:val="clear" w:color="auto" w:fill="auto"/>
            <w:noWrap/>
            <w:vAlign w:val="center"/>
            <w:hideMark/>
          </w:tcPr>
          <w:p w14:paraId="48F8D5A3" w14:textId="77777777" w:rsidR="0016435C" w:rsidRPr="00043432" w:rsidRDefault="0016435C"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single" w:sz="4" w:space="0" w:color="auto"/>
              <w:left w:val="nil"/>
              <w:bottom w:val="single" w:sz="4" w:space="0" w:color="auto"/>
              <w:right w:val="nil"/>
            </w:tcBorders>
            <w:shd w:val="clear" w:color="auto" w:fill="auto"/>
            <w:noWrap/>
            <w:vAlign w:val="center"/>
            <w:hideMark/>
          </w:tcPr>
          <w:p w14:paraId="0D28B8B1"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w:t>
            </w:r>
          </w:p>
        </w:tc>
        <w:tc>
          <w:tcPr>
            <w:tcW w:w="578" w:type="pct"/>
            <w:tcBorders>
              <w:top w:val="single" w:sz="4" w:space="0" w:color="auto"/>
              <w:left w:val="nil"/>
              <w:bottom w:val="single" w:sz="4" w:space="0" w:color="auto"/>
              <w:right w:val="nil"/>
            </w:tcBorders>
            <w:shd w:val="clear" w:color="000000" w:fill="E6E6E6"/>
            <w:noWrap/>
            <w:vAlign w:val="center"/>
            <w:hideMark/>
          </w:tcPr>
          <w:p w14:paraId="6E42160C"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p>
        </w:tc>
        <w:tc>
          <w:tcPr>
            <w:tcW w:w="578" w:type="pct"/>
            <w:tcBorders>
              <w:top w:val="nil"/>
              <w:left w:val="nil"/>
              <w:bottom w:val="nil"/>
              <w:right w:val="nil"/>
            </w:tcBorders>
            <w:shd w:val="clear" w:color="auto" w:fill="auto"/>
            <w:noWrap/>
            <w:vAlign w:val="center"/>
            <w:hideMark/>
          </w:tcPr>
          <w:p w14:paraId="7854A997" w14:textId="77777777" w:rsidR="0016435C" w:rsidRPr="00043432" w:rsidRDefault="0016435C" w:rsidP="00043432">
            <w:pPr>
              <w:pStyle w:val="ListParagraph"/>
              <w:numPr>
                <w:ilvl w:val="0"/>
                <w:numId w:val="20"/>
              </w:numPr>
              <w:spacing w:after="0"/>
              <w:jc w:val="right"/>
              <w:rPr>
                <w:rFonts w:eastAsia="Times New Roman" w:cs="Arial"/>
                <w:color w:val="auto"/>
                <w:sz w:val="16"/>
                <w:szCs w:val="16"/>
                <w:lang w:eastAsia="en-AU"/>
              </w:rPr>
            </w:pPr>
          </w:p>
        </w:tc>
        <w:tc>
          <w:tcPr>
            <w:tcW w:w="578" w:type="pct"/>
            <w:tcBorders>
              <w:top w:val="nil"/>
              <w:left w:val="nil"/>
              <w:bottom w:val="nil"/>
              <w:right w:val="nil"/>
            </w:tcBorders>
            <w:shd w:val="clear" w:color="auto" w:fill="auto"/>
            <w:noWrap/>
            <w:vAlign w:val="center"/>
            <w:hideMark/>
          </w:tcPr>
          <w:p w14:paraId="62FB00F6"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6" w:type="pct"/>
            <w:tcBorders>
              <w:top w:val="nil"/>
              <w:left w:val="nil"/>
              <w:bottom w:val="nil"/>
              <w:right w:val="nil"/>
            </w:tcBorders>
            <w:shd w:val="clear" w:color="auto" w:fill="auto"/>
            <w:noWrap/>
            <w:vAlign w:val="center"/>
            <w:hideMark/>
          </w:tcPr>
          <w:p w14:paraId="5260C7FD"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16435C" w:rsidRPr="0080618E" w14:paraId="452BA757" w14:textId="77777777" w:rsidTr="0016435C">
        <w:trPr>
          <w:trHeight w:val="210"/>
        </w:trPr>
        <w:tc>
          <w:tcPr>
            <w:tcW w:w="2113" w:type="pct"/>
            <w:tcBorders>
              <w:top w:val="nil"/>
              <w:left w:val="nil"/>
              <w:bottom w:val="single" w:sz="4" w:space="0" w:color="000000"/>
              <w:right w:val="nil"/>
            </w:tcBorders>
            <w:shd w:val="clear" w:color="auto" w:fill="auto"/>
            <w:noWrap/>
            <w:vAlign w:val="center"/>
            <w:hideMark/>
          </w:tcPr>
          <w:p w14:paraId="222E2DFF" w14:textId="77777777" w:rsidR="0016435C" w:rsidRPr="00043432" w:rsidRDefault="0016435C"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Average staffing level (number)</w:t>
            </w:r>
          </w:p>
        </w:tc>
        <w:tc>
          <w:tcPr>
            <w:tcW w:w="578" w:type="pct"/>
            <w:tcBorders>
              <w:top w:val="nil"/>
              <w:left w:val="nil"/>
              <w:bottom w:val="single" w:sz="4" w:space="0" w:color="auto"/>
              <w:right w:val="nil"/>
            </w:tcBorders>
            <w:shd w:val="clear" w:color="000000" w:fill="FFFFFF"/>
            <w:noWrap/>
            <w:vAlign w:val="center"/>
            <w:hideMark/>
          </w:tcPr>
          <w:p w14:paraId="60A7650E" w14:textId="77777777"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785 </w:t>
            </w:r>
          </w:p>
        </w:tc>
        <w:tc>
          <w:tcPr>
            <w:tcW w:w="578" w:type="pct"/>
            <w:tcBorders>
              <w:top w:val="nil"/>
              <w:left w:val="nil"/>
              <w:bottom w:val="single" w:sz="4" w:space="0" w:color="auto"/>
              <w:right w:val="nil"/>
            </w:tcBorders>
            <w:shd w:val="clear" w:color="000000" w:fill="E6E6E6"/>
            <w:noWrap/>
            <w:vAlign w:val="center"/>
            <w:hideMark/>
          </w:tcPr>
          <w:p w14:paraId="10DCA6A0" w14:textId="72E33D9A" w:rsidR="0016435C" w:rsidRPr="00043432" w:rsidRDefault="0016435C"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82</w:t>
            </w:r>
            <w:r w:rsidR="00314FAB" w:rsidRPr="00043432">
              <w:rPr>
                <w:rFonts w:eastAsia="Times New Roman" w:cs="Arial"/>
                <w:sz w:val="16"/>
                <w:szCs w:val="16"/>
                <w:lang w:eastAsia="en-AU"/>
              </w:rPr>
              <w:t>9</w:t>
            </w:r>
            <w:r w:rsidRPr="00043432">
              <w:rPr>
                <w:rFonts w:eastAsia="Times New Roman" w:cs="Arial"/>
                <w:sz w:val="16"/>
                <w:szCs w:val="16"/>
                <w:lang w:eastAsia="en-AU"/>
              </w:rPr>
              <w:t xml:space="preserve"> </w:t>
            </w:r>
          </w:p>
        </w:tc>
        <w:tc>
          <w:tcPr>
            <w:tcW w:w="578" w:type="pct"/>
            <w:tcBorders>
              <w:top w:val="nil"/>
              <w:left w:val="nil"/>
              <w:bottom w:val="nil"/>
              <w:right w:val="nil"/>
            </w:tcBorders>
            <w:shd w:val="clear" w:color="000000" w:fill="FFFFFF"/>
            <w:noWrap/>
            <w:vAlign w:val="bottom"/>
            <w:hideMark/>
          </w:tcPr>
          <w:p w14:paraId="7BF1081C" w14:textId="77777777" w:rsidR="0016435C" w:rsidRPr="00043432" w:rsidRDefault="0016435C" w:rsidP="00043432">
            <w:pPr>
              <w:pStyle w:val="ListParagraph"/>
              <w:numPr>
                <w:ilvl w:val="0"/>
                <w:numId w:val="20"/>
              </w:numPr>
              <w:spacing w:after="0"/>
              <w:jc w:val="left"/>
              <w:rPr>
                <w:rFonts w:eastAsia="Times New Roman" w:cs="Arial"/>
                <w:color w:val="0000FF"/>
                <w:sz w:val="16"/>
                <w:szCs w:val="16"/>
                <w:lang w:eastAsia="en-AU"/>
              </w:rPr>
            </w:pPr>
            <w:r w:rsidRPr="00043432">
              <w:rPr>
                <w:rFonts w:eastAsia="Times New Roman" w:cs="Arial"/>
                <w:color w:val="0000FF"/>
                <w:sz w:val="16"/>
                <w:szCs w:val="16"/>
                <w:lang w:eastAsia="en-AU"/>
              </w:rPr>
              <w:t> </w:t>
            </w:r>
          </w:p>
        </w:tc>
        <w:tc>
          <w:tcPr>
            <w:tcW w:w="578" w:type="pct"/>
            <w:tcBorders>
              <w:top w:val="nil"/>
              <w:left w:val="nil"/>
              <w:bottom w:val="nil"/>
              <w:right w:val="nil"/>
            </w:tcBorders>
            <w:shd w:val="clear" w:color="auto" w:fill="auto"/>
            <w:noWrap/>
            <w:vAlign w:val="center"/>
            <w:hideMark/>
          </w:tcPr>
          <w:p w14:paraId="68D11F04" w14:textId="77777777" w:rsidR="0016435C" w:rsidRPr="00043432" w:rsidRDefault="0016435C" w:rsidP="00043432">
            <w:pPr>
              <w:pStyle w:val="ListParagraph"/>
              <w:numPr>
                <w:ilvl w:val="0"/>
                <w:numId w:val="20"/>
              </w:numPr>
              <w:spacing w:after="0"/>
              <w:jc w:val="left"/>
              <w:rPr>
                <w:rFonts w:eastAsia="Times New Roman" w:cs="Arial"/>
                <w:color w:val="0000FF"/>
                <w:sz w:val="16"/>
                <w:szCs w:val="16"/>
                <w:lang w:eastAsia="en-AU"/>
              </w:rPr>
            </w:pPr>
          </w:p>
        </w:tc>
        <w:tc>
          <w:tcPr>
            <w:tcW w:w="576" w:type="pct"/>
            <w:tcBorders>
              <w:top w:val="nil"/>
              <w:left w:val="nil"/>
              <w:bottom w:val="nil"/>
              <w:right w:val="nil"/>
            </w:tcBorders>
            <w:shd w:val="clear" w:color="auto" w:fill="auto"/>
            <w:noWrap/>
            <w:vAlign w:val="center"/>
            <w:hideMark/>
          </w:tcPr>
          <w:p w14:paraId="399FDE9B" w14:textId="77777777" w:rsidR="0016435C" w:rsidRPr="00043432" w:rsidRDefault="0016435C"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bl>
    <w:p w14:paraId="728551D6" w14:textId="77777777" w:rsidR="000F5AB1" w:rsidRPr="00043432" w:rsidRDefault="000F5AB1" w:rsidP="00043432">
      <w:pPr>
        <w:pStyle w:val="ListParagraph"/>
        <w:numPr>
          <w:ilvl w:val="0"/>
          <w:numId w:val="20"/>
        </w:numPr>
        <w:spacing w:after="0"/>
        <w:rPr>
          <w:sz w:val="16"/>
          <w:szCs w:val="16"/>
          <w:lang w:eastAsia="en-AU"/>
        </w:rPr>
      </w:pPr>
      <w:r w:rsidRPr="00043432">
        <w:rPr>
          <w:sz w:val="16"/>
          <w:szCs w:val="16"/>
          <w:lang w:eastAsia="en-AU"/>
        </w:rPr>
        <w:t>(a) Private Health Insurance Industry risk equalisation payments.</w:t>
      </w:r>
    </w:p>
    <w:p w14:paraId="7FA17F8A" w14:textId="77777777" w:rsidR="000F5AB1" w:rsidRDefault="000F5AB1" w:rsidP="000F5AB1">
      <w:pPr>
        <w:pStyle w:val="Source"/>
      </w:pPr>
      <w:r w:rsidRPr="00B6328F">
        <w:t>(b) Estimated expenses incurred in relation to receipts retained under section 74 of the PGPA Act 2013.</w:t>
      </w:r>
    </w:p>
    <w:p w14:paraId="71A6DAA0" w14:textId="77777777" w:rsidR="000F5AB1" w:rsidRDefault="000F5AB1" w:rsidP="000F5AB1">
      <w:pPr>
        <w:pStyle w:val="Source"/>
      </w:pPr>
      <w:r w:rsidRPr="00B6328F">
        <w:t>(c) Expenses not requiring appropriation in the Budget year are made up of ANAO audit services that are received free of charge, however the expense is recognised along with an equal and offsetting income stream.</w:t>
      </w:r>
    </w:p>
    <w:p w14:paraId="291E11F4" w14:textId="77777777" w:rsidR="000F5AB1" w:rsidRPr="0094379D" w:rsidRDefault="000F5AB1" w:rsidP="000F5AB1">
      <w:pPr>
        <w:pStyle w:val="Source"/>
      </w:pPr>
      <w:r w:rsidRPr="00B6328F">
        <w:t>Note: Departmental appropriation splits and totals are indicative estimates and may change in the course of the budget year as government priorities change.</w:t>
      </w:r>
    </w:p>
    <w:p w14:paraId="3DC16E89" w14:textId="400DF539" w:rsidR="00B14D12" w:rsidRDefault="00B14D12" w:rsidP="00B14D12">
      <w:pPr>
        <w:pStyle w:val="ChartandTableFootnoteAlpha"/>
        <w:numPr>
          <w:ilvl w:val="0"/>
          <w:numId w:val="0"/>
        </w:numPr>
      </w:pPr>
      <w:r>
        <w:tab/>
      </w:r>
      <w:r>
        <w:tab/>
      </w:r>
      <w:r>
        <w:tab/>
      </w:r>
      <w:r>
        <w:tab/>
      </w:r>
      <w:r>
        <w:tab/>
      </w:r>
    </w:p>
    <w:p w14:paraId="25FD4951" w14:textId="619B9294" w:rsidR="0008358A" w:rsidRDefault="0008358A" w:rsidP="0008358A">
      <w:pPr>
        <w:pStyle w:val="Source"/>
      </w:pPr>
    </w:p>
    <w:p w14:paraId="00F27621" w14:textId="14F9DBC3" w:rsidR="0008358A" w:rsidRPr="00F77B3F" w:rsidRDefault="0008358A" w:rsidP="0008358A">
      <w:pPr>
        <w:pStyle w:val="TableHeading"/>
      </w:pPr>
      <w:bookmarkStart w:id="20" w:name="_Toc190682315"/>
      <w:bookmarkStart w:id="21" w:name="_Toc190682532"/>
      <w:bookmarkEnd w:id="16"/>
      <w:bookmarkEnd w:id="17"/>
      <w:r>
        <w:rPr>
          <w:highlight w:val="yellow"/>
          <w:lang w:val="en-US"/>
        </w:rPr>
        <w:br w:type="page"/>
      </w:r>
      <w:r w:rsidR="000F5AB1" w:rsidRPr="00E57ECC">
        <w:rPr>
          <w:rFonts w:eastAsia="Times New Roman" w:cs="Arial"/>
          <w:i w:val="0"/>
          <w:color w:val="auto"/>
          <w:sz w:val="20"/>
          <w:szCs w:val="20"/>
          <w:lang w:eastAsia="en-AU"/>
        </w:rPr>
        <w:lastRenderedPageBreak/>
        <w:t>Table 2.2: Performance criteria for Outcome 1</w:t>
      </w:r>
    </w:p>
    <w:p w14:paraId="70AA9153" w14:textId="349D5CBD" w:rsidR="0008358A" w:rsidRPr="00043432" w:rsidRDefault="0008358A" w:rsidP="00043432">
      <w:pPr>
        <w:pStyle w:val="ListParagraph"/>
        <w:numPr>
          <w:ilvl w:val="0"/>
          <w:numId w:val="20"/>
        </w:numPr>
        <w:rPr>
          <w:rFonts w:ascii="Book Antiqua" w:hAnsi="Book Antiqua"/>
          <w:sz w:val="20"/>
        </w:rPr>
      </w:pPr>
      <w:r w:rsidRPr="00043432">
        <w:rPr>
          <w:rFonts w:ascii="Book Antiqua" w:hAnsi="Book Antiqua"/>
          <w:sz w:val="20"/>
        </w:rPr>
        <w:t>Table 2.2 below details the performance criteria for each program associated with Outcome 1. It also summarises how each program is delivered and where 20</w:t>
      </w:r>
      <w:r w:rsidR="008174E5" w:rsidRPr="00043432">
        <w:rPr>
          <w:rFonts w:ascii="Book Antiqua" w:hAnsi="Book Antiqua"/>
          <w:sz w:val="20"/>
        </w:rPr>
        <w:t>2</w:t>
      </w:r>
      <w:r w:rsidR="00FC2A10" w:rsidRPr="00043432">
        <w:rPr>
          <w:rFonts w:ascii="Book Antiqua" w:hAnsi="Book Antiqua"/>
          <w:sz w:val="20"/>
        </w:rPr>
        <w:t>1</w:t>
      </w:r>
      <w:r w:rsidRPr="00043432">
        <w:rPr>
          <w:rFonts w:ascii="Book Antiqua" w:hAnsi="Book Antiqua"/>
          <w:sz w:val="20"/>
        </w:rPr>
        <w:t>-2</w:t>
      </w:r>
      <w:r w:rsidR="00FC2A10" w:rsidRPr="00043432">
        <w:rPr>
          <w:rFonts w:ascii="Book Antiqua" w:hAnsi="Book Antiqua"/>
          <w:sz w:val="20"/>
        </w:rPr>
        <w:t>2</w:t>
      </w:r>
      <w:r w:rsidRPr="00043432">
        <w:rPr>
          <w:rFonts w:ascii="Book Antiqua" w:hAnsi="Book Antiqua"/>
          <w:sz w:val="20"/>
        </w:rPr>
        <w:t xml:space="preserve"> Budget measures have created new programs or materially changed existing programs.</w:t>
      </w:r>
    </w:p>
    <w:tbl>
      <w:tblPr>
        <w:tblpPr w:leftFromText="180" w:rightFromText="180" w:vertAnchor="text" w:tblpX="108"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08358A" w:rsidRPr="0008358A" w14:paraId="487031B2" w14:textId="77777777" w:rsidTr="005D47FA">
        <w:trPr>
          <w:tblHeader/>
        </w:trPr>
        <w:tc>
          <w:tcPr>
            <w:tcW w:w="7741" w:type="dxa"/>
            <w:gridSpan w:val="3"/>
            <w:shd w:val="clear" w:color="auto" w:fill="F2F2F2"/>
          </w:tcPr>
          <w:p w14:paraId="5A9605FA" w14:textId="61EEC1E5" w:rsidR="0008358A" w:rsidRPr="00F53993" w:rsidRDefault="0008358A" w:rsidP="005D47FA">
            <w:pPr>
              <w:pStyle w:val="TableColumnHeadingLeft"/>
            </w:pPr>
            <w:r w:rsidRPr="00F53993">
              <w:t xml:space="preserve">Outcome 1 – </w:t>
            </w:r>
            <w:r w:rsidRPr="00F53993">
              <w:rPr>
                <w:b w:val="0"/>
              </w:rPr>
              <w:t>Enhanced public confidence in Australia’s financial institutions through a framework of prudential regulation which balances financial safety and efficiency, competition, contestability and competitive neutrality and, in balancing these objectives, promotes financial system stability in Australia.</w:t>
            </w:r>
          </w:p>
        </w:tc>
      </w:tr>
      <w:tr w:rsidR="0008358A" w:rsidRPr="0008358A" w14:paraId="46BFF74B" w14:textId="77777777" w:rsidTr="005D47FA">
        <w:trPr>
          <w:tblHeader/>
        </w:trPr>
        <w:tc>
          <w:tcPr>
            <w:tcW w:w="7741" w:type="dxa"/>
            <w:gridSpan w:val="3"/>
            <w:shd w:val="clear" w:color="auto" w:fill="F2F2F2"/>
          </w:tcPr>
          <w:p w14:paraId="132F4665" w14:textId="77777777" w:rsidR="0008358A" w:rsidRPr="00043432" w:rsidRDefault="0008358A" w:rsidP="00043432">
            <w:pPr>
              <w:pStyle w:val="ListParagraph"/>
              <w:numPr>
                <w:ilvl w:val="0"/>
                <w:numId w:val="20"/>
              </w:numPr>
              <w:tabs>
                <w:tab w:val="left" w:pos="709"/>
              </w:tabs>
              <w:spacing w:before="60" w:after="60"/>
              <w:jc w:val="left"/>
              <w:rPr>
                <w:rFonts w:cs="Arial"/>
                <w:b/>
                <w:sz w:val="16"/>
                <w:szCs w:val="16"/>
              </w:rPr>
            </w:pPr>
            <w:r w:rsidRPr="00043432">
              <w:rPr>
                <w:rFonts w:cs="Arial"/>
                <w:b/>
                <w:sz w:val="16"/>
                <w:szCs w:val="16"/>
              </w:rPr>
              <w:t>Program 1.1</w:t>
            </w:r>
            <w:r w:rsidRPr="00043432">
              <w:rPr>
                <w:rFonts w:cs="Arial"/>
                <w:sz w:val="16"/>
                <w:szCs w:val="16"/>
              </w:rPr>
              <w:t xml:space="preserve"> – </w:t>
            </w:r>
            <w:r w:rsidRPr="00043432">
              <w:rPr>
                <w:rFonts w:cs="Arial"/>
                <w:b/>
                <w:sz w:val="16"/>
                <w:szCs w:val="16"/>
              </w:rPr>
              <w:t>Australian Prudential Regulation Authority</w:t>
            </w:r>
          </w:p>
          <w:p w14:paraId="17AC442C" w14:textId="13FB94AE" w:rsidR="0008358A" w:rsidRPr="00043432" w:rsidRDefault="0008358A" w:rsidP="00043432">
            <w:pPr>
              <w:pStyle w:val="ListParagraph"/>
              <w:numPr>
                <w:ilvl w:val="0"/>
                <w:numId w:val="20"/>
              </w:numPr>
              <w:tabs>
                <w:tab w:val="left" w:pos="709"/>
              </w:tabs>
              <w:spacing w:before="60" w:after="60"/>
              <w:jc w:val="left"/>
              <w:rPr>
                <w:rFonts w:cs="Arial"/>
                <w:sz w:val="16"/>
                <w:szCs w:val="16"/>
              </w:rPr>
            </w:pPr>
            <w:r w:rsidRPr="00043432">
              <w:rPr>
                <w:rFonts w:cs="Arial"/>
                <w:sz w:val="16"/>
              </w:rPr>
              <w:t>To enhance public confidence in Australia’s financial institutions through establishing and enforcing prudential standards and practice</w:t>
            </w:r>
            <w:r w:rsidR="009075DB" w:rsidRPr="00043432">
              <w:rPr>
                <w:rFonts w:cs="Arial"/>
                <w:sz w:val="16"/>
              </w:rPr>
              <w:t xml:space="preserve"> and delivering on APRA’s strategic objectives set out in its Corporate Plan.</w:t>
            </w:r>
          </w:p>
        </w:tc>
      </w:tr>
      <w:tr w:rsidR="0008358A" w:rsidRPr="0008358A" w14:paraId="664542CD" w14:textId="77777777" w:rsidTr="005D47FA">
        <w:tc>
          <w:tcPr>
            <w:tcW w:w="1701" w:type="dxa"/>
            <w:tcBorders>
              <w:bottom w:val="double" w:sz="4" w:space="0" w:color="auto"/>
            </w:tcBorders>
          </w:tcPr>
          <w:p w14:paraId="4D7ED1A3" w14:textId="77777777" w:rsidR="0008358A" w:rsidRPr="00043432" w:rsidRDefault="0008358A" w:rsidP="00043432">
            <w:pPr>
              <w:pStyle w:val="ListParagraph"/>
              <w:numPr>
                <w:ilvl w:val="0"/>
                <w:numId w:val="20"/>
              </w:numPr>
              <w:tabs>
                <w:tab w:val="left" w:pos="709"/>
              </w:tabs>
              <w:spacing w:before="60" w:after="60"/>
              <w:jc w:val="left"/>
              <w:rPr>
                <w:rFonts w:cs="Arial"/>
                <w:b/>
                <w:sz w:val="16"/>
                <w:szCs w:val="16"/>
              </w:rPr>
            </w:pPr>
            <w:r w:rsidRPr="00043432">
              <w:rPr>
                <w:rFonts w:cs="Arial"/>
                <w:b/>
                <w:sz w:val="16"/>
                <w:szCs w:val="16"/>
              </w:rPr>
              <w:t>Delivery</w:t>
            </w:r>
          </w:p>
        </w:tc>
        <w:tc>
          <w:tcPr>
            <w:tcW w:w="6040" w:type="dxa"/>
            <w:gridSpan w:val="2"/>
            <w:tcBorders>
              <w:bottom w:val="double" w:sz="4" w:space="0" w:color="auto"/>
            </w:tcBorders>
          </w:tcPr>
          <w:p w14:paraId="153D2871" w14:textId="388E0E71" w:rsidR="0008358A" w:rsidRPr="00043432" w:rsidRDefault="009075DB" w:rsidP="00043432">
            <w:pPr>
              <w:pStyle w:val="ListParagraph"/>
              <w:numPr>
                <w:ilvl w:val="0"/>
                <w:numId w:val="20"/>
              </w:numPr>
              <w:rPr>
                <w:rFonts w:cs="Arial"/>
                <w:sz w:val="16"/>
                <w:szCs w:val="16"/>
              </w:rPr>
            </w:pPr>
            <w:r w:rsidRPr="00043432">
              <w:rPr>
                <w:rFonts w:cs="Arial"/>
                <w:sz w:val="16"/>
                <w:szCs w:val="16"/>
              </w:rPr>
              <w:t>APRA will focus o</w:t>
            </w:r>
            <w:r w:rsidR="009434E8" w:rsidRPr="00043432">
              <w:rPr>
                <w:rFonts w:cs="Arial"/>
                <w:sz w:val="16"/>
                <w:szCs w:val="16"/>
              </w:rPr>
              <w:t>n</w:t>
            </w:r>
            <w:r w:rsidRPr="00043432">
              <w:rPr>
                <w:rFonts w:cs="Arial"/>
                <w:sz w:val="16"/>
                <w:szCs w:val="16"/>
              </w:rPr>
              <w:t xml:space="preserve"> </w:t>
            </w:r>
            <w:r w:rsidR="00E56FFE" w:rsidRPr="00043432">
              <w:rPr>
                <w:rFonts w:cs="Arial"/>
                <w:sz w:val="16"/>
                <w:szCs w:val="16"/>
              </w:rPr>
              <w:t xml:space="preserve">delivering its </w:t>
            </w:r>
            <w:r w:rsidR="00062462" w:rsidRPr="00043432">
              <w:rPr>
                <w:rFonts w:cs="Arial"/>
                <w:sz w:val="16"/>
                <w:szCs w:val="16"/>
              </w:rPr>
              <w:t>strategic objectives</w:t>
            </w:r>
            <w:r w:rsidR="00E56FFE" w:rsidRPr="00043432">
              <w:rPr>
                <w:rFonts w:cs="Arial"/>
                <w:sz w:val="16"/>
                <w:szCs w:val="16"/>
              </w:rPr>
              <w:t xml:space="preserve"> laid out in its 2021-2025 Corporate Plan</w:t>
            </w:r>
            <w:r w:rsidR="009434E8" w:rsidRPr="00043432">
              <w:rPr>
                <w:rFonts w:cs="Arial"/>
                <w:sz w:val="16"/>
                <w:szCs w:val="16"/>
              </w:rPr>
              <w:t xml:space="preserve">. </w:t>
            </w:r>
            <w:r w:rsidRPr="00043432">
              <w:rPr>
                <w:rFonts w:cs="Arial"/>
                <w:sz w:val="16"/>
                <w:szCs w:val="16"/>
              </w:rPr>
              <w:t>To serve the interests of the Australian community</w:t>
            </w:r>
            <w:r w:rsidR="00A47982" w:rsidRPr="00043432">
              <w:rPr>
                <w:rFonts w:cs="Arial"/>
                <w:sz w:val="16"/>
                <w:szCs w:val="16"/>
              </w:rPr>
              <w:t xml:space="preserve">, APRA will continue to monitor the impact of COVID-19 and adjust its priorities accordingly including </w:t>
            </w:r>
            <w:r w:rsidR="001A73A4" w:rsidRPr="00043432">
              <w:rPr>
                <w:rFonts w:cs="Arial"/>
                <w:sz w:val="16"/>
                <w:szCs w:val="16"/>
              </w:rPr>
              <w:t xml:space="preserve">starting to </w:t>
            </w:r>
            <w:r w:rsidR="00A47982" w:rsidRPr="00043432">
              <w:rPr>
                <w:rFonts w:cs="Arial"/>
                <w:sz w:val="16"/>
                <w:szCs w:val="16"/>
              </w:rPr>
              <w:t>wind down some specific COVID-19 response activities where improvements are evident and the operating environment stabilises</w:t>
            </w:r>
            <w:r w:rsidR="001A73A4" w:rsidRPr="00043432">
              <w:rPr>
                <w:rFonts w:cs="Arial"/>
                <w:sz w:val="16"/>
                <w:szCs w:val="16"/>
              </w:rPr>
              <w:t>.</w:t>
            </w:r>
          </w:p>
        </w:tc>
      </w:tr>
      <w:tr w:rsidR="0008358A" w:rsidRPr="0008358A" w14:paraId="215FA072" w14:textId="77777777" w:rsidTr="005D47FA">
        <w:tc>
          <w:tcPr>
            <w:tcW w:w="7741" w:type="dxa"/>
            <w:gridSpan w:val="3"/>
            <w:tcBorders>
              <w:top w:val="double" w:sz="4" w:space="0" w:color="auto"/>
              <w:bottom w:val="double" w:sz="4" w:space="0" w:color="auto"/>
            </w:tcBorders>
          </w:tcPr>
          <w:p w14:paraId="0A20A4D1" w14:textId="77777777" w:rsidR="0008358A" w:rsidRPr="00043432" w:rsidRDefault="0008358A" w:rsidP="00043432">
            <w:pPr>
              <w:pStyle w:val="ListParagraph"/>
              <w:numPr>
                <w:ilvl w:val="0"/>
                <w:numId w:val="20"/>
              </w:numPr>
              <w:tabs>
                <w:tab w:val="left" w:pos="709"/>
              </w:tabs>
              <w:spacing w:before="60" w:after="60"/>
              <w:jc w:val="left"/>
              <w:rPr>
                <w:rFonts w:cs="Arial"/>
                <w:b/>
                <w:sz w:val="16"/>
                <w:szCs w:val="16"/>
              </w:rPr>
            </w:pPr>
            <w:r w:rsidRPr="00043432">
              <w:rPr>
                <w:rFonts w:cs="Arial"/>
                <w:b/>
                <w:sz w:val="16"/>
                <w:szCs w:val="16"/>
              </w:rPr>
              <w:t>Performance information</w:t>
            </w:r>
          </w:p>
        </w:tc>
      </w:tr>
      <w:tr w:rsidR="0008358A" w:rsidRPr="0008358A" w14:paraId="4D8AF158" w14:textId="77777777" w:rsidTr="006E3395">
        <w:tc>
          <w:tcPr>
            <w:tcW w:w="1701" w:type="dxa"/>
            <w:tcBorders>
              <w:top w:val="double" w:sz="4" w:space="0" w:color="auto"/>
              <w:bottom w:val="single" w:sz="4" w:space="0" w:color="auto"/>
              <w:right w:val="single" w:sz="4" w:space="0" w:color="auto"/>
            </w:tcBorders>
          </w:tcPr>
          <w:p w14:paraId="6C9B09EE" w14:textId="77777777" w:rsidR="0008358A" w:rsidRPr="00043432" w:rsidRDefault="0008358A" w:rsidP="00043432">
            <w:pPr>
              <w:pStyle w:val="ListParagraph"/>
              <w:numPr>
                <w:ilvl w:val="0"/>
                <w:numId w:val="20"/>
              </w:numPr>
              <w:tabs>
                <w:tab w:val="left" w:pos="709"/>
              </w:tabs>
              <w:spacing w:before="60" w:after="60"/>
              <w:jc w:val="left"/>
              <w:rPr>
                <w:rFonts w:cs="Arial"/>
                <w:b/>
                <w:sz w:val="16"/>
                <w:szCs w:val="16"/>
              </w:rPr>
            </w:pPr>
            <w:r w:rsidRPr="00043432">
              <w:rPr>
                <w:rFonts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12D8EB78" w14:textId="77777777" w:rsidR="0008358A" w:rsidRPr="00043432" w:rsidRDefault="0008358A" w:rsidP="00043432">
            <w:pPr>
              <w:pStyle w:val="ListParagraph"/>
              <w:numPr>
                <w:ilvl w:val="0"/>
                <w:numId w:val="20"/>
              </w:numPr>
              <w:tabs>
                <w:tab w:val="left" w:pos="709"/>
              </w:tabs>
              <w:spacing w:before="60" w:after="60"/>
              <w:jc w:val="left"/>
              <w:rPr>
                <w:rFonts w:cs="Arial"/>
                <w:b/>
                <w:sz w:val="16"/>
                <w:szCs w:val="16"/>
              </w:rPr>
            </w:pPr>
            <w:r w:rsidRPr="00043432">
              <w:rPr>
                <w:rFonts w:cs="Arial"/>
                <w:b/>
                <w:sz w:val="16"/>
                <w:szCs w:val="16"/>
              </w:rPr>
              <w:t>Performance criteria</w:t>
            </w:r>
            <w:r w:rsidRPr="00043432">
              <w:rPr>
                <w:rFonts w:cs="Arial"/>
                <w:sz w:val="16"/>
                <w:szCs w:val="16"/>
              </w:rPr>
              <w:t xml:space="preserve"> </w:t>
            </w:r>
          </w:p>
        </w:tc>
        <w:tc>
          <w:tcPr>
            <w:tcW w:w="2565" w:type="dxa"/>
            <w:tcBorders>
              <w:top w:val="double" w:sz="4" w:space="0" w:color="auto"/>
              <w:left w:val="single" w:sz="4" w:space="0" w:color="auto"/>
              <w:bottom w:val="single" w:sz="4" w:space="0" w:color="auto"/>
            </w:tcBorders>
          </w:tcPr>
          <w:p w14:paraId="26CE25C0" w14:textId="77777777" w:rsidR="0008358A" w:rsidRPr="00043432" w:rsidRDefault="0008358A" w:rsidP="00043432">
            <w:pPr>
              <w:pStyle w:val="ListParagraph"/>
              <w:numPr>
                <w:ilvl w:val="0"/>
                <w:numId w:val="20"/>
              </w:numPr>
              <w:tabs>
                <w:tab w:val="left" w:pos="709"/>
              </w:tabs>
              <w:spacing w:before="60" w:after="60"/>
              <w:jc w:val="left"/>
              <w:rPr>
                <w:rFonts w:cs="Arial"/>
                <w:b/>
                <w:sz w:val="16"/>
                <w:szCs w:val="16"/>
              </w:rPr>
            </w:pPr>
            <w:r w:rsidRPr="00043432">
              <w:rPr>
                <w:rFonts w:cs="Arial"/>
                <w:b/>
                <w:sz w:val="16"/>
                <w:szCs w:val="16"/>
              </w:rPr>
              <w:t>Targets</w:t>
            </w:r>
          </w:p>
        </w:tc>
      </w:tr>
      <w:tr w:rsidR="00EB29AA" w:rsidRPr="0008358A" w14:paraId="43DA48E0" w14:textId="77777777" w:rsidTr="006E3395">
        <w:tc>
          <w:tcPr>
            <w:tcW w:w="1701" w:type="dxa"/>
            <w:tcBorders>
              <w:top w:val="single" w:sz="4" w:space="0" w:color="auto"/>
              <w:bottom w:val="single" w:sz="4" w:space="0" w:color="auto"/>
              <w:right w:val="single" w:sz="4" w:space="0" w:color="auto"/>
            </w:tcBorders>
          </w:tcPr>
          <w:p w14:paraId="66AC49B1" w14:textId="3B14ACE0" w:rsidR="00EB29AA" w:rsidRPr="00043432" w:rsidRDefault="00EB29AA" w:rsidP="00043432">
            <w:pPr>
              <w:pStyle w:val="ListParagraph"/>
              <w:numPr>
                <w:ilvl w:val="0"/>
                <w:numId w:val="20"/>
              </w:numPr>
              <w:tabs>
                <w:tab w:val="left" w:pos="709"/>
              </w:tabs>
              <w:spacing w:before="60" w:after="60"/>
              <w:jc w:val="left"/>
              <w:rPr>
                <w:rFonts w:cs="Arial"/>
                <w:sz w:val="16"/>
                <w:szCs w:val="16"/>
              </w:rPr>
            </w:pPr>
            <w:r w:rsidRPr="00043432">
              <w:rPr>
                <w:rFonts w:cs="Arial"/>
                <w:sz w:val="16"/>
                <w:szCs w:val="16"/>
              </w:rPr>
              <w:t>20</w:t>
            </w:r>
            <w:r w:rsidR="00037581" w:rsidRPr="00043432">
              <w:rPr>
                <w:rFonts w:cs="Arial"/>
                <w:sz w:val="16"/>
                <w:szCs w:val="16"/>
              </w:rPr>
              <w:t>20</w:t>
            </w:r>
            <w:r w:rsidRPr="00043432">
              <w:rPr>
                <w:rFonts w:cs="Arial"/>
                <w:sz w:val="16"/>
                <w:szCs w:val="16"/>
              </w:rPr>
              <w:t>-2</w:t>
            </w:r>
            <w:r w:rsidR="00037581" w:rsidRPr="00043432">
              <w:rPr>
                <w:rFonts w:cs="Arial"/>
                <w:sz w:val="16"/>
                <w:szCs w:val="16"/>
              </w:rPr>
              <w:t>1</w:t>
            </w:r>
            <w:r w:rsidR="00F95FA6" w:rsidRPr="00043432">
              <w:rPr>
                <w:rFonts w:cs="Arial"/>
                <w:sz w:val="16"/>
                <w:szCs w:val="16"/>
              </w:rPr>
              <w:t xml:space="preserve"> and beyond</w:t>
            </w:r>
          </w:p>
        </w:tc>
        <w:tc>
          <w:tcPr>
            <w:tcW w:w="3475" w:type="dxa"/>
            <w:tcBorders>
              <w:top w:val="single" w:sz="4" w:space="0" w:color="auto"/>
              <w:left w:val="single" w:sz="4" w:space="0" w:color="auto"/>
              <w:bottom w:val="single" w:sz="4" w:space="0" w:color="auto"/>
              <w:right w:val="single" w:sz="4" w:space="0" w:color="auto"/>
            </w:tcBorders>
          </w:tcPr>
          <w:p w14:paraId="51D3364E" w14:textId="1158BD4A" w:rsidR="00EB29AA" w:rsidRPr="00C70986" w:rsidRDefault="00EB29AA" w:rsidP="005D47FA">
            <w:pPr>
              <w:numPr>
                <w:ilvl w:val="0"/>
                <w:numId w:val="16"/>
              </w:numPr>
              <w:spacing w:before="60" w:after="0"/>
              <w:ind w:left="357" w:hanging="357"/>
              <w:jc w:val="left"/>
              <w:rPr>
                <w:rFonts w:cs="Arial"/>
                <w:sz w:val="16"/>
                <w:szCs w:val="16"/>
              </w:rPr>
            </w:pPr>
            <w:r w:rsidRPr="00287DD2">
              <w:rPr>
                <w:rFonts w:cs="Arial"/>
                <w:sz w:val="16"/>
                <w:szCs w:val="16"/>
              </w:rPr>
              <w:t>Performing Entity Ratio (PER) — the PER is an indicator of the incidence of failure amongst regulated institutions. It is determined as the number of regulated institutions that met their commitments to beneficiaries in a given year divided by the total number of regulated institutions. The higher the percentage, the lower the incidence of failure.</w:t>
            </w:r>
          </w:p>
          <w:p w14:paraId="68026B8E" w14:textId="77777777" w:rsidR="00EB29AA" w:rsidRDefault="00EB29AA" w:rsidP="005D47FA">
            <w:pPr>
              <w:pStyle w:val="ListParagraph"/>
              <w:numPr>
                <w:ilvl w:val="0"/>
                <w:numId w:val="16"/>
              </w:numPr>
              <w:tabs>
                <w:tab w:val="left" w:pos="709"/>
              </w:tabs>
              <w:spacing w:before="60" w:after="60"/>
              <w:jc w:val="left"/>
              <w:rPr>
                <w:rFonts w:cs="Arial"/>
                <w:sz w:val="16"/>
                <w:szCs w:val="16"/>
              </w:rPr>
            </w:pPr>
            <w:r w:rsidRPr="00EB29AA">
              <w:rPr>
                <w:rFonts w:cs="Arial"/>
                <w:sz w:val="16"/>
                <w:szCs w:val="16"/>
              </w:rPr>
              <w:t>Money Protection Ratio (MPR) — the MPR is an indicator of the incidence of loss in the financial sector. It is determined as the dollar value of liabilities to beneficiaries held in Australia in regulated institutions less any prudential losses to beneficiaries in a given year, divided by the total dollar value of liabilities to beneficiaries in Australia in regulated institutions. The higher the percentage, the lower the incidence of loss.</w:t>
            </w:r>
          </w:p>
          <w:p w14:paraId="3FE527D6" w14:textId="77777777" w:rsidR="00037581" w:rsidRPr="00F53993" w:rsidRDefault="00037581" w:rsidP="00037581">
            <w:pPr>
              <w:numPr>
                <w:ilvl w:val="0"/>
                <w:numId w:val="16"/>
              </w:numPr>
              <w:spacing w:before="60" w:after="0"/>
              <w:ind w:left="357" w:hanging="357"/>
              <w:jc w:val="left"/>
              <w:rPr>
                <w:rFonts w:cs="Arial"/>
                <w:sz w:val="16"/>
                <w:szCs w:val="16"/>
              </w:rPr>
            </w:pPr>
            <w:r w:rsidRPr="00C70986">
              <w:rPr>
                <w:rFonts w:cs="Arial"/>
                <w:sz w:val="16"/>
                <w:szCs w:val="16"/>
              </w:rPr>
              <w:t>Percentage of F</w:t>
            </w:r>
            <w:r w:rsidRPr="00F53993">
              <w:rPr>
                <w:rFonts w:cs="Arial"/>
                <w:sz w:val="16"/>
                <w:szCs w:val="16"/>
              </w:rPr>
              <w:t>inancial Claims Scheme (F</w:t>
            </w:r>
            <w:r w:rsidRPr="00C70986">
              <w:rPr>
                <w:rFonts w:cs="Arial"/>
                <w:sz w:val="16"/>
                <w:szCs w:val="16"/>
              </w:rPr>
              <w:t>CS</w:t>
            </w:r>
            <w:r w:rsidRPr="00F53993">
              <w:rPr>
                <w:rFonts w:cs="Arial"/>
                <w:sz w:val="16"/>
                <w:szCs w:val="16"/>
              </w:rPr>
              <w:t>)</w:t>
            </w:r>
            <w:r w:rsidRPr="00C70986">
              <w:rPr>
                <w:rFonts w:cs="Arial"/>
                <w:sz w:val="16"/>
                <w:szCs w:val="16"/>
              </w:rPr>
              <w:t xml:space="preserve"> payments paid to account holders within seven calendar days of an FCS declaration</w:t>
            </w:r>
            <w:r w:rsidRPr="00F53993">
              <w:rPr>
                <w:rFonts w:cs="Arial"/>
                <w:sz w:val="16"/>
                <w:szCs w:val="16"/>
              </w:rPr>
              <w:t>.</w:t>
            </w:r>
          </w:p>
          <w:p w14:paraId="7A940428" w14:textId="5536233E" w:rsidR="00037581" w:rsidRPr="00EB29AA" w:rsidRDefault="00037581" w:rsidP="00037581">
            <w:pPr>
              <w:pStyle w:val="ListParagraph"/>
              <w:numPr>
                <w:ilvl w:val="0"/>
                <w:numId w:val="16"/>
              </w:numPr>
              <w:tabs>
                <w:tab w:val="left" w:pos="709"/>
              </w:tabs>
              <w:spacing w:before="60" w:after="60"/>
              <w:jc w:val="left"/>
              <w:rPr>
                <w:rFonts w:cs="Arial"/>
                <w:sz w:val="16"/>
                <w:szCs w:val="16"/>
              </w:rPr>
            </w:pPr>
            <w:r w:rsidRPr="00C70986">
              <w:rPr>
                <w:rFonts w:cs="Arial"/>
                <w:sz w:val="16"/>
                <w:szCs w:val="16"/>
              </w:rPr>
              <w:t xml:space="preserve">Number of outstanding claims in </w:t>
            </w:r>
            <w:r w:rsidRPr="00F53993">
              <w:rPr>
                <w:rFonts w:cs="Arial"/>
                <w:sz w:val="16"/>
                <w:szCs w:val="16"/>
              </w:rPr>
              <w:t>the event of an FCS declaration.</w:t>
            </w:r>
          </w:p>
        </w:tc>
        <w:tc>
          <w:tcPr>
            <w:tcW w:w="2565" w:type="dxa"/>
            <w:tcBorders>
              <w:top w:val="single" w:sz="4" w:space="0" w:color="auto"/>
              <w:left w:val="single" w:sz="4" w:space="0" w:color="auto"/>
              <w:bottom w:val="single" w:sz="4" w:space="0" w:color="auto"/>
            </w:tcBorders>
          </w:tcPr>
          <w:p w14:paraId="5F74ABEE" w14:textId="77777777" w:rsidR="00EB29AA" w:rsidRPr="000A6D34" w:rsidRDefault="00EB29AA" w:rsidP="005D47FA">
            <w:pPr>
              <w:numPr>
                <w:ilvl w:val="0"/>
                <w:numId w:val="0"/>
              </w:numPr>
              <w:tabs>
                <w:tab w:val="left" w:pos="709"/>
              </w:tabs>
              <w:spacing w:before="60" w:after="60"/>
              <w:jc w:val="left"/>
              <w:rPr>
                <w:rFonts w:cs="Arial"/>
                <w:sz w:val="16"/>
                <w:szCs w:val="16"/>
              </w:rPr>
            </w:pPr>
            <w:r w:rsidRPr="000A6D34">
              <w:rPr>
                <w:rFonts w:cs="Arial"/>
                <w:sz w:val="16"/>
                <w:szCs w:val="16"/>
              </w:rPr>
              <w:t xml:space="preserve">Consistent with the Government’s expectations, APRA does not pursue a ‘zero failure’ target. Rather, APRA’s objective is to maintain a low incidence of failure of regulated institutions while not unnecessarily hindering efficiency, competition or otherwise impeding the competitive neutrality or contestability of the financial system. </w:t>
            </w:r>
          </w:p>
          <w:p w14:paraId="19F4AC85" w14:textId="77777777" w:rsidR="00EB29AA" w:rsidRPr="00043432" w:rsidRDefault="00EB29AA" w:rsidP="00043432">
            <w:pPr>
              <w:pStyle w:val="ListParagraph"/>
              <w:numPr>
                <w:ilvl w:val="0"/>
                <w:numId w:val="20"/>
              </w:numPr>
              <w:tabs>
                <w:tab w:val="left" w:pos="709"/>
              </w:tabs>
              <w:spacing w:before="60" w:after="60"/>
              <w:jc w:val="left"/>
              <w:rPr>
                <w:rFonts w:cs="Arial"/>
                <w:sz w:val="16"/>
                <w:szCs w:val="16"/>
              </w:rPr>
            </w:pPr>
            <w:r w:rsidRPr="00043432">
              <w:rPr>
                <w:rFonts w:cs="Arial"/>
                <w:sz w:val="16"/>
                <w:szCs w:val="16"/>
              </w:rPr>
              <w:t xml:space="preserve"> </w:t>
            </w:r>
          </w:p>
          <w:p w14:paraId="1B707236" w14:textId="4D5EED8D" w:rsidR="00EB29AA" w:rsidRPr="00043432" w:rsidRDefault="00037581" w:rsidP="00043432">
            <w:pPr>
              <w:pStyle w:val="ListParagraph"/>
              <w:numPr>
                <w:ilvl w:val="0"/>
                <w:numId w:val="20"/>
              </w:numPr>
              <w:tabs>
                <w:tab w:val="left" w:pos="709"/>
              </w:tabs>
              <w:spacing w:before="60" w:after="60"/>
              <w:jc w:val="left"/>
              <w:rPr>
                <w:rFonts w:cs="Arial"/>
                <w:sz w:val="16"/>
                <w:szCs w:val="16"/>
              </w:rPr>
            </w:pPr>
            <w:r w:rsidRPr="00043432">
              <w:rPr>
                <w:rFonts w:cs="Arial"/>
                <w:sz w:val="16"/>
                <w:szCs w:val="16"/>
              </w:rPr>
              <w:t>APRA measures the efficiency with which it performs it</w:t>
            </w:r>
            <w:r w:rsidR="00625432" w:rsidRPr="00043432">
              <w:rPr>
                <w:rFonts w:cs="Arial"/>
                <w:sz w:val="16"/>
                <w:szCs w:val="16"/>
              </w:rPr>
              <w:t>’</w:t>
            </w:r>
            <w:r w:rsidRPr="00043432">
              <w:rPr>
                <w:rFonts w:cs="Arial"/>
                <w:sz w:val="16"/>
                <w:szCs w:val="16"/>
              </w:rPr>
              <w:t xml:space="preserve">s function in relation to the FCS for banks, building societies and credit unions by measuring the percentage of FCS payments paid to account holders within seven calendar days of an FCS declaration. Although the circumstance of each declaration will vary the timeliness of payment, this measure is consistent with APRA’s endeavours to pay most account holders, or enable them to access, their FCS payment within seven days. Given the long tail nature of general insurance claims which do not easily lend themselves to measures of efficiency, APRA reports on the number of </w:t>
            </w:r>
            <w:r w:rsidRPr="00043432">
              <w:rPr>
                <w:rFonts w:cs="Arial"/>
                <w:sz w:val="16"/>
                <w:szCs w:val="16"/>
              </w:rPr>
              <w:lastRenderedPageBreak/>
              <w:t>outstanding claims in the event of an FCS declaration.</w:t>
            </w:r>
          </w:p>
        </w:tc>
      </w:tr>
      <w:tr w:rsidR="0008358A" w:rsidRPr="00F71634" w14:paraId="4BD44082" w14:textId="77777777" w:rsidTr="006E3395">
        <w:tc>
          <w:tcPr>
            <w:tcW w:w="1701" w:type="dxa"/>
            <w:tcBorders>
              <w:top w:val="single" w:sz="4" w:space="0" w:color="auto"/>
            </w:tcBorders>
          </w:tcPr>
          <w:p w14:paraId="4521D287" w14:textId="0484A0B1" w:rsidR="0008358A" w:rsidRPr="00043432" w:rsidRDefault="0008358A" w:rsidP="00043432">
            <w:pPr>
              <w:pStyle w:val="ListParagraph"/>
              <w:numPr>
                <w:ilvl w:val="0"/>
                <w:numId w:val="20"/>
              </w:numPr>
              <w:tabs>
                <w:tab w:val="left" w:pos="709"/>
              </w:tabs>
              <w:spacing w:before="60" w:after="60"/>
              <w:jc w:val="left"/>
              <w:rPr>
                <w:rFonts w:cs="Arial"/>
                <w:b/>
                <w:sz w:val="16"/>
                <w:szCs w:val="16"/>
              </w:rPr>
            </w:pPr>
            <w:r w:rsidRPr="00043432">
              <w:rPr>
                <w:rFonts w:cs="Arial"/>
                <w:b/>
                <w:sz w:val="16"/>
                <w:szCs w:val="16"/>
              </w:rPr>
              <w:lastRenderedPageBreak/>
              <w:t>Purposes</w:t>
            </w:r>
          </w:p>
        </w:tc>
        <w:tc>
          <w:tcPr>
            <w:tcW w:w="6040" w:type="dxa"/>
            <w:gridSpan w:val="2"/>
            <w:tcBorders>
              <w:top w:val="single" w:sz="4" w:space="0" w:color="auto"/>
            </w:tcBorders>
          </w:tcPr>
          <w:p w14:paraId="3D9658AA" w14:textId="77777777" w:rsidR="0008358A" w:rsidRPr="00043432" w:rsidRDefault="0008358A" w:rsidP="00043432">
            <w:pPr>
              <w:pStyle w:val="ListParagraph"/>
              <w:numPr>
                <w:ilvl w:val="0"/>
                <w:numId w:val="20"/>
              </w:numPr>
              <w:tabs>
                <w:tab w:val="left" w:pos="709"/>
              </w:tabs>
              <w:spacing w:before="60" w:after="60"/>
              <w:jc w:val="left"/>
              <w:rPr>
                <w:rFonts w:cs="Arial"/>
                <w:i/>
                <w:color w:val="FF0000"/>
                <w:sz w:val="16"/>
                <w:szCs w:val="16"/>
              </w:rPr>
            </w:pPr>
            <w:r w:rsidRPr="00043432">
              <w:rPr>
                <w:rFonts w:cs="Arial"/>
                <w:sz w:val="16"/>
                <w:szCs w:val="16"/>
              </w:rPr>
              <w:t>The Australian Prudential Regulation Authority (APRA) is an independent statutory authority established for the purpose of prudential supervision of financial institutions and for promoting financial system stability in Australia. In performing this role, APRA is responsible for protecting the interests of depositors, insurance policyholders and superannuation fund members.</w:t>
            </w:r>
          </w:p>
        </w:tc>
      </w:tr>
    </w:tbl>
    <w:bookmarkEnd w:id="20"/>
    <w:bookmarkEnd w:id="21"/>
    <w:p w14:paraId="28BB9165" w14:textId="0E8081B2" w:rsidR="0008358A" w:rsidRPr="00AD42E2" w:rsidRDefault="005D47FA" w:rsidP="0008358A">
      <w:pPr>
        <w:pStyle w:val="Heading2"/>
      </w:pPr>
      <w:r>
        <w:rPr>
          <w:rFonts w:ascii="Book Antiqua" w:hAnsi="Book Antiqua"/>
          <w:i w:val="0"/>
          <w:color w:val="FF0000"/>
          <w:sz w:val="20"/>
        </w:rPr>
        <w:br w:type="textWrapping" w:clear="all"/>
      </w:r>
      <w:r w:rsidR="0008358A" w:rsidRPr="00C3303C">
        <w:rPr>
          <w:rFonts w:ascii="Book Antiqua" w:hAnsi="Book Antiqua"/>
          <w:i w:val="0"/>
          <w:color w:val="FF0000"/>
          <w:sz w:val="20"/>
        </w:rPr>
        <w:br w:type="page"/>
      </w:r>
      <w:bookmarkStart w:id="22" w:name="_Toc444523516"/>
      <w:bookmarkStart w:id="23" w:name="_Toc69915711"/>
      <w:r w:rsidR="00851FA1" w:rsidRPr="00E57ECC">
        <w:rPr>
          <w:rFonts w:ascii="Arial" w:eastAsia="Times New Roman" w:hAnsi="Arial" w:cs="Times New Roman"/>
          <w:b w:val="0"/>
          <w:bCs w:val="0"/>
          <w:i w:val="0"/>
          <w:color w:val="auto"/>
          <w:sz w:val="30"/>
          <w:szCs w:val="20"/>
          <w:lang w:eastAsia="en-AU"/>
        </w:rPr>
        <w:lastRenderedPageBreak/>
        <w:t>Section 3: Budgeted financial statements</w:t>
      </w:r>
      <w:bookmarkEnd w:id="22"/>
      <w:bookmarkEnd w:id="23"/>
    </w:p>
    <w:p w14:paraId="3EC5A52F" w14:textId="07B6308F" w:rsidR="0008358A" w:rsidRPr="00043432" w:rsidRDefault="0008358A" w:rsidP="00043432">
      <w:pPr>
        <w:pStyle w:val="ListParagraph"/>
        <w:numPr>
          <w:ilvl w:val="0"/>
          <w:numId w:val="20"/>
        </w:numPr>
        <w:rPr>
          <w:rFonts w:ascii="Book Antiqua" w:hAnsi="Book Antiqua"/>
          <w:sz w:val="20"/>
        </w:rPr>
      </w:pPr>
      <w:r w:rsidRPr="00043432">
        <w:rPr>
          <w:rFonts w:ascii="Book Antiqua" w:hAnsi="Book Antiqua"/>
          <w:sz w:val="20"/>
        </w:rPr>
        <w:t>Section 3 presents budgeted financial statements which provide a comprehensive snapshot of APRA’s finances for the 20</w:t>
      </w:r>
      <w:r w:rsidR="00197C34" w:rsidRPr="00043432">
        <w:rPr>
          <w:rFonts w:ascii="Book Antiqua" w:hAnsi="Book Antiqua"/>
          <w:sz w:val="20"/>
        </w:rPr>
        <w:t>21</w:t>
      </w:r>
      <w:r w:rsidRPr="00043432">
        <w:rPr>
          <w:rFonts w:ascii="Book Antiqua" w:hAnsi="Book Antiqua"/>
          <w:sz w:val="20"/>
        </w:rPr>
        <w:t>-2</w:t>
      </w:r>
      <w:r w:rsidR="00197C34" w:rsidRPr="00043432">
        <w:rPr>
          <w:rFonts w:ascii="Book Antiqua" w:hAnsi="Book Antiqua"/>
          <w:sz w:val="20"/>
        </w:rPr>
        <w:t>2</w:t>
      </w:r>
      <w:r w:rsidRPr="00043432">
        <w:rPr>
          <w:rFonts w:ascii="Book Antiqua" w:hAnsi="Book Antiqua"/>
          <w:color w:val="00B050"/>
          <w:sz w:val="20"/>
        </w:rPr>
        <w:t xml:space="preserve"> </w:t>
      </w:r>
      <w:r w:rsidRPr="00043432">
        <w:rPr>
          <w:rFonts w:ascii="Book Antiqua" w:hAnsi="Book Antiqua"/>
          <w:sz w:val="20"/>
        </w:rPr>
        <w:t>budget year, including the impact of budget measures and resourcing on financial statements.</w:t>
      </w:r>
    </w:p>
    <w:p w14:paraId="3F5EDF94" w14:textId="5BA84E5B" w:rsidR="0008358A" w:rsidRDefault="0008358A" w:rsidP="0008358A">
      <w:pPr>
        <w:pStyle w:val="Heading3"/>
      </w:pPr>
      <w:bookmarkStart w:id="24" w:name="_Toc190682317"/>
      <w:bookmarkStart w:id="25" w:name="_Toc444523517"/>
      <w:bookmarkStart w:id="26" w:name="_Toc69915712"/>
      <w:r>
        <w:t>3.1</w:t>
      </w:r>
      <w:r>
        <w:tab/>
      </w:r>
      <w:bookmarkEnd w:id="24"/>
      <w:bookmarkEnd w:id="25"/>
      <w:bookmarkEnd w:id="26"/>
      <w:r w:rsidR="00851FA1" w:rsidRPr="00E57ECC">
        <w:rPr>
          <w:rFonts w:ascii="Arial" w:eastAsia="Times New Roman" w:hAnsi="Arial" w:cs="Times New Roman"/>
          <w:bCs w:val="0"/>
          <w:smallCaps/>
          <w:color w:val="auto"/>
          <w:sz w:val="26"/>
          <w:szCs w:val="20"/>
          <w:lang w:eastAsia="en-AU"/>
        </w:rPr>
        <w:t>Budgeted financial statements</w:t>
      </w:r>
    </w:p>
    <w:p w14:paraId="35B412FF" w14:textId="3B46A5DE" w:rsidR="0008358A" w:rsidRDefault="0008358A" w:rsidP="0008358A">
      <w:pPr>
        <w:pStyle w:val="Heading4"/>
      </w:pPr>
      <w:r>
        <w:t>3.1.1</w:t>
      </w:r>
      <w:r>
        <w:tab/>
      </w:r>
      <w:r w:rsidR="00851FA1" w:rsidRPr="00E57ECC">
        <w:rPr>
          <w:rFonts w:ascii="Arial" w:eastAsia="Times New Roman" w:hAnsi="Arial" w:cs="Times New Roman"/>
          <w:bCs w:val="0"/>
          <w:i w:val="0"/>
          <w:iCs w:val="0"/>
          <w:color w:val="auto"/>
          <w:szCs w:val="20"/>
          <w:lang w:eastAsia="en-AU"/>
        </w:rPr>
        <w:t>Differences between entity resourcing and financial statements</w:t>
      </w:r>
    </w:p>
    <w:p w14:paraId="58499F7F" w14:textId="77777777" w:rsidR="0008358A" w:rsidRPr="00043432" w:rsidRDefault="0008358A" w:rsidP="00043432">
      <w:pPr>
        <w:pStyle w:val="ListParagraph"/>
        <w:numPr>
          <w:ilvl w:val="0"/>
          <w:numId w:val="20"/>
        </w:numPr>
        <w:rPr>
          <w:rFonts w:ascii="Book Antiqua" w:hAnsi="Book Antiqua"/>
          <w:sz w:val="20"/>
        </w:rPr>
      </w:pPr>
      <w:r w:rsidRPr="00043432">
        <w:rPr>
          <w:rFonts w:ascii="Book Antiqua" w:hAnsi="Book Antiqua"/>
          <w:sz w:val="20"/>
        </w:rPr>
        <w:t>There are no material differences between APRA’s resourcing and its financial statements.</w:t>
      </w:r>
    </w:p>
    <w:p w14:paraId="1B78A354" w14:textId="5813F1D0" w:rsidR="0008358A" w:rsidRDefault="0008358A" w:rsidP="0008358A">
      <w:pPr>
        <w:pStyle w:val="Heading4"/>
      </w:pPr>
      <w:r>
        <w:t>3.1.2</w:t>
      </w:r>
      <w:r>
        <w:tab/>
      </w:r>
      <w:r w:rsidR="00851FA1" w:rsidRPr="00E57ECC">
        <w:rPr>
          <w:rFonts w:ascii="Arial" w:eastAsia="Times New Roman" w:hAnsi="Arial" w:cs="Times New Roman"/>
          <w:bCs w:val="0"/>
          <w:i w:val="0"/>
          <w:iCs w:val="0"/>
          <w:color w:val="auto"/>
          <w:szCs w:val="20"/>
          <w:lang w:eastAsia="en-AU"/>
        </w:rPr>
        <w:t>Explanatory notes and analysis of budgeted financial statements</w:t>
      </w:r>
    </w:p>
    <w:p w14:paraId="7E1E9F55" w14:textId="1A0305D0" w:rsidR="0008358A" w:rsidRDefault="0008358A" w:rsidP="00F55464">
      <w:pPr>
        <w:pStyle w:val="ListParagraph"/>
        <w:numPr>
          <w:ilvl w:val="0"/>
          <w:numId w:val="20"/>
        </w:numPr>
        <w:rPr>
          <w:rFonts w:ascii="Book Antiqua" w:hAnsi="Book Antiqua" w:cs="Arial"/>
          <w:sz w:val="20"/>
          <w:szCs w:val="20"/>
        </w:rPr>
      </w:pPr>
      <w:r w:rsidRPr="00043432">
        <w:rPr>
          <w:rFonts w:ascii="Book Antiqua" w:hAnsi="Book Antiqua" w:cs="Arial"/>
          <w:sz w:val="20"/>
          <w:szCs w:val="20"/>
        </w:rPr>
        <w:t>The departmental comprehensive income statement (Table 3.1) indicates a</w:t>
      </w:r>
      <w:r w:rsidR="00D137D4" w:rsidRPr="00043432">
        <w:rPr>
          <w:rFonts w:ascii="Book Antiqua" w:hAnsi="Book Antiqua" w:cs="Arial"/>
          <w:sz w:val="20"/>
          <w:szCs w:val="20"/>
        </w:rPr>
        <w:t>n</w:t>
      </w:r>
      <w:r w:rsidRPr="00043432">
        <w:rPr>
          <w:rFonts w:ascii="Book Antiqua" w:hAnsi="Book Antiqua" w:cs="Arial"/>
          <w:sz w:val="20"/>
          <w:szCs w:val="20"/>
        </w:rPr>
        <w:t xml:space="preserve"> </w:t>
      </w:r>
      <w:r w:rsidR="00F8018C" w:rsidRPr="00043432">
        <w:rPr>
          <w:rFonts w:ascii="Book Antiqua" w:hAnsi="Book Antiqua" w:cs="Arial"/>
          <w:sz w:val="20"/>
          <w:szCs w:val="20"/>
        </w:rPr>
        <w:t>in</w:t>
      </w:r>
      <w:r w:rsidRPr="00043432">
        <w:rPr>
          <w:rFonts w:ascii="Book Antiqua" w:hAnsi="Book Antiqua" w:cs="Arial"/>
          <w:sz w:val="20"/>
          <w:szCs w:val="20"/>
        </w:rPr>
        <w:t>crease in revenue from Government for 20</w:t>
      </w:r>
      <w:r w:rsidR="001562A8" w:rsidRPr="00043432">
        <w:rPr>
          <w:rFonts w:ascii="Book Antiqua" w:hAnsi="Book Antiqua" w:cs="Arial"/>
          <w:sz w:val="20"/>
          <w:szCs w:val="20"/>
        </w:rPr>
        <w:t>2</w:t>
      </w:r>
      <w:r w:rsidR="00F8018C" w:rsidRPr="00043432">
        <w:rPr>
          <w:rFonts w:ascii="Book Antiqua" w:hAnsi="Book Antiqua" w:cs="Arial"/>
          <w:sz w:val="20"/>
          <w:szCs w:val="20"/>
        </w:rPr>
        <w:t>1</w:t>
      </w:r>
      <w:r w:rsidRPr="00043432">
        <w:rPr>
          <w:rFonts w:ascii="Book Antiqua" w:hAnsi="Book Antiqua" w:cs="Arial"/>
          <w:sz w:val="20"/>
          <w:szCs w:val="20"/>
        </w:rPr>
        <w:t>-2</w:t>
      </w:r>
      <w:r w:rsidR="00F8018C" w:rsidRPr="00043432">
        <w:rPr>
          <w:rFonts w:ascii="Book Antiqua" w:hAnsi="Book Antiqua" w:cs="Arial"/>
          <w:sz w:val="20"/>
          <w:szCs w:val="20"/>
        </w:rPr>
        <w:t>2</w:t>
      </w:r>
      <w:r w:rsidRPr="00043432">
        <w:rPr>
          <w:rFonts w:ascii="Book Antiqua" w:hAnsi="Book Antiqua" w:cs="Arial"/>
          <w:sz w:val="20"/>
          <w:szCs w:val="20"/>
        </w:rPr>
        <w:t xml:space="preserve"> as a consequence of new budget measures </w:t>
      </w:r>
      <w:r w:rsidR="007D0F80" w:rsidRPr="00043432">
        <w:rPr>
          <w:rFonts w:ascii="Book Antiqua" w:hAnsi="Book Antiqua" w:cs="Arial"/>
          <w:sz w:val="20"/>
          <w:szCs w:val="20"/>
        </w:rPr>
        <w:t>being appropriated in 202</w:t>
      </w:r>
      <w:r w:rsidR="004447D7" w:rsidRPr="00043432">
        <w:rPr>
          <w:rFonts w:ascii="Book Antiqua" w:hAnsi="Book Antiqua" w:cs="Arial"/>
          <w:sz w:val="20"/>
          <w:szCs w:val="20"/>
        </w:rPr>
        <w:t>0</w:t>
      </w:r>
      <w:r w:rsidR="007D0F80" w:rsidRPr="00043432">
        <w:rPr>
          <w:rFonts w:ascii="Book Antiqua" w:hAnsi="Book Antiqua" w:cs="Arial"/>
          <w:sz w:val="20"/>
          <w:szCs w:val="20"/>
        </w:rPr>
        <w:t>-2</w:t>
      </w:r>
      <w:r w:rsidR="004447D7" w:rsidRPr="00043432">
        <w:rPr>
          <w:rFonts w:ascii="Book Antiqua" w:hAnsi="Book Antiqua" w:cs="Arial"/>
          <w:sz w:val="20"/>
          <w:szCs w:val="20"/>
        </w:rPr>
        <w:t>1</w:t>
      </w:r>
      <w:r w:rsidR="007D0F80" w:rsidRPr="00043432">
        <w:rPr>
          <w:rFonts w:ascii="Book Antiqua" w:hAnsi="Book Antiqua" w:cs="Arial"/>
          <w:sz w:val="20"/>
          <w:szCs w:val="20"/>
        </w:rPr>
        <w:t xml:space="preserve"> </w:t>
      </w:r>
      <w:r w:rsidR="004447D7" w:rsidRPr="00043432">
        <w:rPr>
          <w:rFonts w:ascii="Book Antiqua" w:hAnsi="Book Antiqua" w:cs="Arial"/>
          <w:sz w:val="20"/>
          <w:szCs w:val="20"/>
        </w:rPr>
        <w:t xml:space="preserve">but </w:t>
      </w:r>
      <w:r w:rsidR="00655FC3" w:rsidRPr="00043432">
        <w:rPr>
          <w:rFonts w:ascii="Book Antiqua" w:hAnsi="Book Antiqua" w:cs="Arial"/>
          <w:sz w:val="20"/>
          <w:szCs w:val="20"/>
        </w:rPr>
        <w:t xml:space="preserve">to be </w:t>
      </w:r>
      <w:r w:rsidR="004447D7" w:rsidRPr="00043432">
        <w:rPr>
          <w:rFonts w:ascii="Book Antiqua" w:hAnsi="Book Antiqua" w:cs="Arial"/>
          <w:sz w:val="20"/>
          <w:szCs w:val="20"/>
        </w:rPr>
        <w:t xml:space="preserve">collected </w:t>
      </w:r>
      <w:r w:rsidR="00655FC3" w:rsidRPr="00043432">
        <w:rPr>
          <w:rFonts w:ascii="Book Antiqua" w:hAnsi="Book Antiqua" w:cs="Arial"/>
          <w:sz w:val="20"/>
          <w:szCs w:val="20"/>
        </w:rPr>
        <w:t xml:space="preserve">from industry </w:t>
      </w:r>
      <w:r w:rsidR="004447D7" w:rsidRPr="00043432">
        <w:rPr>
          <w:rFonts w:ascii="Book Antiqua" w:hAnsi="Book Antiqua" w:cs="Arial"/>
          <w:sz w:val="20"/>
          <w:szCs w:val="20"/>
        </w:rPr>
        <w:t>in 2021-22</w:t>
      </w:r>
      <w:r w:rsidRPr="00043432">
        <w:rPr>
          <w:rFonts w:ascii="Book Antiqua" w:hAnsi="Book Antiqua" w:cs="Arial"/>
          <w:sz w:val="20"/>
          <w:szCs w:val="20"/>
        </w:rPr>
        <w:t>.</w:t>
      </w:r>
    </w:p>
    <w:p w14:paraId="0102C4A6" w14:textId="77777777" w:rsidR="00F55464" w:rsidRDefault="00F55464" w:rsidP="00F55464">
      <w:pPr>
        <w:pStyle w:val="ListParagraph"/>
        <w:numPr>
          <w:ilvl w:val="0"/>
          <w:numId w:val="20"/>
        </w:numPr>
        <w:rPr>
          <w:rFonts w:ascii="Book Antiqua" w:hAnsi="Book Antiqua" w:cs="Arial"/>
          <w:sz w:val="20"/>
          <w:szCs w:val="20"/>
        </w:rPr>
      </w:pPr>
    </w:p>
    <w:p w14:paraId="77D38D91" w14:textId="623EBDBD" w:rsidR="0008358A" w:rsidRDefault="0008358A" w:rsidP="00043432">
      <w:pPr>
        <w:pStyle w:val="ListParagraph"/>
        <w:numPr>
          <w:ilvl w:val="0"/>
          <w:numId w:val="20"/>
        </w:numPr>
        <w:rPr>
          <w:rFonts w:ascii="Book Antiqua" w:hAnsi="Book Antiqua"/>
          <w:sz w:val="20"/>
          <w:szCs w:val="20"/>
        </w:rPr>
      </w:pPr>
      <w:r w:rsidRPr="00043432">
        <w:rPr>
          <w:rFonts w:ascii="Book Antiqua" w:hAnsi="Book Antiqua" w:cs="Arial"/>
          <w:sz w:val="20"/>
          <w:szCs w:val="20"/>
        </w:rPr>
        <w:t>Employee benefits of $</w:t>
      </w:r>
      <w:r w:rsidR="009E3A48" w:rsidRPr="00043432">
        <w:rPr>
          <w:rFonts w:ascii="Book Antiqua" w:hAnsi="Book Antiqua" w:cs="Arial"/>
          <w:sz w:val="20"/>
          <w:szCs w:val="20"/>
        </w:rPr>
        <w:t>1</w:t>
      </w:r>
      <w:r w:rsidR="00781A5E" w:rsidRPr="00043432">
        <w:rPr>
          <w:rFonts w:ascii="Book Antiqua" w:hAnsi="Book Antiqua" w:cs="Arial"/>
          <w:sz w:val="20"/>
          <w:szCs w:val="20"/>
        </w:rPr>
        <w:t>60</w:t>
      </w:r>
      <w:r w:rsidR="009E3A48" w:rsidRPr="00043432">
        <w:rPr>
          <w:rFonts w:ascii="Book Antiqua" w:hAnsi="Book Antiqua" w:cs="Arial"/>
          <w:sz w:val="20"/>
          <w:szCs w:val="20"/>
        </w:rPr>
        <w:t>.</w:t>
      </w:r>
      <w:r w:rsidR="00781A5E" w:rsidRPr="00043432">
        <w:rPr>
          <w:rFonts w:ascii="Book Antiqua" w:hAnsi="Book Antiqua" w:cs="Arial"/>
          <w:sz w:val="20"/>
          <w:szCs w:val="20"/>
        </w:rPr>
        <w:t>3</w:t>
      </w:r>
      <w:r w:rsidRPr="00043432">
        <w:rPr>
          <w:rFonts w:ascii="Book Antiqua" w:hAnsi="Book Antiqua" w:cs="Arial"/>
          <w:sz w:val="20"/>
          <w:szCs w:val="20"/>
        </w:rPr>
        <w:t xml:space="preserve"> million support an average staffing level (ASL) of </w:t>
      </w:r>
      <w:r w:rsidR="00655FC3" w:rsidRPr="00043432">
        <w:rPr>
          <w:rFonts w:ascii="Book Antiqua" w:hAnsi="Book Antiqua" w:cs="Arial"/>
          <w:sz w:val="20"/>
          <w:szCs w:val="20"/>
        </w:rPr>
        <w:t>8</w:t>
      </w:r>
      <w:r w:rsidR="004447D7" w:rsidRPr="00043432">
        <w:rPr>
          <w:rFonts w:ascii="Book Antiqua" w:hAnsi="Book Antiqua" w:cs="Arial"/>
          <w:sz w:val="20"/>
          <w:szCs w:val="20"/>
        </w:rPr>
        <w:t>2</w:t>
      </w:r>
      <w:r w:rsidR="00DF3F94" w:rsidRPr="00043432">
        <w:rPr>
          <w:rFonts w:ascii="Book Antiqua" w:hAnsi="Book Antiqua" w:cs="Arial"/>
          <w:sz w:val="20"/>
          <w:szCs w:val="20"/>
        </w:rPr>
        <w:t>9</w:t>
      </w:r>
      <w:r w:rsidRPr="00043432">
        <w:rPr>
          <w:rFonts w:ascii="Book Antiqua" w:hAnsi="Book Antiqua" w:cs="Arial"/>
          <w:sz w:val="20"/>
          <w:szCs w:val="20"/>
        </w:rPr>
        <w:t xml:space="preserve"> in 20</w:t>
      </w:r>
      <w:r w:rsidR="009A67EE" w:rsidRPr="00043432">
        <w:rPr>
          <w:rFonts w:ascii="Book Antiqua" w:hAnsi="Book Antiqua" w:cs="Arial"/>
          <w:sz w:val="20"/>
          <w:szCs w:val="20"/>
        </w:rPr>
        <w:t>2</w:t>
      </w:r>
      <w:r w:rsidR="004447D7" w:rsidRPr="00043432">
        <w:rPr>
          <w:rFonts w:ascii="Book Antiqua" w:hAnsi="Book Antiqua" w:cs="Arial"/>
          <w:sz w:val="20"/>
          <w:szCs w:val="20"/>
        </w:rPr>
        <w:t>1</w:t>
      </w:r>
      <w:r w:rsidRPr="00043432">
        <w:rPr>
          <w:rFonts w:ascii="Book Antiqua" w:hAnsi="Book Antiqua" w:cs="Arial"/>
          <w:sz w:val="20"/>
          <w:szCs w:val="20"/>
        </w:rPr>
        <w:noBreakHyphen/>
        <w:t>2</w:t>
      </w:r>
      <w:r w:rsidR="004447D7" w:rsidRPr="00043432">
        <w:rPr>
          <w:rFonts w:ascii="Book Antiqua" w:hAnsi="Book Antiqua" w:cs="Arial"/>
          <w:sz w:val="20"/>
          <w:szCs w:val="20"/>
        </w:rPr>
        <w:t>2</w:t>
      </w:r>
      <w:r w:rsidRPr="00043432">
        <w:rPr>
          <w:rFonts w:ascii="Book Antiqua" w:hAnsi="Book Antiqua" w:cs="Arial"/>
          <w:sz w:val="20"/>
          <w:szCs w:val="20"/>
        </w:rPr>
        <w:t xml:space="preserve">. </w:t>
      </w:r>
      <w:bookmarkStart w:id="27" w:name="_Hlk69912761"/>
      <w:r w:rsidRPr="00043432">
        <w:rPr>
          <w:rFonts w:ascii="Book Antiqua" w:hAnsi="Book Antiqua"/>
          <w:sz w:val="20"/>
          <w:szCs w:val="20"/>
        </w:rPr>
        <w:t xml:space="preserve">The estimated staffing will enable APRA to supervise regulated institutions, evolve APRA’s prudential and supervisory frameworks and practices to respond to </w:t>
      </w:r>
      <w:r w:rsidR="00492EAE" w:rsidRPr="00043432">
        <w:rPr>
          <w:rFonts w:ascii="Book Antiqua" w:hAnsi="Book Antiqua"/>
          <w:sz w:val="20"/>
          <w:szCs w:val="20"/>
        </w:rPr>
        <w:t xml:space="preserve">key </w:t>
      </w:r>
      <w:r w:rsidRPr="00043432">
        <w:rPr>
          <w:rFonts w:ascii="Book Antiqua" w:hAnsi="Book Antiqua"/>
          <w:sz w:val="20"/>
          <w:szCs w:val="20"/>
        </w:rPr>
        <w:t>risks</w:t>
      </w:r>
      <w:r w:rsidR="004A3888" w:rsidRPr="00043432">
        <w:rPr>
          <w:rFonts w:ascii="Book Antiqua" w:hAnsi="Book Antiqua"/>
          <w:sz w:val="20"/>
          <w:szCs w:val="20"/>
        </w:rPr>
        <w:t xml:space="preserve">, continue to deliver on its longer-term strategic objectives and to serve the interests of the Australian community. </w:t>
      </w:r>
      <w:bookmarkEnd w:id="27"/>
    </w:p>
    <w:p w14:paraId="1C01E6A9" w14:textId="77777777" w:rsidR="00F55464" w:rsidRDefault="00F55464" w:rsidP="00043432">
      <w:pPr>
        <w:pStyle w:val="ListParagraph"/>
        <w:numPr>
          <w:ilvl w:val="0"/>
          <w:numId w:val="20"/>
        </w:numPr>
        <w:rPr>
          <w:rFonts w:ascii="Book Antiqua" w:hAnsi="Book Antiqua"/>
          <w:sz w:val="20"/>
          <w:szCs w:val="20"/>
        </w:rPr>
      </w:pPr>
    </w:p>
    <w:p w14:paraId="09EAE01A" w14:textId="29B2499B" w:rsidR="0008358A" w:rsidRDefault="0008358A"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Supplier costs in 20</w:t>
      </w:r>
      <w:r w:rsidR="009A67EE" w:rsidRPr="00043432">
        <w:rPr>
          <w:rFonts w:ascii="Book Antiqua" w:hAnsi="Book Antiqua" w:cs="Arial"/>
          <w:sz w:val="20"/>
          <w:szCs w:val="20"/>
        </w:rPr>
        <w:t>2</w:t>
      </w:r>
      <w:r w:rsidR="004447D7" w:rsidRPr="00043432">
        <w:rPr>
          <w:rFonts w:ascii="Book Antiqua" w:hAnsi="Book Antiqua" w:cs="Arial"/>
          <w:sz w:val="20"/>
          <w:szCs w:val="20"/>
        </w:rPr>
        <w:t>1</w:t>
      </w:r>
      <w:r w:rsidRPr="00043432">
        <w:rPr>
          <w:rFonts w:ascii="Book Antiqua" w:hAnsi="Book Antiqua" w:cs="Arial"/>
          <w:sz w:val="20"/>
          <w:szCs w:val="20"/>
        </w:rPr>
        <w:noBreakHyphen/>
        <w:t>2</w:t>
      </w:r>
      <w:r w:rsidR="004447D7" w:rsidRPr="00043432">
        <w:rPr>
          <w:rFonts w:ascii="Book Antiqua" w:hAnsi="Book Antiqua" w:cs="Arial"/>
          <w:sz w:val="20"/>
          <w:szCs w:val="20"/>
        </w:rPr>
        <w:t>2</w:t>
      </w:r>
      <w:r w:rsidRPr="00043432">
        <w:rPr>
          <w:rFonts w:ascii="Book Antiqua" w:hAnsi="Book Antiqua" w:cs="Arial"/>
          <w:sz w:val="20"/>
          <w:szCs w:val="20"/>
        </w:rPr>
        <w:t xml:space="preserve"> </w:t>
      </w:r>
      <w:r w:rsidR="00B75DCB" w:rsidRPr="00043432">
        <w:rPr>
          <w:rFonts w:ascii="Book Antiqua" w:hAnsi="Book Antiqua" w:cs="Arial"/>
          <w:sz w:val="20"/>
          <w:szCs w:val="20"/>
        </w:rPr>
        <w:t>of $</w:t>
      </w:r>
      <w:r w:rsidR="00270FB0" w:rsidRPr="00043432">
        <w:rPr>
          <w:rFonts w:ascii="Book Antiqua" w:hAnsi="Book Antiqua" w:cs="Arial"/>
          <w:sz w:val="20"/>
          <w:szCs w:val="20"/>
        </w:rPr>
        <w:t>4</w:t>
      </w:r>
      <w:r w:rsidR="004447D7" w:rsidRPr="00043432">
        <w:rPr>
          <w:rFonts w:ascii="Book Antiqua" w:hAnsi="Book Antiqua" w:cs="Arial"/>
          <w:sz w:val="20"/>
          <w:szCs w:val="20"/>
        </w:rPr>
        <w:t>4</w:t>
      </w:r>
      <w:r w:rsidR="00270FB0" w:rsidRPr="00043432">
        <w:rPr>
          <w:rFonts w:ascii="Book Antiqua" w:hAnsi="Book Antiqua" w:cs="Arial"/>
          <w:sz w:val="20"/>
          <w:szCs w:val="20"/>
        </w:rPr>
        <w:t>.</w:t>
      </w:r>
      <w:r w:rsidR="00DF3F94" w:rsidRPr="00043432">
        <w:rPr>
          <w:rFonts w:ascii="Book Antiqua" w:hAnsi="Book Antiqua" w:cs="Arial"/>
          <w:sz w:val="20"/>
          <w:szCs w:val="20"/>
        </w:rPr>
        <w:t>3</w:t>
      </w:r>
      <w:r w:rsidR="00B75DCB" w:rsidRPr="00043432">
        <w:rPr>
          <w:rFonts w:ascii="Book Antiqua" w:hAnsi="Book Antiqua" w:cs="Arial"/>
          <w:sz w:val="20"/>
          <w:szCs w:val="20"/>
        </w:rPr>
        <w:t xml:space="preserve"> million </w:t>
      </w:r>
      <w:r w:rsidRPr="00043432">
        <w:rPr>
          <w:rFonts w:ascii="Book Antiqua" w:hAnsi="Book Antiqua" w:cs="Arial"/>
          <w:sz w:val="20"/>
          <w:szCs w:val="20"/>
        </w:rPr>
        <w:t>reflect office leasing costs, IT support and maintenance, travel, training and other non-people related expenditures.</w:t>
      </w:r>
    </w:p>
    <w:p w14:paraId="37BE8FB5" w14:textId="77777777" w:rsidR="00F55464" w:rsidRPr="00043432" w:rsidRDefault="00F55464" w:rsidP="00043432">
      <w:pPr>
        <w:pStyle w:val="ListParagraph"/>
        <w:numPr>
          <w:ilvl w:val="0"/>
          <w:numId w:val="20"/>
        </w:numPr>
        <w:rPr>
          <w:rFonts w:ascii="Book Antiqua" w:hAnsi="Book Antiqua" w:cs="Arial"/>
          <w:sz w:val="20"/>
          <w:szCs w:val="20"/>
        </w:rPr>
      </w:pPr>
    </w:p>
    <w:p w14:paraId="78C23251" w14:textId="249BE8C6" w:rsidR="00B75DCB" w:rsidRDefault="00B75DCB"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Depreciation and Amortisation of $</w:t>
      </w:r>
      <w:r w:rsidR="004447D7" w:rsidRPr="00043432">
        <w:rPr>
          <w:rFonts w:ascii="Book Antiqua" w:hAnsi="Book Antiqua" w:cs="Arial"/>
          <w:sz w:val="20"/>
          <w:szCs w:val="20"/>
        </w:rPr>
        <w:t>20</w:t>
      </w:r>
      <w:r w:rsidR="00270FB0" w:rsidRPr="00043432">
        <w:rPr>
          <w:rFonts w:ascii="Book Antiqua" w:hAnsi="Book Antiqua" w:cs="Arial"/>
          <w:sz w:val="20"/>
          <w:szCs w:val="20"/>
        </w:rPr>
        <w:t>.</w:t>
      </w:r>
      <w:r w:rsidR="004447D7" w:rsidRPr="00043432">
        <w:rPr>
          <w:rFonts w:ascii="Book Antiqua" w:hAnsi="Book Antiqua" w:cs="Arial"/>
          <w:sz w:val="20"/>
          <w:szCs w:val="20"/>
        </w:rPr>
        <w:t>5</w:t>
      </w:r>
      <w:r w:rsidR="00D14C87" w:rsidRPr="00043432">
        <w:rPr>
          <w:rFonts w:ascii="Book Antiqua" w:hAnsi="Book Antiqua" w:cs="Arial"/>
          <w:sz w:val="20"/>
          <w:szCs w:val="20"/>
        </w:rPr>
        <w:t xml:space="preserve"> million</w:t>
      </w:r>
      <w:r w:rsidRPr="00043432">
        <w:rPr>
          <w:rFonts w:ascii="Book Antiqua" w:hAnsi="Book Antiqua" w:cs="Arial"/>
          <w:sz w:val="20"/>
          <w:szCs w:val="20"/>
        </w:rPr>
        <w:t xml:space="preserve"> reflects the </w:t>
      </w:r>
      <w:r w:rsidR="006014C8" w:rsidRPr="00043432">
        <w:rPr>
          <w:rFonts w:ascii="Book Antiqua" w:hAnsi="Book Antiqua" w:cs="Arial"/>
          <w:sz w:val="20"/>
          <w:szCs w:val="20"/>
        </w:rPr>
        <w:t>amortisation of APRA’s fixed assets over their useful life.</w:t>
      </w:r>
    </w:p>
    <w:p w14:paraId="0C3DBB7D" w14:textId="77777777" w:rsidR="00F55464" w:rsidRPr="00043432" w:rsidRDefault="00F55464" w:rsidP="00043432">
      <w:pPr>
        <w:pStyle w:val="ListParagraph"/>
        <w:numPr>
          <w:ilvl w:val="0"/>
          <w:numId w:val="20"/>
        </w:numPr>
        <w:rPr>
          <w:rFonts w:ascii="Book Antiqua" w:hAnsi="Book Antiqua" w:cs="Arial"/>
          <w:sz w:val="20"/>
          <w:szCs w:val="20"/>
        </w:rPr>
      </w:pPr>
    </w:p>
    <w:p w14:paraId="12A3F2A1" w14:textId="52110867" w:rsidR="0008358A" w:rsidRDefault="0008358A"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 xml:space="preserve">The budgeted </w:t>
      </w:r>
      <w:r w:rsidR="00D14C87" w:rsidRPr="00043432">
        <w:rPr>
          <w:rFonts w:ascii="Book Antiqua" w:hAnsi="Book Antiqua" w:cs="Arial"/>
          <w:sz w:val="20"/>
          <w:szCs w:val="20"/>
        </w:rPr>
        <w:t xml:space="preserve">departmental </w:t>
      </w:r>
      <w:r w:rsidRPr="00043432">
        <w:rPr>
          <w:rFonts w:ascii="Book Antiqua" w:hAnsi="Book Antiqua" w:cs="Arial"/>
          <w:sz w:val="20"/>
          <w:szCs w:val="20"/>
        </w:rPr>
        <w:t>balance sheet (Table 3.2) shows that APRA will maintain sufficient financial assets to meet all known employee and supplier commitments as and when they fall due.</w:t>
      </w:r>
    </w:p>
    <w:p w14:paraId="727C3E84" w14:textId="77777777" w:rsidR="00F55464" w:rsidRPr="00043432" w:rsidRDefault="00F55464" w:rsidP="00043432">
      <w:pPr>
        <w:pStyle w:val="ListParagraph"/>
        <w:numPr>
          <w:ilvl w:val="0"/>
          <w:numId w:val="20"/>
        </w:numPr>
        <w:rPr>
          <w:rFonts w:ascii="Book Antiqua" w:hAnsi="Book Antiqua" w:cs="Arial"/>
          <w:sz w:val="20"/>
          <w:szCs w:val="20"/>
        </w:rPr>
      </w:pPr>
    </w:p>
    <w:p w14:paraId="369FD245" w14:textId="23774BC3" w:rsidR="0008358A" w:rsidRDefault="0008358A"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 xml:space="preserve">The budgeted departmental statement of cash flows (Table 3.4) reflects the source and application of appropriations and other revenue, as detailed in Table 3.1. </w:t>
      </w:r>
    </w:p>
    <w:p w14:paraId="32A22A6B" w14:textId="77777777" w:rsidR="00F55464" w:rsidRPr="00043432" w:rsidRDefault="00F55464" w:rsidP="00043432">
      <w:pPr>
        <w:pStyle w:val="ListParagraph"/>
        <w:numPr>
          <w:ilvl w:val="0"/>
          <w:numId w:val="20"/>
        </w:numPr>
        <w:rPr>
          <w:rFonts w:ascii="Book Antiqua" w:hAnsi="Book Antiqua" w:cs="Arial"/>
          <w:sz w:val="20"/>
          <w:szCs w:val="20"/>
        </w:rPr>
      </w:pPr>
    </w:p>
    <w:p w14:paraId="2C527B5B" w14:textId="295F9F0D" w:rsidR="0008358A" w:rsidRDefault="0008358A"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 xml:space="preserve">The schedule of budgeted income and expenses administered on behalf of Government (Table 3.7) shows the amounts APRA collects in supervisory levies (the levies) from the finance industry on behalf of the Government under the </w:t>
      </w:r>
      <w:r w:rsidRPr="00043432">
        <w:rPr>
          <w:rFonts w:ascii="Book Antiqua" w:hAnsi="Book Antiqua" w:cs="Arial"/>
          <w:i/>
          <w:sz w:val="20"/>
          <w:szCs w:val="20"/>
        </w:rPr>
        <w:t>Financial Institutions Supervisory Levies Collection Act 1998</w:t>
      </w:r>
      <w:r w:rsidRPr="00043432">
        <w:rPr>
          <w:rFonts w:ascii="Book Antiqua" w:hAnsi="Book Antiqua" w:cs="Arial"/>
          <w:sz w:val="20"/>
          <w:szCs w:val="20"/>
        </w:rPr>
        <w:t>.</w:t>
      </w:r>
    </w:p>
    <w:p w14:paraId="546574A9" w14:textId="77777777" w:rsidR="00F55464" w:rsidRPr="00043432" w:rsidRDefault="00F55464" w:rsidP="00043432">
      <w:pPr>
        <w:pStyle w:val="ListParagraph"/>
        <w:numPr>
          <w:ilvl w:val="0"/>
          <w:numId w:val="20"/>
        </w:numPr>
        <w:rPr>
          <w:rFonts w:ascii="Book Antiqua" w:hAnsi="Book Antiqua" w:cs="Arial"/>
          <w:sz w:val="20"/>
          <w:szCs w:val="20"/>
        </w:rPr>
      </w:pPr>
    </w:p>
    <w:p w14:paraId="7353272D" w14:textId="47FD109F" w:rsidR="0008358A" w:rsidRDefault="0008358A"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 xml:space="preserve">Apart from the amount required to fund APRA, the levies also include amounts to fund </w:t>
      </w:r>
      <w:r w:rsidR="00D10CC1" w:rsidRPr="00043432">
        <w:rPr>
          <w:rFonts w:ascii="Book Antiqua" w:hAnsi="Book Antiqua" w:cs="Arial"/>
          <w:sz w:val="20"/>
          <w:szCs w:val="20"/>
        </w:rPr>
        <w:t>the</w:t>
      </w:r>
      <w:r w:rsidRPr="00043432">
        <w:rPr>
          <w:rFonts w:ascii="Book Antiqua" w:hAnsi="Book Antiqua" w:cs="Arial"/>
          <w:sz w:val="20"/>
          <w:szCs w:val="20"/>
        </w:rPr>
        <w:t xml:space="preserve"> activities of the Australian Taxation Office (ATO) for unclaimed monies, lost member functions and for the administration of claims for early release of superannuation benefits on compassionate grounds; the Gateway Network Governance Body Ltd (GNGB) for governing and maintaining the superannuation transactions </w:t>
      </w:r>
      <w:r w:rsidRPr="00043432">
        <w:rPr>
          <w:rFonts w:ascii="Book Antiqua" w:hAnsi="Book Antiqua" w:cs="Arial"/>
          <w:sz w:val="20"/>
          <w:szCs w:val="20"/>
        </w:rPr>
        <w:lastRenderedPageBreak/>
        <w:t>network; the Australian Securities and Investments Commission (ASIC) to manage superannuation complaints</w:t>
      </w:r>
      <w:r w:rsidR="00171925" w:rsidRPr="00043432">
        <w:rPr>
          <w:rFonts w:ascii="Book Antiqua" w:hAnsi="Book Antiqua" w:cs="Arial"/>
          <w:sz w:val="20"/>
          <w:szCs w:val="20"/>
        </w:rPr>
        <w:t xml:space="preserve"> and</w:t>
      </w:r>
      <w:r w:rsidRPr="00043432">
        <w:rPr>
          <w:rFonts w:ascii="Book Antiqua" w:hAnsi="Book Antiqua" w:cs="Arial"/>
          <w:sz w:val="20"/>
          <w:szCs w:val="20"/>
        </w:rPr>
        <w:t xml:space="preserve"> the Australian Competition and Consumer Commission (ACCC) to enhance competition in the financial system.</w:t>
      </w:r>
    </w:p>
    <w:p w14:paraId="3147C9E8" w14:textId="77777777" w:rsidR="00F55464" w:rsidRPr="00F55464" w:rsidRDefault="00F55464" w:rsidP="00F55464">
      <w:pPr>
        <w:pStyle w:val="ListParagraph"/>
        <w:rPr>
          <w:rFonts w:ascii="Book Antiqua" w:hAnsi="Book Antiqua" w:cs="Arial"/>
          <w:sz w:val="20"/>
          <w:szCs w:val="20"/>
        </w:rPr>
      </w:pPr>
    </w:p>
    <w:p w14:paraId="5812D05F" w14:textId="53396769" w:rsidR="0008358A" w:rsidRDefault="0008358A"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 xml:space="preserve">In addition, the receipts and distributions relating to the administration of the Private Health Insurance industry risk equalisation processes under the </w:t>
      </w:r>
      <w:r w:rsidRPr="00043432">
        <w:rPr>
          <w:rFonts w:ascii="Book Antiqua" w:hAnsi="Book Antiqua" w:cs="Arial"/>
          <w:i/>
          <w:sz w:val="20"/>
          <w:szCs w:val="20"/>
        </w:rPr>
        <w:t>Private Health Insurance (Risk Equalisation Levy) Act 2003</w:t>
      </w:r>
      <w:r w:rsidRPr="00043432">
        <w:rPr>
          <w:rFonts w:ascii="Book Antiqua" w:hAnsi="Book Antiqua" w:cs="Arial"/>
          <w:sz w:val="20"/>
          <w:szCs w:val="20"/>
        </w:rPr>
        <w:t xml:space="preserve"> are included.</w:t>
      </w:r>
    </w:p>
    <w:p w14:paraId="5C411630" w14:textId="77777777" w:rsidR="00F55464" w:rsidRPr="00043432" w:rsidRDefault="00F55464" w:rsidP="00043432">
      <w:pPr>
        <w:pStyle w:val="ListParagraph"/>
        <w:numPr>
          <w:ilvl w:val="0"/>
          <w:numId w:val="20"/>
        </w:numPr>
        <w:rPr>
          <w:rFonts w:ascii="Book Antiqua" w:hAnsi="Book Antiqua" w:cs="Arial"/>
          <w:sz w:val="20"/>
          <w:szCs w:val="20"/>
        </w:rPr>
      </w:pPr>
    </w:p>
    <w:p w14:paraId="64D0C36C" w14:textId="5A407A43" w:rsidR="0008358A" w:rsidRDefault="0008358A" w:rsidP="00043432">
      <w:pPr>
        <w:pStyle w:val="ListParagraph"/>
        <w:numPr>
          <w:ilvl w:val="0"/>
          <w:numId w:val="20"/>
        </w:numPr>
        <w:rPr>
          <w:rFonts w:ascii="Book Antiqua" w:hAnsi="Book Antiqua" w:cs="Arial"/>
          <w:sz w:val="20"/>
          <w:szCs w:val="20"/>
        </w:rPr>
      </w:pPr>
      <w:r w:rsidRPr="00043432">
        <w:rPr>
          <w:rFonts w:ascii="Book Antiqua" w:hAnsi="Book Antiqua" w:cs="Arial"/>
          <w:sz w:val="20"/>
          <w:szCs w:val="20"/>
        </w:rPr>
        <w:t xml:space="preserve">The schedule of budgeted assets and liabilities administered on behalf of Government (Table 3.8) reflects residual Financial Assistance Levy funds, the Financial Claims Scheme special account and a $2.0 million Lloyds security deposit as required by section 92Q of the </w:t>
      </w:r>
      <w:r w:rsidRPr="00043432">
        <w:rPr>
          <w:rFonts w:ascii="Book Antiqua" w:hAnsi="Book Antiqua" w:cs="Arial"/>
          <w:i/>
          <w:sz w:val="20"/>
          <w:szCs w:val="20"/>
        </w:rPr>
        <w:t>Insurance Act 1973</w:t>
      </w:r>
      <w:r w:rsidRPr="00043432">
        <w:rPr>
          <w:rFonts w:ascii="Book Antiqua" w:hAnsi="Book Antiqua" w:cs="Arial"/>
          <w:sz w:val="20"/>
          <w:szCs w:val="20"/>
        </w:rPr>
        <w:t xml:space="preserve">. </w:t>
      </w:r>
    </w:p>
    <w:p w14:paraId="580A908F" w14:textId="77777777" w:rsidR="00F55464" w:rsidRPr="00F55464" w:rsidRDefault="00F55464" w:rsidP="00F55464">
      <w:pPr>
        <w:pStyle w:val="ListParagraph"/>
        <w:rPr>
          <w:rFonts w:ascii="Book Antiqua" w:hAnsi="Book Antiqua" w:cs="Arial"/>
          <w:sz w:val="20"/>
          <w:szCs w:val="20"/>
        </w:rPr>
      </w:pPr>
    </w:p>
    <w:p w14:paraId="37E5EA31" w14:textId="017AAA10" w:rsidR="0008358A" w:rsidRPr="00043432" w:rsidRDefault="0008358A" w:rsidP="00043432">
      <w:pPr>
        <w:pStyle w:val="ListParagraph"/>
        <w:numPr>
          <w:ilvl w:val="0"/>
          <w:numId w:val="20"/>
        </w:numPr>
        <w:rPr>
          <w:rFonts w:ascii="Book Antiqua" w:hAnsi="Book Antiqua"/>
          <w:sz w:val="20"/>
          <w:szCs w:val="20"/>
        </w:rPr>
      </w:pPr>
      <w:r w:rsidRPr="00043432">
        <w:rPr>
          <w:rFonts w:ascii="Book Antiqua" w:hAnsi="Book Antiqua"/>
          <w:sz w:val="20"/>
          <w:szCs w:val="20"/>
        </w:rPr>
        <w:t>The schedule of budgeted administered cash flows (Table 3.9), indicates that cash collected is swept daily from APRA</w:t>
      </w:r>
      <w:r w:rsidR="003E59CC" w:rsidRPr="00043432">
        <w:rPr>
          <w:rFonts w:ascii="Book Antiqua" w:hAnsi="Book Antiqua"/>
          <w:sz w:val="20"/>
          <w:szCs w:val="20"/>
        </w:rPr>
        <w:t>’s</w:t>
      </w:r>
      <w:r w:rsidRPr="00043432">
        <w:rPr>
          <w:rFonts w:ascii="Book Antiqua" w:hAnsi="Book Antiqua"/>
          <w:sz w:val="20"/>
          <w:szCs w:val="20"/>
        </w:rPr>
        <w:t xml:space="preserve"> account to the Official Public Account (OPA), from which APRA, in turn, draws down the amounts appropriated to it by the Parliament (as per Table 3.1), or returns </w:t>
      </w:r>
      <w:r w:rsidR="00A13342" w:rsidRPr="00043432">
        <w:rPr>
          <w:rFonts w:ascii="Book Antiqua" w:hAnsi="Book Antiqua"/>
          <w:sz w:val="20"/>
          <w:szCs w:val="20"/>
        </w:rPr>
        <w:t>it t</w:t>
      </w:r>
      <w:r w:rsidRPr="00043432">
        <w:rPr>
          <w:rFonts w:ascii="Book Antiqua" w:hAnsi="Book Antiqua"/>
          <w:sz w:val="20"/>
          <w:szCs w:val="20"/>
        </w:rPr>
        <w:t>o the Private Health Insurance industry as quarterly risk equalisation payments. The residual is retained in the OPA to meet the Treasurer’s Determinations for the ATO, GNGB, ASIC</w:t>
      </w:r>
      <w:r w:rsidR="00B75DCB" w:rsidRPr="00043432">
        <w:rPr>
          <w:rFonts w:ascii="Book Antiqua" w:hAnsi="Book Antiqua"/>
          <w:sz w:val="20"/>
          <w:szCs w:val="20"/>
        </w:rPr>
        <w:t xml:space="preserve"> and the</w:t>
      </w:r>
      <w:r w:rsidRPr="00043432">
        <w:rPr>
          <w:rFonts w:ascii="Book Antiqua" w:hAnsi="Book Antiqua"/>
          <w:sz w:val="20"/>
          <w:szCs w:val="20"/>
        </w:rPr>
        <w:t xml:space="preserve"> ACCC.</w:t>
      </w:r>
    </w:p>
    <w:p w14:paraId="0A56191E" w14:textId="32719FE9" w:rsidR="0008358A" w:rsidRDefault="0008358A" w:rsidP="0008358A">
      <w:pPr>
        <w:pStyle w:val="Heading3"/>
      </w:pPr>
      <w:r>
        <w:br w:type="page"/>
      </w:r>
      <w:bookmarkStart w:id="28" w:name="_Toc444523518"/>
      <w:bookmarkStart w:id="29" w:name="_Toc69915713"/>
      <w:r>
        <w:lastRenderedPageBreak/>
        <w:t>3.2.</w:t>
      </w:r>
      <w:r>
        <w:tab/>
      </w:r>
      <w:bookmarkEnd w:id="28"/>
      <w:bookmarkEnd w:id="29"/>
      <w:r w:rsidR="00851FA1" w:rsidRPr="0003494C">
        <w:rPr>
          <w:rFonts w:ascii="Arial" w:eastAsia="Times New Roman" w:hAnsi="Arial" w:cs="Times New Roman"/>
          <w:bCs w:val="0"/>
          <w:smallCaps/>
          <w:color w:val="auto"/>
          <w:sz w:val="26"/>
          <w:szCs w:val="20"/>
          <w:lang w:eastAsia="en-AU"/>
        </w:rPr>
        <w:t>Budgeted financial statements tables</w:t>
      </w:r>
    </w:p>
    <w:p w14:paraId="376F7318" w14:textId="2E3E0583" w:rsidR="006D3CA7" w:rsidRPr="006D3CA7" w:rsidRDefault="00851FA1" w:rsidP="00663122">
      <w:pPr>
        <w:pStyle w:val="TableHeading"/>
        <w:spacing w:before="0" w:after="0"/>
        <w:rPr>
          <w:snapToGrid w:val="0"/>
        </w:rPr>
      </w:pPr>
      <w:r w:rsidRPr="004838E5">
        <w:rPr>
          <w:rFonts w:eastAsia="Times New Roman" w:cs="Arial"/>
          <w:i w:val="0"/>
          <w:color w:val="auto"/>
          <w:sz w:val="20"/>
          <w:szCs w:val="20"/>
          <w:lang w:eastAsia="en-AU"/>
        </w:rPr>
        <w:t>Table 3.1: Comprehensive income statement (showing net cost of services) for the period ended 30 June</w:t>
      </w:r>
    </w:p>
    <w:tbl>
      <w:tblPr>
        <w:tblW w:w="5000" w:type="pct"/>
        <w:tblCellMar>
          <w:left w:w="0" w:type="dxa"/>
          <w:right w:w="28" w:type="dxa"/>
        </w:tblCellMar>
        <w:tblLook w:val="04A0" w:firstRow="1" w:lastRow="0" w:firstColumn="1" w:lastColumn="0" w:noHBand="0" w:noVBand="1"/>
      </w:tblPr>
      <w:tblGrid>
        <w:gridCol w:w="3256"/>
        <w:gridCol w:w="891"/>
        <w:gridCol w:w="891"/>
        <w:gridCol w:w="891"/>
        <w:gridCol w:w="891"/>
        <w:gridCol w:w="890"/>
      </w:tblGrid>
      <w:tr w:rsidR="006D3CA7" w:rsidRPr="00E1703B" w14:paraId="36998E78" w14:textId="77777777" w:rsidTr="00003CA8">
        <w:trPr>
          <w:trHeight w:val="800"/>
        </w:trPr>
        <w:tc>
          <w:tcPr>
            <w:tcW w:w="2111" w:type="pct"/>
            <w:tcBorders>
              <w:top w:val="single" w:sz="4" w:space="0" w:color="auto"/>
              <w:left w:val="nil"/>
              <w:bottom w:val="nil"/>
              <w:right w:val="nil"/>
            </w:tcBorders>
            <w:shd w:val="clear" w:color="auto" w:fill="auto"/>
            <w:noWrap/>
            <w:hideMark/>
          </w:tcPr>
          <w:p w14:paraId="499F2D6B" w14:textId="77777777" w:rsidR="006D3CA7" w:rsidRPr="00043432" w:rsidRDefault="006D3CA7" w:rsidP="00043432">
            <w:pPr>
              <w:pStyle w:val="ListParagraph"/>
              <w:numPr>
                <w:ilvl w:val="0"/>
                <w:numId w:val="20"/>
              </w:numPr>
              <w:spacing w:after="0"/>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c>
          <w:tcPr>
            <w:tcW w:w="578" w:type="pct"/>
            <w:tcBorders>
              <w:top w:val="single" w:sz="4" w:space="0" w:color="auto"/>
              <w:left w:val="nil"/>
              <w:bottom w:val="single" w:sz="4" w:space="0" w:color="auto"/>
              <w:right w:val="nil"/>
            </w:tcBorders>
            <w:shd w:val="clear" w:color="auto" w:fill="auto"/>
            <w:hideMark/>
          </w:tcPr>
          <w:p w14:paraId="7A9E4992"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 Estimated actual</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000000" w:fill="E6E6E6"/>
            <w:hideMark/>
          </w:tcPr>
          <w:p w14:paraId="25794EDE"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r w:rsidRPr="00043432">
              <w:rPr>
                <w:rFonts w:eastAsia="Times New Roman" w:cs="Arial"/>
                <w:color w:val="auto"/>
                <w:sz w:val="16"/>
                <w:szCs w:val="16"/>
                <w:lang w:eastAsia="en-AU"/>
              </w:rPr>
              <w:br/>
              <w:t>Budget</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39D3529F"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2022-23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7B156B89"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2023-24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7FCB556F"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2024-25</w:t>
            </w:r>
            <w:r w:rsidRPr="00043432">
              <w:rPr>
                <w:rFonts w:eastAsia="Times New Roman" w:cs="Arial"/>
                <w:color w:val="auto"/>
                <w:sz w:val="16"/>
                <w:szCs w:val="16"/>
                <w:lang w:eastAsia="en-AU"/>
              </w:rPr>
              <w:br/>
              <w:t>Forward estimate</w:t>
            </w:r>
            <w:r w:rsidRPr="00043432">
              <w:rPr>
                <w:rFonts w:eastAsia="Times New Roman" w:cs="Arial"/>
                <w:color w:val="auto"/>
                <w:sz w:val="16"/>
                <w:szCs w:val="16"/>
                <w:lang w:eastAsia="en-AU"/>
              </w:rPr>
              <w:br/>
              <w:t>$'000</w:t>
            </w:r>
          </w:p>
        </w:tc>
      </w:tr>
      <w:tr w:rsidR="006D3CA7" w:rsidRPr="00E1703B" w14:paraId="60A3FF68" w14:textId="77777777" w:rsidTr="004A61A6">
        <w:trPr>
          <w:trHeight w:val="210"/>
        </w:trPr>
        <w:tc>
          <w:tcPr>
            <w:tcW w:w="2111" w:type="pct"/>
            <w:tcBorders>
              <w:top w:val="nil"/>
              <w:left w:val="nil"/>
              <w:bottom w:val="nil"/>
              <w:right w:val="nil"/>
            </w:tcBorders>
            <w:shd w:val="clear" w:color="auto" w:fill="auto"/>
            <w:noWrap/>
            <w:vAlign w:val="bottom"/>
            <w:hideMark/>
          </w:tcPr>
          <w:p w14:paraId="3BFB50E9" w14:textId="77777777" w:rsidR="006D3CA7" w:rsidRPr="00043432" w:rsidRDefault="006D3CA7"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EXPENSES</w:t>
            </w:r>
          </w:p>
        </w:tc>
        <w:tc>
          <w:tcPr>
            <w:tcW w:w="578" w:type="pct"/>
            <w:tcBorders>
              <w:top w:val="nil"/>
              <w:left w:val="nil"/>
              <w:bottom w:val="nil"/>
              <w:right w:val="nil"/>
            </w:tcBorders>
            <w:shd w:val="clear" w:color="auto" w:fill="auto"/>
            <w:noWrap/>
            <w:vAlign w:val="bottom"/>
            <w:hideMark/>
          </w:tcPr>
          <w:p w14:paraId="335BC0C7" w14:textId="77777777" w:rsidR="006D3CA7" w:rsidRPr="00043432" w:rsidRDefault="006D3CA7" w:rsidP="00043432">
            <w:pPr>
              <w:pStyle w:val="ListParagraph"/>
              <w:numPr>
                <w:ilvl w:val="0"/>
                <w:numId w:val="20"/>
              </w:numPr>
              <w:spacing w:after="0"/>
              <w:jc w:val="left"/>
              <w:rPr>
                <w:rFonts w:eastAsia="Times New Roman" w:cs="Arial"/>
                <w:b/>
                <w:bCs/>
                <w:color w:val="auto"/>
                <w:sz w:val="16"/>
                <w:szCs w:val="16"/>
                <w:lang w:eastAsia="en-AU"/>
              </w:rPr>
            </w:pPr>
          </w:p>
        </w:tc>
        <w:tc>
          <w:tcPr>
            <w:tcW w:w="578" w:type="pct"/>
            <w:tcBorders>
              <w:top w:val="nil"/>
              <w:left w:val="nil"/>
              <w:bottom w:val="nil"/>
              <w:right w:val="nil"/>
            </w:tcBorders>
            <w:shd w:val="clear" w:color="000000" w:fill="E6E6E6"/>
            <w:noWrap/>
            <w:vAlign w:val="bottom"/>
            <w:hideMark/>
          </w:tcPr>
          <w:p w14:paraId="61FF6CBB"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c>
          <w:tcPr>
            <w:tcW w:w="578" w:type="pct"/>
            <w:tcBorders>
              <w:top w:val="nil"/>
              <w:left w:val="nil"/>
              <w:bottom w:val="nil"/>
              <w:right w:val="nil"/>
            </w:tcBorders>
            <w:shd w:val="clear" w:color="auto" w:fill="auto"/>
            <w:noWrap/>
            <w:vAlign w:val="bottom"/>
            <w:hideMark/>
          </w:tcPr>
          <w:p w14:paraId="1EFB24FE"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p>
        </w:tc>
        <w:tc>
          <w:tcPr>
            <w:tcW w:w="578" w:type="pct"/>
            <w:tcBorders>
              <w:top w:val="nil"/>
              <w:left w:val="nil"/>
              <w:bottom w:val="nil"/>
              <w:right w:val="nil"/>
            </w:tcBorders>
            <w:shd w:val="clear" w:color="auto" w:fill="auto"/>
            <w:noWrap/>
            <w:vAlign w:val="bottom"/>
            <w:hideMark/>
          </w:tcPr>
          <w:p w14:paraId="23C6DCB2"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1F0D69E3"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003CA8" w:rsidRPr="00E1703B" w14:paraId="4A3A64CD" w14:textId="77777777" w:rsidTr="004A61A6">
        <w:trPr>
          <w:trHeight w:val="200"/>
        </w:trPr>
        <w:tc>
          <w:tcPr>
            <w:tcW w:w="2111" w:type="pct"/>
            <w:tcBorders>
              <w:top w:val="nil"/>
              <w:left w:val="nil"/>
              <w:bottom w:val="nil"/>
              <w:right w:val="nil"/>
            </w:tcBorders>
            <w:shd w:val="clear" w:color="auto" w:fill="auto"/>
            <w:noWrap/>
            <w:vAlign w:val="bottom"/>
            <w:hideMark/>
          </w:tcPr>
          <w:p w14:paraId="0E8A1FBC"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Employee benefits</w:t>
            </w:r>
          </w:p>
        </w:tc>
        <w:tc>
          <w:tcPr>
            <w:tcW w:w="578" w:type="pct"/>
            <w:tcBorders>
              <w:top w:val="nil"/>
              <w:left w:val="nil"/>
              <w:bottom w:val="nil"/>
              <w:right w:val="nil"/>
            </w:tcBorders>
            <w:shd w:val="clear" w:color="auto" w:fill="auto"/>
            <w:noWrap/>
            <w:vAlign w:val="bottom"/>
            <w:hideMark/>
          </w:tcPr>
          <w:p w14:paraId="63F038CD"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144,600 </w:t>
            </w:r>
          </w:p>
        </w:tc>
        <w:tc>
          <w:tcPr>
            <w:tcW w:w="578" w:type="pct"/>
            <w:tcBorders>
              <w:top w:val="nil"/>
              <w:left w:val="nil"/>
              <w:bottom w:val="nil"/>
              <w:right w:val="nil"/>
            </w:tcBorders>
            <w:shd w:val="clear" w:color="000000" w:fill="E6E6E6"/>
            <w:noWrap/>
            <w:vAlign w:val="bottom"/>
            <w:hideMark/>
          </w:tcPr>
          <w:p w14:paraId="11BFF195" w14:textId="4CF0F788"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160,341 </w:t>
            </w:r>
          </w:p>
        </w:tc>
        <w:tc>
          <w:tcPr>
            <w:tcW w:w="578" w:type="pct"/>
            <w:tcBorders>
              <w:top w:val="nil"/>
              <w:left w:val="nil"/>
              <w:bottom w:val="nil"/>
              <w:right w:val="nil"/>
            </w:tcBorders>
            <w:shd w:val="clear" w:color="auto" w:fill="auto"/>
            <w:noWrap/>
            <w:vAlign w:val="bottom"/>
            <w:hideMark/>
          </w:tcPr>
          <w:p w14:paraId="0BA3A431" w14:textId="7C35AF0A"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149,908 </w:t>
            </w:r>
          </w:p>
        </w:tc>
        <w:tc>
          <w:tcPr>
            <w:tcW w:w="578" w:type="pct"/>
            <w:tcBorders>
              <w:top w:val="nil"/>
              <w:left w:val="nil"/>
              <w:bottom w:val="nil"/>
              <w:right w:val="nil"/>
            </w:tcBorders>
            <w:shd w:val="clear" w:color="auto" w:fill="auto"/>
            <w:noWrap/>
            <w:vAlign w:val="bottom"/>
            <w:hideMark/>
          </w:tcPr>
          <w:p w14:paraId="1FDEB515" w14:textId="4FC12C32"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151,240 </w:t>
            </w:r>
          </w:p>
        </w:tc>
        <w:tc>
          <w:tcPr>
            <w:tcW w:w="578" w:type="pct"/>
            <w:tcBorders>
              <w:top w:val="nil"/>
              <w:left w:val="nil"/>
              <w:bottom w:val="nil"/>
              <w:right w:val="nil"/>
            </w:tcBorders>
            <w:shd w:val="clear" w:color="auto" w:fill="auto"/>
            <w:noWrap/>
            <w:vAlign w:val="bottom"/>
            <w:hideMark/>
          </w:tcPr>
          <w:p w14:paraId="3DD5B2D5" w14:textId="073555B4"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151,245 </w:t>
            </w:r>
          </w:p>
        </w:tc>
      </w:tr>
      <w:tr w:rsidR="00003CA8" w:rsidRPr="00E1703B" w14:paraId="3D1D6AC8" w14:textId="77777777" w:rsidTr="004A61A6">
        <w:trPr>
          <w:trHeight w:val="200"/>
        </w:trPr>
        <w:tc>
          <w:tcPr>
            <w:tcW w:w="2111" w:type="pct"/>
            <w:tcBorders>
              <w:top w:val="nil"/>
              <w:left w:val="nil"/>
              <w:bottom w:val="nil"/>
              <w:right w:val="nil"/>
            </w:tcBorders>
            <w:shd w:val="clear" w:color="auto" w:fill="auto"/>
            <w:noWrap/>
            <w:vAlign w:val="bottom"/>
            <w:hideMark/>
          </w:tcPr>
          <w:p w14:paraId="3D39FAFE"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Suppliers</w:t>
            </w:r>
          </w:p>
        </w:tc>
        <w:tc>
          <w:tcPr>
            <w:tcW w:w="578" w:type="pct"/>
            <w:tcBorders>
              <w:top w:val="nil"/>
              <w:left w:val="nil"/>
              <w:bottom w:val="nil"/>
              <w:right w:val="nil"/>
            </w:tcBorders>
            <w:shd w:val="clear" w:color="auto" w:fill="auto"/>
            <w:noWrap/>
            <w:vAlign w:val="bottom"/>
            <w:hideMark/>
          </w:tcPr>
          <w:p w14:paraId="745EB90A"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32,699 </w:t>
            </w:r>
          </w:p>
        </w:tc>
        <w:tc>
          <w:tcPr>
            <w:tcW w:w="578" w:type="pct"/>
            <w:tcBorders>
              <w:top w:val="nil"/>
              <w:left w:val="nil"/>
              <w:bottom w:val="nil"/>
              <w:right w:val="nil"/>
            </w:tcBorders>
            <w:shd w:val="clear" w:color="000000" w:fill="E6E6E6"/>
            <w:noWrap/>
            <w:vAlign w:val="bottom"/>
            <w:hideMark/>
          </w:tcPr>
          <w:p w14:paraId="70ED9B82" w14:textId="4E2B018E"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44,291 </w:t>
            </w:r>
          </w:p>
        </w:tc>
        <w:tc>
          <w:tcPr>
            <w:tcW w:w="578" w:type="pct"/>
            <w:tcBorders>
              <w:top w:val="nil"/>
              <w:left w:val="nil"/>
              <w:bottom w:val="nil"/>
              <w:right w:val="nil"/>
            </w:tcBorders>
            <w:shd w:val="clear" w:color="auto" w:fill="auto"/>
            <w:noWrap/>
            <w:vAlign w:val="bottom"/>
            <w:hideMark/>
          </w:tcPr>
          <w:p w14:paraId="6673B333" w14:textId="66B04458"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33,602 </w:t>
            </w:r>
          </w:p>
        </w:tc>
        <w:tc>
          <w:tcPr>
            <w:tcW w:w="578" w:type="pct"/>
            <w:tcBorders>
              <w:top w:val="nil"/>
              <w:left w:val="nil"/>
              <w:bottom w:val="nil"/>
              <w:right w:val="nil"/>
            </w:tcBorders>
            <w:shd w:val="clear" w:color="auto" w:fill="auto"/>
            <w:noWrap/>
            <w:vAlign w:val="bottom"/>
            <w:hideMark/>
          </w:tcPr>
          <w:p w14:paraId="7FAE97CC" w14:textId="52E079B8"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33,412 </w:t>
            </w:r>
          </w:p>
        </w:tc>
        <w:tc>
          <w:tcPr>
            <w:tcW w:w="578" w:type="pct"/>
            <w:tcBorders>
              <w:top w:val="nil"/>
              <w:left w:val="nil"/>
              <w:bottom w:val="nil"/>
              <w:right w:val="nil"/>
            </w:tcBorders>
            <w:shd w:val="clear" w:color="auto" w:fill="auto"/>
            <w:noWrap/>
            <w:vAlign w:val="bottom"/>
            <w:hideMark/>
          </w:tcPr>
          <w:p w14:paraId="68025901" w14:textId="0D2A1476"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34,920 </w:t>
            </w:r>
          </w:p>
        </w:tc>
      </w:tr>
      <w:tr w:rsidR="00003CA8" w:rsidRPr="00E1703B" w14:paraId="4A45C086" w14:textId="77777777" w:rsidTr="004A61A6">
        <w:trPr>
          <w:trHeight w:val="200"/>
        </w:trPr>
        <w:tc>
          <w:tcPr>
            <w:tcW w:w="2111" w:type="pct"/>
            <w:tcBorders>
              <w:top w:val="nil"/>
              <w:left w:val="nil"/>
              <w:bottom w:val="nil"/>
              <w:right w:val="nil"/>
            </w:tcBorders>
            <w:shd w:val="clear" w:color="auto" w:fill="auto"/>
            <w:noWrap/>
            <w:vAlign w:val="bottom"/>
            <w:hideMark/>
          </w:tcPr>
          <w:p w14:paraId="2C965851"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Depreciation and amortisation</w:t>
            </w:r>
          </w:p>
        </w:tc>
        <w:tc>
          <w:tcPr>
            <w:tcW w:w="578" w:type="pct"/>
            <w:tcBorders>
              <w:top w:val="nil"/>
              <w:left w:val="nil"/>
              <w:bottom w:val="nil"/>
              <w:right w:val="nil"/>
            </w:tcBorders>
            <w:shd w:val="clear" w:color="auto" w:fill="auto"/>
            <w:noWrap/>
            <w:vAlign w:val="bottom"/>
            <w:hideMark/>
          </w:tcPr>
          <w:p w14:paraId="1EC6F737"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18,101 </w:t>
            </w:r>
          </w:p>
        </w:tc>
        <w:tc>
          <w:tcPr>
            <w:tcW w:w="578" w:type="pct"/>
            <w:tcBorders>
              <w:top w:val="nil"/>
              <w:left w:val="nil"/>
              <w:bottom w:val="nil"/>
              <w:right w:val="nil"/>
            </w:tcBorders>
            <w:shd w:val="clear" w:color="000000" w:fill="E6E6E6"/>
            <w:noWrap/>
            <w:vAlign w:val="bottom"/>
            <w:hideMark/>
          </w:tcPr>
          <w:p w14:paraId="5206C003" w14:textId="4DAACB0A"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20,488 </w:t>
            </w:r>
          </w:p>
        </w:tc>
        <w:tc>
          <w:tcPr>
            <w:tcW w:w="578" w:type="pct"/>
            <w:tcBorders>
              <w:top w:val="nil"/>
              <w:left w:val="nil"/>
              <w:bottom w:val="nil"/>
              <w:right w:val="nil"/>
            </w:tcBorders>
            <w:shd w:val="clear" w:color="auto" w:fill="auto"/>
            <w:noWrap/>
            <w:vAlign w:val="bottom"/>
            <w:hideMark/>
          </w:tcPr>
          <w:p w14:paraId="6801146B" w14:textId="1BE4E4B4"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21,953 </w:t>
            </w:r>
          </w:p>
        </w:tc>
        <w:tc>
          <w:tcPr>
            <w:tcW w:w="578" w:type="pct"/>
            <w:tcBorders>
              <w:top w:val="nil"/>
              <w:left w:val="nil"/>
              <w:bottom w:val="nil"/>
              <w:right w:val="nil"/>
            </w:tcBorders>
            <w:shd w:val="clear" w:color="auto" w:fill="auto"/>
            <w:noWrap/>
            <w:vAlign w:val="bottom"/>
            <w:hideMark/>
          </w:tcPr>
          <w:p w14:paraId="0C794B34" w14:textId="5EED8AFF"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22,060 </w:t>
            </w:r>
          </w:p>
        </w:tc>
        <w:tc>
          <w:tcPr>
            <w:tcW w:w="578" w:type="pct"/>
            <w:tcBorders>
              <w:top w:val="nil"/>
              <w:left w:val="nil"/>
              <w:bottom w:val="nil"/>
              <w:right w:val="nil"/>
            </w:tcBorders>
            <w:shd w:val="clear" w:color="auto" w:fill="auto"/>
            <w:noWrap/>
            <w:vAlign w:val="bottom"/>
            <w:hideMark/>
          </w:tcPr>
          <w:p w14:paraId="2446C6CF" w14:textId="6E7223DC"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20,487 </w:t>
            </w:r>
          </w:p>
        </w:tc>
      </w:tr>
      <w:tr w:rsidR="00003CA8" w:rsidRPr="00E1703B" w14:paraId="34444616" w14:textId="77777777" w:rsidTr="004A61A6">
        <w:trPr>
          <w:trHeight w:val="200"/>
        </w:trPr>
        <w:tc>
          <w:tcPr>
            <w:tcW w:w="2111" w:type="pct"/>
            <w:tcBorders>
              <w:top w:val="nil"/>
              <w:left w:val="nil"/>
              <w:bottom w:val="nil"/>
              <w:right w:val="nil"/>
            </w:tcBorders>
            <w:shd w:val="clear" w:color="auto" w:fill="auto"/>
            <w:noWrap/>
            <w:vAlign w:val="bottom"/>
            <w:hideMark/>
          </w:tcPr>
          <w:p w14:paraId="70F7BFE6"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Finance costs</w:t>
            </w:r>
          </w:p>
        </w:tc>
        <w:tc>
          <w:tcPr>
            <w:tcW w:w="578" w:type="pct"/>
            <w:tcBorders>
              <w:top w:val="nil"/>
              <w:left w:val="nil"/>
              <w:bottom w:val="nil"/>
              <w:right w:val="nil"/>
            </w:tcBorders>
            <w:shd w:val="clear" w:color="auto" w:fill="auto"/>
            <w:noWrap/>
            <w:vAlign w:val="bottom"/>
            <w:hideMark/>
          </w:tcPr>
          <w:p w14:paraId="6B89D7FB"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857 </w:t>
            </w:r>
          </w:p>
        </w:tc>
        <w:tc>
          <w:tcPr>
            <w:tcW w:w="578" w:type="pct"/>
            <w:tcBorders>
              <w:top w:val="nil"/>
              <w:left w:val="nil"/>
              <w:bottom w:val="nil"/>
              <w:right w:val="nil"/>
            </w:tcBorders>
            <w:shd w:val="clear" w:color="000000" w:fill="E6E6E6"/>
            <w:noWrap/>
            <w:vAlign w:val="bottom"/>
            <w:hideMark/>
          </w:tcPr>
          <w:p w14:paraId="222FBB16" w14:textId="6559D855"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695 </w:t>
            </w:r>
          </w:p>
        </w:tc>
        <w:tc>
          <w:tcPr>
            <w:tcW w:w="578" w:type="pct"/>
            <w:tcBorders>
              <w:top w:val="nil"/>
              <w:left w:val="nil"/>
              <w:bottom w:val="nil"/>
              <w:right w:val="nil"/>
            </w:tcBorders>
            <w:shd w:val="clear" w:color="auto" w:fill="auto"/>
            <w:noWrap/>
            <w:vAlign w:val="bottom"/>
            <w:hideMark/>
          </w:tcPr>
          <w:p w14:paraId="1C28FB0F" w14:textId="54ED5EA3"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540 </w:t>
            </w:r>
          </w:p>
        </w:tc>
        <w:tc>
          <w:tcPr>
            <w:tcW w:w="578" w:type="pct"/>
            <w:tcBorders>
              <w:top w:val="nil"/>
              <w:left w:val="nil"/>
              <w:bottom w:val="nil"/>
              <w:right w:val="nil"/>
            </w:tcBorders>
            <w:shd w:val="clear" w:color="auto" w:fill="auto"/>
            <w:noWrap/>
            <w:vAlign w:val="bottom"/>
            <w:hideMark/>
          </w:tcPr>
          <w:p w14:paraId="6B342D89" w14:textId="105B5314"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31 </w:t>
            </w:r>
          </w:p>
        </w:tc>
        <w:tc>
          <w:tcPr>
            <w:tcW w:w="578" w:type="pct"/>
            <w:tcBorders>
              <w:top w:val="nil"/>
              <w:left w:val="nil"/>
              <w:bottom w:val="nil"/>
              <w:right w:val="nil"/>
            </w:tcBorders>
            <w:shd w:val="clear" w:color="auto" w:fill="auto"/>
            <w:noWrap/>
            <w:vAlign w:val="bottom"/>
            <w:hideMark/>
          </w:tcPr>
          <w:p w14:paraId="4BC3DEB9" w14:textId="7604B70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242 </w:t>
            </w:r>
          </w:p>
        </w:tc>
      </w:tr>
      <w:tr w:rsidR="00003CA8" w:rsidRPr="00E1703B" w14:paraId="1CAA224F" w14:textId="77777777" w:rsidTr="004A61A6">
        <w:trPr>
          <w:trHeight w:val="210"/>
        </w:trPr>
        <w:tc>
          <w:tcPr>
            <w:tcW w:w="2111" w:type="pct"/>
            <w:tcBorders>
              <w:top w:val="nil"/>
              <w:left w:val="nil"/>
              <w:bottom w:val="nil"/>
              <w:right w:val="nil"/>
            </w:tcBorders>
            <w:shd w:val="clear" w:color="auto" w:fill="auto"/>
            <w:noWrap/>
            <w:vAlign w:val="bottom"/>
            <w:hideMark/>
          </w:tcPr>
          <w:p w14:paraId="3A417C87"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expenses</w:t>
            </w:r>
          </w:p>
        </w:tc>
        <w:tc>
          <w:tcPr>
            <w:tcW w:w="578" w:type="pct"/>
            <w:tcBorders>
              <w:top w:val="single" w:sz="4" w:space="0" w:color="auto"/>
              <w:left w:val="nil"/>
              <w:bottom w:val="single" w:sz="4" w:space="0" w:color="auto"/>
              <w:right w:val="nil"/>
            </w:tcBorders>
            <w:shd w:val="clear" w:color="auto" w:fill="auto"/>
            <w:noWrap/>
            <w:vAlign w:val="bottom"/>
            <w:hideMark/>
          </w:tcPr>
          <w:p w14:paraId="7D532C45"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196,257 </w:t>
            </w:r>
          </w:p>
        </w:tc>
        <w:tc>
          <w:tcPr>
            <w:tcW w:w="578" w:type="pct"/>
            <w:tcBorders>
              <w:top w:val="single" w:sz="4" w:space="0" w:color="auto"/>
              <w:left w:val="nil"/>
              <w:bottom w:val="single" w:sz="4" w:space="0" w:color="auto"/>
              <w:right w:val="nil"/>
            </w:tcBorders>
            <w:shd w:val="clear" w:color="000000" w:fill="E6E6E6"/>
            <w:noWrap/>
            <w:vAlign w:val="bottom"/>
            <w:hideMark/>
          </w:tcPr>
          <w:p w14:paraId="7AD63C1D" w14:textId="31A6E9E6"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225,815 </w:t>
            </w:r>
          </w:p>
        </w:tc>
        <w:tc>
          <w:tcPr>
            <w:tcW w:w="578" w:type="pct"/>
            <w:tcBorders>
              <w:top w:val="single" w:sz="4" w:space="0" w:color="auto"/>
              <w:left w:val="nil"/>
              <w:bottom w:val="single" w:sz="4" w:space="0" w:color="auto"/>
              <w:right w:val="nil"/>
            </w:tcBorders>
            <w:shd w:val="clear" w:color="auto" w:fill="auto"/>
            <w:noWrap/>
            <w:vAlign w:val="bottom"/>
            <w:hideMark/>
          </w:tcPr>
          <w:p w14:paraId="07CD17DB" w14:textId="0B6A94A3"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206,003 </w:t>
            </w:r>
          </w:p>
        </w:tc>
        <w:tc>
          <w:tcPr>
            <w:tcW w:w="578" w:type="pct"/>
            <w:tcBorders>
              <w:top w:val="single" w:sz="4" w:space="0" w:color="auto"/>
              <w:left w:val="nil"/>
              <w:bottom w:val="single" w:sz="4" w:space="0" w:color="auto"/>
              <w:right w:val="nil"/>
            </w:tcBorders>
            <w:shd w:val="clear" w:color="auto" w:fill="auto"/>
            <w:noWrap/>
            <w:vAlign w:val="bottom"/>
            <w:hideMark/>
          </w:tcPr>
          <w:p w14:paraId="6218CEA6" w14:textId="0EF6CDB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206,743 </w:t>
            </w:r>
          </w:p>
        </w:tc>
        <w:tc>
          <w:tcPr>
            <w:tcW w:w="578" w:type="pct"/>
            <w:tcBorders>
              <w:top w:val="single" w:sz="4" w:space="0" w:color="auto"/>
              <w:left w:val="nil"/>
              <w:bottom w:val="single" w:sz="4" w:space="0" w:color="auto"/>
              <w:right w:val="nil"/>
            </w:tcBorders>
            <w:shd w:val="clear" w:color="auto" w:fill="auto"/>
            <w:noWrap/>
            <w:vAlign w:val="bottom"/>
            <w:hideMark/>
          </w:tcPr>
          <w:p w14:paraId="6CBCA8F1" w14:textId="54A44A81"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206,894 </w:t>
            </w:r>
          </w:p>
        </w:tc>
      </w:tr>
      <w:tr w:rsidR="00003CA8" w:rsidRPr="00E1703B" w14:paraId="7D5262CC" w14:textId="77777777" w:rsidTr="004A61A6">
        <w:trPr>
          <w:trHeight w:val="210"/>
        </w:trPr>
        <w:tc>
          <w:tcPr>
            <w:tcW w:w="2111" w:type="pct"/>
            <w:tcBorders>
              <w:top w:val="nil"/>
              <w:left w:val="nil"/>
              <w:bottom w:val="nil"/>
              <w:right w:val="nil"/>
            </w:tcBorders>
            <w:shd w:val="clear" w:color="auto" w:fill="auto"/>
            <w:noWrap/>
            <w:vAlign w:val="bottom"/>
            <w:hideMark/>
          </w:tcPr>
          <w:p w14:paraId="45F2F4CF"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LESS: </w:t>
            </w:r>
          </w:p>
        </w:tc>
        <w:tc>
          <w:tcPr>
            <w:tcW w:w="578" w:type="pct"/>
            <w:tcBorders>
              <w:top w:val="nil"/>
              <w:left w:val="nil"/>
              <w:bottom w:val="nil"/>
              <w:right w:val="nil"/>
            </w:tcBorders>
            <w:shd w:val="clear" w:color="auto" w:fill="auto"/>
            <w:noWrap/>
            <w:vAlign w:val="bottom"/>
            <w:hideMark/>
          </w:tcPr>
          <w:p w14:paraId="14A68750"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p>
        </w:tc>
        <w:tc>
          <w:tcPr>
            <w:tcW w:w="578" w:type="pct"/>
            <w:tcBorders>
              <w:top w:val="nil"/>
              <w:left w:val="nil"/>
              <w:bottom w:val="nil"/>
              <w:right w:val="nil"/>
            </w:tcBorders>
            <w:shd w:val="clear" w:color="000000" w:fill="E6E6E6"/>
            <w:noWrap/>
            <w:vAlign w:val="bottom"/>
            <w:hideMark/>
          </w:tcPr>
          <w:p w14:paraId="53A1C0EF" w14:textId="332CD0FA"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w:t>
            </w:r>
          </w:p>
        </w:tc>
        <w:tc>
          <w:tcPr>
            <w:tcW w:w="578" w:type="pct"/>
            <w:tcBorders>
              <w:top w:val="nil"/>
              <w:left w:val="nil"/>
              <w:bottom w:val="nil"/>
              <w:right w:val="nil"/>
            </w:tcBorders>
            <w:shd w:val="clear" w:color="auto" w:fill="auto"/>
            <w:noWrap/>
            <w:vAlign w:val="bottom"/>
            <w:hideMark/>
          </w:tcPr>
          <w:p w14:paraId="7F73657D"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p>
        </w:tc>
        <w:tc>
          <w:tcPr>
            <w:tcW w:w="578" w:type="pct"/>
            <w:tcBorders>
              <w:top w:val="nil"/>
              <w:left w:val="nil"/>
              <w:bottom w:val="nil"/>
              <w:right w:val="nil"/>
            </w:tcBorders>
            <w:shd w:val="clear" w:color="auto" w:fill="auto"/>
            <w:noWrap/>
            <w:vAlign w:val="bottom"/>
            <w:hideMark/>
          </w:tcPr>
          <w:p w14:paraId="0909765B"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4B0E43F8"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003CA8" w:rsidRPr="00E1703B" w14:paraId="5C1593D8" w14:textId="77777777" w:rsidTr="004A61A6">
        <w:trPr>
          <w:trHeight w:val="210"/>
        </w:trPr>
        <w:tc>
          <w:tcPr>
            <w:tcW w:w="2111" w:type="pct"/>
            <w:tcBorders>
              <w:top w:val="nil"/>
              <w:left w:val="nil"/>
              <w:bottom w:val="nil"/>
              <w:right w:val="nil"/>
            </w:tcBorders>
            <w:shd w:val="clear" w:color="auto" w:fill="auto"/>
            <w:noWrap/>
            <w:vAlign w:val="bottom"/>
            <w:hideMark/>
          </w:tcPr>
          <w:p w14:paraId="5CA526EA"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OWN-SOURCE INCOME</w:t>
            </w:r>
          </w:p>
        </w:tc>
        <w:tc>
          <w:tcPr>
            <w:tcW w:w="578" w:type="pct"/>
            <w:tcBorders>
              <w:top w:val="nil"/>
              <w:left w:val="nil"/>
              <w:bottom w:val="nil"/>
              <w:right w:val="nil"/>
            </w:tcBorders>
            <w:shd w:val="clear" w:color="auto" w:fill="auto"/>
            <w:noWrap/>
            <w:vAlign w:val="bottom"/>
            <w:hideMark/>
          </w:tcPr>
          <w:p w14:paraId="46D2D41F"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p>
        </w:tc>
        <w:tc>
          <w:tcPr>
            <w:tcW w:w="578" w:type="pct"/>
            <w:tcBorders>
              <w:top w:val="nil"/>
              <w:left w:val="nil"/>
              <w:bottom w:val="nil"/>
              <w:right w:val="nil"/>
            </w:tcBorders>
            <w:shd w:val="clear" w:color="000000" w:fill="E6E6E6"/>
            <w:noWrap/>
            <w:vAlign w:val="bottom"/>
            <w:hideMark/>
          </w:tcPr>
          <w:p w14:paraId="21207F6E" w14:textId="65CD9EEE"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w:t>
            </w:r>
          </w:p>
        </w:tc>
        <w:tc>
          <w:tcPr>
            <w:tcW w:w="578" w:type="pct"/>
            <w:tcBorders>
              <w:top w:val="nil"/>
              <w:left w:val="nil"/>
              <w:bottom w:val="nil"/>
              <w:right w:val="nil"/>
            </w:tcBorders>
            <w:shd w:val="clear" w:color="auto" w:fill="auto"/>
            <w:noWrap/>
            <w:vAlign w:val="bottom"/>
            <w:hideMark/>
          </w:tcPr>
          <w:p w14:paraId="76C57473"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p>
        </w:tc>
        <w:tc>
          <w:tcPr>
            <w:tcW w:w="578" w:type="pct"/>
            <w:tcBorders>
              <w:top w:val="nil"/>
              <w:left w:val="nil"/>
              <w:bottom w:val="nil"/>
              <w:right w:val="nil"/>
            </w:tcBorders>
            <w:shd w:val="clear" w:color="auto" w:fill="auto"/>
            <w:noWrap/>
            <w:vAlign w:val="bottom"/>
            <w:hideMark/>
          </w:tcPr>
          <w:p w14:paraId="101169A6"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70EC12D"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003CA8" w:rsidRPr="00E1703B" w14:paraId="44EF1758" w14:textId="77777777" w:rsidTr="004A61A6">
        <w:trPr>
          <w:trHeight w:val="210"/>
        </w:trPr>
        <w:tc>
          <w:tcPr>
            <w:tcW w:w="2111" w:type="pct"/>
            <w:tcBorders>
              <w:top w:val="nil"/>
              <w:left w:val="nil"/>
              <w:bottom w:val="nil"/>
              <w:right w:val="nil"/>
            </w:tcBorders>
            <w:shd w:val="clear" w:color="auto" w:fill="auto"/>
            <w:noWrap/>
            <w:vAlign w:val="bottom"/>
            <w:hideMark/>
          </w:tcPr>
          <w:p w14:paraId="42D59DA9"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Own-source revenue</w:t>
            </w:r>
          </w:p>
        </w:tc>
        <w:tc>
          <w:tcPr>
            <w:tcW w:w="578" w:type="pct"/>
            <w:tcBorders>
              <w:top w:val="nil"/>
              <w:left w:val="nil"/>
              <w:bottom w:val="nil"/>
              <w:right w:val="nil"/>
            </w:tcBorders>
            <w:shd w:val="clear" w:color="auto" w:fill="auto"/>
            <w:noWrap/>
            <w:vAlign w:val="bottom"/>
            <w:hideMark/>
          </w:tcPr>
          <w:p w14:paraId="180E2E38"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p>
        </w:tc>
        <w:tc>
          <w:tcPr>
            <w:tcW w:w="578" w:type="pct"/>
            <w:tcBorders>
              <w:top w:val="nil"/>
              <w:left w:val="nil"/>
              <w:bottom w:val="nil"/>
              <w:right w:val="nil"/>
            </w:tcBorders>
            <w:shd w:val="clear" w:color="000000" w:fill="E6E6E6"/>
            <w:noWrap/>
            <w:vAlign w:val="bottom"/>
            <w:hideMark/>
          </w:tcPr>
          <w:p w14:paraId="730FDB4E" w14:textId="501EFE59"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w:t>
            </w:r>
          </w:p>
        </w:tc>
        <w:tc>
          <w:tcPr>
            <w:tcW w:w="578" w:type="pct"/>
            <w:tcBorders>
              <w:top w:val="nil"/>
              <w:left w:val="nil"/>
              <w:bottom w:val="nil"/>
              <w:right w:val="nil"/>
            </w:tcBorders>
            <w:shd w:val="clear" w:color="auto" w:fill="auto"/>
            <w:noWrap/>
            <w:vAlign w:val="bottom"/>
            <w:hideMark/>
          </w:tcPr>
          <w:p w14:paraId="425D2BAF"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p>
        </w:tc>
        <w:tc>
          <w:tcPr>
            <w:tcW w:w="578" w:type="pct"/>
            <w:tcBorders>
              <w:top w:val="nil"/>
              <w:left w:val="nil"/>
              <w:bottom w:val="nil"/>
              <w:right w:val="nil"/>
            </w:tcBorders>
            <w:shd w:val="clear" w:color="auto" w:fill="auto"/>
            <w:noWrap/>
            <w:vAlign w:val="bottom"/>
            <w:hideMark/>
          </w:tcPr>
          <w:p w14:paraId="0B61A53B"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3C0C74F1"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003CA8" w:rsidRPr="00E1703B" w14:paraId="2BB2CEC4" w14:textId="77777777" w:rsidTr="004A61A6">
        <w:trPr>
          <w:trHeight w:val="400"/>
        </w:trPr>
        <w:tc>
          <w:tcPr>
            <w:tcW w:w="2111" w:type="pct"/>
            <w:tcBorders>
              <w:top w:val="nil"/>
              <w:left w:val="nil"/>
              <w:bottom w:val="nil"/>
              <w:right w:val="nil"/>
            </w:tcBorders>
            <w:shd w:val="clear" w:color="auto" w:fill="auto"/>
            <w:vAlign w:val="bottom"/>
            <w:hideMark/>
          </w:tcPr>
          <w:p w14:paraId="235F63FC"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Sale of goods and rendering of</w:t>
            </w:r>
            <w:r w:rsidRPr="00043432">
              <w:rPr>
                <w:rFonts w:eastAsia="Times New Roman" w:cs="Arial"/>
                <w:color w:val="auto"/>
                <w:sz w:val="16"/>
                <w:szCs w:val="16"/>
                <w:lang w:eastAsia="en-AU"/>
              </w:rPr>
              <w:br/>
              <w:t xml:space="preserve">     services</w:t>
            </w:r>
          </w:p>
        </w:tc>
        <w:tc>
          <w:tcPr>
            <w:tcW w:w="578" w:type="pct"/>
            <w:tcBorders>
              <w:top w:val="nil"/>
              <w:left w:val="nil"/>
              <w:bottom w:val="nil"/>
              <w:right w:val="nil"/>
            </w:tcBorders>
            <w:shd w:val="clear" w:color="auto" w:fill="auto"/>
            <w:noWrap/>
            <w:vAlign w:val="bottom"/>
            <w:hideMark/>
          </w:tcPr>
          <w:p w14:paraId="1D8B8C4C"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1,801 </w:t>
            </w:r>
          </w:p>
        </w:tc>
        <w:tc>
          <w:tcPr>
            <w:tcW w:w="578" w:type="pct"/>
            <w:tcBorders>
              <w:top w:val="nil"/>
              <w:left w:val="nil"/>
              <w:bottom w:val="nil"/>
              <w:right w:val="nil"/>
            </w:tcBorders>
            <w:shd w:val="clear" w:color="000000" w:fill="E6E6E6"/>
            <w:noWrap/>
            <w:vAlign w:val="bottom"/>
            <w:hideMark/>
          </w:tcPr>
          <w:p w14:paraId="0D91F99B" w14:textId="2286C82D"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3,357 </w:t>
            </w:r>
          </w:p>
        </w:tc>
        <w:tc>
          <w:tcPr>
            <w:tcW w:w="578" w:type="pct"/>
            <w:tcBorders>
              <w:top w:val="nil"/>
              <w:left w:val="nil"/>
              <w:bottom w:val="nil"/>
              <w:right w:val="nil"/>
            </w:tcBorders>
            <w:shd w:val="clear" w:color="auto" w:fill="auto"/>
            <w:noWrap/>
            <w:vAlign w:val="bottom"/>
            <w:hideMark/>
          </w:tcPr>
          <w:p w14:paraId="3421796A" w14:textId="2BE4A9A6"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3,312 </w:t>
            </w:r>
          </w:p>
        </w:tc>
        <w:tc>
          <w:tcPr>
            <w:tcW w:w="578" w:type="pct"/>
            <w:tcBorders>
              <w:top w:val="nil"/>
              <w:left w:val="nil"/>
              <w:bottom w:val="nil"/>
              <w:right w:val="nil"/>
            </w:tcBorders>
            <w:shd w:val="clear" w:color="auto" w:fill="auto"/>
            <w:noWrap/>
            <w:vAlign w:val="bottom"/>
            <w:hideMark/>
          </w:tcPr>
          <w:p w14:paraId="033BA3A4" w14:textId="6FB0A01C"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3,312 </w:t>
            </w:r>
          </w:p>
        </w:tc>
        <w:tc>
          <w:tcPr>
            <w:tcW w:w="578" w:type="pct"/>
            <w:tcBorders>
              <w:top w:val="nil"/>
              <w:left w:val="nil"/>
              <w:bottom w:val="nil"/>
              <w:right w:val="nil"/>
            </w:tcBorders>
            <w:shd w:val="clear" w:color="auto" w:fill="auto"/>
            <w:noWrap/>
            <w:vAlign w:val="bottom"/>
            <w:hideMark/>
          </w:tcPr>
          <w:p w14:paraId="22016CAC" w14:textId="75887F23"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3,312 </w:t>
            </w:r>
          </w:p>
        </w:tc>
      </w:tr>
      <w:tr w:rsidR="00003CA8" w:rsidRPr="00E1703B" w14:paraId="1DE7098E" w14:textId="77777777" w:rsidTr="004A61A6">
        <w:trPr>
          <w:trHeight w:val="200"/>
        </w:trPr>
        <w:tc>
          <w:tcPr>
            <w:tcW w:w="2111" w:type="pct"/>
            <w:tcBorders>
              <w:top w:val="nil"/>
              <w:left w:val="nil"/>
              <w:bottom w:val="nil"/>
              <w:right w:val="nil"/>
            </w:tcBorders>
            <w:shd w:val="clear" w:color="auto" w:fill="auto"/>
            <w:noWrap/>
            <w:vAlign w:val="bottom"/>
            <w:hideMark/>
          </w:tcPr>
          <w:p w14:paraId="05B2FC3D"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Other</w:t>
            </w:r>
          </w:p>
        </w:tc>
        <w:tc>
          <w:tcPr>
            <w:tcW w:w="578" w:type="pct"/>
            <w:tcBorders>
              <w:top w:val="nil"/>
              <w:left w:val="nil"/>
              <w:bottom w:val="nil"/>
              <w:right w:val="nil"/>
            </w:tcBorders>
            <w:shd w:val="clear" w:color="auto" w:fill="auto"/>
            <w:noWrap/>
            <w:vAlign w:val="bottom"/>
            <w:hideMark/>
          </w:tcPr>
          <w:p w14:paraId="3E836B21"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953 </w:t>
            </w:r>
          </w:p>
        </w:tc>
        <w:tc>
          <w:tcPr>
            <w:tcW w:w="578" w:type="pct"/>
            <w:tcBorders>
              <w:top w:val="nil"/>
              <w:left w:val="nil"/>
              <w:bottom w:val="nil"/>
              <w:right w:val="nil"/>
            </w:tcBorders>
            <w:shd w:val="clear" w:color="000000" w:fill="E6E6E6"/>
            <w:noWrap/>
            <w:vAlign w:val="bottom"/>
            <w:hideMark/>
          </w:tcPr>
          <w:p w14:paraId="52B1A8F4" w14:textId="72A600B4"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1,470 </w:t>
            </w:r>
          </w:p>
        </w:tc>
        <w:tc>
          <w:tcPr>
            <w:tcW w:w="578" w:type="pct"/>
            <w:tcBorders>
              <w:top w:val="nil"/>
              <w:left w:val="nil"/>
              <w:bottom w:val="nil"/>
              <w:right w:val="nil"/>
            </w:tcBorders>
            <w:shd w:val="clear" w:color="auto" w:fill="auto"/>
            <w:noWrap/>
            <w:vAlign w:val="bottom"/>
            <w:hideMark/>
          </w:tcPr>
          <w:p w14:paraId="04AB7BED" w14:textId="765A578D"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1,470 </w:t>
            </w:r>
          </w:p>
        </w:tc>
        <w:tc>
          <w:tcPr>
            <w:tcW w:w="578" w:type="pct"/>
            <w:tcBorders>
              <w:top w:val="nil"/>
              <w:left w:val="nil"/>
              <w:bottom w:val="nil"/>
              <w:right w:val="nil"/>
            </w:tcBorders>
            <w:shd w:val="clear" w:color="auto" w:fill="auto"/>
            <w:noWrap/>
            <w:vAlign w:val="bottom"/>
            <w:hideMark/>
          </w:tcPr>
          <w:p w14:paraId="41BDDA10" w14:textId="0E9E1E6A"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1,470 </w:t>
            </w:r>
          </w:p>
        </w:tc>
        <w:tc>
          <w:tcPr>
            <w:tcW w:w="578" w:type="pct"/>
            <w:tcBorders>
              <w:top w:val="nil"/>
              <w:left w:val="nil"/>
              <w:bottom w:val="nil"/>
              <w:right w:val="nil"/>
            </w:tcBorders>
            <w:shd w:val="clear" w:color="auto" w:fill="auto"/>
            <w:noWrap/>
            <w:vAlign w:val="bottom"/>
            <w:hideMark/>
          </w:tcPr>
          <w:p w14:paraId="2B635CAC" w14:textId="4DC45B4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1,470 </w:t>
            </w:r>
          </w:p>
        </w:tc>
      </w:tr>
      <w:tr w:rsidR="00003CA8" w:rsidRPr="00E1703B" w14:paraId="127AA2D8" w14:textId="77777777" w:rsidTr="004A61A6">
        <w:trPr>
          <w:trHeight w:val="210"/>
        </w:trPr>
        <w:tc>
          <w:tcPr>
            <w:tcW w:w="2111" w:type="pct"/>
            <w:tcBorders>
              <w:top w:val="nil"/>
              <w:left w:val="nil"/>
              <w:bottom w:val="nil"/>
              <w:right w:val="nil"/>
            </w:tcBorders>
            <w:shd w:val="clear" w:color="auto" w:fill="auto"/>
            <w:noWrap/>
            <w:vAlign w:val="bottom"/>
            <w:hideMark/>
          </w:tcPr>
          <w:p w14:paraId="4366429C"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own-source revenue</w:t>
            </w:r>
          </w:p>
        </w:tc>
        <w:tc>
          <w:tcPr>
            <w:tcW w:w="578" w:type="pct"/>
            <w:tcBorders>
              <w:top w:val="single" w:sz="4" w:space="0" w:color="auto"/>
              <w:left w:val="nil"/>
              <w:bottom w:val="single" w:sz="4" w:space="0" w:color="auto"/>
              <w:right w:val="nil"/>
            </w:tcBorders>
            <w:shd w:val="clear" w:color="auto" w:fill="auto"/>
            <w:noWrap/>
            <w:vAlign w:val="bottom"/>
            <w:hideMark/>
          </w:tcPr>
          <w:p w14:paraId="45163316"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2,754 </w:t>
            </w:r>
          </w:p>
        </w:tc>
        <w:tc>
          <w:tcPr>
            <w:tcW w:w="578" w:type="pct"/>
            <w:tcBorders>
              <w:top w:val="single" w:sz="4" w:space="0" w:color="auto"/>
              <w:left w:val="nil"/>
              <w:bottom w:val="single" w:sz="4" w:space="0" w:color="auto"/>
              <w:right w:val="nil"/>
            </w:tcBorders>
            <w:shd w:val="clear" w:color="000000" w:fill="E6E6E6"/>
            <w:noWrap/>
            <w:vAlign w:val="bottom"/>
            <w:hideMark/>
          </w:tcPr>
          <w:p w14:paraId="7FB2B9B7" w14:textId="5BD7E60A"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4,827 </w:t>
            </w:r>
          </w:p>
        </w:tc>
        <w:tc>
          <w:tcPr>
            <w:tcW w:w="578" w:type="pct"/>
            <w:tcBorders>
              <w:top w:val="single" w:sz="4" w:space="0" w:color="auto"/>
              <w:left w:val="nil"/>
              <w:bottom w:val="single" w:sz="4" w:space="0" w:color="auto"/>
              <w:right w:val="nil"/>
            </w:tcBorders>
            <w:shd w:val="clear" w:color="auto" w:fill="auto"/>
            <w:noWrap/>
            <w:vAlign w:val="bottom"/>
            <w:hideMark/>
          </w:tcPr>
          <w:p w14:paraId="068BA2CF" w14:textId="2B9DACF1"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4,782 </w:t>
            </w:r>
          </w:p>
        </w:tc>
        <w:tc>
          <w:tcPr>
            <w:tcW w:w="578" w:type="pct"/>
            <w:tcBorders>
              <w:top w:val="single" w:sz="4" w:space="0" w:color="auto"/>
              <w:left w:val="nil"/>
              <w:bottom w:val="single" w:sz="4" w:space="0" w:color="auto"/>
              <w:right w:val="nil"/>
            </w:tcBorders>
            <w:shd w:val="clear" w:color="auto" w:fill="auto"/>
            <w:noWrap/>
            <w:vAlign w:val="bottom"/>
            <w:hideMark/>
          </w:tcPr>
          <w:p w14:paraId="35F1A675" w14:textId="3669ADC6"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4,782 </w:t>
            </w:r>
          </w:p>
        </w:tc>
        <w:tc>
          <w:tcPr>
            <w:tcW w:w="578" w:type="pct"/>
            <w:tcBorders>
              <w:top w:val="single" w:sz="4" w:space="0" w:color="auto"/>
              <w:left w:val="nil"/>
              <w:bottom w:val="single" w:sz="4" w:space="0" w:color="auto"/>
              <w:right w:val="nil"/>
            </w:tcBorders>
            <w:shd w:val="clear" w:color="auto" w:fill="auto"/>
            <w:noWrap/>
            <w:vAlign w:val="bottom"/>
            <w:hideMark/>
          </w:tcPr>
          <w:p w14:paraId="128BA661" w14:textId="1AE4138B"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4,782 </w:t>
            </w:r>
          </w:p>
        </w:tc>
      </w:tr>
      <w:tr w:rsidR="00003CA8" w:rsidRPr="00E1703B" w14:paraId="3149F28C" w14:textId="77777777" w:rsidTr="004A61A6">
        <w:trPr>
          <w:trHeight w:val="210"/>
        </w:trPr>
        <w:tc>
          <w:tcPr>
            <w:tcW w:w="2111" w:type="pct"/>
            <w:tcBorders>
              <w:top w:val="nil"/>
              <w:left w:val="nil"/>
              <w:bottom w:val="nil"/>
              <w:right w:val="nil"/>
            </w:tcBorders>
            <w:shd w:val="clear" w:color="auto" w:fill="auto"/>
            <w:noWrap/>
            <w:vAlign w:val="bottom"/>
            <w:hideMark/>
          </w:tcPr>
          <w:p w14:paraId="05C5F683"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own-source income</w:t>
            </w:r>
          </w:p>
        </w:tc>
        <w:tc>
          <w:tcPr>
            <w:tcW w:w="578" w:type="pct"/>
            <w:tcBorders>
              <w:top w:val="nil"/>
              <w:left w:val="nil"/>
              <w:bottom w:val="single" w:sz="4" w:space="0" w:color="auto"/>
              <w:right w:val="nil"/>
            </w:tcBorders>
            <w:shd w:val="clear" w:color="auto" w:fill="auto"/>
            <w:noWrap/>
            <w:vAlign w:val="bottom"/>
            <w:hideMark/>
          </w:tcPr>
          <w:p w14:paraId="168EC25B"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2,754 </w:t>
            </w:r>
          </w:p>
        </w:tc>
        <w:tc>
          <w:tcPr>
            <w:tcW w:w="578" w:type="pct"/>
            <w:tcBorders>
              <w:top w:val="nil"/>
              <w:left w:val="nil"/>
              <w:bottom w:val="single" w:sz="4" w:space="0" w:color="auto"/>
              <w:right w:val="nil"/>
            </w:tcBorders>
            <w:shd w:val="clear" w:color="000000" w:fill="E6E6E6"/>
            <w:noWrap/>
            <w:vAlign w:val="bottom"/>
            <w:hideMark/>
          </w:tcPr>
          <w:p w14:paraId="7DC2CA76" w14:textId="1C1F7CA8"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4,827 </w:t>
            </w:r>
          </w:p>
        </w:tc>
        <w:tc>
          <w:tcPr>
            <w:tcW w:w="578" w:type="pct"/>
            <w:tcBorders>
              <w:top w:val="nil"/>
              <w:left w:val="nil"/>
              <w:bottom w:val="single" w:sz="4" w:space="0" w:color="auto"/>
              <w:right w:val="nil"/>
            </w:tcBorders>
            <w:shd w:val="clear" w:color="auto" w:fill="auto"/>
            <w:noWrap/>
            <w:vAlign w:val="bottom"/>
            <w:hideMark/>
          </w:tcPr>
          <w:p w14:paraId="34DE13EB" w14:textId="72B3F75D"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4,782 </w:t>
            </w:r>
          </w:p>
        </w:tc>
        <w:tc>
          <w:tcPr>
            <w:tcW w:w="578" w:type="pct"/>
            <w:tcBorders>
              <w:top w:val="nil"/>
              <w:left w:val="nil"/>
              <w:bottom w:val="single" w:sz="4" w:space="0" w:color="auto"/>
              <w:right w:val="nil"/>
            </w:tcBorders>
            <w:shd w:val="clear" w:color="auto" w:fill="auto"/>
            <w:noWrap/>
            <w:vAlign w:val="bottom"/>
            <w:hideMark/>
          </w:tcPr>
          <w:p w14:paraId="46AEEC5F" w14:textId="283D47BF"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4,782 </w:t>
            </w:r>
          </w:p>
        </w:tc>
        <w:tc>
          <w:tcPr>
            <w:tcW w:w="578" w:type="pct"/>
            <w:tcBorders>
              <w:top w:val="nil"/>
              <w:left w:val="nil"/>
              <w:bottom w:val="single" w:sz="4" w:space="0" w:color="auto"/>
              <w:right w:val="nil"/>
            </w:tcBorders>
            <w:shd w:val="clear" w:color="auto" w:fill="auto"/>
            <w:noWrap/>
            <w:vAlign w:val="bottom"/>
            <w:hideMark/>
          </w:tcPr>
          <w:p w14:paraId="3FAED5B9" w14:textId="6D0F147C"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4,782 </w:t>
            </w:r>
          </w:p>
        </w:tc>
      </w:tr>
      <w:tr w:rsidR="00003CA8" w:rsidRPr="00E1703B" w14:paraId="52B83B4C" w14:textId="77777777" w:rsidTr="004A61A6">
        <w:trPr>
          <w:trHeight w:val="420"/>
        </w:trPr>
        <w:tc>
          <w:tcPr>
            <w:tcW w:w="2111" w:type="pct"/>
            <w:tcBorders>
              <w:top w:val="nil"/>
              <w:left w:val="nil"/>
              <w:bottom w:val="nil"/>
              <w:right w:val="nil"/>
            </w:tcBorders>
            <w:shd w:val="clear" w:color="auto" w:fill="auto"/>
            <w:vAlign w:val="bottom"/>
            <w:hideMark/>
          </w:tcPr>
          <w:p w14:paraId="7CEAC49D" w14:textId="77777777" w:rsidR="00003CA8" w:rsidRPr="00043432" w:rsidRDefault="00003CA8"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Net (cost of)/contribution by</w:t>
            </w:r>
            <w:r w:rsidRPr="00043432">
              <w:rPr>
                <w:rFonts w:eastAsia="Times New Roman" w:cs="Arial"/>
                <w:b/>
                <w:bCs/>
                <w:sz w:val="16"/>
                <w:szCs w:val="16"/>
                <w:lang w:eastAsia="en-AU"/>
              </w:rPr>
              <w:br/>
              <w:t xml:space="preserve">  services</w:t>
            </w:r>
          </w:p>
        </w:tc>
        <w:tc>
          <w:tcPr>
            <w:tcW w:w="578" w:type="pct"/>
            <w:tcBorders>
              <w:top w:val="nil"/>
              <w:left w:val="nil"/>
              <w:bottom w:val="single" w:sz="4" w:space="0" w:color="auto"/>
              <w:right w:val="nil"/>
            </w:tcBorders>
            <w:shd w:val="clear" w:color="auto" w:fill="auto"/>
            <w:noWrap/>
            <w:vAlign w:val="bottom"/>
            <w:hideMark/>
          </w:tcPr>
          <w:p w14:paraId="5585C07B"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(193,503)</w:t>
            </w:r>
          </w:p>
        </w:tc>
        <w:tc>
          <w:tcPr>
            <w:tcW w:w="578" w:type="pct"/>
            <w:tcBorders>
              <w:top w:val="nil"/>
              <w:left w:val="nil"/>
              <w:bottom w:val="single" w:sz="4" w:space="0" w:color="auto"/>
              <w:right w:val="nil"/>
            </w:tcBorders>
            <w:shd w:val="clear" w:color="000000" w:fill="E6E6E6"/>
            <w:noWrap/>
            <w:vAlign w:val="bottom"/>
            <w:hideMark/>
          </w:tcPr>
          <w:p w14:paraId="07361BDC" w14:textId="5287D22C"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(220,988)</w:t>
            </w:r>
          </w:p>
        </w:tc>
        <w:tc>
          <w:tcPr>
            <w:tcW w:w="578" w:type="pct"/>
            <w:tcBorders>
              <w:top w:val="nil"/>
              <w:left w:val="nil"/>
              <w:bottom w:val="single" w:sz="4" w:space="0" w:color="auto"/>
              <w:right w:val="nil"/>
            </w:tcBorders>
            <w:shd w:val="clear" w:color="auto" w:fill="auto"/>
            <w:noWrap/>
            <w:vAlign w:val="bottom"/>
            <w:hideMark/>
          </w:tcPr>
          <w:p w14:paraId="41D76CFC" w14:textId="1448E3FC"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(201,221)</w:t>
            </w:r>
          </w:p>
        </w:tc>
        <w:tc>
          <w:tcPr>
            <w:tcW w:w="578" w:type="pct"/>
            <w:tcBorders>
              <w:top w:val="nil"/>
              <w:left w:val="nil"/>
              <w:bottom w:val="single" w:sz="4" w:space="0" w:color="auto"/>
              <w:right w:val="nil"/>
            </w:tcBorders>
            <w:shd w:val="clear" w:color="auto" w:fill="auto"/>
            <w:noWrap/>
            <w:vAlign w:val="bottom"/>
            <w:hideMark/>
          </w:tcPr>
          <w:p w14:paraId="007CE3E1" w14:textId="1309776D"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(201,961)</w:t>
            </w:r>
          </w:p>
        </w:tc>
        <w:tc>
          <w:tcPr>
            <w:tcW w:w="578" w:type="pct"/>
            <w:tcBorders>
              <w:top w:val="nil"/>
              <w:left w:val="nil"/>
              <w:bottom w:val="single" w:sz="4" w:space="0" w:color="auto"/>
              <w:right w:val="nil"/>
            </w:tcBorders>
            <w:shd w:val="clear" w:color="auto" w:fill="auto"/>
            <w:noWrap/>
            <w:vAlign w:val="bottom"/>
            <w:hideMark/>
          </w:tcPr>
          <w:p w14:paraId="523EEA88" w14:textId="7BDF62B6"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(202,112)</w:t>
            </w:r>
          </w:p>
        </w:tc>
      </w:tr>
      <w:tr w:rsidR="00003CA8" w:rsidRPr="00E1703B" w14:paraId="2761CE76" w14:textId="77777777" w:rsidTr="004A61A6">
        <w:trPr>
          <w:trHeight w:val="200"/>
        </w:trPr>
        <w:tc>
          <w:tcPr>
            <w:tcW w:w="2111" w:type="pct"/>
            <w:tcBorders>
              <w:top w:val="nil"/>
              <w:left w:val="nil"/>
              <w:bottom w:val="nil"/>
              <w:right w:val="nil"/>
            </w:tcBorders>
            <w:shd w:val="clear" w:color="auto" w:fill="auto"/>
            <w:noWrap/>
            <w:vAlign w:val="bottom"/>
            <w:hideMark/>
          </w:tcPr>
          <w:p w14:paraId="00C7BA64"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Revenue from Government</w:t>
            </w:r>
          </w:p>
        </w:tc>
        <w:tc>
          <w:tcPr>
            <w:tcW w:w="578" w:type="pct"/>
            <w:tcBorders>
              <w:top w:val="nil"/>
              <w:left w:val="nil"/>
              <w:bottom w:val="single" w:sz="4" w:space="0" w:color="auto"/>
              <w:right w:val="nil"/>
            </w:tcBorders>
            <w:shd w:val="clear" w:color="auto" w:fill="auto"/>
            <w:noWrap/>
            <w:vAlign w:val="bottom"/>
            <w:hideMark/>
          </w:tcPr>
          <w:p w14:paraId="09463166"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185,846 </w:t>
            </w:r>
          </w:p>
        </w:tc>
        <w:tc>
          <w:tcPr>
            <w:tcW w:w="578" w:type="pct"/>
            <w:tcBorders>
              <w:top w:val="nil"/>
              <w:left w:val="nil"/>
              <w:bottom w:val="single" w:sz="4" w:space="0" w:color="auto"/>
              <w:right w:val="nil"/>
            </w:tcBorders>
            <w:shd w:val="clear" w:color="000000" w:fill="E6E6E6"/>
            <w:noWrap/>
            <w:vAlign w:val="bottom"/>
            <w:hideMark/>
          </w:tcPr>
          <w:p w14:paraId="64E1C9D4" w14:textId="3B95214D"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224,424 </w:t>
            </w:r>
          </w:p>
        </w:tc>
        <w:tc>
          <w:tcPr>
            <w:tcW w:w="578" w:type="pct"/>
            <w:tcBorders>
              <w:top w:val="nil"/>
              <w:left w:val="nil"/>
              <w:bottom w:val="single" w:sz="4" w:space="0" w:color="auto"/>
              <w:right w:val="nil"/>
            </w:tcBorders>
            <w:shd w:val="clear" w:color="auto" w:fill="auto"/>
            <w:noWrap/>
            <w:vAlign w:val="bottom"/>
            <w:hideMark/>
          </w:tcPr>
          <w:p w14:paraId="4508C310" w14:textId="0F849BE3"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198,867 </w:t>
            </w:r>
          </w:p>
        </w:tc>
        <w:tc>
          <w:tcPr>
            <w:tcW w:w="578" w:type="pct"/>
            <w:tcBorders>
              <w:top w:val="nil"/>
              <w:left w:val="nil"/>
              <w:bottom w:val="single" w:sz="4" w:space="0" w:color="auto"/>
              <w:right w:val="nil"/>
            </w:tcBorders>
            <w:shd w:val="clear" w:color="auto" w:fill="auto"/>
            <w:noWrap/>
            <w:vAlign w:val="bottom"/>
            <w:hideMark/>
          </w:tcPr>
          <w:p w14:paraId="7C301453" w14:textId="27725F9C"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199,606 </w:t>
            </w:r>
          </w:p>
        </w:tc>
        <w:tc>
          <w:tcPr>
            <w:tcW w:w="578" w:type="pct"/>
            <w:tcBorders>
              <w:top w:val="nil"/>
              <w:left w:val="nil"/>
              <w:bottom w:val="single" w:sz="4" w:space="0" w:color="auto"/>
              <w:right w:val="nil"/>
            </w:tcBorders>
            <w:shd w:val="clear" w:color="auto" w:fill="auto"/>
            <w:noWrap/>
            <w:vAlign w:val="bottom"/>
            <w:hideMark/>
          </w:tcPr>
          <w:p w14:paraId="5B88BA59" w14:textId="1E54449D"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cs="Arial"/>
                <w:sz w:val="16"/>
                <w:szCs w:val="16"/>
              </w:rPr>
              <w:t xml:space="preserve">200,035 </w:t>
            </w:r>
          </w:p>
        </w:tc>
      </w:tr>
      <w:tr w:rsidR="00003CA8" w:rsidRPr="00E1703B" w14:paraId="7E8C4DC5" w14:textId="77777777" w:rsidTr="004A61A6">
        <w:trPr>
          <w:trHeight w:val="420"/>
        </w:trPr>
        <w:tc>
          <w:tcPr>
            <w:tcW w:w="2111" w:type="pct"/>
            <w:tcBorders>
              <w:top w:val="nil"/>
              <w:left w:val="nil"/>
              <w:bottom w:val="nil"/>
              <w:right w:val="nil"/>
            </w:tcBorders>
            <w:shd w:val="clear" w:color="auto" w:fill="auto"/>
            <w:vAlign w:val="bottom"/>
            <w:hideMark/>
          </w:tcPr>
          <w:p w14:paraId="6E3A4E72"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Surplus/(deficit) attributable to the</w:t>
            </w:r>
            <w:r w:rsidRPr="00043432">
              <w:rPr>
                <w:rFonts w:eastAsia="Times New Roman" w:cs="Arial"/>
                <w:b/>
                <w:bCs/>
                <w:color w:val="auto"/>
                <w:sz w:val="16"/>
                <w:szCs w:val="16"/>
                <w:lang w:eastAsia="en-AU"/>
              </w:rPr>
              <w:br/>
              <w:t xml:space="preserve">  Australian Government</w:t>
            </w:r>
          </w:p>
        </w:tc>
        <w:tc>
          <w:tcPr>
            <w:tcW w:w="578" w:type="pct"/>
            <w:tcBorders>
              <w:top w:val="nil"/>
              <w:left w:val="nil"/>
              <w:bottom w:val="single" w:sz="4" w:space="0" w:color="auto"/>
              <w:right w:val="nil"/>
            </w:tcBorders>
            <w:shd w:val="clear" w:color="auto" w:fill="auto"/>
            <w:noWrap/>
            <w:vAlign w:val="bottom"/>
            <w:hideMark/>
          </w:tcPr>
          <w:p w14:paraId="4DE0537D"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(7,657)</w:t>
            </w:r>
          </w:p>
        </w:tc>
        <w:tc>
          <w:tcPr>
            <w:tcW w:w="578" w:type="pct"/>
            <w:tcBorders>
              <w:top w:val="nil"/>
              <w:left w:val="nil"/>
              <w:bottom w:val="single" w:sz="4" w:space="0" w:color="auto"/>
              <w:right w:val="nil"/>
            </w:tcBorders>
            <w:shd w:val="clear" w:color="000000" w:fill="E6E6E6"/>
            <w:noWrap/>
            <w:vAlign w:val="bottom"/>
            <w:hideMark/>
          </w:tcPr>
          <w:p w14:paraId="31EFC7CA" w14:textId="1D2887E6"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3,436 </w:t>
            </w:r>
          </w:p>
        </w:tc>
        <w:tc>
          <w:tcPr>
            <w:tcW w:w="578" w:type="pct"/>
            <w:tcBorders>
              <w:top w:val="nil"/>
              <w:left w:val="nil"/>
              <w:bottom w:val="single" w:sz="4" w:space="0" w:color="auto"/>
              <w:right w:val="nil"/>
            </w:tcBorders>
            <w:shd w:val="clear" w:color="auto" w:fill="auto"/>
            <w:noWrap/>
            <w:vAlign w:val="bottom"/>
            <w:hideMark/>
          </w:tcPr>
          <w:p w14:paraId="56D06101" w14:textId="06A2107A"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(2,354)</w:t>
            </w:r>
          </w:p>
        </w:tc>
        <w:tc>
          <w:tcPr>
            <w:tcW w:w="578" w:type="pct"/>
            <w:tcBorders>
              <w:top w:val="nil"/>
              <w:left w:val="nil"/>
              <w:bottom w:val="single" w:sz="4" w:space="0" w:color="auto"/>
              <w:right w:val="nil"/>
            </w:tcBorders>
            <w:shd w:val="clear" w:color="auto" w:fill="auto"/>
            <w:noWrap/>
            <w:vAlign w:val="bottom"/>
            <w:hideMark/>
          </w:tcPr>
          <w:p w14:paraId="13264E4A" w14:textId="59726624"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(2,355)</w:t>
            </w:r>
          </w:p>
        </w:tc>
        <w:tc>
          <w:tcPr>
            <w:tcW w:w="578" w:type="pct"/>
            <w:tcBorders>
              <w:top w:val="nil"/>
              <w:left w:val="nil"/>
              <w:bottom w:val="single" w:sz="4" w:space="0" w:color="auto"/>
              <w:right w:val="nil"/>
            </w:tcBorders>
            <w:shd w:val="clear" w:color="auto" w:fill="auto"/>
            <w:noWrap/>
            <w:vAlign w:val="bottom"/>
            <w:hideMark/>
          </w:tcPr>
          <w:p w14:paraId="3F962814" w14:textId="74A2714F"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(2,077)</w:t>
            </w:r>
          </w:p>
        </w:tc>
      </w:tr>
      <w:tr w:rsidR="00003CA8" w:rsidRPr="00E1703B" w14:paraId="36687D39" w14:textId="77777777" w:rsidTr="004A61A6">
        <w:trPr>
          <w:trHeight w:val="210"/>
        </w:trPr>
        <w:tc>
          <w:tcPr>
            <w:tcW w:w="2111" w:type="pct"/>
            <w:tcBorders>
              <w:top w:val="nil"/>
              <w:left w:val="nil"/>
              <w:bottom w:val="nil"/>
              <w:right w:val="nil"/>
            </w:tcBorders>
            <w:shd w:val="clear" w:color="auto" w:fill="auto"/>
            <w:noWrap/>
            <w:vAlign w:val="bottom"/>
            <w:hideMark/>
          </w:tcPr>
          <w:p w14:paraId="67907BD8"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OTHER COMPREHENSIVE INCOME</w:t>
            </w:r>
          </w:p>
        </w:tc>
        <w:tc>
          <w:tcPr>
            <w:tcW w:w="578" w:type="pct"/>
            <w:tcBorders>
              <w:top w:val="nil"/>
              <w:left w:val="nil"/>
              <w:bottom w:val="nil"/>
              <w:right w:val="nil"/>
            </w:tcBorders>
            <w:shd w:val="clear" w:color="auto" w:fill="auto"/>
            <w:noWrap/>
            <w:vAlign w:val="bottom"/>
            <w:hideMark/>
          </w:tcPr>
          <w:p w14:paraId="2CEC0249"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p>
        </w:tc>
        <w:tc>
          <w:tcPr>
            <w:tcW w:w="578" w:type="pct"/>
            <w:tcBorders>
              <w:top w:val="nil"/>
              <w:left w:val="nil"/>
              <w:bottom w:val="nil"/>
              <w:right w:val="nil"/>
            </w:tcBorders>
            <w:shd w:val="clear" w:color="000000" w:fill="E6E6E6"/>
            <w:noWrap/>
            <w:vAlign w:val="bottom"/>
            <w:hideMark/>
          </w:tcPr>
          <w:p w14:paraId="752064D0" w14:textId="730DA55E"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w:t>
            </w:r>
          </w:p>
        </w:tc>
        <w:tc>
          <w:tcPr>
            <w:tcW w:w="578" w:type="pct"/>
            <w:tcBorders>
              <w:top w:val="nil"/>
              <w:left w:val="nil"/>
              <w:bottom w:val="nil"/>
              <w:right w:val="nil"/>
            </w:tcBorders>
            <w:shd w:val="clear" w:color="auto" w:fill="auto"/>
            <w:noWrap/>
            <w:vAlign w:val="bottom"/>
            <w:hideMark/>
          </w:tcPr>
          <w:p w14:paraId="76C86589"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p>
        </w:tc>
        <w:tc>
          <w:tcPr>
            <w:tcW w:w="578" w:type="pct"/>
            <w:tcBorders>
              <w:top w:val="nil"/>
              <w:left w:val="nil"/>
              <w:bottom w:val="nil"/>
              <w:right w:val="nil"/>
            </w:tcBorders>
            <w:shd w:val="clear" w:color="auto" w:fill="auto"/>
            <w:noWrap/>
            <w:vAlign w:val="bottom"/>
            <w:hideMark/>
          </w:tcPr>
          <w:p w14:paraId="00EC4138"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28EABFB"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003CA8" w:rsidRPr="00E1703B" w14:paraId="210DDD3D" w14:textId="77777777" w:rsidTr="004A61A6">
        <w:trPr>
          <w:trHeight w:val="210"/>
        </w:trPr>
        <w:tc>
          <w:tcPr>
            <w:tcW w:w="2111" w:type="pct"/>
            <w:tcBorders>
              <w:top w:val="nil"/>
              <w:left w:val="nil"/>
              <w:bottom w:val="nil"/>
              <w:right w:val="nil"/>
            </w:tcBorders>
            <w:shd w:val="clear" w:color="auto" w:fill="auto"/>
            <w:noWrap/>
            <w:vAlign w:val="bottom"/>
            <w:hideMark/>
          </w:tcPr>
          <w:p w14:paraId="6198CC28" w14:textId="77777777" w:rsidR="00003CA8" w:rsidRPr="00043432" w:rsidRDefault="00003CA8"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Changes in asset revaluation surplus</w:t>
            </w:r>
          </w:p>
        </w:tc>
        <w:tc>
          <w:tcPr>
            <w:tcW w:w="578" w:type="pct"/>
            <w:tcBorders>
              <w:top w:val="nil"/>
              <w:left w:val="nil"/>
              <w:bottom w:val="single" w:sz="4" w:space="0" w:color="auto"/>
              <w:right w:val="nil"/>
            </w:tcBorders>
            <w:shd w:val="clear" w:color="auto" w:fill="auto"/>
            <w:noWrap/>
            <w:vAlign w:val="bottom"/>
            <w:hideMark/>
          </w:tcPr>
          <w:p w14:paraId="3DDD00F5"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578" w:type="pct"/>
            <w:tcBorders>
              <w:top w:val="nil"/>
              <w:left w:val="nil"/>
              <w:bottom w:val="single" w:sz="4" w:space="0" w:color="auto"/>
              <w:right w:val="nil"/>
            </w:tcBorders>
            <w:shd w:val="clear" w:color="000000" w:fill="E6E6E6"/>
            <w:noWrap/>
            <w:vAlign w:val="bottom"/>
            <w:hideMark/>
          </w:tcPr>
          <w:p w14:paraId="627A9C74" w14:textId="7D49B30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c>
          <w:tcPr>
            <w:tcW w:w="578" w:type="pct"/>
            <w:tcBorders>
              <w:top w:val="nil"/>
              <w:left w:val="nil"/>
              <w:bottom w:val="single" w:sz="4" w:space="0" w:color="auto"/>
              <w:right w:val="nil"/>
            </w:tcBorders>
            <w:shd w:val="clear" w:color="auto" w:fill="auto"/>
            <w:noWrap/>
            <w:vAlign w:val="bottom"/>
            <w:hideMark/>
          </w:tcPr>
          <w:p w14:paraId="14D10C19" w14:textId="587DEA3D"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c>
          <w:tcPr>
            <w:tcW w:w="578" w:type="pct"/>
            <w:tcBorders>
              <w:top w:val="nil"/>
              <w:left w:val="nil"/>
              <w:bottom w:val="single" w:sz="4" w:space="0" w:color="auto"/>
              <w:right w:val="nil"/>
            </w:tcBorders>
            <w:shd w:val="clear" w:color="auto" w:fill="auto"/>
            <w:noWrap/>
            <w:vAlign w:val="bottom"/>
            <w:hideMark/>
          </w:tcPr>
          <w:p w14:paraId="32C9DB86" w14:textId="3D9063D6"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c>
          <w:tcPr>
            <w:tcW w:w="578" w:type="pct"/>
            <w:tcBorders>
              <w:top w:val="nil"/>
              <w:left w:val="nil"/>
              <w:bottom w:val="single" w:sz="4" w:space="0" w:color="auto"/>
              <w:right w:val="nil"/>
            </w:tcBorders>
            <w:shd w:val="clear" w:color="auto" w:fill="auto"/>
            <w:noWrap/>
            <w:vAlign w:val="bottom"/>
            <w:hideMark/>
          </w:tcPr>
          <w:p w14:paraId="04F75F40" w14:textId="6EE5A12A"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r>
      <w:tr w:rsidR="00003CA8" w:rsidRPr="00E1703B" w14:paraId="2B3B46BF" w14:textId="77777777" w:rsidTr="004A61A6">
        <w:trPr>
          <w:trHeight w:val="210"/>
        </w:trPr>
        <w:tc>
          <w:tcPr>
            <w:tcW w:w="2111" w:type="pct"/>
            <w:tcBorders>
              <w:top w:val="nil"/>
              <w:left w:val="nil"/>
              <w:bottom w:val="nil"/>
              <w:right w:val="nil"/>
            </w:tcBorders>
            <w:shd w:val="clear" w:color="auto" w:fill="auto"/>
            <w:noWrap/>
            <w:vAlign w:val="bottom"/>
            <w:hideMark/>
          </w:tcPr>
          <w:p w14:paraId="2BED2F79"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Total other comprehensive income </w:t>
            </w:r>
          </w:p>
        </w:tc>
        <w:tc>
          <w:tcPr>
            <w:tcW w:w="578" w:type="pct"/>
            <w:tcBorders>
              <w:top w:val="nil"/>
              <w:left w:val="nil"/>
              <w:bottom w:val="nil"/>
              <w:right w:val="nil"/>
            </w:tcBorders>
            <w:shd w:val="clear" w:color="auto" w:fill="auto"/>
            <w:noWrap/>
            <w:vAlign w:val="bottom"/>
            <w:hideMark/>
          </w:tcPr>
          <w:p w14:paraId="45430548"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 </w:t>
            </w:r>
          </w:p>
        </w:tc>
        <w:tc>
          <w:tcPr>
            <w:tcW w:w="578" w:type="pct"/>
            <w:tcBorders>
              <w:top w:val="nil"/>
              <w:left w:val="nil"/>
              <w:bottom w:val="nil"/>
              <w:right w:val="nil"/>
            </w:tcBorders>
            <w:shd w:val="clear" w:color="000000" w:fill="E6E6E6"/>
            <w:noWrap/>
            <w:vAlign w:val="bottom"/>
            <w:hideMark/>
          </w:tcPr>
          <w:p w14:paraId="372E6A35" w14:textId="05B63C46"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c>
          <w:tcPr>
            <w:tcW w:w="578" w:type="pct"/>
            <w:tcBorders>
              <w:top w:val="nil"/>
              <w:left w:val="nil"/>
              <w:bottom w:val="nil"/>
              <w:right w:val="nil"/>
            </w:tcBorders>
            <w:shd w:val="clear" w:color="auto" w:fill="auto"/>
            <w:noWrap/>
            <w:vAlign w:val="bottom"/>
            <w:hideMark/>
          </w:tcPr>
          <w:p w14:paraId="0AAD3EEF" w14:textId="30FD00D9"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c>
          <w:tcPr>
            <w:tcW w:w="578" w:type="pct"/>
            <w:tcBorders>
              <w:top w:val="nil"/>
              <w:left w:val="nil"/>
              <w:bottom w:val="nil"/>
              <w:right w:val="nil"/>
            </w:tcBorders>
            <w:shd w:val="clear" w:color="auto" w:fill="auto"/>
            <w:noWrap/>
            <w:vAlign w:val="bottom"/>
            <w:hideMark/>
          </w:tcPr>
          <w:p w14:paraId="33541BD6" w14:textId="7349A009"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c>
          <w:tcPr>
            <w:tcW w:w="578" w:type="pct"/>
            <w:tcBorders>
              <w:top w:val="nil"/>
              <w:left w:val="nil"/>
              <w:bottom w:val="nil"/>
              <w:right w:val="nil"/>
            </w:tcBorders>
            <w:shd w:val="clear" w:color="auto" w:fill="auto"/>
            <w:noWrap/>
            <w:vAlign w:val="bottom"/>
            <w:hideMark/>
          </w:tcPr>
          <w:p w14:paraId="3CBC9F62" w14:textId="513D5FE9"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 </w:t>
            </w:r>
          </w:p>
        </w:tc>
      </w:tr>
      <w:tr w:rsidR="00003CA8" w:rsidRPr="00E1703B" w14:paraId="3B3CFB85" w14:textId="77777777" w:rsidTr="004A61A6">
        <w:trPr>
          <w:trHeight w:val="210"/>
        </w:trPr>
        <w:tc>
          <w:tcPr>
            <w:tcW w:w="2111" w:type="pct"/>
            <w:tcBorders>
              <w:top w:val="nil"/>
              <w:left w:val="nil"/>
              <w:bottom w:val="nil"/>
              <w:right w:val="nil"/>
            </w:tcBorders>
            <w:shd w:val="clear" w:color="auto" w:fill="auto"/>
            <w:noWrap/>
            <w:vAlign w:val="bottom"/>
            <w:hideMark/>
          </w:tcPr>
          <w:p w14:paraId="1C15E68E"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comprehensive income/(loss)</w:t>
            </w:r>
          </w:p>
        </w:tc>
        <w:tc>
          <w:tcPr>
            <w:tcW w:w="578" w:type="pct"/>
            <w:tcBorders>
              <w:top w:val="single" w:sz="4" w:space="0" w:color="auto"/>
              <w:left w:val="nil"/>
              <w:bottom w:val="single" w:sz="4" w:space="0" w:color="auto"/>
              <w:right w:val="nil"/>
            </w:tcBorders>
            <w:shd w:val="clear" w:color="auto" w:fill="auto"/>
            <w:noWrap/>
            <w:vAlign w:val="bottom"/>
            <w:hideMark/>
          </w:tcPr>
          <w:p w14:paraId="0F3A8EE9"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(7,657)</w:t>
            </w:r>
          </w:p>
        </w:tc>
        <w:tc>
          <w:tcPr>
            <w:tcW w:w="578" w:type="pct"/>
            <w:tcBorders>
              <w:top w:val="single" w:sz="4" w:space="0" w:color="auto"/>
              <w:left w:val="nil"/>
              <w:bottom w:val="single" w:sz="4" w:space="0" w:color="auto"/>
              <w:right w:val="nil"/>
            </w:tcBorders>
            <w:shd w:val="clear" w:color="000000" w:fill="E6E6E6"/>
            <w:noWrap/>
            <w:vAlign w:val="bottom"/>
            <w:hideMark/>
          </w:tcPr>
          <w:p w14:paraId="54893265" w14:textId="0B1DDAA5"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3,436 </w:t>
            </w:r>
          </w:p>
        </w:tc>
        <w:tc>
          <w:tcPr>
            <w:tcW w:w="578" w:type="pct"/>
            <w:tcBorders>
              <w:top w:val="single" w:sz="4" w:space="0" w:color="auto"/>
              <w:left w:val="nil"/>
              <w:bottom w:val="single" w:sz="4" w:space="0" w:color="auto"/>
              <w:right w:val="nil"/>
            </w:tcBorders>
            <w:shd w:val="clear" w:color="auto" w:fill="auto"/>
            <w:noWrap/>
            <w:vAlign w:val="bottom"/>
            <w:hideMark/>
          </w:tcPr>
          <w:p w14:paraId="2E5F3DE9" w14:textId="7292E30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(2,354)</w:t>
            </w:r>
          </w:p>
        </w:tc>
        <w:tc>
          <w:tcPr>
            <w:tcW w:w="578" w:type="pct"/>
            <w:tcBorders>
              <w:top w:val="single" w:sz="4" w:space="0" w:color="auto"/>
              <w:left w:val="nil"/>
              <w:bottom w:val="single" w:sz="4" w:space="0" w:color="auto"/>
              <w:right w:val="nil"/>
            </w:tcBorders>
            <w:shd w:val="clear" w:color="auto" w:fill="auto"/>
            <w:noWrap/>
            <w:vAlign w:val="bottom"/>
            <w:hideMark/>
          </w:tcPr>
          <w:p w14:paraId="16D6D8BB" w14:textId="48C62A68"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(2,355)</w:t>
            </w:r>
          </w:p>
        </w:tc>
        <w:tc>
          <w:tcPr>
            <w:tcW w:w="578" w:type="pct"/>
            <w:tcBorders>
              <w:top w:val="single" w:sz="4" w:space="0" w:color="auto"/>
              <w:left w:val="nil"/>
              <w:bottom w:val="single" w:sz="4" w:space="0" w:color="auto"/>
              <w:right w:val="nil"/>
            </w:tcBorders>
            <w:shd w:val="clear" w:color="auto" w:fill="auto"/>
            <w:noWrap/>
            <w:vAlign w:val="bottom"/>
            <w:hideMark/>
          </w:tcPr>
          <w:p w14:paraId="4B45438B" w14:textId="749186A9"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(2,077)</w:t>
            </w:r>
          </w:p>
        </w:tc>
      </w:tr>
      <w:tr w:rsidR="00003CA8" w:rsidRPr="00E1703B" w14:paraId="1291AAB0" w14:textId="77777777" w:rsidTr="004A61A6">
        <w:trPr>
          <w:trHeight w:val="630"/>
        </w:trPr>
        <w:tc>
          <w:tcPr>
            <w:tcW w:w="2111" w:type="pct"/>
            <w:tcBorders>
              <w:top w:val="nil"/>
              <w:left w:val="nil"/>
              <w:bottom w:val="single" w:sz="4" w:space="0" w:color="auto"/>
              <w:right w:val="nil"/>
            </w:tcBorders>
            <w:shd w:val="clear" w:color="auto" w:fill="auto"/>
            <w:vAlign w:val="bottom"/>
            <w:hideMark/>
          </w:tcPr>
          <w:p w14:paraId="2D89F6DB" w14:textId="77777777" w:rsidR="00003CA8" w:rsidRPr="00043432" w:rsidRDefault="00003CA8"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comprehensive income/(loss)</w:t>
            </w:r>
            <w:r w:rsidRPr="00043432">
              <w:rPr>
                <w:rFonts w:eastAsia="Times New Roman" w:cs="Arial"/>
                <w:b/>
                <w:bCs/>
                <w:color w:val="auto"/>
                <w:sz w:val="16"/>
                <w:szCs w:val="16"/>
                <w:lang w:eastAsia="en-AU"/>
              </w:rPr>
              <w:br/>
              <w:t xml:space="preserve">  attributable to the Australian</w:t>
            </w:r>
            <w:r w:rsidRPr="00043432">
              <w:rPr>
                <w:rFonts w:eastAsia="Times New Roman" w:cs="Arial"/>
                <w:b/>
                <w:bCs/>
                <w:color w:val="auto"/>
                <w:sz w:val="16"/>
                <w:szCs w:val="16"/>
                <w:lang w:eastAsia="en-AU"/>
              </w:rPr>
              <w:br/>
              <w:t xml:space="preserve">  Government</w:t>
            </w:r>
          </w:p>
        </w:tc>
        <w:tc>
          <w:tcPr>
            <w:tcW w:w="578" w:type="pct"/>
            <w:tcBorders>
              <w:top w:val="nil"/>
              <w:left w:val="nil"/>
              <w:bottom w:val="single" w:sz="4" w:space="0" w:color="auto"/>
              <w:right w:val="nil"/>
            </w:tcBorders>
            <w:shd w:val="clear" w:color="auto" w:fill="auto"/>
            <w:noWrap/>
            <w:vAlign w:val="bottom"/>
            <w:hideMark/>
          </w:tcPr>
          <w:p w14:paraId="20D00BB9" w14:textId="77777777"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(7,657)</w:t>
            </w:r>
          </w:p>
        </w:tc>
        <w:tc>
          <w:tcPr>
            <w:tcW w:w="578" w:type="pct"/>
            <w:tcBorders>
              <w:top w:val="nil"/>
              <w:left w:val="nil"/>
              <w:bottom w:val="single" w:sz="4" w:space="0" w:color="auto"/>
              <w:right w:val="nil"/>
            </w:tcBorders>
            <w:shd w:val="clear" w:color="000000" w:fill="E6E6E6"/>
            <w:noWrap/>
            <w:vAlign w:val="bottom"/>
            <w:hideMark/>
          </w:tcPr>
          <w:p w14:paraId="685E7BB7" w14:textId="19CE4E1B"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 xml:space="preserve">3,436 </w:t>
            </w:r>
          </w:p>
        </w:tc>
        <w:tc>
          <w:tcPr>
            <w:tcW w:w="578" w:type="pct"/>
            <w:tcBorders>
              <w:top w:val="nil"/>
              <w:left w:val="nil"/>
              <w:bottom w:val="single" w:sz="4" w:space="0" w:color="auto"/>
              <w:right w:val="nil"/>
            </w:tcBorders>
            <w:shd w:val="clear" w:color="auto" w:fill="auto"/>
            <w:noWrap/>
            <w:vAlign w:val="bottom"/>
            <w:hideMark/>
          </w:tcPr>
          <w:p w14:paraId="0BBD0E93" w14:textId="3320ABC9"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(2,354)</w:t>
            </w:r>
          </w:p>
        </w:tc>
        <w:tc>
          <w:tcPr>
            <w:tcW w:w="578" w:type="pct"/>
            <w:tcBorders>
              <w:top w:val="nil"/>
              <w:left w:val="nil"/>
              <w:bottom w:val="single" w:sz="4" w:space="0" w:color="auto"/>
              <w:right w:val="nil"/>
            </w:tcBorders>
            <w:shd w:val="clear" w:color="auto" w:fill="auto"/>
            <w:noWrap/>
            <w:vAlign w:val="bottom"/>
            <w:hideMark/>
          </w:tcPr>
          <w:p w14:paraId="6EE4D0E0" w14:textId="2FE162BA"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(2,355)</w:t>
            </w:r>
          </w:p>
        </w:tc>
        <w:tc>
          <w:tcPr>
            <w:tcW w:w="578" w:type="pct"/>
            <w:tcBorders>
              <w:top w:val="nil"/>
              <w:left w:val="nil"/>
              <w:bottom w:val="single" w:sz="4" w:space="0" w:color="auto"/>
              <w:right w:val="nil"/>
            </w:tcBorders>
            <w:shd w:val="clear" w:color="auto" w:fill="auto"/>
            <w:noWrap/>
            <w:vAlign w:val="bottom"/>
            <w:hideMark/>
          </w:tcPr>
          <w:p w14:paraId="5B2E1969" w14:textId="1FC793A8" w:rsidR="00003CA8" w:rsidRPr="00043432" w:rsidRDefault="00003CA8" w:rsidP="00043432">
            <w:pPr>
              <w:pStyle w:val="ListParagraph"/>
              <w:numPr>
                <w:ilvl w:val="0"/>
                <w:numId w:val="20"/>
              </w:numPr>
              <w:spacing w:after="0"/>
              <w:jc w:val="right"/>
              <w:rPr>
                <w:rFonts w:eastAsia="Times New Roman" w:cs="Arial"/>
                <w:b/>
                <w:bCs/>
                <w:color w:val="auto"/>
                <w:sz w:val="16"/>
                <w:szCs w:val="16"/>
                <w:lang w:eastAsia="en-AU"/>
              </w:rPr>
            </w:pPr>
            <w:r w:rsidRPr="00043432">
              <w:rPr>
                <w:rFonts w:cs="Arial"/>
                <w:b/>
                <w:bCs/>
                <w:sz w:val="16"/>
                <w:szCs w:val="16"/>
              </w:rPr>
              <w:t>(2,077)</w:t>
            </w:r>
          </w:p>
        </w:tc>
      </w:tr>
      <w:tr w:rsidR="006D3CA7" w:rsidRPr="00E1703B" w14:paraId="08091BC2" w14:textId="77777777" w:rsidTr="00003CA8">
        <w:trPr>
          <w:trHeight w:val="210"/>
        </w:trPr>
        <w:tc>
          <w:tcPr>
            <w:tcW w:w="2111" w:type="pct"/>
            <w:tcBorders>
              <w:top w:val="nil"/>
              <w:left w:val="nil"/>
              <w:bottom w:val="nil"/>
              <w:right w:val="nil"/>
            </w:tcBorders>
            <w:shd w:val="clear" w:color="auto" w:fill="auto"/>
            <w:vAlign w:val="bottom"/>
            <w:hideMark/>
          </w:tcPr>
          <w:p w14:paraId="794DD7BC"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p>
        </w:tc>
        <w:tc>
          <w:tcPr>
            <w:tcW w:w="578" w:type="pct"/>
            <w:tcBorders>
              <w:top w:val="nil"/>
              <w:left w:val="nil"/>
              <w:bottom w:val="nil"/>
              <w:right w:val="nil"/>
            </w:tcBorders>
            <w:shd w:val="clear" w:color="auto" w:fill="auto"/>
            <w:noWrap/>
            <w:vAlign w:val="bottom"/>
            <w:hideMark/>
          </w:tcPr>
          <w:p w14:paraId="3A5A312C" w14:textId="77777777" w:rsidR="006D3CA7" w:rsidRPr="00043432" w:rsidRDefault="006D3CA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311D31CA"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480BCCD4"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7BDAE92"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12DECA71"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6D3CA7" w:rsidRPr="00E1703B" w14:paraId="41A5D950" w14:textId="77777777" w:rsidTr="00003CA8">
        <w:trPr>
          <w:trHeight w:val="210"/>
        </w:trPr>
        <w:tc>
          <w:tcPr>
            <w:tcW w:w="2689" w:type="pct"/>
            <w:gridSpan w:val="2"/>
            <w:tcBorders>
              <w:top w:val="nil"/>
              <w:left w:val="nil"/>
              <w:bottom w:val="nil"/>
              <w:right w:val="nil"/>
            </w:tcBorders>
            <w:shd w:val="clear" w:color="auto" w:fill="auto"/>
            <w:noWrap/>
            <w:vAlign w:val="center"/>
            <w:hideMark/>
          </w:tcPr>
          <w:p w14:paraId="607A989F" w14:textId="77777777" w:rsidR="006D3CA7" w:rsidRPr="00043432" w:rsidRDefault="006D3CA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Note: Impact of net cash appropriation arrangements</w:t>
            </w:r>
          </w:p>
        </w:tc>
        <w:tc>
          <w:tcPr>
            <w:tcW w:w="578" w:type="pct"/>
            <w:tcBorders>
              <w:top w:val="nil"/>
              <w:left w:val="nil"/>
              <w:bottom w:val="nil"/>
              <w:right w:val="nil"/>
            </w:tcBorders>
            <w:shd w:val="clear" w:color="auto" w:fill="auto"/>
            <w:noWrap/>
            <w:vAlign w:val="bottom"/>
            <w:hideMark/>
          </w:tcPr>
          <w:p w14:paraId="5A3DFFF9" w14:textId="77777777" w:rsidR="006D3CA7" w:rsidRPr="00043432" w:rsidRDefault="006D3CA7" w:rsidP="00043432">
            <w:pPr>
              <w:pStyle w:val="ListParagraph"/>
              <w:numPr>
                <w:ilvl w:val="0"/>
                <w:numId w:val="20"/>
              </w:numPr>
              <w:spacing w:after="0"/>
              <w:jc w:val="left"/>
              <w:rPr>
                <w:rFonts w:eastAsia="Times New Roman" w:cs="Arial"/>
                <w:b/>
                <w:bCs/>
                <w:sz w:val="16"/>
                <w:szCs w:val="16"/>
                <w:lang w:eastAsia="en-AU"/>
              </w:rPr>
            </w:pPr>
          </w:p>
        </w:tc>
        <w:tc>
          <w:tcPr>
            <w:tcW w:w="578" w:type="pct"/>
            <w:tcBorders>
              <w:top w:val="nil"/>
              <w:left w:val="nil"/>
              <w:bottom w:val="nil"/>
              <w:right w:val="nil"/>
            </w:tcBorders>
            <w:shd w:val="clear" w:color="auto" w:fill="auto"/>
            <w:noWrap/>
            <w:vAlign w:val="bottom"/>
            <w:hideMark/>
          </w:tcPr>
          <w:p w14:paraId="1791E919"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53A81E4D"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739F4EFB" w14:textId="77777777" w:rsidR="006D3CA7" w:rsidRPr="00043432" w:rsidRDefault="006D3CA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6D3CA7" w:rsidRPr="00E1703B" w14:paraId="70EE6070" w14:textId="77777777" w:rsidTr="00003CA8">
        <w:trPr>
          <w:trHeight w:val="800"/>
        </w:trPr>
        <w:tc>
          <w:tcPr>
            <w:tcW w:w="2111" w:type="pct"/>
            <w:tcBorders>
              <w:top w:val="single" w:sz="4" w:space="0" w:color="auto"/>
              <w:left w:val="nil"/>
              <w:bottom w:val="nil"/>
              <w:right w:val="nil"/>
            </w:tcBorders>
            <w:shd w:val="clear" w:color="auto" w:fill="auto"/>
            <w:vAlign w:val="bottom"/>
            <w:hideMark/>
          </w:tcPr>
          <w:p w14:paraId="128E9BB8" w14:textId="77777777" w:rsidR="006D3CA7" w:rsidRPr="00043432" w:rsidRDefault="006D3CA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w:t>
            </w:r>
          </w:p>
        </w:tc>
        <w:tc>
          <w:tcPr>
            <w:tcW w:w="578" w:type="pct"/>
            <w:tcBorders>
              <w:top w:val="single" w:sz="4" w:space="0" w:color="auto"/>
              <w:left w:val="nil"/>
              <w:bottom w:val="single" w:sz="4" w:space="0" w:color="auto"/>
              <w:right w:val="nil"/>
            </w:tcBorders>
            <w:shd w:val="clear" w:color="auto" w:fill="auto"/>
            <w:vAlign w:val="center"/>
            <w:hideMark/>
          </w:tcPr>
          <w:p w14:paraId="03F8AA87"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2020-21 Estimated actual</w:t>
            </w:r>
            <w:r w:rsidRPr="00043432">
              <w:rPr>
                <w:rFonts w:eastAsia="Times New Roman" w:cs="Arial"/>
                <w:sz w:val="16"/>
                <w:szCs w:val="16"/>
                <w:lang w:eastAsia="en-AU"/>
              </w:rPr>
              <w:br/>
              <w:t>$'000</w:t>
            </w:r>
          </w:p>
        </w:tc>
        <w:tc>
          <w:tcPr>
            <w:tcW w:w="578" w:type="pct"/>
            <w:tcBorders>
              <w:top w:val="single" w:sz="4" w:space="0" w:color="auto"/>
              <w:left w:val="nil"/>
              <w:bottom w:val="single" w:sz="4" w:space="0" w:color="auto"/>
              <w:right w:val="nil"/>
            </w:tcBorders>
            <w:shd w:val="clear" w:color="000000" w:fill="E6E6E6"/>
            <w:vAlign w:val="center"/>
            <w:hideMark/>
          </w:tcPr>
          <w:p w14:paraId="75B2B7DC"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2021-22</w:t>
            </w:r>
            <w:r w:rsidRPr="00043432">
              <w:rPr>
                <w:rFonts w:eastAsia="Times New Roman" w:cs="Arial"/>
                <w:sz w:val="16"/>
                <w:szCs w:val="16"/>
                <w:lang w:eastAsia="en-AU"/>
              </w:rPr>
              <w:br/>
              <w:t>Budget</w:t>
            </w:r>
            <w:r w:rsidRPr="00043432">
              <w:rPr>
                <w:rFonts w:eastAsia="Times New Roman" w:cs="Arial"/>
                <w:sz w:val="16"/>
                <w:szCs w:val="16"/>
                <w:lang w:eastAsia="en-AU"/>
              </w:rPr>
              <w:br/>
            </w:r>
            <w:r w:rsidRPr="00043432">
              <w:rPr>
                <w:rFonts w:eastAsia="Times New Roman" w:cs="Arial"/>
                <w:sz w:val="16"/>
                <w:szCs w:val="16"/>
                <w:lang w:eastAsia="en-AU"/>
              </w:rPr>
              <w:br/>
              <w:t>$'000</w:t>
            </w:r>
          </w:p>
        </w:tc>
        <w:tc>
          <w:tcPr>
            <w:tcW w:w="578" w:type="pct"/>
            <w:tcBorders>
              <w:top w:val="single" w:sz="4" w:space="0" w:color="auto"/>
              <w:left w:val="nil"/>
              <w:bottom w:val="single" w:sz="4" w:space="0" w:color="auto"/>
              <w:right w:val="nil"/>
            </w:tcBorders>
            <w:shd w:val="clear" w:color="auto" w:fill="auto"/>
            <w:vAlign w:val="center"/>
            <w:hideMark/>
          </w:tcPr>
          <w:p w14:paraId="64446350"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2022-23 Forward estimate</w:t>
            </w:r>
            <w:r w:rsidRPr="00043432">
              <w:rPr>
                <w:rFonts w:eastAsia="Times New Roman" w:cs="Arial"/>
                <w:sz w:val="16"/>
                <w:szCs w:val="16"/>
                <w:lang w:eastAsia="en-AU"/>
              </w:rPr>
              <w:br/>
              <w:t>$'000</w:t>
            </w:r>
          </w:p>
        </w:tc>
        <w:tc>
          <w:tcPr>
            <w:tcW w:w="578" w:type="pct"/>
            <w:tcBorders>
              <w:top w:val="single" w:sz="4" w:space="0" w:color="auto"/>
              <w:left w:val="nil"/>
              <w:bottom w:val="single" w:sz="4" w:space="0" w:color="auto"/>
              <w:right w:val="nil"/>
            </w:tcBorders>
            <w:shd w:val="clear" w:color="auto" w:fill="auto"/>
            <w:vAlign w:val="center"/>
            <w:hideMark/>
          </w:tcPr>
          <w:p w14:paraId="2EA2DF96"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2023-24 Forward estimate</w:t>
            </w:r>
            <w:r w:rsidRPr="00043432">
              <w:rPr>
                <w:rFonts w:eastAsia="Times New Roman" w:cs="Arial"/>
                <w:sz w:val="16"/>
                <w:szCs w:val="16"/>
                <w:lang w:eastAsia="en-AU"/>
              </w:rPr>
              <w:br/>
              <w:t>$'000</w:t>
            </w:r>
          </w:p>
        </w:tc>
        <w:tc>
          <w:tcPr>
            <w:tcW w:w="578" w:type="pct"/>
            <w:tcBorders>
              <w:top w:val="single" w:sz="4" w:space="0" w:color="auto"/>
              <w:left w:val="nil"/>
              <w:bottom w:val="single" w:sz="4" w:space="0" w:color="auto"/>
              <w:right w:val="nil"/>
            </w:tcBorders>
            <w:shd w:val="clear" w:color="auto" w:fill="auto"/>
            <w:vAlign w:val="center"/>
            <w:hideMark/>
          </w:tcPr>
          <w:p w14:paraId="39684A12"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2024-25</w:t>
            </w:r>
            <w:r w:rsidRPr="00043432">
              <w:rPr>
                <w:rFonts w:eastAsia="Times New Roman" w:cs="Arial"/>
                <w:sz w:val="16"/>
                <w:szCs w:val="16"/>
                <w:lang w:eastAsia="en-AU"/>
              </w:rPr>
              <w:br/>
              <w:t>Forward estimate</w:t>
            </w:r>
            <w:r w:rsidRPr="00043432">
              <w:rPr>
                <w:rFonts w:eastAsia="Times New Roman" w:cs="Arial"/>
                <w:sz w:val="16"/>
                <w:szCs w:val="16"/>
                <w:lang w:eastAsia="en-AU"/>
              </w:rPr>
              <w:br/>
              <w:t>$'000</w:t>
            </w:r>
          </w:p>
        </w:tc>
      </w:tr>
      <w:tr w:rsidR="006D3CA7" w:rsidRPr="00E1703B" w14:paraId="4FF1F08E" w14:textId="77777777" w:rsidTr="004A61A6">
        <w:trPr>
          <w:trHeight w:val="900"/>
        </w:trPr>
        <w:tc>
          <w:tcPr>
            <w:tcW w:w="2111" w:type="pct"/>
            <w:tcBorders>
              <w:top w:val="nil"/>
              <w:left w:val="nil"/>
              <w:bottom w:val="nil"/>
              <w:right w:val="nil"/>
            </w:tcBorders>
            <w:shd w:val="clear" w:color="auto" w:fill="auto"/>
            <w:vAlign w:val="bottom"/>
            <w:hideMark/>
          </w:tcPr>
          <w:p w14:paraId="03F6A8F8" w14:textId="77777777" w:rsidR="006D3CA7" w:rsidRPr="00043432" w:rsidRDefault="006D3CA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comprehensive income/(loss)</w:t>
            </w:r>
            <w:r w:rsidRPr="00043432">
              <w:rPr>
                <w:rFonts w:eastAsia="Times New Roman" w:cs="Arial"/>
                <w:b/>
                <w:bCs/>
                <w:sz w:val="16"/>
                <w:szCs w:val="16"/>
                <w:lang w:eastAsia="en-AU"/>
              </w:rPr>
              <w:br/>
              <w:t xml:space="preserve">  less depreciation/amortisation</w:t>
            </w:r>
            <w:r w:rsidRPr="00043432">
              <w:rPr>
                <w:rFonts w:eastAsia="Times New Roman" w:cs="Arial"/>
                <w:b/>
                <w:bCs/>
                <w:sz w:val="16"/>
                <w:szCs w:val="16"/>
                <w:lang w:eastAsia="en-AU"/>
              </w:rPr>
              <w:br/>
              <w:t xml:space="preserve">  expenses previously funded</w:t>
            </w:r>
            <w:r w:rsidRPr="00043432">
              <w:rPr>
                <w:rFonts w:eastAsia="Times New Roman" w:cs="Arial"/>
                <w:b/>
                <w:bCs/>
                <w:sz w:val="16"/>
                <w:szCs w:val="16"/>
                <w:lang w:eastAsia="en-AU"/>
              </w:rPr>
              <w:br/>
              <w:t xml:space="preserve">  through revenue appropriations</w:t>
            </w:r>
          </w:p>
        </w:tc>
        <w:tc>
          <w:tcPr>
            <w:tcW w:w="578" w:type="pct"/>
            <w:tcBorders>
              <w:top w:val="nil"/>
              <w:left w:val="nil"/>
              <w:bottom w:val="nil"/>
              <w:right w:val="nil"/>
            </w:tcBorders>
            <w:shd w:val="clear" w:color="auto" w:fill="auto"/>
            <w:noWrap/>
            <w:vAlign w:val="bottom"/>
            <w:hideMark/>
          </w:tcPr>
          <w:p w14:paraId="28BCE45F" w14:textId="77777777" w:rsidR="006D3CA7" w:rsidRPr="00043432" w:rsidRDefault="006D3CA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1,539 </w:t>
            </w:r>
          </w:p>
        </w:tc>
        <w:tc>
          <w:tcPr>
            <w:tcW w:w="578" w:type="pct"/>
            <w:tcBorders>
              <w:top w:val="nil"/>
              <w:left w:val="nil"/>
              <w:bottom w:val="nil"/>
              <w:right w:val="nil"/>
            </w:tcBorders>
            <w:shd w:val="clear" w:color="000000" w:fill="E6E6E6"/>
            <w:noWrap/>
            <w:vAlign w:val="bottom"/>
            <w:hideMark/>
          </w:tcPr>
          <w:p w14:paraId="7191E5C7" w14:textId="77777777" w:rsidR="006D3CA7" w:rsidRPr="00043432" w:rsidRDefault="006D3CA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15,171 </w:t>
            </w:r>
          </w:p>
        </w:tc>
        <w:tc>
          <w:tcPr>
            <w:tcW w:w="578" w:type="pct"/>
            <w:tcBorders>
              <w:top w:val="nil"/>
              <w:left w:val="nil"/>
              <w:bottom w:val="nil"/>
              <w:right w:val="nil"/>
            </w:tcBorders>
            <w:shd w:val="clear" w:color="auto" w:fill="auto"/>
            <w:noWrap/>
            <w:vAlign w:val="bottom"/>
            <w:hideMark/>
          </w:tcPr>
          <w:p w14:paraId="0528F843" w14:textId="77777777" w:rsidR="006D3CA7" w:rsidRPr="00043432" w:rsidRDefault="006D3CA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10,659 </w:t>
            </w:r>
          </w:p>
        </w:tc>
        <w:tc>
          <w:tcPr>
            <w:tcW w:w="578" w:type="pct"/>
            <w:tcBorders>
              <w:top w:val="nil"/>
              <w:left w:val="nil"/>
              <w:bottom w:val="nil"/>
              <w:right w:val="nil"/>
            </w:tcBorders>
            <w:shd w:val="clear" w:color="auto" w:fill="auto"/>
            <w:noWrap/>
            <w:vAlign w:val="bottom"/>
            <w:hideMark/>
          </w:tcPr>
          <w:p w14:paraId="0FC8C449" w14:textId="77777777" w:rsidR="006D3CA7" w:rsidRPr="00043432" w:rsidRDefault="006D3CA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10,050 </w:t>
            </w:r>
          </w:p>
        </w:tc>
        <w:tc>
          <w:tcPr>
            <w:tcW w:w="578" w:type="pct"/>
            <w:tcBorders>
              <w:top w:val="nil"/>
              <w:left w:val="nil"/>
              <w:bottom w:val="nil"/>
              <w:right w:val="nil"/>
            </w:tcBorders>
            <w:shd w:val="clear" w:color="auto" w:fill="auto"/>
            <w:noWrap/>
            <w:vAlign w:val="bottom"/>
            <w:hideMark/>
          </w:tcPr>
          <w:p w14:paraId="241EE2DD" w14:textId="77777777" w:rsidR="006D3CA7" w:rsidRPr="00043432" w:rsidRDefault="006D3CA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10,119 </w:t>
            </w:r>
          </w:p>
        </w:tc>
      </w:tr>
      <w:tr w:rsidR="006D3CA7" w:rsidRPr="00E1703B" w14:paraId="70F4EC7A" w14:textId="77777777" w:rsidTr="004A61A6">
        <w:trPr>
          <w:trHeight w:val="600"/>
        </w:trPr>
        <w:tc>
          <w:tcPr>
            <w:tcW w:w="2111" w:type="pct"/>
            <w:tcBorders>
              <w:top w:val="nil"/>
              <w:left w:val="nil"/>
              <w:bottom w:val="nil"/>
              <w:right w:val="nil"/>
            </w:tcBorders>
            <w:shd w:val="clear" w:color="auto" w:fill="auto"/>
            <w:vAlign w:val="bottom"/>
            <w:hideMark/>
          </w:tcPr>
          <w:p w14:paraId="0FA6613D" w14:textId="25F6430F" w:rsidR="006D3CA7" w:rsidRPr="00043432" w:rsidRDefault="004A61A6" w:rsidP="00043432">
            <w:pPr>
              <w:pStyle w:val="ListParagraph"/>
              <w:numPr>
                <w:ilvl w:val="0"/>
                <w:numId w:val="20"/>
              </w:numPr>
              <w:spacing w:after="0"/>
              <w:jc w:val="left"/>
              <w:rPr>
                <w:rFonts w:eastAsia="Times New Roman" w:cs="Arial"/>
                <w:sz w:val="16"/>
                <w:szCs w:val="16"/>
                <w:lang w:eastAsia="en-AU"/>
              </w:rPr>
            </w:pPr>
            <w:r>
              <w:rPr>
                <w:rFonts w:eastAsia="Times New Roman" w:cs="Arial"/>
                <w:sz w:val="16"/>
                <w:szCs w:val="16"/>
                <w:lang w:eastAsia="en-AU"/>
              </w:rPr>
              <w:t>plus</w:t>
            </w:r>
            <w:r w:rsidR="006D3CA7" w:rsidRPr="00043432">
              <w:rPr>
                <w:rFonts w:eastAsia="Times New Roman" w:cs="Arial"/>
                <w:sz w:val="16"/>
                <w:szCs w:val="16"/>
                <w:lang w:eastAsia="en-AU"/>
              </w:rPr>
              <w:t>: depreciation/amortisation</w:t>
            </w:r>
            <w:r w:rsidR="006D3CA7" w:rsidRPr="00043432">
              <w:rPr>
                <w:rFonts w:eastAsia="Times New Roman" w:cs="Arial"/>
                <w:sz w:val="16"/>
                <w:szCs w:val="16"/>
                <w:lang w:eastAsia="en-AU"/>
              </w:rPr>
              <w:br/>
              <w:t xml:space="preserve">      expenses previously funded through</w:t>
            </w:r>
            <w:r w:rsidR="006D3CA7" w:rsidRPr="00043432">
              <w:rPr>
                <w:rFonts w:eastAsia="Times New Roman" w:cs="Arial"/>
                <w:sz w:val="16"/>
                <w:szCs w:val="16"/>
                <w:lang w:eastAsia="en-AU"/>
              </w:rPr>
              <w:br/>
              <w:t xml:space="preserve">      revenue appropriations</w:t>
            </w:r>
          </w:p>
        </w:tc>
        <w:tc>
          <w:tcPr>
            <w:tcW w:w="578" w:type="pct"/>
            <w:tcBorders>
              <w:top w:val="nil"/>
              <w:left w:val="nil"/>
              <w:bottom w:val="nil"/>
              <w:right w:val="nil"/>
            </w:tcBorders>
            <w:shd w:val="clear" w:color="auto" w:fill="auto"/>
            <w:noWrap/>
            <w:vAlign w:val="bottom"/>
            <w:hideMark/>
          </w:tcPr>
          <w:p w14:paraId="7CED18FA"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9,155 </w:t>
            </w:r>
          </w:p>
        </w:tc>
        <w:tc>
          <w:tcPr>
            <w:tcW w:w="578" w:type="pct"/>
            <w:tcBorders>
              <w:top w:val="nil"/>
              <w:left w:val="nil"/>
              <w:bottom w:val="nil"/>
              <w:right w:val="nil"/>
            </w:tcBorders>
            <w:shd w:val="clear" w:color="000000" w:fill="E6E6E6"/>
            <w:noWrap/>
            <w:vAlign w:val="bottom"/>
            <w:hideMark/>
          </w:tcPr>
          <w:p w14:paraId="2EE43B63"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12,020 </w:t>
            </w:r>
          </w:p>
        </w:tc>
        <w:tc>
          <w:tcPr>
            <w:tcW w:w="578" w:type="pct"/>
            <w:tcBorders>
              <w:top w:val="nil"/>
              <w:left w:val="nil"/>
              <w:bottom w:val="nil"/>
              <w:right w:val="nil"/>
            </w:tcBorders>
            <w:shd w:val="clear" w:color="auto" w:fill="auto"/>
            <w:noWrap/>
            <w:vAlign w:val="bottom"/>
            <w:hideMark/>
          </w:tcPr>
          <w:p w14:paraId="04C71584"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13,649 </w:t>
            </w:r>
          </w:p>
        </w:tc>
        <w:tc>
          <w:tcPr>
            <w:tcW w:w="578" w:type="pct"/>
            <w:tcBorders>
              <w:top w:val="nil"/>
              <w:left w:val="nil"/>
              <w:bottom w:val="nil"/>
              <w:right w:val="nil"/>
            </w:tcBorders>
            <w:shd w:val="clear" w:color="auto" w:fill="auto"/>
            <w:noWrap/>
            <w:vAlign w:val="bottom"/>
            <w:hideMark/>
          </w:tcPr>
          <w:p w14:paraId="6491268B"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13,756 </w:t>
            </w:r>
          </w:p>
        </w:tc>
        <w:tc>
          <w:tcPr>
            <w:tcW w:w="578" w:type="pct"/>
            <w:tcBorders>
              <w:top w:val="nil"/>
              <w:left w:val="nil"/>
              <w:bottom w:val="nil"/>
              <w:right w:val="nil"/>
            </w:tcBorders>
            <w:shd w:val="clear" w:color="auto" w:fill="auto"/>
            <w:noWrap/>
            <w:vAlign w:val="bottom"/>
            <w:hideMark/>
          </w:tcPr>
          <w:p w14:paraId="2F80882D"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12,915 </w:t>
            </w:r>
          </w:p>
        </w:tc>
      </w:tr>
      <w:tr w:rsidR="006D3CA7" w:rsidRPr="00E1703B" w14:paraId="0F9148A1" w14:textId="77777777" w:rsidTr="004A61A6">
        <w:trPr>
          <w:trHeight w:val="400"/>
        </w:trPr>
        <w:tc>
          <w:tcPr>
            <w:tcW w:w="2111" w:type="pct"/>
            <w:tcBorders>
              <w:top w:val="nil"/>
              <w:left w:val="nil"/>
              <w:bottom w:val="nil"/>
              <w:right w:val="nil"/>
            </w:tcBorders>
            <w:shd w:val="clear" w:color="auto" w:fill="auto"/>
            <w:vAlign w:val="bottom"/>
            <w:hideMark/>
          </w:tcPr>
          <w:p w14:paraId="7F21051E" w14:textId="53D47CAD" w:rsidR="006D3CA7" w:rsidRPr="00043432" w:rsidRDefault="004A61A6" w:rsidP="00043432">
            <w:pPr>
              <w:pStyle w:val="ListParagraph"/>
              <w:numPr>
                <w:ilvl w:val="0"/>
                <w:numId w:val="20"/>
              </w:numPr>
              <w:spacing w:after="0"/>
              <w:jc w:val="left"/>
              <w:rPr>
                <w:rFonts w:eastAsia="Times New Roman" w:cs="Arial"/>
                <w:sz w:val="16"/>
                <w:szCs w:val="16"/>
                <w:lang w:eastAsia="en-AU"/>
              </w:rPr>
            </w:pPr>
            <w:r>
              <w:rPr>
                <w:rFonts w:eastAsia="Times New Roman" w:cs="Arial"/>
                <w:sz w:val="16"/>
                <w:szCs w:val="16"/>
                <w:lang w:eastAsia="en-AU"/>
              </w:rPr>
              <w:t>plus</w:t>
            </w:r>
            <w:r w:rsidR="006D3CA7" w:rsidRPr="00043432">
              <w:rPr>
                <w:rFonts w:eastAsia="Times New Roman" w:cs="Arial"/>
                <w:sz w:val="16"/>
                <w:szCs w:val="16"/>
                <w:lang w:eastAsia="en-AU"/>
              </w:rPr>
              <w:t>: depreciation/amortisation</w:t>
            </w:r>
            <w:r w:rsidR="006D3CA7" w:rsidRPr="00043432">
              <w:rPr>
                <w:rFonts w:eastAsia="Times New Roman" w:cs="Arial"/>
                <w:sz w:val="16"/>
                <w:szCs w:val="16"/>
                <w:lang w:eastAsia="en-AU"/>
              </w:rPr>
              <w:br/>
              <w:t xml:space="preserve">      expenses for ROU assets (a)</w:t>
            </w:r>
          </w:p>
        </w:tc>
        <w:tc>
          <w:tcPr>
            <w:tcW w:w="578" w:type="pct"/>
            <w:tcBorders>
              <w:top w:val="nil"/>
              <w:left w:val="nil"/>
              <w:bottom w:val="nil"/>
              <w:right w:val="nil"/>
            </w:tcBorders>
            <w:shd w:val="clear" w:color="auto" w:fill="auto"/>
            <w:noWrap/>
            <w:vAlign w:val="bottom"/>
            <w:hideMark/>
          </w:tcPr>
          <w:p w14:paraId="30CE5965"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8,946 </w:t>
            </w:r>
          </w:p>
        </w:tc>
        <w:tc>
          <w:tcPr>
            <w:tcW w:w="578" w:type="pct"/>
            <w:tcBorders>
              <w:top w:val="nil"/>
              <w:left w:val="nil"/>
              <w:bottom w:val="nil"/>
              <w:right w:val="nil"/>
            </w:tcBorders>
            <w:shd w:val="clear" w:color="000000" w:fill="E6E6E6"/>
            <w:noWrap/>
            <w:vAlign w:val="bottom"/>
            <w:hideMark/>
          </w:tcPr>
          <w:p w14:paraId="77483727"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8,468 </w:t>
            </w:r>
          </w:p>
        </w:tc>
        <w:tc>
          <w:tcPr>
            <w:tcW w:w="578" w:type="pct"/>
            <w:tcBorders>
              <w:top w:val="nil"/>
              <w:left w:val="nil"/>
              <w:bottom w:val="nil"/>
              <w:right w:val="nil"/>
            </w:tcBorders>
            <w:shd w:val="clear" w:color="auto" w:fill="auto"/>
            <w:noWrap/>
            <w:vAlign w:val="bottom"/>
            <w:hideMark/>
          </w:tcPr>
          <w:p w14:paraId="2878CD9A"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8,304 </w:t>
            </w:r>
          </w:p>
        </w:tc>
        <w:tc>
          <w:tcPr>
            <w:tcW w:w="578" w:type="pct"/>
            <w:tcBorders>
              <w:top w:val="nil"/>
              <w:left w:val="nil"/>
              <w:bottom w:val="nil"/>
              <w:right w:val="nil"/>
            </w:tcBorders>
            <w:shd w:val="clear" w:color="auto" w:fill="auto"/>
            <w:noWrap/>
            <w:vAlign w:val="bottom"/>
            <w:hideMark/>
          </w:tcPr>
          <w:p w14:paraId="3D745F4B"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8,304 </w:t>
            </w:r>
          </w:p>
        </w:tc>
        <w:tc>
          <w:tcPr>
            <w:tcW w:w="578" w:type="pct"/>
            <w:tcBorders>
              <w:top w:val="nil"/>
              <w:left w:val="nil"/>
              <w:bottom w:val="nil"/>
              <w:right w:val="nil"/>
            </w:tcBorders>
            <w:shd w:val="clear" w:color="auto" w:fill="auto"/>
            <w:noWrap/>
            <w:vAlign w:val="bottom"/>
            <w:hideMark/>
          </w:tcPr>
          <w:p w14:paraId="34788BA0" w14:textId="77777777" w:rsidR="006D3CA7" w:rsidRPr="00043432" w:rsidRDefault="006D3CA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7,572 </w:t>
            </w:r>
          </w:p>
        </w:tc>
      </w:tr>
      <w:tr w:rsidR="006D3CA7" w:rsidRPr="00E1703B" w14:paraId="0D82FD48" w14:textId="77777777" w:rsidTr="004A61A6">
        <w:trPr>
          <w:trHeight w:val="400"/>
        </w:trPr>
        <w:tc>
          <w:tcPr>
            <w:tcW w:w="2111" w:type="pct"/>
            <w:tcBorders>
              <w:top w:val="nil"/>
              <w:left w:val="nil"/>
              <w:bottom w:val="nil"/>
              <w:right w:val="nil"/>
            </w:tcBorders>
            <w:shd w:val="clear" w:color="auto" w:fill="auto"/>
            <w:vAlign w:val="bottom"/>
            <w:hideMark/>
          </w:tcPr>
          <w:p w14:paraId="539BF140" w14:textId="48B1527A" w:rsidR="006D3CA7" w:rsidRPr="00043432" w:rsidRDefault="004A61A6" w:rsidP="00043432">
            <w:pPr>
              <w:pStyle w:val="ListParagraph"/>
              <w:numPr>
                <w:ilvl w:val="0"/>
                <w:numId w:val="20"/>
              </w:numPr>
              <w:spacing w:after="0"/>
              <w:jc w:val="left"/>
              <w:rPr>
                <w:rFonts w:eastAsia="Times New Roman" w:cs="Arial"/>
                <w:sz w:val="16"/>
                <w:szCs w:val="16"/>
                <w:lang w:eastAsia="en-AU"/>
              </w:rPr>
            </w:pPr>
            <w:r>
              <w:rPr>
                <w:rFonts w:eastAsia="Times New Roman" w:cs="Arial"/>
                <w:sz w:val="16"/>
                <w:szCs w:val="16"/>
                <w:lang w:eastAsia="en-AU"/>
              </w:rPr>
              <w:t>less</w:t>
            </w:r>
            <w:r w:rsidR="006D3CA7" w:rsidRPr="00043432">
              <w:rPr>
                <w:rFonts w:eastAsia="Times New Roman" w:cs="Arial"/>
                <w:sz w:val="16"/>
                <w:szCs w:val="16"/>
                <w:lang w:eastAsia="en-AU"/>
              </w:rPr>
              <w:t>: principal repayments on leased</w:t>
            </w:r>
            <w:r w:rsidR="006D3CA7" w:rsidRPr="00043432">
              <w:rPr>
                <w:rFonts w:eastAsia="Times New Roman" w:cs="Arial"/>
                <w:sz w:val="16"/>
                <w:szCs w:val="16"/>
                <w:lang w:eastAsia="en-AU"/>
              </w:rPr>
              <w:br/>
              <w:t xml:space="preserve">      assets (a)</w:t>
            </w:r>
          </w:p>
        </w:tc>
        <w:tc>
          <w:tcPr>
            <w:tcW w:w="578" w:type="pct"/>
            <w:tcBorders>
              <w:top w:val="nil"/>
              <w:left w:val="nil"/>
              <w:bottom w:val="nil"/>
              <w:right w:val="nil"/>
            </w:tcBorders>
            <w:shd w:val="clear" w:color="auto" w:fill="auto"/>
            <w:noWrap/>
            <w:vAlign w:val="bottom"/>
            <w:hideMark/>
          </w:tcPr>
          <w:p w14:paraId="2082F6E6"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8,905 </w:t>
            </w:r>
          </w:p>
        </w:tc>
        <w:tc>
          <w:tcPr>
            <w:tcW w:w="578" w:type="pct"/>
            <w:tcBorders>
              <w:top w:val="nil"/>
              <w:left w:val="nil"/>
              <w:bottom w:val="nil"/>
              <w:right w:val="nil"/>
            </w:tcBorders>
            <w:shd w:val="clear" w:color="000000" w:fill="E6E6E6"/>
            <w:noWrap/>
            <w:vAlign w:val="bottom"/>
            <w:hideMark/>
          </w:tcPr>
          <w:p w14:paraId="5B469671"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8,753 </w:t>
            </w:r>
          </w:p>
        </w:tc>
        <w:tc>
          <w:tcPr>
            <w:tcW w:w="578" w:type="pct"/>
            <w:tcBorders>
              <w:top w:val="nil"/>
              <w:left w:val="nil"/>
              <w:bottom w:val="nil"/>
              <w:right w:val="nil"/>
            </w:tcBorders>
            <w:shd w:val="clear" w:color="auto" w:fill="auto"/>
            <w:noWrap/>
            <w:vAlign w:val="bottom"/>
            <w:hideMark/>
          </w:tcPr>
          <w:p w14:paraId="3E06526E"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8,940 </w:t>
            </w:r>
          </w:p>
        </w:tc>
        <w:tc>
          <w:tcPr>
            <w:tcW w:w="578" w:type="pct"/>
            <w:tcBorders>
              <w:top w:val="nil"/>
              <w:left w:val="nil"/>
              <w:bottom w:val="nil"/>
              <w:right w:val="nil"/>
            </w:tcBorders>
            <w:shd w:val="clear" w:color="auto" w:fill="auto"/>
            <w:noWrap/>
            <w:vAlign w:val="bottom"/>
            <w:hideMark/>
          </w:tcPr>
          <w:p w14:paraId="13951696"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9,655 </w:t>
            </w:r>
          </w:p>
        </w:tc>
        <w:tc>
          <w:tcPr>
            <w:tcW w:w="578" w:type="pct"/>
            <w:tcBorders>
              <w:top w:val="nil"/>
              <w:left w:val="nil"/>
              <w:bottom w:val="nil"/>
              <w:right w:val="nil"/>
            </w:tcBorders>
            <w:shd w:val="clear" w:color="auto" w:fill="auto"/>
            <w:noWrap/>
            <w:vAlign w:val="bottom"/>
            <w:hideMark/>
          </w:tcPr>
          <w:p w14:paraId="59903D0D" w14:textId="77777777" w:rsidR="006D3CA7" w:rsidRPr="00043432" w:rsidRDefault="006D3CA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8,291 </w:t>
            </w:r>
          </w:p>
        </w:tc>
      </w:tr>
      <w:tr w:rsidR="006D3CA7" w:rsidRPr="00E1703B" w14:paraId="6AC7352B" w14:textId="77777777" w:rsidTr="004A61A6">
        <w:trPr>
          <w:trHeight w:val="630"/>
        </w:trPr>
        <w:tc>
          <w:tcPr>
            <w:tcW w:w="2111" w:type="pct"/>
            <w:tcBorders>
              <w:top w:val="nil"/>
              <w:left w:val="nil"/>
              <w:bottom w:val="single" w:sz="4" w:space="0" w:color="auto"/>
              <w:right w:val="nil"/>
            </w:tcBorders>
            <w:shd w:val="clear" w:color="auto" w:fill="auto"/>
            <w:vAlign w:val="bottom"/>
            <w:hideMark/>
          </w:tcPr>
          <w:p w14:paraId="753B79A9" w14:textId="77777777" w:rsidR="006D3CA7" w:rsidRPr="00043432" w:rsidRDefault="006D3CA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comprehensive income/(loss)</w:t>
            </w:r>
            <w:r w:rsidRPr="00043432">
              <w:rPr>
                <w:rFonts w:eastAsia="Times New Roman" w:cs="Arial"/>
                <w:b/>
                <w:bCs/>
                <w:sz w:val="16"/>
                <w:szCs w:val="16"/>
                <w:lang w:eastAsia="en-AU"/>
              </w:rPr>
              <w:br/>
              <w:t xml:space="preserve">  - as per the statement of</w:t>
            </w:r>
            <w:r w:rsidRPr="00043432">
              <w:rPr>
                <w:rFonts w:eastAsia="Times New Roman" w:cs="Arial"/>
                <w:b/>
                <w:bCs/>
                <w:sz w:val="16"/>
                <w:szCs w:val="16"/>
                <w:lang w:eastAsia="en-AU"/>
              </w:rPr>
              <w:br/>
              <w:t xml:space="preserve">    comprehensive income</w:t>
            </w:r>
          </w:p>
        </w:tc>
        <w:tc>
          <w:tcPr>
            <w:tcW w:w="578" w:type="pct"/>
            <w:tcBorders>
              <w:top w:val="single" w:sz="4" w:space="0" w:color="auto"/>
              <w:left w:val="nil"/>
              <w:bottom w:val="single" w:sz="4" w:space="0" w:color="auto"/>
              <w:right w:val="nil"/>
            </w:tcBorders>
            <w:shd w:val="clear" w:color="auto" w:fill="auto"/>
            <w:vAlign w:val="bottom"/>
            <w:hideMark/>
          </w:tcPr>
          <w:p w14:paraId="05B745AE"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(7,657)</w:t>
            </w:r>
          </w:p>
        </w:tc>
        <w:tc>
          <w:tcPr>
            <w:tcW w:w="578" w:type="pct"/>
            <w:tcBorders>
              <w:top w:val="single" w:sz="4" w:space="0" w:color="auto"/>
              <w:left w:val="nil"/>
              <w:bottom w:val="single" w:sz="4" w:space="0" w:color="auto"/>
              <w:right w:val="nil"/>
            </w:tcBorders>
            <w:shd w:val="clear" w:color="000000" w:fill="E6E6E6"/>
            <w:vAlign w:val="bottom"/>
            <w:hideMark/>
          </w:tcPr>
          <w:p w14:paraId="62F8CC4C"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3,436 </w:t>
            </w:r>
          </w:p>
        </w:tc>
        <w:tc>
          <w:tcPr>
            <w:tcW w:w="578" w:type="pct"/>
            <w:tcBorders>
              <w:top w:val="single" w:sz="4" w:space="0" w:color="auto"/>
              <w:left w:val="nil"/>
              <w:bottom w:val="single" w:sz="4" w:space="0" w:color="auto"/>
              <w:right w:val="nil"/>
            </w:tcBorders>
            <w:shd w:val="clear" w:color="auto" w:fill="auto"/>
            <w:vAlign w:val="bottom"/>
            <w:hideMark/>
          </w:tcPr>
          <w:p w14:paraId="7DC26043"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(2,354)</w:t>
            </w:r>
          </w:p>
        </w:tc>
        <w:tc>
          <w:tcPr>
            <w:tcW w:w="578" w:type="pct"/>
            <w:tcBorders>
              <w:top w:val="single" w:sz="4" w:space="0" w:color="auto"/>
              <w:left w:val="nil"/>
              <w:bottom w:val="single" w:sz="4" w:space="0" w:color="auto"/>
              <w:right w:val="nil"/>
            </w:tcBorders>
            <w:shd w:val="clear" w:color="auto" w:fill="auto"/>
            <w:vAlign w:val="bottom"/>
            <w:hideMark/>
          </w:tcPr>
          <w:p w14:paraId="24F3F6AF"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(2,355)</w:t>
            </w:r>
          </w:p>
        </w:tc>
        <w:tc>
          <w:tcPr>
            <w:tcW w:w="578" w:type="pct"/>
            <w:tcBorders>
              <w:top w:val="single" w:sz="4" w:space="0" w:color="auto"/>
              <w:left w:val="nil"/>
              <w:bottom w:val="single" w:sz="4" w:space="0" w:color="auto"/>
              <w:right w:val="nil"/>
            </w:tcBorders>
            <w:shd w:val="clear" w:color="auto" w:fill="auto"/>
            <w:vAlign w:val="bottom"/>
            <w:hideMark/>
          </w:tcPr>
          <w:p w14:paraId="3E4B534B" w14:textId="77777777" w:rsidR="006D3CA7" w:rsidRPr="00043432" w:rsidRDefault="006D3CA7"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(2,077)</w:t>
            </w:r>
          </w:p>
        </w:tc>
      </w:tr>
    </w:tbl>
    <w:p w14:paraId="1758EEC5" w14:textId="77777777" w:rsidR="001E04A8" w:rsidRDefault="001E04A8" w:rsidP="001E04A8">
      <w:pPr>
        <w:pStyle w:val="TableGraphic"/>
        <w:rPr>
          <w:rFonts w:ascii="Arial" w:hAnsi="Arial" w:cs="Arial"/>
          <w:sz w:val="16"/>
          <w:szCs w:val="16"/>
        </w:rPr>
      </w:pPr>
      <w:r>
        <w:rPr>
          <w:rFonts w:ascii="Arial" w:hAnsi="Arial" w:cs="Arial"/>
          <w:sz w:val="16"/>
          <w:szCs w:val="16"/>
        </w:rPr>
        <w:t>Prepared on Australian Accounting Standards basis.</w:t>
      </w:r>
    </w:p>
    <w:p w14:paraId="49CCC359" w14:textId="77777777" w:rsidR="001E04A8" w:rsidRPr="00043432" w:rsidRDefault="001E04A8" w:rsidP="00043432">
      <w:pPr>
        <w:pStyle w:val="ListParagraph"/>
        <w:numPr>
          <w:ilvl w:val="0"/>
          <w:numId w:val="20"/>
        </w:numPr>
        <w:rPr>
          <w:sz w:val="16"/>
          <w:szCs w:val="16"/>
          <w:lang w:eastAsia="en-AU"/>
        </w:rPr>
      </w:pPr>
      <w:r w:rsidRPr="00043432">
        <w:rPr>
          <w:sz w:val="16"/>
          <w:szCs w:val="16"/>
          <w:lang w:eastAsia="en-AU"/>
        </w:rPr>
        <w:t>(a) Applies leases under AASB 16 Leases.</w:t>
      </w:r>
    </w:p>
    <w:p w14:paraId="1D11672C" w14:textId="6375F0D6" w:rsidR="00003CA8" w:rsidRDefault="0008358A" w:rsidP="005D60FF">
      <w:pPr>
        <w:pStyle w:val="TableHeadingcontinued"/>
      </w:pPr>
      <w:r>
        <w:br w:type="page"/>
      </w:r>
      <w:r w:rsidRPr="00E4582E">
        <w:lastRenderedPageBreak/>
        <w:t>Table</w:t>
      </w:r>
      <w:r>
        <w:t xml:space="preserve"> 3.</w:t>
      </w:r>
      <w:r w:rsidRPr="00E4582E">
        <w:t>2: Budg</w:t>
      </w:r>
      <w:r>
        <w:t xml:space="preserve">eted departmental balance sheet </w:t>
      </w:r>
      <w:r w:rsidRPr="00E4582E">
        <w:t>(as at 30 June)</w:t>
      </w:r>
      <w:r w:rsidR="004447D7" w:rsidRPr="004447D7">
        <w:t xml:space="preserve"> </w:t>
      </w:r>
    </w:p>
    <w:tbl>
      <w:tblPr>
        <w:tblW w:w="5000" w:type="pct"/>
        <w:tblCellMar>
          <w:left w:w="0" w:type="dxa"/>
          <w:right w:w="28" w:type="dxa"/>
        </w:tblCellMar>
        <w:tblLook w:val="04A0" w:firstRow="1" w:lastRow="0" w:firstColumn="1" w:lastColumn="0" w:noHBand="0" w:noVBand="1"/>
      </w:tblPr>
      <w:tblGrid>
        <w:gridCol w:w="3256"/>
        <w:gridCol w:w="891"/>
        <w:gridCol w:w="891"/>
        <w:gridCol w:w="891"/>
        <w:gridCol w:w="891"/>
        <w:gridCol w:w="890"/>
      </w:tblGrid>
      <w:tr w:rsidR="00003CA8" w:rsidRPr="00725D74" w14:paraId="322F0C3A" w14:textId="77777777" w:rsidTr="00D02397">
        <w:trPr>
          <w:trHeight w:val="800"/>
        </w:trPr>
        <w:tc>
          <w:tcPr>
            <w:tcW w:w="2111" w:type="pct"/>
            <w:tcBorders>
              <w:top w:val="single" w:sz="4" w:space="0" w:color="auto"/>
              <w:left w:val="nil"/>
              <w:bottom w:val="nil"/>
              <w:right w:val="nil"/>
            </w:tcBorders>
            <w:shd w:val="clear" w:color="auto" w:fill="auto"/>
            <w:noWrap/>
            <w:hideMark/>
          </w:tcPr>
          <w:p w14:paraId="3FAFBF60" w14:textId="77777777" w:rsidR="00003CA8" w:rsidRPr="00043432" w:rsidRDefault="00003CA8" w:rsidP="00043432">
            <w:pPr>
              <w:pStyle w:val="ListParagraph"/>
              <w:numPr>
                <w:ilvl w:val="0"/>
                <w:numId w:val="20"/>
              </w:numPr>
              <w:spacing w:after="0"/>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c>
          <w:tcPr>
            <w:tcW w:w="578" w:type="pct"/>
            <w:tcBorders>
              <w:top w:val="single" w:sz="4" w:space="0" w:color="auto"/>
              <w:left w:val="nil"/>
              <w:bottom w:val="single" w:sz="4" w:space="0" w:color="auto"/>
              <w:right w:val="nil"/>
            </w:tcBorders>
            <w:shd w:val="clear" w:color="auto" w:fill="auto"/>
            <w:hideMark/>
          </w:tcPr>
          <w:p w14:paraId="544DAF26"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 Estimated actual</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000000" w:fill="E6E6E6"/>
            <w:hideMark/>
          </w:tcPr>
          <w:p w14:paraId="43452683"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r w:rsidRPr="00043432">
              <w:rPr>
                <w:rFonts w:eastAsia="Times New Roman" w:cs="Arial"/>
                <w:color w:val="auto"/>
                <w:sz w:val="16"/>
                <w:szCs w:val="16"/>
                <w:lang w:eastAsia="en-AU"/>
              </w:rPr>
              <w:br/>
              <w:t>Budget</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4EE34409"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2022-23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7FB5DBF1"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2023-24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7EC3A21C" w14:textId="77777777" w:rsidR="00003CA8" w:rsidRPr="00043432" w:rsidRDefault="00003CA8"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2024-25</w:t>
            </w:r>
            <w:r w:rsidRPr="00043432">
              <w:rPr>
                <w:rFonts w:eastAsia="Times New Roman" w:cs="Arial"/>
                <w:color w:val="auto"/>
                <w:sz w:val="16"/>
                <w:szCs w:val="16"/>
                <w:lang w:eastAsia="en-AU"/>
              </w:rPr>
              <w:br/>
              <w:t>Forward estimate</w:t>
            </w:r>
            <w:r w:rsidRPr="00043432">
              <w:rPr>
                <w:rFonts w:eastAsia="Times New Roman" w:cs="Arial"/>
                <w:color w:val="auto"/>
                <w:sz w:val="16"/>
                <w:szCs w:val="16"/>
                <w:lang w:eastAsia="en-AU"/>
              </w:rPr>
              <w:br/>
              <w:t>$'000</w:t>
            </w:r>
          </w:p>
        </w:tc>
      </w:tr>
      <w:tr w:rsidR="00003CA8" w:rsidRPr="00725D74" w14:paraId="71933796" w14:textId="77777777" w:rsidTr="004A61A6">
        <w:trPr>
          <w:trHeight w:val="210"/>
        </w:trPr>
        <w:tc>
          <w:tcPr>
            <w:tcW w:w="2111" w:type="pct"/>
            <w:tcBorders>
              <w:top w:val="nil"/>
              <w:left w:val="nil"/>
              <w:bottom w:val="nil"/>
              <w:right w:val="nil"/>
            </w:tcBorders>
            <w:shd w:val="clear" w:color="auto" w:fill="auto"/>
            <w:noWrap/>
            <w:vAlign w:val="bottom"/>
            <w:hideMark/>
          </w:tcPr>
          <w:p w14:paraId="51F4D0E1" w14:textId="77777777" w:rsidR="00003CA8" w:rsidRPr="00043432" w:rsidRDefault="00003CA8"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ASSETS</w:t>
            </w:r>
          </w:p>
        </w:tc>
        <w:tc>
          <w:tcPr>
            <w:tcW w:w="578" w:type="pct"/>
            <w:tcBorders>
              <w:top w:val="nil"/>
              <w:left w:val="nil"/>
              <w:bottom w:val="nil"/>
              <w:right w:val="nil"/>
            </w:tcBorders>
            <w:shd w:val="clear" w:color="auto" w:fill="auto"/>
            <w:noWrap/>
            <w:vAlign w:val="bottom"/>
            <w:hideMark/>
          </w:tcPr>
          <w:p w14:paraId="37FE3057" w14:textId="77777777" w:rsidR="00003CA8" w:rsidRPr="00043432" w:rsidRDefault="00003CA8"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2D9142F6" w14:textId="77777777" w:rsidR="00003CA8" w:rsidRPr="00043432" w:rsidRDefault="00003CA8"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nil"/>
              <w:left w:val="nil"/>
              <w:bottom w:val="nil"/>
              <w:right w:val="nil"/>
            </w:tcBorders>
            <w:shd w:val="clear" w:color="auto" w:fill="auto"/>
            <w:noWrap/>
            <w:vAlign w:val="bottom"/>
            <w:hideMark/>
          </w:tcPr>
          <w:p w14:paraId="38C2AA8A" w14:textId="77777777" w:rsidR="00003CA8" w:rsidRPr="00043432" w:rsidRDefault="00003CA8"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1F153B70"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C960039"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003CA8" w:rsidRPr="00725D74" w14:paraId="7D1DDCEA" w14:textId="77777777" w:rsidTr="004A61A6">
        <w:trPr>
          <w:trHeight w:val="210"/>
        </w:trPr>
        <w:tc>
          <w:tcPr>
            <w:tcW w:w="2111" w:type="pct"/>
            <w:tcBorders>
              <w:top w:val="nil"/>
              <w:left w:val="nil"/>
              <w:bottom w:val="nil"/>
              <w:right w:val="nil"/>
            </w:tcBorders>
            <w:shd w:val="clear" w:color="auto" w:fill="auto"/>
            <w:noWrap/>
            <w:vAlign w:val="bottom"/>
            <w:hideMark/>
          </w:tcPr>
          <w:p w14:paraId="37C86E21" w14:textId="77777777" w:rsidR="00003CA8" w:rsidRPr="00043432" w:rsidRDefault="00003CA8"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Financial assets</w:t>
            </w:r>
          </w:p>
        </w:tc>
        <w:tc>
          <w:tcPr>
            <w:tcW w:w="578" w:type="pct"/>
            <w:tcBorders>
              <w:top w:val="nil"/>
              <w:left w:val="nil"/>
              <w:bottom w:val="nil"/>
              <w:right w:val="nil"/>
            </w:tcBorders>
            <w:shd w:val="clear" w:color="auto" w:fill="auto"/>
            <w:noWrap/>
            <w:vAlign w:val="bottom"/>
            <w:hideMark/>
          </w:tcPr>
          <w:p w14:paraId="1F35AC8D" w14:textId="77777777" w:rsidR="00003CA8" w:rsidRPr="00043432" w:rsidRDefault="00003CA8"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6929586A" w14:textId="77777777" w:rsidR="00003CA8" w:rsidRPr="00043432" w:rsidRDefault="00003CA8"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nil"/>
              <w:left w:val="nil"/>
              <w:bottom w:val="nil"/>
              <w:right w:val="nil"/>
            </w:tcBorders>
            <w:shd w:val="clear" w:color="auto" w:fill="auto"/>
            <w:noWrap/>
            <w:vAlign w:val="bottom"/>
            <w:hideMark/>
          </w:tcPr>
          <w:p w14:paraId="7231C760" w14:textId="77777777" w:rsidR="00003CA8" w:rsidRPr="00043432" w:rsidRDefault="00003CA8"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7ABAAB27"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6644EBFB" w14:textId="77777777" w:rsidR="00003CA8" w:rsidRPr="00043432" w:rsidRDefault="00003CA8"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390AEBCA" w14:textId="77777777" w:rsidTr="004A61A6">
        <w:trPr>
          <w:trHeight w:val="200"/>
        </w:trPr>
        <w:tc>
          <w:tcPr>
            <w:tcW w:w="2111" w:type="pct"/>
            <w:tcBorders>
              <w:top w:val="nil"/>
              <w:left w:val="nil"/>
              <w:bottom w:val="nil"/>
              <w:right w:val="nil"/>
            </w:tcBorders>
            <w:shd w:val="clear" w:color="auto" w:fill="auto"/>
            <w:noWrap/>
            <w:vAlign w:val="bottom"/>
            <w:hideMark/>
          </w:tcPr>
          <w:p w14:paraId="7DB0E9F3"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Cash </w:t>
            </w:r>
            <w:r w:rsidRPr="00043432">
              <w:rPr>
                <w:rFonts w:eastAsia="Times New Roman" w:cs="Arial"/>
                <w:color w:val="auto"/>
                <w:sz w:val="16"/>
                <w:szCs w:val="16"/>
                <w:lang w:eastAsia="en-AU"/>
              </w:rPr>
              <w:t>and cash equivalents</w:t>
            </w:r>
          </w:p>
        </w:tc>
        <w:tc>
          <w:tcPr>
            <w:tcW w:w="578" w:type="pct"/>
            <w:tcBorders>
              <w:top w:val="nil"/>
              <w:left w:val="nil"/>
              <w:bottom w:val="nil"/>
              <w:right w:val="nil"/>
            </w:tcBorders>
            <w:shd w:val="clear" w:color="auto" w:fill="auto"/>
            <w:noWrap/>
            <w:vAlign w:val="bottom"/>
            <w:hideMark/>
          </w:tcPr>
          <w:p w14:paraId="070C13AE"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61,686</w:t>
            </w:r>
          </w:p>
        </w:tc>
        <w:tc>
          <w:tcPr>
            <w:tcW w:w="578" w:type="pct"/>
            <w:tcBorders>
              <w:top w:val="nil"/>
              <w:left w:val="nil"/>
              <w:bottom w:val="nil"/>
              <w:right w:val="nil"/>
            </w:tcBorders>
            <w:shd w:val="clear" w:color="000000" w:fill="E6E6E6"/>
            <w:noWrap/>
            <w:vAlign w:val="bottom"/>
            <w:hideMark/>
          </w:tcPr>
          <w:p w14:paraId="755BAC2F" w14:textId="74C10CE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58,406</w:t>
            </w:r>
          </w:p>
        </w:tc>
        <w:tc>
          <w:tcPr>
            <w:tcW w:w="578" w:type="pct"/>
            <w:tcBorders>
              <w:top w:val="nil"/>
              <w:left w:val="nil"/>
              <w:bottom w:val="nil"/>
              <w:right w:val="nil"/>
            </w:tcBorders>
            <w:shd w:val="clear" w:color="auto" w:fill="auto"/>
            <w:noWrap/>
            <w:vAlign w:val="bottom"/>
            <w:hideMark/>
          </w:tcPr>
          <w:p w14:paraId="58E98D32" w14:textId="4B392963"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66,516</w:t>
            </w:r>
          </w:p>
        </w:tc>
        <w:tc>
          <w:tcPr>
            <w:tcW w:w="578" w:type="pct"/>
            <w:tcBorders>
              <w:top w:val="nil"/>
              <w:left w:val="nil"/>
              <w:bottom w:val="nil"/>
              <w:right w:val="nil"/>
            </w:tcBorders>
            <w:shd w:val="clear" w:color="auto" w:fill="auto"/>
            <w:noWrap/>
            <w:vAlign w:val="bottom"/>
            <w:hideMark/>
          </w:tcPr>
          <w:p w14:paraId="12DA9667" w14:textId="6BDE830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74,366</w:t>
            </w:r>
          </w:p>
        </w:tc>
        <w:tc>
          <w:tcPr>
            <w:tcW w:w="578" w:type="pct"/>
            <w:tcBorders>
              <w:top w:val="nil"/>
              <w:left w:val="nil"/>
              <w:bottom w:val="nil"/>
              <w:right w:val="nil"/>
            </w:tcBorders>
            <w:shd w:val="clear" w:color="auto" w:fill="auto"/>
            <w:noWrap/>
            <w:vAlign w:val="bottom"/>
            <w:hideMark/>
          </w:tcPr>
          <w:p w14:paraId="66C89BB9" w14:textId="54453EF1"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81,834</w:t>
            </w:r>
          </w:p>
        </w:tc>
      </w:tr>
      <w:tr w:rsidR="00D02397" w:rsidRPr="00725D74" w14:paraId="7BE4DFF9" w14:textId="77777777" w:rsidTr="004A61A6">
        <w:trPr>
          <w:trHeight w:val="200"/>
        </w:trPr>
        <w:tc>
          <w:tcPr>
            <w:tcW w:w="2111" w:type="pct"/>
            <w:tcBorders>
              <w:top w:val="nil"/>
              <w:left w:val="nil"/>
              <w:bottom w:val="nil"/>
              <w:right w:val="nil"/>
            </w:tcBorders>
            <w:shd w:val="clear" w:color="auto" w:fill="auto"/>
            <w:noWrap/>
            <w:vAlign w:val="bottom"/>
            <w:hideMark/>
          </w:tcPr>
          <w:p w14:paraId="73046737" w14:textId="77777777" w:rsidR="00D02397" w:rsidRPr="00043432" w:rsidRDefault="00D0239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Trade and other receivables</w:t>
            </w:r>
          </w:p>
        </w:tc>
        <w:tc>
          <w:tcPr>
            <w:tcW w:w="578" w:type="pct"/>
            <w:tcBorders>
              <w:top w:val="nil"/>
              <w:left w:val="nil"/>
              <w:bottom w:val="nil"/>
              <w:right w:val="nil"/>
            </w:tcBorders>
            <w:shd w:val="clear" w:color="auto" w:fill="auto"/>
            <w:noWrap/>
            <w:vAlign w:val="bottom"/>
            <w:hideMark/>
          </w:tcPr>
          <w:p w14:paraId="0AF8AA16"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1,955</w:t>
            </w:r>
          </w:p>
        </w:tc>
        <w:tc>
          <w:tcPr>
            <w:tcW w:w="578" w:type="pct"/>
            <w:tcBorders>
              <w:top w:val="nil"/>
              <w:left w:val="nil"/>
              <w:bottom w:val="nil"/>
              <w:right w:val="nil"/>
            </w:tcBorders>
            <w:shd w:val="clear" w:color="000000" w:fill="E6E6E6"/>
            <w:noWrap/>
            <w:vAlign w:val="bottom"/>
            <w:hideMark/>
          </w:tcPr>
          <w:p w14:paraId="00A1C046" w14:textId="4D82022E"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1,955</w:t>
            </w:r>
          </w:p>
        </w:tc>
        <w:tc>
          <w:tcPr>
            <w:tcW w:w="578" w:type="pct"/>
            <w:tcBorders>
              <w:top w:val="nil"/>
              <w:left w:val="nil"/>
              <w:bottom w:val="nil"/>
              <w:right w:val="nil"/>
            </w:tcBorders>
            <w:shd w:val="clear" w:color="auto" w:fill="auto"/>
            <w:noWrap/>
            <w:vAlign w:val="bottom"/>
            <w:hideMark/>
          </w:tcPr>
          <w:p w14:paraId="5859EC55" w14:textId="324F1F12"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1,955</w:t>
            </w:r>
          </w:p>
        </w:tc>
        <w:tc>
          <w:tcPr>
            <w:tcW w:w="578" w:type="pct"/>
            <w:tcBorders>
              <w:top w:val="nil"/>
              <w:left w:val="nil"/>
              <w:bottom w:val="nil"/>
              <w:right w:val="nil"/>
            </w:tcBorders>
            <w:shd w:val="clear" w:color="auto" w:fill="auto"/>
            <w:noWrap/>
            <w:vAlign w:val="bottom"/>
            <w:hideMark/>
          </w:tcPr>
          <w:p w14:paraId="0CCC6DD9" w14:textId="4815DEB9"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1,955</w:t>
            </w:r>
          </w:p>
        </w:tc>
        <w:tc>
          <w:tcPr>
            <w:tcW w:w="578" w:type="pct"/>
            <w:tcBorders>
              <w:top w:val="nil"/>
              <w:left w:val="nil"/>
              <w:bottom w:val="nil"/>
              <w:right w:val="nil"/>
            </w:tcBorders>
            <w:shd w:val="clear" w:color="auto" w:fill="auto"/>
            <w:noWrap/>
            <w:vAlign w:val="bottom"/>
            <w:hideMark/>
          </w:tcPr>
          <w:p w14:paraId="199ECB2B" w14:textId="5E6A5622"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1,955</w:t>
            </w:r>
          </w:p>
        </w:tc>
      </w:tr>
      <w:tr w:rsidR="00D02397" w:rsidRPr="00725D74" w14:paraId="5BA2B6AA" w14:textId="77777777" w:rsidTr="004A61A6">
        <w:trPr>
          <w:trHeight w:val="200"/>
        </w:trPr>
        <w:tc>
          <w:tcPr>
            <w:tcW w:w="2111" w:type="pct"/>
            <w:tcBorders>
              <w:top w:val="nil"/>
              <w:left w:val="nil"/>
              <w:bottom w:val="nil"/>
              <w:right w:val="nil"/>
            </w:tcBorders>
            <w:shd w:val="clear" w:color="auto" w:fill="auto"/>
            <w:noWrap/>
            <w:vAlign w:val="bottom"/>
            <w:hideMark/>
          </w:tcPr>
          <w:p w14:paraId="16714BDF"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financial assets</w:t>
            </w:r>
          </w:p>
        </w:tc>
        <w:tc>
          <w:tcPr>
            <w:tcW w:w="578" w:type="pct"/>
            <w:tcBorders>
              <w:top w:val="single" w:sz="4" w:space="0" w:color="000000"/>
              <w:left w:val="nil"/>
              <w:bottom w:val="single" w:sz="4" w:space="0" w:color="000000"/>
              <w:right w:val="nil"/>
            </w:tcBorders>
            <w:shd w:val="clear" w:color="auto" w:fill="auto"/>
            <w:noWrap/>
            <w:vAlign w:val="bottom"/>
            <w:hideMark/>
          </w:tcPr>
          <w:p w14:paraId="13785998"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63,641 </w:t>
            </w:r>
          </w:p>
        </w:tc>
        <w:tc>
          <w:tcPr>
            <w:tcW w:w="578" w:type="pct"/>
            <w:tcBorders>
              <w:top w:val="single" w:sz="4" w:space="0" w:color="000000"/>
              <w:left w:val="nil"/>
              <w:bottom w:val="single" w:sz="4" w:space="0" w:color="000000"/>
              <w:right w:val="nil"/>
            </w:tcBorders>
            <w:shd w:val="clear" w:color="000000" w:fill="E6E6E6"/>
            <w:noWrap/>
            <w:vAlign w:val="bottom"/>
            <w:hideMark/>
          </w:tcPr>
          <w:p w14:paraId="0B11DCCF" w14:textId="6AC233F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60,361 </w:t>
            </w:r>
          </w:p>
        </w:tc>
        <w:tc>
          <w:tcPr>
            <w:tcW w:w="578" w:type="pct"/>
            <w:tcBorders>
              <w:top w:val="single" w:sz="4" w:space="0" w:color="000000"/>
              <w:left w:val="nil"/>
              <w:bottom w:val="single" w:sz="4" w:space="0" w:color="000000"/>
              <w:right w:val="nil"/>
            </w:tcBorders>
            <w:shd w:val="clear" w:color="auto" w:fill="auto"/>
            <w:noWrap/>
            <w:vAlign w:val="bottom"/>
            <w:hideMark/>
          </w:tcPr>
          <w:p w14:paraId="4750BAB4" w14:textId="26FD4F5C"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68,471 </w:t>
            </w:r>
          </w:p>
        </w:tc>
        <w:tc>
          <w:tcPr>
            <w:tcW w:w="578" w:type="pct"/>
            <w:tcBorders>
              <w:top w:val="single" w:sz="4" w:space="0" w:color="000000"/>
              <w:left w:val="nil"/>
              <w:bottom w:val="single" w:sz="4" w:space="0" w:color="000000"/>
              <w:right w:val="nil"/>
            </w:tcBorders>
            <w:shd w:val="clear" w:color="auto" w:fill="auto"/>
            <w:noWrap/>
            <w:vAlign w:val="bottom"/>
            <w:hideMark/>
          </w:tcPr>
          <w:p w14:paraId="7F176C7F" w14:textId="793D593C"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76,321 </w:t>
            </w:r>
          </w:p>
        </w:tc>
        <w:tc>
          <w:tcPr>
            <w:tcW w:w="578" w:type="pct"/>
            <w:tcBorders>
              <w:top w:val="single" w:sz="4" w:space="0" w:color="000000"/>
              <w:left w:val="nil"/>
              <w:bottom w:val="single" w:sz="4" w:space="0" w:color="000000"/>
              <w:right w:val="nil"/>
            </w:tcBorders>
            <w:shd w:val="clear" w:color="auto" w:fill="auto"/>
            <w:noWrap/>
            <w:vAlign w:val="bottom"/>
            <w:hideMark/>
          </w:tcPr>
          <w:p w14:paraId="40AA2D90" w14:textId="14D82434"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83,789 </w:t>
            </w:r>
          </w:p>
        </w:tc>
      </w:tr>
      <w:tr w:rsidR="00D02397" w:rsidRPr="00725D74" w14:paraId="590D5B69" w14:textId="77777777" w:rsidTr="004A61A6">
        <w:trPr>
          <w:trHeight w:val="210"/>
        </w:trPr>
        <w:tc>
          <w:tcPr>
            <w:tcW w:w="2111" w:type="pct"/>
            <w:tcBorders>
              <w:top w:val="nil"/>
              <w:left w:val="nil"/>
              <w:bottom w:val="nil"/>
              <w:right w:val="nil"/>
            </w:tcBorders>
            <w:shd w:val="clear" w:color="auto" w:fill="auto"/>
            <w:noWrap/>
            <w:vAlign w:val="bottom"/>
            <w:hideMark/>
          </w:tcPr>
          <w:p w14:paraId="0C46914C"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Non-financial assets</w:t>
            </w:r>
          </w:p>
        </w:tc>
        <w:tc>
          <w:tcPr>
            <w:tcW w:w="578" w:type="pct"/>
            <w:tcBorders>
              <w:top w:val="nil"/>
              <w:left w:val="nil"/>
              <w:bottom w:val="nil"/>
              <w:right w:val="nil"/>
            </w:tcBorders>
            <w:shd w:val="clear" w:color="auto" w:fill="auto"/>
            <w:noWrap/>
            <w:vAlign w:val="bottom"/>
            <w:hideMark/>
          </w:tcPr>
          <w:p w14:paraId="0A40B58D"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6F81AAC0" w14:textId="4A0D005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bottom"/>
            <w:hideMark/>
          </w:tcPr>
          <w:p w14:paraId="5C80815B"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48EF78C5"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25F8E8F2"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241DB538" w14:textId="77777777" w:rsidTr="004A61A6">
        <w:trPr>
          <w:trHeight w:val="200"/>
        </w:trPr>
        <w:tc>
          <w:tcPr>
            <w:tcW w:w="2111" w:type="pct"/>
            <w:tcBorders>
              <w:top w:val="nil"/>
              <w:left w:val="nil"/>
              <w:bottom w:val="nil"/>
              <w:right w:val="nil"/>
            </w:tcBorders>
            <w:shd w:val="clear" w:color="auto" w:fill="auto"/>
            <w:noWrap/>
            <w:vAlign w:val="bottom"/>
            <w:hideMark/>
          </w:tcPr>
          <w:p w14:paraId="7078C0A1"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Land and buildings</w:t>
            </w:r>
          </w:p>
        </w:tc>
        <w:tc>
          <w:tcPr>
            <w:tcW w:w="578" w:type="pct"/>
            <w:tcBorders>
              <w:top w:val="nil"/>
              <w:left w:val="nil"/>
              <w:bottom w:val="nil"/>
              <w:right w:val="nil"/>
            </w:tcBorders>
            <w:shd w:val="clear" w:color="auto" w:fill="auto"/>
            <w:noWrap/>
            <w:vAlign w:val="bottom"/>
            <w:hideMark/>
          </w:tcPr>
          <w:p w14:paraId="6382D97F"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41,876</w:t>
            </w:r>
          </w:p>
        </w:tc>
        <w:tc>
          <w:tcPr>
            <w:tcW w:w="578" w:type="pct"/>
            <w:tcBorders>
              <w:top w:val="nil"/>
              <w:left w:val="nil"/>
              <w:bottom w:val="nil"/>
              <w:right w:val="nil"/>
            </w:tcBorders>
            <w:shd w:val="clear" w:color="000000" w:fill="E6E6E6"/>
            <w:noWrap/>
            <w:vAlign w:val="bottom"/>
            <w:hideMark/>
          </w:tcPr>
          <w:p w14:paraId="2DDEC477" w14:textId="27F6D2D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33,409</w:t>
            </w:r>
          </w:p>
        </w:tc>
        <w:tc>
          <w:tcPr>
            <w:tcW w:w="578" w:type="pct"/>
            <w:tcBorders>
              <w:top w:val="nil"/>
              <w:left w:val="nil"/>
              <w:bottom w:val="nil"/>
              <w:right w:val="nil"/>
            </w:tcBorders>
            <w:shd w:val="clear" w:color="auto" w:fill="auto"/>
            <w:noWrap/>
            <w:vAlign w:val="bottom"/>
            <w:hideMark/>
          </w:tcPr>
          <w:p w14:paraId="5623CF36" w14:textId="4651A645"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25,105</w:t>
            </w:r>
          </w:p>
        </w:tc>
        <w:tc>
          <w:tcPr>
            <w:tcW w:w="578" w:type="pct"/>
            <w:tcBorders>
              <w:top w:val="nil"/>
              <w:left w:val="nil"/>
              <w:bottom w:val="nil"/>
              <w:right w:val="nil"/>
            </w:tcBorders>
            <w:shd w:val="clear" w:color="auto" w:fill="auto"/>
            <w:noWrap/>
            <w:vAlign w:val="bottom"/>
            <w:hideMark/>
          </w:tcPr>
          <w:p w14:paraId="36D13D7C" w14:textId="397CB1F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17,651</w:t>
            </w:r>
          </w:p>
        </w:tc>
        <w:tc>
          <w:tcPr>
            <w:tcW w:w="578" w:type="pct"/>
            <w:tcBorders>
              <w:top w:val="nil"/>
              <w:left w:val="nil"/>
              <w:bottom w:val="nil"/>
              <w:right w:val="nil"/>
            </w:tcBorders>
            <w:shd w:val="clear" w:color="auto" w:fill="auto"/>
            <w:noWrap/>
            <w:vAlign w:val="bottom"/>
            <w:hideMark/>
          </w:tcPr>
          <w:p w14:paraId="143082FC" w14:textId="7CD3B3A8"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13,479</w:t>
            </w:r>
          </w:p>
        </w:tc>
      </w:tr>
      <w:tr w:rsidR="00D02397" w:rsidRPr="00725D74" w14:paraId="5E6E6097" w14:textId="77777777" w:rsidTr="004A61A6">
        <w:trPr>
          <w:trHeight w:val="200"/>
        </w:trPr>
        <w:tc>
          <w:tcPr>
            <w:tcW w:w="2111" w:type="pct"/>
            <w:tcBorders>
              <w:top w:val="nil"/>
              <w:left w:val="nil"/>
              <w:bottom w:val="nil"/>
              <w:right w:val="nil"/>
            </w:tcBorders>
            <w:shd w:val="clear" w:color="auto" w:fill="auto"/>
            <w:noWrap/>
            <w:vAlign w:val="bottom"/>
            <w:hideMark/>
          </w:tcPr>
          <w:p w14:paraId="22BDFD9D"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Property, plant and equipment</w:t>
            </w:r>
          </w:p>
        </w:tc>
        <w:tc>
          <w:tcPr>
            <w:tcW w:w="578" w:type="pct"/>
            <w:tcBorders>
              <w:top w:val="nil"/>
              <w:left w:val="nil"/>
              <w:bottom w:val="nil"/>
              <w:right w:val="nil"/>
            </w:tcBorders>
            <w:shd w:val="clear" w:color="auto" w:fill="auto"/>
            <w:noWrap/>
            <w:vAlign w:val="bottom"/>
            <w:hideMark/>
          </w:tcPr>
          <w:p w14:paraId="6DB72276"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17,524</w:t>
            </w:r>
          </w:p>
        </w:tc>
        <w:tc>
          <w:tcPr>
            <w:tcW w:w="578" w:type="pct"/>
            <w:tcBorders>
              <w:top w:val="nil"/>
              <w:left w:val="nil"/>
              <w:bottom w:val="nil"/>
              <w:right w:val="nil"/>
            </w:tcBorders>
            <w:shd w:val="clear" w:color="000000" w:fill="E6E6E6"/>
            <w:noWrap/>
            <w:vAlign w:val="bottom"/>
            <w:hideMark/>
          </w:tcPr>
          <w:p w14:paraId="25B1EC13" w14:textId="7E652381"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15,909</w:t>
            </w:r>
          </w:p>
        </w:tc>
        <w:tc>
          <w:tcPr>
            <w:tcW w:w="578" w:type="pct"/>
            <w:tcBorders>
              <w:top w:val="nil"/>
              <w:left w:val="nil"/>
              <w:bottom w:val="nil"/>
              <w:right w:val="nil"/>
            </w:tcBorders>
            <w:shd w:val="clear" w:color="auto" w:fill="auto"/>
            <w:noWrap/>
            <w:vAlign w:val="bottom"/>
            <w:hideMark/>
          </w:tcPr>
          <w:p w14:paraId="35BA5B43" w14:textId="46CE63F5"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13,385</w:t>
            </w:r>
          </w:p>
        </w:tc>
        <w:tc>
          <w:tcPr>
            <w:tcW w:w="578" w:type="pct"/>
            <w:tcBorders>
              <w:top w:val="nil"/>
              <w:left w:val="nil"/>
              <w:bottom w:val="nil"/>
              <w:right w:val="nil"/>
            </w:tcBorders>
            <w:shd w:val="clear" w:color="auto" w:fill="auto"/>
            <w:noWrap/>
            <w:vAlign w:val="bottom"/>
            <w:hideMark/>
          </w:tcPr>
          <w:p w14:paraId="494BE252" w14:textId="2986741A"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12,070</w:t>
            </w:r>
          </w:p>
        </w:tc>
        <w:tc>
          <w:tcPr>
            <w:tcW w:w="578" w:type="pct"/>
            <w:tcBorders>
              <w:top w:val="nil"/>
              <w:left w:val="nil"/>
              <w:bottom w:val="nil"/>
              <w:right w:val="nil"/>
            </w:tcBorders>
            <w:shd w:val="clear" w:color="auto" w:fill="auto"/>
            <w:noWrap/>
            <w:vAlign w:val="bottom"/>
            <w:hideMark/>
          </w:tcPr>
          <w:p w14:paraId="7F363A7A" w14:textId="55240B8E"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9,546</w:t>
            </w:r>
          </w:p>
        </w:tc>
      </w:tr>
      <w:tr w:rsidR="00D02397" w:rsidRPr="00725D74" w14:paraId="232EFB60" w14:textId="77777777" w:rsidTr="004A61A6">
        <w:trPr>
          <w:trHeight w:val="200"/>
        </w:trPr>
        <w:tc>
          <w:tcPr>
            <w:tcW w:w="2111" w:type="pct"/>
            <w:tcBorders>
              <w:top w:val="nil"/>
              <w:left w:val="nil"/>
              <w:bottom w:val="nil"/>
              <w:right w:val="nil"/>
            </w:tcBorders>
            <w:shd w:val="clear" w:color="auto" w:fill="auto"/>
            <w:noWrap/>
            <w:vAlign w:val="bottom"/>
            <w:hideMark/>
          </w:tcPr>
          <w:p w14:paraId="4B7C6DE0"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Intangibles</w:t>
            </w:r>
          </w:p>
        </w:tc>
        <w:tc>
          <w:tcPr>
            <w:tcW w:w="578" w:type="pct"/>
            <w:tcBorders>
              <w:top w:val="nil"/>
              <w:left w:val="nil"/>
              <w:bottom w:val="nil"/>
              <w:right w:val="nil"/>
            </w:tcBorders>
            <w:shd w:val="clear" w:color="auto" w:fill="auto"/>
            <w:noWrap/>
            <w:vAlign w:val="bottom"/>
            <w:hideMark/>
          </w:tcPr>
          <w:p w14:paraId="7F900F3A"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48,088</w:t>
            </w:r>
          </w:p>
        </w:tc>
        <w:tc>
          <w:tcPr>
            <w:tcW w:w="578" w:type="pct"/>
            <w:tcBorders>
              <w:top w:val="nil"/>
              <w:left w:val="nil"/>
              <w:bottom w:val="nil"/>
              <w:right w:val="nil"/>
            </w:tcBorders>
            <w:shd w:val="clear" w:color="000000" w:fill="E6E6E6"/>
            <w:noWrap/>
            <w:vAlign w:val="bottom"/>
            <w:hideMark/>
          </w:tcPr>
          <w:p w14:paraId="54A510A4" w14:textId="3339373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54,083</w:t>
            </w:r>
          </w:p>
        </w:tc>
        <w:tc>
          <w:tcPr>
            <w:tcW w:w="578" w:type="pct"/>
            <w:tcBorders>
              <w:top w:val="nil"/>
              <w:left w:val="nil"/>
              <w:bottom w:val="nil"/>
              <w:right w:val="nil"/>
            </w:tcBorders>
            <w:shd w:val="clear" w:color="auto" w:fill="auto"/>
            <w:noWrap/>
            <w:vAlign w:val="bottom"/>
            <w:hideMark/>
          </w:tcPr>
          <w:p w14:paraId="5B7C450F" w14:textId="2C9CDEE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50,358</w:t>
            </w:r>
          </w:p>
        </w:tc>
        <w:tc>
          <w:tcPr>
            <w:tcW w:w="578" w:type="pct"/>
            <w:tcBorders>
              <w:top w:val="nil"/>
              <w:left w:val="nil"/>
              <w:bottom w:val="nil"/>
              <w:right w:val="nil"/>
            </w:tcBorders>
            <w:shd w:val="clear" w:color="auto" w:fill="auto"/>
            <w:noWrap/>
            <w:vAlign w:val="bottom"/>
            <w:hideMark/>
          </w:tcPr>
          <w:p w14:paraId="4972365A" w14:textId="53946E5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45,317</w:t>
            </w:r>
          </w:p>
        </w:tc>
        <w:tc>
          <w:tcPr>
            <w:tcW w:w="578" w:type="pct"/>
            <w:tcBorders>
              <w:top w:val="nil"/>
              <w:left w:val="nil"/>
              <w:bottom w:val="nil"/>
              <w:right w:val="nil"/>
            </w:tcBorders>
            <w:shd w:val="clear" w:color="auto" w:fill="auto"/>
            <w:noWrap/>
            <w:vAlign w:val="bottom"/>
            <w:hideMark/>
          </w:tcPr>
          <w:p w14:paraId="3D9BF5BC" w14:textId="6B183BCF"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42,326</w:t>
            </w:r>
          </w:p>
        </w:tc>
      </w:tr>
      <w:tr w:rsidR="00D02397" w:rsidRPr="00725D74" w14:paraId="63E56338" w14:textId="77777777" w:rsidTr="004A61A6">
        <w:trPr>
          <w:trHeight w:val="200"/>
        </w:trPr>
        <w:tc>
          <w:tcPr>
            <w:tcW w:w="2111" w:type="pct"/>
            <w:tcBorders>
              <w:top w:val="nil"/>
              <w:left w:val="nil"/>
              <w:bottom w:val="nil"/>
              <w:right w:val="nil"/>
            </w:tcBorders>
            <w:shd w:val="clear" w:color="auto" w:fill="auto"/>
            <w:noWrap/>
            <w:vAlign w:val="bottom"/>
            <w:hideMark/>
          </w:tcPr>
          <w:p w14:paraId="5C6E4FB0"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Other non-financial assets</w:t>
            </w:r>
          </w:p>
        </w:tc>
        <w:tc>
          <w:tcPr>
            <w:tcW w:w="578" w:type="pct"/>
            <w:tcBorders>
              <w:top w:val="nil"/>
              <w:left w:val="nil"/>
              <w:bottom w:val="nil"/>
              <w:right w:val="nil"/>
            </w:tcBorders>
            <w:shd w:val="clear" w:color="auto" w:fill="auto"/>
            <w:noWrap/>
            <w:vAlign w:val="bottom"/>
            <w:hideMark/>
          </w:tcPr>
          <w:p w14:paraId="0EF40D86"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3,755</w:t>
            </w:r>
          </w:p>
        </w:tc>
        <w:tc>
          <w:tcPr>
            <w:tcW w:w="578" w:type="pct"/>
            <w:tcBorders>
              <w:top w:val="nil"/>
              <w:left w:val="nil"/>
              <w:bottom w:val="nil"/>
              <w:right w:val="nil"/>
            </w:tcBorders>
            <w:shd w:val="clear" w:color="000000" w:fill="E6E6E6"/>
            <w:noWrap/>
            <w:vAlign w:val="bottom"/>
            <w:hideMark/>
          </w:tcPr>
          <w:p w14:paraId="43B78773" w14:textId="00C0FB51"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3,755</w:t>
            </w:r>
          </w:p>
        </w:tc>
        <w:tc>
          <w:tcPr>
            <w:tcW w:w="578" w:type="pct"/>
            <w:tcBorders>
              <w:top w:val="nil"/>
              <w:left w:val="nil"/>
              <w:bottom w:val="nil"/>
              <w:right w:val="nil"/>
            </w:tcBorders>
            <w:shd w:val="clear" w:color="auto" w:fill="auto"/>
            <w:noWrap/>
            <w:vAlign w:val="bottom"/>
            <w:hideMark/>
          </w:tcPr>
          <w:p w14:paraId="72D42256" w14:textId="75DF0258"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3,755</w:t>
            </w:r>
          </w:p>
        </w:tc>
        <w:tc>
          <w:tcPr>
            <w:tcW w:w="578" w:type="pct"/>
            <w:tcBorders>
              <w:top w:val="nil"/>
              <w:left w:val="nil"/>
              <w:bottom w:val="nil"/>
              <w:right w:val="nil"/>
            </w:tcBorders>
            <w:shd w:val="clear" w:color="auto" w:fill="auto"/>
            <w:noWrap/>
            <w:vAlign w:val="bottom"/>
            <w:hideMark/>
          </w:tcPr>
          <w:p w14:paraId="4F363C18" w14:textId="01681A6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3,755</w:t>
            </w:r>
          </w:p>
        </w:tc>
        <w:tc>
          <w:tcPr>
            <w:tcW w:w="578" w:type="pct"/>
            <w:tcBorders>
              <w:top w:val="nil"/>
              <w:left w:val="nil"/>
              <w:bottom w:val="nil"/>
              <w:right w:val="nil"/>
            </w:tcBorders>
            <w:shd w:val="clear" w:color="auto" w:fill="auto"/>
            <w:noWrap/>
            <w:vAlign w:val="bottom"/>
            <w:hideMark/>
          </w:tcPr>
          <w:p w14:paraId="6EAC527C" w14:textId="53382C7B"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3,755</w:t>
            </w:r>
          </w:p>
        </w:tc>
      </w:tr>
      <w:tr w:rsidR="00D02397" w:rsidRPr="00725D74" w14:paraId="4BA63951" w14:textId="77777777" w:rsidTr="004A61A6">
        <w:trPr>
          <w:trHeight w:val="200"/>
        </w:trPr>
        <w:tc>
          <w:tcPr>
            <w:tcW w:w="2111" w:type="pct"/>
            <w:tcBorders>
              <w:top w:val="nil"/>
              <w:left w:val="nil"/>
              <w:bottom w:val="nil"/>
              <w:right w:val="nil"/>
            </w:tcBorders>
            <w:shd w:val="clear" w:color="auto" w:fill="auto"/>
            <w:noWrap/>
            <w:vAlign w:val="bottom"/>
            <w:hideMark/>
          </w:tcPr>
          <w:p w14:paraId="721C4511"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non-financial assets</w:t>
            </w:r>
          </w:p>
        </w:tc>
        <w:tc>
          <w:tcPr>
            <w:tcW w:w="578" w:type="pct"/>
            <w:tcBorders>
              <w:top w:val="single" w:sz="4" w:space="0" w:color="000000"/>
              <w:left w:val="nil"/>
              <w:bottom w:val="single" w:sz="4" w:space="0" w:color="000000"/>
              <w:right w:val="nil"/>
            </w:tcBorders>
            <w:shd w:val="clear" w:color="auto" w:fill="auto"/>
            <w:noWrap/>
            <w:vAlign w:val="bottom"/>
            <w:hideMark/>
          </w:tcPr>
          <w:p w14:paraId="41928254"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111,243 </w:t>
            </w:r>
          </w:p>
        </w:tc>
        <w:tc>
          <w:tcPr>
            <w:tcW w:w="578" w:type="pct"/>
            <w:tcBorders>
              <w:top w:val="single" w:sz="4" w:space="0" w:color="000000"/>
              <w:left w:val="nil"/>
              <w:bottom w:val="single" w:sz="4" w:space="0" w:color="000000"/>
              <w:right w:val="nil"/>
            </w:tcBorders>
            <w:shd w:val="clear" w:color="000000" w:fill="E6E6E6"/>
            <w:noWrap/>
            <w:vAlign w:val="bottom"/>
            <w:hideMark/>
          </w:tcPr>
          <w:p w14:paraId="2C9EB2C0" w14:textId="418BDECC"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107,156 </w:t>
            </w:r>
          </w:p>
        </w:tc>
        <w:tc>
          <w:tcPr>
            <w:tcW w:w="578" w:type="pct"/>
            <w:tcBorders>
              <w:top w:val="single" w:sz="4" w:space="0" w:color="000000"/>
              <w:left w:val="nil"/>
              <w:bottom w:val="single" w:sz="4" w:space="0" w:color="000000"/>
              <w:right w:val="nil"/>
            </w:tcBorders>
            <w:shd w:val="clear" w:color="auto" w:fill="auto"/>
            <w:noWrap/>
            <w:vAlign w:val="bottom"/>
            <w:hideMark/>
          </w:tcPr>
          <w:p w14:paraId="5F3C283F" w14:textId="46207981"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92,603 </w:t>
            </w:r>
          </w:p>
        </w:tc>
        <w:tc>
          <w:tcPr>
            <w:tcW w:w="578" w:type="pct"/>
            <w:tcBorders>
              <w:top w:val="single" w:sz="4" w:space="0" w:color="000000"/>
              <w:left w:val="nil"/>
              <w:bottom w:val="single" w:sz="4" w:space="0" w:color="000000"/>
              <w:right w:val="nil"/>
            </w:tcBorders>
            <w:shd w:val="clear" w:color="auto" w:fill="auto"/>
            <w:noWrap/>
            <w:vAlign w:val="bottom"/>
            <w:hideMark/>
          </w:tcPr>
          <w:p w14:paraId="21E0D114" w14:textId="0AFF5365"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78,793 </w:t>
            </w:r>
          </w:p>
        </w:tc>
        <w:tc>
          <w:tcPr>
            <w:tcW w:w="578" w:type="pct"/>
            <w:tcBorders>
              <w:top w:val="single" w:sz="4" w:space="0" w:color="000000"/>
              <w:left w:val="nil"/>
              <w:bottom w:val="single" w:sz="4" w:space="0" w:color="000000"/>
              <w:right w:val="nil"/>
            </w:tcBorders>
            <w:shd w:val="clear" w:color="auto" w:fill="auto"/>
            <w:noWrap/>
            <w:vAlign w:val="bottom"/>
            <w:hideMark/>
          </w:tcPr>
          <w:p w14:paraId="48C1BE16" w14:textId="27E692F2"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69,106 </w:t>
            </w:r>
          </w:p>
        </w:tc>
      </w:tr>
      <w:tr w:rsidR="00D02397" w:rsidRPr="00725D74" w14:paraId="249E170A" w14:textId="77777777" w:rsidTr="004A61A6">
        <w:trPr>
          <w:trHeight w:val="210"/>
        </w:trPr>
        <w:tc>
          <w:tcPr>
            <w:tcW w:w="2111" w:type="pct"/>
            <w:tcBorders>
              <w:top w:val="nil"/>
              <w:left w:val="nil"/>
              <w:bottom w:val="nil"/>
              <w:right w:val="nil"/>
            </w:tcBorders>
            <w:shd w:val="clear" w:color="auto" w:fill="auto"/>
            <w:noWrap/>
            <w:vAlign w:val="bottom"/>
            <w:hideMark/>
          </w:tcPr>
          <w:p w14:paraId="42F1C4C6"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assets</w:t>
            </w:r>
          </w:p>
        </w:tc>
        <w:tc>
          <w:tcPr>
            <w:tcW w:w="578" w:type="pct"/>
            <w:tcBorders>
              <w:top w:val="nil"/>
              <w:left w:val="nil"/>
              <w:bottom w:val="single" w:sz="4" w:space="0" w:color="000000"/>
              <w:right w:val="nil"/>
            </w:tcBorders>
            <w:shd w:val="clear" w:color="auto" w:fill="auto"/>
            <w:noWrap/>
            <w:vAlign w:val="bottom"/>
            <w:hideMark/>
          </w:tcPr>
          <w:p w14:paraId="5016AC6E"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     174,884 </w:t>
            </w:r>
          </w:p>
        </w:tc>
        <w:tc>
          <w:tcPr>
            <w:tcW w:w="578" w:type="pct"/>
            <w:tcBorders>
              <w:top w:val="nil"/>
              <w:left w:val="nil"/>
              <w:bottom w:val="single" w:sz="4" w:space="0" w:color="000000"/>
              <w:right w:val="nil"/>
            </w:tcBorders>
            <w:shd w:val="clear" w:color="000000" w:fill="E6E6E6"/>
            <w:noWrap/>
            <w:vAlign w:val="bottom"/>
            <w:hideMark/>
          </w:tcPr>
          <w:p w14:paraId="10E1E343" w14:textId="41C03B92"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167,517 </w:t>
            </w:r>
          </w:p>
        </w:tc>
        <w:tc>
          <w:tcPr>
            <w:tcW w:w="578" w:type="pct"/>
            <w:tcBorders>
              <w:top w:val="nil"/>
              <w:left w:val="nil"/>
              <w:bottom w:val="single" w:sz="4" w:space="0" w:color="000000"/>
              <w:right w:val="nil"/>
            </w:tcBorders>
            <w:shd w:val="clear" w:color="auto" w:fill="auto"/>
            <w:noWrap/>
            <w:vAlign w:val="bottom"/>
            <w:hideMark/>
          </w:tcPr>
          <w:p w14:paraId="44D83903" w14:textId="2C1C8E7C"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161,074 </w:t>
            </w:r>
          </w:p>
        </w:tc>
        <w:tc>
          <w:tcPr>
            <w:tcW w:w="578" w:type="pct"/>
            <w:tcBorders>
              <w:top w:val="nil"/>
              <w:left w:val="nil"/>
              <w:bottom w:val="single" w:sz="4" w:space="0" w:color="000000"/>
              <w:right w:val="nil"/>
            </w:tcBorders>
            <w:shd w:val="clear" w:color="auto" w:fill="auto"/>
            <w:noWrap/>
            <w:vAlign w:val="bottom"/>
            <w:hideMark/>
          </w:tcPr>
          <w:p w14:paraId="3610005B" w14:textId="470D22B5"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155,114 </w:t>
            </w:r>
          </w:p>
        </w:tc>
        <w:tc>
          <w:tcPr>
            <w:tcW w:w="578" w:type="pct"/>
            <w:tcBorders>
              <w:top w:val="nil"/>
              <w:left w:val="nil"/>
              <w:bottom w:val="single" w:sz="4" w:space="0" w:color="000000"/>
              <w:right w:val="nil"/>
            </w:tcBorders>
            <w:shd w:val="clear" w:color="auto" w:fill="auto"/>
            <w:noWrap/>
            <w:vAlign w:val="bottom"/>
            <w:hideMark/>
          </w:tcPr>
          <w:p w14:paraId="1EEA7BDA" w14:textId="43532582"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152,895 </w:t>
            </w:r>
          </w:p>
        </w:tc>
      </w:tr>
      <w:tr w:rsidR="00D02397" w:rsidRPr="00725D74" w14:paraId="29C6CFE8" w14:textId="77777777" w:rsidTr="004A61A6">
        <w:trPr>
          <w:trHeight w:val="210"/>
        </w:trPr>
        <w:tc>
          <w:tcPr>
            <w:tcW w:w="2111" w:type="pct"/>
            <w:tcBorders>
              <w:top w:val="nil"/>
              <w:left w:val="nil"/>
              <w:bottom w:val="nil"/>
              <w:right w:val="nil"/>
            </w:tcBorders>
            <w:shd w:val="clear" w:color="auto" w:fill="auto"/>
            <w:noWrap/>
            <w:vAlign w:val="bottom"/>
            <w:hideMark/>
          </w:tcPr>
          <w:p w14:paraId="5FE6A0FD"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LIABILITIES</w:t>
            </w:r>
          </w:p>
        </w:tc>
        <w:tc>
          <w:tcPr>
            <w:tcW w:w="578" w:type="pct"/>
            <w:tcBorders>
              <w:top w:val="nil"/>
              <w:left w:val="nil"/>
              <w:bottom w:val="nil"/>
              <w:right w:val="nil"/>
            </w:tcBorders>
            <w:shd w:val="clear" w:color="auto" w:fill="auto"/>
            <w:noWrap/>
            <w:vAlign w:val="bottom"/>
            <w:hideMark/>
          </w:tcPr>
          <w:p w14:paraId="2DBAF941"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78F9094D" w14:textId="1C7286F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bottom"/>
            <w:hideMark/>
          </w:tcPr>
          <w:p w14:paraId="04E6D540"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268F988C"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6DDBF159"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0601E4F3" w14:textId="77777777" w:rsidTr="004A61A6">
        <w:trPr>
          <w:trHeight w:val="210"/>
        </w:trPr>
        <w:tc>
          <w:tcPr>
            <w:tcW w:w="2111" w:type="pct"/>
            <w:tcBorders>
              <w:top w:val="nil"/>
              <w:left w:val="nil"/>
              <w:bottom w:val="nil"/>
              <w:right w:val="nil"/>
            </w:tcBorders>
            <w:shd w:val="clear" w:color="auto" w:fill="auto"/>
            <w:noWrap/>
            <w:vAlign w:val="bottom"/>
            <w:hideMark/>
          </w:tcPr>
          <w:p w14:paraId="4B22B266"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Payables</w:t>
            </w:r>
          </w:p>
        </w:tc>
        <w:tc>
          <w:tcPr>
            <w:tcW w:w="578" w:type="pct"/>
            <w:tcBorders>
              <w:top w:val="nil"/>
              <w:left w:val="nil"/>
              <w:bottom w:val="nil"/>
              <w:right w:val="nil"/>
            </w:tcBorders>
            <w:shd w:val="clear" w:color="auto" w:fill="auto"/>
            <w:noWrap/>
            <w:vAlign w:val="bottom"/>
            <w:hideMark/>
          </w:tcPr>
          <w:p w14:paraId="0D22D8F6"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0CEA0A0C" w14:textId="115F49A4"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bottom"/>
            <w:hideMark/>
          </w:tcPr>
          <w:p w14:paraId="09901613"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77AB94B7"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C752B11"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1F71B7A6" w14:textId="77777777" w:rsidTr="004A61A6">
        <w:trPr>
          <w:trHeight w:val="200"/>
        </w:trPr>
        <w:tc>
          <w:tcPr>
            <w:tcW w:w="2111" w:type="pct"/>
            <w:tcBorders>
              <w:top w:val="nil"/>
              <w:left w:val="nil"/>
              <w:bottom w:val="nil"/>
              <w:right w:val="nil"/>
            </w:tcBorders>
            <w:shd w:val="clear" w:color="auto" w:fill="auto"/>
            <w:noWrap/>
            <w:vAlign w:val="bottom"/>
            <w:hideMark/>
          </w:tcPr>
          <w:p w14:paraId="11B8F37B"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Suppliers</w:t>
            </w:r>
          </w:p>
        </w:tc>
        <w:tc>
          <w:tcPr>
            <w:tcW w:w="578" w:type="pct"/>
            <w:tcBorders>
              <w:top w:val="nil"/>
              <w:left w:val="nil"/>
              <w:bottom w:val="nil"/>
              <w:right w:val="nil"/>
            </w:tcBorders>
            <w:shd w:val="clear" w:color="auto" w:fill="auto"/>
            <w:noWrap/>
            <w:vAlign w:val="bottom"/>
            <w:hideMark/>
          </w:tcPr>
          <w:p w14:paraId="7F6167CF"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6,555</w:t>
            </w:r>
          </w:p>
        </w:tc>
        <w:tc>
          <w:tcPr>
            <w:tcW w:w="578" w:type="pct"/>
            <w:tcBorders>
              <w:top w:val="nil"/>
              <w:left w:val="nil"/>
              <w:bottom w:val="nil"/>
              <w:right w:val="nil"/>
            </w:tcBorders>
            <w:shd w:val="clear" w:color="000000" w:fill="E6E6E6"/>
            <w:noWrap/>
            <w:vAlign w:val="bottom"/>
            <w:hideMark/>
          </w:tcPr>
          <w:p w14:paraId="56D85DE5" w14:textId="74B37CED"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6,555</w:t>
            </w:r>
          </w:p>
        </w:tc>
        <w:tc>
          <w:tcPr>
            <w:tcW w:w="578" w:type="pct"/>
            <w:tcBorders>
              <w:top w:val="nil"/>
              <w:left w:val="nil"/>
              <w:bottom w:val="nil"/>
              <w:right w:val="nil"/>
            </w:tcBorders>
            <w:shd w:val="clear" w:color="auto" w:fill="auto"/>
            <w:noWrap/>
            <w:vAlign w:val="bottom"/>
            <w:hideMark/>
          </w:tcPr>
          <w:p w14:paraId="4596F109" w14:textId="55C5F75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6,555</w:t>
            </w:r>
          </w:p>
        </w:tc>
        <w:tc>
          <w:tcPr>
            <w:tcW w:w="578" w:type="pct"/>
            <w:tcBorders>
              <w:top w:val="nil"/>
              <w:left w:val="nil"/>
              <w:bottom w:val="nil"/>
              <w:right w:val="nil"/>
            </w:tcBorders>
            <w:shd w:val="clear" w:color="auto" w:fill="auto"/>
            <w:noWrap/>
            <w:vAlign w:val="bottom"/>
            <w:hideMark/>
          </w:tcPr>
          <w:p w14:paraId="4AA9ADC0" w14:textId="2FD16CBF"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6,555</w:t>
            </w:r>
          </w:p>
        </w:tc>
        <w:tc>
          <w:tcPr>
            <w:tcW w:w="578" w:type="pct"/>
            <w:tcBorders>
              <w:top w:val="nil"/>
              <w:left w:val="nil"/>
              <w:bottom w:val="nil"/>
              <w:right w:val="nil"/>
            </w:tcBorders>
            <w:shd w:val="clear" w:color="auto" w:fill="auto"/>
            <w:noWrap/>
            <w:vAlign w:val="bottom"/>
            <w:hideMark/>
          </w:tcPr>
          <w:p w14:paraId="6A7B8387" w14:textId="5CB96A14"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6,555</w:t>
            </w:r>
          </w:p>
        </w:tc>
      </w:tr>
      <w:tr w:rsidR="00D02397" w:rsidRPr="00725D74" w14:paraId="2DEB11E0" w14:textId="77777777" w:rsidTr="004A61A6">
        <w:trPr>
          <w:trHeight w:val="200"/>
        </w:trPr>
        <w:tc>
          <w:tcPr>
            <w:tcW w:w="2111" w:type="pct"/>
            <w:tcBorders>
              <w:top w:val="nil"/>
              <w:left w:val="nil"/>
              <w:bottom w:val="nil"/>
              <w:right w:val="nil"/>
            </w:tcBorders>
            <w:shd w:val="clear" w:color="auto" w:fill="auto"/>
            <w:noWrap/>
            <w:vAlign w:val="bottom"/>
            <w:hideMark/>
          </w:tcPr>
          <w:p w14:paraId="689F1A78"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Other payables</w:t>
            </w:r>
          </w:p>
        </w:tc>
        <w:tc>
          <w:tcPr>
            <w:tcW w:w="578" w:type="pct"/>
            <w:tcBorders>
              <w:top w:val="nil"/>
              <w:left w:val="nil"/>
              <w:bottom w:val="nil"/>
              <w:right w:val="nil"/>
            </w:tcBorders>
            <w:shd w:val="clear" w:color="auto" w:fill="auto"/>
            <w:noWrap/>
            <w:vAlign w:val="bottom"/>
            <w:hideMark/>
          </w:tcPr>
          <w:p w14:paraId="3AC74C27"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4,105</w:t>
            </w:r>
          </w:p>
        </w:tc>
        <w:tc>
          <w:tcPr>
            <w:tcW w:w="578" w:type="pct"/>
            <w:tcBorders>
              <w:top w:val="nil"/>
              <w:left w:val="nil"/>
              <w:bottom w:val="nil"/>
              <w:right w:val="nil"/>
            </w:tcBorders>
            <w:shd w:val="clear" w:color="000000" w:fill="E6E6E6"/>
            <w:noWrap/>
            <w:vAlign w:val="bottom"/>
            <w:hideMark/>
          </w:tcPr>
          <w:p w14:paraId="0AC156DA" w14:textId="1251BBCD"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4,555</w:t>
            </w:r>
          </w:p>
        </w:tc>
        <w:tc>
          <w:tcPr>
            <w:tcW w:w="578" w:type="pct"/>
            <w:tcBorders>
              <w:top w:val="nil"/>
              <w:left w:val="nil"/>
              <w:bottom w:val="nil"/>
              <w:right w:val="nil"/>
            </w:tcBorders>
            <w:shd w:val="clear" w:color="auto" w:fill="auto"/>
            <w:noWrap/>
            <w:vAlign w:val="bottom"/>
            <w:hideMark/>
          </w:tcPr>
          <w:p w14:paraId="362DA524" w14:textId="2AD48549"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5,006</w:t>
            </w:r>
          </w:p>
        </w:tc>
        <w:tc>
          <w:tcPr>
            <w:tcW w:w="578" w:type="pct"/>
            <w:tcBorders>
              <w:top w:val="nil"/>
              <w:left w:val="nil"/>
              <w:bottom w:val="nil"/>
              <w:right w:val="nil"/>
            </w:tcBorders>
            <w:shd w:val="clear" w:color="auto" w:fill="auto"/>
            <w:noWrap/>
            <w:vAlign w:val="bottom"/>
            <w:hideMark/>
          </w:tcPr>
          <w:p w14:paraId="1025158C" w14:textId="3B94D7EF"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5,906</w:t>
            </w:r>
          </w:p>
        </w:tc>
        <w:tc>
          <w:tcPr>
            <w:tcW w:w="578" w:type="pct"/>
            <w:tcBorders>
              <w:top w:val="nil"/>
              <w:left w:val="nil"/>
              <w:bottom w:val="nil"/>
              <w:right w:val="nil"/>
            </w:tcBorders>
            <w:shd w:val="clear" w:color="auto" w:fill="auto"/>
            <w:noWrap/>
            <w:vAlign w:val="bottom"/>
            <w:hideMark/>
          </w:tcPr>
          <w:p w14:paraId="79B84990" w14:textId="45AE1EB3"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6,355</w:t>
            </w:r>
          </w:p>
        </w:tc>
      </w:tr>
      <w:tr w:rsidR="00D02397" w:rsidRPr="00725D74" w14:paraId="23EEDB3C" w14:textId="77777777" w:rsidTr="004A61A6">
        <w:trPr>
          <w:trHeight w:val="200"/>
        </w:trPr>
        <w:tc>
          <w:tcPr>
            <w:tcW w:w="2111" w:type="pct"/>
            <w:tcBorders>
              <w:top w:val="nil"/>
              <w:left w:val="nil"/>
              <w:bottom w:val="nil"/>
              <w:right w:val="nil"/>
            </w:tcBorders>
            <w:shd w:val="clear" w:color="auto" w:fill="auto"/>
            <w:noWrap/>
            <w:vAlign w:val="bottom"/>
            <w:hideMark/>
          </w:tcPr>
          <w:p w14:paraId="2E197BE4"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payables</w:t>
            </w:r>
          </w:p>
        </w:tc>
        <w:tc>
          <w:tcPr>
            <w:tcW w:w="578" w:type="pct"/>
            <w:tcBorders>
              <w:top w:val="single" w:sz="4" w:space="0" w:color="000000"/>
              <w:left w:val="nil"/>
              <w:bottom w:val="single" w:sz="4" w:space="0" w:color="000000"/>
              <w:right w:val="nil"/>
            </w:tcBorders>
            <w:shd w:val="clear" w:color="auto" w:fill="auto"/>
            <w:noWrap/>
            <w:vAlign w:val="bottom"/>
            <w:hideMark/>
          </w:tcPr>
          <w:p w14:paraId="22B2B88A"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10,660 </w:t>
            </w:r>
          </w:p>
        </w:tc>
        <w:tc>
          <w:tcPr>
            <w:tcW w:w="578" w:type="pct"/>
            <w:tcBorders>
              <w:top w:val="single" w:sz="4" w:space="0" w:color="000000"/>
              <w:left w:val="nil"/>
              <w:bottom w:val="single" w:sz="4" w:space="0" w:color="000000"/>
              <w:right w:val="nil"/>
            </w:tcBorders>
            <w:shd w:val="clear" w:color="000000" w:fill="E6E6E6"/>
            <w:noWrap/>
            <w:vAlign w:val="bottom"/>
            <w:hideMark/>
          </w:tcPr>
          <w:p w14:paraId="3D5E5063" w14:textId="0298E231"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11,110 </w:t>
            </w:r>
          </w:p>
        </w:tc>
        <w:tc>
          <w:tcPr>
            <w:tcW w:w="578" w:type="pct"/>
            <w:tcBorders>
              <w:top w:val="single" w:sz="4" w:space="0" w:color="000000"/>
              <w:left w:val="nil"/>
              <w:bottom w:val="single" w:sz="4" w:space="0" w:color="000000"/>
              <w:right w:val="nil"/>
            </w:tcBorders>
            <w:shd w:val="clear" w:color="auto" w:fill="auto"/>
            <w:noWrap/>
            <w:vAlign w:val="bottom"/>
            <w:hideMark/>
          </w:tcPr>
          <w:p w14:paraId="663EC007" w14:textId="71A8892E"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11,561 </w:t>
            </w:r>
          </w:p>
        </w:tc>
        <w:tc>
          <w:tcPr>
            <w:tcW w:w="578" w:type="pct"/>
            <w:tcBorders>
              <w:top w:val="single" w:sz="4" w:space="0" w:color="000000"/>
              <w:left w:val="nil"/>
              <w:bottom w:val="single" w:sz="4" w:space="0" w:color="000000"/>
              <w:right w:val="nil"/>
            </w:tcBorders>
            <w:shd w:val="clear" w:color="auto" w:fill="auto"/>
            <w:noWrap/>
            <w:vAlign w:val="bottom"/>
            <w:hideMark/>
          </w:tcPr>
          <w:p w14:paraId="1059B31F" w14:textId="45D4521A"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12,461 </w:t>
            </w:r>
          </w:p>
        </w:tc>
        <w:tc>
          <w:tcPr>
            <w:tcW w:w="578" w:type="pct"/>
            <w:tcBorders>
              <w:top w:val="single" w:sz="4" w:space="0" w:color="000000"/>
              <w:left w:val="nil"/>
              <w:bottom w:val="single" w:sz="4" w:space="0" w:color="000000"/>
              <w:right w:val="nil"/>
            </w:tcBorders>
            <w:shd w:val="clear" w:color="auto" w:fill="auto"/>
            <w:noWrap/>
            <w:vAlign w:val="bottom"/>
            <w:hideMark/>
          </w:tcPr>
          <w:p w14:paraId="5C397949" w14:textId="2D69B6D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12,910 </w:t>
            </w:r>
          </w:p>
        </w:tc>
      </w:tr>
      <w:tr w:rsidR="00D02397" w:rsidRPr="00725D74" w14:paraId="765A8B58" w14:textId="77777777" w:rsidTr="004A61A6">
        <w:trPr>
          <w:trHeight w:val="210"/>
        </w:trPr>
        <w:tc>
          <w:tcPr>
            <w:tcW w:w="2111" w:type="pct"/>
            <w:tcBorders>
              <w:top w:val="nil"/>
              <w:left w:val="nil"/>
              <w:bottom w:val="nil"/>
              <w:right w:val="nil"/>
            </w:tcBorders>
            <w:shd w:val="clear" w:color="auto" w:fill="auto"/>
            <w:noWrap/>
            <w:vAlign w:val="bottom"/>
            <w:hideMark/>
          </w:tcPr>
          <w:p w14:paraId="1D5D4DFD"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Interest bearing liabilities</w:t>
            </w:r>
          </w:p>
        </w:tc>
        <w:tc>
          <w:tcPr>
            <w:tcW w:w="578" w:type="pct"/>
            <w:tcBorders>
              <w:top w:val="nil"/>
              <w:left w:val="nil"/>
              <w:bottom w:val="nil"/>
              <w:right w:val="nil"/>
            </w:tcBorders>
            <w:shd w:val="clear" w:color="auto" w:fill="auto"/>
            <w:noWrap/>
            <w:vAlign w:val="bottom"/>
            <w:hideMark/>
          </w:tcPr>
          <w:p w14:paraId="1F859770"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630F63D3" w14:textId="2862E95D"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bottom"/>
            <w:hideMark/>
          </w:tcPr>
          <w:p w14:paraId="60758212"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170BE660"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3E91B1B0"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6C971BF2" w14:textId="77777777" w:rsidTr="004A61A6">
        <w:trPr>
          <w:trHeight w:val="200"/>
        </w:trPr>
        <w:tc>
          <w:tcPr>
            <w:tcW w:w="2111" w:type="pct"/>
            <w:tcBorders>
              <w:top w:val="nil"/>
              <w:left w:val="nil"/>
              <w:bottom w:val="nil"/>
              <w:right w:val="nil"/>
            </w:tcBorders>
            <w:shd w:val="clear" w:color="auto" w:fill="auto"/>
            <w:noWrap/>
            <w:vAlign w:val="bottom"/>
            <w:hideMark/>
          </w:tcPr>
          <w:p w14:paraId="0AA0AA14"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Leases</w:t>
            </w:r>
          </w:p>
        </w:tc>
        <w:tc>
          <w:tcPr>
            <w:tcW w:w="578" w:type="pct"/>
            <w:tcBorders>
              <w:top w:val="nil"/>
              <w:left w:val="nil"/>
              <w:bottom w:val="nil"/>
              <w:right w:val="nil"/>
            </w:tcBorders>
            <w:shd w:val="clear" w:color="auto" w:fill="auto"/>
            <w:noWrap/>
            <w:vAlign w:val="bottom"/>
            <w:hideMark/>
          </w:tcPr>
          <w:p w14:paraId="50A98586"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43,327</w:t>
            </w:r>
          </w:p>
        </w:tc>
        <w:tc>
          <w:tcPr>
            <w:tcW w:w="578" w:type="pct"/>
            <w:tcBorders>
              <w:top w:val="nil"/>
              <w:left w:val="nil"/>
              <w:bottom w:val="nil"/>
              <w:right w:val="nil"/>
            </w:tcBorders>
            <w:shd w:val="clear" w:color="000000" w:fill="E6E6E6"/>
            <w:noWrap/>
            <w:vAlign w:val="bottom"/>
            <w:hideMark/>
          </w:tcPr>
          <w:p w14:paraId="127451BB" w14:textId="7E475A1B"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34,574</w:t>
            </w:r>
          </w:p>
        </w:tc>
        <w:tc>
          <w:tcPr>
            <w:tcW w:w="578" w:type="pct"/>
            <w:tcBorders>
              <w:top w:val="nil"/>
              <w:left w:val="nil"/>
              <w:bottom w:val="nil"/>
              <w:right w:val="nil"/>
            </w:tcBorders>
            <w:shd w:val="clear" w:color="auto" w:fill="auto"/>
            <w:noWrap/>
            <w:vAlign w:val="bottom"/>
            <w:hideMark/>
          </w:tcPr>
          <w:p w14:paraId="13702391" w14:textId="72923E6B"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25,634</w:t>
            </w:r>
          </w:p>
        </w:tc>
        <w:tc>
          <w:tcPr>
            <w:tcW w:w="578" w:type="pct"/>
            <w:tcBorders>
              <w:top w:val="nil"/>
              <w:left w:val="nil"/>
              <w:bottom w:val="nil"/>
              <w:right w:val="nil"/>
            </w:tcBorders>
            <w:shd w:val="clear" w:color="auto" w:fill="auto"/>
            <w:noWrap/>
            <w:vAlign w:val="bottom"/>
            <w:hideMark/>
          </w:tcPr>
          <w:p w14:paraId="501120BB" w14:textId="71B8C72A"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16,829</w:t>
            </w:r>
          </w:p>
        </w:tc>
        <w:tc>
          <w:tcPr>
            <w:tcW w:w="578" w:type="pct"/>
            <w:tcBorders>
              <w:top w:val="nil"/>
              <w:left w:val="nil"/>
              <w:bottom w:val="nil"/>
              <w:right w:val="nil"/>
            </w:tcBorders>
            <w:shd w:val="clear" w:color="auto" w:fill="auto"/>
            <w:noWrap/>
            <w:vAlign w:val="bottom"/>
            <w:hideMark/>
          </w:tcPr>
          <w:p w14:paraId="3C218278" w14:textId="77A1B3E5"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11,938</w:t>
            </w:r>
          </w:p>
        </w:tc>
      </w:tr>
      <w:tr w:rsidR="00D02397" w:rsidRPr="00725D74" w14:paraId="24D89AF2" w14:textId="77777777" w:rsidTr="004A61A6">
        <w:trPr>
          <w:trHeight w:val="200"/>
        </w:trPr>
        <w:tc>
          <w:tcPr>
            <w:tcW w:w="2111" w:type="pct"/>
            <w:tcBorders>
              <w:top w:val="nil"/>
              <w:left w:val="nil"/>
              <w:bottom w:val="nil"/>
              <w:right w:val="nil"/>
            </w:tcBorders>
            <w:shd w:val="clear" w:color="auto" w:fill="auto"/>
            <w:noWrap/>
            <w:vAlign w:val="bottom"/>
            <w:hideMark/>
          </w:tcPr>
          <w:p w14:paraId="7C17F165"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interest bearing liabilities</w:t>
            </w:r>
          </w:p>
        </w:tc>
        <w:tc>
          <w:tcPr>
            <w:tcW w:w="578" w:type="pct"/>
            <w:tcBorders>
              <w:top w:val="single" w:sz="4" w:space="0" w:color="000000"/>
              <w:left w:val="nil"/>
              <w:bottom w:val="single" w:sz="4" w:space="0" w:color="000000"/>
              <w:right w:val="nil"/>
            </w:tcBorders>
            <w:shd w:val="clear" w:color="auto" w:fill="auto"/>
            <w:noWrap/>
            <w:vAlign w:val="bottom"/>
            <w:hideMark/>
          </w:tcPr>
          <w:p w14:paraId="3D94B1D8"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43,327 </w:t>
            </w:r>
          </w:p>
        </w:tc>
        <w:tc>
          <w:tcPr>
            <w:tcW w:w="578" w:type="pct"/>
            <w:tcBorders>
              <w:top w:val="single" w:sz="4" w:space="0" w:color="000000"/>
              <w:left w:val="nil"/>
              <w:bottom w:val="single" w:sz="4" w:space="0" w:color="000000"/>
              <w:right w:val="nil"/>
            </w:tcBorders>
            <w:shd w:val="clear" w:color="000000" w:fill="E6E6E6"/>
            <w:noWrap/>
            <w:vAlign w:val="bottom"/>
            <w:hideMark/>
          </w:tcPr>
          <w:p w14:paraId="0C777294" w14:textId="5A24B268"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34,574 </w:t>
            </w:r>
          </w:p>
        </w:tc>
        <w:tc>
          <w:tcPr>
            <w:tcW w:w="578" w:type="pct"/>
            <w:tcBorders>
              <w:top w:val="single" w:sz="4" w:space="0" w:color="000000"/>
              <w:left w:val="nil"/>
              <w:bottom w:val="single" w:sz="4" w:space="0" w:color="000000"/>
              <w:right w:val="nil"/>
            </w:tcBorders>
            <w:shd w:val="clear" w:color="auto" w:fill="auto"/>
            <w:noWrap/>
            <w:vAlign w:val="bottom"/>
            <w:hideMark/>
          </w:tcPr>
          <w:p w14:paraId="5D7359B3" w14:textId="582CE5F1"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25,634 </w:t>
            </w:r>
          </w:p>
        </w:tc>
        <w:tc>
          <w:tcPr>
            <w:tcW w:w="578" w:type="pct"/>
            <w:tcBorders>
              <w:top w:val="single" w:sz="4" w:space="0" w:color="000000"/>
              <w:left w:val="nil"/>
              <w:bottom w:val="single" w:sz="4" w:space="0" w:color="000000"/>
              <w:right w:val="nil"/>
            </w:tcBorders>
            <w:shd w:val="clear" w:color="auto" w:fill="auto"/>
            <w:noWrap/>
            <w:vAlign w:val="bottom"/>
            <w:hideMark/>
          </w:tcPr>
          <w:p w14:paraId="2D45223D" w14:textId="7F0811A8"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16,829 </w:t>
            </w:r>
          </w:p>
        </w:tc>
        <w:tc>
          <w:tcPr>
            <w:tcW w:w="578" w:type="pct"/>
            <w:tcBorders>
              <w:top w:val="single" w:sz="4" w:space="0" w:color="000000"/>
              <w:left w:val="nil"/>
              <w:bottom w:val="single" w:sz="4" w:space="0" w:color="000000"/>
              <w:right w:val="nil"/>
            </w:tcBorders>
            <w:shd w:val="clear" w:color="auto" w:fill="auto"/>
            <w:noWrap/>
            <w:vAlign w:val="bottom"/>
            <w:hideMark/>
          </w:tcPr>
          <w:p w14:paraId="503F3B73" w14:textId="02622EAF"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11,938 </w:t>
            </w:r>
          </w:p>
        </w:tc>
      </w:tr>
      <w:tr w:rsidR="00D02397" w:rsidRPr="00725D74" w14:paraId="2DDF1B74" w14:textId="77777777" w:rsidTr="004A61A6">
        <w:trPr>
          <w:trHeight w:val="210"/>
        </w:trPr>
        <w:tc>
          <w:tcPr>
            <w:tcW w:w="2111" w:type="pct"/>
            <w:tcBorders>
              <w:top w:val="nil"/>
              <w:left w:val="nil"/>
              <w:bottom w:val="nil"/>
              <w:right w:val="nil"/>
            </w:tcBorders>
            <w:shd w:val="clear" w:color="auto" w:fill="auto"/>
            <w:noWrap/>
            <w:vAlign w:val="bottom"/>
            <w:hideMark/>
          </w:tcPr>
          <w:p w14:paraId="24BD0C88"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Provisions</w:t>
            </w:r>
          </w:p>
        </w:tc>
        <w:tc>
          <w:tcPr>
            <w:tcW w:w="578" w:type="pct"/>
            <w:tcBorders>
              <w:top w:val="nil"/>
              <w:left w:val="nil"/>
              <w:bottom w:val="nil"/>
              <w:right w:val="nil"/>
            </w:tcBorders>
            <w:shd w:val="clear" w:color="auto" w:fill="auto"/>
            <w:noWrap/>
            <w:vAlign w:val="bottom"/>
            <w:hideMark/>
          </w:tcPr>
          <w:p w14:paraId="0396965A"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43129F1C" w14:textId="6D97EDF2"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bottom"/>
            <w:hideMark/>
          </w:tcPr>
          <w:p w14:paraId="3C6ED9A7"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03A0A567"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44F609B4"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21D96AF1" w14:textId="77777777" w:rsidTr="004A61A6">
        <w:trPr>
          <w:trHeight w:val="200"/>
        </w:trPr>
        <w:tc>
          <w:tcPr>
            <w:tcW w:w="2111" w:type="pct"/>
            <w:tcBorders>
              <w:top w:val="nil"/>
              <w:left w:val="nil"/>
              <w:bottom w:val="nil"/>
              <w:right w:val="nil"/>
            </w:tcBorders>
            <w:shd w:val="clear" w:color="auto" w:fill="auto"/>
            <w:noWrap/>
            <w:vAlign w:val="bottom"/>
            <w:hideMark/>
          </w:tcPr>
          <w:p w14:paraId="632CFB8B"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Employee provisions</w:t>
            </w:r>
          </w:p>
        </w:tc>
        <w:tc>
          <w:tcPr>
            <w:tcW w:w="578" w:type="pct"/>
            <w:tcBorders>
              <w:top w:val="nil"/>
              <w:left w:val="nil"/>
              <w:bottom w:val="nil"/>
              <w:right w:val="nil"/>
            </w:tcBorders>
            <w:shd w:val="clear" w:color="auto" w:fill="auto"/>
            <w:noWrap/>
            <w:vAlign w:val="bottom"/>
            <w:hideMark/>
          </w:tcPr>
          <w:p w14:paraId="4FBAEB7F"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56,034</w:t>
            </w:r>
          </w:p>
        </w:tc>
        <w:tc>
          <w:tcPr>
            <w:tcW w:w="578" w:type="pct"/>
            <w:tcBorders>
              <w:top w:val="nil"/>
              <w:left w:val="nil"/>
              <w:bottom w:val="nil"/>
              <w:right w:val="nil"/>
            </w:tcBorders>
            <w:shd w:val="clear" w:color="000000" w:fill="E6E6E6"/>
            <w:noWrap/>
            <w:vAlign w:val="bottom"/>
            <w:hideMark/>
          </w:tcPr>
          <w:p w14:paraId="50E94579" w14:textId="51F5446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60,534</w:t>
            </w:r>
          </w:p>
        </w:tc>
        <w:tc>
          <w:tcPr>
            <w:tcW w:w="578" w:type="pct"/>
            <w:tcBorders>
              <w:top w:val="nil"/>
              <w:left w:val="nil"/>
              <w:bottom w:val="nil"/>
              <w:right w:val="nil"/>
            </w:tcBorders>
            <w:shd w:val="clear" w:color="auto" w:fill="auto"/>
            <w:noWrap/>
            <w:vAlign w:val="bottom"/>
            <w:hideMark/>
          </w:tcPr>
          <w:p w14:paraId="201B00BC" w14:textId="2A22927A"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64,934</w:t>
            </w:r>
          </w:p>
        </w:tc>
        <w:tc>
          <w:tcPr>
            <w:tcW w:w="578" w:type="pct"/>
            <w:tcBorders>
              <w:top w:val="nil"/>
              <w:left w:val="nil"/>
              <w:bottom w:val="nil"/>
              <w:right w:val="nil"/>
            </w:tcBorders>
            <w:shd w:val="clear" w:color="auto" w:fill="auto"/>
            <w:noWrap/>
            <w:vAlign w:val="bottom"/>
            <w:hideMark/>
          </w:tcPr>
          <w:p w14:paraId="46F7F49A" w14:textId="1D5CF292"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69,234</w:t>
            </w:r>
          </w:p>
        </w:tc>
        <w:tc>
          <w:tcPr>
            <w:tcW w:w="578" w:type="pct"/>
            <w:tcBorders>
              <w:top w:val="nil"/>
              <w:left w:val="nil"/>
              <w:bottom w:val="nil"/>
              <w:right w:val="nil"/>
            </w:tcBorders>
            <w:shd w:val="clear" w:color="auto" w:fill="auto"/>
            <w:noWrap/>
            <w:vAlign w:val="bottom"/>
            <w:hideMark/>
          </w:tcPr>
          <w:p w14:paraId="316F9CA6" w14:textId="533B2066"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73,534</w:t>
            </w:r>
          </w:p>
        </w:tc>
      </w:tr>
      <w:tr w:rsidR="00D02397" w:rsidRPr="00725D74" w14:paraId="7AB63484" w14:textId="77777777" w:rsidTr="004A61A6">
        <w:trPr>
          <w:trHeight w:val="200"/>
        </w:trPr>
        <w:tc>
          <w:tcPr>
            <w:tcW w:w="2111" w:type="pct"/>
            <w:tcBorders>
              <w:top w:val="nil"/>
              <w:left w:val="nil"/>
              <w:bottom w:val="nil"/>
              <w:right w:val="nil"/>
            </w:tcBorders>
            <w:shd w:val="clear" w:color="auto" w:fill="auto"/>
            <w:noWrap/>
            <w:vAlign w:val="bottom"/>
            <w:hideMark/>
          </w:tcPr>
          <w:p w14:paraId="2CE862D6"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Other provisions</w:t>
            </w:r>
          </w:p>
        </w:tc>
        <w:tc>
          <w:tcPr>
            <w:tcW w:w="578" w:type="pct"/>
            <w:tcBorders>
              <w:top w:val="nil"/>
              <w:left w:val="nil"/>
              <w:bottom w:val="nil"/>
              <w:right w:val="nil"/>
            </w:tcBorders>
            <w:shd w:val="clear" w:color="auto" w:fill="auto"/>
            <w:noWrap/>
            <w:vAlign w:val="bottom"/>
            <w:hideMark/>
          </w:tcPr>
          <w:p w14:paraId="6A2489ED"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10,752</w:t>
            </w:r>
          </w:p>
        </w:tc>
        <w:tc>
          <w:tcPr>
            <w:tcW w:w="578" w:type="pct"/>
            <w:tcBorders>
              <w:top w:val="nil"/>
              <w:left w:val="nil"/>
              <w:bottom w:val="nil"/>
              <w:right w:val="nil"/>
            </w:tcBorders>
            <w:shd w:val="clear" w:color="000000" w:fill="E6E6E6"/>
            <w:noWrap/>
            <w:vAlign w:val="bottom"/>
            <w:hideMark/>
          </w:tcPr>
          <w:p w14:paraId="16CC2F4D" w14:textId="0522F2F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3,752</w:t>
            </w:r>
          </w:p>
        </w:tc>
        <w:tc>
          <w:tcPr>
            <w:tcW w:w="578" w:type="pct"/>
            <w:tcBorders>
              <w:top w:val="nil"/>
              <w:left w:val="nil"/>
              <w:bottom w:val="nil"/>
              <w:right w:val="nil"/>
            </w:tcBorders>
            <w:shd w:val="clear" w:color="auto" w:fill="auto"/>
            <w:noWrap/>
            <w:vAlign w:val="bottom"/>
            <w:hideMark/>
          </w:tcPr>
          <w:p w14:paraId="323F6D86" w14:textId="417673C5"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3,752</w:t>
            </w:r>
          </w:p>
        </w:tc>
        <w:tc>
          <w:tcPr>
            <w:tcW w:w="578" w:type="pct"/>
            <w:tcBorders>
              <w:top w:val="nil"/>
              <w:left w:val="nil"/>
              <w:bottom w:val="nil"/>
              <w:right w:val="nil"/>
            </w:tcBorders>
            <w:shd w:val="clear" w:color="auto" w:fill="auto"/>
            <w:noWrap/>
            <w:vAlign w:val="bottom"/>
            <w:hideMark/>
          </w:tcPr>
          <w:p w14:paraId="46596B45" w14:textId="68E13CB1"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3,752</w:t>
            </w:r>
          </w:p>
        </w:tc>
        <w:tc>
          <w:tcPr>
            <w:tcW w:w="578" w:type="pct"/>
            <w:tcBorders>
              <w:top w:val="nil"/>
              <w:left w:val="nil"/>
              <w:bottom w:val="nil"/>
              <w:right w:val="nil"/>
            </w:tcBorders>
            <w:shd w:val="clear" w:color="auto" w:fill="auto"/>
            <w:noWrap/>
            <w:vAlign w:val="bottom"/>
            <w:hideMark/>
          </w:tcPr>
          <w:p w14:paraId="6F751BBE" w14:textId="3C8F7005"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3,752</w:t>
            </w:r>
          </w:p>
        </w:tc>
      </w:tr>
      <w:tr w:rsidR="00D02397" w:rsidRPr="00725D74" w14:paraId="45CA08EA" w14:textId="77777777" w:rsidTr="004A61A6">
        <w:trPr>
          <w:trHeight w:val="200"/>
        </w:trPr>
        <w:tc>
          <w:tcPr>
            <w:tcW w:w="2111" w:type="pct"/>
            <w:tcBorders>
              <w:top w:val="nil"/>
              <w:left w:val="nil"/>
              <w:bottom w:val="nil"/>
              <w:right w:val="nil"/>
            </w:tcBorders>
            <w:shd w:val="clear" w:color="auto" w:fill="auto"/>
            <w:noWrap/>
            <w:vAlign w:val="bottom"/>
            <w:hideMark/>
          </w:tcPr>
          <w:p w14:paraId="3B09ACC1"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provisions</w:t>
            </w:r>
          </w:p>
        </w:tc>
        <w:tc>
          <w:tcPr>
            <w:tcW w:w="578" w:type="pct"/>
            <w:tcBorders>
              <w:top w:val="single" w:sz="4" w:space="0" w:color="000000"/>
              <w:left w:val="nil"/>
              <w:bottom w:val="single" w:sz="4" w:space="0" w:color="000000"/>
              <w:right w:val="nil"/>
            </w:tcBorders>
            <w:shd w:val="clear" w:color="auto" w:fill="auto"/>
            <w:noWrap/>
            <w:vAlign w:val="bottom"/>
            <w:hideMark/>
          </w:tcPr>
          <w:p w14:paraId="7D354B3D"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66,786 </w:t>
            </w:r>
          </w:p>
        </w:tc>
        <w:tc>
          <w:tcPr>
            <w:tcW w:w="578" w:type="pct"/>
            <w:tcBorders>
              <w:top w:val="single" w:sz="4" w:space="0" w:color="000000"/>
              <w:left w:val="nil"/>
              <w:bottom w:val="single" w:sz="4" w:space="0" w:color="000000"/>
              <w:right w:val="nil"/>
            </w:tcBorders>
            <w:shd w:val="clear" w:color="000000" w:fill="E6E6E6"/>
            <w:noWrap/>
            <w:vAlign w:val="bottom"/>
            <w:hideMark/>
          </w:tcPr>
          <w:p w14:paraId="00946F48" w14:textId="7391E0EE"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64,286 </w:t>
            </w:r>
          </w:p>
        </w:tc>
        <w:tc>
          <w:tcPr>
            <w:tcW w:w="578" w:type="pct"/>
            <w:tcBorders>
              <w:top w:val="single" w:sz="4" w:space="0" w:color="000000"/>
              <w:left w:val="nil"/>
              <w:bottom w:val="single" w:sz="4" w:space="0" w:color="000000"/>
              <w:right w:val="nil"/>
            </w:tcBorders>
            <w:shd w:val="clear" w:color="auto" w:fill="auto"/>
            <w:noWrap/>
            <w:vAlign w:val="bottom"/>
            <w:hideMark/>
          </w:tcPr>
          <w:p w14:paraId="597DC40B" w14:textId="40C01E22"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68,686 </w:t>
            </w:r>
          </w:p>
        </w:tc>
        <w:tc>
          <w:tcPr>
            <w:tcW w:w="578" w:type="pct"/>
            <w:tcBorders>
              <w:top w:val="single" w:sz="4" w:space="0" w:color="000000"/>
              <w:left w:val="nil"/>
              <w:bottom w:val="single" w:sz="4" w:space="0" w:color="000000"/>
              <w:right w:val="nil"/>
            </w:tcBorders>
            <w:shd w:val="clear" w:color="auto" w:fill="auto"/>
            <w:noWrap/>
            <w:vAlign w:val="bottom"/>
            <w:hideMark/>
          </w:tcPr>
          <w:p w14:paraId="48D6BE40" w14:textId="26FBDE93"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72,986 </w:t>
            </w:r>
          </w:p>
        </w:tc>
        <w:tc>
          <w:tcPr>
            <w:tcW w:w="578" w:type="pct"/>
            <w:tcBorders>
              <w:top w:val="single" w:sz="4" w:space="0" w:color="000000"/>
              <w:left w:val="nil"/>
              <w:bottom w:val="single" w:sz="4" w:space="0" w:color="000000"/>
              <w:right w:val="nil"/>
            </w:tcBorders>
            <w:shd w:val="clear" w:color="auto" w:fill="auto"/>
            <w:noWrap/>
            <w:vAlign w:val="bottom"/>
            <w:hideMark/>
          </w:tcPr>
          <w:p w14:paraId="714D83E6" w14:textId="4FF83EEF"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       77,286 </w:t>
            </w:r>
          </w:p>
        </w:tc>
      </w:tr>
      <w:tr w:rsidR="00D02397" w:rsidRPr="00725D74" w14:paraId="3BD04DE8" w14:textId="77777777" w:rsidTr="004A61A6">
        <w:trPr>
          <w:trHeight w:val="210"/>
        </w:trPr>
        <w:tc>
          <w:tcPr>
            <w:tcW w:w="2111" w:type="pct"/>
            <w:tcBorders>
              <w:top w:val="nil"/>
              <w:left w:val="nil"/>
              <w:bottom w:val="nil"/>
              <w:right w:val="nil"/>
            </w:tcBorders>
            <w:shd w:val="clear" w:color="auto" w:fill="auto"/>
            <w:noWrap/>
            <w:vAlign w:val="bottom"/>
            <w:hideMark/>
          </w:tcPr>
          <w:p w14:paraId="72C4C44F"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liabilities</w:t>
            </w:r>
          </w:p>
        </w:tc>
        <w:tc>
          <w:tcPr>
            <w:tcW w:w="578" w:type="pct"/>
            <w:tcBorders>
              <w:top w:val="nil"/>
              <w:left w:val="nil"/>
              <w:bottom w:val="single" w:sz="4" w:space="0" w:color="auto"/>
              <w:right w:val="nil"/>
            </w:tcBorders>
            <w:shd w:val="clear" w:color="auto" w:fill="auto"/>
            <w:noWrap/>
            <w:vAlign w:val="bottom"/>
            <w:hideMark/>
          </w:tcPr>
          <w:p w14:paraId="01ABF999"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     120,773 </w:t>
            </w:r>
          </w:p>
        </w:tc>
        <w:tc>
          <w:tcPr>
            <w:tcW w:w="578" w:type="pct"/>
            <w:tcBorders>
              <w:top w:val="nil"/>
              <w:left w:val="nil"/>
              <w:bottom w:val="single" w:sz="4" w:space="0" w:color="auto"/>
              <w:right w:val="nil"/>
            </w:tcBorders>
            <w:shd w:val="clear" w:color="000000" w:fill="E6E6E6"/>
            <w:noWrap/>
            <w:vAlign w:val="bottom"/>
            <w:hideMark/>
          </w:tcPr>
          <w:p w14:paraId="3D930F77" w14:textId="0865486C"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109,970 </w:t>
            </w:r>
          </w:p>
        </w:tc>
        <w:tc>
          <w:tcPr>
            <w:tcW w:w="578" w:type="pct"/>
            <w:tcBorders>
              <w:top w:val="nil"/>
              <w:left w:val="nil"/>
              <w:bottom w:val="single" w:sz="4" w:space="0" w:color="auto"/>
              <w:right w:val="nil"/>
            </w:tcBorders>
            <w:shd w:val="clear" w:color="auto" w:fill="auto"/>
            <w:noWrap/>
            <w:vAlign w:val="bottom"/>
            <w:hideMark/>
          </w:tcPr>
          <w:p w14:paraId="4DC51A81" w14:textId="5502183A"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105,881 </w:t>
            </w:r>
          </w:p>
        </w:tc>
        <w:tc>
          <w:tcPr>
            <w:tcW w:w="578" w:type="pct"/>
            <w:tcBorders>
              <w:top w:val="nil"/>
              <w:left w:val="nil"/>
              <w:bottom w:val="single" w:sz="4" w:space="0" w:color="auto"/>
              <w:right w:val="nil"/>
            </w:tcBorders>
            <w:shd w:val="clear" w:color="auto" w:fill="auto"/>
            <w:noWrap/>
            <w:vAlign w:val="bottom"/>
            <w:hideMark/>
          </w:tcPr>
          <w:p w14:paraId="1D96A247" w14:textId="59D9C3D0"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102,276 </w:t>
            </w:r>
          </w:p>
        </w:tc>
        <w:tc>
          <w:tcPr>
            <w:tcW w:w="578" w:type="pct"/>
            <w:tcBorders>
              <w:top w:val="nil"/>
              <w:left w:val="nil"/>
              <w:bottom w:val="single" w:sz="4" w:space="0" w:color="auto"/>
              <w:right w:val="nil"/>
            </w:tcBorders>
            <w:shd w:val="clear" w:color="auto" w:fill="auto"/>
            <w:noWrap/>
            <w:vAlign w:val="bottom"/>
            <w:hideMark/>
          </w:tcPr>
          <w:p w14:paraId="36DC4859" w14:textId="5255DB3E"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102,134 </w:t>
            </w:r>
          </w:p>
        </w:tc>
      </w:tr>
      <w:tr w:rsidR="00D02397" w:rsidRPr="00725D74" w14:paraId="03DC526D" w14:textId="77777777" w:rsidTr="004A61A6">
        <w:trPr>
          <w:trHeight w:val="210"/>
        </w:trPr>
        <w:tc>
          <w:tcPr>
            <w:tcW w:w="2111" w:type="pct"/>
            <w:tcBorders>
              <w:top w:val="nil"/>
              <w:left w:val="nil"/>
              <w:bottom w:val="nil"/>
              <w:right w:val="nil"/>
            </w:tcBorders>
            <w:shd w:val="clear" w:color="auto" w:fill="auto"/>
            <w:noWrap/>
            <w:vAlign w:val="bottom"/>
            <w:hideMark/>
          </w:tcPr>
          <w:p w14:paraId="41499360" w14:textId="77777777" w:rsidR="00D02397" w:rsidRPr="00043432" w:rsidRDefault="00D02397"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Net assets</w:t>
            </w:r>
          </w:p>
        </w:tc>
        <w:tc>
          <w:tcPr>
            <w:tcW w:w="578" w:type="pct"/>
            <w:tcBorders>
              <w:top w:val="nil"/>
              <w:left w:val="nil"/>
              <w:bottom w:val="single" w:sz="4" w:space="0" w:color="auto"/>
              <w:right w:val="nil"/>
            </w:tcBorders>
            <w:shd w:val="clear" w:color="auto" w:fill="auto"/>
            <w:noWrap/>
            <w:vAlign w:val="bottom"/>
            <w:hideMark/>
          </w:tcPr>
          <w:p w14:paraId="3EA79866"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       54,111 </w:t>
            </w:r>
          </w:p>
        </w:tc>
        <w:tc>
          <w:tcPr>
            <w:tcW w:w="578" w:type="pct"/>
            <w:tcBorders>
              <w:top w:val="nil"/>
              <w:left w:val="nil"/>
              <w:bottom w:val="single" w:sz="4" w:space="0" w:color="auto"/>
              <w:right w:val="nil"/>
            </w:tcBorders>
            <w:shd w:val="clear" w:color="000000" w:fill="E6E6E6"/>
            <w:noWrap/>
            <w:vAlign w:val="bottom"/>
            <w:hideMark/>
          </w:tcPr>
          <w:p w14:paraId="3E8E68AE" w14:textId="29873D98"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57,547 </w:t>
            </w:r>
          </w:p>
        </w:tc>
        <w:tc>
          <w:tcPr>
            <w:tcW w:w="578" w:type="pct"/>
            <w:tcBorders>
              <w:top w:val="nil"/>
              <w:left w:val="nil"/>
              <w:bottom w:val="single" w:sz="4" w:space="0" w:color="auto"/>
              <w:right w:val="nil"/>
            </w:tcBorders>
            <w:shd w:val="clear" w:color="auto" w:fill="auto"/>
            <w:noWrap/>
            <w:vAlign w:val="bottom"/>
            <w:hideMark/>
          </w:tcPr>
          <w:p w14:paraId="7852BD10" w14:textId="36EAB573"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55,193 </w:t>
            </w:r>
          </w:p>
        </w:tc>
        <w:tc>
          <w:tcPr>
            <w:tcW w:w="578" w:type="pct"/>
            <w:tcBorders>
              <w:top w:val="nil"/>
              <w:left w:val="nil"/>
              <w:bottom w:val="single" w:sz="4" w:space="0" w:color="auto"/>
              <w:right w:val="nil"/>
            </w:tcBorders>
            <w:shd w:val="clear" w:color="auto" w:fill="auto"/>
            <w:noWrap/>
            <w:vAlign w:val="bottom"/>
            <w:hideMark/>
          </w:tcPr>
          <w:p w14:paraId="192C178F" w14:textId="5CA6423E"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52,838 </w:t>
            </w:r>
          </w:p>
        </w:tc>
        <w:tc>
          <w:tcPr>
            <w:tcW w:w="578" w:type="pct"/>
            <w:tcBorders>
              <w:top w:val="nil"/>
              <w:left w:val="nil"/>
              <w:bottom w:val="single" w:sz="4" w:space="0" w:color="auto"/>
              <w:right w:val="nil"/>
            </w:tcBorders>
            <w:shd w:val="clear" w:color="auto" w:fill="auto"/>
            <w:noWrap/>
            <w:vAlign w:val="bottom"/>
            <w:hideMark/>
          </w:tcPr>
          <w:p w14:paraId="4B908F75" w14:textId="78655493"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       50,761 </w:t>
            </w:r>
          </w:p>
        </w:tc>
      </w:tr>
      <w:tr w:rsidR="00D02397" w:rsidRPr="00725D74" w14:paraId="016847F0" w14:textId="77777777" w:rsidTr="004A61A6">
        <w:trPr>
          <w:trHeight w:val="210"/>
        </w:trPr>
        <w:tc>
          <w:tcPr>
            <w:tcW w:w="2111" w:type="pct"/>
            <w:tcBorders>
              <w:top w:val="nil"/>
              <w:left w:val="nil"/>
              <w:bottom w:val="nil"/>
              <w:right w:val="nil"/>
            </w:tcBorders>
            <w:shd w:val="clear" w:color="auto" w:fill="auto"/>
            <w:noWrap/>
            <w:vAlign w:val="bottom"/>
            <w:hideMark/>
          </w:tcPr>
          <w:p w14:paraId="3652C7AF"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EQUITY*</w:t>
            </w:r>
          </w:p>
        </w:tc>
        <w:tc>
          <w:tcPr>
            <w:tcW w:w="578" w:type="pct"/>
            <w:tcBorders>
              <w:top w:val="nil"/>
              <w:left w:val="nil"/>
              <w:bottom w:val="nil"/>
              <w:right w:val="nil"/>
            </w:tcBorders>
            <w:shd w:val="clear" w:color="auto" w:fill="auto"/>
            <w:noWrap/>
            <w:vAlign w:val="bottom"/>
            <w:hideMark/>
          </w:tcPr>
          <w:p w14:paraId="20C3653C"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030F6E6A" w14:textId="287B3919"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bottom"/>
            <w:hideMark/>
          </w:tcPr>
          <w:p w14:paraId="020B9428"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113F6621"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483DAED0"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57583A1D" w14:textId="77777777" w:rsidTr="004A61A6">
        <w:trPr>
          <w:trHeight w:val="210"/>
        </w:trPr>
        <w:tc>
          <w:tcPr>
            <w:tcW w:w="2111" w:type="pct"/>
            <w:tcBorders>
              <w:top w:val="nil"/>
              <w:left w:val="nil"/>
              <w:bottom w:val="nil"/>
              <w:right w:val="nil"/>
            </w:tcBorders>
            <w:shd w:val="clear" w:color="auto" w:fill="auto"/>
            <w:noWrap/>
            <w:vAlign w:val="bottom"/>
            <w:hideMark/>
          </w:tcPr>
          <w:p w14:paraId="189C7272"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Parent entity interest</w:t>
            </w:r>
          </w:p>
        </w:tc>
        <w:tc>
          <w:tcPr>
            <w:tcW w:w="578" w:type="pct"/>
            <w:tcBorders>
              <w:top w:val="nil"/>
              <w:left w:val="nil"/>
              <w:bottom w:val="nil"/>
              <w:right w:val="nil"/>
            </w:tcBorders>
            <w:shd w:val="clear" w:color="auto" w:fill="auto"/>
            <w:noWrap/>
            <w:vAlign w:val="bottom"/>
            <w:hideMark/>
          </w:tcPr>
          <w:p w14:paraId="44DF31FE"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418DB38E" w14:textId="2C3AEF56"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bottom"/>
            <w:hideMark/>
          </w:tcPr>
          <w:p w14:paraId="742E1B4F"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27DAA5E7"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A1B60AB" w14:textId="77777777" w:rsidR="00D02397" w:rsidRPr="00043432" w:rsidRDefault="00D02397"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D02397" w:rsidRPr="00725D74" w14:paraId="0F38B479" w14:textId="77777777" w:rsidTr="004A61A6">
        <w:trPr>
          <w:trHeight w:val="210"/>
        </w:trPr>
        <w:tc>
          <w:tcPr>
            <w:tcW w:w="2111" w:type="pct"/>
            <w:tcBorders>
              <w:top w:val="nil"/>
              <w:left w:val="nil"/>
              <w:bottom w:val="nil"/>
              <w:right w:val="nil"/>
            </w:tcBorders>
            <w:shd w:val="clear" w:color="auto" w:fill="auto"/>
            <w:noWrap/>
            <w:vAlign w:val="bottom"/>
            <w:hideMark/>
          </w:tcPr>
          <w:p w14:paraId="6EBA5B00"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Contributed equity</w:t>
            </w:r>
          </w:p>
        </w:tc>
        <w:tc>
          <w:tcPr>
            <w:tcW w:w="578" w:type="pct"/>
            <w:tcBorders>
              <w:top w:val="nil"/>
              <w:left w:val="nil"/>
              <w:bottom w:val="nil"/>
              <w:right w:val="nil"/>
            </w:tcBorders>
            <w:shd w:val="clear" w:color="auto" w:fill="auto"/>
            <w:noWrap/>
            <w:vAlign w:val="bottom"/>
            <w:hideMark/>
          </w:tcPr>
          <w:p w14:paraId="7E42017D"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16,657 </w:t>
            </w:r>
          </w:p>
        </w:tc>
        <w:tc>
          <w:tcPr>
            <w:tcW w:w="578" w:type="pct"/>
            <w:tcBorders>
              <w:top w:val="nil"/>
              <w:left w:val="nil"/>
              <w:bottom w:val="nil"/>
              <w:right w:val="nil"/>
            </w:tcBorders>
            <w:shd w:val="clear" w:color="000000" w:fill="E6E6E6"/>
            <w:noWrap/>
            <w:vAlign w:val="bottom"/>
            <w:hideMark/>
          </w:tcPr>
          <w:p w14:paraId="4540073B" w14:textId="4F4AD42D"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16,657 </w:t>
            </w:r>
          </w:p>
        </w:tc>
        <w:tc>
          <w:tcPr>
            <w:tcW w:w="578" w:type="pct"/>
            <w:tcBorders>
              <w:top w:val="nil"/>
              <w:left w:val="nil"/>
              <w:bottom w:val="nil"/>
              <w:right w:val="nil"/>
            </w:tcBorders>
            <w:shd w:val="clear" w:color="auto" w:fill="auto"/>
            <w:noWrap/>
            <w:vAlign w:val="bottom"/>
            <w:hideMark/>
          </w:tcPr>
          <w:p w14:paraId="44622EC9" w14:textId="078D9D86"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16,657 </w:t>
            </w:r>
          </w:p>
        </w:tc>
        <w:tc>
          <w:tcPr>
            <w:tcW w:w="578" w:type="pct"/>
            <w:tcBorders>
              <w:top w:val="nil"/>
              <w:left w:val="nil"/>
              <w:bottom w:val="nil"/>
              <w:right w:val="nil"/>
            </w:tcBorders>
            <w:shd w:val="clear" w:color="auto" w:fill="auto"/>
            <w:noWrap/>
            <w:vAlign w:val="bottom"/>
            <w:hideMark/>
          </w:tcPr>
          <w:p w14:paraId="05A9B262" w14:textId="73F2641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16,657 </w:t>
            </w:r>
          </w:p>
        </w:tc>
        <w:tc>
          <w:tcPr>
            <w:tcW w:w="578" w:type="pct"/>
            <w:tcBorders>
              <w:top w:val="nil"/>
              <w:left w:val="nil"/>
              <w:bottom w:val="nil"/>
              <w:right w:val="nil"/>
            </w:tcBorders>
            <w:shd w:val="clear" w:color="auto" w:fill="auto"/>
            <w:noWrap/>
            <w:vAlign w:val="bottom"/>
            <w:hideMark/>
          </w:tcPr>
          <w:p w14:paraId="5A2D1984" w14:textId="17C558C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16,657 </w:t>
            </w:r>
          </w:p>
        </w:tc>
      </w:tr>
      <w:tr w:rsidR="00D02397" w:rsidRPr="00725D74" w14:paraId="6B99E071" w14:textId="77777777" w:rsidTr="004A61A6">
        <w:trPr>
          <w:trHeight w:val="200"/>
        </w:trPr>
        <w:tc>
          <w:tcPr>
            <w:tcW w:w="2111" w:type="pct"/>
            <w:tcBorders>
              <w:top w:val="nil"/>
              <w:left w:val="nil"/>
              <w:bottom w:val="nil"/>
              <w:right w:val="nil"/>
            </w:tcBorders>
            <w:shd w:val="clear" w:color="auto" w:fill="auto"/>
            <w:noWrap/>
            <w:vAlign w:val="bottom"/>
            <w:hideMark/>
          </w:tcPr>
          <w:p w14:paraId="0D703F6E"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Reserves</w:t>
            </w:r>
          </w:p>
        </w:tc>
        <w:tc>
          <w:tcPr>
            <w:tcW w:w="578" w:type="pct"/>
            <w:tcBorders>
              <w:top w:val="nil"/>
              <w:left w:val="nil"/>
              <w:bottom w:val="nil"/>
              <w:right w:val="nil"/>
            </w:tcBorders>
            <w:shd w:val="clear" w:color="auto" w:fill="auto"/>
            <w:noWrap/>
            <w:vAlign w:val="bottom"/>
            <w:hideMark/>
          </w:tcPr>
          <w:p w14:paraId="263E1EA7"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22,591 </w:t>
            </w:r>
          </w:p>
        </w:tc>
        <w:tc>
          <w:tcPr>
            <w:tcW w:w="578" w:type="pct"/>
            <w:tcBorders>
              <w:top w:val="nil"/>
              <w:left w:val="nil"/>
              <w:bottom w:val="nil"/>
              <w:right w:val="nil"/>
            </w:tcBorders>
            <w:shd w:val="clear" w:color="000000" w:fill="E6E6E6"/>
            <w:noWrap/>
            <w:vAlign w:val="bottom"/>
            <w:hideMark/>
          </w:tcPr>
          <w:p w14:paraId="382AAF48" w14:textId="6A0C14C6"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14,591 </w:t>
            </w:r>
          </w:p>
        </w:tc>
        <w:tc>
          <w:tcPr>
            <w:tcW w:w="578" w:type="pct"/>
            <w:tcBorders>
              <w:top w:val="nil"/>
              <w:left w:val="nil"/>
              <w:bottom w:val="nil"/>
              <w:right w:val="nil"/>
            </w:tcBorders>
            <w:shd w:val="clear" w:color="auto" w:fill="auto"/>
            <w:noWrap/>
            <w:vAlign w:val="bottom"/>
            <w:hideMark/>
          </w:tcPr>
          <w:p w14:paraId="589322FD" w14:textId="676E9023"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15,591 </w:t>
            </w:r>
          </w:p>
        </w:tc>
        <w:tc>
          <w:tcPr>
            <w:tcW w:w="578" w:type="pct"/>
            <w:tcBorders>
              <w:top w:val="nil"/>
              <w:left w:val="nil"/>
              <w:bottom w:val="nil"/>
              <w:right w:val="nil"/>
            </w:tcBorders>
            <w:shd w:val="clear" w:color="auto" w:fill="auto"/>
            <w:noWrap/>
            <w:vAlign w:val="bottom"/>
            <w:hideMark/>
          </w:tcPr>
          <w:p w14:paraId="1FB228D7" w14:textId="6874C976"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16,591 </w:t>
            </w:r>
          </w:p>
        </w:tc>
        <w:tc>
          <w:tcPr>
            <w:tcW w:w="578" w:type="pct"/>
            <w:tcBorders>
              <w:top w:val="nil"/>
              <w:left w:val="nil"/>
              <w:bottom w:val="nil"/>
              <w:right w:val="nil"/>
            </w:tcBorders>
            <w:shd w:val="clear" w:color="auto" w:fill="auto"/>
            <w:noWrap/>
            <w:vAlign w:val="bottom"/>
            <w:hideMark/>
          </w:tcPr>
          <w:p w14:paraId="10D58D49" w14:textId="31CDDBAF"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17,591 </w:t>
            </w:r>
          </w:p>
        </w:tc>
      </w:tr>
      <w:tr w:rsidR="00D02397" w:rsidRPr="00725D74" w14:paraId="7C1311DC" w14:textId="77777777" w:rsidTr="004A61A6">
        <w:trPr>
          <w:trHeight w:val="400"/>
        </w:trPr>
        <w:tc>
          <w:tcPr>
            <w:tcW w:w="2111" w:type="pct"/>
            <w:tcBorders>
              <w:top w:val="nil"/>
              <w:left w:val="nil"/>
              <w:bottom w:val="nil"/>
              <w:right w:val="nil"/>
            </w:tcBorders>
            <w:shd w:val="clear" w:color="auto" w:fill="auto"/>
            <w:vAlign w:val="bottom"/>
            <w:hideMark/>
          </w:tcPr>
          <w:p w14:paraId="09442E5D"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Retained surplus (accumulated</w:t>
            </w:r>
            <w:r w:rsidRPr="00043432">
              <w:rPr>
                <w:rFonts w:eastAsia="Times New Roman" w:cs="Arial"/>
                <w:sz w:val="16"/>
                <w:szCs w:val="16"/>
                <w:lang w:eastAsia="en-AU"/>
              </w:rPr>
              <w:br/>
              <w:t xml:space="preserve">     deficit)</w:t>
            </w:r>
          </w:p>
        </w:tc>
        <w:tc>
          <w:tcPr>
            <w:tcW w:w="578" w:type="pct"/>
            <w:tcBorders>
              <w:top w:val="nil"/>
              <w:left w:val="nil"/>
              <w:bottom w:val="nil"/>
              <w:right w:val="nil"/>
            </w:tcBorders>
            <w:shd w:val="clear" w:color="auto" w:fill="auto"/>
            <w:noWrap/>
            <w:vAlign w:val="bottom"/>
            <w:hideMark/>
          </w:tcPr>
          <w:p w14:paraId="17B35B10"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14,863 </w:t>
            </w:r>
          </w:p>
        </w:tc>
        <w:tc>
          <w:tcPr>
            <w:tcW w:w="578" w:type="pct"/>
            <w:tcBorders>
              <w:top w:val="nil"/>
              <w:left w:val="nil"/>
              <w:bottom w:val="nil"/>
              <w:right w:val="nil"/>
            </w:tcBorders>
            <w:shd w:val="clear" w:color="000000" w:fill="E6E6E6"/>
            <w:noWrap/>
            <w:vAlign w:val="bottom"/>
            <w:hideMark/>
          </w:tcPr>
          <w:p w14:paraId="56B92DE8" w14:textId="3DF51F4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26,299 </w:t>
            </w:r>
          </w:p>
        </w:tc>
        <w:tc>
          <w:tcPr>
            <w:tcW w:w="578" w:type="pct"/>
            <w:tcBorders>
              <w:top w:val="nil"/>
              <w:left w:val="nil"/>
              <w:bottom w:val="nil"/>
              <w:right w:val="nil"/>
            </w:tcBorders>
            <w:shd w:val="clear" w:color="auto" w:fill="auto"/>
            <w:noWrap/>
            <w:vAlign w:val="bottom"/>
            <w:hideMark/>
          </w:tcPr>
          <w:p w14:paraId="192306DC" w14:textId="064CDCE9"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22,945 </w:t>
            </w:r>
          </w:p>
        </w:tc>
        <w:tc>
          <w:tcPr>
            <w:tcW w:w="578" w:type="pct"/>
            <w:tcBorders>
              <w:top w:val="nil"/>
              <w:left w:val="nil"/>
              <w:bottom w:val="nil"/>
              <w:right w:val="nil"/>
            </w:tcBorders>
            <w:shd w:val="clear" w:color="auto" w:fill="auto"/>
            <w:noWrap/>
            <w:vAlign w:val="bottom"/>
            <w:hideMark/>
          </w:tcPr>
          <w:p w14:paraId="6FCAD6C6" w14:textId="6026A97C"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19,590 </w:t>
            </w:r>
          </w:p>
        </w:tc>
        <w:tc>
          <w:tcPr>
            <w:tcW w:w="578" w:type="pct"/>
            <w:tcBorders>
              <w:top w:val="nil"/>
              <w:left w:val="nil"/>
              <w:bottom w:val="nil"/>
              <w:right w:val="nil"/>
            </w:tcBorders>
            <w:shd w:val="clear" w:color="auto" w:fill="auto"/>
            <w:noWrap/>
            <w:vAlign w:val="bottom"/>
            <w:hideMark/>
          </w:tcPr>
          <w:p w14:paraId="539E5441" w14:textId="444C0C40"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16,513 </w:t>
            </w:r>
          </w:p>
        </w:tc>
      </w:tr>
      <w:tr w:rsidR="00D02397" w:rsidRPr="00725D74" w14:paraId="3BC0C808" w14:textId="77777777" w:rsidTr="004A61A6">
        <w:trPr>
          <w:trHeight w:val="200"/>
        </w:trPr>
        <w:tc>
          <w:tcPr>
            <w:tcW w:w="2111" w:type="pct"/>
            <w:tcBorders>
              <w:top w:val="nil"/>
              <w:left w:val="nil"/>
              <w:bottom w:val="nil"/>
              <w:right w:val="nil"/>
            </w:tcBorders>
            <w:shd w:val="clear" w:color="auto" w:fill="auto"/>
            <w:noWrap/>
            <w:vAlign w:val="bottom"/>
            <w:hideMark/>
          </w:tcPr>
          <w:p w14:paraId="02A1135F"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parent entity interest</w:t>
            </w:r>
          </w:p>
        </w:tc>
        <w:tc>
          <w:tcPr>
            <w:tcW w:w="578" w:type="pct"/>
            <w:tcBorders>
              <w:top w:val="single" w:sz="4" w:space="0" w:color="000000"/>
              <w:left w:val="nil"/>
              <w:bottom w:val="single" w:sz="4" w:space="0" w:color="000000"/>
              <w:right w:val="nil"/>
            </w:tcBorders>
            <w:shd w:val="clear" w:color="auto" w:fill="auto"/>
            <w:noWrap/>
            <w:vAlign w:val="bottom"/>
            <w:hideMark/>
          </w:tcPr>
          <w:p w14:paraId="7870CD18"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54,111 </w:t>
            </w:r>
          </w:p>
        </w:tc>
        <w:tc>
          <w:tcPr>
            <w:tcW w:w="578" w:type="pct"/>
            <w:tcBorders>
              <w:top w:val="single" w:sz="4" w:space="0" w:color="000000"/>
              <w:left w:val="nil"/>
              <w:bottom w:val="single" w:sz="4" w:space="0" w:color="000000"/>
              <w:right w:val="nil"/>
            </w:tcBorders>
            <w:shd w:val="clear" w:color="000000" w:fill="E6E6E6"/>
            <w:noWrap/>
            <w:vAlign w:val="bottom"/>
            <w:hideMark/>
          </w:tcPr>
          <w:p w14:paraId="1A790AA8" w14:textId="01C223AF"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57,547 </w:t>
            </w:r>
          </w:p>
        </w:tc>
        <w:tc>
          <w:tcPr>
            <w:tcW w:w="578" w:type="pct"/>
            <w:tcBorders>
              <w:top w:val="single" w:sz="4" w:space="0" w:color="000000"/>
              <w:left w:val="nil"/>
              <w:bottom w:val="single" w:sz="4" w:space="0" w:color="000000"/>
              <w:right w:val="nil"/>
            </w:tcBorders>
            <w:shd w:val="clear" w:color="auto" w:fill="auto"/>
            <w:noWrap/>
            <w:vAlign w:val="bottom"/>
            <w:hideMark/>
          </w:tcPr>
          <w:p w14:paraId="309AA008" w14:textId="11439CCC"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55,193 </w:t>
            </w:r>
          </w:p>
        </w:tc>
        <w:tc>
          <w:tcPr>
            <w:tcW w:w="578" w:type="pct"/>
            <w:tcBorders>
              <w:top w:val="single" w:sz="4" w:space="0" w:color="000000"/>
              <w:left w:val="nil"/>
              <w:bottom w:val="single" w:sz="4" w:space="0" w:color="000000"/>
              <w:right w:val="nil"/>
            </w:tcBorders>
            <w:shd w:val="clear" w:color="auto" w:fill="auto"/>
            <w:noWrap/>
            <w:vAlign w:val="bottom"/>
            <w:hideMark/>
          </w:tcPr>
          <w:p w14:paraId="36FA13F2" w14:textId="43BC6942"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52,838 </w:t>
            </w:r>
          </w:p>
        </w:tc>
        <w:tc>
          <w:tcPr>
            <w:tcW w:w="578" w:type="pct"/>
            <w:tcBorders>
              <w:top w:val="single" w:sz="4" w:space="0" w:color="000000"/>
              <w:left w:val="nil"/>
              <w:bottom w:val="single" w:sz="4" w:space="0" w:color="000000"/>
              <w:right w:val="nil"/>
            </w:tcBorders>
            <w:shd w:val="clear" w:color="auto" w:fill="auto"/>
            <w:noWrap/>
            <w:vAlign w:val="bottom"/>
            <w:hideMark/>
          </w:tcPr>
          <w:p w14:paraId="32DBF7DE" w14:textId="70A5AC78"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50,761 </w:t>
            </w:r>
          </w:p>
        </w:tc>
      </w:tr>
      <w:tr w:rsidR="00D02397" w:rsidRPr="00725D74" w14:paraId="396784DB" w14:textId="77777777" w:rsidTr="004A61A6">
        <w:trPr>
          <w:trHeight w:val="210"/>
        </w:trPr>
        <w:tc>
          <w:tcPr>
            <w:tcW w:w="2111" w:type="pct"/>
            <w:tcBorders>
              <w:top w:val="nil"/>
              <w:left w:val="nil"/>
              <w:bottom w:val="single" w:sz="4" w:space="0" w:color="000000"/>
              <w:right w:val="nil"/>
            </w:tcBorders>
            <w:shd w:val="clear" w:color="auto" w:fill="auto"/>
            <w:noWrap/>
            <w:vAlign w:val="bottom"/>
            <w:hideMark/>
          </w:tcPr>
          <w:p w14:paraId="6DC6A036"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equity</w:t>
            </w:r>
          </w:p>
        </w:tc>
        <w:tc>
          <w:tcPr>
            <w:tcW w:w="578" w:type="pct"/>
            <w:tcBorders>
              <w:top w:val="nil"/>
              <w:left w:val="nil"/>
              <w:bottom w:val="single" w:sz="4" w:space="0" w:color="000000"/>
              <w:right w:val="nil"/>
            </w:tcBorders>
            <w:shd w:val="clear" w:color="auto" w:fill="auto"/>
            <w:noWrap/>
            <w:vAlign w:val="bottom"/>
            <w:hideMark/>
          </w:tcPr>
          <w:p w14:paraId="77FD387E"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54,111 </w:t>
            </w:r>
          </w:p>
        </w:tc>
        <w:tc>
          <w:tcPr>
            <w:tcW w:w="578" w:type="pct"/>
            <w:tcBorders>
              <w:top w:val="nil"/>
              <w:left w:val="nil"/>
              <w:bottom w:val="single" w:sz="4" w:space="0" w:color="000000"/>
              <w:right w:val="nil"/>
            </w:tcBorders>
            <w:shd w:val="clear" w:color="000000" w:fill="E6E6E6"/>
            <w:noWrap/>
            <w:vAlign w:val="bottom"/>
            <w:hideMark/>
          </w:tcPr>
          <w:p w14:paraId="486D23CC" w14:textId="20F5EA84"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57,547 </w:t>
            </w:r>
          </w:p>
        </w:tc>
        <w:tc>
          <w:tcPr>
            <w:tcW w:w="578" w:type="pct"/>
            <w:tcBorders>
              <w:top w:val="nil"/>
              <w:left w:val="nil"/>
              <w:bottom w:val="single" w:sz="4" w:space="0" w:color="000000"/>
              <w:right w:val="nil"/>
            </w:tcBorders>
            <w:shd w:val="clear" w:color="auto" w:fill="auto"/>
            <w:noWrap/>
            <w:vAlign w:val="bottom"/>
            <w:hideMark/>
          </w:tcPr>
          <w:p w14:paraId="1E0323DA" w14:textId="50303208"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55,193 </w:t>
            </w:r>
          </w:p>
        </w:tc>
        <w:tc>
          <w:tcPr>
            <w:tcW w:w="578" w:type="pct"/>
            <w:tcBorders>
              <w:top w:val="nil"/>
              <w:left w:val="nil"/>
              <w:bottom w:val="single" w:sz="4" w:space="0" w:color="000000"/>
              <w:right w:val="nil"/>
            </w:tcBorders>
            <w:shd w:val="clear" w:color="auto" w:fill="auto"/>
            <w:noWrap/>
            <w:vAlign w:val="bottom"/>
            <w:hideMark/>
          </w:tcPr>
          <w:p w14:paraId="79831465" w14:textId="612E4821"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52,838 </w:t>
            </w:r>
          </w:p>
        </w:tc>
        <w:tc>
          <w:tcPr>
            <w:tcW w:w="578" w:type="pct"/>
            <w:tcBorders>
              <w:top w:val="nil"/>
              <w:left w:val="nil"/>
              <w:bottom w:val="single" w:sz="4" w:space="0" w:color="000000"/>
              <w:right w:val="nil"/>
            </w:tcBorders>
            <w:shd w:val="clear" w:color="auto" w:fill="auto"/>
            <w:noWrap/>
            <w:vAlign w:val="bottom"/>
            <w:hideMark/>
          </w:tcPr>
          <w:p w14:paraId="34B25B5B" w14:textId="4906D25D"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50,761 </w:t>
            </w:r>
          </w:p>
        </w:tc>
      </w:tr>
    </w:tbl>
    <w:p w14:paraId="55826669" w14:textId="77777777" w:rsidR="00851FA1" w:rsidRPr="00C6221B" w:rsidRDefault="00851FA1" w:rsidP="00851FA1">
      <w:pPr>
        <w:pStyle w:val="TableGraphic"/>
        <w:rPr>
          <w:rFonts w:ascii="Arial" w:hAnsi="Arial"/>
          <w:color w:val="000000"/>
          <w:sz w:val="16"/>
          <w:lang w:val="x-none" w:eastAsia="x-none"/>
        </w:rPr>
      </w:pPr>
      <w:r w:rsidRPr="00C6221B">
        <w:rPr>
          <w:rFonts w:ascii="Arial" w:hAnsi="Arial"/>
          <w:color w:val="000000"/>
          <w:sz w:val="16"/>
          <w:lang w:val="x-none" w:eastAsia="x-none"/>
        </w:rPr>
        <w:t>Prepared on Australian Accounting Standards basis.</w:t>
      </w:r>
    </w:p>
    <w:p w14:paraId="069FA4D0" w14:textId="77777777" w:rsidR="00851FA1" w:rsidRPr="004838E5" w:rsidRDefault="00851FA1" w:rsidP="00851FA1">
      <w:pPr>
        <w:pStyle w:val="ChartandTableFootnote"/>
      </w:pPr>
      <w:r w:rsidRPr="004838E5">
        <w:t>*’Equity’ is the residual interest in assets after the deduction of liabilities.</w:t>
      </w:r>
    </w:p>
    <w:p w14:paraId="49FA2B75" w14:textId="77777777" w:rsidR="0008358A" w:rsidRPr="00AF3D51" w:rsidRDefault="0008358A" w:rsidP="00043432">
      <w:pPr>
        <w:pStyle w:val="ListParagraph"/>
        <w:numPr>
          <w:ilvl w:val="0"/>
          <w:numId w:val="20"/>
        </w:numPr>
      </w:pPr>
    </w:p>
    <w:p w14:paraId="1D6210EE" w14:textId="46A21E6C" w:rsidR="0008358A" w:rsidRDefault="0008358A" w:rsidP="0008358A">
      <w:pPr>
        <w:pStyle w:val="TableHeadingcontinued"/>
      </w:pPr>
      <w:r>
        <w:br w:type="page"/>
      </w:r>
      <w:r w:rsidRPr="00AD42E2">
        <w:lastRenderedPageBreak/>
        <w:t>Table 3.3: Departmental statement of changes in equity — summary of</w:t>
      </w:r>
      <w:r>
        <w:t xml:space="preserve"> movement (Budget year 20</w:t>
      </w:r>
      <w:r w:rsidR="00B912AF">
        <w:t>2</w:t>
      </w:r>
      <w:r w:rsidR="004447D7">
        <w:t>1</w:t>
      </w:r>
      <w:r>
        <w:t>-2</w:t>
      </w:r>
      <w:r w:rsidR="004447D7">
        <w:t>2</w:t>
      </w:r>
      <w:r w:rsidRPr="00D30CBA">
        <w:t>)</w:t>
      </w:r>
    </w:p>
    <w:tbl>
      <w:tblPr>
        <w:tblW w:w="5000" w:type="pct"/>
        <w:tblCellMar>
          <w:left w:w="0" w:type="dxa"/>
          <w:right w:w="28" w:type="dxa"/>
        </w:tblCellMar>
        <w:tblLook w:val="04A0" w:firstRow="1" w:lastRow="0" w:firstColumn="1" w:lastColumn="0" w:noHBand="0" w:noVBand="1"/>
      </w:tblPr>
      <w:tblGrid>
        <w:gridCol w:w="3256"/>
        <w:gridCol w:w="891"/>
        <w:gridCol w:w="891"/>
        <w:gridCol w:w="891"/>
        <w:gridCol w:w="891"/>
        <w:gridCol w:w="890"/>
      </w:tblGrid>
      <w:tr w:rsidR="00D02397" w:rsidRPr="00FF1C4C" w14:paraId="539B9167" w14:textId="77777777" w:rsidTr="00D02397">
        <w:trPr>
          <w:trHeight w:val="800"/>
        </w:trPr>
        <w:tc>
          <w:tcPr>
            <w:tcW w:w="2111" w:type="pct"/>
            <w:tcBorders>
              <w:top w:val="single" w:sz="4" w:space="0" w:color="auto"/>
              <w:left w:val="nil"/>
              <w:bottom w:val="nil"/>
              <w:right w:val="nil"/>
            </w:tcBorders>
            <w:shd w:val="clear" w:color="auto" w:fill="auto"/>
            <w:noWrap/>
            <w:vAlign w:val="center"/>
            <w:hideMark/>
          </w:tcPr>
          <w:p w14:paraId="51E0C7D6" w14:textId="4FECC7FF" w:rsidR="00D02397" w:rsidRPr="00043432" w:rsidRDefault="004447D7" w:rsidP="00043432">
            <w:pPr>
              <w:pStyle w:val="ListParagraph"/>
              <w:numPr>
                <w:ilvl w:val="0"/>
                <w:numId w:val="20"/>
              </w:numPr>
              <w:spacing w:after="0"/>
              <w:jc w:val="right"/>
              <w:rPr>
                <w:rFonts w:eastAsia="Times New Roman" w:cs="Arial"/>
                <w:sz w:val="16"/>
                <w:szCs w:val="16"/>
                <w:lang w:eastAsia="en-AU"/>
              </w:rPr>
            </w:pPr>
            <w:r w:rsidRPr="004447D7">
              <w:t xml:space="preserve"> </w:t>
            </w:r>
            <w:r w:rsidR="00D02397" w:rsidRPr="00043432">
              <w:rPr>
                <w:rFonts w:eastAsia="Times New Roman" w:cs="Arial"/>
                <w:sz w:val="16"/>
                <w:szCs w:val="16"/>
                <w:lang w:eastAsia="en-AU"/>
              </w:rPr>
              <w:t> </w:t>
            </w:r>
          </w:p>
        </w:tc>
        <w:tc>
          <w:tcPr>
            <w:tcW w:w="578" w:type="pct"/>
            <w:tcBorders>
              <w:top w:val="single" w:sz="4" w:space="0" w:color="auto"/>
              <w:left w:val="nil"/>
              <w:bottom w:val="single" w:sz="4" w:space="0" w:color="000000"/>
              <w:right w:val="nil"/>
            </w:tcBorders>
            <w:shd w:val="clear" w:color="auto" w:fill="auto"/>
            <w:hideMark/>
          </w:tcPr>
          <w:p w14:paraId="375F3E3A"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Retained</w:t>
            </w:r>
            <w:r w:rsidRPr="00043432">
              <w:rPr>
                <w:rFonts w:eastAsia="Times New Roman" w:cs="Arial"/>
                <w:sz w:val="16"/>
                <w:szCs w:val="16"/>
                <w:lang w:eastAsia="en-AU"/>
              </w:rPr>
              <w:br/>
              <w:t>earnings</w:t>
            </w:r>
            <w:r w:rsidRPr="00043432">
              <w:rPr>
                <w:rFonts w:eastAsia="Times New Roman" w:cs="Arial"/>
                <w:sz w:val="16"/>
                <w:szCs w:val="16"/>
                <w:lang w:eastAsia="en-AU"/>
              </w:rPr>
              <w:br/>
            </w:r>
            <w:r w:rsidRPr="00043432">
              <w:rPr>
                <w:rFonts w:eastAsia="Times New Roman" w:cs="Arial"/>
                <w:sz w:val="16"/>
                <w:szCs w:val="16"/>
                <w:lang w:eastAsia="en-AU"/>
              </w:rPr>
              <w:br/>
              <w:t>$'000</w:t>
            </w:r>
          </w:p>
        </w:tc>
        <w:tc>
          <w:tcPr>
            <w:tcW w:w="578" w:type="pct"/>
            <w:tcBorders>
              <w:top w:val="single" w:sz="4" w:space="0" w:color="auto"/>
              <w:left w:val="nil"/>
              <w:bottom w:val="single" w:sz="4" w:space="0" w:color="000000"/>
              <w:right w:val="nil"/>
            </w:tcBorders>
            <w:shd w:val="clear" w:color="auto" w:fill="auto"/>
            <w:hideMark/>
          </w:tcPr>
          <w:p w14:paraId="5BE2F69C"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Asset</w:t>
            </w:r>
            <w:r w:rsidRPr="00043432">
              <w:rPr>
                <w:rFonts w:eastAsia="Times New Roman" w:cs="Arial"/>
                <w:sz w:val="16"/>
                <w:szCs w:val="16"/>
                <w:lang w:eastAsia="en-AU"/>
              </w:rPr>
              <w:br/>
              <w:t>revaluation</w:t>
            </w:r>
            <w:r w:rsidRPr="00043432">
              <w:rPr>
                <w:rFonts w:eastAsia="Times New Roman" w:cs="Arial"/>
                <w:sz w:val="16"/>
                <w:szCs w:val="16"/>
                <w:lang w:eastAsia="en-AU"/>
              </w:rPr>
              <w:br/>
              <w:t>reserve</w:t>
            </w:r>
            <w:r w:rsidRPr="00043432">
              <w:rPr>
                <w:rFonts w:eastAsia="Times New Roman" w:cs="Arial"/>
                <w:sz w:val="16"/>
                <w:szCs w:val="16"/>
                <w:lang w:eastAsia="en-AU"/>
              </w:rPr>
              <w:br/>
              <w:t>$'000</w:t>
            </w:r>
          </w:p>
        </w:tc>
        <w:tc>
          <w:tcPr>
            <w:tcW w:w="578" w:type="pct"/>
            <w:tcBorders>
              <w:top w:val="single" w:sz="4" w:space="0" w:color="auto"/>
              <w:left w:val="nil"/>
              <w:bottom w:val="single" w:sz="4" w:space="0" w:color="000000"/>
              <w:right w:val="nil"/>
            </w:tcBorders>
            <w:shd w:val="clear" w:color="auto" w:fill="auto"/>
            <w:hideMark/>
          </w:tcPr>
          <w:p w14:paraId="2D1B99B6"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Other</w:t>
            </w:r>
            <w:r w:rsidRPr="00043432">
              <w:rPr>
                <w:rFonts w:eastAsia="Times New Roman" w:cs="Arial"/>
                <w:sz w:val="16"/>
                <w:szCs w:val="16"/>
                <w:lang w:eastAsia="en-AU"/>
              </w:rPr>
              <w:br/>
              <w:t>reserves</w:t>
            </w:r>
            <w:r w:rsidRPr="00043432">
              <w:rPr>
                <w:rFonts w:eastAsia="Times New Roman" w:cs="Arial"/>
                <w:sz w:val="16"/>
                <w:szCs w:val="16"/>
                <w:lang w:eastAsia="en-AU"/>
              </w:rPr>
              <w:br/>
            </w:r>
            <w:r w:rsidRPr="00043432">
              <w:rPr>
                <w:rFonts w:eastAsia="Times New Roman" w:cs="Arial"/>
                <w:sz w:val="16"/>
                <w:szCs w:val="16"/>
                <w:lang w:eastAsia="en-AU"/>
              </w:rPr>
              <w:br/>
              <w:t>$'000</w:t>
            </w:r>
          </w:p>
        </w:tc>
        <w:tc>
          <w:tcPr>
            <w:tcW w:w="578" w:type="pct"/>
            <w:tcBorders>
              <w:top w:val="single" w:sz="4" w:space="0" w:color="auto"/>
              <w:left w:val="nil"/>
              <w:bottom w:val="single" w:sz="4" w:space="0" w:color="000000"/>
              <w:right w:val="nil"/>
            </w:tcBorders>
            <w:shd w:val="clear" w:color="auto" w:fill="auto"/>
            <w:hideMark/>
          </w:tcPr>
          <w:p w14:paraId="16E4A932"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Contributed</w:t>
            </w:r>
            <w:r w:rsidRPr="00043432">
              <w:rPr>
                <w:rFonts w:eastAsia="Times New Roman" w:cs="Arial"/>
                <w:sz w:val="16"/>
                <w:szCs w:val="16"/>
                <w:lang w:eastAsia="en-AU"/>
              </w:rPr>
              <w:br/>
              <w:t>equity/</w:t>
            </w:r>
            <w:r w:rsidRPr="00043432">
              <w:rPr>
                <w:rFonts w:eastAsia="Times New Roman" w:cs="Arial"/>
                <w:sz w:val="16"/>
                <w:szCs w:val="16"/>
                <w:lang w:eastAsia="en-AU"/>
              </w:rPr>
              <w:br/>
              <w:t>capital</w:t>
            </w:r>
            <w:r w:rsidRPr="00043432">
              <w:rPr>
                <w:rFonts w:eastAsia="Times New Roman" w:cs="Arial"/>
                <w:sz w:val="16"/>
                <w:szCs w:val="16"/>
                <w:lang w:eastAsia="en-AU"/>
              </w:rPr>
              <w:br/>
              <w:t>$'000</w:t>
            </w:r>
          </w:p>
        </w:tc>
        <w:tc>
          <w:tcPr>
            <w:tcW w:w="578" w:type="pct"/>
            <w:tcBorders>
              <w:top w:val="single" w:sz="4" w:space="0" w:color="auto"/>
              <w:left w:val="nil"/>
              <w:bottom w:val="single" w:sz="4" w:space="0" w:color="000000"/>
              <w:right w:val="nil"/>
            </w:tcBorders>
            <w:shd w:val="clear" w:color="auto" w:fill="auto"/>
            <w:hideMark/>
          </w:tcPr>
          <w:p w14:paraId="5D3BA0FA"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Total</w:t>
            </w:r>
            <w:r w:rsidRPr="00043432">
              <w:rPr>
                <w:rFonts w:eastAsia="Times New Roman" w:cs="Arial"/>
                <w:sz w:val="16"/>
                <w:szCs w:val="16"/>
                <w:lang w:eastAsia="en-AU"/>
              </w:rPr>
              <w:br/>
              <w:t xml:space="preserve">equity </w:t>
            </w:r>
            <w:r w:rsidRPr="00043432">
              <w:rPr>
                <w:rFonts w:eastAsia="Times New Roman" w:cs="Arial"/>
                <w:sz w:val="16"/>
                <w:szCs w:val="16"/>
                <w:lang w:eastAsia="en-AU"/>
              </w:rPr>
              <w:br/>
            </w:r>
            <w:r w:rsidRPr="00043432">
              <w:rPr>
                <w:rFonts w:eastAsia="Times New Roman" w:cs="Arial"/>
                <w:sz w:val="16"/>
                <w:szCs w:val="16"/>
                <w:lang w:eastAsia="en-AU"/>
              </w:rPr>
              <w:br/>
              <w:t>$'000</w:t>
            </w:r>
          </w:p>
        </w:tc>
      </w:tr>
      <w:tr w:rsidR="00D02397" w:rsidRPr="00FF1C4C" w14:paraId="34B9A19D" w14:textId="77777777" w:rsidTr="00D02397">
        <w:trPr>
          <w:trHeight w:val="210"/>
        </w:trPr>
        <w:tc>
          <w:tcPr>
            <w:tcW w:w="2111" w:type="pct"/>
            <w:tcBorders>
              <w:top w:val="nil"/>
              <w:left w:val="nil"/>
              <w:bottom w:val="nil"/>
              <w:right w:val="nil"/>
            </w:tcBorders>
            <w:shd w:val="clear" w:color="auto" w:fill="auto"/>
            <w:vAlign w:val="bottom"/>
            <w:hideMark/>
          </w:tcPr>
          <w:p w14:paraId="1225FC8E"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Opening balance as at 1 July 2021</w:t>
            </w:r>
          </w:p>
        </w:tc>
        <w:tc>
          <w:tcPr>
            <w:tcW w:w="578" w:type="pct"/>
            <w:tcBorders>
              <w:top w:val="nil"/>
              <w:left w:val="nil"/>
              <w:bottom w:val="nil"/>
              <w:right w:val="nil"/>
            </w:tcBorders>
            <w:shd w:val="clear" w:color="auto" w:fill="auto"/>
            <w:noWrap/>
            <w:vAlign w:val="bottom"/>
            <w:hideMark/>
          </w:tcPr>
          <w:p w14:paraId="565688C9"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p>
        </w:tc>
        <w:tc>
          <w:tcPr>
            <w:tcW w:w="578" w:type="pct"/>
            <w:tcBorders>
              <w:top w:val="nil"/>
              <w:left w:val="nil"/>
              <w:bottom w:val="nil"/>
              <w:right w:val="nil"/>
            </w:tcBorders>
            <w:shd w:val="clear" w:color="auto" w:fill="auto"/>
            <w:noWrap/>
            <w:vAlign w:val="bottom"/>
            <w:hideMark/>
          </w:tcPr>
          <w:p w14:paraId="50CA5F82"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7EBEEBEB"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7D6D9393"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6FC35C52"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D02397" w:rsidRPr="00FF1C4C" w14:paraId="63C5622E" w14:textId="77777777" w:rsidTr="00D02397">
        <w:trPr>
          <w:trHeight w:val="400"/>
        </w:trPr>
        <w:tc>
          <w:tcPr>
            <w:tcW w:w="2111" w:type="pct"/>
            <w:tcBorders>
              <w:top w:val="nil"/>
              <w:left w:val="nil"/>
              <w:bottom w:val="nil"/>
              <w:right w:val="nil"/>
            </w:tcBorders>
            <w:shd w:val="clear" w:color="auto" w:fill="auto"/>
            <w:vAlign w:val="bottom"/>
            <w:hideMark/>
          </w:tcPr>
          <w:p w14:paraId="5079C632"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Balance carried forward from</w:t>
            </w:r>
            <w:r w:rsidRPr="00043432">
              <w:rPr>
                <w:rFonts w:eastAsia="Times New Roman" w:cs="Arial"/>
                <w:sz w:val="16"/>
                <w:szCs w:val="16"/>
                <w:lang w:eastAsia="en-AU"/>
              </w:rPr>
              <w:br/>
              <w:t xml:space="preserve">     previous period</w:t>
            </w:r>
          </w:p>
        </w:tc>
        <w:tc>
          <w:tcPr>
            <w:tcW w:w="578" w:type="pct"/>
            <w:tcBorders>
              <w:top w:val="nil"/>
              <w:left w:val="nil"/>
              <w:bottom w:val="nil"/>
              <w:right w:val="nil"/>
            </w:tcBorders>
            <w:shd w:val="clear" w:color="auto" w:fill="auto"/>
            <w:noWrap/>
            <w:vAlign w:val="bottom"/>
            <w:hideMark/>
          </w:tcPr>
          <w:p w14:paraId="6AB554E9"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14,863 </w:t>
            </w:r>
          </w:p>
        </w:tc>
        <w:tc>
          <w:tcPr>
            <w:tcW w:w="578" w:type="pct"/>
            <w:tcBorders>
              <w:top w:val="nil"/>
              <w:left w:val="nil"/>
              <w:bottom w:val="nil"/>
              <w:right w:val="nil"/>
            </w:tcBorders>
            <w:shd w:val="clear" w:color="auto" w:fill="auto"/>
            <w:noWrap/>
            <w:vAlign w:val="bottom"/>
            <w:hideMark/>
          </w:tcPr>
          <w:p w14:paraId="49876C4D"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7,591 </w:t>
            </w:r>
          </w:p>
        </w:tc>
        <w:tc>
          <w:tcPr>
            <w:tcW w:w="578" w:type="pct"/>
            <w:tcBorders>
              <w:top w:val="nil"/>
              <w:left w:val="nil"/>
              <w:bottom w:val="nil"/>
              <w:right w:val="nil"/>
            </w:tcBorders>
            <w:shd w:val="clear" w:color="auto" w:fill="auto"/>
            <w:noWrap/>
            <w:vAlign w:val="bottom"/>
            <w:hideMark/>
          </w:tcPr>
          <w:p w14:paraId="6B5290E6"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15,000 </w:t>
            </w:r>
          </w:p>
        </w:tc>
        <w:tc>
          <w:tcPr>
            <w:tcW w:w="578" w:type="pct"/>
            <w:tcBorders>
              <w:top w:val="nil"/>
              <w:left w:val="nil"/>
              <w:bottom w:val="nil"/>
              <w:right w:val="nil"/>
            </w:tcBorders>
            <w:shd w:val="clear" w:color="auto" w:fill="auto"/>
            <w:noWrap/>
            <w:vAlign w:val="bottom"/>
            <w:hideMark/>
          </w:tcPr>
          <w:p w14:paraId="598DB9F8"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16,657 </w:t>
            </w:r>
          </w:p>
        </w:tc>
        <w:tc>
          <w:tcPr>
            <w:tcW w:w="578" w:type="pct"/>
            <w:tcBorders>
              <w:top w:val="nil"/>
              <w:left w:val="nil"/>
              <w:bottom w:val="nil"/>
              <w:right w:val="nil"/>
            </w:tcBorders>
            <w:shd w:val="clear" w:color="auto" w:fill="auto"/>
            <w:noWrap/>
            <w:vAlign w:val="bottom"/>
            <w:hideMark/>
          </w:tcPr>
          <w:p w14:paraId="2D244705"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54,111 </w:t>
            </w:r>
          </w:p>
        </w:tc>
      </w:tr>
      <w:tr w:rsidR="00D02397" w:rsidRPr="00FF1C4C" w14:paraId="022BFCBB" w14:textId="77777777" w:rsidTr="00D02397">
        <w:trPr>
          <w:trHeight w:val="200"/>
        </w:trPr>
        <w:tc>
          <w:tcPr>
            <w:tcW w:w="2111" w:type="pct"/>
            <w:tcBorders>
              <w:top w:val="nil"/>
              <w:left w:val="nil"/>
              <w:bottom w:val="nil"/>
              <w:right w:val="nil"/>
            </w:tcBorders>
            <w:shd w:val="clear" w:color="auto" w:fill="auto"/>
            <w:vAlign w:val="bottom"/>
            <w:hideMark/>
          </w:tcPr>
          <w:p w14:paraId="265476F9"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Adjusted opening balance</w:t>
            </w:r>
          </w:p>
        </w:tc>
        <w:tc>
          <w:tcPr>
            <w:tcW w:w="578" w:type="pct"/>
            <w:tcBorders>
              <w:top w:val="single" w:sz="4" w:space="0" w:color="000000"/>
              <w:left w:val="nil"/>
              <w:bottom w:val="single" w:sz="4" w:space="0" w:color="000000"/>
              <w:right w:val="nil"/>
            </w:tcBorders>
            <w:shd w:val="clear" w:color="auto" w:fill="auto"/>
            <w:noWrap/>
            <w:vAlign w:val="bottom"/>
            <w:hideMark/>
          </w:tcPr>
          <w:p w14:paraId="1164F664"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14,863 </w:t>
            </w:r>
          </w:p>
        </w:tc>
        <w:tc>
          <w:tcPr>
            <w:tcW w:w="578" w:type="pct"/>
            <w:tcBorders>
              <w:top w:val="single" w:sz="4" w:space="0" w:color="000000"/>
              <w:left w:val="nil"/>
              <w:bottom w:val="single" w:sz="4" w:space="0" w:color="000000"/>
              <w:right w:val="nil"/>
            </w:tcBorders>
            <w:shd w:val="clear" w:color="auto" w:fill="auto"/>
            <w:noWrap/>
            <w:vAlign w:val="bottom"/>
            <w:hideMark/>
          </w:tcPr>
          <w:p w14:paraId="694D1C30"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7,591 </w:t>
            </w:r>
          </w:p>
        </w:tc>
        <w:tc>
          <w:tcPr>
            <w:tcW w:w="578" w:type="pct"/>
            <w:tcBorders>
              <w:top w:val="single" w:sz="4" w:space="0" w:color="000000"/>
              <w:left w:val="nil"/>
              <w:bottom w:val="single" w:sz="4" w:space="0" w:color="000000"/>
              <w:right w:val="nil"/>
            </w:tcBorders>
            <w:shd w:val="clear" w:color="auto" w:fill="auto"/>
            <w:noWrap/>
            <w:vAlign w:val="bottom"/>
            <w:hideMark/>
          </w:tcPr>
          <w:p w14:paraId="4E3F50AD"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15,000 </w:t>
            </w:r>
          </w:p>
        </w:tc>
        <w:tc>
          <w:tcPr>
            <w:tcW w:w="578" w:type="pct"/>
            <w:tcBorders>
              <w:top w:val="single" w:sz="4" w:space="0" w:color="000000"/>
              <w:left w:val="nil"/>
              <w:bottom w:val="single" w:sz="4" w:space="0" w:color="000000"/>
              <w:right w:val="nil"/>
            </w:tcBorders>
            <w:shd w:val="clear" w:color="auto" w:fill="auto"/>
            <w:noWrap/>
            <w:vAlign w:val="bottom"/>
            <w:hideMark/>
          </w:tcPr>
          <w:p w14:paraId="6E06E49F"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16,657 </w:t>
            </w:r>
          </w:p>
        </w:tc>
        <w:tc>
          <w:tcPr>
            <w:tcW w:w="578" w:type="pct"/>
            <w:tcBorders>
              <w:top w:val="single" w:sz="4" w:space="0" w:color="000000"/>
              <w:left w:val="nil"/>
              <w:bottom w:val="single" w:sz="4" w:space="0" w:color="000000"/>
              <w:right w:val="nil"/>
            </w:tcBorders>
            <w:shd w:val="clear" w:color="auto" w:fill="auto"/>
            <w:noWrap/>
            <w:vAlign w:val="bottom"/>
            <w:hideMark/>
          </w:tcPr>
          <w:p w14:paraId="197D978F"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54,111 </w:t>
            </w:r>
          </w:p>
        </w:tc>
      </w:tr>
      <w:tr w:rsidR="00D02397" w:rsidRPr="00FF1C4C" w14:paraId="419F531A" w14:textId="77777777" w:rsidTr="00D02397">
        <w:trPr>
          <w:trHeight w:val="210"/>
        </w:trPr>
        <w:tc>
          <w:tcPr>
            <w:tcW w:w="2111" w:type="pct"/>
            <w:tcBorders>
              <w:top w:val="nil"/>
              <w:left w:val="nil"/>
              <w:bottom w:val="nil"/>
              <w:right w:val="nil"/>
            </w:tcBorders>
            <w:shd w:val="clear" w:color="auto" w:fill="auto"/>
            <w:noWrap/>
            <w:vAlign w:val="bottom"/>
            <w:hideMark/>
          </w:tcPr>
          <w:p w14:paraId="6C8B32C0"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Comprehensive income</w:t>
            </w:r>
          </w:p>
        </w:tc>
        <w:tc>
          <w:tcPr>
            <w:tcW w:w="578" w:type="pct"/>
            <w:tcBorders>
              <w:top w:val="nil"/>
              <w:left w:val="nil"/>
              <w:bottom w:val="nil"/>
              <w:right w:val="nil"/>
            </w:tcBorders>
            <w:shd w:val="clear" w:color="auto" w:fill="auto"/>
            <w:noWrap/>
            <w:vAlign w:val="bottom"/>
            <w:hideMark/>
          </w:tcPr>
          <w:p w14:paraId="3326DF06"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p>
        </w:tc>
        <w:tc>
          <w:tcPr>
            <w:tcW w:w="578" w:type="pct"/>
            <w:tcBorders>
              <w:top w:val="nil"/>
              <w:left w:val="nil"/>
              <w:bottom w:val="nil"/>
              <w:right w:val="nil"/>
            </w:tcBorders>
            <w:shd w:val="clear" w:color="auto" w:fill="auto"/>
            <w:noWrap/>
            <w:vAlign w:val="bottom"/>
            <w:hideMark/>
          </w:tcPr>
          <w:p w14:paraId="7546A98A"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32E31476"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4C94BA20"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0B52D81"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D02397" w:rsidRPr="00FF1C4C" w14:paraId="313D58C8" w14:textId="77777777" w:rsidTr="00D02397">
        <w:trPr>
          <w:trHeight w:val="210"/>
        </w:trPr>
        <w:tc>
          <w:tcPr>
            <w:tcW w:w="2111" w:type="pct"/>
            <w:tcBorders>
              <w:top w:val="nil"/>
              <w:left w:val="nil"/>
              <w:bottom w:val="nil"/>
              <w:right w:val="nil"/>
            </w:tcBorders>
            <w:shd w:val="clear" w:color="auto" w:fill="auto"/>
            <w:noWrap/>
            <w:vAlign w:val="bottom"/>
            <w:hideMark/>
          </w:tcPr>
          <w:p w14:paraId="1843F0DA" w14:textId="77777777" w:rsidR="00D02397" w:rsidRPr="00043432" w:rsidRDefault="00D0239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Surplus/(deficit) for the period</w:t>
            </w:r>
          </w:p>
        </w:tc>
        <w:tc>
          <w:tcPr>
            <w:tcW w:w="578" w:type="pct"/>
            <w:tcBorders>
              <w:top w:val="nil"/>
              <w:left w:val="nil"/>
              <w:bottom w:val="nil"/>
              <w:right w:val="nil"/>
            </w:tcBorders>
            <w:shd w:val="clear" w:color="auto" w:fill="auto"/>
            <w:noWrap/>
            <w:vAlign w:val="bottom"/>
            <w:hideMark/>
          </w:tcPr>
          <w:p w14:paraId="017BA96D"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3,436 </w:t>
            </w:r>
          </w:p>
        </w:tc>
        <w:tc>
          <w:tcPr>
            <w:tcW w:w="578" w:type="pct"/>
            <w:tcBorders>
              <w:top w:val="nil"/>
              <w:left w:val="nil"/>
              <w:bottom w:val="nil"/>
              <w:right w:val="nil"/>
            </w:tcBorders>
            <w:shd w:val="clear" w:color="auto" w:fill="auto"/>
            <w:noWrap/>
            <w:vAlign w:val="bottom"/>
            <w:hideMark/>
          </w:tcPr>
          <w:p w14:paraId="001F5FFE"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4EB238E3"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263D48D9"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18207BE2"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3,436 </w:t>
            </w:r>
          </w:p>
        </w:tc>
      </w:tr>
      <w:tr w:rsidR="00D02397" w:rsidRPr="00FF1C4C" w14:paraId="6F3E0DCD" w14:textId="77777777" w:rsidTr="00D02397">
        <w:trPr>
          <w:trHeight w:val="200"/>
        </w:trPr>
        <w:tc>
          <w:tcPr>
            <w:tcW w:w="2111" w:type="pct"/>
            <w:tcBorders>
              <w:top w:val="nil"/>
              <w:left w:val="nil"/>
              <w:bottom w:val="nil"/>
              <w:right w:val="nil"/>
            </w:tcBorders>
            <w:shd w:val="clear" w:color="auto" w:fill="auto"/>
            <w:vAlign w:val="bottom"/>
            <w:hideMark/>
          </w:tcPr>
          <w:p w14:paraId="1983B5AB" w14:textId="77777777" w:rsidR="00D02397" w:rsidRPr="00043432" w:rsidRDefault="00D0239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comprehensive income</w:t>
            </w:r>
          </w:p>
        </w:tc>
        <w:tc>
          <w:tcPr>
            <w:tcW w:w="578" w:type="pct"/>
            <w:tcBorders>
              <w:top w:val="single" w:sz="4" w:space="0" w:color="000000"/>
              <w:left w:val="nil"/>
              <w:bottom w:val="nil"/>
              <w:right w:val="nil"/>
            </w:tcBorders>
            <w:shd w:val="clear" w:color="auto" w:fill="auto"/>
            <w:noWrap/>
            <w:vAlign w:val="bottom"/>
            <w:hideMark/>
          </w:tcPr>
          <w:p w14:paraId="6CDD1FC2"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3,436 </w:t>
            </w:r>
          </w:p>
        </w:tc>
        <w:tc>
          <w:tcPr>
            <w:tcW w:w="578" w:type="pct"/>
            <w:tcBorders>
              <w:top w:val="single" w:sz="4" w:space="0" w:color="000000"/>
              <w:left w:val="nil"/>
              <w:bottom w:val="nil"/>
              <w:right w:val="nil"/>
            </w:tcBorders>
            <w:shd w:val="clear" w:color="auto" w:fill="auto"/>
            <w:noWrap/>
            <w:vAlign w:val="bottom"/>
            <w:hideMark/>
          </w:tcPr>
          <w:p w14:paraId="7A184FFB"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w:t>
            </w:r>
          </w:p>
        </w:tc>
        <w:tc>
          <w:tcPr>
            <w:tcW w:w="578" w:type="pct"/>
            <w:tcBorders>
              <w:top w:val="single" w:sz="4" w:space="0" w:color="000000"/>
              <w:left w:val="nil"/>
              <w:bottom w:val="nil"/>
              <w:right w:val="nil"/>
            </w:tcBorders>
            <w:shd w:val="clear" w:color="auto" w:fill="auto"/>
            <w:noWrap/>
            <w:vAlign w:val="bottom"/>
            <w:hideMark/>
          </w:tcPr>
          <w:p w14:paraId="11C14FCA"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w:t>
            </w:r>
          </w:p>
        </w:tc>
        <w:tc>
          <w:tcPr>
            <w:tcW w:w="578" w:type="pct"/>
            <w:tcBorders>
              <w:top w:val="single" w:sz="4" w:space="0" w:color="000000"/>
              <w:left w:val="nil"/>
              <w:bottom w:val="nil"/>
              <w:right w:val="nil"/>
            </w:tcBorders>
            <w:shd w:val="clear" w:color="auto" w:fill="auto"/>
            <w:noWrap/>
            <w:vAlign w:val="bottom"/>
            <w:hideMark/>
          </w:tcPr>
          <w:p w14:paraId="401EB8BF"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 </w:t>
            </w:r>
          </w:p>
        </w:tc>
        <w:tc>
          <w:tcPr>
            <w:tcW w:w="578" w:type="pct"/>
            <w:tcBorders>
              <w:top w:val="single" w:sz="4" w:space="0" w:color="000000"/>
              <w:left w:val="nil"/>
              <w:bottom w:val="nil"/>
              <w:right w:val="nil"/>
            </w:tcBorders>
            <w:shd w:val="clear" w:color="auto" w:fill="auto"/>
            <w:noWrap/>
            <w:vAlign w:val="bottom"/>
            <w:hideMark/>
          </w:tcPr>
          <w:p w14:paraId="75A25259" w14:textId="77777777" w:rsidR="00D02397" w:rsidRPr="00043432" w:rsidRDefault="00D02397"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3,436 </w:t>
            </w:r>
          </w:p>
        </w:tc>
      </w:tr>
      <w:tr w:rsidR="00D02397" w:rsidRPr="00FF1C4C" w14:paraId="4005ADD2" w14:textId="77777777" w:rsidTr="00D02397">
        <w:trPr>
          <w:trHeight w:val="210"/>
        </w:trPr>
        <w:tc>
          <w:tcPr>
            <w:tcW w:w="2111" w:type="pct"/>
            <w:tcBorders>
              <w:top w:val="nil"/>
              <w:left w:val="nil"/>
              <w:bottom w:val="nil"/>
              <w:right w:val="nil"/>
            </w:tcBorders>
            <w:shd w:val="clear" w:color="auto" w:fill="auto"/>
            <w:noWrap/>
            <w:vAlign w:val="bottom"/>
            <w:hideMark/>
          </w:tcPr>
          <w:p w14:paraId="3AA459D9"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Transfers between equity</w:t>
            </w:r>
          </w:p>
        </w:tc>
        <w:tc>
          <w:tcPr>
            <w:tcW w:w="578" w:type="pct"/>
            <w:tcBorders>
              <w:top w:val="nil"/>
              <w:left w:val="nil"/>
              <w:bottom w:val="nil"/>
              <w:right w:val="nil"/>
            </w:tcBorders>
            <w:shd w:val="clear" w:color="auto" w:fill="auto"/>
            <w:noWrap/>
            <w:vAlign w:val="bottom"/>
            <w:hideMark/>
          </w:tcPr>
          <w:p w14:paraId="4E17B4B8"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7E7CDD58"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17446565"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35F280E0"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3346D928" w14:textId="77777777" w:rsidR="00D02397" w:rsidRPr="00043432" w:rsidRDefault="00D02397"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D02397" w:rsidRPr="00FF1C4C" w14:paraId="720C2EA0" w14:textId="77777777" w:rsidTr="00D02397">
        <w:trPr>
          <w:trHeight w:val="400"/>
        </w:trPr>
        <w:tc>
          <w:tcPr>
            <w:tcW w:w="2111" w:type="pct"/>
            <w:tcBorders>
              <w:top w:val="nil"/>
              <w:left w:val="nil"/>
              <w:bottom w:val="nil"/>
              <w:right w:val="nil"/>
            </w:tcBorders>
            <w:shd w:val="clear" w:color="auto" w:fill="auto"/>
            <w:vAlign w:val="bottom"/>
            <w:hideMark/>
          </w:tcPr>
          <w:p w14:paraId="34EA2669" w14:textId="77777777" w:rsidR="00D02397" w:rsidRPr="00043432" w:rsidRDefault="00D0239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Transfers between equity</w:t>
            </w:r>
            <w:r w:rsidRPr="00043432">
              <w:rPr>
                <w:rFonts w:eastAsia="Times New Roman" w:cs="Arial"/>
                <w:sz w:val="16"/>
                <w:szCs w:val="16"/>
                <w:lang w:eastAsia="en-AU"/>
              </w:rPr>
              <w:br/>
              <w:t xml:space="preserve">         components</w:t>
            </w:r>
          </w:p>
        </w:tc>
        <w:tc>
          <w:tcPr>
            <w:tcW w:w="578" w:type="pct"/>
            <w:tcBorders>
              <w:top w:val="nil"/>
              <w:left w:val="nil"/>
              <w:bottom w:val="nil"/>
              <w:right w:val="nil"/>
            </w:tcBorders>
            <w:shd w:val="clear" w:color="auto" w:fill="auto"/>
            <w:noWrap/>
            <w:vAlign w:val="bottom"/>
            <w:hideMark/>
          </w:tcPr>
          <w:p w14:paraId="15D04AD0"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8,000 </w:t>
            </w:r>
          </w:p>
        </w:tc>
        <w:tc>
          <w:tcPr>
            <w:tcW w:w="578" w:type="pct"/>
            <w:tcBorders>
              <w:top w:val="nil"/>
              <w:left w:val="nil"/>
              <w:bottom w:val="nil"/>
              <w:right w:val="nil"/>
            </w:tcBorders>
            <w:shd w:val="clear" w:color="auto" w:fill="auto"/>
            <w:noWrap/>
            <w:vAlign w:val="bottom"/>
            <w:hideMark/>
          </w:tcPr>
          <w:p w14:paraId="72D2B7AB"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18DD1E79"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(8,000)</w:t>
            </w:r>
          </w:p>
        </w:tc>
        <w:tc>
          <w:tcPr>
            <w:tcW w:w="578" w:type="pct"/>
            <w:tcBorders>
              <w:top w:val="nil"/>
              <w:left w:val="nil"/>
              <w:bottom w:val="nil"/>
              <w:right w:val="nil"/>
            </w:tcBorders>
            <w:shd w:val="clear" w:color="auto" w:fill="auto"/>
            <w:noWrap/>
            <w:vAlign w:val="bottom"/>
            <w:hideMark/>
          </w:tcPr>
          <w:p w14:paraId="75E6CB77"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32188752" w14:textId="77777777" w:rsidR="00D02397" w:rsidRPr="00043432" w:rsidRDefault="00D02397"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 </w:t>
            </w:r>
          </w:p>
        </w:tc>
      </w:tr>
      <w:tr w:rsidR="00D02397" w:rsidRPr="00FF1C4C" w14:paraId="21A03581" w14:textId="77777777" w:rsidTr="00D02397">
        <w:trPr>
          <w:trHeight w:val="420"/>
        </w:trPr>
        <w:tc>
          <w:tcPr>
            <w:tcW w:w="2111" w:type="pct"/>
            <w:tcBorders>
              <w:top w:val="nil"/>
              <w:left w:val="nil"/>
              <w:bottom w:val="nil"/>
              <w:right w:val="nil"/>
            </w:tcBorders>
            <w:shd w:val="clear" w:color="auto" w:fill="auto"/>
            <w:vAlign w:val="bottom"/>
            <w:hideMark/>
          </w:tcPr>
          <w:p w14:paraId="5865A829"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Estimated closing balance as at</w:t>
            </w:r>
            <w:r w:rsidRPr="00043432">
              <w:rPr>
                <w:rFonts w:eastAsia="Times New Roman" w:cs="Arial"/>
                <w:b/>
                <w:bCs/>
                <w:sz w:val="16"/>
                <w:szCs w:val="16"/>
                <w:lang w:eastAsia="en-AU"/>
              </w:rPr>
              <w:br/>
              <w:t xml:space="preserve">  30 June 2022</w:t>
            </w:r>
          </w:p>
        </w:tc>
        <w:tc>
          <w:tcPr>
            <w:tcW w:w="578" w:type="pct"/>
            <w:tcBorders>
              <w:top w:val="single" w:sz="4" w:space="0" w:color="auto"/>
              <w:left w:val="nil"/>
              <w:bottom w:val="single" w:sz="4" w:space="0" w:color="auto"/>
              <w:right w:val="nil"/>
            </w:tcBorders>
            <w:shd w:val="clear" w:color="auto" w:fill="auto"/>
            <w:noWrap/>
            <w:vAlign w:val="bottom"/>
            <w:hideMark/>
          </w:tcPr>
          <w:p w14:paraId="4EF1066F"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26,299 </w:t>
            </w:r>
          </w:p>
        </w:tc>
        <w:tc>
          <w:tcPr>
            <w:tcW w:w="578" w:type="pct"/>
            <w:tcBorders>
              <w:top w:val="single" w:sz="4" w:space="0" w:color="auto"/>
              <w:left w:val="nil"/>
              <w:bottom w:val="single" w:sz="4" w:space="0" w:color="auto"/>
              <w:right w:val="nil"/>
            </w:tcBorders>
            <w:shd w:val="clear" w:color="auto" w:fill="auto"/>
            <w:noWrap/>
            <w:vAlign w:val="bottom"/>
            <w:hideMark/>
          </w:tcPr>
          <w:p w14:paraId="0F90AC7D"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7,591 </w:t>
            </w:r>
          </w:p>
        </w:tc>
        <w:tc>
          <w:tcPr>
            <w:tcW w:w="578" w:type="pct"/>
            <w:tcBorders>
              <w:top w:val="single" w:sz="4" w:space="0" w:color="auto"/>
              <w:left w:val="nil"/>
              <w:bottom w:val="single" w:sz="4" w:space="0" w:color="auto"/>
              <w:right w:val="nil"/>
            </w:tcBorders>
            <w:shd w:val="clear" w:color="auto" w:fill="auto"/>
            <w:noWrap/>
            <w:vAlign w:val="bottom"/>
            <w:hideMark/>
          </w:tcPr>
          <w:p w14:paraId="3C35FAEC"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7,000 </w:t>
            </w:r>
          </w:p>
        </w:tc>
        <w:tc>
          <w:tcPr>
            <w:tcW w:w="578" w:type="pct"/>
            <w:tcBorders>
              <w:top w:val="single" w:sz="4" w:space="0" w:color="auto"/>
              <w:left w:val="nil"/>
              <w:bottom w:val="single" w:sz="4" w:space="0" w:color="auto"/>
              <w:right w:val="nil"/>
            </w:tcBorders>
            <w:shd w:val="clear" w:color="auto" w:fill="auto"/>
            <w:noWrap/>
            <w:vAlign w:val="bottom"/>
            <w:hideMark/>
          </w:tcPr>
          <w:p w14:paraId="7DE7FC75"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16,657 </w:t>
            </w:r>
          </w:p>
        </w:tc>
        <w:tc>
          <w:tcPr>
            <w:tcW w:w="578" w:type="pct"/>
            <w:tcBorders>
              <w:top w:val="single" w:sz="4" w:space="0" w:color="auto"/>
              <w:left w:val="nil"/>
              <w:bottom w:val="single" w:sz="4" w:space="0" w:color="auto"/>
              <w:right w:val="nil"/>
            </w:tcBorders>
            <w:shd w:val="clear" w:color="auto" w:fill="auto"/>
            <w:noWrap/>
            <w:vAlign w:val="bottom"/>
            <w:hideMark/>
          </w:tcPr>
          <w:p w14:paraId="47CD14B5"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57,547 </w:t>
            </w:r>
          </w:p>
        </w:tc>
      </w:tr>
      <w:tr w:rsidR="00D02397" w:rsidRPr="00FF1C4C" w14:paraId="087A3CD7" w14:textId="77777777" w:rsidTr="00D02397">
        <w:trPr>
          <w:trHeight w:val="420"/>
        </w:trPr>
        <w:tc>
          <w:tcPr>
            <w:tcW w:w="2111" w:type="pct"/>
            <w:tcBorders>
              <w:top w:val="nil"/>
              <w:left w:val="nil"/>
              <w:bottom w:val="single" w:sz="4" w:space="0" w:color="000000"/>
              <w:right w:val="nil"/>
            </w:tcBorders>
            <w:shd w:val="clear" w:color="auto" w:fill="auto"/>
            <w:vAlign w:val="bottom"/>
            <w:hideMark/>
          </w:tcPr>
          <w:p w14:paraId="1A314FDC" w14:textId="77777777" w:rsidR="00D02397" w:rsidRPr="00043432" w:rsidRDefault="00D0239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Closing balance attributable to</w:t>
            </w:r>
            <w:r w:rsidRPr="00043432">
              <w:rPr>
                <w:rFonts w:eastAsia="Times New Roman" w:cs="Arial"/>
                <w:b/>
                <w:bCs/>
                <w:sz w:val="16"/>
                <w:szCs w:val="16"/>
                <w:lang w:eastAsia="en-AU"/>
              </w:rPr>
              <w:br/>
              <w:t xml:space="preserve">  the Australian Government</w:t>
            </w:r>
          </w:p>
        </w:tc>
        <w:tc>
          <w:tcPr>
            <w:tcW w:w="578" w:type="pct"/>
            <w:tcBorders>
              <w:top w:val="nil"/>
              <w:left w:val="nil"/>
              <w:bottom w:val="single" w:sz="4" w:space="0" w:color="auto"/>
              <w:right w:val="nil"/>
            </w:tcBorders>
            <w:shd w:val="clear" w:color="auto" w:fill="auto"/>
            <w:noWrap/>
            <w:vAlign w:val="bottom"/>
            <w:hideMark/>
          </w:tcPr>
          <w:p w14:paraId="70D17506"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26,299 </w:t>
            </w:r>
          </w:p>
        </w:tc>
        <w:tc>
          <w:tcPr>
            <w:tcW w:w="578" w:type="pct"/>
            <w:tcBorders>
              <w:top w:val="nil"/>
              <w:left w:val="nil"/>
              <w:bottom w:val="single" w:sz="4" w:space="0" w:color="auto"/>
              <w:right w:val="nil"/>
            </w:tcBorders>
            <w:shd w:val="clear" w:color="auto" w:fill="auto"/>
            <w:noWrap/>
            <w:vAlign w:val="bottom"/>
            <w:hideMark/>
          </w:tcPr>
          <w:p w14:paraId="2E8359AC"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7,591 </w:t>
            </w:r>
          </w:p>
        </w:tc>
        <w:tc>
          <w:tcPr>
            <w:tcW w:w="578" w:type="pct"/>
            <w:tcBorders>
              <w:top w:val="nil"/>
              <w:left w:val="nil"/>
              <w:bottom w:val="single" w:sz="4" w:space="0" w:color="auto"/>
              <w:right w:val="nil"/>
            </w:tcBorders>
            <w:shd w:val="clear" w:color="auto" w:fill="auto"/>
            <w:noWrap/>
            <w:vAlign w:val="bottom"/>
            <w:hideMark/>
          </w:tcPr>
          <w:p w14:paraId="0013E3F2"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7,000 </w:t>
            </w:r>
          </w:p>
        </w:tc>
        <w:tc>
          <w:tcPr>
            <w:tcW w:w="578" w:type="pct"/>
            <w:tcBorders>
              <w:top w:val="nil"/>
              <w:left w:val="nil"/>
              <w:bottom w:val="single" w:sz="4" w:space="0" w:color="auto"/>
              <w:right w:val="nil"/>
            </w:tcBorders>
            <w:shd w:val="clear" w:color="auto" w:fill="auto"/>
            <w:noWrap/>
            <w:vAlign w:val="bottom"/>
            <w:hideMark/>
          </w:tcPr>
          <w:p w14:paraId="161C60D5"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16,657 </w:t>
            </w:r>
          </w:p>
        </w:tc>
        <w:tc>
          <w:tcPr>
            <w:tcW w:w="578" w:type="pct"/>
            <w:tcBorders>
              <w:top w:val="nil"/>
              <w:left w:val="nil"/>
              <w:bottom w:val="single" w:sz="4" w:space="0" w:color="auto"/>
              <w:right w:val="nil"/>
            </w:tcBorders>
            <w:shd w:val="clear" w:color="auto" w:fill="auto"/>
            <w:noWrap/>
            <w:vAlign w:val="bottom"/>
            <w:hideMark/>
          </w:tcPr>
          <w:p w14:paraId="59BB7B68" w14:textId="77777777" w:rsidR="00D02397" w:rsidRPr="00043432" w:rsidRDefault="00D02397"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57,547 </w:t>
            </w:r>
          </w:p>
        </w:tc>
      </w:tr>
    </w:tbl>
    <w:p w14:paraId="14A39C3A" w14:textId="77777777" w:rsidR="0008358A" w:rsidRPr="00132F9E" w:rsidRDefault="0008358A" w:rsidP="0008358A">
      <w:pPr>
        <w:pStyle w:val="TableGraphic"/>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63AD2C7E" w14:textId="77777777" w:rsidR="0008358A" w:rsidRPr="00152B2B" w:rsidRDefault="0008358A" w:rsidP="00043432">
      <w:pPr>
        <w:pStyle w:val="ListParagraph"/>
        <w:numPr>
          <w:ilvl w:val="0"/>
          <w:numId w:val="20"/>
        </w:numPr>
      </w:pPr>
    </w:p>
    <w:p w14:paraId="0590CC4C" w14:textId="4C63C1C1" w:rsidR="0008358A" w:rsidRDefault="0008358A" w:rsidP="00663122">
      <w:pPr>
        <w:pStyle w:val="TableHeading"/>
        <w:spacing w:before="0" w:after="0"/>
      </w:pPr>
      <w:r>
        <w:br w:type="page"/>
      </w:r>
      <w:r w:rsidR="00851FA1" w:rsidRPr="0019258B">
        <w:rPr>
          <w:rFonts w:ascii="Arial Bold" w:eastAsia="Times New Roman" w:hAnsi="Arial Bold" w:cs="Times New Roman"/>
          <w:i w:val="0"/>
          <w:color w:val="auto"/>
          <w:sz w:val="20"/>
          <w:szCs w:val="20"/>
          <w:lang w:eastAsia="en-AU"/>
        </w:rPr>
        <w:lastRenderedPageBreak/>
        <w:t>Table 3.4: Budgeted departmental statement of cash flows (for the period ended 30 June)</w:t>
      </w:r>
    </w:p>
    <w:tbl>
      <w:tblPr>
        <w:tblW w:w="5000" w:type="pct"/>
        <w:tblCellMar>
          <w:left w:w="0" w:type="dxa"/>
          <w:right w:w="28" w:type="dxa"/>
        </w:tblCellMar>
        <w:tblLook w:val="04A0" w:firstRow="1" w:lastRow="0" w:firstColumn="1" w:lastColumn="0" w:noHBand="0" w:noVBand="1"/>
      </w:tblPr>
      <w:tblGrid>
        <w:gridCol w:w="3294"/>
        <w:gridCol w:w="884"/>
        <w:gridCol w:w="884"/>
        <w:gridCol w:w="884"/>
        <w:gridCol w:w="884"/>
        <w:gridCol w:w="880"/>
      </w:tblGrid>
      <w:tr w:rsidR="00E36857" w:rsidRPr="00956125" w14:paraId="7E5AE660" w14:textId="77777777" w:rsidTr="006907A8">
        <w:trPr>
          <w:trHeight w:val="800"/>
        </w:trPr>
        <w:tc>
          <w:tcPr>
            <w:tcW w:w="2136" w:type="pct"/>
            <w:tcBorders>
              <w:top w:val="single" w:sz="4" w:space="0" w:color="auto"/>
              <w:left w:val="nil"/>
              <w:bottom w:val="nil"/>
              <w:right w:val="nil"/>
            </w:tcBorders>
            <w:shd w:val="clear" w:color="000000" w:fill="FFFFFF"/>
            <w:noWrap/>
            <w:hideMark/>
          </w:tcPr>
          <w:p w14:paraId="5EBC5621" w14:textId="77777777" w:rsidR="00E36857" w:rsidRPr="00043432" w:rsidRDefault="00E36857" w:rsidP="00043432">
            <w:pPr>
              <w:pStyle w:val="ListParagraph"/>
              <w:numPr>
                <w:ilvl w:val="0"/>
                <w:numId w:val="20"/>
              </w:numPr>
              <w:spacing w:after="0"/>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c>
          <w:tcPr>
            <w:tcW w:w="573" w:type="pct"/>
            <w:tcBorders>
              <w:top w:val="single" w:sz="4" w:space="0" w:color="auto"/>
              <w:left w:val="nil"/>
              <w:bottom w:val="single" w:sz="4" w:space="0" w:color="auto"/>
              <w:right w:val="nil"/>
            </w:tcBorders>
            <w:shd w:val="clear" w:color="000000" w:fill="FFFFFF"/>
            <w:hideMark/>
          </w:tcPr>
          <w:p w14:paraId="7A411B5B" w14:textId="77777777" w:rsidR="00E36857" w:rsidRPr="00043432" w:rsidRDefault="00E3685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 Estimated actual</w:t>
            </w:r>
            <w:r w:rsidRPr="00043432">
              <w:rPr>
                <w:rFonts w:eastAsia="Times New Roman" w:cs="Arial"/>
                <w:color w:val="auto"/>
                <w:sz w:val="16"/>
                <w:szCs w:val="16"/>
                <w:lang w:eastAsia="en-AU"/>
              </w:rPr>
              <w:br/>
              <w:t>$'000</w:t>
            </w:r>
          </w:p>
        </w:tc>
        <w:tc>
          <w:tcPr>
            <w:tcW w:w="573" w:type="pct"/>
            <w:tcBorders>
              <w:top w:val="single" w:sz="4" w:space="0" w:color="auto"/>
              <w:left w:val="nil"/>
              <w:bottom w:val="single" w:sz="4" w:space="0" w:color="auto"/>
              <w:right w:val="nil"/>
            </w:tcBorders>
            <w:shd w:val="clear" w:color="000000" w:fill="E6E6E6"/>
            <w:hideMark/>
          </w:tcPr>
          <w:p w14:paraId="2EC37D6D" w14:textId="77777777" w:rsidR="00E36857" w:rsidRPr="00043432" w:rsidRDefault="00E3685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r w:rsidRPr="00043432">
              <w:rPr>
                <w:rFonts w:eastAsia="Times New Roman" w:cs="Arial"/>
                <w:color w:val="auto"/>
                <w:sz w:val="16"/>
                <w:szCs w:val="16"/>
                <w:lang w:eastAsia="en-AU"/>
              </w:rPr>
              <w:br/>
              <w:t>Budget</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573" w:type="pct"/>
            <w:tcBorders>
              <w:top w:val="single" w:sz="4" w:space="0" w:color="auto"/>
              <w:left w:val="nil"/>
              <w:bottom w:val="single" w:sz="4" w:space="0" w:color="auto"/>
              <w:right w:val="nil"/>
            </w:tcBorders>
            <w:shd w:val="clear" w:color="000000" w:fill="FFFFFF"/>
            <w:hideMark/>
          </w:tcPr>
          <w:p w14:paraId="1CAF92BF" w14:textId="77777777" w:rsidR="00E36857" w:rsidRPr="00043432" w:rsidRDefault="00E3685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2022-23 Forward estimate</w:t>
            </w:r>
            <w:r w:rsidRPr="00043432">
              <w:rPr>
                <w:rFonts w:eastAsia="Times New Roman" w:cs="Arial"/>
                <w:color w:val="auto"/>
                <w:sz w:val="16"/>
                <w:szCs w:val="16"/>
                <w:lang w:eastAsia="en-AU"/>
              </w:rPr>
              <w:br/>
              <w:t>$'000</w:t>
            </w:r>
          </w:p>
        </w:tc>
        <w:tc>
          <w:tcPr>
            <w:tcW w:w="573" w:type="pct"/>
            <w:tcBorders>
              <w:top w:val="single" w:sz="4" w:space="0" w:color="auto"/>
              <w:left w:val="nil"/>
              <w:bottom w:val="single" w:sz="4" w:space="0" w:color="auto"/>
              <w:right w:val="nil"/>
            </w:tcBorders>
            <w:shd w:val="clear" w:color="000000" w:fill="FFFFFF"/>
            <w:hideMark/>
          </w:tcPr>
          <w:p w14:paraId="169D5C31" w14:textId="77777777" w:rsidR="00E36857" w:rsidRPr="00043432" w:rsidRDefault="00E3685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2023-24 Forward estimate</w:t>
            </w:r>
            <w:r w:rsidRPr="00043432">
              <w:rPr>
                <w:rFonts w:eastAsia="Times New Roman" w:cs="Arial"/>
                <w:color w:val="auto"/>
                <w:sz w:val="16"/>
                <w:szCs w:val="16"/>
                <w:lang w:eastAsia="en-AU"/>
              </w:rPr>
              <w:br/>
              <w:t>$'000</w:t>
            </w:r>
          </w:p>
        </w:tc>
        <w:tc>
          <w:tcPr>
            <w:tcW w:w="571" w:type="pct"/>
            <w:tcBorders>
              <w:top w:val="single" w:sz="4" w:space="0" w:color="auto"/>
              <w:left w:val="nil"/>
              <w:bottom w:val="single" w:sz="4" w:space="0" w:color="auto"/>
              <w:right w:val="nil"/>
            </w:tcBorders>
            <w:shd w:val="clear" w:color="000000" w:fill="FFFFFF"/>
            <w:hideMark/>
          </w:tcPr>
          <w:p w14:paraId="2DE67D1F" w14:textId="77777777" w:rsidR="00E36857" w:rsidRPr="00043432" w:rsidRDefault="00E36857"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2024-25</w:t>
            </w:r>
            <w:r w:rsidRPr="00043432">
              <w:rPr>
                <w:rFonts w:eastAsia="Times New Roman" w:cs="Arial"/>
                <w:color w:val="auto"/>
                <w:sz w:val="16"/>
                <w:szCs w:val="16"/>
                <w:lang w:eastAsia="en-AU"/>
              </w:rPr>
              <w:br/>
              <w:t>Forward estimate</w:t>
            </w:r>
            <w:r w:rsidRPr="00043432">
              <w:rPr>
                <w:rFonts w:eastAsia="Times New Roman" w:cs="Arial"/>
                <w:color w:val="auto"/>
                <w:sz w:val="16"/>
                <w:szCs w:val="16"/>
                <w:lang w:eastAsia="en-AU"/>
              </w:rPr>
              <w:br/>
              <w:t>$'000</w:t>
            </w:r>
          </w:p>
        </w:tc>
      </w:tr>
      <w:tr w:rsidR="00E36857" w:rsidRPr="00956125" w14:paraId="7F3F1E37" w14:textId="77777777" w:rsidTr="006907A8">
        <w:trPr>
          <w:trHeight w:val="170"/>
        </w:trPr>
        <w:tc>
          <w:tcPr>
            <w:tcW w:w="2136" w:type="pct"/>
            <w:tcBorders>
              <w:top w:val="nil"/>
              <w:left w:val="nil"/>
              <w:bottom w:val="nil"/>
              <w:right w:val="nil"/>
            </w:tcBorders>
            <w:shd w:val="clear" w:color="000000" w:fill="FFFFFF"/>
            <w:noWrap/>
            <w:vAlign w:val="bottom"/>
            <w:hideMark/>
          </w:tcPr>
          <w:p w14:paraId="0044E219"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OPERATING ACTIVITIES</w:t>
            </w:r>
          </w:p>
        </w:tc>
        <w:tc>
          <w:tcPr>
            <w:tcW w:w="573" w:type="pct"/>
            <w:tcBorders>
              <w:top w:val="nil"/>
              <w:left w:val="nil"/>
              <w:bottom w:val="nil"/>
              <w:right w:val="nil"/>
            </w:tcBorders>
            <w:shd w:val="clear" w:color="000000" w:fill="FFFFFF"/>
            <w:noWrap/>
            <w:vAlign w:val="bottom"/>
            <w:hideMark/>
          </w:tcPr>
          <w:p w14:paraId="6DA277E0"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3" w:type="pct"/>
            <w:tcBorders>
              <w:top w:val="nil"/>
              <w:left w:val="nil"/>
              <w:bottom w:val="nil"/>
              <w:right w:val="nil"/>
            </w:tcBorders>
            <w:shd w:val="clear" w:color="000000" w:fill="E6E6E6"/>
            <w:noWrap/>
            <w:vAlign w:val="bottom"/>
            <w:hideMark/>
          </w:tcPr>
          <w:p w14:paraId="0CDDBF52"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3" w:type="pct"/>
            <w:tcBorders>
              <w:top w:val="nil"/>
              <w:left w:val="nil"/>
              <w:bottom w:val="nil"/>
              <w:right w:val="nil"/>
            </w:tcBorders>
            <w:shd w:val="clear" w:color="000000" w:fill="FFFFFF"/>
            <w:noWrap/>
            <w:vAlign w:val="bottom"/>
            <w:hideMark/>
          </w:tcPr>
          <w:p w14:paraId="320160B7"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3" w:type="pct"/>
            <w:tcBorders>
              <w:top w:val="nil"/>
              <w:left w:val="nil"/>
              <w:bottom w:val="nil"/>
              <w:right w:val="nil"/>
            </w:tcBorders>
            <w:shd w:val="clear" w:color="000000" w:fill="FFFFFF"/>
            <w:noWrap/>
            <w:vAlign w:val="bottom"/>
            <w:hideMark/>
          </w:tcPr>
          <w:p w14:paraId="79E82199"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1" w:type="pct"/>
            <w:tcBorders>
              <w:top w:val="nil"/>
              <w:left w:val="nil"/>
              <w:bottom w:val="nil"/>
              <w:right w:val="nil"/>
            </w:tcBorders>
            <w:shd w:val="clear" w:color="000000" w:fill="FFFFFF"/>
            <w:noWrap/>
            <w:vAlign w:val="bottom"/>
            <w:hideMark/>
          </w:tcPr>
          <w:p w14:paraId="595DD19B"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r>
      <w:tr w:rsidR="00E36857" w:rsidRPr="00956125" w14:paraId="3F9D3BE8" w14:textId="77777777" w:rsidTr="006907A8">
        <w:trPr>
          <w:trHeight w:val="170"/>
        </w:trPr>
        <w:tc>
          <w:tcPr>
            <w:tcW w:w="2136" w:type="pct"/>
            <w:tcBorders>
              <w:top w:val="nil"/>
              <w:left w:val="nil"/>
              <w:bottom w:val="nil"/>
              <w:right w:val="nil"/>
            </w:tcBorders>
            <w:shd w:val="clear" w:color="000000" w:fill="FFFFFF"/>
            <w:noWrap/>
            <w:vAlign w:val="bottom"/>
            <w:hideMark/>
          </w:tcPr>
          <w:p w14:paraId="33772E4D"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Cash received</w:t>
            </w:r>
          </w:p>
        </w:tc>
        <w:tc>
          <w:tcPr>
            <w:tcW w:w="573" w:type="pct"/>
            <w:tcBorders>
              <w:top w:val="nil"/>
              <w:left w:val="nil"/>
              <w:bottom w:val="nil"/>
              <w:right w:val="nil"/>
            </w:tcBorders>
            <w:shd w:val="clear" w:color="000000" w:fill="FFFFFF"/>
            <w:noWrap/>
            <w:vAlign w:val="bottom"/>
            <w:hideMark/>
          </w:tcPr>
          <w:p w14:paraId="7E37FF6F"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3" w:type="pct"/>
            <w:tcBorders>
              <w:top w:val="nil"/>
              <w:left w:val="nil"/>
              <w:bottom w:val="nil"/>
              <w:right w:val="nil"/>
            </w:tcBorders>
            <w:shd w:val="clear" w:color="000000" w:fill="E6E6E6"/>
            <w:noWrap/>
            <w:vAlign w:val="bottom"/>
            <w:hideMark/>
          </w:tcPr>
          <w:p w14:paraId="454F3FC2"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3" w:type="pct"/>
            <w:tcBorders>
              <w:top w:val="nil"/>
              <w:left w:val="nil"/>
              <w:bottom w:val="nil"/>
              <w:right w:val="nil"/>
            </w:tcBorders>
            <w:shd w:val="clear" w:color="000000" w:fill="FFFFFF"/>
            <w:noWrap/>
            <w:vAlign w:val="bottom"/>
            <w:hideMark/>
          </w:tcPr>
          <w:p w14:paraId="0C4DC7D4"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3" w:type="pct"/>
            <w:tcBorders>
              <w:top w:val="nil"/>
              <w:left w:val="nil"/>
              <w:bottom w:val="nil"/>
              <w:right w:val="nil"/>
            </w:tcBorders>
            <w:shd w:val="clear" w:color="000000" w:fill="FFFFFF"/>
            <w:noWrap/>
            <w:vAlign w:val="bottom"/>
            <w:hideMark/>
          </w:tcPr>
          <w:p w14:paraId="1EF7B508"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1" w:type="pct"/>
            <w:tcBorders>
              <w:top w:val="nil"/>
              <w:left w:val="nil"/>
              <w:bottom w:val="nil"/>
              <w:right w:val="nil"/>
            </w:tcBorders>
            <w:shd w:val="clear" w:color="000000" w:fill="FFFFFF"/>
            <w:noWrap/>
            <w:vAlign w:val="bottom"/>
            <w:hideMark/>
          </w:tcPr>
          <w:p w14:paraId="1FE8C368"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r>
      <w:tr w:rsidR="00E36857" w:rsidRPr="00956125" w14:paraId="73607171" w14:textId="77777777" w:rsidTr="006907A8">
        <w:trPr>
          <w:trHeight w:val="170"/>
        </w:trPr>
        <w:tc>
          <w:tcPr>
            <w:tcW w:w="2136" w:type="pct"/>
            <w:tcBorders>
              <w:top w:val="nil"/>
              <w:left w:val="nil"/>
              <w:bottom w:val="nil"/>
              <w:right w:val="nil"/>
            </w:tcBorders>
            <w:shd w:val="clear" w:color="000000" w:fill="FFFFFF"/>
            <w:noWrap/>
            <w:vAlign w:val="bottom"/>
            <w:hideMark/>
          </w:tcPr>
          <w:p w14:paraId="0E1005EE"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Appropriations</w:t>
            </w:r>
          </w:p>
        </w:tc>
        <w:tc>
          <w:tcPr>
            <w:tcW w:w="573" w:type="pct"/>
            <w:tcBorders>
              <w:top w:val="nil"/>
              <w:left w:val="nil"/>
              <w:bottom w:val="nil"/>
              <w:right w:val="nil"/>
            </w:tcBorders>
            <w:shd w:val="clear" w:color="000000" w:fill="FFFFFF"/>
            <w:noWrap/>
            <w:vAlign w:val="center"/>
            <w:hideMark/>
          </w:tcPr>
          <w:p w14:paraId="17C03C5A" w14:textId="639CB686"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191,322 </w:t>
            </w:r>
          </w:p>
        </w:tc>
        <w:tc>
          <w:tcPr>
            <w:tcW w:w="573" w:type="pct"/>
            <w:tcBorders>
              <w:top w:val="nil"/>
              <w:left w:val="nil"/>
              <w:bottom w:val="nil"/>
              <w:right w:val="nil"/>
            </w:tcBorders>
            <w:shd w:val="clear" w:color="000000" w:fill="E6E6E6"/>
            <w:noWrap/>
            <w:vAlign w:val="center"/>
            <w:hideMark/>
          </w:tcPr>
          <w:p w14:paraId="44D807B6" w14:textId="103249AF"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233,038 </w:t>
            </w:r>
          </w:p>
        </w:tc>
        <w:tc>
          <w:tcPr>
            <w:tcW w:w="573" w:type="pct"/>
            <w:tcBorders>
              <w:top w:val="nil"/>
              <w:left w:val="nil"/>
              <w:bottom w:val="nil"/>
              <w:right w:val="nil"/>
            </w:tcBorders>
            <w:shd w:val="clear" w:color="000000" w:fill="FFFFFF"/>
            <w:noWrap/>
            <w:vAlign w:val="center"/>
            <w:hideMark/>
          </w:tcPr>
          <w:p w14:paraId="2EACA1BE" w14:textId="0EE94114"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206,464 </w:t>
            </w:r>
          </w:p>
        </w:tc>
        <w:tc>
          <w:tcPr>
            <w:tcW w:w="573" w:type="pct"/>
            <w:tcBorders>
              <w:top w:val="nil"/>
              <w:left w:val="nil"/>
              <w:bottom w:val="nil"/>
              <w:right w:val="nil"/>
            </w:tcBorders>
            <w:shd w:val="clear" w:color="000000" w:fill="FFFFFF"/>
            <w:noWrap/>
            <w:vAlign w:val="center"/>
            <w:hideMark/>
          </w:tcPr>
          <w:p w14:paraId="2FC5BA96" w14:textId="2CFCC29C"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207,186 </w:t>
            </w:r>
          </w:p>
        </w:tc>
        <w:tc>
          <w:tcPr>
            <w:tcW w:w="571" w:type="pct"/>
            <w:tcBorders>
              <w:top w:val="nil"/>
              <w:left w:val="nil"/>
              <w:bottom w:val="nil"/>
              <w:right w:val="nil"/>
            </w:tcBorders>
            <w:shd w:val="clear" w:color="000000" w:fill="FFFFFF"/>
            <w:noWrap/>
            <w:vAlign w:val="center"/>
            <w:hideMark/>
          </w:tcPr>
          <w:p w14:paraId="4F93C7AF" w14:textId="03FB529C"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207,751 </w:t>
            </w:r>
          </w:p>
        </w:tc>
      </w:tr>
      <w:tr w:rsidR="00E36857" w:rsidRPr="00956125" w14:paraId="2B673EDE" w14:textId="77777777" w:rsidTr="006907A8">
        <w:trPr>
          <w:trHeight w:val="170"/>
        </w:trPr>
        <w:tc>
          <w:tcPr>
            <w:tcW w:w="2136" w:type="pct"/>
            <w:tcBorders>
              <w:top w:val="nil"/>
              <w:left w:val="nil"/>
              <w:bottom w:val="nil"/>
              <w:right w:val="nil"/>
            </w:tcBorders>
            <w:shd w:val="clear" w:color="000000" w:fill="FFFFFF"/>
            <w:vAlign w:val="bottom"/>
            <w:hideMark/>
          </w:tcPr>
          <w:p w14:paraId="55ECF954"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Sale of goods and rendering of</w:t>
            </w:r>
            <w:r w:rsidRPr="00043432">
              <w:rPr>
                <w:rFonts w:eastAsia="Times New Roman" w:cs="Arial"/>
                <w:sz w:val="16"/>
                <w:szCs w:val="16"/>
                <w:lang w:eastAsia="en-AU"/>
              </w:rPr>
              <w:br/>
              <w:t xml:space="preserve">     services</w:t>
            </w:r>
          </w:p>
        </w:tc>
        <w:tc>
          <w:tcPr>
            <w:tcW w:w="573" w:type="pct"/>
            <w:tcBorders>
              <w:top w:val="nil"/>
              <w:left w:val="nil"/>
              <w:bottom w:val="nil"/>
              <w:right w:val="nil"/>
            </w:tcBorders>
            <w:shd w:val="clear" w:color="000000" w:fill="FFFFFF"/>
            <w:noWrap/>
            <w:vAlign w:val="center"/>
            <w:hideMark/>
          </w:tcPr>
          <w:p w14:paraId="7F260053" w14:textId="2CBB2134"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2,514 </w:t>
            </w:r>
          </w:p>
        </w:tc>
        <w:tc>
          <w:tcPr>
            <w:tcW w:w="573" w:type="pct"/>
            <w:tcBorders>
              <w:top w:val="nil"/>
              <w:left w:val="nil"/>
              <w:bottom w:val="nil"/>
              <w:right w:val="nil"/>
            </w:tcBorders>
            <w:shd w:val="clear" w:color="000000" w:fill="E6E6E6"/>
            <w:noWrap/>
            <w:vAlign w:val="center"/>
            <w:hideMark/>
          </w:tcPr>
          <w:p w14:paraId="6FE7772C" w14:textId="62314F51"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4,587 </w:t>
            </w:r>
          </w:p>
        </w:tc>
        <w:tc>
          <w:tcPr>
            <w:tcW w:w="573" w:type="pct"/>
            <w:tcBorders>
              <w:top w:val="nil"/>
              <w:left w:val="nil"/>
              <w:bottom w:val="nil"/>
              <w:right w:val="nil"/>
            </w:tcBorders>
            <w:shd w:val="clear" w:color="000000" w:fill="FFFFFF"/>
            <w:noWrap/>
            <w:vAlign w:val="center"/>
            <w:hideMark/>
          </w:tcPr>
          <w:p w14:paraId="1DD3B91D" w14:textId="1E1E4033"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4,542 </w:t>
            </w:r>
          </w:p>
        </w:tc>
        <w:tc>
          <w:tcPr>
            <w:tcW w:w="573" w:type="pct"/>
            <w:tcBorders>
              <w:top w:val="nil"/>
              <w:left w:val="nil"/>
              <w:bottom w:val="nil"/>
              <w:right w:val="nil"/>
            </w:tcBorders>
            <w:shd w:val="clear" w:color="000000" w:fill="FFFFFF"/>
            <w:noWrap/>
            <w:vAlign w:val="center"/>
            <w:hideMark/>
          </w:tcPr>
          <w:p w14:paraId="5E715730" w14:textId="33475B9A"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4,542 </w:t>
            </w:r>
          </w:p>
        </w:tc>
        <w:tc>
          <w:tcPr>
            <w:tcW w:w="571" w:type="pct"/>
            <w:tcBorders>
              <w:top w:val="nil"/>
              <w:left w:val="nil"/>
              <w:bottom w:val="nil"/>
              <w:right w:val="nil"/>
            </w:tcBorders>
            <w:shd w:val="clear" w:color="000000" w:fill="FFFFFF"/>
            <w:noWrap/>
            <w:vAlign w:val="center"/>
            <w:hideMark/>
          </w:tcPr>
          <w:p w14:paraId="3D2ABB7B" w14:textId="22B27BA9"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4,542 </w:t>
            </w:r>
          </w:p>
        </w:tc>
      </w:tr>
      <w:tr w:rsidR="00E36857" w:rsidRPr="00956125" w14:paraId="388A47DD" w14:textId="77777777" w:rsidTr="006907A8">
        <w:trPr>
          <w:trHeight w:val="170"/>
        </w:trPr>
        <w:tc>
          <w:tcPr>
            <w:tcW w:w="2136" w:type="pct"/>
            <w:tcBorders>
              <w:top w:val="nil"/>
              <w:left w:val="nil"/>
              <w:bottom w:val="nil"/>
              <w:right w:val="nil"/>
            </w:tcBorders>
            <w:shd w:val="clear" w:color="000000" w:fill="FFFFFF"/>
            <w:noWrap/>
            <w:vAlign w:val="bottom"/>
            <w:hideMark/>
          </w:tcPr>
          <w:p w14:paraId="32E394AE"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Net GST received</w:t>
            </w:r>
          </w:p>
        </w:tc>
        <w:tc>
          <w:tcPr>
            <w:tcW w:w="573" w:type="pct"/>
            <w:tcBorders>
              <w:top w:val="nil"/>
              <w:left w:val="nil"/>
              <w:bottom w:val="nil"/>
              <w:right w:val="nil"/>
            </w:tcBorders>
            <w:shd w:val="clear" w:color="000000" w:fill="FFFFFF"/>
            <w:noWrap/>
            <w:vAlign w:val="center"/>
            <w:hideMark/>
          </w:tcPr>
          <w:p w14:paraId="5FCB9C5E" w14:textId="6591B52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3,212 </w:t>
            </w:r>
          </w:p>
        </w:tc>
        <w:tc>
          <w:tcPr>
            <w:tcW w:w="573" w:type="pct"/>
            <w:tcBorders>
              <w:top w:val="nil"/>
              <w:left w:val="nil"/>
              <w:bottom w:val="nil"/>
              <w:right w:val="nil"/>
            </w:tcBorders>
            <w:shd w:val="clear" w:color="000000" w:fill="E6E6E6"/>
            <w:noWrap/>
            <w:vAlign w:val="center"/>
            <w:hideMark/>
          </w:tcPr>
          <w:p w14:paraId="213AB517" w14:textId="0DF6AE57"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4,277 </w:t>
            </w:r>
          </w:p>
        </w:tc>
        <w:tc>
          <w:tcPr>
            <w:tcW w:w="573" w:type="pct"/>
            <w:tcBorders>
              <w:top w:val="nil"/>
              <w:left w:val="nil"/>
              <w:bottom w:val="nil"/>
              <w:right w:val="nil"/>
            </w:tcBorders>
            <w:shd w:val="clear" w:color="000000" w:fill="FFFFFF"/>
            <w:noWrap/>
            <w:vAlign w:val="center"/>
            <w:hideMark/>
          </w:tcPr>
          <w:p w14:paraId="6441FF42" w14:textId="2FE95848"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3,305 </w:t>
            </w:r>
          </w:p>
        </w:tc>
        <w:tc>
          <w:tcPr>
            <w:tcW w:w="573" w:type="pct"/>
            <w:tcBorders>
              <w:top w:val="nil"/>
              <w:left w:val="nil"/>
              <w:bottom w:val="nil"/>
              <w:right w:val="nil"/>
            </w:tcBorders>
            <w:shd w:val="clear" w:color="000000" w:fill="FFFFFF"/>
            <w:noWrap/>
            <w:vAlign w:val="center"/>
            <w:hideMark/>
          </w:tcPr>
          <w:p w14:paraId="52EA60E4" w14:textId="7DBF7E9F"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3,288 </w:t>
            </w:r>
          </w:p>
        </w:tc>
        <w:tc>
          <w:tcPr>
            <w:tcW w:w="571" w:type="pct"/>
            <w:tcBorders>
              <w:top w:val="nil"/>
              <w:left w:val="nil"/>
              <w:bottom w:val="nil"/>
              <w:right w:val="nil"/>
            </w:tcBorders>
            <w:shd w:val="clear" w:color="000000" w:fill="FFFFFF"/>
            <w:noWrap/>
            <w:vAlign w:val="center"/>
            <w:hideMark/>
          </w:tcPr>
          <w:p w14:paraId="0493E379" w14:textId="0A39420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3,424 </w:t>
            </w:r>
          </w:p>
        </w:tc>
      </w:tr>
      <w:tr w:rsidR="00E36857" w:rsidRPr="00956125" w14:paraId="46A27F34" w14:textId="77777777" w:rsidTr="006907A8">
        <w:trPr>
          <w:trHeight w:val="170"/>
        </w:trPr>
        <w:tc>
          <w:tcPr>
            <w:tcW w:w="2136" w:type="pct"/>
            <w:tcBorders>
              <w:top w:val="nil"/>
              <w:left w:val="nil"/>
              <w:bottom w:val="nil"/>
              <w:right w:val="nil"/>
            </w:tcBorders>
            <w:shd w:val="clear" w:color="000000" w:fill="FFFFFF"/>
            <w:noWrap/>
            <w:vAlign w:val="bottom"/>
            <w:hideMark/>
          </w:tcPr>
          <w:p w14:paraId="2BF3B7E3"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xml:space="preserve">Other </w:t>
            </w:r>
          </w:p>
        </w:tc>
        <w:tc>
          <w:tcPr>
            <w:tcW w:w="573" w:type="pct"/>
            <w:tcBorders>
              <w:top w:val="nil"/>
              <w:left w:val="nil"/>
              <w:bottom w:val="nil"/>
              <w:right w:val="nil"/>
            </w:tcBorders>
            <w:shd w:val="clear" w:color="000000" w:fill="FFFFFF"/>
            <w:noWrap/>
            <w:vAlign w:val="center"/>
            <w:hideMark/>
          </w:tcPr>
          <w:p w14:paraId="3FE247B2" w14:textId="77209A69"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240 </w:t>
            </w:r>
          </w:p>
        </w:tc>
        <w:tc>
          <w:tcPr>
            <w:tcW w:w="573" w:type="pct"/>
            <w:tcBorders>
              <w:top w:val="nil"/>
              <w:left w:val="nil"/>
              <w:bottom w:val="nil"/>
              <w:right w:val="nil"/>
            </w:tcBorders>
            <w:shd w:val="clear" w:color="000000" w:fill="E6E6E6"/>
            <w:noWrap/>
            <w:vAlign w:val="center"/>
            <w:hideMark/>
          </w:tcPr>
          <w:p w14:paraId="66E55566" w14:textId="35002938"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240 </w:t>
            </w:r>
          </w:p>
        </w:tc>
        <w:tc>
          <w:tcPr>
            <w:tcW w:w="573" w:type="pct"/>
            <w:tcBorders>
              <w:top w:val="nil"/>
              <w:left w:val="nil"/>
              <w:bottom w:val="nil"/>
              <w:right w:val="nil"/>
            </w:tcBorders>
            <w:shd w:val="clear" w:color="000000" w:fill="FFFFFF"/>
            <w:noWrap/>
            <w:vAlign w:val="center"/>
            <w:hideMark/>
          </w:tcPr>
          <w:p w14:paraId="070A0CD0" w14:textId="6C19AB99"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240 </w:t>
            </w:r>
          </w:p>
        </w:tc>
        <w:tc>
          <w:tcPr>
            <w:tcW w:w="573" w:type="pct"/>
            <w:tcBorders>
              <w:top w:val="nil"/>
              <w:left w:val="nil"/>
              <w:bottom w:val="nil"/>
              <w:right w:val="nil"/>
            </w:tcBorders>
            <w:shd w:val="clear" w:color="000000" w:fill="FFFFFF"/>
            <w:noWrap/>
            <w:vAlign w:val="center"/>
            <w:hideMark/>
          </w:tcPr>
          <w:p w14:paraId="279A4A7A" w14:textId="3051604B"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240 </w:t>
            </w:r>
          </w:p>
        </w:tc>
        <w:tc>
          <w:tcPr>
            <w:tcW w:w="571" w:type="pct"/>
            <w:tcBorders>
              <w:top w:val="nil"/>
              <w:left w:val="nil"/>
              <w:bottom w:val="nil"/>
              <w:right w:val="nil"/>
            </w:tcBorders>
            <w:shd w:val="clear" w:color="000000" w:fill="FFFFFF"/>
            <w:noWrap/>
            <w:vAlign w:val="center"/>
            <w:hideMark/>
          </w:tcPr>
          <w:p w14:paraId="6527E5A9" w14:textId="292182A0"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240 </w:t>
            </w:r>
          </w:p>
        </w:tc>
      </w:tr>
      <w:tr w:rsidR="00E36857" w:rsidRPr="00956125" w14:paraId="7D47A27D" w14:textId="77777777" w:rsidTr="006907A8">
        <w:trPr>
          <w:trHeight w:val="170"/>
        </w:trPr>
        <w:tc>
          <w:tcPr>
            <w:tcW w:w="2136" w:type="pct"/>
            <w:tcBorders>
              <w:top w:val="nil"/>
              <w:left w:val="nil"/>
              <w:bottom w:val="nil"/>
              <w:right w:val="nil"/>
            </w:tcBorders>
            <w:shd w:val="clear" w:color="000000" w:fill="FFFFFF"/>
            <w:noWrap/>
            <w:vAlign w:val="bottom"/>
            <w:hideMark/>
          </w:tcPr>
          <w:p w14:paraId="62F6BC90" w14:textId="77777777" w:rsidR="00E36857" w:rsidRPr="00043432" w:rsidRDefault="00E3685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cash received</w:t>
            </w:r>
          </w:p>
        </w:tc>
        <w:tc>
          <w:tcPr>
            <w:tcW w:w="573" w:type="pct"/>
            <w:tcBorders>
              <w:top w:val="single" w:sz="4" w:space="0" w:color="000000"/>
              <w:left w:val="nil"/>
              <w:bottom w:val="single" w:sz="4" w:space="0" w:color="000000"/>
              <w:right w:val="nil"/>
            </w:tcBorders>
            <w:shd w:val="clear" w:color="000000" w:fill="FFFFFF"/>
            <w:noWrap/>
            <w:vAlign w:val="center"/>
            <w:hideMark/>
          </w:tcPr>
          <w:p w14:paraId="2EACD5E0" w14:textId="70EC1F6A"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197,289 </w:t>
            </w:r>
          </w:p>
        </w:tc>
        <w:tc>
          <w:tcPr>
            <w:tcW w:w="573" w:type="pct"/>
            <w:tcBorders>
              <w:top w:val="single" w:sz="4" w:space="0" w:color="000000"/>
              <w:left w:val="nil"/>
              <w:bottom w:val="single" w:sz="4" w:space="0" w:color="000000"/>
              <w:right w:val="nil"/>
            </w:tcBorders>
            <w:shd w:val="clear" w:color="000000" w:fill="E6E6E6"/>
            <w:noWrap/>
            <w:vAlign w:val="center"/>
            <w:hideMark/>
          </w:tcPr>
          <w:p w14:paraId="3795CBFD" w14:textId="59C1BCB9"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242,141 </w:t>
            </w:r>
          </w:p>
        </w:tc>
        <w:tc>
          <w:tcPr>
            <w:tcW w:w="573" w:type="pct"/>
            <w:tcBorders>
              <w:top w:val="single" w:sz="4" w:space="0" w:color="000000"/>
              <w:left w:val="nil"/>
              <w:bottom w:val="single" w:sz="4" w:space="0" w:color="000000"/>
              <w:right w:val="nil"/>
            </w:tcBorders>
            <w:shd w:val="clear" w:color="000000" w:fill="FFFFFF"/>
            <w:noWrap/>
            <w:vAlign w:val="center"/>
            <w:hideMark/>
          </w:tcPr>
          <w:p w14:paraId="08BF8C0B" w14:textId="480D0CEA"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214,551 </w:t>
            </w:r>
          </w:p>
        </w:tc>
        <w:tc>
          <w:tcPr>
            <w:tcW w:w="573" w:type="pct"/>
            <w:tcBorders>
              <w:top w:val="single" w:sz="4" w:space="0" w:color="000000"/>
              <w:left w:val="nil"/>
              <w:bottom w:val="single" w:sz="4" w:space="0" w:color="000000"/>
              <w:right w:val="nil"/>
            </w:tcBorders>
            <w:shd w:val="clear" w:color="000000" w:fill="FFFFFF"/>
            <w:noWrap/>
            <w:vAlign w:val="center"/>
            <w:hideMark/>
          </w:tcPr>
          <w:p w14:paraId="376C4163" w14:textId="3EB1186C"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215,255 </w:t>
            </w:r>
          </w:p>
        </w:tc>
        <w:tc>
          <w:tcPr>
            <w:tcW w:w="571" w:type="pct"/>
            <w:tcBorders>
              <w:top w:val="single" w:sz="4" w:space="0" w:color="000000"/>
              <w:left w:val="nil"/>
              <w:bottom w:val="single" w:sz="4" w:space="0" w:color="000000"/>
              <w:right w:val="nil"/>
            </w:tcBorders>
            <w:shd w:val="clear" w:color="000000" w:fill="FFFFFF"/>
            <w:noWrap/>
            <w:vAlign w:val="center"/>
            <w:hideMark/>
          </w:tcPr>
          <w:p w14:paraId="4F154011" w14:textId="2103E69D"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215,958 </w:t>
            </w:r>
          </w:p>
        </w:tc>
      </w:tr>
      <w:tr w:rsidR="00E36857" w:rsidRPr="00956125" w14:paraId="63918B41" w14:textId="77777777" w:rsidTr="006907A8">
        <w:trPr>
          <w:trHeight w:val="170"/>
        </w:trPr>
        <w:tc>
          <w:tcPr>
            <w:tcW w:w="2136" w:type="pct"/>
            <w:tcBorders>
              <w:top w:val="nil"/>
              <w:left w:val="nil"/>
              <w:bottom w:val="nil"/>
              <w:right w:val="nil"/>
            </w:tcBorders>
            <w:shd w:val="clear" w:color="000000" w:fill="FFFFFF"/>
            <w:noWrap/>
            <w:vAlign w:val="bottom"/>
            <w:hideMark/>
          </w:tcPr>
          <w:p w14:paraId="40319F34"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Cash used</w:t>
            </w:r>
          </w:p>
        </w:tc>
        <w:tc>
          <w:tcPr>
            <w:tcW w:w="573" w:type="pct"/>
            <w:tcBorders>
              <w:top w:val="nil"/>
              <w:left w:val="nil"/>
              <w:bottom w:val="nil"/>
              <w:right w:val="nil"/>
            </w:tcBorders>
            <w:shd w:val="clear" w:color="000000" w:fill="FFFFFF"/>
            <w:noWrap/>
            <w:vAlign w:val="center"/>
            <w:hideMark/>
          </w:tcPr>
          <w:p w14:paraId="4AB5693A" w14:textId="432FA84F"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E6E6E6"/>
            <w:noWrap/>
            <w:vAlign w:val="center"/>
            <w:hideMark/>
          </w:tcPr>
          <w:p w14:paraId="2C92C005" w14:textId="62BDEE0C"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14DD5384" w14:textId="708CC36B"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09D99E50" w14:textId="081B30EF"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1" w:type="pct"/>
            <w:tcBorders>
              <w:top w:val="nil"/>
              <w:left w:val="nil"/>
              <w:bottom w:val="nil"/>
              <w:right w:val="nil"/>
            </w:tcBorders>
            <w:shd w:val="clear" w:color="000000" w:fill="FFFFFF"/>
            <w:noWrap/>
            <w:vAlign w:val="center"/>
            <w:hideMark/>
          </w:tcPr>
          <w:p w14:paraId="7C9B0EBE" w14:textId="6EE821D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E36857" w:rsidRPr="00956125" w14:paraId="42FE868C" w14:textId="77777777" w:rsidTr="006907A8">
        <w:trPr>
          <w:trHeight w:val="170"/>
        </w:trPr>
        <w:tc>
          <w:tcPr>
            <w:tcW w:w="2136" w:type="pct"/>
            <w:tcBorders>
              <w:top w:val="nil"/>
              <w:left w:val="nil"/>
              <w:bottom w:val="nil"/>
              <w:right w:val="nil"/>
            </w:tcBorders>
            <w:shd w:val="clear" w:color="000000" w:fill="FFFFFF"/>
            <w:noWrap/>
            <w:vAlign w:val="bottom"/>
            <w:hideMark/>
          </w:tcPr>
          <w:p w14:paraId="61981CBF"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Employees</w:t>
            </w:r>
          </w:p>
        </w:tc>
        <w:tc>
          <w:tcPr>
            <w:tcW w:w="573" w:type="pct"/>
            <w:tcBorders>
              <w:top w:val="nil"/>
              <w:left w:val="nil"/>
              <w:bottom w:val="nil"/>
              <w:right w:val="nil"/>
            </w:tcBorders>
            <w:shd w:val="clear" w:color="000000" w:fill="FFFFFF"/>
            <w:noWrap/>
            <w:vAlign w:val="center"/>
            <w:hideMark/>
          </w:tcPr>
          <w:p w14:paraId="2393A6F3" w14:textId="4363D5A8"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(137,097)</w:t>
            </w:r>
          </w:p>
        </w:tc>
        <w:tc>
          <w:tcPr>
            <w:tcW w:w="573" w:type="pct"/>
            <w:tcBorders>
              <w:top w:val="nil"/>
              <w:left w:val="nil"/>
              <w:bottom w:val="nil"/>
              <w:right w:val="nil"/>
            </w:tcBorders>
            <w:shd w:val="clear" w:color="000000" w:fill="E6E6E6"/>
            <w:noWrap/>
            <w:vAlign w:val="center"/>
            <w:hideMark/>
          </w:tcPr>
          <w:p w14:paraId="727890C4" w14:textId="26A23AE2"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(155,391)</w:t>
            </w:r>
          </w:p>
        </w:tc>
        <w:tc>
          <w:tcPr>
            <w:tcW w:w="573" w:type="pct"/>
            <w:tcBorders>
              <w:top w:val="nil"/>
              <w:left w:val="nil"/>
              <w:bottom w:val="nil"/>
              <w:right w:val="nil"/>
            </w:tcBorders>
            <w:shd w:val="clear" w:color="000000" w:fill="FFFFFF"/>
            <w:noWrap/>
            <w:vAlign w:val="center"/>
            <w:hideMark/>
          </w:tcPr>
          <w:p w14:paraId="16569CE7" w14:textId="46CD7F08"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(145,058)</w:t>
            </w:r>
          </w:p>
        </w:tc>
        <w:tc>
          <w:tcPr>
            <w:tcW w:w="573" w:type="pct"/>
            <w:tcBorders>
              <w:top w:val="nil"/>
              <w:left w:val="nil"/>
              <w:bottom w:val="nil"/>
              <w:right w:val="nil"/>
            </w:tcBorders>
            <w:shd w:val="clear" w:color="000000" w:fill="FFFFFF"/>
            <w:noWrap/>
            <w:vAlign w:val="center"/>
            <w:hideMark/>
          </w:tcPr>
          <w:p w14:paraId="13CDFA66" w14:textId="1189C232"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(146,040)</w:t>
            </w:r>
          </w:p>
        </w:tc>
        <w:tc>
          <w:tcPr>
            <w:tcW w:w="571" w:type="pct"/>
            <w:tcBorders>
              <w:top w:val="nil"/>
              <w:left w:val="nil"/>
              <w:bottom w:val="nil"/>
              <w:right w:val="nil"/>
            </w:tcBorders>
            <w:shd w:val="clear" w:color="000000" w:fill="FFFFFF"/>
            <w:noWrap/>
            <w:vAlign w:val="center"/>
            <w:hideMark/>
          </w:tcPr>
          <w:p w14:paraId="600BE289" w14:textId="283E6316"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(146,495)</w:t>
            </w:r>
          </w:p>
        </w:tc>
      </w:tr>
      <w:tr w:rsidR="00E36857" w:rsidRPr="00956125" w14:paraId="007EB463" w14:textId="77777777" w:rsidTr="006907A8">
        <w:trPr>
          <w:trHeight w:val="170"/>
        </w:trPr>
        <w:tc>
          <w:tcPr>
            <w:tcW w:w="2136" w:type="pct"/>
            <w:tcBorders>
              <w:top w:val="nil"/>
              <w:left w:val="nil"/>
              <w:bottom w:val="nil"/>
              <w:right w:val="nil"/>
            </w:tcBorders>
            <w:shd w:val="clear" w:color="000000" w:fill="FFFFFF"/>
            <w:noWrap/>
            <w:vAlign w:val="bottom"/>
            <w:hideMark/>
          </w:tcPr>
          <w:p w14:paraId="397C8E76"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Suppliers</w:t>
            </w:r>
          </w:p>
        </w:tc>
        <w:tc>
          <w:tcPr>
            <w:tcW w:w="573" w:type="pct"/>
            <w:tcBorders>
              <w:top w:val="nil"/>
              <w:left w:val="nil"/>
              <w:bottom w:val="nil"/>
              <w:right w:val="nil"/>
            </w:tcBorders>
            <w:shd w:val="clear" w:color="000000" w:fill="FFFFFF"/>
            <w:noWrap/>
            <w:vAlign w:val="center"/>
            <w:hideMark/>
          </w:tcPr>
          <w:p w14:paraId="7A722A64" w14:textId="5ABD677F"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(35,545)</w:t>
            </w:r>
          </w:p>
        </w:tc>
        <w:tc>
          <w:tcPr>
            <w:tcW w:w="573" w:type="pct"/>
            <w:tcBorders>
              <w:top w:val="nil"/>
              <w:left w:val="nil"/>
              <w:bottom w:val="nil"/>
              <w:right w:val="nil"/>
            </w:tcBorders>
            <w:shd w:val="clear" w:color="000000" w:fill="E6E6E6"/>
            <w:noWrap/>
            <w:vAlign w:val="center"/>
            <w:hideMark/>
          </w:tcPr>
          <w:p w14:paraId="08D14341" w14:textId="21F8B5F0"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(48,318)</w:t>
            </w:r>
          </w:p>
        </w:tc>
        <w:tc>
          <w:tcPr>
            <w:tcW w:w="573" w:type="pct"/>
            <w:tcBorders>
              <w:top w:val="nil"/>
              <w:left w:val="nil"/>
              <w:bottom w:val="nil"/>
              <w:right w:val="nil"/>
            </w:tcBorders>
            <w:shd w:val="clear" w:color="000000" w:fill="FFFFFF"/>
            <w:noWrap/>
            <w:vAlign w:val="center"/>
            <w:hideMark/>
          </w:tcPr>
          <w:p w14:paraId="5F0DD114" w14:textId="0BC8D57B"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(36,654)</w:t>
            </w:r>
          </w:p>
        </w:tc>
        <w:tc>
          <w:tcPr>
            <w:tcW w:w="573" w:type="pct"/>
            <w:tcBorders>
              <w:top w:val="nil"/>
              <w:left w:val="nil"/>
              <w:bottom w:val="nil"/>
              <w:right w:val="nil"/>
            </w:tcBorders>
            <w:shd w:val="clear" w:color="000000" w:fill="FFFFFF"/>
            <w:noWrap/>
            <w:vAlign w:val="center"/>
            <w:hideMark/>
          </w:tcPr>
          <w:p w14:paraId="301ADC82" w14:textId="08BCE6C6"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(36,446)</w:t>
            </w:r>
          </w:p>
        </w:tc>
        <w:tc>
          <w:tcPr>
            <w:tcW w:w="571" w:type="pct"/>
            <w:tcBorders>
              <w:top w:val="nil"/>
              <w:left w:val="nil"/>
              <w:bottom w:val="nil"/>
              <w:right w:val="nil"/>
            </w:tcBorders>
            <w:shd w:val="clear" w:color="000000" w:fill="FFFFFF"/>
            <w:noWrap/>
            <w:vAlign w:val="center"/>
            <w:hideMark/>
          </w:tcPr>
          <w:p w14:paraId="118A44D1" w14:textId="2E5AD03B"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(38,090)</w:t>
            </w:r>
          </w:p>
        </w:tc>
      </w:tr>
      <w:tr w:rsidR="00E36857" w:rsidRPr="00956125" w14:paraId="48093540" w14:textId="77777777" w:rsidTr="006907A8">
        <w:trPr>
          <w:trHeight w:val="170"/>
        </w:trPr>
        <w:tc>
          <w:tcPr>
            <w:tcW w:w="2136" w:type="pct"/>
            <w:tcBorders>
              <w:top w:val="nil"/>
              <w:left w:val="nil"/>
              <w:bottom w:val="nil"/>
              <w:right w:val="nil"/>
            </w:tcBorders>
            <w:shd w:val="clear" w:color="000000" w:fill="FFFFFF"/>
            <w:noWrap/>
            <w:vAlign w:val="bottom"/>
            <w:hideMark/>
          </w:tcPr>
          <w:p w14:paraId="17DADEC2" w14:textId="77777777" w:rsidR="00E36857" w:rsidRPr="00043432" w:rsidRDefault="00E3685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Net GST paid</w:t>
            </w:r>
          </w:p>
        </w:tc>
        <w:tc>
          <w:tcPr>
            <w:tcW w:w="573" w:type="pct"/>
            <w:tcBorders>
              <w:top w:val="nil"/>
              <w:left w:val="nil"/>
              <w:bottom w:val="nil"/>
              <w:right w:val="nil"/>
            </w:tcBorders>
            <w:shd w:val="clear" w:color="000000" w:fill="FFFFFF"/>
            <w:noWrap/>
            <w:vAlign w:val="center"/>
            <w:hideMark/>
          </w:tcPr>
          <w:p w14:paraId="42A07312" w14:textId="4BA5E5E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(250)</w:t>
            </w:r>
          </w:p>
        </w:tc>
        <w:tc>
          <w:tcPr>
            <w:tcW w:w="573" w:type="pct"/>
            <w:tcBorders>
              <w:top w:val="nil"/>
              <w:left w:val="nil"/>
              <w:bottom w:val="nil"/>
              <w:right w:val="nil"/>
            </w:tcBorders>
            <w:shd w:val="clear" w:color="000000" w:fill="E6E6E6"/>
            <w:noWrap/>
            <w:vAlign w:val="center"/>
            <w:hideMark/>
          </w:tcPr>
          <w:p w14:paraId="206B6088" w14:textId="34F2FB71"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(250)</w:t>
            </w:r>
          </w:p>
        </w:tc>
        <w:tc>
          <w:tcPr>
            <w:tcW w:w="573" w:type="pct"/>
            <w:tcBorders>
              <w:top w:val="nil"/>
              <w:left w:val="nil"/>
              <w:bottom w:val="nil"/>
              <w:right w:val="nil"/>
            </w:tcBorders>
            <w:shd w:val="clear" w:color="000000" w:fill="FFFFFF"/>
            <w:noWrap/>
            <w:vAlign w:val="center"/>
            <w:hideMark/>
          </w:tcPr>
          <w:p w14:paraId="5262FB40" w14:textId="1BD7F6BA"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(250)</w:t>
            </w:r>
          </w:p>
        </w:tc>
        <w:tc>
          <w:tcPr>
            <w:tcW w:w="573" w:type="pct"/>
            <w:tcBorders>
              <w:top w:val="nil"/>
              <w:left w:val="nil"/>
              <w:bottom w:val="nil"/>
              <w:right w:val="nil"/>
            </w:tcBorders>
            <w:shd w:val="clear" w:color="000000" w:fill="FFFFFF"/>
            <w:noWrap/>
            <w:vAlign w:val="center"/>
            <w:hideMark/>
          </w:tcPr>
          <w:p w14:paraId="3A4DA8C8" w14:textId="57C6144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(250)</w:t>
            </w:r>
          </w:p>
        </w:tc>
        <w:tc>
          <w:tcPr>
            <w:tcW w:w="571" w:type="pct"/>
            <w:tcBorders>
              <w:top w:val="nil"/>
              <w:left w:val="nil"/>
              <w:bottom w:val="nil"/>
              <w:right w:val="nil"/>
            </w:tcBorders>
            <w:shd w:val="clear" w:color="000000" w:fill="FFFFFF"/>
            <w:noWrap/>
            <w:vAlign w:val="center"/>
            <w:hideMark/>
          </w:tcPr>
          <w:p w14:paraId="5050D506" w14:textId="777E748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(250)</w:t>
            </w:r>
          </w:p>
        </w:tc>
      </w:tr>
      <w:tr w:rsidR="00E36857" w:rsidRPr="00956125" w14:paraId="0DE8CF0F" w14:textId="77777777" w:rsidTr="006907A8">
        <w:trPr>
          <w:trHeight w:val="170"/>
        </w:trPr>
        <w:tc>
          <w:tcPr>
            <w:tcW w:w="2136" w:type="pct"/>
            <w:tcBorders>
              <w:top w:val="nil"/>
              <w:left w:val="nil"/>
              <w:bottom w:val="nil"/>
              <w:right w:val="nil"/>
            </w:tcBorders>
            <w:shd w:val="clear" w:color="000000" w:fill="FFFFFF"/>
            <w:vAlign w:val="bottom"/>
            <w:hideMark/>
          </w:tcPr>
          <w:p w14:paraId="244CAB93" w14:textId="77777777" w:rsidR="00E36857" w:rsidRPr="00043432" w:rsidRDefault="00E3685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Interest payments on lease liability</w:t>
            </w:r>
          </w:p>
        </w:tc>
        <w:tc>
          <w:tcPr>
            <w:tcW w:w="573" w:type="pct"/>
            <w:tcBorders>
              <w:top w:val="nil"/>
              <w:left w:val="nil"/>
              <w:bottom w:val="nil"/>
              <w:right w:val="nil"/>
            </w:tcBorders>
            <w:shd w:val="clear" w:color="000000" w:fill="FFFFFF"/>
            <w:noWrap/>
            <w:vAlign w:val="center"/>
            <w:hideMark/>
          </w:tcPr>
          <w:p w14:paraId="2C5ED948" w14:textId="1055ECBA"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(857)</w:t>
            </w:r>
          </w:p>
        </w:tc>
        <w:tc>
          <w:tcPr>
            <w:tcW w:w="573" w:type="pct"/>
            <w:tcBorders>
              <w:top w:val="nil"/>
              <w:left w:val="nil"/>
              <w:bottom w:val="nil"/>
              <w:right w:val="nil"/>
            </w:tcBorders>
            <w:shd w:val="clear" w:color="000000" w:fill="E6E6E6"/>
            <w:noWrap/>
            <w:vAlign w:val="center"/>
            <w:hideMark/>
          </w:tcPr>
          <w:p w14:paraId="4DC25F72" w14:textId="5513F3BF"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(695)</w:t>
            </w:r>
          </w:p>
        </w:tc>
        <w:tc>
          <w:tcPr>
            <w:tcW w:w="573" w:type="pct"/>
            <w:tcBorders>
              <w:top w:val="nil"/>
              <w:left w:val="nil"/>
              <w:bottom w:val="nil"/>
              <w:right w:val="nil"/>
            </w:tcBorders>
            <w:shd w:val="clear" w:color="000000" w:fill="FFFFFF"/>
            <w:noWrap/>
            <w:vAlign w:val="center"/>
            <w:hideMark/>
          </w:tcPr>
          <w:p w14:paraId="34D46C69" w14:textId="76949293"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(540)</w:t>
            </w:r>
          </w:p>
        </w:tc>
        <w:tc>
          <w:tcPr>
            <w:tcW w:w="573" w:type="pct"/>
            <w:tcBorders>
              <w:top w:val="nil"/>
              <w:left w:val="nil"/>
              <w:bottom w:val="nil"/>
              <w:right w:val="nil"/>
            </w:tcBorders>
            <w:shd w:val="clear" w:color="000000" w:fill="FFFFFF"/>
            <w:noWrap/>
            <w:vAlign w:val="center"/>
            <w:hideMark/>
          </w:tcPr>
          <w:p w14:paraId="544FC35F" w14:textId="5FD45606"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(31)</w:t>
            </w:r>
          </w:p>
        </w:tc>
        <w:tc>
          <w:tcPr>
            <w:tcW w:w="571" w:type="pct"/>
            <w:tcBorders>
              <w:top w:val="nil"/>
              <w:left w:val="nil"/>
              <w:bottom w:val="nil"/>
              <w:right w:val="nil"/>
            </w:tcBorders>
            <w:shd w:val="clear" w:color="000000" w:fill="FFFFFF"/>
            <w:noWrap/>
            <w:vAlign w:val="center"/>
            <w:hideMark/>
          </w:tcPr>
          <w:p w14:paraId="1306FB71" w14:textId="2617E81A"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(242)</w:t>
            </w:r>
          </w:p>
        </w:tc>
      </w:tr>
      <w:tr w:rsidR="00E36857" w:rsidRPr="00956125" w14:paraId="0C2CBC05" w14:textId="77777777" w:rsidTr="006907A8">
        <w:trPr>
          <w:trHeight w:val="170"/>
        </w:trPr>
        <w:tc>
          <w:tcPr>
            <w:tcW w:w="2136" w:type="pct"/>
            <w:tcBorders>
              <w:top w:val="nil"/>
              <w:left w:val="nil"/>
              <w:bottom w:val="nil"/>
              <w:right w:val="nil"/>
            </w:tcBorders>
            <w:shd w:val="clear" w:color="000000" w:fill="FFFFFF"/>
            <w:vAlign w:val="bottom"/>
            <w:hideMark/>
          </w:tcPr>
          <w:p w14:paraId="375C1DFC" w14:textId="77777777" w:rsidR="00E36857" w:rsidRPr="00043432" w:rsidRDefault="00E3685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s74 External Revenue</w:t>
            </w:r>
            <w:r w:rsidRPr="00043432">
              <w:rPr>
                <w:rFonts w:eastAsia="Times New Roman" w:cs="Arial"/>
                <w:color w:val="auto"/>
                <w:sz w:val="16"/>
                <w:szCs w:val="16"/>
                <w:lang w:eastAsia="en-AU"/>
              </w:rPr>
              <w:br/>
              <w:t xml:space="preserve">     transferred to the OPA </w:t>
            </w:r>
          </w:p>
        </w:tc>
        <w:tc>
          <w:tcPr>
            <w:tcW w:w="573" w:type="pct"/>
            <w:tcBorders>
              <w:top w:val="nil"/>
              <w:left w:val="nil"/>
              <w:bottom w:val="nil"/>
              <w:right w:val="nil"/>
            </w:tcBorders>
            <w:shd w:val="clear" w:color="000000" w:fill="FFFFFF"/>
            <w:noWrap/>
            <w:vAlign w:val="center"/>
            <w:hideMark/>
          </w:tcPr>
          <w:p w14:paraId="63F7147A" w14:textId="0F0541B3"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(5,476)</w:t>
            </w:r>
          </w:p>
        </w:tc>
        <w:tc>
          <w:tcPr>
            <w:tcW w:w="573" w:type="pct"/>
            <w:tcBorders>
              <w:top w:val="nil"/>
              <w:left w:val="nil"/>
              <w:bottom w:val="nil"/>
              <w:right w:val="nil"/>
            </w:tcBorders>
            <w:shd w:val="clear" w:color="000000" w:fill="E6E6E6"/>
            <w:noWrap/>
            <w:vAlign w:val="center"/>
            <w:hideMark/>
          </w:tcPr>
          <w:p w14:paraId="18D9748C" w14:textId="04F235B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(8,614)</w:t>
            </w:r>
          </w:p>
        </w:tc>
        <w:tc>
          <w:tcPr>
            <w:tcW w:w="573" w:type="pct"/>
            <w:tcBorders>
              <w:top w:val="nil"/>
              <w:left w:val="nil"/>
              <w:bottom w:val="nil"/>
              <w:right w:val="nil"/>
            </w:tcBorders>
            <w:shd w:val="clear" w:color="000000" w:fill="FFFFFF"/>
            <w:noWrap/>
            <w:vAlign w:val="center"/>
            <w:hideMark/>
          </w:tcPr>
          <w:p w14:paraId="6958EBBC" w14:textId="1F9C3393"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(7,597)</w:t>
            </w:r>
          </w:p>
        </w:tc>
        <w:tc>
          <w:tcPr>
            <w:tcW w:w="573" w:type="pct"/>
            <w:tcBorders>
              <w:top w:val="nil"/>
              <w:left w:val="nil"/>
              <w:bottom w:val="nil"/>
              <w:right w:val="nil"/>
            </w:tcBorders>
            <w:shd w:val="clear" w:color="000000" w:fill="FFFFFF"/>
            <w:noWrap/>
            <w:vAlign w:val="center"/>
            <w:hideMark/>
          </w:tcPr>
          <w:p w14:paraId="13587313" w14:textId="50C40E9D"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(7,580)</w:t>
            </w:r>
          </w:p>
        </w:tc>
        <w:tc>
          <w:tcPr>
            <w:tcW w:w="571" w:type="pct"/>
            <w:tcBorders>
              <w:top w:val="nil"/>
              <w:left w:val="nil"/>
              <w:bottom w:val="nil"/>
              <w:right w:val="nil"/>
            </w:tcBorders>
            <w:shd w:val="clear" w:color="000000" w:fill="FFFFFF"/>
            <w:noWrap/>
            <w:vAlign w:val="center"/>
            <w:hideMark/>
          </w:tcPr>
          <w:p w14:paraId="43436955" w14:textId="7931F24D"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(7,716)</w:t>
            </w:r>
          </w:p>
        </w:tc>
      </w:tr>
      <w:tr w:rsidR="00E36857" w:rsidRPr="00956125" w14:paraId="160E793C" w14:textId="77777777" w:rsidTr="006907A8">
        <w:trPr>
          <w:trHeight w:val="170"/>
        </w:trPr>
        <w:tc>
          <w:tcPr>
            <w:tcW w:w="2136" w:type="pct"/>
            <w:tcBorders>
              <w:top w:val="nil"/>
              <w:left w:val="nil"/>
              <w:bottom w:val="nil"/>
              <w:right w:val="nil"/>
            </w:tcBorders>
            <w:shd w:val="clear" w:color="000000" w:fill="FFFFFF"/>
            <w:vAlign w:val="bottom"/>
            <w:hideMark/>
          </w:tcPr>
          <w:p w14:paraId="2B35D300" w14:textId="77777777" w:rsidR="00E36857" w:rsidRPr="00043432" w:rsidRDefault="00E3685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xml:space="preserve">Other </w:t>
            </w:r>
          </w:p>
        </w:tc>
        <w:tc>
          <w:tcPr>
            <w:tcW w:w="573" w:type="pct"/>
            <w:tcBorders>
              <w:top w:val="nil"/>
              <w:left w:val="nil"/>
              <w:bottom w:val="nil"/>
              <w:right w:val="nil"/>
            </w:tcBorders>
            <w:shd w:val="clear" w:color="000000" w:fill="FFFFFF"/>
            <w:noWrap/>
            <w:vAlign w:val="center"/>
            <w:hideMark/>
          </w:tcPr>
          <w:p w14:paraId="4AEC6FE8" w14:textId="2BDF452B"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(2,000)</w:t>
            </w:r>
          </w:p>
        </w:tc>
        <w:tc>
          <w:tcPr>
            <w:tcW w:w="573" w:type="pct"/>
            <w:tcBorders>
              <w:top w:val="nil"/>
              <w:left w:val="nil"/>
              <w:bottom w:val="nil"/>
              <w:right w:val="nil"/>
            </w:tcBorders>
            <w:shd w:val="clear" w:color="000000" w:fill="E6E6E6"/>
            <w:noWrap/>
            <w:vAlign w:val="center"/>
            <w:hideMark/>
          </w:tcPr>
          <w:p w14:paraId="6B8DE701" w14:textId="0DC3B79C"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(7,000)</w:t>
            </w:r>
          </w:p>
        </w:tc>
        <w:tc>
          <w:tcPr>
            <w:tcW w:w="573" w:type="pct"/>
            <w:tcBorders>
              <w:top w:val="nil"/>
              <w:left w:val="nil"/>
              <w:bottom w:val="nil"/>
              <w:right w:val="nil"/>
            </w:tcBorders>
            <w:shd w:val="clear" w:color="000000" w:fill="FFFFFF"/>
            <w:noWrap/>
            <w:vAlign w:val="center"/>
            <w:hideMark/>
          </w:tcPr>
          <w:p w14:paraId="3DE3F565" w14:textId="2689E663"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 </w:t>
            </w:r>
          </w:p>
        </w:tc>
        <w:tc>
          <w:tcPr>
            <w:tcW w:w="573" w:type="pct"/>
            <w:tcBorders>
              <w:top w:val="nil"/>
              <w:left w:val="nil"/>
              <w:bottom w:val="nil"/>
              <w:right w:val="nil"/>
            </w:tcBorders>
            <w:shd w:val="clear" w:color="000000" w:fill="FFFFFF"/>
            <w:noWrap/>
            <w:vAlign w:val="center"/>
            <w:hideMark/>
          </w:tcPr>
          <w:p w14:paraId="6D49EA0C" w14:textId="36B02E67"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 </w:t>
            </w:r>
          </w:p>
        </w:tc>
        <w:tc>
          <w:tcPr>
            <w:tcW w:w="571" w:type="pct"/>
            <w:tcBorders>
              <w:top w:val="nil"/>
              <w:left w:val="nil"/>
              <w:bottom w:val="nil"/>
              <w:right w:val="nil"/>
            </w:tcBorders>
            <w:shd w:val="clear" w:color="000000" w:fill="FFFFFF"/>
            <w:noWrap/>
            <w:vAlign w:val="center"/>
            <w:hideMark/>
          </w:tcPr>
          <w:p w14:paraId="47A4BDB4" w14:textId="7B0D3DB0"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 </w:t>
            </w:r>
          </w:p>
        </w:tc>
      </w:tr>
      <w:tr w:rsidR="00E36857" w:rsidRPr="00956125" w14:paraId="77838E52" w14:textId="77777777" w:rsidTr="006907A8">
        <w:trPr>
          <w:trHeight w:val="170"/>
        </w:trPr>
        <w:tc>
          <w:tcPr>
            <w:tcW w:w="2136" w:type="pct"/>
            <w:tcBorders>
              <w:top w:val="nil"/>
              <w:left w:val="nil"/>
              <w:bottom w:val="nil"/>
              <w:right w:val="nil"/>
            </w:tcBorders>
            <w:shd w:val="clear" w:color="000000" w:fill="FFFFFF"/>
            <w:noWrap/>
            <w:vAlign w:val="bottom"/>
            <w:hideMark/>
          </w:tcPr>
          <w:p w14:paraId="444DBA47" w14:textId="77777777" w:rsidR="00E36857" w:rsidRPr="00043432" w:rsidRDefault="00E3685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cash used</w:t>
            </w:r>
          </w:p>
        </w:tc>
        <w:tc>
          <w:tcPr>
            <w:tcW w:w="573" w:type="pct"/>
            <w:tcBorders>
              <w:top w:val="single" w:sz="4" w:space="0" w:color="000000"/>
              <w:left w:val="nil"/>
              <w:bottom w:val="nil"/>
              <w:right w:val="nil"/>
            </w:tcBorders>
            <w:shd w:val="clear" w:color="000000" w:fill="FFFFFF"/>
            <w:noWrap/>
            <w:vAlign w:val="center"/>
            <w:hideMark/>
          </w:tcPr>
          <w:p w14:paraId="74F01A92" w14:textId="38139022"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(181,225)</w:t>
            </w:r>
          </w:p>
        </w:tc>
        <w:tc>
          <w:tcPr>
            <w:tcW w:w="573" w:type="pct"/>
            <w:tcBorders>
              <w:top w:val="single" w:sz="4" w:space="0" w:color="000000"/>
              <w:left w:val="nil"/>
              <w:bottom w:val="nil"/>
              <w:right w:val="nil"/>
            </w:tcBorders>
            <w:shd w:val="clear" w:color="000000" w:fill="E6E6E6"/>
            <w:noWrap/>
            <w:vAlign w:val="center"/>
            <w:hideMark/>
          </w:tcPr>
          <w:p w14:paraId="3A3838A4" w14:textId="00C15F8A"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(220,267)</w:t>
            </w:r>
          </w:p>
        </w:tc>
        <w:tc>
          <w:tcPr>
            <w:tcW w:w="573" w:type="pct"/>
            <w:tcBorders>
              <w:top w:val="single" w:sz="4" w:space="0" w:color="000000"/>
              <w:left w:val="nil"/>
              <w:bottom w:val="nil"/>
              <w:right w:val="nil"/>
            </w:tcBorders>
            <w:shd w:val="clear" w:color="000000" w:fill="FFFFFF"/>
            <w:noWrap/>
            <w:vAlign w:val="center"/>
            <w:hideMark/>
          </w:tcPr>
          <w:p w14:paraId="19E1D11C" w14:textId="2858D28F"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(190,099)</w:t>
            </w:r>
          </w:p>
        </w:tc>
        <w:tc>
          <w:tcPr>
            <w:tcW w:w="573" w:type="pct"/>
            <w:tcBorders>
              <w:top w:val="single" w:sz="4" w:space="0" w:color="000000"/>
              <w:left w:val="nil"/>
              <w:bottom w:val="nil"/>
              <w:right w:val="nil"/>
            </w:tcBorders>
            <w:shd w:val="clear" w:color="000000" w:fill="FFFFFF"/>
            <w:noWrap/>
            <w:vAlign w:val="center"/>
            <w:hideMark/>
          </w:tcPr>
          <w:p w14:paraId="071FD75F" w14:textId="7B16BDD1"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(190,347)</w:t>
            </w:r>
          </w:p>
        </w:tc>
        <w:tc>
          <w:tcPr>
            <w:tcW w:w="571" w:type="pct"/>
            <w:tcBorders>
              <w:top w:val="single" w:sz="4" w:space="0" w:color="000000"/>
              <w:left w:val="nil"/>
              <w:bottom w:val="nil"/>
              <w:right w:val="nil"/>
            </w:tcBorders>
            <w:shd w:val="clear" w:color="000000" w:fill="FFFFFF"/>
            <w:noWrap/>
            <w:vAlign w:val="center"/>
            <w:hideMark/>
          </w:tcPr>
          <w:p w14:paraId="6B9613D4" w14:textId="7D708D1D"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(192,793)</w:t>
            </w:r>
          </w:p>
        </w:tc>
      </w:tr>
      <w:tr w:rsidR="00E36857" w:rsidRPr="00956125" w14:paraId="1720BE7B" w14:textId="77777777" w:rsidTr="006907A8">
        <w:trPr>
          <w:trHeight w:val="170"/>
        </w:trPr>
        <w:tc>
          <w:tcPr>
            <w:tcW w:w="2136" w:type="pct"/>
            <w:tcBorders>
              <w:top w:val="nil"/>
              <w:left w:val="nil"/>
              <w:bottom w:val="nil"/>
              <w:right w:val="nil"/>
            </w:tcBorders>
            <w:shd w:val="clear" w:color="000000" w:fill="FFFFFF"/>
            <w:vAlign w:val="bottom"/>
            <w:hideMark/>
          </w:tcPr>
          <w:p w14:paraId="0CF7C59F"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Net cash from/(used by)</w:t>
            </w:r>
            <w:r w:rsidRPr="00043432">
              <w:rPr>
                <w:rFonts w:eastAsia="Times New Roman" w:cs="Arial"/>
                <w:b/>
                <w:bCs/>
                <w:sz w:val="16"/>
                <w:szCs w:val="16"/>
                <w:lang w:eastAsia="en-AU"/>
              </w:rPr>
              <w:br/>
              <w:t xml:space="preserve">  operating activities</w:t>
            </w:r>
          </w:p>
        </w:tc>
        <w:tc>
          <w:tcPr>
            <w:tcW w:w="573" w:type="pct"/>
            <w:tcBorders>
              <w:top w:val="single" w:sz="4" w:space="0" w:color="auto"/>
              <w:left w:val="nil"/>
              <w:bottom w:val="single" w:sz="4" w:space="0" w:color="auto"/>
              <w:right w:val="nil"/>
            </w:tcBorders>
            <w:shd w:val="clear" w:color="000000" w:fill="FFFFFF"/>
            <w:noWrap/>
            <w:vAlign w:val="bottom"/>
            <w:hideMark/>
          </w:tcPr>
          <w:p w14:paraId="1865128C" w14:textId="4C796BEC"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16,064 </w:t>
            </w:r>
          </w:p>
        </w:tc>
        <w:tc>
          <w:tcPr>
            <w:tcW w:w="573" w:type="pct"/>
            <w:tcBorders>
              <w:top w:val="single" w:sz="4" w:space="0" w:color="auto"/>
              <w:left w:val="nil"/>
              <w:bottom w:val="single" w:sz="4" w:space="0" w:color="auto"/>
              <w:right w:val="nil"/>
            </w:tcBorders>
            <w:shd w:val="clear" w:color="000000" w:fill="E6E6E6"/>
            <w:noWrap/>
            <w:vAlign w:val="bottom"/>
            <w:hideMark/>
          </w:tcPr>
          <w:p w14:paraId="788537A8" w14:textId="269B08CB"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21,874 </w:t>
            </w:r>
          </w:p>
        </w:tc>
        <w:tc>
          <w:tcPr>
            <w:tcW w:w="573" w:type="pct"/>
            <w:tcBorders>
              <w:top w:val="single" w:sz="4" w:space="0" w:color="auto"/>
              <w:left w:val="nil"/>
              <w:bottom w:val="single" w:sz="4" w:space="0" w:color="auto"/>
              <w:right w:val="nil"/>
            </w:tcBorders>
            <w:shd w:val="clear" w:color="000000" w:fill="FFFFFF"/>
            <w:noWrap/>
            <w:vAlign w:val="bottom"/>
            <w:hideMark/>
          </w:tcPr>
          <w:p w14:paraId="29B52E14" w14:textId="210898B2"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24,452 </w:t>
            </w:r>
          </w:p>
        </w:tc>
        <w:tc>
          <w:tcPr>
            <w:tcW w:w="573" w:type="pct"/>
            <w:tcBorders>
              <w:top w:val="single" w:sz="4" w:space="0" w:color="auto"/>
              <w:left w:val="nil"/>
              <w:bottom w:val="single" w:sz="4" w:space="0" w:color="auto"/>
              <w:right w:val="nil"/>
            </w:tcBorders>
            <w:shd w:val="clear" w:color="000000" w:fill="FFFFFF"/>
            <w:noWrap/>
            <w:vAlign w:val="bottom"/>
            <w:hideMark/>
          </w:tcPr>
          <w:p w14:paraId="26B58D75" w14:textId="01CB00EB"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24,908 </w:t>
            </w:r>
          </w:p>
        </w:tc>
        <w:tc>
          <w:tcPr>
            <w:tcW w:w="571" w:type="pct"/>
            <w:tcBorders>
              <w:top w:val="single" w:sz="4" w:space="0" w:color="auto"/>
              <w:left w:val="nil"/>
              <w:bottom w:val="single" w:sz="4" w:space="0" w:color="auto"/>
              <w:right w:val="nil"/>
            </w:tcBorders>
            <w:shd w:val="clear" w:color="000000" w:fill="FFFFFF"/>
            <w:noWrap/>
            <w:vAlign w:val="bottom"/>
            <w:hideMark/>
          </w:tcPr>
          <w:p w14:paraId="1E009354" w14:textId="5CCBDA00"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23,164 </w:t>
            </w:r>
          </w:p>
        </w:tc>
      </w:tr>
      <w:tr w:rsidR="00E36857" w:rsidRPr="00956125" w14:paraId="38891471" w14:textId="77777777" w:rsidTr="006907A8">
        <w:trPr>
          <w:trHeight w:val="170"/>
        </w:trPr>
        <w:tc>
          <w:tcPr>
            <w:tcW w:w="2136" w:type="pct"/>
            <w:tcBorders>
              <w:top w:val="nil"/>
              <w:left w:val="nil"/>
              <w:bottom w:val="nil"/>
              <w:right w:val="nil"/>
            </w:tcBorders>
            <w:shd w:val="clear" w:color="000000" w:fill="FFFFFF"/>
            <w:noWrap/>
            <w:vAlign w:val="bottom"/>
            <w:hideMark/>
          </w:tcPr>
          <w:p w14:paraId="5E383AAA"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INVESTING ACTIVITIES</w:t>
            </w:r>
          </w:p>
        </w:tc>
        <w:tc>
          <w:tcPr>
            <w:tcW w:w="573" w:type="pct"/>
            <w:tcBorders>
              <w:top w:val="nil"/>
              <w:left w:val="nil"/>
              <w:bottom w:val="nil"/>
              <w:right w:val="nil"/>
            </w:tcBorders>
            <w:shd w:val="clear" w:color="000000" w:fill="FFFFFF"/>
            <w:noWrap/>
            <w:vAlign w:val="center"/>
            <w:hideMark/>
          </w:tcPr>
          <w:p w14:paraId="2E2F7EA0" w14:textId="5B69AD9E"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E6E6E6"/>
            <w:noWrap/>
            <w:vAlign w:val="center"/>
            <w:hideMark/>
          </w:tcPr>
          <w:p w14:paraId="6F19850E" w14:textId="438F3961"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41126E7C" w14:textId="5648BFC9"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7B256362" w14:textId="5186C3E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1" w:type="pct"/>
            <w:tcBorders>
              <w:top w:val="nil"/>
              <w:left w:val="nil"/>
              <w:bottom w:val="nil"/>
              <w:right w:val="nil"/>
            </w:tcBorders>
            <w:shd w:val="clear" w:color="000000" w:fill="FFFFFF"/>
            <w:noWrap/>
            <w:vAlign w:val="center"/>
            <w:hideMark/>
          </w:tcPr>
          <w:p w14:paraId="6462ACB9" w14:textId="03B30758"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E36857" w:rsidRPr="00956125" w14:paraId="5DDC975F" w14:textId="77777777" w:rsidTr="006907A8">
        <w:trPr>
          <w:trHeight w:val="170"/>
        </w:trPr>
        <w:tc>
          <w:tcPr>
            <w:tcW w:w="2136" w:type="pct"/>
            <w:tcBorders>
              <w:top w:val="nil"/>
              <w:left w:val="nil"/>
              <w:bottom w:val="nil"/>
              <w:right w:val="nil"/>
            </w:tcBorders>
            <w:shd w:val="clear" w:color="000000" w:fill="FFFFFF"/>
            <w:noWrap/>
            <w:vAlign w:val="bottom"/>
            <w:hideMark/>
          </w:tcPr>
          <w:p w14:paraId="7DE207B7"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Cash used</w:t>
            </w:r>
          </w:p>
        </w:tc>
        <w:tc>
          <w:tcPr>
            <w:tcW w:w="573" w:type="pct"/>
            <w:tcBorders>
              <w:top w:val="nil"/>
              <w:left w:val="nil"/>
              <w:bottom w:val="nil"/>
              <w:right w:val="nil"/>
            </w:tcBorders>
            <w:shd w:val="clear" w:color="000000" w:fill="FFFFFF"/>
            <w:noWrap/>
            <w:vAlign w:val="center"/>
            <w:hideMark/>
          </w:tcPr>
          <w:p w14:paraId="634F016C" w14:textId="17A260B6"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E6E6E6"/>
            <w:noWrap/>
            <w:vAlign w:val="center"/>
            <w:hideMark/>
          </w:tcPr>
          <w:p w14:paraId="68F67582" w14:textId="76F6AE25"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5206DDEF" w14:textId="0AD39B3E"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6C7CEE44" w14:textId="1451CAAD"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1" w:type="pct"/>
            <w:tcBorders>
              <w:top w:val="nil"/>
              <w:left w:val="nil"/>
              <w:bottom w:val="nil"/>
              <w:right w:val="nil"/>
            </w:tcBorders>
            <w:shd w:val="clear" w:color="000000" w:fill="FFFFFF"/>
            <w:noWrap/>
            <w:vAlign w:val="center"/>
            <w:hideMark/>
          </w:tcPr>
          <w:p w14:paraId="0FCD9BBF" w14:textId="402F7C58"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E36857" w:rsidRPr="00956125" w14:paraId="7242B9E1" w14:textId="77777777" w:rsidTr="006907A8">
        <w:trPr>
          <w:trHeight w:val="170"/>
        </w:trPr>
        <w:tc>
          <w:tcPr>
            <w:tcW w:w="2136" w:type="pct"/>
            <w:tcBorders>
              <w:top w:val="nil"/>
              <w:left w:val="nil"/>
              <w:bottom w:val="nil"/>
              <w:right w:val="nil"/>
            </w:tcBorders>
            <w:shd w:val="clear" w:color="000000" w:fill="FFFFFF"/>
            <w:vAlign w:val="bottom"/>
            <w:hideMark/>
          </w:tcPr>
          <w:p w14:paraId="72A7FF0F"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Purchase of property, plant and</w:t>
            </w:r>
            <w:r w:rsidRPr="00043432">
              <w:rPr>
                <w:rFonts w:eastAsia="Times New Roman" w:cs="Arial"/>
                <w:sz w:val="16"/>
                <w:szCs w:val="16"/>
                <w:lang w:eastAsia="en-AU"/>
              </w:rPr>
              <w:br/>
              <w:t xml:space="preserve">     equipment and intangibles</w:t>
            </w:r>
          </w:p>
        </w:tc>
        <w:tc>
          <w:tcPr>
            <w:tcW w:w="573" w:type="pct"/>
            <w:tcBorders>
              <w:top w:val="nil"/>
              <w:left w:val="nil"/>
              <w:bottom w:val="nil"/>
              <w:right w:val="nil"/>
            </w:tcBorders>
            <w:shd w:val="clear" w:color="000000" w:fill="FFFFFF"/>
            <w:noWrap/>
            <w:vAlign w:val="center"/>
            <w:hideMark/>
          </w:tcPr>
          <w:p w14:paraId="31F0E3B4" w14:textId="4572DE69"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(18,300)</w:t>
            </w:r>
          </w:p>
        </w:tc>
        <w:tc>
          <w:tcPr>
            <w:tcW w:w="573" w:type="pct"/>
            <w:tcBorders>
              <w:top w:val="nil"/>
              <w:left w:val="nil"/>
              <w:bottom w:val="nil"/>
              <w:right w:val="nil"/>
            </w:tcBorders>
            <w:shd w:val="clear" w:color="000000" w:fill="E6E6E6"/>
            <w:noWrap/>
            <w:vAlign w:val="center"/>
            <w:hideMark/>
          </w:tcPr>
          <w:p w14:paraId="015C309C" w14:textId="29C90438"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(16,400)</w:t>
            </w:r>
          </w:p>
        </w:tc>
        <w:tc>
          <w:tcPr>
            <w:tcW w:w="573" w:type="pct"/>
            <w:tcBorders>
              <w:top w:val="nil"/>
              <w:left w:val="nil"/>
              <w:bottom w:val="nil"/>
              <w:right w:val="nil"/>
            </w:tcBorders>
            <w:shd w:val="clear" w:color="000000" w:fill="FFFFFF"/>
            <w:noWrap/>
            <w:vAlign w:val="center"/>
            <w:hideMark/>
          </w:tcPr>
          <w:p w14:paraId="48C17756" w14:textId="4BB64786"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(7,400)</w:t>
            </w:r>
          </w:p>
        </w:tc>
        <w:tc>
          <w:tcPr>
            <w:tcW w:w="573" w:type="pct"/>
            <w:tcBorders>
              <w:top w:val="nil"/>
              <w:left w:val="nil"/>
              <w:bottom w:val="nil"/>
              <w:right w:val="nil"/>
            </w:tcBorders>
            <w:shd w:val="clear" w:color="000000" w:fill="FFFFFF"/>
            <w:noWrap/>
            <w:vAlign w:val="center"/>
            <w:hideMark/>
          </w:tcPr>
          <w:p w14:paraId="410BED98" w14:textId="54D78D4D"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(7,400)</w:t>
            </w:r>
          </w:p>
        </w:tc>
        <w:tc>
          <w:tcPr>
            <w:tcW w:w="571" w:type="pct"/>
            <w:tcBorders>
              <w:top w:val="nil"/>
              <w:left w:val="nil"/>
              <w:bottom w:val="nil"/>
              <w:right w:val="nil"/>
            </w:tcBorders>
            <w:shd w:val="clear" w:color="000000" w:fill="FFFFFF"/>
            <w:noWrap/>
            <w:vAlign w:val="center"/>
            <w:hideMark/>
          </w:tcPr>
          <w:p w14:paraId="01A6ACE0" w14:textId="061EDD1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(7,400)</w:t>
            </w:r>
          </w:p>
        </w:tc>
      </w:tr>
      <w:tr w:rsidR="00E36857" w:rsidRPr="00956125" w14:paraId="3B25F5F0" w14:textId="77777777" w:rsidTr="006907A8">
        <w:trPr>
          <w:trHeight w:val="170"/>
        </w:trPr>
        <w:tc>
          <w:tcPr>
            <w:tcW w:w="2136" w:type="pct"/>
            <w:tcBorders>
              <w:top w:val="nil"/>
              <w:left w:val="nil"/>
              <w:bottom w:val="nil"/>
              <w:right w:val="nil"/>
            </w:tcBorders>
            <w:shd w:val="clear" w:color="000000" w:fill="FFFFFF"/>
            <w:noWrap/>
            <w:vAlign w:val="bottom"/>
            <w:hideMark/>
          </w:tcPr>
          <w:p w14:paraId="04E1E8E6" w14:textId="77777777" w:rsidR="00E36857" w:rsidRPr="00043432" w:rsidRDefault="00E3685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cash used</w:t>
            </w:r>
          </w:p>
        </w:tc>
        <w:tc>
          <w:tcPr>
            <w:tcW w:w="573" w:type="pct"/>
            <w:tcBorders>
              <w:top w:val="single" w:sz="4" w:space="0" w:color="000000"/>
              <w:left w:val="nil"/>
              <w:bottom w:val="single" w:sz="4" w:space="0" w:color="000000"/>
              <w:right w:val="nil"/>
            </w:tcBorders>
            <w:shd w:val="clear" w:color="000000" w:fill="FFFFFF"/>
            <w:noWrap/>
            <w:vAlign w:val="center"/>
            <w:hideMark/>
          </w:tcPr>
          <w:p w14:paraId="69B07DD1" w14:textId="43CC3EB9"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(18,300)</w:t>
            </w:r>
          </w:p>
        </w:tc>
        <w:tc>
          <w:tcPr>
            <w:tcW w:w="573" w:type="pct"/>
            <w:tcBorders>
              <w:top w:val="single" w:sz="4" w:space="0" w:color="000000"/>
              <w:left w:val="nil"/>
              <w:bottom w:val="single" w:sz="4" w:space="0" w:color="000000"/>
              <w:right w:val="nil"/>
            </w:tcBorders>
            <w:shd w:val="clear" w:color="000000" w:fill="E6E6E6"/>
            <w:noWrap/>
            <w:vAlign w:val="center"/>
            <w:hideMark/>
          </w:tcPr>
          <w:p w14:paraId="32D7B8F5" w14:textId="45C672C6"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(16,400)</w:t>
            </w:r>
          </w:p>
        </w:tc>
        <w:tc>
          <w:tcPr>
            <w:tcW w:w="573" w:type="pct"/>
            <w:tcBorders>
              <w:top w:val="single" w:sz="4" w:space="0" w:color="000000"/>
              <w:left w:val="nil"/>
              <w:bottom w:val="single" w:sz="4" w:space="0" w:color="000000"/>
              <w:right w:val="nil"/>
            </w:tcBorders>
            <w:shd w:val="clear" w:color="000000" w:fill="FFFFFF"/>
            <w:noWrap/>
            <w:vAlign w:val="center"/>
            <w:hideMark/>
          </w:tcPr>
          <w:p w14:paraId="18DF566A" w14:textId="2106B93E"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(7,400)</w:t>
            </w:r>
          </w:p>
        </w:tc>
        <w:tc>
          <w:tcPr>
            <w:tcW w:w="573" w:type="pct"/>
            <w:tcBorders>
              <w:top w:val="single" w:sz="4" w:space="0" w:color="000000"/>
              <w:left w:val="nil"/>
              <w:bottom w:val="single" w:sz="4" w:space="0" w:color="000000"/>
              <w:right w:val="nil"/>
            </w:tcBorders>
            <w:shd w:val="clear" w:color="000000" w:fill="FFFFFF"/>
            <w:noWrap/>
            <w:vAlign w:val="center"/>
            <w:hideMark/>
          </w:tcPr>
          <w:p w14:paraId="4B02D7F4" w14:textId="242F7AEE"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(7,400)</w:t>
            </w:r>
          </w:p>
        </w:tc>
        <w:tc>
          <w:tcPr>
            <w:tcW w:w="571" w:type="pct"/>
            <w:tcBorders>
              <w:top w:val="single" w:sz="4" w:space="0" w:color="000000"/>
              <w:left w:val="nil"/>
              <w:bottom w:val="single" w:sz="4" w:space="0" w:color="000000"/>
              <w:right w:val="nil"/>
            </w:tcBorders>
            <w:shd w:val="clear" w:color="000000" w:fill="FFFFFF"/>
            <w:noWrap/>
            <w:vAlign w:val="center"/>
            <w:hideMark/>
          </w:tcPr>
          <w:p w14:paraId="4723955D" w14:textId="2787493D"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(7,400)</w:t>
            </w:r>
          </w:p>
        </w:tc>
      </w:tr>
      <w:tr w:rsidR="00E36857" w:rsidRPr="00956125" w14:paraId="0F458604" w14:textId="77777777" w:rsidTr="006907A8">
        <w:trPr>
          <w:trHeight w:val="170"/>
        </w:trPr>
        <w:tc>
          <w:tcPr>
            <w:tcW w:w="2136" w:type="pct"/>
            <w:tcBorders>
              <w:top w:val="nil"/>
              <w:left w:val="nil"/>
              <w:bottom w:val="nil"/>
              <w:right w:val="nil"/>
            </w:tcBorders>
            <w:shd w:val="clear" w:color="000000" w:fill="FFFFFF"/>
            <w:vAlign w:val="bottom"/>
            <w:hideMark/>
          </w:tcPr>
          <w:p w14:paraId="3A58DA45"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Net cash from/(used by)</w:t>
            </w:r>
            <w:r w:rsidRPr="00043432">
              <w:rPr>
                <w:rFonts w:eastAsia="Times New Roman" w:cs="Arial"/>
                <w:b/>
                <w:bCs/>
                <w:sz w:val="16"/>
                <w:szCs w:val="16"/>
                <w:lang w:eastAsia="en-AU"/>
              </w:rPr>
              <w:br/>
              <w:t xml:space="preserve">  investing activities</w:t>
            </w:r>
          </w:p>
        </w:tc>
        <w:tc>
          <w:tcPr>
            <w:tcW w:w="573" w:type="pct"/>
            <w:tcBorders>
              <w:top w:val="nil"/>
              <w:left w:val="nil"/>
              <w:bottom w:val="single" w:sz="4" w:space="0" w:color="auto"/>
              <w:right w:val="nil"/>
            </w:tcBorders>
            <w:shd w:val="clear" w:color="000000" w:fill="FFFFFF"/>
            <w:noWrap/>
            <w:vAlign w:val="bottom"/>
            <w:hideMark/>
          </w:tcPr>
          <w:p w14:paraId="7DBA59FC" w14:textId="1418487D"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(18,300)</w:t>
            </w:r>
          </w:p>
        </w:tc>
        <w:tc>
          <w:tcPr>
            <w:tcW w:w="573" w:type="pct"/>
            <w:tcBorders>
              <w:top w:val="nil"/>
              <w:left w:val="nil"/>
              <w:bottom w:val="single" w:sz="4" w:space="0" w:color="auto"/>
              <w:right w:val="nil"/>
            </w:tcBorders>
            <w:shd w:val="clear" w:color="000000" w:fill="E6E6E6"/>
            <w:noWrap/>
            <w:vAlign w:val="bottom"/>
            <w:hideMark/>
          </w:tcPr>
          <w:p w14:paraId="711B1F57" w14:textId="0E87B8B9"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(16,400)</w:t>
            </w:r>
          </w:p>
        </w:tc>
        <w:tc>
          <w:tcPr>
            <w:tcW w:w="573" w:type="pct"/>
            <w:tcBorders>
              <w:top w:val="nil"/>
              <w:left w:val="nil"/>
              <w:bottom w:val="single" w:sz="4" w:space="0" w:color="auto"/>
              <w:right w:val="nil"/>
            </w:tcBorders>
            <w:shd w:val="clear" w:color="000000" w:fill="FFFFFF"/>
            <w:noWrap/>
            <w:vAlign w:val="bottom"/>
            <w:hideMark/>
          </w:tcPr>
          <w:p w14:paraId="388E441E" w14:textId="5D820806"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(7,400)</w:t>
            </w:r>
          </w:p>
        </w:tc>
        <w:tc>
          <w:tcPr>
            <w:tcW w:w="573" w:type="pct"/>
            <w:tcBorders>
              <w:top w:val="nil"/>
              <w:left w:val="nil"/>
              <w:bottom w:val="single" w:sz="4" w:space="0" w:color="auto"/>
              <w:right w:val="nil"/>
            </w:tcBorders>
            <w:shd w:val="clear" w:color="000000" w:fill="FFFFFF"/>
            <w:noWrap/>
            <w:vAlign w:val="bottom"/>
            <w:hideMark/>
          </w:tcPr>
          <w:p w14:paraId="44D801F3" w14:textId="5C2DBDC1"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(7,400)</w:t>
            </w:r>
          </w:p>
        </w:tc>
        <w:tc>
          <w:tcPr>
            <w:tcW w:w="571" w:type="pct"/>
            <w:tcBorders>
              <w:top w:val="nil"/>
              <w:left w:val="nil"/>
              <w:bottom w:val="single" w:sz="4" w:space="0" w:color="auto"/>
              <w:right w:val="nil"/>
            </w:tcBorders>
            <w:shd w:val="clear" w:color="000000" w:fill="FFFFFF"/>
            <w:noWrap/>
            <w:vAlign w:val="bottom"/>
            <w:hideMark/>
          </w:tcPr>
          <w:p w14:paraId="2DCF92F5" w14:textId="571F1501"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(7,400)</w:t>
            </w:r>
          </w:p>
        </w:tc>
      </w:tr>
      <w:tr w:rsidR="00E36857" w:rsidRPr="00956125" w14:paraId="1D0C77BE" w14:textId="77777777" w:rsidTr="006907A8">
        <w:trPr>
          <w:trHeight w:val="170"/>
        </w:trPr>
        <w:tc>
          <w:tcPr>
            <w:tcW w:w="2136" w:type="pct"/>
            <w:tcBorders>
              <w:top w:val="nil"/>
              <w:left w:val="nil"/>
              <w:bottom w:val="nil"/>
              <w:right w:val="nil"/>
            </w:tcBorders>
            <w:shd w:val="clear" w:color="000000" w:fill="FFFFFF"/>
            <w:noWrap/>
            <w:vAlign w:val="bottom"/>
            <w:hideMark/>
          </w:tcPr>
          <w:p w14:paraId="79330617"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FINANCING ACTIVITIES</w:t>
            </w:r>
          </w:p>
        </w:tc>
        <w:tc>
          <w:tcPr>
            <w:tcW w:w="573" w:type="pct"/>
            <w:tcBorders>
              <w:top w:val="nil"/>
              <w:left w:val="nil"/>
              <w:bottom w:val="nil"/>
              <w:right w:val="nil"/>
            </w:tcBorders>
            <w:shd w:val="clear" w:color="000000" w:fill="FFFFFF"/>
            <w:noWrap/>
            <w:vAlign w:val="center"/>
            <w:hideMark/>
          </w:tcPr>
          <w:p w14:paraId="357D9ADD" w14:textId="65848DB8"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E6E6E6"/>
            <w:noWrap/>
            <w:vAlign w:val="center"/>
            <w:hideMark/>
          </w:tcPr>
          <w:p w14:paraId="2EAAE987" w14:textId="4054365B"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6DCDA054" w14:textId="5766FB6D"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048CB0E1" w14:textId="3A1A4F7A"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1" w:type="pct"/>
            <w:tcBorders>
              <w:top w:val="nil"/>
              <w:left w:val="nil"/>
              <w:bottom w:val="nil"/>
              <w:right w:val="nil"/>
            </w:tcBorders>
            <w:shd w:val="clear" w:color="000000" w:fill="FFFFFF"/>
            <w:noWrap/>
            <w:vAlign w:val="center"/>
            <w:hideMark/>
          </w:tcPr>
          <w:p w14:paraId="246A4CAE" w14:textId="0CDD0070"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E36857" w:rsidRPr="00956125" w14:paraId="6F21937B" w14:textId="77777777" w:rsidTr="006907A8">
        <w:trPr>
          <w:trHeight w:val="170"/>
        </w:trPr>
        <w:tc>
          <w:tcPr>
            <w:tcW w:w="2136" w:type="pct"/>
            <w:tcBorders>
              <w:top w:val="nil"/>
              <w:left w:val="nil"/>
              <w:bottom w:val="nil"/>
              <w:right w:val="nil"/>
            </w:tcBorders>
            <w:shd w:val="clear" w:color="000000" w:fill="FFFFFF"/>
            <w:noWrap/>
            <w:vAlign w:val="bottom"/>
            <w:hideMark/>
          </w:tcPr>
          <w:p w14:paraId="025A8746"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Cash used</w:t>
            </w:r>
          </w:p>
        </w:tc>
        <w:tc>
          <w:tcPr>
            <w:tcW w:w="573" w:type="pct"/>
            <w:tcBorders>
              <w:top w:val="nil"/>
              <w:left w:val="nil"/>
              <w:bottom w:val="nil"/>
              <w:right w:val="nil"/>
            </w:tcBorders>
            <w:shd w:val="clear" w:color="000000" w:fill="FFFFFF"/>
            <w:noWrap/>
            <w:vAlign w:val="center"/>
            <w:hideMark/>
          </w:tcPr>
          <w:p w14:paraId="66043456" w14:textId="17546D54"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E6E6E6"/>
            <w:noWrap/>
            <w:vAlign w:val="center"/>
            <w:hideMark/>
          </w:tcPr>
          <w:p w14:paraId="4A58B204" w14:textId="30A9D18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47B22E13" w14:textId="6162DD11"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3" w:type="pct"/>
            <w:tcBorders>
              <w:top w:val="nil"/>
              <w:left w:val="nil"/>
              <w:bottom w:val="nil"/>
              <w:right w:val="nil"/>
            </w:tcBorders>
            <w:shd w:val="clear" w:color="000000" w:fill="FFFFFF"/>
            <w:noWrap/>
            <w:vAlign w:val="center"/>
            <w:hideMark/>
          </w:tcPr>
          <w:p w14:paraId="199E7AF4" w14:textId="12945B78"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c>
          <w:tcPr>
            <w:tcW w:w="571" w:type="pct"/>
            <w:tcBorders>
              <w:top w:val="nil"/>
              <w:left w:val="nil"/>
              <w:bottom w:val="nil"/>
              <w:right w:val="nil"/>
            </w:tcBorders>
            <w:shd w:val="clear" w:color="000000" w:fill="FFFFFF"/>
            <w:noWrap/>
            <w:vAlign w:val="center"/>
            <w:hideMark/>
          </w:tcPr>
          <w:p w14:paraId="6FDF9344" w14:textId="06FEBD06"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cs="Arial"/>
                <w:sz w:val="16"/>
                <w:szCs w:val="16"/>
              </w:rPr>
              <w:t> </w:t>
            </w:r>
          </w:p>
        </w:tc>
      </w:tr>
      <w:tr w:rsidR="00E36857" w:rsidRPr="00956125" w14:paraId="73FF5B1E" w14:textId="77777777" w:rsidTr="006907A8">
        <w:trPr>
          <w:trHeight w:val="170"/>
        </w:trPr>
        <w:tc>
          <w:tcPr>
            <w:tcW w:w="2136" w:type="pct"/>
            <w:tcBorders>
              <w:top w:val="nil"/>
              <w:left w:val="nil"/>
              <w:bottom w:val="nil"/>
              <w:right w:val="nil"/>
            </w:tcBorders>
            <w:shd w:val="clear" w:color="000000" w:fill="FFFFFF"/>
            <w:noWrap/>
            <w:vAlign w:val="bottom"/>
            <w:hideMark/>
          </w:tcPr>
          <w:p w14:paraId="7623D895" w14:textId="77777777" w:rsidR="00E36857" w:rsidRPr="00043432" w:rsidRDefault="00E36857"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Principal payments on lease liability</w:t>
            </w:r>
          </w:p>
        </w:tc>
        <w:tc>
          <w:tcPr>
            <w:tcW w:w="573" w:type="pct"/>
            <w:tcBorders>
              <w:top w:val="nil"/>
              <w:left w:val="nil"/>
              <w:bottom w:val="nil"/>
              <w:right w:val="nil"/>
            </w:tcBorders>
            <w:shd w:val="clear" w:color="000000" w:fill="FFFFFF"/>
            <w:noWrap/>
            <w:vAlign w:val="center"/>
            <w:hideMark/>
          </w:tcPr>
          <w:p w14:paraId="5838B28E" w14:textId="0685F6A3"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(8,905)</w:t>
            </w:r>
          </w:p>
        </w:tc>
        <w:tc>
          <w:tcPr>
            <w:tcW w:w="573" w:type="pct"/>
            <w:tcBorders>
              <w:top w:val="nil"/>
              <w:left w:val="nil"/>
              <w:bottom w:val="nil"/>
              <w:right w:val="nil"/>
            </w:tcBorders>
            <w:shd w:val="clear" w:color="000000" w:fill="E6E6E6"/>
            <w:noWrap/>
            <w:vAlign w:val="center"/>
            <w:hideMark/>
          </w:tcPr>
          <w:p w14:paraId="1226D71E" w14:textId="0BC28BDF"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(8,753)</w:t>
            </w:r>
          </w:p>
        </w:tc>
        <w:tc>
          <w:tcPr>
            <w:tcW w:w="573" w:type="pct"/>
            <w:tcBorders>
              <w:top w:val="nil"/>
              <w:left w:val="nil"/>
              <w:bottom w:val="nil"/>
              <w:right w:val="nil"/>
            </w:tcBorders>
            <w:shd w:val="clear" w:color="000000" w:fill="FFFFFF"/>
            <w:noWrap/>
            <w:vAlign w:val="center"/>
            <w:hideMark/>
          </w:tcPr>
          <w:p w14:paraId="77175217" w14:textId="6467D971"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(8,940)</w:t>
            </w:r>
          </w:p>
        </w:tc>
        <w:tc>
          <w:tcPr>
            <w:tcW w:w="573" w:type="pct"/>
            <w:tcBorders>
              <w:top w:val="nil"/>
              <w:left w:val="nil"/>
              <w:bottom w:val="nil"/>
              <w:right w:val="nil"/>
            </w:tcBorders>
            <w:shd w:val="clear" w:color="000000" w:fill="FFFFFF"/>
            <w:noWrap/>
            <w:vAlign w:val="center"/>
            <w:hideMark/>
          </w:tcPr>
          <w:p w14:paraId="54B54566" w14:textId="4CECD1C5"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(9,655)</w:t>
            </w:r>
          </w:p>
        </w:tc>
        <w:tc>
          <w:tcPr>
            <w:tcW w:w="571" w:type="pct"/>
            <w:tcBorders>
              <w:top w:val="nil"/>
              <w:left w:val="nil"/>
              <w:bottom w:val="nil"/>
              <w:right w:val="nil"/>
            </w:tcBorders>
            <w:shd w:val="clear" w:color="000000" w:fill="FFFFFF"/>
            <w:noWrap/>
            <w:vAlign w:val="center"/>
            <w:hideMark/>
          </w:tcPr>
          <w:p w14:paraId="49343C6F" w14:textId="6EFA81E6"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(8,291)</w:t>
            </w:r>
          </w:p>
        </w:tc>
      </w:tr>
      <w:tr w:rsidR="00E36857" w:rsidRPr="00956125" w14:paraId="6B0A374D" w14:textId="77777777" w:rsidTr="006907A8">
        <w:trPr>
          <w:trHeight w:val="170"/>
        </w:trPr>
        <w:tc>
          <w:tcPr>
            <w:tcW w:w="2136" w:type="pct"/>
            <w:tcBorders>
              <w:top w:val="nil"/>
              <w:left w:val="nil"/>
              <w:bottom w:val="nil"/>
              <w:right w:val="nil"/>
            </w:tcBorders>
            <w:shd w:val="clear" w:color="000000" w:fill="FFFFFF"/>
            <w:noWrap/>
            <w:vAlign w:val="bottom"/>
            <w:hideMark/>
          </w:tcPr>
          <w:p w14:paraId="26578436" w14:textId="77777777" w:rsidR="00E36857" w:rsidRPr="00043432" w:rsidRDefault="00E36857"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cash used</w:t>
            </w:r>
          </w:p>
        </w:tc>
        <w:tc>
          <w:tcPr>
            <w:tcW w:w="573" w:type="pct"/>
            <w:tcBorders>
              <w:top w:val="single" w:sz="4" w:space="0" w:color="000000"/>
              <w:left w:val="nil"/>
              <w:bottom w:val="single" w:sz="4" w:space="0" w:color="000000"/>
              <w:right w:val="nil"/>
            </w:tcBorders>
            <w:shd w:val="clear" w:color="000000" w:fill="FFFFFF"/>
            <w:noWrap/>
            <w:vAlign w:val="center"/>
            <w:hideMark/>
          </w:tcPr>
          <w:p w14:paraId="0677DE44" w14:textId="5843BC23"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(8,905)</w:t>
            </w:r>
          </w:p>
        </w:tc>
        <w:tc>
          <w:tcPr>
            <w:tcW w:w="573" w:type="pct"/>
            <w:tcBorders>
              <w:top w:val="single" w:sz="4" w:space="0" w:color="000000"/>
              <w:left w:val="nil"/>
              <w:bottom w:val="single" w:sz="4" w:space="0" w:color="000000"/>
              <w:right w:val="nil"/>
            </w:tcBorders>
            <w:shd w:val="clear" w:color="000000" w:fill="E6E6E6"/>
            <w:noWrap/>
            <w:vAlign w:val="center"/>
            <w:hideMark/>
          </w:tcPr>
          <w:p w14:paraId="3F969797" w14:textId="37589E0E"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(8,753)</w:t>
            </w:r>
          </w:p>
        </w:tc>
        <w:tc>
          <w:tcPr>
            <w:tcW w:w="573" w:type="pct"/>
            <w:tcBorders>
              <w:top w:val="single" w:sz="4" w:space="0" w:color="000000"/>
              <w:left w:val="nil"/>
              <w:bottom w:val="single" w:sz="4" w:space="0" w:color="000000"/>
              <w:right w:val="nil"/>
            </w:tcBorders>
            <w:shd w:val="clear" w:color="000000" w:fill="FFFFFF"/>
            <w:noWrap/>
            <w:vAlign w:val="center"/>
            <w:hideMark/>
          </w:tcPr>
          <w:p w14:paraId="0F42613D" w14:textId="697F7C62"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(8,940)</w:t>
            </w:r>
          </w:p>
        </w:tc>
        <w:tc>
          <w:tcPr>
            <w:tcW w:w="573" w:type="pct"/>
            <w:tcBorders>
              <w:top w:val="single" w:sz="4" w:space="0" w:color="000000"/>
              <w:left w:val="nil"/>
              <w:bottom w:val="single" w:sz="4" w:space="0" w:color="000000"/>
              <w:right w:val="nil"/>
            </w:tcBorders>
            <w:shd w:val="clear" w:color="000000" w:fill="FFFFFF"/>
            <w:noWrap/>
            <w:vAlign w:val="center"/>
            <w:hideMark/>
          </w:tcPr>
          <w:p w14:paraId="00990B6D" w14:textId="02D3B952"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(9,655)</w:t>
            </w:r>
          </w:p>
        </w:tc>
        <w:tc>
          <w:tcPr>
            <w:tcW w:w="571" w:type="pct"/>
            <w:tcBorders>
              <w:top w:val="single" w:sz="4" w:space="0" w:color="000000"/>
              <w:left w:val="nil"/>
              <w:bottom w:val="single" w:sz="4" w:space="0" w:color="000000"/>
              <w:right w:val="nil"/>
            </w:tcBorders>
            <w:shd w:val="clear" w:color="000000" w:fill="FFFFFF"/>
            <w:noWrap/>
            <w:vAlign w:val="center"/>
            <w:hideMark/>
          </w:tcPr>
          <w:p w14:paraId="0A57F2CC" w14:textId="3792CBFD" w:rsidR="00E36857" w:rsidRPr="00043432" w:rsidRDefault="00E36857"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(8,291)</w:t>
            </w:r>
          </w:p>
        </w:tc>
      </w:tr>
      <w:tr w:rsidR="00E36857" w:rsidRPr="00956125" w14:paraId="78D59BFA" w14:textId="77777777" w:rsidTr="006907A8">
        <w:trPr>
          <w:trHeight w:val="170"/>
        </w:trPr>
        <w:tc>
          <w:tcPr>
            <w:tcW w:w="2136" w:type="pct"/>
            <w:tcBorders>
              <w:top w:val="nil"/>
              <w:left w:val="nil"/>
              <w:bottom w:val="nil"/>
              <w:right w:val="nil"/>
            </w:tcBorders>
            <w:shd w:val="clear" w:color="000000" w:fill="FFFFFF"/>
            <w:vAlign w:val="bottom"/>
            <w:hideMark/>
          </w:tcPr>
          <w:p w14:paraId="01F87D59"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Net cash from/(used by)</w:t>
            </w:r>
            <w:r w:rsidRPr="00043432">
              <w:rPr>
                <w:rFonts w:eastAsia="Times New Roman" w:cs="Arial"/>
                <w:b/>
                <w:bCs/>
                <w:sz w:val="16"/>
                <w:szCs w:val="16"/>
                <w:lang w:eastAsia="en-AU"/>
              </w:rPr>
              <w:br/>
              <w:t xml:space="preserve">  financing activities</w:t>
            </w:r>
          </w:p>
        </w:tc>
        <w:tc>
          <w:tcPr>
            <w:tcW w:w="573" w:type="pct"/>
            <w:tcBorders>
              <w:top w:val="nil"/>
              <w:left w:val="nil"/>
              <w:bottom w:val="single" w:sz="4" w:space="0" w:color="000000"/>
              <w:right w:val="nil"/>
            </w:tcBorders>
            <w:shd w:val="clear" w:color="000000" w:fill="FFFFFF"/>
            <w:noWrap/>
            <w:vAlign w:val="bottom"/>
            <w:hideMark/>
          </w:tcPr>
          <w:p w14:paraId="34ED7EA6" w14:textId="7E33BFD4"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(8,905)</w:t>
            </w:r>
          </w:p>
        </w:tc>
        <w:tc>
          <w:tcPr>
            <w:tcW w:w="573" w:type="pct"/>
            <w:tcBorders>
              <w:top w:val="nil"/>
              <w:left w:val="nil"/>
              <w:bottom w:val="single" w:sz="4" w:space="0" w:color="000000"/>
              <w:right w:val="nil"/>
            </w:tcBorders>
            <w:shd w:val="clear" w:color="000000" w:fill="E6E6E6"/>
            <w:noWrap/>
            <w:vAlign w:val="bottom"/>
            <w:hideMark/>
          </w:tcPr>
          <w:p w14:paraId="16206C71" w14:textId="6D686500"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(8,753)</w:t>
            </w:r>
          </w:p>
        </w:tc>
        <w:tc>
          <w:tcPr>
            <w:tcW w:w="573" w:type="pct"/>
            <w:tcBorders>
              <w:top w:val="nil"/>
              <w:left w:val="nil"/>
              <w:bottom w:val="single" w:sz="4" w:space="0" w:color="000000"/>
              <w:right w:val="nil"/>
            </w:tcBorders>
            <w:shd w:val="clear" w:color="000000" w:fill="FFFFFF"/>
            <w:noWrap/>
            <w:vAlign w:val="bottom"/>
            <w:hideMark/>
          </w:tcPr>
          <w:p w14:paraId="74ECF620" w14:textId="2D7BF5EC"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(8,940)</w:t>
            </w:r>
          </w:p>
        </w:tc>
        <w:tc>
          <w:tcPr>
            <w:tcW w:w="573" w:type="pct"/>
            <w:tcBorders>
              <w:top w:val="nil"/>
              <w:left w:val="nil"/>
              <w:bottom w:val="single" w:sz="4" w:space="0" w:color="000000"/>
              <w:right w:val="nil"/>
            </w:tcBorders>
            <w:shd w:val="clear" w:color="000000" w:fill="FFFFFF"/>
            <w:noWrap/>
            <w:vAlign w:val="bottom"/>
            <w:hideMark/>
          </w:tcPr>
          <w:p w14:paraId="41AB29FA" w14:textId="2810DC12"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(9,655)</w:t>
            </w:r>
          </w:p>
        </w:tc>
        <w:tc>
          <w:tcPr>
            <w:tcW w:w="571" w:type="pct"/>
            <w:tcBorders>
              <w:top w:val="nil"/>
              <w:left w:val="nil"/>
              <w:bottom w:val="single" w:sz="4" w:space="0" w:color="000000"/>
              <w:right w:val="nil"/>
            </w:tcBorders>
            <w:shd w:val="clear" w:color="000000" w:fill="FFFFFF"/>
            <w:noWrap/>
            <w:vAlign w:val="bottom"/>
            <w:hideMark/>
          </w:tcPr>
          <w:p w14:paraId="5E763B81" w14:textId="45218D3C"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(8,291)</w:t>
            </w:r>
          </w:p>
        </w:tc>
      </w:tr>
      <w:tr w:rsidR="00E36857" w:rsidRPr="00956125" w14:paraId="671E62D8" w14:textId="77777777" w:rsidTr="006907A8">
        <w:trPr>
          <w:trHeight w:val="170"/>
        </w:trPr>
        <w:tc>
          <w:tcPr>
            <w:tcW w:w="2136" w:type="pct"/>
            <w:tcBorders>
              <w:top w:val="nil"/>
              <w:left w:val="nil"/>
              <w:bottom w:val="nil"/>
              <w:right w:val="nil"/>
            </w:tcBorders>
            <w:shd w:val="clear" w:color="000000" w:fill="FFFFFF"/>
            <w:vAlign w:val="bottom"/>
            <w:hideMark/>
          </w:tcPr>
          <w:p w14:paraId="35CDB70A"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Net increase/(decrease) in cash</w:t>
            </w:r>
            <w:r w:rsidRPr="00043432">
              <w:rPr>
                <w:rFonts w:eastAsia="Times New Roman" w:cs="Arial"/>
                <w:b/>
                <w:bCs/>
                <w:sz w:val="16"/>
                <w:szCs w:val="16"/>
                <w:lang w:eastAsia="en-AU"/>
              </w:rPr>
              <w:br/>
              <w:t xml:space="preserve">  held</w:t>
            </w:r>
          </w:p>
        </w:tc>
        <w:tc>
          <w:tcPr>
            <w:tcW w:w="573" w:type="pct"/>
            <w:tcBorders>
              <w:top w:val="nil"/>
              <w:left w:val="nil"/>
              <w:bottom w:val="single" w:sz="4" w:space="0" w:color="000000"/>
              <w:right w:val="nil"/>
            </w:tcBorders>
            <w:shd w:val="clear" w:color="000000" w:fill="FFFFFF"/>
            <w:noWrap/>
            <w:vAlign w:val="bottom"/>
            <w:hideMark/>
          </w:tcPr>
          <w:p w14:paraId="2FF3BFCB" w14:textId="71F0120B"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(11,142)</w:t>
            </w:r>
          </w:p>
        </w:tc>
        <w:tc>
          <w:tcPr>
            <w:tcW w:w="573" w:type="pct"/>
            <w:tcBorders>
              <w:top w:val="nil"/>
              <w:left w:val="nil"/>
              <w:bottom w:val="single" w:sz="4" w:space="0" w:color="000000"/>
              <w:right w:val="nil"/>
            </w:tcBorders>
            <w:shd w:val="clear" w:color="000000" w:fill="E6E6E6"/>
            <w:noWrap/>
            <w:vAlign w:val="bottom"/>
            <w:hideMark/>
          </w:tcPr>
          <w:p w14:paraId="35119B53" w14:textId="3D03C400"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(3,279)</w:t>
            </w:r>
          </w:p>
        </w:tc>
        <w:tc>
          <w:tcPr>
            <w:tcW w:w="573" w:type="pct"/>
            <w:tcBorders>
              <w:top w:val="nil"/>
              <w:left w:val="nil"/>
              <w:bottom w:val="single" w:sz="4" w:space="0" w:color="000000"/>
              <w:right w:val="nil"/>
            </w:tcBorders>
            <w:shd w:val="clear" w:color="000000" w:fill="FFFFFF"/>
            <w:noWrap/>
            <w:vAlign w:val="bottom"/>
            <w:hideMark/>
          </w:tcPr>
          <w:p w14:paraId="7F808B0D" w14:textId="43A5580B"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8,111 </w:t>
            </w:r>
          </w:p>
        </w:tc>
        <w:tc>
          <w:tcPr>
            <w:tcW w:w="573" w:type="pct"/>
            <w:tcBorders>
              <w:top w:val="nil"/>
              <w:left w:val="nil"/>
              <w:bottom w:val="single" w:sz="4" w:space="0" w:color="000000"/>
              <w:right w:val="nil"/>
            </w:tcBorders>
            <w:shd w:val="clear" w:color="000000" w:fill="FFFFFF"/>
            <w:noWrap/>
            <w:vAlign w:val="bottom"/>
            <w:hideMark/>
          </w:tcPr>
          <w:p w14:paraId="01637201" w14:textId="6D7F79A0"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7,853 </w:t>
            </w:r>
          </w:p>
        </w:tc>
        <w:tc>
          <w:tcPr>
            <w:tcW w:w="571" w:type="pct"/>
            <w:tcBorders>
              <w:top w:val="nil"/>
              <w:left w:val="nil"/>
              <w:bottom w:val="single" w:sz="4" w:space="0" w:color="000000"/>
              <w:right w:val="nil"/>
            </w:tcBorders>
            <w:shd w:val="clear" w:color="000000" w:fill="FFFFFF"/>
            <w:noWrap/>
            <w:vAlign w:val="bottom"/>
            <w:hideMark/>
          </w:tcPr>
          <w:p w14:paraId="5F1942A3" w14:textId="51235A6E"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7,473 </w:t>
            </w:r>
          </w:p>
        </w:tc>
      </w:tr>
      <w:tr w:rsidR="00E36857" w:rsidRPr="00956125" w14:paraId="24C9BB66" w14:textId="77777777" w:rsidTr="006907A8">
        <w:trPr>
          <w:trHeight w:val="170"/>
        </w:trPr>
        <w:tc>
          <w:tcPr>
            <w:tcW w:w="2136" w:type="pct"/>
            <w:tcBorders>
              <w:top w:val="nil"/>
              <w:left w:val="nil"/>
              <w:bottom w:val="nil"/>
              <w:right w:val="nil"/>
            </w:tcBorders>
            <w:shd w:val="clear" w:color="000000" w:fill="FFFFFF"/>
            <w:vAlign w:val="bottom"/>
            <w:hideMark/>
          </w:tcPr>
          <w:p w14:paraId="13C2F8E6" w14:textId="77777777" w:rsidR="00E36857" w:rsidRPr="00043432" w:rsidRDefault="00E36857"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Cash and cash equivalents at the</w:t>
            </w:r>
            <w:r w:rsidRPr="00043432">
              <w:rPr>
                <w:rFonts w:eastAsia="Times New Roman" w:cs="Arial"/>
                <w:sz w:val="16"/>
                <w:szCs w:val="16"/>
                <w:lang w:eastAsia="en-AU"/>
              </w:rPr>
              <w:br/>
              <w:t xml:space="preserve">      beginning of the reporting period</w:t>
            </w:r>
          </w:p>
        </w:tc>
        <w:tc>
          <w:tcPr>
            <w:tcW w:w="573" w:type="pct"/>
            <w:tcBorders>
              <w:top w:val="nil"/>
              <w:left w:val="nil"/>
              <w:bottom w:val="nil"/>
              <w:right w:val="nil"/>
            </w:tcBorders>
            <w:shd w:val="clear" w:color="000000" w:fill="FFFFFF"/>
            <w:noWrap/>
            <w:vAlign w:val="center"/>
            <w:hideMark/>
          </w:tcPr>
          <w:p w14:paraId="39D34FC5" w14:textId="47178D71"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72,828 </w:t>
            </w:r>
          </w:p>
        </w:tc>
        <w:tc>
          <w:tcPr>
            <w:tcW w:w="573" w:type="pct"/>
            <w:tcBorders>
              <w:top w:val="nil"/>
              <w:left w:val="nil"/>
              <w:bottom w:val="nil"/>
              <w:right w:val="nil"/>
            </w:tcBorders>
            <w:shd w:val="clear" w:color="000000" w:fill="E6E6E6"/>
            <w:noWrap/>
            <w:vAlign w:val="center"/>
            <w:hideMark/>
          </w:tcPr>
          <w:p w14:paraId="7AA80597" w14:textId="4855B8DA"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61,686 </w:t>
            </w:r>
          </w:p>
        </w:tc>
        <w:tc>
          <w:tcPr>
            <w:tcW w:w="573" w:type="pct"/>
            <w:tcBorders>
              <w:top w:val="nil"/>
              <w:left w:val="nil"/>
              <w:bottom w:val="nil"/>
              <w:right w:val="nil"/>
            </w:tcBorders>
            <w:shd w:val="clear" w:color="000000" w:fill="FFFFFF"/>
            <w:noWrap/>
            <w:vAlign w:val="center"/>
            <w:hideMark/>
          </w:tcPr>
          <w:p w14:paraId="1AEB6792" w14:textId="1B15D5F1"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58,404 </w:t>
            </w:r>
          </w:p>
        </w:tc>
        <w:tc>
          <w:tcPr>
            <w:tcW w:w="573" w:type="pct"/>
            <w:tcBorders>
              <w:top w:val="nil"/>
              <w:left w:val="nil"/>
              <w:bottom w:val="nil"/>
              <w:right w:val="nil"/>
            </w:tcBorders>
            <w:shd w:val="clear" w:color="000000" w:fill="FFFFFF"/>
            <w:noWrap/>
            <w:vAlign w:val="center"/>
            <w:hideMark/>
          </w:tcPr>
          <w:p w14:paraId="53F10D4D" w14:textId="0896C3D2"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66,512 </w:t>
            </w:r>
          </w:p>
        </w:tc>
        <w:tc>
          <w:tcPr>
            <w:tcW w:w="571" w:type="pct"/>
            <w:tcBorders>
              <w:top w:val="nil"/>
              <w:left w:val="nil"/>
              <w:bottom w:val="nil"/>
              <w:right w:val="nil"/>
            </w:tcBorders>
            <w:shd w:val="clear" w:color="000000" w:fill="FFFFFF"/>
            <w:noWrap/>
            <w:vAlign w:val="center"/>
            <w:hideMark/>
          </w:tcPr>
          <w:p w14:paraId="619824D4" w14:textId="13DC54A2" w:rsidR="00E36857" w:rsidRPr="00043432" w:rsidRDefault="00E36857"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74,361 </w:t>
            </w:r>
          </w:p>
        </w:tc>
      </w:tr>
      <w:tr w:rsidR="00E36857" w:rsidRPr="00956125" w14:paraId="10C11017" w14:textId="77777777" w:rsidTr="006907A8">
        <w:trPr>
          <w:trHeight w:val="170"/>
        </w:trPr>
        <w:tc>
          <w:tcPr>
            <w:tcW w:w="2136" w:type="pct"/>
            <w:tcBorders>
              <w:top w:val="nil"/>
              <w:left w:val="nil"/>
              <w:bottom w:val="single" w:sz="4" w:space="0" w:color="auto"/>
              <w:right w:val="nil"/>
            </w:tcBorders>
            <w:shd w:val="clear" w:color="000000" w:fill="FFFFFF"/>
            <w:vAlign w:val="bottom"/>
            <w:hideMark/>
          </w:tcPr>
          <w:p w14:paraId="6A26FE7C" w14:textId="77777777" w:rsidR="00E36857" w:rsidRPr="00043432" w:rsidRDefault="00E36857"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Cash and cash equivalents at</w:t>
            </w:r>
            <w:r w:rsidRPr="00043432">
              <w:rPr>
                <w:rFonts w:eastAsia="Times New Roman" w:cs="Arial"/>
                <w:b/>
                <w:bCs/>
                <w:sz w:val="16"/>
                <w:szCs w:val="16"/>
                <w:lang w:eastAsia="en-AU"/>
              </w:rPr>
              <w:br/>
              <w:t xml:space="preserve">  the end of the reporting period</w:t>
            </w:r>
          </w:p>
        </w:tc>
        <w:tc>
          <w:tcPr>
            <w:tcW w:w="573" w:type="pct"/>
            <w:tcBorders>
              <w:top w:val="single" w:sz="4" w:space="0" w:color="000000"/>
              <w:left w:val="nil"/>
              <w:bottom w:val="single" w:sz="4" w:space="0" w:color="auto"/>
              <w:right w:val="nil"/>
            </w:tcBorders>
            <w:shd w:val="clear" w:color="000000" w:fill="FFFFFF"/>
            <w:noWrap/>
            <w:vAlign w:val="bottom"/>
            <w:hideMark/>
          </w:tcPr>
          <w:p w14:paraId="74FDD15B" w14:textId="65974C4D"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61,686 </w:t>
            </w:r>
          </w:p>
        </w:tc>
        <w:tc>
          <w:tcPr>
            <w:tcW w:w="573" w:type="pct"/>
            <w:tcBorders>
              <w:top w:val="single" w:sz="4" w:space="0" w:color="000000"/>
              <w:left w:val="nil"/>
              <w:bottom w:val="single" w:sz="4" w:space="0" w:color="auto"/>
              <w:right w:val="nil"/>
            </w:tcBorders>
            <w:shd w:val="clear" w:color="000000" w:fill="E6E6E6"/>
            <w:noWrap/>
            <w:vAlign w:val="bottom"/>
            <w:hideMark/>
          </w:tcPr>
          <w:p w14:paraId="485588FE" w14:textId="417A685E"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58,406 </w:t>
            </w:r>
          </w:p>
        </w:tc>
        <w:tc>
          <w:tcPr>
            <w:tcW w:w="573" w:type="pct"/>
            <w:tcBorders>
              <w:top w:val="single" w:sz="4" w:space="0" w:color="000000"/>
              <w:left w:val="nil"/>
              <w:bottom w:val="single" w:sz="4" w:space="0" w:color="auto"/>
              <w:right w:val="nil"/>
            </w:tcBorders>
            <w:shd w:val="clear" w:color="000000" w:fill="FFFFFF"/>
            <w:noWrap/>
            <w:vAlign w:val="bottom"/>
            <w:hideMark/>
          </w:tcPr>
          <w:p w14:paraId="147558B6" w14:textId="50F7D200"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66,516 </w:t>
            </w:r>
          </w:p>
        </w:tc>
        <w:tc>
          <w:tcPr>
            <w:tcW w:w="573" w:type="pct"/>
            <w:tcBorders>
              <w:top w:val="single" w:sz="4" w:space="0" w:color="000000"/>
              <w:left w:val="nil"/>
              <w:bottom w:val="single" w:sz="4" w:space="0" w:color="auto"/>
              <w:right w:val="nil"/>
            </w:tcBorders>
            <w:shd w:val="clear" w:color="000000" w:fill="FFFFFF"/>
            <w:noWrap/>
            <w:vAlign w:val="bottom"/>
            <w:hideMark/>
          </w:tcPr>
          <w:p w14:paraId="74D8E8D3" w14:textId="0C4D108F"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74,365 </w:t>
            </w:r>
          </w:p>
        </w:tc>
        <w:tc>
          <w:tcPr>
            <w:tcW w:w="571" w:type="pct"/>
            <w:tcBorders>
              <w:top w:val="single" w:sz="4" w:space="0" w:color="000000"/>
              <w:left w:val="nil"/>
              <w:bottom w:val="single" w:sz="4" w:space="0" w:color="auto"/>
              <w:right w:val="nil"/>
            </w:tcBorders>
            <w:shd w:val="clear" w:color="000000" w:fill="FFFFFF"/>
            <w:noWrap/>
            <w:vAlign w:val="bottom"/>
            <w:hideMark/>
          </w:tcPr>
          <w:p w14:paraId="4068D506" w14:textId="0544AE11" w:rsidR="00E36857" w:rsidRPr="00043432" w:rsidRDefault="00E36857"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81,834 </w:t>
            </w:r>
          </w:p>
        </w:tc>
      </w:tr>
    </w:tbl>
    <w:p w14:paraId="7F10C9F6" w14:textId="77777777" w:rsidR="0008358A" w:rsidRPr="001773EA" w:rsidRDefault="0008358A" w:rsidP="0008358A">
      <w:pPr>
        <w:pStyle w:val="ChartandTableFootnote"/>
      </w:pPr>
      <w:r w:rsidRPr="002B193F">
        <w:t>Prepared on Australian Accounting Standards basis.</w:t>
      </w:r>
    </w:p>
    <w:p w14:paraId="4220F1A1" w14:textId="77777777" w:rsidR="0008358A" w:rsidRPr="000E6927" w:rsidRDefault="0008358A" w:rsidP="00043432">
      <w:pPr>
        <w:pStyle w:val="ListParagraph"/>
        <w:numPr>
          <w:ilvl w:val="0"/>
          <w:numId w:val="20"/>
        </w:numPr>
      </w:pPr>
    </w:p>
    <w:p w14:paraId="04E292B8" w14:textId="77777777" w:rsidR="0008358A" w:rsidRPr="0041404E" w:rsidRDefault="0008358A" w:rsidP="0008358A">
      <w:pPr>
        <w:pStyle w:val="TableHeadingcontinued"/>
      </w:pPr>
      <w:r>
        <w:br w:type="page"/>
      </w:r>
      <w:r w:rsidRPr="00D30CBA">
        <w:lastRenderedPageBreak/>
        <w:t>Table</w:t>
      </w:r>
      <w:r>
        <w:t xml:space="preserve"> 3.5</w:t>
      </w:r>
      <w:r w:rsidRPr="00D30CBA">
        <w:t xml:space="preserve">: </w:t>
      </w:r>
      <w:r>
        <w:t>Departmental capital budget statement (for the period ended 30 June)</w:t>
      </w:r>
    </w:p>
    <w:tbl>
      <w:tblPr>
        <w:tblW w:w="5000" w:type="pct"/>
        <w:tblCellMar>
          <w:left w:w="0" w:type="dxa"/>
          <w:right w:w="28" w:type="dxa"/>
        </w:tblCellMar>
        <w:tblLook w:val="04A0" w:firstRow="1" w:lastRow="0" w:firstColumn="1" w:lastColumn="0" w:noHBand="0" w:noVBand="1"/>
      </w:tblPr>
      <w:tblGrid>
        <w:gridCol w:w="3256"/>
        <w:gridCol w:w="891"/>
        <w:gridCol w:w="891"/>
        <w:gridCol w:w="891"/>
        <w:gridCol w:w="891"/>
        <w:gridCol w:w="890"/>
      </w:tblGrid>
      <w:tr w:rsidR="00BC2BED" w:rsidRPr="00D8687F" w14:paraId="08E24DF2" w14:textId="77777777" w:rsidTr="00BC2BED">
        <w:trPr>
          <w:trHeight w:val="800"/>
        </w:trPr>
        <w:tc>
          <w:tcPr>
            <w:tcW w:w="2111" w:type="pct"/>
            <w:tcBorders>
              <w:top w:val="single" w:sz="4" w:space="0" w:color="auto"/>
              <w:left w:val="nil"/>
              <w:bottom w:val="nil"/>
              <w:right w:val="nil"/>
            </w:tcBorders>
            <w:shd w:val="clear" w:color="auto" w:fill="auto"/>
            <w:noWrap/>
            <w:hideMark/>
          </w:tcPr>
          <w:p w14:paraId="4158B86A" w14:textId="272B6EDC" w:rsidR="00BC2BED" w:rsidRPr="00043432" w:rsidRDefault="004447D7" w:rsidP="00043432">
            <w:pPr>
              <w:pStyle w:val="ListParagraph"/>
              <w:numPr>
                <w:ilvl w:val="0"/>
                <w:numId w:val="20"/>
              </w:numPr>
              <w:spacing w:after="0"/>
              <w:rPr>
                <w:rFonts w:eastAsia="Times New Roman" w:cs="Arial"/>
                <w:b/>
                <w:bCs/>
                <w:color w:val="auto"/>
                <w:sz w:val="16"/>
                <w:szCs w:val="16"/>
                <w:lang w:eastAsia="en-AU"/>
              </w:rPr>
            </w:pPr>
            <w:r w:rsidRPr="004447D7">
              <w:t xml:space="preserve"> </w:t>
            </w:r>
            <w:r w:rsidR="00BC2BED" w:rsidRPr="00043432">
              <w:rPr>
                <w:rFonts w:eastAsia="Times New Roman" w:cs="Arial"/>
                <w:b/>
                <w:bCs/>
                <w:color w:val="auto"/>
                <w:sz w:val="16"/>
                <w:szCs w:val="16"/>
                <w:lang w:eastAsia="en-AU"/>
              </w:rPr>
              <w:t> </w:t>
            </w:r>
          </w:p>
        </w:tc>
        <w:tc>
          <w:tcPr>
            <w:tcW w:w="578" w:type="pct"/>
            <w:tcBorders>
              <w:top w:val="single" w:sz="4" w:space="0" w:color="auto"/>
              <w:left w:val="nil"/>
              <w:bottom w:val="single" w:sz="4" w:space="0" w:color="auto"/>
              <w:right w:val="nil"/>
            </w:tcBorders>
            <w:shd w:val="clear" w:color="auto" w:fill="auto"/>
            <w:hideMark/>
          </w:tcPr>
          <w:p w14:paraId="03A77FE5"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 Estimated actual</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000000" w:fill="E6E6E6"/>
            <w:hideMark/>
          </w:tcPr>
          <w:p w14:paraId="4BE22F4F"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r w:rsidRPr="00043432">
              <w:rPr>
                <w:rFonts w:eastAsia="Times New Roman" w:cs="Arial"/>
                <w:color w:val="auto"/>
                <w:sz w:val="16"/>
                <w:szCs w:val="16"/>
                <w:lang w:eastAsia="en-AU"/>
              </w:rPr>
              <w:br/>
              <w:t>Budget</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3F3DCF9A"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2022-23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415221F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2023-24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06EE8EA0"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2024-25</w:t>
            </w:r>
            <w:r w:rsidRPr="00043432">
              <w:rPr>
                <w:rFonts w:eastAsia="Times New Roman" w:cs="Arial"/>
                <w:color w:val="auto"/>
                <w:sz w:val="16"/>
                <w:szCs w:val="16"/>
                <w:lang w:eastAsia="en-AU"/>
              </w:rPr>
              <w:br/>
              <w:t>Forward estimate</w:t>
            </w:r>
            <w:r w:rsidRPr="00043432">
              <w:rPr>
                <w:rFonts w:eastAsia="Times New Roman" w:cs="Arial"/>
                <w:color w:val="auto"/>
                <w:sz w:val="16"/>
                <w:szCs w:val="16"/>
                <w:lang w:eastAsia="en-AU"/>
              </w:rPr>
              <w:br/>
              <w:t>$'000</w:t>
            </w:r>
          </w:p>
        </w:tc>
      </w:tr>
      <w:tr w:rsidR="00BC2BED" w:rsidRPr="00D8687F" w14:paraId="37FD2194" w14:textId="77777777" w:rsidTr="00BC2BED">
        <w:trPr>
          <w:trHeight w:val="420"/>
        </w:trPr>
        <w:tc>
          <w:tcPr>
            <w:tcW w:w="2111" w:type="pct"/>
            <w:tcBorders>
              <w:top w:val="nil"/>
              <w:left w:val="nil"/>
              <w:bottom w:val="nil"/>
              <w:right w:val="nil"/>
            </w:tcBorders>
            <w:shd w:val="clear" w:color="auto" w:fill="auto"/>
            <w:vAlign w:val="bottom"/>
            <w:hideMark/>
          </w:tcPr>
          <w:p w14:paraId="6CD4EAC5"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PURCHASE OF NON-FINANCIAL</w:t>
            </w:r>
            <w:r w:rsidRPr="00043432">
              <w:rPr>
                <w:rFonts w:eastAsia="Times New Roman" w:cs="Arial"/>
                <w:b/>
                <w:bCs/>
                <w:color w:val="auto"/>
                <w:sz w:val="16"/>
                <w:szCs w:val="16"/>
                <w:lang w:eastAsia="en-AU"/>
              </w:rPr>
              <w:br/>
              <w:t xml:space="preserve">  ASSETS</w:t>
            </w:r>
          </w:p>
        </w:tc>
        <w:tc>
          <w:tcPr>
            <w:tcW w:w="578" w:type="pct"/>
            <w:tcBorders>
              <w:top w:val="nil"/>
              <w:left w:val="nil"/>
              <w:bottom w:val="nil"/>
              <w:right w:val="nil"/>
            </w:tcBorders>
            <w:shd w:val="clear" w:color="auto" w:fill="auto"/>
            <w:vAlign w:val="bottom"/>
            <w:hideMark/>
          </w:tcPr>
          <w:p w14:paraId="3F3F67B3"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p>
        </w:tc>
        <w:tc>
          <w:tcPr>
            <w:tcW w:w="578" w:type="pct"/>
            <w:tcBorders>
              <w:top w:val="nil"/>
              <w:left w:val="nil"/>
              <w:bottom w:val="nil"/>
              <w:right w:val="nil"/>
            </w:tcBorders>
            <w:shd w:val="clear" w:color="000000" w:fill="E6E6E6"/>
            <w:vAlign w:val="bottom"/>
            <w:hideMark/>
          </w:tcPr>
          <w:p w14:paraId="7E7A19A9"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w:t>
            </w:r>
          </w:p>
        </w:tc>
        <w:tc>
          <w:tcPr>
            <w:tcW w:w="578" w:type="pct"/>
            <w:tcBorders>
              <w:top w:val="nil"/>
              <w:left w:val="nil"/>
              <w:bottom w:val="nil"/>
              <w:right w:val="nil"/>
            </w:tcBorders>
            <w:shd w:val="clear" w:color="auto" w:fill="auto"/>
            <w:vAlign w:val="bottom"/>
            <w:hideMark/>
          </w:tcPr>
          <w:p w14:paraId="2D376E38"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p>
        </w:tc>
        <w:tc>
          <w:tcPr>
            <w:tcW w:w="578" w:type="pct"/>
            <w:tcBorders>
              <w:top w:val="nil"/>
              <w:left w:val="nil"/>
              <w:bottom w:val="nil"/>
              <w:right w:val="nil"/>
            </w:tcBorders>
            <w:shd w:val="clear" w:color="auto" w:fill="auto"/>
            <w:vAlign w:val="bottom"/>
            <w:hideMark/>
          </w:tcPr>
          <w:p w14:paraId="428C1DB4"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vAlign w:val="bottom"/>
            <w:hideMark/>
          </w:tcPr>
          <w:p w14:paraId="145C678C"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D8687F" w14:paraId="2C8782E5" w14:textId="77777777" w:rsidTr="00BC2BED">
        <w:trPr>
          <w:trHeight w:val="400"/>
        </w:trPr>
        <w:tc>
          <w:tcPr>
            <w:tcW w:w="2111" w:type="pct"/>
            <w:tcBorders>
              <w:top w:val="nil"/>
              <w:left w:val="nil"/>
              <w:bottom w:val="nil"/>
              <w:right w:val="nil"/>
            </w:tcBorders>
            <w:shd w:val="clear" w:color="auto" w:fill="auto"/>
            <w:vAlign w:val="bottom"/>
            <w:hideMark/>
          </w:tcPr>
          <w:p w14:paraId="04FDFBB1"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Funded internally from departmental</w:t>
            </w:r>
            <w:r w:rsidRPr="00043432">
              <w:rPr>
                <w:rFonts w:eastAsia="Times New Roman" w:cs="Arial"/>
                <w:color w:val="auto"/>
                <w:sz w:val="16"/>
                <w:szCs w:val="16"/>
                <w:lang w:eastAsia="en-AU"/>
              </w:rPr>
              <w:br/>
              <w:t xml:space="preserve">      resources </w:t>
            </w:r>
          </w:p>
        </w:tc>
        <w:tc>
          <w:tcPr>
            <w:tcW w:w="578" w:type="pct"/>
            <w:tcBorders>
              <w:top w:val="nil"/>
              <w:left w:val="nil"/>
              <w:bottom w:val="nil"/>
              <w:right w:val="nil"/>
            </w:tcBorders>
            <w:shd w:val="clear" w:color="auto" w:fill="auto"/>
            <w:noWrap/>
            <w:vAlign w:val="bottom"/>
            <w:hideMark/>
          </w:tcPr>
          <w:p w14:paraId="1EAD6F5F"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18,300 </w:t>
            </w:r>
          </w:p>
        </w:tc>
        <w:tc>
          <w:tcPr>
            <w:tcW w:w="578" w:type="pct"/>
            <w:tcBorders>
              <w:top w:val="nil"/>
              <w:left w:val="nil"/>
              <w:bottom w:val="nil"/>
              <w:right w:val="nil"/>
            </w:tcBorders>
            <w:shd w:val="clear" w:color="000000" w:fill="E6E6E6"/>
            <w:noWrap/>
            <w:vAlign w:val="bottom"/>
            <w:hideMark/>
          </w:tcPr>
          <w:p w14:paraId="7E966095"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16,400 </w:t>
            </w:r>
          </w:p>
        </w:tc>
        <w:tc>
          <w:tcPr>
            <w:tcW w:w="578" w:type="pct"/>
            <w:tcBorders>
              <w:top w:val="nil"/>
              <w:left w:val="nil"/>
              <w:bottom w:val="nil"/>
              <w:right w:val="nil"/>
            </w:tcBorders>
            <w:shd w:val="clear" w:color="auto" w:fill="auto"/>
            <w:noWrap/>
            <w:vAlign w:val="bottom"/>
            <w:hideMark/>
          </w:tcPr>
          <w:p w14:paraId="6A04227F"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7,400 </w:t>
            </w:r>
          </w:p>
        </w:tc>
        <w:tc>
          <w:tcPr>
            <w:tcW w:w="578" w:type="pct"/>
            <w:tcBorders>
              <w:top w:val="nil"/>
              <w:left w:val="nil"/>
              <w:bottom w:val="nil"/>
              <w:right w:val="nil"/>
            </w:tcBorders>
            <w:shd w:val="clear" w:color="auto" w:fill="auto"/>
            <w:noWrap/>
            <w:vAlign w:val="bottom"/>
            <w:hideMark/>
          </w:tcPr>
          <w:p w14:paraId="3BAC5168"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8,250 </w:t>
            </w:r>
          </w:p>
        </w:tc>
        <w:tc>
          <w:tcPr>
            <w:tcW w:w="578" w:type="pct"/>
            <w:tcBorders>
              <w:top w:val="nil"/>
              <w:left w:val="nil"/>
              <w:bottom w:val="nil"/>
              <w:right w:val="nil"/>
            </w:tcBorders>
            <w:shd w:val="clear" w:color="auto" w:fill="auto"/>
            <w:noWrap/>
            <w:vAlign w:val="bottom"/>
            <w:hideMark/>
          </w:tcPr>
          <w:p w14:paraId="5CBBD28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10,800 </w:t>
            </w:r>
          </w:p>
        </w:tc>
      </w:tr>
      <w:tr w:rsidR="00BC2BED" w:rsidRPr="00D8687F" w14:paraId="5DA07DB6" w14:textId="77777777" w:rsidTr="00BC2BED">
        <w:trPr>
          <w:trHeight w:val="238"/>
        </w:trPr>
        <w:tc>
          <w:tcPr>
            <w:tcW w:w="2111" w:type="pct"/>
            <w:tcBorders>
              <w:top w:val="nil"/>
              <w:left w:val="nil"/>
              <w:bottom w:val="nil"/>
              <w:right w:val="nil"/>
            </w:tcBorders>
            <w:shd w:val="clear" w:color="auto" w:fill="auto"/>
            <w:noWrap/>
            <w:vAlign w:val="bottom"/>
            <w:hideMark/>
          </w:tcPr>
          <w:p w14:paraId="65B55179"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w:t>
            </w:r>
          </w:p>
        </w:tc>
        <w:tc>
          <w:tcPr>
            <w:tcW w:w="578" w:type="pct"/>
            <w:tcBorders>
              <w:top w:val="single" w:sz="4" w:space="0" w:color="auto"/>
              <w:left w:val="nil"/>
              <w:bottom w:val="single" w:sz="4" w:space="0" w:color="auto"/>
              <w:right w:val="nil"/>
            </w:tcBorders>
            <w:shd w:val="clear" w:color="auto" w:fill="auto"/>
            <w:noWrap/>
            <w:vAlign w:val="bottom"/>
            <w:hideMark/>
          </w:tcPr>
          <w:p w14:paraId="78037754"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18,300 </w:t>
            </w:r>
          </w:p>
        </w:tc>
        <w:tc>
          <w:tcPr>
            <w:tcW w:w="578" w:type="pct"/>
            <w:tcBorders>
              <w:top w:val="single" w:sz="4" w:space="0" w:color="auto"/>
              <w:left w:val="nil"/>
              <w:bottom w:val="single" w:sz="4" w:space="0" w:color="auto"/>
              <w:right w:val="nil"/>
            </w:tcBorders>
            <w:shd w:val="clear" w:color="000000" w:fill="E6E6E6"/>
            <w:noWrap/>
            <w:vAlign w:val="bottom"/>
            <w:hideMark/>
          </w:tcPr>
          <w:p w14:paraId="3805D2B1"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16,400 </w:t>
            </w:r>
          </w:p>
        </w:tc>
        <w:tc>
          <w:tcPr>
            <w:tcW w:w="578" w:type="pct"/>
            <w:tcBorders>
              <w:top w:val="single" w:sz="4" w:space="0" w:color="auto"/>
              <w:left w:val="nil"/>
              <w:bottom w:val="single" w:sz="4" w:space="0" w:color="auto"/>
              <w:right w:val="nil"/>
            </w:tcBorders>
            <w:shd w:val="clear" w:color="auto" w:fill="auto"/>
            <w:noWrap/>
            <w:vAlign w:val="bottom"/>
            <w:hideMark/>
          </w:tcPr>
          <w:p w14:paraId="5270AFD5"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7,400 </w:t>
            </w:r>
          </w:p>
        </w:tc>
        <w:tc>
          <w:tcPr>
            <w:tcW w:w="578" w:type="pct"/>
            <w:tcBorders>
              <w:top w:val="single" w:sz="4" w:space="0" w:color="auto"/>
              <w:left w:val="nil"/>
              <w:bottom w:val="single" w:sz="4" w:space="0" w:color="auto"/>
              <w:right w:val="nil"/>
            </w:tcBorders>
            <w:shd w:val="clear" w:color="auto" w:fill="auto"/>
            <w:noWrap/>
            <w:vAlign w:val="bottom"/>
            <w:hideMark/>
          </w:tcPr>
          <w:p w14:paraId="48166EEC"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8,250 </w:t>
            </w:r>
          </w:p>
        </w:tc>
        <w:tc>
          <w:tcPr>
            <w:tcW w:w="578" w:type="pct"/>
            <w:tcBorders>
              <w:top w:val="single" w:sz="4" w:space="0" w:color="auto"/>
              <w:left w:val="nil"/>
              <w:bottom w:val="single" w:sz="4" w:space="0" w:color="auto"/>
              <w:right w:val="nil"/>
            </w:tcBorders>
            <w:shd w:val="clear" w:color="auto" w:fill="auto"/>
            <w:noWrap/>
            <w:vAlign w:val="bottom"/>
            <w:hideMark/>
          </w:tcPr>
          <w:p w14:paraId="1FAA26D5"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10,800 </w:t>
            </w:r>
          </w:p>
        </w:tc>
      </w:tr>
      <w:tr w:rsidR="00BC2BED" w:rsidRPr="00D8687F" w14:paraId="10396932" w14:textId="77777777" w:rsidTr="00BC2BED">
        <w:trPr>
          <w:trHeight w:val="630"/>
        </w:trPr>
        <w:tc>
          <w:tcPr>
            <w:tcW w:w="2111" w:type="pct"/>
            <w:tcBorders>
              <w:top w:val="nil"/>
              <w:left w:val="nil"/>
              <w:bottom w:val="nil"/>
              <w:right w:val="nil"/>
            </w:tcBorders>
            <w:shd w:val="clear" w:color="auto" w:fill="auto"/>
            <w:vAlign w:val="bottom"/>
            <w:hideMark/>
          </w:tcPr>
          <w:p w14:paraId="7103A221"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RECONCILIATION OF CASH USED</w:t>
            </w:r>
            <w:r w:rsidRPr="00043432">
              <w:rPr>
                <w:rFonts w:eastAsia="Times New Roman" w:cs="Arial"/>
                <w:b/>
                <w:bCs/>
                <w:color w:val="auto"/>
                <w:sz w:val="16"/>
                <w:szCs w:val="16"/>
                <w:lang w:eastAsia="en-AU"/>
              </w:rPr>
              <w:br/>
              <w:t xml:space="preserve">  TO ACQUIRE ASSETS TO ASSET</w:t>
            </w:r>
            <w:r w:rsidRPr="00043432">
              <w:rPr>
                <w:rFonts w:eastAsia="Times New Roman" w:cs="Arial"/>
                <w:b/>
                <w:bCs/>
                <w:color w:val="auto"/>
                <w:sz w:val="16"/>
                <w:szCs w:val="16"/>
                <w:lang w:eastAsia="en-AU"/>
              </w:rPr>
              <w:br/>
              <w:t xml:space="preserve">  MOVEMENT TABLE</w:t>
            </w:r>
          </w:p>
        </w:tc>
        <w:tc>
          <w:tcPr>
            <w:tcW w:w="578" w:type="pct"/>
            <w:tcBorders>
              <w:top w:val="nil"/>
              <w:left w:val="nil"/>
              <w:bottom w:val="nil"/>
              <w:right w:val="nil"/>
            </w:tcBorders>
            <w:shd w:val="clear" w:color="auto" w:fill="auto"/>
            <w:noWrap/>
            <w:vAlign w:val="bottom"/>
            <w:hideMark/>
          </w:tcPr>
          <w:p w14:paraId="336FC539"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p>
        </w:tc>
        <w:tc>
          <w:tcPr>
            <w:tcW w:w="578" w:type="pct"/>
            <w:tcBorders>
              <w:top w:val="nil"/>
              <w:left w:val="nil"/>
              <w:bottom w:val="nil"/>
              <w:right w:val="nil"/>
            </w:tcBorders>
            <w:shd w:val="clear" w:color="000000" w:fill="E6E6E6"/>
            <w:noWrap/>
            <w:vAlign w:val="bottom"/>
            <w:hideMark/>
          </w:tcPr>
          <w:p w14:paraId="61EDF1A6"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w:t>
            </w:r>
          </w:p>
        </w:tc>
        <w:tc>
          <w:tcPr>
            <w:tcW w:w="578" w:type="pct"/>
            <w:tcBorders>
              <w:top w:val="nil"/>
              <w:left w:val="nil"/>
              <w:bottom w:val="nil"/>
              <w:right w:val="nil"/>
            </w:tcBorders>
            <w:shd w:val="clear" w:color="auto" w:fill="auto"/>
            <w:noWrap/>
            <w:vAlign w:val="bottom"/>
            <w:hideMark/>
          </w:tcPr>
          <w:p w14:paraId="005C5443"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p>
        </w:tc>
        <w:tc>
          <w:tcPr>
            <w:tcW w:w="578" w:type="pct"/>
            <w:tcBorders>
              <w:top w:val="nil"/>
              <w:left w:val="nil"/>
              <w:bottom w:val="nil"/>
              <w:right w:val="nil"/>
            </w:tcBorders>
            <w:shd w:val="clear" w:color="auto" w:fill="auto"/>
            <w:noWrap/>
            <w:vAlign w:val="bottom"/>
            <w:hideMark/>
          </w:tcPr>
          <w:p w14:paraId="7119317B"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6E8C1CCA"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D8687F" w14:paraId="5DECE17A" w14:textId="77777777" w:rsidTr="00BC2BED">
        <w:trPr>
          <w:trHeight w:val="238"/>
        </w:trPr>
        <w:tc>
          <w:tcPr>
            <w:tcW w:w="2111" w:type="pct"/>
            <w:tcBorders>
              <w:top w:val="nil"/>
              <w:left w:val="nil"/>
              <w:bottom w:val="nil"/>
              <w:right w:val="nil"/>
            </w:tcBorders>
            <w:shd w:val="clear" w:color="auto" w:fill="auto"/>
            <w:noWrap/>
            <w:vAlign w:val="bottom"/>
            <w:hideMark/>
          </w:tcPr>
          <w:p w14:paraId="058567BA"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Total purchases</w:t>
            </w:r>
          </w:p>
        </w:tc>
        <w:tc>
          <w:tcPr>
            <w:tcW w:w="578" w:type="pct"/>
            <w:tcBorders>
              <w:top w:val="nil"/>
              <w:left w:val="nil"/>
              <w:bottom w:val="nil"/>
              <w:right w:val="nil"/>
            </w:tcBorders>
            <w:shd w:val="clear" w:color="auto" w:fill="auto"/>
            <w:noWrap/>
            <w:vAlign w:val="bottom"/>
            <w:hideMark/>
          </w:tcPr>
          <w:p w14:paraId="69E905C3"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18,300 </w:t>
            </w:r>
          </w:p>
        </w:tc>
        <w:tc>
          <w:tcPr>
            <w:tcW w:w="578" w:type="pct"/>
            <w:tcBorders>
              <w:top w:val="nil"/>
              <w:left w:val="nil"/>
              <w:bottom w:val="nil"/>
              <w:right w:val="nil"/>
            </w:tcBorders>
            <w:shd w:val="clear" w:color="000000" w:fill="E6E6E6"/>
            <w:noWrap/>
            <w:vAlign w:val="bottom"/>
            <w:hideMark/>
          </w:tcPr>
          <w:p w14:paraId="2B8EF6B6"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16,400 </w:t>
            </w:r>
          </w:p>
        </w:tc>
        <w:tc>
          <w:tcPr>
            <w:tcW w:w="578" w:type="pct"/>
            <w:tcBorders>
              <w:top w:val="nil"/>
              <w:left w:val="nil"/>
              <w:bottom w:val="nil"/>
              <w:right w:val="nil"/>
            </w:tcBorders>
            <w:shd w:val="clear" w:color="auto" w:fill="auto"/>
            <w:noWrap/>
            <w:vAlign w:val="bottom"/>
            <w:hideMark/>
          </w:tcPr>
          <w:p w14:paraId="269B7B09"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7,400 </w:t>
            </w:r>
          </w:p>
        </w:tc>
        <w:tc>
          <w:tcPr>
            <w:tcW w:w="578" w:type="pct"/>
            <w:tcBorders>
              <w:top w:val="nil"/>
              <w:left w:val="nil"/>
              <w:bottom w:val="nil"/>
              <w:right w:val="nil"/>
            </w:tcBorders>
            <w:shd w:val="clear" w:color="auto" w:fill="auto"/>
            <w:noWrap/>
            <w:vAlign w:val="bottom"/>
            <w:hideMark/>
          </w:tcPr>
          <w:p w14:paraId="35CBD6B8"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8,250 </w:t>
            </w:r>
          </w:p>
        </w:tc>
        <w:tc>
          <w:tcPr>
            <w:tcW w:w="578" w:type="pct"/>
            <w:tcBorders>
              <w:top w:val="nil"/>
              <w:left w:val="nil"/>
              <w:bottom w:val="nil"/>
              <w:right w:val="nil"/>
            </w:tcBorders>
            <w:shd w:val="clear" w:color="auto" w:fill="auto"/>
            <w:noWrap/>
            <w:vAlign w:val="bottom"/>
            <w:hideMark/>
          </w:tcPr>
          <w:p w14:paraId="67F93180"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10,800 </w:t>
            </w:r>
          </w:p>
        </w:tc>
      </w:tr>
      <w:tr w:rsidR="00BC2BED" w:rsidRPr="00D8687F" w14:paraId="3E9EF416" w14:textId="77777777" w:rsidTr="00BC2BED">
        <w:trPr>
          <w:trHeight w:val="238"/>
        </w:trPr>
        <w:tc>
          <w:tcPr>
            <w:tcW w:w="2111" w:type="pct"/>
            <w:tcBorders>
              <w:top w:val="nil"/>
              <w:left w:val="nil"/>
              <w:bottom w:val="single" w:sz="4" w:space="0" w:color="auto"/>
              <w:right w:val="nil"/>
            </w:tcBorders>
            <w:shd w:val="clear" w:color="auto" w:fill="auto"/>
            <w:vAlign w:val="bottom"/>
            <w:hideMark/>
          </w:tcPr>
          <w:p w14:paraId="6392E753"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cash used to acquire assets</w:t>
            </w:r>
          </w:p>
        </w:tc>
        <w:tc>
          <w:tcPr>
            <w:tcW w:w="578" w:type="pct"/>
            <w:tcBorders>
              <w:top w:val="single" w:sz="4" w:space="0" w:color="auto"/>
              <w:left w:val="nil"/>
              <w:bottom w:val="single" w:sz="4" w:space="0" w:color="auto"/>
              <w:right w:val="nil"/>
            </w:tcBorders>
            <w:shd w:val="clear" w:color="auto" w:fill="auto"/>
            <w:noWrap/>
            <w:vAlign w:val="bottom"/>
            <w:hideMark/>
          </w:tcPr>
          <w:p w14:paraId="15C14B79"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18,300 </w:t>
            </w:r>
          </w:p>
        </w:tc>
        <w:tc>
          <w:tcPr>
            <w:tcW w:w="578" w:type="pct"/>
            <w:tcBorders>
              <w:top w:val="single" w:sz="4" w:space="0" w:color="auto"/>
              <w:left w:val="nil"/>
              <w:bottom w:val="single" w:sz="4" w:space="0" w:color="auto"/>
              <w:right w:val="nil"/>
            </w:tcBorders>
            <w:shd w:val="clear" w:color="000000" w:fill="E6E6E6"/>
            <w:noWrap/>
            <w:vAlign w:val="bottom"/>
            <w:hideMark/>
          </w:tcPr>
          <w:p w14:paraId="33791F26"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16,400 </w:t>
            </w:r>
          </w:p>
        </w:tc>
        <w:tc>
          <w:tcPr>
            <w:tcW w:w="578" w:type="pct"/>
            <w:tcBorders>
              <w:top w:val="single" w:sz="4" w:space="0" w:color="auto"/>
              <w:left w:val="nil"/>
              <w:bottom w:val="single" w:sz="4" w:space="0" w:color="auto"/>
              <w:right w:val="nil"/>
            </w:tcBorders>
            <w:shd w:val="clear" w:color="auto" w:fill="auto"/>
            <w:noWrap/>
            <w:vAlign w:val="bottom"/>
            <w:hideMark/>
          </w:tcPr>
          <w:p w14:paraId="48ACC581"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7,400 </w:t>
            </w:r>
          </w:p>
        </w:tc>
        <w:tc>
          <w:tcPr>
            <w:tcW w:w="578" w:type="pct"/>
            <w:tcBorders>
              <w:top w:val="single" w:sz="4" w:space="0" w:color="auto"/>
              <w:left w:val="nil"/>
              <w:bottom w:val="single" w:sz="4" w:space="0" w:color="auto"/>
              <w:right w:val="nil"/>
            </w:tcBorders>
            <w:shd w:val="clear" w:color="auto" w:fill="auto"/>
            <w:noWrap/>
            <w:vAlign w:val="bottom"/>
            <w:hideMark/>
          </w:tcPr>
          <w:p w14:paraId="2721B165"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8,250 </w:t>
            </w:r>
          </w:p>
        </w:tc>
        <w:tc>
          <w:tcPr>
            <w:tcW w:w="578" w:type="pct"/>
            <w:tcBorders>
              <w:top w:val="single" w:sz="4" w:space="0" w:color="auto"/>
              <w:left w:val="nil"/>
              <w:bottom w:val="single" w:sz="4" w:space="0" w:color="auto"/>
              <w:right w:val="nil"/>
            </w:tcBorders>
            <w:shd w:val="clear" w:color="auto" w:fill="auto"/>
            <w:noWrap/>
            <w:vAlign w:val="bottom"/>
            <w:hideMark/>
          </w:tcPr>
          <w:p w14:paraId="529F26C3"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10,800 </w:t>
            </w:r>
          </w:p>
        </w:tc>
      </w:tr>
    </w:tbl>
    <w:p w14:paraId="7F14B134" w14:textId="77777777" w:rsidR="0008358A" w:rsidRPr="00132F9E" w:rsidRDefault="0008358A" w:rsidP="0008358A">
      <w:pPr>
        <w:pStyle w:val="TableGraphic"/>
        <w:rPr>
          <w:rFonts w:ascii="Arial" w:hAnsi="Arial" w:cs="Arial"/>
          <w:sz w:val="16"/>
          <w:szCs w:val="16"/>
        </w:rPr>
      </w:pPr>
      <w:r w:rsidRPr="00132F9E">
        <w:rPr>
          <w:rFonts w:ascii="Arial" w:hAnsi="Arial" w:cs="Arial"/>
          <w:sz w:val="16"/>
          <w:szCs w:val="16"/>
        </w:rPr>
        <w:t>Prepared on Australian Accounting Standards basis.</w:t>
      </w:r>
    </w:p>
    <w:p w14:paraId="57DF1F10" w14:textId="77777777" w:rsidR="0008358A" w:rsidRPr="00152B2B" w:rsidRDefault="0008358A" w:rsidP="00043432">
      <w:pPr>
        <w:pStyle w:val="ListParagraph"/>
        <w:numPr>
          <w:ilvl w:val="0"/>
          <w:numId w:val="20"/>
        </w:numPr>
      </w:pPr>
    </w:p>
    <w:p w14:paraId="25B78D71" w14:textId="150063D7" w:rsidR="0008358A" w:rsidRPr="00851FA1" w:rsidRDefault="0008358A" w:rsidP="00663122">
      <w:pPr>
        <w:pStyle w:val="TableHeading"/>
        <w:spacing w:before="0" w:after="0"/>
        <w:rPr>
          <w:i w:val="0"/>
          <w:sz w:val="20"/>
        </w:rPr>
      </w:pPr>
      <w:r>
        <w:br w:type="page"/>
      </w:r>
      <w:r w:rsidRPr="00851FA1">
        <w:rPr>
          <w:i w:val="0"/>
          <w:sz w:val="20"/>
        </w:rPr>
        <w:lastRenderedPageBreak/>
        <w:t>Table 3.6: Statement of asset movements (Budget year 20</w:t>
      </w:r>
      <w:r w:rsidR="00377CCB" w:rsidRPr="00851FA1">
        <w:rPr>
          <w:i w:val="0"/>
          <w:sz w:val="20"/>
        </w:rPr>
        <w:t>2</w:t>
      </w:r>
      <w:r w:rsidR="004447D7" w:rsidRPr="00851FA1">
        <w:rPr>
          <w:i w:val="0"/>
          <w:sz w:val="20"/>
        </w:rPr>
        <w:t>1</w:t>
      </w:r>
      <w:r w:rsidRPr="00851FA1">
        <w:rPr>
          <w:i w:val="0"/>
          <w:sz w:val="20"/>
        </w:rPr>
        <w:noBreakHyphen/>
      </w:r>
      <w:r w:rsidR="00377CCB" w:rsidRPr="00851FA1">
        <w:rPr>
          <w:i w:val="0"/>
          <w:sz w:val="20"/>
        </w:rPr>
        <w:t>2</w:t>
      </w:r>
      <w:r w:rsidR="004447D7" w:rsidRPr="00851FA1">
        <w:rPr>
          <w:i w:val="0"/>
          <w:sz w:val="20"/>
        </w:rPr>
        <w:t>2</w:t>
      </w:r>
      <w:r w:rsidRPr="00851FA1">
        <w:rPr>
          <w:i w:val="0"/>
          <w:sz w:val="20"/>
        </w:rPr>
        <w:t>)</w:t>
      </w:r>
    </w:p>
    <w:tbl>
      <w:tblPr>
        <w:tblW w:w="5000" w:type="pct"/>
        <w:tblCellMar>
          <w:left w:w="0" w:type="dxa"/>
          <w:right w:w="28" w:type="dxa"/>
        </w:tblCellMar>
        <w:tblLook w:val="04A0" w:firstRow="1" w:lastRow="0" w:firstColumn="1" w:lastColumn="0" w:noHBand="0" w:noVBand="1"/>
      </w:tblPr>
      <w:tblGrid>
        <w:gridCol w:w="3718"/>
        <w:gridCol w:w="998"/>
        <w:gridCol w:w="998"/>
        <w:gridCol w:w="998"/>
        <w:gridCol w:w="998"/>
      </w:tblGrid>
      <w:tr w:rsidR="00BC2BED" w:rsidRPr="00F33CB0" w14:paraId="4CA07271" w14:textId="77777777" w:rsidTr="00BC2BED">
        <w:trPr>
          <w:trHeight w:val="1000"/>
        </w:trPr>
        <w:tc>
          <w:tcPr>
            <w:tcW w:w="2411" w:type="pct"/>
            <w:tcBorders>
              <w:top w:val="single" w:sz="4" w:space="0" w:color="auto"/>
              <w:left w:val="nil"/>
              <w:bottom w:val="nil"/>
              <w:right w:val="nil"/>
            </w:tcBorders>
            <w:shd w:val="clear" w:color="auto" w:fill="auto"/>
            <w:noWrap/>
            <w:hideMark/>
          </w:tcPr>
          <w:p w14:paraId="4A27D8C3" w14:textId="2E223931" w:rsidR="00BC2BED" w:rsidRPr="00043432" w:rsidRDefault="004447D7" w:rsidP="00043432">
            <w:pPr>
              <w:pStyle w:val="ListParagraph"/>
              <w:numPr>
                <w:ilvl w:val="0"/>
                <w:numId w:val="20"/>
              </w:numPr>
              <w:spacing w:after="0"/>
              <w:rPr>
                <w:rFonts w:eastAsia="Times New Roman" w:cs="Arial"/>
                <w:color w:val="auto"/>
                <w:sz w:val="16"/>
                <w:szCs w:val="16"/>
                <w:lang w:eastAsia="en-AU"/>
              </w:rPr>
            </w:pPr>
            <w:r w:rsidRPr="004447D7">
              <w:t xml:space="preserve"> </w:t>
            </w:r>
            <w:r w:rsidR="00BC2BED" w:rsidRPr="00043432">
              <w:rPr>
                <w:rFonts w:eastAsia="Times New Roman" w:cs="Arial"/>
                <w:color w:val="auto"/>
                <w:sz w:val="16"/>
                <w:szCs w:val="16"/>
                <w:lang w:eastAsia="en-AU"/>
              </w:rPr>
              <w:t> </w:t>
            </w:r>
          </w:p>
        </w:tc>
        <w:tc>
          <w:tcPr>
            <w:tcW w:w="647" w:type="pct"/>
            <w:tcBorders>
              <w:top w:val="single" w:sz="4" w:space="0" w:color="auto"/>
              <w:left w:val="nil"/>
              <w:bottom w:val="single" w:sz="4" w:space="0" w:color="auto"/>
              <w:right w:val="nil"/>
            </w:tcBorders>
            <w:shd w:val="clear" w:color="auto" w:fill="auto"/>
            <w:hideMark/>
          </w:tcPr>
          <w:p w14:paraId="75B3A02E"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Buildings</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647" w:type="pct"/>
            <w:tcBorders>
              <w:top w:val="single" w:sz="4" w:space="0" w:color="auto"/>
              <w:left w:val="nil"/>
              <w:bottom w:val="single" w:sz="4" w:space="0" w:color="auto"/>
              <w:right w:val="nil"/>
            </w:tcBorders>
            <w:shd w:val="clear" w:color="auto" w:fill="auto"/>
            <w:hideMark/>
          </w:tcPr>
          <w:p w14:paraId="071501C5"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Other</w:t>
            </w:r>
            <w:r w:rsidRPr="00043432">
              <w:rPr>
                <w:rFonts w:eastAsia="Times New Roman" w:cs="Arial"/>
                <w:color w:val="auto"/>
                <w:sz w:val="16"/>
                <w:szCs w:val="16"/>
                <w:lang w:eastAsia="en-AU"/>
              </w:rPr>
              <w:br/>
              <w:t>property,</w:t>
            </w:r>
            <w:r w:rsidRPr="00043432">
              <w:rPr>
                <w:rFonts w:eastAsia="Times New Roman" w:cs="Arial"/>
                <w:color w:val="auto"/>
                <w:sz w:val="16"/>
                <w:szCs w:val="16"/>
                <w:lang w:eastAsia="en-AU"/>
              </w:rPr>
              <w:br/>
              <w:t>plant and</w:t>
            </w:r>
            <w:r w:rsidRPr="00043432">
              <w:rPr>
                <w:rFonts w:eastAsia="Times New Roman" w:cs="Arial"/>
                <w:color w:val="auto"/>
                <w:sz w:val="16"/>
                <w:szCs w:val="16"/>
                <w:lang w:eastAsia="en-AU"/>
              </w:rPr>
              <w:br/>
              <w:t>equipment</w:t>
            </w:r>
            <w:r w:rsidRPr="00043432">
              <w:rPr>
                <w:rFonts w:eastAsia="Times New Roman" w:cs="Arial"/>
                <w:color w:val="auto"/>
                <w:sz w:val="16"/>
                <w:szCs w:val="16"/>
                <w:lang w:eastAsia="en-AU"/>
              </w:rPr>
              <w:br/>
              <w:t>$'000</w:t>
            </w:r>
          </w:p>
        </w:tc>
        <w:tc>
          <w:tcPr>
            <w:tcW w:w="647" w:type="pct"/>
            <w:tcBorders>
              <w:top w:val="single" w:sz="4" w:space="0" w:color="auto"/>
              <w:left w:val="nil"/>
              <w:bottom w:val="single" w:sz="4" w:space="0" w:color="auto"/>
              <w:right w:val="nil"/>
            </w:tcBorders>
            <w:shd w:val="clear" w:color="auto" w:fill="auto"/>
            <w:hideMark/>
          </w:tcPr>
          <w:p w14:paraId="4BF19C30"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Computer</w:t>
            </w:r>
            <w:r w:rsidRPr="00043432">
              <w:rPr>
                <w:rFonts w:eastAsia="Times New Roman" w:cs="Arial"/>
                <w:color w:val="auto"/>
                <w:sz w:val="16"/>
                <w:szCs w:val="16"/>
                <w:lang w:eastAsia="en-AU"/>
              </w:rPr>
              <w:br/>
              <w:t>software and</w:t>
            </w:r>
            <w:r w:rsidRPr="00043432">
              <w:rPr>
                <w:rFonts w:eastAsia="Times New Roman" w:cs="Arial"/>
                <w:color w:val="auto"/>
                <w:sz w:val="16"/>
                <w:szCs w:val="16"/>
                <w:lang w:eastAsia="en-AU"/>
              </w:rPr>
              <w:br/>
              <w:t>intangibles</w:t>
            </w:r>
            <w:r w:rsidRPr="00043432">
              <w:rPr>
                <w:rFonts w:eastAsia="Times New Roman" w:cs="Arial"/>
                <w:color w:val="auto"/>
                <w:sz w:val="16"/>
                <w:szCs w:val="16"/>
                <w:lang w:eastAsia="en-AU"/>
              </w:rPr>
              <w:br/>
            </w:r>
          </w:p>
          <w:p w14:paraId="0F01AB1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$'000</w:t>
            </w:r>
          </w:p>
        </w:tc>
        <w:tc>
          <w:tcPr>
            <w:tcW w:w="647" w:type="pct"/>
            <w:tcBorders>
              <w:top w:val="single" w:sz="4" w:space="0" w:color="auto"/>
              <w:left w:val="nil"/>
              <w:bottom w:val="single" w:sz="4" w:space="0" w:color="auto"/>
              <w:right w:val="nil"/>
            </w:tcBorders>
            <w:shd w:val="clear" w:color="auto" w:fill="auto"/>
            <w:hideMark/>
          </w:tcPr>
          <w:p w14:paraId="4E0C658B"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Total</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r>
      <w:tr w:rsidR="00BC2BED" w:rsidRPr="00F33CB0" w14:paraId="1E4B9F1C" w14:textId="77777777" w:rsidTr="00BC2BED">
        <w:trPr>
          <w:trHeight w:val="210"/>
        </w:trPr>
        <w:tc>
          <w:tcPr>
            <w:tcW w:w="2411" w:type="pct"/>
            <w:tcBorders>
              <w:top w:val="nil"/>
              <w:left w:val="nil"/>
              <w:bottom w:val="nil"/>
              <w:right w:val="nil"/>
            </w:tcBorders>
            <w:shd w:val="clear" w:color="auto" w:fill="auto"/>
            <w:vAlign w:val="bottom"/>
            <w:hideMark/>
          </w:tcPr>
          <w:p w14:paraId="425336F0"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As at 1 July 2021</w:t>
            </w:r>
          </w:p>
        </w:tc>
        <w:tc>
          <w:tcPr>
            <w:tcW w:w="647" w:type="pct"/>
            <w:tcBorders>
              <w:top w:val="nil"/>
              <w:left w:val="nil"/>
              <w:bottom w:val="nil"/>
              <w:right w:val="nil"/>
            </w:tcBorders>
            <w:shd w:val="clear" w:color="auto" w:fill="auto"/>
            <w:noWrap/>
            <w:vAlign w:val="bottom"/>
            <w:hideMark/>
          </w:tcPr>
          <w:p w14:paraId="0D6F5F85"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p>
        </w:tc>
        <w:tc>
          <w:tcPr>
            <w:tcW w:w="647" w:type="pct"/>
            <w:tcBorders>
              <w:top w:val="nil"/>
              <w:left w:val="nil"/>
              <w:bottom w:val="nil"/>
              <w:right w:val="nil"/>
            </w:tcBorders>
            <w:shd w:val="clear" w:color="auto" w:fill="auto"/>
            <w:noWrap/>
            <w:vAlign w:val="bottom"/>
            <w:hideMark/>
          </w:tcPr>
          <w:p w14:paraId="04B02BFD"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75944500"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542804C3"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F33CB0" w14:paraId="5B734197" w14:textId="77777777" w:rsidTr="00BC2BED">
        <w:trPr>
          <w:trHeight w:val="210"/>
        </w:trPr>
        <w:tc>
          <w:tcPr>
            <w:tcW w:w="2411" w:type="pct"/>
            <w:tcBorders>
              <w:top w:val="nil"/>
              <w:left w:val="nil"/>
              <w:bottom w:val="nil"/>
              <w:right w:val="nil"/>
            </w:tcBorders>
            <w:shd w:val="clear" w:color="auto" w:fill="auto"/>
            <w:vAlign w:val="bottom"/>
            <w:hideMark/>
          </w:tcPr>
          <w:p w14:paraId="5623A8B9"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xml:space="preserve">Gross book value </w:t>
            </w:r>
          </w:p>
        </w:tc>
        <w:tc>
          <w:tcPr>
            <w:tcW w:w="647" w:type="pct"/>
            <w:tcBorders>
              <w:top w:val="nil"/>
              <w:left w:val="nil"/>
              <w:bottom w:val="nil"/>
              <w:right w:val="nil"/>
            </w:tcBorders>
            <w:shd w:val="clear" w:color="auto" w:fill="auto"/>
            <w:noWrap/>
            <w:vAlign w:val="bottom"/>
            <w:hideMark/>
          </w:tcPr>
          <w:p w14:paraId="310C99D9"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4B76EF1A"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33,174 </w:t>
            </w:r>
          </w:p>
        </w:tc>
        <w:tc>
          <w:tcPr>
            <w:tcW w:w="647" w:type="pct"/>
            <w:tcBorders>
              <w:top w:val="nil"/>
              <w:left w:val="nil"/>
              <w:bottom w:val="nil"/>
              <w:right w:val="nil"/>
            </w:tcBorders>
            <w:shd w:val="clear" w:color="auto" w:fill="auto"/>
            <w:noWrap/>
            <w:vAlign w:val="bottom"/>
            <w:hideMark/>
          </w:tcPr>
          <w:p w14:paraId="2CBF870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103,960 </w:t>
            </w:r>
          </w:p>
        </w:tc>
        <w:tc>
          <w:tcPr>
            <w:tcW w:w="647" w:type="pct"/>
            <w:tcBorders>
              <w:top w:val="nil"/>
              <w:left w:val="nil"/>
              <w:bottom w:val="nil"/>
              <w:right w:val="nil"/>
            </w:tcBorders>
            <w:shd w:val="clear" w:color="auto" w:fill="auto"/>
            <w:noWrap/>
            <w:vAlign w:val="bottom"/>
            <w:hideMark/>
          </w:tcPr>
          <w:p w14:paraId="4AAC9F97"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137,134 </w:t>
            </w:r>
          </w:p>
        </w:tc>
      </w:tr>
      <w:tr w:rsidR="00BC2BED" w:rsidRPr="00F33CB0" w14:paraId="253206DD" w14:textId="77777777" w:rsidTr="00BC2BED">
        <w:trPr>
          <w:trHeight w:val="210"/>
        </w:trPr>
        <w:tc>
          <w:tcPr>
            <w:tcW w:w="2411" w:type="pct"/>
            <w:tcBorders>
              <w:top w:val="nil"/>
              <w:left w:val="nil"/>
              <w:bottom w:val="nil"/>
              <w:right w:val="nil"/>
            </w:tcBorders>
            <w:shd w:val="clear" w:color="auto" w:fill="auto"/>
            <w:noWrap/>
            <w:vAlign w:val="bottom"/>
            <w:hideMark/>
          </w:tcPr>
          <w:p w14:paraId="6FA8209C"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Gross book value - ROU assets</w:t>
            </w:r>
          </w:p>
        </w:tc>
        <w:tc>
          <w:tcPr>
            <w:tcW w:w="647" w:type="pct"/>
            <w:tcBorders>
              <w:top w:val="nil"/>
              <w:left w:val="nil"/>
              <w:bottom w:val="nil"/>
              <w:right w:val="nil"/>
            </w:tcBorders>
            <w:shd w:val="clear" w:color="auto" w:fill="auto"/>
            <w:noWrap/>
            <w:vAlign w:val="bottom"/>
            <w:hideMark/>
          </w:tcPr>
          <w:p w14:paraId="1FF7E9F3"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59,517 </w:t>
            </w:r>
          </w:p>
        </w:tc>
        <w:tc>
          <w:tcPr>
            <w:tcW w:w="647" w:type="pct"/>
            <w:tcBorders>
              <w:top w:val="nil"/>
              <w:left w:val="nil"/>
              <w:bottom w:val="nil"/>
              <w:right w:val="nil"/>
            </w:tcBorders>
            <w:shd w:val="clear" w:color="auto" w:fill="auto"/>
            <w:noWrap/>
            <w:vAlign w:val="bottom"/>
            <w:hideMark/>
          </w:tcPr>
          <w:p w14:paraId="04D6CAB3"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3F2AEA14"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6C62CBD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59,517 </w:t>
            </w:r>
          </w:p>
        </w:tc>
      </w:tr>
      <w:tr w:rsidR="00BC2BED" w:rsidRPr="00F33CB0" w14:paraId="6078351E" w14:textId="77777777" w:rsidTr="00BC2BED">
        <w:trPr>
          <w:trHeight w:val="410"/>
        </w:trPr>
        <w:tc>
          <w:tcPr>
            <w:tcW w:w="2411" w:type="pct"/>
            <w:tcBorders>
              <w:top w:val="nil"/>
              <w:left w:val="nil"/>
              <w:bottom w:val="nil"/>
              <w:right w:val="nil"/>
            </w:tcBorders>
            <w:shd w:val="clear" w:color="auto" w:fill="auto"/>
            <w:vAlign w:val="bottom"/>
            <w:hideMark/>
          </w:tcPr>
          <w:p w14:paraId="0B3E2288"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Accumulated depreciation/</w:t>
            </w:r>
            <w:r w:rsidRPr="00043432">
              <w:rPr>
                <w:rFonts w:eastAsia="Times New Roman" w:cs="Arial"/>
                <w:color w:val="auto"/>
                <w:sz w:val="16"/>
                <w:szCs w:val="16"/>
                <w:lang w:eastAsia="en-AU"/>
              </w:rPr>
              <w:br/>
              <w:t xml:space="preserve">      amortisation and impairment</w:t>
            </w:r>
          </w:p>
        </w:tc>
        <w:tc>
          <w:tcPr>
            <w:tcW w:w="647" w:type="pct"/>
            <w:tcBorders>
              <w:top w:val="nil"/>
              <w:left w:val="nil"/>
              <w:bottom w:val="nil"/>
              <w:right w:val="nil"/>
            </w:tcBorders>
            <w:shd w:val="clear" w:color="auto" w:fill="auto"/>
            <w:noWrap/>
            <w:vAlign w:val="bottom"/>
            <w:hideMark/>
          </w:tcPr>
          <w:p w14:paraId="69BF718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7072413F"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(15,650)</w:t>
            </w:r>
          </w:p>
        </w:tc>
        <w:tc>
          <w:tcPr>
            <w:tcW w:w="647" w:type="pct"/>
            <w:tcBorders>
              <w:top w:val="nil"/>
              <w:left w:val="nil"/>
              <w:bottom w:val="nil"/>
              <w:right w:val="nil"/>
            </w:tcBorders>
            <w:shd w:val="clear" w:color="auto" w:fill="auto"/>
            <w:noWrap/>
            <w:vAlign w:val="bottom"/>
            <w:hideMark/>
          </w:tcPr>
          <w:p w14:paraId="6A3DF07D"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(55,872)</w:t>
            </w:r>
          </w:p>
        </w:tc>
        <w:tc>
          <w:tcPr>
            <w:tcW w:w="647" w:type="pct"/>
            <w:tcBorders>
              <w:top w:val="nil"/>
              <w:left w:val="nil"/>
              <w:bottom w:val="nil"/>
              <w:right w:val="nil"/>
            </w:tcBorders>
            <w:shd w:val="clear" w:color="auto" w:fill="auto"/>
            <w:noWrap/>
            <w:vAlign w:val="bottom"/>
            <w:hideMark/>
          </w:tcPr>
          <w:p w14:paraId="653FED1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(71,522)</w:t>
            </w:r>
          </w:p>
        </w:tc>
      </w:tr>
      <w:tr w:rsidR="00BC2BED" w:rsidRPr="00F33CB0" w14:paraId="329D8489" w14:textId="77777777" w:rsidTr="00BC2BED">
        <w:trPr>
          <w:trHeight w:val="400"/>
        </w:trPr>
        <w:tc>
          <w:tcPr>
            <w:tcW w:w="2411" w:type="pct"/>
            <w:tcBorders>
              <w:top w:val="nil"/>
              <w:left w:val="nil"/>
              <w:bottom w:val="nil"/>
              <w:right w:val="nil"/>
            </w:tcBorders>
            <w:shd w:val="clear" w:color="auto" w:fill="auto"/>
            <w:vAlign w:val="bottom"/>
            <w:hideMark/>
          </w:tcPr>
          <w:p w14:paraId="7E9AB9F4"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xml:space="preserve">Accumulated depreciation/amortisation and </w:t>
            </w:r>
            <w:r w:rsidRPr="00043432">
              <w:rPr>
                <w:rFonts w:eastAsia="Times New Roman" w:cs="Arial"/>
                <w:color w:val="auto"/>
                <w:sz w:val="16"/>
                <w:szCs w:val="16"/>
                <w:lang w:eastAsia="en-AU"/>
              </w:rPr>
              <w:br/>
              <w:t xml:space="preserve">      impairment - ROU assets</w:t>
            </w:r>
          </w:p>
        </w:tc>
        <w:tc>
          <w:tcPr>
            <w:tcW w:w="647" w:type="pct"/>
            <w:tcBorders>
              <w:top w:val="nil"/>
              <w:left w:val="nil"/>
              <w:bottom w:val="nil"/>
              <w:right w:val="nil"/>
            </w:tcBorders>
            <w:shd w:val="clear" w:color="auto" w:fill="auto"/>
            <w:noWrap/>
            <w:vAlign w:val="bottom"/>
            <w:hideMark/>
          </w:tcPr>
          <w:p w14:paraId="10DCC1BA"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(17,640)</w:t>
            </w:r>
          </w:p>
        </w:tc>
        <w:tc>
          <w:tcPr>
            <w:tcW w:w="647" w:type="pct"/>
            <w:tcBorders>
              <w:top w:val="nil"/>
              <w:left w:val="nil"/>
              <w:bottom w:val="nil"/>
              <w:right w:val="nil"/>
            </w:tcBorders>
            <w:shd w:val="clear" w:color="auto" w:fill="auto"/>
            <w:noWrap/>
            <w:vAlign w:val="bottom"/>
            <w:hideMark/>
          </w:tcPr>
          <w:p w14:paraId="0000A842"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34439B7B"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20B09DA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(17,640)</w:t>
            </w:r>
          </w:p>
        </w:tc>
      </w:tr>
      <w:tr w:rsidR="00BC2BED" w:rsidRPr="00F33CB0" w14:paraId="3064DF68" w14:textId="77777777" w:rsidTr="00BC2BED">
        <w:trPr>
          <w:trHeight w:val="210"/>
        </w:trPr>
        <w:tc>
          <w:tcPr>
            <w:tcW w:w="2411" w:type="pct"/>
            <w:tcBorders>
              <w:top w:val="nil"/>
              <w:left w:val="nil"/>
              <w:bottom w:val="nil"/>
              <w:right w:val="nil"/>
            </w:tcBorders>
            <w:shd w:val="clear" w:color="auto" w:fill="auto"/>
            <w:vAlign w:val="bottom"/>
            <w:hideMark/>
          </w:tcPr>
          <w:p w14:paraId="5FF24652"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Opening net book balance</w:t>
            </w:r>
          </w:p>
        </w:tc>
        <w:tc>
          <w:tcPr>
            <w:tcW w:w="647" w:type="pct"/>
            <w:tcBorders>
              <w:top w:val="single" w:sz="4" w:space="0" w:color="auto"/>
              <w:left w:val="nil"/>
              <w:bottom w:val="single" w:sz="4" w:space="0" w:color="auto"/>
              <w:right w:val="nil"/>
            </w:tcBorders>
            <w:shd w:val="clear" w:color="auto" w:fill="auto"/>
            <w:noWrap/>
            <w:vAlign w:val="bottom"/>
            <w:hideMark/>
          </w:tcPr>
          <w:p w14:paraId="6C80ADB9"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41,877 </w:t>
            </w:r>
          </w:p>
        </w:tc>
        <w:tc>
          <w:tcPr>
            <w:tcW w:w="647" w:type="pct"/>
            <w:tcBorders>
              <w:top w:val="single" w:sz="4" w:space="0" w:color="auto"/>
              <w:left w:val="nil"/>
              <w:bottom w:val="single" w:sz="4" w:space="0" w:color="auto"/>
              <w:right w:val="nil"/>
            </w:tcBorders>
            <w:shd w:val="clear" w:color="auto" w:fill="auto"/>
            <w:noWrap/>
            <w:vAlign w:val="bottom"/>
            <w:hideMark/>
          </w:tcPr>
          <w:p w14:paraId="1F958EAA"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17,524 </w:t>
            </w:r>
          </w:p>
        </w:tc>
        <w:tc>
          <w:tcPr>
            <w:tcW w:w="647" w:type="pct"/>
            <w:tcBorders>
              <w:top w:val="single" w:sz="4" w:space="0" w:color="auto"/>
              <w:left w:val="nil"/>
              <w:bottom w:val="single" w:sz="4" w:space="0" w:color="auto"/>
              <w:right w:val="nil"/>
            </w:tcBorders>
            <w:shd w:val="clear" w:color="auto" w:fill="auto"/>
            <w:noWrap/>
            <w:vAlign w:val="bottom"/>
            <w:hideMark/>
          </w:tcPr>
          <w:p w14:paraId="478EDE5C"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48,088 </w:t>
            </w:r>
          </w:p>
        </w:tc>
        <w:tc>
          <w:tcPr>
            <w:tcW w:w="647" w:type="pct"/>
            <w:tcBorders>
              <w:top w:val="single" w:sz="4" w:space="0" w:color="auto"/>
              <w:left w:val="nil"/>
              <w:bottom w:val="single" w:sz="4" w:space="0" w:color="auto"/>
              <w:right w:val="nil"/>
            </w:tcBorders>
            <w:shd w:val="clear" w:color="auto" w:fill="auto"/>
            <w:noWrap/>
            <w:vAlign w:val="bottom"/>
            <w:hideMark/>
          </w:tcPr>
          <w:p w14:paraId="4EF537A7"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107,489 </w:t>
            </w:r>
          </w:p>
        </w:tc>
      </w:tr>
      <w:tr w:rsidR="00BC2BED" w:rsidRPr="00F33CB0" w14:paraId="7C7EEC42" w14:textId="77777777" w:rsidTr="00BC2BED">
        <w:trPr>
          <w:trHeight w:val="210"/>
        </w:trPr>
        <w:tc>
          <w:tcPr>
            <w:tcW w:w="2411" w:type="pct"/>
            <w:tcBorders>
              <w:top w:val="nil"/>
              <w:left w:val="nil"/>
              <w:bottom w:val="nil"/>
              <w:right w:val="nil"/>
            </w:tcBorders>
            <w:shd w:val="clear" w:color="auto" w:fill="auto"/>
            <w:vAlign w:val="bottom"/>
            <w:hideMark/>
          </w:tcPr>
          <w:p w14:paraId="28DB552D"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Capital asset additions</w:t>
            </w:r>
          </w:p>
        </w:tc>
        <w:tc>
          <w:tcPr>
            <w:tcW w:w="647" w:type="pct"/>
            <w:tcBorders>
              <w:top w:val="nil"/>
              <w:left w:val="nil"/>
              <w:bottom w:val="nil"/>
              <w:right w:val="nil"/>
            </w:tcBorders>
            <w:shd w:val="clear" w:color="auto" w:fill="auto"/>
            <w:noWrap/>
            <w:vAlign w:val="bottom"/>
            <w:hideMark/>
          </w:tcPr>
          <w:p w14:paraId="015F6243"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p>
        </w:tc>
        <w:tc>
          <w:tcPr>
            <w:tcW w:w="647" w:type="pct"/>
            <w:tcBorders>
              <w:top w:val="nil"/>
              <w:left w:val="nil"/>
              <w:bottom w:val="nil"/>
              <w:right w:val="nil"/>
            </w:tcBorders>
            <w:shd w:val="clear" w:color="auto" w:fill="auto"/>
            <w:noWrap/>
            <w:vAlign w:val="bottom"/>
            <w:hideMark/>
          </w:tcPr>
          <w:p w14:paraId="43495FAF"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70E89104"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251046F5"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F33CB0" w14:paraId="5AABD3A4" w14:textId="77777777" w:rsidTr="00BC2BED">
        <w:trPr>
          <w:trHeight w:val="420"/>
        </w:trPr>
        <w:tc>
          <w:tcPr>
            <w:tcW w:w="2411" w:type="pct"/>
            <w:tcBorders>
              <w:top w:val="nil"/>
              <w:left w:val="nil"/>
              <w:bottom w:val="nil"/>
              <w:right w:val="nil"/>
            </w:tcBorders>
            <w:shd w:val="clear" w:color="auto" w:fill="auto"/>
            <w:vAlign w:val="bottom"/>
            <w:hideMark/>
          </w:tcPr>
          <w:p w14:paraId="2C3A9637"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Estimated expenditure on new</w:t>
            </w:r>
            <w:r w:rsidRPr="00043432">
              <w:rPr>
                <w:rFonts w:eastAsia="Times New Roman" w:cs="Arial"/>
                <w:b/>
                <w:bCs/>
                <w:color w:val="auto"/>
                <w:sz w:val="16"/>
                <w:szCs w:val="16"/>
                <w:lang w:eastAsia="en-AU"/>
              </w:rPr>
              <w:br/>
              <w:t xml:space="preserve">      or replacement assets</w:t>
            </w:r>
          </w:p>
        </w:tc>
        <w:tc>
          <w:tcPr>
            <w:tcW w:w="647" w:type="pct"/>
            <w:tcBorders>
              <w:top w:val="nil"/>
              <w:left w:val="nil"/>
              <w:bottom w:val="nil"/>
              <w:right w:val="nil"/>
            </w:tcBorders>
            <w:shd w:val="clear" w:color="auto" w:fill="auto"/>
            <w:noWrap/>
            <w:vAlign w:val="bottom"/>
            <w:hideMark/>
          </w:tcPr>
          <w:p w14:paraId="5EA187BB"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p>
        </w:tc>
        <w:tc>
          <w:tcPr>
            <w:tcW w:w="647" w:type="pct"/>
            <w:tcBorders>
              <w:top w:val="nil"/>
              <w:left w:val="nil"/>
              <w:bottom w:val="nil"/>
              <w:right w:val="nil"/>
            </w:tcBorders>
            <w:shd w:val="clear" w:color="auto" w:fill="auto"/>
            <w:noWrap/>
            <w:vAlign w:val="bottom"/>
            <w:hideMark/>
          </w:tcPr>
          <w:p w14:paraId="75E10345"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54477550"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546C52A8"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F33CB0" w14:paraId="23E50FD3" w14:textId="77777777" w:rsidTr="00BC2BED">
        <w:trPr>
          <w:trHeight w:val="210"/>
        </w:trPr>
        <w:tc>
          <w:tcPr>
            <w:tcW w:w="2411" w:type="pct"/>
            <w:tcBorders>
              <w:top w:val="nil"/>
              <w:left w:val="nil"/>
              <w:bottom w:val="nil"/>
              <w:right w:val="nil"/>
            </w:tcBorders>
            <w:shd w:val="clear" w:color="auto" w:fill="auto"/>
            <w:vAlign w:val="bottom"/>
            <w:hideMark/>
          </w:tcPr>
          <w:p w14:paraId="0CE327E7"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By purchase - other</w:t>
            </w:r>
          </w:p>
        </w:tc>
        <w:tc>
          <w:tcPr>
            <w:tcW w:w="647" w:type="pct"/>
            <w:tcBorders>
              <w:top w:val="nil"/>
              <w:left w:val="nil"/>
              <w:bottom w:val="nil"/>
              <w:right w:val="nil"/>
            </w:tcBorders>
            <w:shd w:val="clear" w:color="auto" w:fill="auto"/>
            <w:noWrap/>
            <w:vAlign w:val="bottom"/>
            <w:hideMark/>
          </w:tcPr>
          <w:p w14:paraId="017E7CE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6C8B1F75"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1,427 </w:t>
            </w:r>
          </w:p>
        </w:tc>
        <w:tc>
          <w:tcPr>
            <w:tcW w:w="647" w:type="pct"/>
            <w:tcBorders>
              <w:top w:val="nil"/>
              <w:left w:val="nil"/>
              <w:bottom w:val="nil"/>
              <w:right w:val="nil"/>
            </w:tcBorders>
            <w:shd w:val="clear" w:color="auto" w:fill="auto"/>
            <w:noWrap/>
            <w:vAlign w:val="bottom"/>
            <w:hideMark/>
          </w:tcPr>
          <w:p w14:paraId="3042AE69"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14,973 </w:t>
            </w:r>
          </w:p>
        </w:tc>
        <w:tc>
          <w:tcPr>
            <w:tcW w:w="647" w:type="pct"/>
            <w:tcBorders>
              <w:top w:val="nil"/>
              <w:left w:val="nil"/>
              <w:bottom w:val="nil"/>
              <w:right w:val="nil"/>
            </w:tcBorders>
            <w:shd w:val="clear" w:color="auto" w:fill="auto"/>
            <w:noWrap/>
            <w:vAlign w:val="bottom"/>
            <w:hideMark/>
          </w:tcPr>
          <w:p w14:paraId="0929CE89"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16,400 </w:t>
            </w:r>
          </w:p>
        </w:tc>
      </w:tr>
      <w:tr w:rsidR="00BC2BED" w:rsidRPr="00F33CB0" w14:paraId="5265A476" w14:textId="77777777" w:rsidTr="00BC2BED">
        <w:trPr>
          <w:trHeight w:val="210"/>
        </w:trPr>
        <w:tc>
          <w:tcPr>
            <w:tcW w:w="2411" w:type="pct"/>
            <w:tcBorders>
              <w:top w:val="nil"/>
              <w:left w:val="nil"/>
              <w:bottom w:val="nil"/>
              <w:right w:val="nil"/>
            </w:tcBorders>
            <w:shd w:val="clear" w:color="auto" w:fill="auto"/>
            <w:vAlign w:val="bottom"/>
            <w:hideMark/>
          </w:tcPr>
          <w:p w14:paraId="259CD205"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additions</w:t>
            </w:r>
          </w:p>
        </w:tc>
        <w:tc>
          <w:tcPr>
            <w:tcW w:w="647" w:type="pct"/>
            <w:tcBorders>
              <w:top w:val="single" w:sz="4" w:space="0" w:color="auto"/>
              <w:left w:val="nil"/>
              <w:bottom w:val="nil"/>
              <w:right w:val="nil"/>
            </w:tcBorders>
            <w:shd w:val="clear" w:color="auto" w:fill="auto"/>
            <w:noWrap/>
            <w:vAlign w:val="bottom"/>
            <w:hideMark/>
          </w:tcPr>
          <w:p w14:paraId="0C31BE6B"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 </w:t>
            </w:r>
          </w:p>
        </w:tc>
        <w:tc>
          <w:tcPr>
            <w:tcW w:w="647" w:type="pct"/>
            <w:tcBorders>
              <w:top w:val="single" w:sz="4" w:space="0" w:color="auto"/>
              <w:left w:val="nil"/>
              <w:bottom w:val="nil"/>
              <w:right w:val="nil"/>
            </w:tcBorders>
            <w:shd w:val="clear" w:color="auto" w:fill="auto"/>
            <w:noWrap/>
            <w:vAlign w:val="bottom"/>
            <w:hideMark/>
          </w:tcPr>
          <w:p w14:paraId="6B62D5FA"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1,427 </w:t>
            </w:r>
          </w:p>
        </w:tc>
        <w:tc>
          <w:tcPr>
            <w:tcW w:w="647" w:type="pct"/>
            <w:tcBorders>
              <w:top w:val="single" w:sz="4" w:space="0" w:color="auto"/>
              <w:left w:val="nil"/>
              <w:bottom w:val="nil"/>
              <w:right w:val="nil"/>
            </w:tcBorders>
            <w:shd w:val="clear" w:color="auto" w:fill="auto"/>
            <w:noWrap/>
            <w:vAlign w:val="bottom"/>
            <w:hideMark/>
          </w:tcPr>
          <w:p w14:paraId="49B7C01F"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14,973 </w:t>
            </w:r>
          </w:p>
        </w:tc>
        <w:tc>
          <w:tcPr>
            <w:tcW w:w="647" w:type="pct"/>
            <w:tcBorders>
              <w:top w:val="single" w:sz="4" w:space="0" w:color="auto"/>
              <w:left w:val="nil"/>
              <w:bottom w:val="nil"/>
              <w:right w:val="nil"/>
            </w:tcBorders>
            <w:shd w:val="clear" w:color="auto" w:fill="auto"/>
            <w:noWrap/>
            <w:vAlign w:val="bottom"/>
            <w:hideMark/>
          </w:tcPr>
          <w:p w14:paraId="2952391C"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16,400 </w:t>
            </w:r>
          </w:p>
        </w:tc>
      </w:tr>
      <w:tr w:rsidR="00BC2BED" w:rsidRPr="00F33CB0" w14:paraId="614256B0" w14:textId="77777777" w:rsidTr="00BC2BED">
        <w:trPr>
          <w:trHeight w:val="210"/>
        </w:trPr>
        <w:tc>
          <w:tcPr>
            <w:tcW w:w="2411" w:type="pct"/>
            <w:tcBorders>
              <w:top w:val="nil"/>
              <w:left w:val="nil"/>
              <w:bottom w:val="nil"/>
              <w:right w:val="nil"/>
            </w:tcBorders>
            <w:shd w:val="clear" w:color="auto" w:fill="auto"/>
            <w:vAlign w:val="bottom"/>
            <w:hideMark/>
          </w:tcPr>
          <w:p w14:paraId="20633309"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Other movements</w:t>
            </w:r>
          </w:p>
        </w:tc>
        <w:tc>
          <w:tcPr>
            <w:tcW w:w="647" w:type="pct"/>
            <w:tcBorders>
              <w:top w:val="single" w:sz="4" w:space="0" w:color="auto"/>
              <w:left w:val="nil"/>
              <w:bottom w:val="nil"/>
              <w:right w:val="nil"/>
            </w:tcBorders>
            <w:shd w:val="clear" w:color="auto" w:fill="auto"/>
            <w:noWrap/>
            <w:vAlign w:val="bottom"/>
            <w:hideMark/>
          </w:tcPr>
          <w:p w14:paraId="18A9B6E4"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c>
          <w:tcPr>
            <w:tcW w:w="647" w:type="pct"/>
            <w:tcBorders>
              <w:top w:val="single" w:sz="4" w:space="0" w:color="auto"/>
              <w:left w:val="nil"/>
              <w:bottom w:val="nil"/>
              <w:right w:val="nil"/>
            </w:tcBorders>
            <w:shd w:val="clear" w:color="auto" w:fill="auto"/>
            <w:noWrap/>
            <w:vAlign w:val="bottom"/>
            <w:hideMark/>
          </w:tcPr>
          <w:p w14:paraId="41D9FB68"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c>
          <w:tcPr>
            <w:tcW w:w="647" w:type="pct"/>
            <w:tcBorders>
              <w:top w:val="single" w:sz="4" w:space="0" w:color="auto"/>
              <w:left w:val="nil"/>
              <w:bottom w:val="nil"/>
              <w:right w:val="nil"/>
            </w:tcBorders>
            <w:shd w:val="clear" w:color="auto" w:fill="auto"/>
            <w:noWrap/>
            <w:vAlign w:val="bottom"/>
            <w:hideMark/>
          </w:tcPr>
          <w:p w14:paraId="628E8F8F"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c>
          <w:tcPr>
            <w:tcW w:w="647" w:type="pct"/>
            <w:tcBorders>
              <w:top w:val="single" w:sz="4" w:space="0" w:color="auto"/>
              <w:left w:val="nil"/>
              <w:bottom w:val="nil"/>
              <w:right w:val="nil"/>
            </w:tcBorders>
            <w:shd w:val="clear" w:color="auto" w:fill="auto"/>
            <w:noWrap/>
            <w:vAlign w:val="bottom"/>
            <w:hideMark/>
          </w:tcPr>
          <w:p w14:paraId="1226456E"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 </w:t>
            </w:r>
          </w:p>
        </w:tc>
      </w:tr>
      <w:tr w:rsidR="00BC2BED" w:rsidRPr="00F33CB0" w14:paraId="04E94110" w14:textId="77777777" w:rsidTr="00BC2BED">
        <w:trPr>
          <w:trHeight w:val="210"/>
        </w:trPr>
        <w:tc>
          <w:tcPr>
            <w:tcW w:w="2411" w:type="pct"/>
            <w:tcBorders>
              <w:top w:val="nil"/>
              <w:left w:val="nil"/>
              <w:bottom w:val="nil"/>
              <w:right w:val="nil"/>
            </w:tcBorders>
            <w:shd w:val="clear" w:color="auto" w:fill="auto"/>
            <w:vAlign w:val="bottom"/>
            <w:hideMark/>
          </w:tcPr>
          <w:p w14:paraId="490493F3"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Depreciation/amortisation expense</w:t>
            </w:r>
          </w:p>
        </w:tc>
        <w:tc>
          <w:tcPr>
            <w:tcW w:w="647" w:type="pct"/>
            <w:tcBorders>
              <w:top w:val="nil"/>
              <w:left w:val="nil"/>
              <w:bottom w:val="nil"/>
              <w:right w:val="nil"/>
            </w:tcBorders>
            <w:shd w:val="clear" w:color="auto" w:fill="auto"/>
            <w:noWrap/>
            <w:vAlign w:val="bottom"/>
            <w:hideMark/>
          </w:tcPr>
          <w:p w14:paraId="4FACAE56"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2EA90A03"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(3,042)</w:t>
            </w:r>
          </w:p>
        </w:tc>
        <w:tc>
          <w:tcPr>
            <w:tcW w:w="647" w:type="pct"/>
            <w:tcBorders>
              <w:top w:val="nil"/>
              <w:left w:val="nil"/>
              <w:bottom w:val="nil"/>
              <w:right w:val="nil"/>
            </w:tcBorders>
            <w:shd w:val="clear" w:color="auto" w:fill="auto"/>
            <w:noWrap/>
            <w:vAlign w:val="bottom"/>
            <w:hideMark/>
          </w:tcPr>
          <w:p w14:paraId="25F1D6BB"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(8,978)</w:t>
            </w:r>
          </w:p>
        </w:tc>
        <w:tc>
          <w:tcPr>
            <w:tcW w:w="647" w:type="pct"/>
            <w:tcBorders>
              <w:top w:val="nil"/>
              <w:left w:val="nil"/>
              <w:bottom w:val="nil"/>
              <w:right w:val="nil"/>
            </w:tcBorders>
            <w:shd w:val="clear" w:color="auto" w:fill="auto"/>
            <w:noWrap/>
            <w:vAlign w:val="bottom"/>
            <w:hideMark/>
          </w:tcPr>
          <w:p w14:paraId="49C77BE8"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(12,020)</w:t>
            </w:r>
          </w:p>
        </w:tc>
      </w:tr>
      <w:tr w:rsidR="00BC2BED" w:rsidRPr="00F33CB0" w14:paraId="1252E77C" w14:textId="77777777" w:rsidTr="00BC2BED">
        <w:trPr>
          <w:trHeight w:val="400"/>
        </w:trPr>
        <w:tc>
          <w:tcPr>
            <w:tcW w:w="2411" w:type="pct"/>
            <w:tcBorders>
              <w:top w:val="nil"/>
              <w:left w:val="nil"/>
              <w:bottom w:val="nil"/>
              <w:right w:val="nil"/>
            </w:tcBorders>
            <w:shd w:val="clear" w:color="auto" w:fill="auto"/>
            <w:vAlign w:val="bottom"/>
            <w:hideMark/>
          </w:tcPr>
          <w:p w14:paraId="0371A4C2"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xml:space="preserve">Depreciation/amortisation on </w:t>
            </w:r>
            <w:r w:rsidRPr="00043432">
              <w:rPr>
                <w:rFonts w:eastAsia="Times New Roman" w:cs="Arial"/>
                <w:color w:val="auto"/>
                <w:sz w:val="16"/>
                <w:szCs w:val="16"/>
                <w:lang w:eastAsia="en-AU"/>
              </w:rPr>
              <w:br/>
              <w:t xml:space="preserve">      ROU assets</w:t>
            </w:r>
          </w:p>
        </w:tc>
        <w:tc>
          <w:tcPr>
            <w:tcW w:w="647" w:type="pct"/>
            <w:tcBorders>
              <w:top w:val="nil"/>
              <w:left w:val="nil"/>
              <w:bottom w:val="nil"/>
              <w:right w:val="nil"/>
            </w:tcBorders>
            <w:shd w:val="clear" w:color="auto" w:fill="auto"/>
            <w:noWrap/>
            <w:vAlign w:val="bottom"/>
            <w:hideMark/>
          </w:tcPr>
          <w:p w14:paraId="39CA64D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(8,468)</w:t>
            </w:r>
          </w:p>
        </w:tc>
        <w:tc>
          <w:tcPr>
            <w:tcW w:w="647" w:type="pct"/>
            <w:tcBorders>
              <w:top w:val="nil"/>
              <w:left w:val="nil"/>
              <w:bottom w:val="nil"/>
              <w:right w:val="nil"/>
            </w:tcBorders>
            <w:shd w:val="clear" w:color="auto" w:fill="auto"/>
            <w:noWrap/>
            <w:vAlign w:val="bottom"/>
            <w:hideMark/>
          </w:tcPr>
          <w:p w14:paraId="248A8490"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p>
        </w:tc>
        <w:tc>
          <w:tcPr>
            <w:tcW w:w="647" w:type="pct"/>
            <w:tcBorders>
              <w:top w:val="nil"/>
              <w:left w:val="nil"/>
              <w:bottom w:val="nil"/>
              <w:right w:val="nil"/>
            </w:tcBorders>
            <w:shd w:val="clear" w:color="auto" w:fill="auto"/>
            <w:noWrap/>
            <w:vAlign w:val="bottom"/>
            <w:hideMark/>
          </w:tcPr>
          <w:p w14:paraId="710C4B98"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7FBD0AC3"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(8,468)</w:t>
            </w:r>
          </w:p>
        </w:tc>
      </w:tr>
      <w:tr w:rsidR="00BC2BED" w:rsidRPr="00F33CB0" w14:paraId="707538DD" w14:textId="77777777" w:rsidTr="00BC2BED">
        <w:trPr>
          <w:trHeight w:val="210"/>
        </w:trPr>
        <w:tc>
          <w:tcPr>
            <w:tcW w:w="2411" w:type="pct"/>
            <w:tcBorders>
              <w:top w:val="nil"/>
              <w:left w:val="nil"/>
              <w:bottom w:val="nil"/>
              <w:right w:val="nil"/>
            </w:tcBorders>
            <w:shd w:val="clear" w:color="auto" w:fill="auto"/>
            <w:vAlign w:val="bottom"/>
            <w:hideMark/>
          </w:tcPr>
          <w:p w14:paraId="11873147"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Total other movements</w:t>
            </w:r>
          </w:p>
        </w:tc>
        <w:tc>
          <w:tcPr>
            <w:tcW w:w="647" w:type="pct"/>
            <w:tcBorders>
              <w:top w:val="single" w:sz="4" w:space="0" w:color="auto"/>
              <w:left w:val="nil"/>
              <w:bottom w:val="single" w:sz="4" w:space="0" w:color="auto"/>
              <w:right w:val="nil"/>
            </w:tcBorders>
            <w:shd w:val="clear" w:color="auto" w:fill="auto"/>
            <w:noWrap/>
            <w:vAlign w:val="bottom"/>
            <w:hideMark/>
          </w:tcPr>
          <w:p w14:paraId="0A7A313C"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(8,468)</w:t>
            </w:r>
          </w:p>
        </w:tc>
        <w:tc>
          <w:tcPr>
            <w:tcW w:w="647" w:type="pct"/>
            <w:tcBorders>
              <w:top w:val="single" w:sz="4" w:space="0" w:color="auto"/>
              <w:left w:val="nil"/>
              <w:bottom w:val="single" w:sz="4" w:space="0" w:color="auto"/>
              <w:right w:val="nil"/>
            </w:tcBorders>
            <w:shd w:val="clear" w:color="auto" w:fill="auto"/>
            <w:noWrap/>
            <w:vAlign w:val="bottom"/>
            <w:hideMark/>
          </w:tcPr>
          <w:p w14:paraId="0CBF865E"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(3,042)</w:t>
            </w:r>
          </w:p>
        </w:tc>
        <w:tc>
          <w:tcPr>
            <w:tcW w:w="647" w:type="pct"/>
            <w:tcBorders>
              <w:top w:val="single" w:sz="4" w:space="0" w:color="auto"/>
              <w:left w:val="nil"/>
              <w:bottom w:val="single" w:sz="4" w:space="0" w:color="auto"/>
              <w:right w:val="nil"/>
            </w:tcBorders>
            <w:shd w:val="clear" w:color="auto" w:fill="auto"/>
            <w:noWrap/>
            <w:vAlign w:val="bottom"/>
            <w:hideMark/>
          </w:tcPr>
          <w:p w14:paraId="2A928723"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(8,978)</w:t>
            </w:r>
          </w:p>
        </w:tc>
        <w:tc>
          <w:tcPr>
            <w:tcW w:w="647" w:type="pct"/>
            <w:tcBorders>
              <w:top w:val="single" w:sz="4" w:space="0" w:color="auto"/>
              <w:left w:val="nil"/>
              <w:bottom w:val="single" w:sz="4" w:space="0" w:color="auto"/>
              <w:right w:val="nil"/>
            </w:tcBorders>
            <w:shd w:val="clear" w:color="auto" w:fill="auto"/>
            <w:noWrap/>
            <w:vAlign w:val="bottom"/>
            <w:hideMark/>
          </w:tcPr>
          <w:p w14:paraId="52570C07"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(20,488)</w:t>
            </w:r>
          </w:p>
        </w:tc>
      </w:tr>
      <w:tr w:rsidR="00BC2BED" w:rsidRPr="00F33CB0" w14:paraId="56027B80" w14:textId="77777777" w:rsidTr="00BC2BED">
        <w:trPr>
          <w:trHeight w:val="210"/>
        </w:trPr>
        <w:tc>
          <w:tcPr>
            <w:tcW w:w="2411" w:type="pct"/>
            <w:tcBorders>
              <w:top w:val="nil"/>
              <w:left w:val="nil"/>
              <w:bottom w:val="nil"/>
              <w:right w:val="nil"/>
            </w:tcBorders>
            <w:shd w:val="clear" w:color="auto" w:fill="auto"/>
            <w:vAlign w:val="bottom"/>
            <w:hideMark/>
          </w:tcPr>
          <w:p w14:paraId="5C136BB2"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As at 30 June 2022</w:t>
            </w:r>
          </w:p>
        </w:tc>
        <w:tc>
          <w:tcPr>
            <w:tcW w:w="647" w:type="pct"/>
            <w:tcBorders>
              <w:top w:val="nil"/>
              <w:left w:val="nil"/>
              <w:bottom w:val="nil"/>
              <w:right w:val="nil"/>
            </w:tcBorders>
            <w:shd w:val="clear" w:color="auto" w:fill="auto"/>
            <w:noWrap/>
            <w:vAlign w:val="bottom"/>
            <w:hideMark/>
          </w:tcPr>
          <w:p w14:paraId="70177DC7"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p>
        </w:tc>
        <w:tc>
          <w:tcPr>
            <w:tcW w:w="647" w:type="pct"/>
            <w:tcBorders>
              <w:top w:val="nil"/>
              <w:left w:val="nil"/>
              <w:bottom w:val="nil"/>
              <w:right w:val="nil"/>
            </w:tcBorders>
            <w:shd w:val="clear" w:color="auto" w:fill="auto"/>
            <w:noWrap/>
            <w:vAlign w:val="bottom"/>
            <w:hideMark/>
          </w:tcPr>
          <w:p w14:paraId="50412DA2"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6F8080E2"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647" w:type="pct"/>
            <w:tcBorders>
              <w:top w:val="nil"/>
              <w:left w:val="nil"/>
              <w:bottom w:val="nil"/>
              <w:right w:val="nil"/>
            </w:tcBorders>
            <w:shd w:val="clear" w:color="auto" w:fill="auto"/>
            <w:noWrap/>
            <w:vAlign w:val="bottom"/>
            <w:hideMark/>
          </w:tcPr>
          <w:p w14:paraId="2FDD408F"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F33CB0" w14:paraId="4B0D51CA" w14:textId="77777777" w:rsidTr="00BC2BED">
        <w:trPr>
          <w:trHeight w:val="210"/>
        </w:trPr>
        <w:tc>
          <w:tcPr>
            <w:tcW w:w="2411" w:type="pct"/>
            <w:tcBorders>
              <w:top w:val="nil"/>
              <w:left w:val="nil"/>
              <w:bottom w:val="nil"/>
              <w:right w:val="nil"/>
            </w:tcBorders>
            <w:shd w:val="clear" w:color="auto" w:fill="auto"/>
            <w:vAlign w:val="bottom"/>
            <w:hideMark/>
          </w:tcPr>
          <w:p w14:paraId="3848B744"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Gross book value</w:t>
            </w:r>
          </w:p>
        </w:tc>
        <w:tc>
          <w:tcPr>
            <w:tcW w:w="647" w:type="pct"/>
            <w:tcBorders>
              <w:top w:val="nil"/>
              <w:left w:val="nil"/>
              <w:bottom w:val="nil"/>
              <w:right w:val="nil"/>
            </w:tcBorders>
            <w:shd w:val="clear" w:color="auto" w:fill="auto"/>
            <w:noWrap/>
            <w:vAlign w:val="bottom"/>
            <w:hideMark/>
          </w:tcPr>
          <w:p w14:paraId="58AB7668"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44EA514B"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34,601 </w:t>
            </w:r>
          </w:p>
        </w:tc>
        <w:tc>
          <w:tcPr>
            <w:tcW w:w="647" w:type="pct"/>
            <w:tcBorders>
              <w:top w:val="nil"/>
              <w:left w:val="nil"/>
              <w:bottom w:val="nil"/>
              <w:right w:val="nil"/>
            </w:tcBorders>
            <w:shd w:val="clear" w:color="auto" w:fill="auto"/>
            <w:noWrap/>
            <w:vAlign w:val="bottom"/>
            <w:hideMark/>
          </w:tcPr>
          <w:p w14:paraId="6C3D7818"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118,933 </w:t>
            </w:r>
          </w:p>
        </w:tc>
        <w:tc>
          <w:tcPr>
            <w:tcW w:w="647" w:type="pct"/>
            <w:tcBorders>
              <w:top w:val="nil"/>
              <w:left w:val="nil"/>
              <w:bottom w:val="nil"/>
              <w:right w:val="nil"/>
            </w:tcBorders>
            <w:shd w:val="clear" w:color="auto" w:fill="auto"/>
            <w:noWrap/>
            <w:vAlign w:val="bottom"/>
            <w:hideMark/>
          </w:tcPr>
          <w:p w14:paraId="0D35265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153,534 </w:t>
            </w:r>
          </w:p>
        </w:tc>
      </w:tr>
      <w:tr w:rsidR="00BC2BED" w:rsidRPr="00F33CB0" w14:paraId="39ED46EB" w14:textId="77777777" w:rsidTr="00BC2BED">
        <w:trPr>
          <w:trHeight w:val="210"/>
        </w:trPr>
        <w:tc>
          <w:tcPr>
            <w:tcW w:w="2411" w:type="pct"/>
            <w:tcBorders>
              <w:top w:val="nil"/>
              <w:left w:val="nil"/>
              <w:bottom w:val="nil"/>
              <w:right w:val="nil"/>
            </w:tcBorders>
            <w:shd w:val="clear" w:color="auto" w:fill="auto"/>
            <w:vAlign w:val="bottom"/>
            <w:hideMark/>
          </w:tcPr>
          <w:p w14:paraId="59079F54"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Gross book value - ROU assets</w:t>
            </w:r>
          </w:p>
        </w:tc>
        <w:tc>
          <w:tcPr>
            <w:tcW w:w="647" w:type="pct"/>
            <w:tcBorders>
              <w:top w:val="nil"/>
              <w:left w:val="nil"/>
              <w:bottom w:val="nil"/>
              <w:right w:val="nil"/>
            </w:tcBorders>
            <w:shd w:val="clear" w:color="auto" w:fill="auto"/>
            <w:noWrap/>
            <w:vAlign w:val="bottom"/>
            <w:hideMark/>
          </w:tcPr>
          <w:p w14:paraId="14783767"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59,517 </w:t>
            </w:r>
          </w:p>
        </w:tc>
        <w:tc>
          <w:tcPr>
            <w:tcW w:w="647" w:type="pct"/>
            <w:tcBorders>
              <w:top w:val="nil"/>
              <w:left w:val="nil"/>
              <w:bottom w:val="nil"/>
              <w:right w:val="nil"/>
            </w:tcBorders>
            <w:shd w:val="clear" w:color="auto" w:fill="auto"/>
            <w:noWrap/>
            <w:vAlign w:val="bottom"/>
            <w:hideMark/>
          </w:tcPr>
          <w:p w14:paraId="62F234BF"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00DE646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6EBF3F53"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59,517 </w:t>
            </w:r>
          </w:p>
        </w:tc>
      </w:tr>
      <w:tr w:rsidR="00BC2BED" w:rsidRPr="00F33CB0" w14:paraId="6EC04EC0" w14:textId="77777777" w:rsidTr="00BC2BED">
        <w:trPr>
          <w:trHeight w:val="400"/>
        </w:trPr>
        <w:tc>
          <w:tcPr>
            <w:tcW w:w="2411" w:type="pct"/>
            <w:tcBorders>
              <w:top w:val="nil"/>
              <w:left w:val="nil"/>
              <w:bottom w:val="nil"/>
              <w:right w:val="nil"/>
            </w:tcBorders>
            <w:shd w:val="clear" w:color="auto" w:fill="auto"/>
            <w:vAlign w:val="bottom"/>
            <w:hideMark/>
          </w:tcPr>
          <w:p w14:paraId="5EC67CD0"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Accumulated depreciation/</w:t>
            </w:r>
            <w:r w:rsidRPr="00043432">
              <w:rPr>
                <w:rFonts w:eastAsia="Times New Roman" w:cs="Arial"/>
                <w:color w:val="auto"/>
                <w:sz w:val="16"/>
                <w:szCs w:val="16"/>
                <w:lang w:eastAsia="en-AU"/>
              </w:rPr>
              <w:br/>
              <w:t xml:space="preserve">      amortisation and impairment</w:t>
            </w:r>
          </w:p>
        </w:tc>
        <w:tc>
          <w:tcPr>
            <w:tcW w:w="647" w:type="pct"/>
            <w:tcBorders>
              <w:top w:val="nil"/>
              <w:left w:val="nil"/>
              <w:bottom w:val="nil"/>
              <w:right w:val="nil"/>
            </w:tcBorders>
            <w:shd w:val="clear" w:color="auto" w:fill="auto"/>
            <w:noWrap/>
            <w:vAlign w:val="bottom"/>
            <w:hideMark/>
          </w:tcPr>
          <w:p w14:paraId="7FAF106D"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7A160FC5"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(18,692)</w:t>
            </w:r>
          </w:p>
        </w:tc>
        <w:tc>
          <w:tcPr>
            <w:tcW w:w="647" w:type="pct"/>
            <w:tcBorders>
              <w:top w:val="nil"/>
              <w:left w:val="nil"/>
              <w:bottom w:val="nil"/>
              <w:right w:val="nil"/>
            </w:tcBorders>
            <w:shd w:val="clear" w:color="auto" w:fill="auto"/>
            <w:noWrap/>
            <w:vAlign w:val="bottom"/>
            <w:hideMark/>
          </w:tcPr>
          <w:p w14:paraId="3B67E13E"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(64,850)</w:t>
            </w:r>
          </w:p>
        </w:tc>
        <w:tc>
          <w:tcPr>
            <w:tcW w:w="647" w:type="pct"/>
            <w:tcBorders>
              <w:top w:val="nil"/>
              <w:left w:val="nil"/>
              <w:bottom w:val="nil"/>
              <w:right w:val="nil"/>
            </w:tcBorders>
            <w:shd w:val="clear" w:color="auto" w:fill="auto"/>
            <w:noWrap/>
            <w:vAlign w:val="bottom"/>
            <w:hideMark/>
          </w:tcPr>
          <w:p w14:paraId="1B38D7ED"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(83,542)</w:t>
            </w:r>
          </w:p>
        </w:tc>
      </w:tr>
      <w:tr w:rsidR="00BC2BED" w:rsidRPr="00F33CB0" w14:paraId="4B901818" w14:textId="77777777" w:rsidTr="00BC2BED">
        <w:trPr>
          <w:trHeight w:val="400"/>
        </w:trPr>
        <w:tc>
          <w:tcPr>
            <w:tcW w:w="2411" w:type="pct"/>
            <w:tcBorders>
              <w:top w:val="nil"/>
              <w:left w:val="nil"/>
              <w:bottom w:val="nil"/>
              <w:right w:val="nil"/>
            </w:tcBorders>
            <w:shd w:val="clear" w:color="auto" w:fill="auto"/>
            <w:vAlign w:val="bottom"/>
            <w:hideMark/>
          </w:tcPr>
          <w:p w14:paraId="629A09AB"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 xml:space="preserve">Accumulated depreciation/amortisation and </w:t>
            </w:r>
            <w:r w:rsidRPr="00043432">
              <w:rPr>
                <w:rFonts w:eastAsia="Times New Roman" w:cs="Arial"/>
                <w:color w:val="auto"/>
                <w:sz w:val="16"/>
                <w:szCs w:val="16"/>
                <w:lang w:eastAsia="en-AU"/>
              </w:rPr>
              <w:br/>
              <w:t xml:space="preserve">      impairment - ROU assets</w:t>
            </w:r>
          </w:p>
        </w:tc>
        <w:tc>
          <w:tcPr>
            <w:tcW w:w="647" w:type="pct"/>
            <w:tcBorders>
              <w:top w:val="nil"/>
              <w:left w:val="nil"/>
              <w:bottom w:val="nil"/>
              <w:right w:val="nil"/>
            </w:tcBorders>
            <w:shd w:val="clear" w:color="auto" w:fill="auto"/>
            <w:noWrap/>
            <w:vAlign w:val="bottom"/>
            <w:hideMark/>
          </w:tcPr>
          <w:p w14:paraId="4A71D0F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(26,108)</w:t>
            </w:r>
          </w:p>
        </w:tc>
        <w:tc>
          <w:tcPr>
            <w:tcW w:w="647" w:type="pct"/>
            <w:tcBorders>
              <w:top w:val="nil"/>
              <w:left w:val="nil"/>
              <w:bottom w:val="nil"/>
              <w:right w:val="nil"/>
            </w:tcBorders>
            <w:shd w:val="clear" w:color="auto" w:fill="auto"/>
            <w:noWrap/>
            <w:vAlign w:val="bottom"/>
            <w:hideMark/>
          </w:tcPr>
          <w:p w14:paraId="0B69960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6CAC5FC7"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 xml:space="preserve">- </w:t>
            </w:r>
          </w:p>
        </w:tc>
        <w:tc>
          <w:tcPr>
            <w:tcW w:w="647" w:type="pct"/>
            <w:tcBorders>
              <w:top w:val="nil"/>
              <w:left w:val="nil"/>
              <w:bottom w:val="nil"/>
              <w:right w:val="nil"/>
            </w:tcBorders>
            <w:shd w:val="clear" w:color="auto" w:fill="auto"/>
            <w:noWrap/>
            <w:vAlign w:val="bottom"/>
            <w:hideMark/>
          </w:tcPr>
          <w:p w14:paraId="2BE35712"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(26,108)</w:t>
            </w:r>
          </w:p>
        </w:tc>
      </w:tr>
      <w:tr w:rsidR="00BC2BED" w:rsidRPr="00F33CB0" w14:paraId="4B544B4D" w14:textId="77777777" w:rsidTr="00BC2BED">
        <w:trPr>
          <w:trHeight w:val="210"/>
        </w:trPr>
        <w:tc>
          <w:tcPr>
            <w:tcW w:w="2411" w:type="pct"/>
            <w:tcBorders>
              <w:top w:val="nil"/>
              <w:left w:val="nil"/>
              <w:bottom w:val="single" w:sz="4" w:space="0" w:color="auto"/>
              <w:right w:val="nil"/>
            </w:tcBorders>
            <w:shd w:val="clear" w:color="auto" w:fill="auto"/>
            <w:noWrap/>
            <w:vAlign w:val="bottom"/>
            <w:hideMark/>
          </w:tcPr>
          <w:p w14:paraId="71F9204A" w14:textId="77777777" w:rsidR="00BC2BED" w:rsidRPr="00043432" w:rsidRDefault="00BC2BED" w:rsidP="00043432">
            <w:pPr>
              <w:pStyle w:val="ListParagraph"/>
              <w:numPr>
                <w:ilvl w:val="0"/>
                <w:numId w:val="20"/>
              </w:numPr>
              <w:spacing w:after="0"/>
              <w:jc w:val="left"/>
              <w:rPr>
                <w:rFonts w:eastAsia="Times New Roman" w:cs="Arial"/>
                <w:b/>
                <w:bCs/>
                <w:color w:val="auto"/>
                <w:sz w:val="16"/>
                <w:szCs w:val="16"/>
                <w:lang w:eastAsia="en-AU"/>
              </w:rPr>
            </w:pPr>
            <w:r w:rsidRPr="00043432">
              <w:rPr>
                <w:rFonts w:eastAsia="Times New Roman" w:cs="Arial"/>
                <w:b/>
                <w:bCs/>
                <w:color w:val="auto"/>
                <w:sz w:val="16"/>
                <w:szCs w:val="16"/>
                <w:lang w:eastAsia="en-AU"/>
              </w:rPr>
              <w:t>Closing net book balance</w:t>
            </w:r>
          </w:p>
        </w:tc>
        <w:tc>
          <w:tcPr>
            <w:tcW w:w="647" w:type="pct"/>
            <w:tcBorders>
              <w:top w:val="single" w:sz="4" w:space="0" w:color="auto"/>
              <w:left w:val="nil"/>
              <w:bottom w:val="single" w:sz="4" w:space="0" w:color="auto"/>
              <w:right w:val="nil"/>
            </w:tcBorders>
            <w:shd w:val="clear" w:color="auto" w:fill="auto"/>
            <w:noWrap/>
            <w:vAlign w:val="bottom"/>
            <w:hideMark/>
          </w:tcPr>
          <w:p w14:paraId="7D58B356"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33,409 </w:t>
            </w:r>
          </w:p>
        </w:tc>
        <w:tc>
          <w:tcPr>
            <w:tcW w:w="647" w:type="pct"/>
            <w:tcBorders>
              <w:top w:val="single" w:sz="4" w:space="0" w:color="auto"/>
              <w:left w:val="nil"/>
              <w:bottom w:val="single" w:sz="4" w:space="0" w:color="auto"/>
              <w:right w:val="nil"/>
            </w:tcBorders>
            <w:shd w:val="clear" w:color="auto" w:fill="auto"/>
            <w:noWrap/>
            <w:vAlign w:val="bottom"/>
            <w:hideMark/>
          </w:tcPr>
          <w:p w14:paraId="4EE4DF34"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15,909 </w:t>
            </w:r>
          </w:p>
        </w:tc>
        <w:tc>
          <w:tcPr>
            <w:tcW w:w="647" w:type="pct"/>
            <w:tcBorders>
              <w:top w:val="single" w:sz="4" w:space="0" w:color="auto"/>
              <w:left w:val="nil"/>
              <w:bottom w:val="single" w:sz="4" w:space="0" w:color="auto"/>
              <w:right w:val="nil"/>
            </w:tcBorders>
            <w:shd w:val="clear" w:color="auto" w:fill="auto"/>
            <w:noWrap/>
            <w:vAlign w:val="bottom"/>
            <w:hideMark/>
          </w:tcPr>
          <w:p w14:paraId="3D53BC8F"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54,083 </w:t>
            </w:r>
          </w:p>
        </w:tc>
        <w:tc>
          <w:tcPr>
            <w:tcW w:w="647" w:type="pct"/>
            <w:tcBorders>
              <w:top w:val="single" w:sz="4" w:space="0" w:color="auto"/>
              <w:left w:val="nil"/>
              <w:bottom w:val="single" w:sz="4" w:space="0" w:color="auto"/>
              <w:right w:val="nil"/>
            </w:tcBorders>
            <w:shd w:val="clear" w:color="auto" w:fill="auto"/>
            <w:noWrap/>
            <w:vAlign w:val="bottom"/>
            <w:hideMark/>
          </w:tcPr>
          <w:p w14:paraId="50759EA7" w14:textId="77777777" w:rsidR="00BC2BED" w:rsidRPr="00043432" w:rsidRDefault="00BC2BED" w:rsidP="00043432">
            <w:pPr>
              <w:pStyle w:val="ListParagraph"/>
              <w:numPr>
                <w:ilvl w:val="0"/>
                <w:numId w:val="20"/>
              </w:numPr>
              <w:spacing w:after="0"/>
              <w:jc w:val="right"/>
              <w:rPr>
                <w:rFonts w:eastAsia="Times New Roman" w:cs="Arial"/>
                <w:b/>
                <w:bCs/>
                <w:color w:val="auto"/>
                <w:sz w:val="16"/>
                <w:szCs w:val="16"/>
                <w:lang w:eastAsia="en-AU"/>
              </w:rPr>
            </w:pPr>
            <w:r w:rsidRPr="00043432">
              <w:rPr>
                <w:rFonts w:eastAsia="Times New Roman" w:cs="Arial"/>
                <w:b/>
                <w:bCs/>
                <w:color w:val="auto"/>
                <w:sz w:val="16"/>
                <w:szCs w:val="16"/>
                <w:lang w:eastAsia="en-AU"/>
              </w:rPr>
              <w:t xml:space="preserve">103,401 </w:t>
            </w:r>
          </w:p>
        </w:tc>
      </w:tr>
    </w:tbl>
    <w:p w14:paraId="3393FD40" w14:textId="77777777" w:rsidR="0008358A" w:rsidRDefault="0008358A" w:rsidP="0008358A">
      <w:pPr>
        <w:pStyle w:val="ChartandTableFootnote"/>
      </w:pPr>
      <w:r w:rsidRPr="00F00341">
        <w:t>Prepared on Australian Accounting Standards basis.</w:t>
      </w:r>
    </w:p>
    <w:p w14:paraId="4F675E0F" w14:textId="77777777" w:rsidR="0008358A" w:rsidRPr="00851FA1" w:rsidRDefault="0008358A" w:rsidP="00663122">
      <w:pPr>
        <w:pStyle w:val="TableHeading"/>
        <w:spacing w:before="0" w:after="0"/>
        <w:rPr>
          <w:i w:val="0"/>
        </w:rPr>
      </w:pPr>
      <w:r>
        <w:br w:type="page"/>
      </w:r>
      <w:r w:rsidRPr="00851FA1">
        <w:rPr>
          <w:i w:val="0"/>
          <w:sz w:val="20"/>
        </w:rPr>
        <w:lastRenderedPageBreak/>
        <w:t>Table 3.7: Schedule of budgeted income and expenses administered on behalf of Government (for the period ended 30 June)</w:t>
      </w:r>
    </w:p>
    <w:tbl>
      <w:tblPr>
        <w:tblW w:w="5000" w:type="pct"/>
        <w:tblCellMar>
          <w:left w:w="0" w:type="dxa"/>
          <w:right w:w="28" w:type="dxa"/>
        </w:tblCellMar>
        <w:tblLook w:val="04A0" w:firstRow="1" w:lastRow="0" w:firstColumn="1" w:lastColumn="0" w:noHBand="0" w:noVBand="1"/>
      </w:tblPr>
      <w:tblGrid>
        <w:gridCol w:w="3258"/>
        <w:gridCol w:w="891"/>
        <w:gridCol w:w="891"/>
        <w:gridCol w:w="891"/>
        <w:gridCol w:w="891"/>
        <w:gridCol w:w="888"/>
      </w:tblGrid>
      <w:tr w:rsidR="00BC2BED" w:rsidRPr="00CA4948" w14:paraId="168C515F" w14:textId="77777777" w:rsidTr="00BC2BED">
        <w:trPr>
          <w:trHeight w:val="800"/>
        </w:trPr>
        <w:tc>
          <w:tcPr>
            <w:tcW w:w="2112" w:type="pct"/>
            <w:tcBorders>
              <w:top w:val="single" w:sz="4" w:space="0" w:color="auto"/>
              <w:left w:val="nil"/>
              <w:bottom w:val="nil"/>
              <w:right w:val="nil"/>
            </w:tcBorders>
            <w:shd w:val="clear" w:color="auto" w:fill="auto"/>
            <w:noWrap/>
            <w:hideMark/>
          </w:tcPr>
          <w:p w14:paraId="7A2F2B10" w14:textId="48AE331C" w:rsidR="00BC2BED" w:rsidRPr="00043432" w:rsidRDefault="004447D7" w:rsidP="00043432">
            <w:pPr>
              <w:pStyle w:val="ListParagraph"/>
              <w:numPr>
                <w:ilvl w:val="0"/>
                <w:numId w:val="20"/>
              </w:numPr>
              <w:spacing w:after="0"/>
              <w:rPr>
                <w:rFonts w:eastAsia="Times New Roman" w:cs="Arial"/>
                <w:b/>
                <w:bCs/>
                <w:color w:val="auto"/>
                <w:sz w:val="16"/>
                <w:szCs w:val="16"/>
                <w:lang w:eastAsia="en-AU"/>
              </w:rPr>
            </w:pPr>
            <w:r w:rsidRPr="004447D7">
              <w:t xml:space="preserve"> </w:t>
            </w:r>
            <w:r w:rsidR="00BC2BED" w:rsidRPr="00043432">
              <w:rPr>
                <w:rFonts w:eastAsia="Times New Roman" w:cs="Arial"/>
                <w:b/>
                <w:bCs/>
                <w:color w:val="auto"/>
                <w:sz w:val="16"/>
                <w:szCs w:val="16"/>
                <w:lang w:eastAsia="en-AU"/>
              </w:rPr>
              <w:t> </w:t>
            </w:r>
          </w:p>
        </w:tc>
        <w:tc>
          <w:tcPr>
            <w:tcW w:w="578" w:type="pct"/>
            <w:tcBorders>
              <w:top w:val="single" w:sz="4" w:space="0" w:color="auto"/>
              <w:left w:val="nil"/>
              <w:bottom w:val="single" w:sz="4" w:space="0" w:color="auto"/>
              <w:right w:val="nil"/>
            </w:tcBorders>
            <w:shd w:val="clear" w:color="auto" w:fill="auto"/>
            <w:hideMark/>
          </w:tcPr>
          <w:p w14:paraId="7E94053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 Estimated actual</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000000" w:fill="E6E6E6"/>
            <w:hideMark/>
          </w:tcPr>
          <w:p w14:paraId="0F99DBE4"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r w:rsidRPr="00043432">
              <w:rPr>
                <w:rFonts w:eastAsia="Times New Roman" w:cs="Arial"/>
                <w:color w:val="auto"/>
                <w:sz w:val="16"/>
                <w:szCs w:val="16"/>
                <w:lang w:eastAsia="en-AU"/>
              </w:rPr>
              <w:br/>
              <w:t>Budget</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1C956E8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2022-23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2BBD18F1"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2023-24 Forward estimate</w:t>
            </w:r>
            <w:r w:rsidRPr="00043432">
              <w:rPr>
                <w:rFonts w:eastAsia="Times New Roman" w:cs="Arial"/>
                <w:color w:val="auto"/>
                <w:sz w:val="16"/>
                <w:szCs w:val="16"/>
                <w:lang w:eastAsia="en-AU"/>
              </w:rPr>
              <w:br/>
              <w:t>$'000</w:t>
            </w:r>
          </w:p>
        </w:tc>
        <w:tc>
          <w:tcPr>
            <w:tcW w:w="577" w:type="pct"/>
            <w:tcBorders>
              <w:top w:val="single" w:sz="4" w:space="0" w:color="auto"/>
              <w:left w:val="nil"/>
              <w:bottom w:val="single" w:sz="4" w:space="0" w:color="auto"/>
              <w:right w:val="nil"/>
            </w:tcBorders>
            <w:shd w:val="clear" w:color="auto" w:fill="auto"/>
            <w:hideMark/>
          </w:tcPr>
          <w:p w14:paraId="1072935F"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2024-25</w:t>
            </w:r>
            <w:r w:rsidRPr="00043432">
              <w:rPr>
                <w:rFonts w:eastAsia="Times New Roman" w:cs="Arial"/>
                <w:color w:val="auto"/>
                <w:sz w:val="16"/>
                <w:szCs w:val="16"/>
                <w:lang w:eastAsia="en-AU"/>
              </w:rPr>
              <w:br/>
              <w:t>Forward estimate</w:t>
            </w:r>
            <w:r w:rsidRPr="00043432">
              <w:rPr>
                <w:rFonts w:eastAsia="Times New Roman" w:cs="Arial"/>
                <w:color w:val="auto"/>
                <w:sz w:val="16"/>
                <w:szCs w:val="16"/>
                <w:lang w:eastAsia="en-AU"/>
              </w:rPr>
              <w:br/>
              <w:t>$'000</w:t>
            </w:r>
          </w:p>
        </w:tc>
      </w:tr>
      <w:tr w:rsidR="00BC2BED" w:rsidRPr="00CA4948" w14:paraId="0BA6324D" w14:textId="77777777" w:rsidTr="00BC2BED">
        <w:trPr>
          <w:trHeight w:val="225"/>
        </w:trPr>
        <w:tc>
          <w:tcPr>
            <w:tcW w:w="2112" w:type="pct"/>
            <w:tcBorders>
              <w:top w:val="nil"/>
              <w:left w:val="nil"/>
              <w:bottom w:val="nil"/>
              <w:right w:val="nil"/>
            </w:tcBorders>
            <w:shd w:val="clear" w:color="auto" w:fill="auto"/>
            <w:noWrap/>
            <w:vAlign w:val="bottom"/>
            <w:hideMark/>
          </w:tcPr>
          <w:p w14:paraId="201A6349"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EXPENSES</w:t>
            </w:r>
          </w:p>
        </w:tc>
        <w:tc>
          <w:tcPr>
            <w:tcW w:w="578" w:type="pct"/>
            <w:tcBorders>
              <w:top w:val="nil"/>
              <w:left w:val="nil"/>
              <w:bottom w:val="nil"/>
              <w:right w:val="nil"/>
            </w:tcBorders>
            <w:shd w:val="clear" w:color="auto" w:fill="auto"/>
            <w:noWrap/>
            <w:vAlign w:val="bottom"/>
            <w:hideMark/>
          </w:tcPr>
          <w:p w14:paraId="2F5F9CB8"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020C1757"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nil"/>
              <w:left w:val="nil"/>
              <w:bottom w:val="nil"/>
              <w:right w:val="nil"/>
            </w:tcBorders>
            <w:shd w:val="clear" w:color="auto" w:fill="auto"/>
            <w:noWrap/>
            <w:vAlign w:val="bottom"/>
            <w:hideMark/>
          </w:tcPr>
          <w:p w14:paraId="24E80593"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742AAF3E"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7" w:type="pct"/>
            <w:tcBorders>
              <w:top w:val="nil"/>
              <w:left w:val="nil"/>
              <w:bottom w:val="nil"/>
              <w:right w:val="nil"/>
            </w:tcBorders>
            <w:shd w:val="clear" w:color="auto" w:fill="auto"/>
            <w:noWrap/>
            <w:vAlign w:val="bottom"/>
            <w:hideMark/>
          </w:tcPr>
          <w:p w14:paraId="2491E260"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BC2BED" w:rsidRPr="00CA4948" w14:paraId="4299A90A" w14:textId="77777777" w:rsidTr="00BC2BED">
        <w:trPr>
          <w:trHeight w:val="225"/>
        </w:trPr>
        <w:tc>
          <w:tcPr>
            <w:tcW w:w="2112" w:type="pct"/>
            <w:tcBorders>
              <w:top w:val="nil"/>
              <w:left w:val="nil"/>
              <w:bottom w:val="nil"/>
              <w:right w:val="nil"/>
            </w:tcBorders>
            <w:shd w:val="clear" w:color="auto" w:fill="auto"/>
            <w:noWrap/>
            <w:vAlign w:val="bottom"/>
            <w:hideMark/>
          </w:tcPr>
          <w:p w14:paraId="01E47B02"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Finance costs</w:t>
            </w:r>
          </w:p>
        </w:tc>
        <w:tc>
          <w:tcPr>
            <w:tcW w:w="578" w:type="pct"/>
            <w:tcBorders>
              <w:top w:val="nil"/>
              <w:left w:val="nil"/>
              <w:bottom w:val="nil"/>
              <w:right w:val="nil"/>
            </w:tcBorders>
            <w:shd w:val="clear" w:color="auto" w:fill="auto"/>
            <w:noWrap/>
            <w:vAlign w:val="center"/>
            <w:hideMark/>
          </w:tcPr>
          <w:p w14:paraId="354FB6B2" w14:textId="77FA9A1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000000" w:fill="E6E6E6"/>
            <w:noWrap/>
            <w:vAlign w:val="center"/>
            <w:hideMark/>
          </w:tcPr>
          <w:p w14:paraId="4E20A2A2" w14:textId="7E6594BA"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auto" w:fill="auto"/>
            <w:noWrap/>
            <w:vAlign w:val="center"/>
            <w:hideMark/>
          </w:tcPr>
          <w:p w14:paraId="550BF4C5" w14:textId="324DD2D0"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auto" w:fill="auto"/>
            <w:noWrap/>
            <w:vAlign w:val="center"/>
            <w:hideMark/>
          </w:tcPr>
          <w:p w14:paraId="46BA1430" w14:textId="227DA54B"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7" w:type="pct"/>
            <w:tcBorders>
              <w:top w:val="nil"/>
              <w:left w:val="nil"/>
              <w:bottom w:val="nil"/>
              <w:right w:val="nil"/>
            </w:tcBorders>
            <w:shd w:val="clear" w:color="auto" w:fill="auto"/>
            <w:noWrap/>
            <w:vAlign w:val="center"/>
            <w:hideMark/>
          </w:tcPr>
          <w:p w14:paraId="6BA5617B" w14:textId="748A7583"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r>
      <w:tr w:rsidR="00BC2BED" w:rsidRPr="00CA4948" w14:paraId="3C643CE3" w14:textId="77777777" w:rsidTr="00BC2BED">
        <w:trPr>
          <w:trHeight w:val="225"/>
        </w:trPr>
        <w:tc>
          <w:tcPr>
            <w:tcW w:w="2112" w:type="pct"/>
            <w:tcBorders>
              <w:top w:val="nil"/>
              <w:left w:val="nil"/>
              <w:bottom w:val="nil"/>
              <w:right w:val="nil"/>
            </w:tcBorders>
            <w:shd w:val="clear" w:color="auto" w:fill="auto"/>
            <w:noWrap/>
            <w:vAlign w:val="bottom"/>
            <w:hideMark/>
          </w:tcPr>
          <w:p w14:paraId="1BF6BA21"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Risk equalisation distributions</w:t>
            </w:r>
          </w:p>
        </w:tc>
        <w:tc>
          <w:tcPr>
            <w:tcW w:w="578" w:type="pct"/>
            <w:tcBorders>
              <w:top w:val="nil"/>
              <w:left w:val="nil"/>
              <w:bottom w:val="nil"/>
              <w:right w:val="nil"/>
            </w:tcBorders>
            <w:shd w:val="clear" w:color="auto" w:fill="auto"/>
            <w:noWrap/>
            <w:vAlign w:val="center"/>
            <w:hideMark/>
          </w:tcPr>
          <w:p w14:paraId="634F4121" w14:textId="507BA915"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000000" w:fill="E6E6E6"/>
            <w:noWrap/>
            <w:vAlign w:val="center"/>
            <w:hideMark/>
          </w:tcPr>
          <w:p w14:paraId="72827137" w14:textId="62632FC0"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auto" w:fill="auto"/>
            <w:noWrap/>
            <w:vAlign w:val="center"/>
            <w:hideMark/>
          </w:tcPr>
          <w:p w14:paraId="113E5035" w14:textId="318BDB3C"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auto" w:fill="auto"/>
            <w:noWrap/>
            <w:vAlign w:val="center"/>
            <w:hideMark/>
          </w:tcPr>
          <w:p w14:paraId="1E97B33C" w14:textId="3BFDD294"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7" w:type="pct"/>
            <w:tcBorders>
              <w:top w:val="nil"/>
              <w:left w:val="nil"/>
              <w:bottom w:val="nil"/>
              <w:right w:val="nil"/>
            </w:tcBorders>
            <w:shd w:val="clear" w:color="auto" w:fill="auto"/>
            <w:noWrap/>
            <w:vAlign w:val="center"/>
            <w:hideMark/>
          </w:tcPr>
          <w:p w14:paraId="3CC3BE31" w14:textId="5497CBDC"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r>
      <w:tr w:rsidR="00BC2BED" w:rsidRPr="00CA4948" w14:paraId="5E3E79D8" w14:textId="77777777" w:rsidTr="00BC2BED">
        <w:trPr>
          <w:trHeight w:val="420"/>
        </w:trPr>
        <w:tc>
          <w:tcPr>
            <w:tcW w:w="2112" w:type="pct"/>
            <w:tcBorders>
              <w:top w:val="nil"/>
              <w:left w:val="nil"/>
              <w:bottom w:val="nil"/>
              <w:right w:val="nil"/>
            </w:tcBorders>
            <w:shd w:val="clear" w:color="auto" w:fill="auto"/>
            <w:vAlign w:val="bottom"/>
            <w:hideMark/>
          </w:tcPr>
          <w:p w14:paraId="6C809732"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expenses administered on</w:t>
            </w:r>
            <w:r w:rsidRPr="00043432">
              <w:rPr>
                <w:rFonts w:eastAsia="Times New Roman" w:cs="Arial"/>
                <w:b/>
                <w:bCs/>
                <w:sz w:val="16"/>
                <w:szCs w:val="16"/>
                <w:lang w:eastAsia="en-AU"/>
              </w:rPr>
              <w:br/>
              <w:t xml:space="preserve">  behalf of Government</w:t>
            </w:r>
          </w:p>
        </w:tc>
        <w:tc>
          <w:tcPr>
            <w:tcW w:w="578" w:type="pct"/>
            <w:tcBorders>
              <w:top w:val="single" w:sz="4" w:space="0" w:color="auto"/>
              <w:left w:val="nil"/>
              <w:bottom w:val="single" w:sz="4" w:space="0" w:color="auto"/>
              <w:right w:val="nil"/>
            </w:tcBorders>
            <w:shd w:val="clear" w:color="auto" w:fill="auto"/>
            <w:noWrap/>
            <w:vAlign w:val="bottom"/>
            <w:hideMark/>
          </w:tcPr>
          <w:p w14:paraId="1C3544FD" w14:textId="3CBF2E06"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450,055 </w:t>
            </w:r>
          </w:p>
        </w:tc>
        <w:tc>
          <w:tcPr>
            <w:tcW w:w="578" w:type="pct"/>
            <w:tcBorders>
              <w:top w:val="single" w:sz="4" w:space="0" w:color="auto"/>
              <w:left w:val="nil"/>
              <w:bottom w:val="single" w:sz="4" w:space="0" w:color="auto"/>
              <w:right w:val="nil"/>
            </w:tcBorders>
            <w:shd w:val="clear" w:color="000000" w:fill="E6E6E6"/>
            <w:noWrap/>
            <w:vAlign w:val="bottom"/>
            <w:hideMark/>
          </w:tcPr>
          <w:p w14:paraId="42A46012" w14:textId="22D12D2A"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450,055 </w:t>
            </w:r>
          </w:p>
        </w:tc>
        <w:tc>
          <w:tcPr>
            <w:tcW w:w="578" w:type="pct"/>
            <w:tcBorders>
              <w:top w:val="single" w:sz="4" w:space="0" w:color="auto"/>
              <w:left w:val="nil"/>
              <w:bottom w:val="single" w:sz="4" w:space="0" w:color="auto"/>
              <w:right w:val="nil"/>
            </w:tcBorders>
            <w:shd w:val="clear" w:color="auto" w:fill="auto"/>
            <w:noWrap/>
            <w:vAlign w:val="bottom"/>
            <w:hideMark/>
          </w:tcPr>
          <w:p w14:paraId="37067B4A" w14:textId="1A89155A"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450,055 </w:t>
            </w:r>
          </w:p>
        </w:tc>
        <w:tc>
          <w:tcPr>
            <w:tcW w:w="578" w:type="pct"/>
            <w:tcBorders>
              <w:top w:val="single" w:sz="4" w:space="0" w:color="auto"/>
              <w:left w:val="nil"/>
              <w:bottom w:val="single" w:sz="4" w:space="0" w:color="auto"/>
              <w:right w:val="nil"/>
            </w:tcBorders>
            <w:shd w:val="clear" w:color="auto" w:fill="auto"/>
            <w:noWrap/>
            <w:vAlign w:val="bottom"/>
            <w:hideMark/>
          </w:tcPr>
          <w:p w14:paraId="0EB49D2D" w14:textId="0BBC97F4"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450,055 </w:t>
            </w:r>
          </w:p>
        </w:tc>
        <w:tc>
          <w:tcPr>
            <w:tcW w:w="577" w:type="pct"/>
            <w:tcBorders>
              <w:top w:val="single" w:sz="4" w:space="0" w:color="auto"/>
              <w:left w:val="nil"/>
              <w:bottom w:val="single" w:sz="4" w:space="0" w:color="auto"/>
              <w:right w:val="nil"/>
            </w:tcBorders>
            <w:shd w:val="clear" w:color="auto" w:fill="auto"/>
            <w:noWrap/>
            <w:vAlign w:val="bottom"/>
            <w:hideMark/>
          </w:tcPr>
          <w:p w14:paraId="41FE9247" w14:textId="67F88F6E"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450,055 </w:t>
            </w:r>
          </w:p>
        </w:tc>
      </w:tr>
      <w:tr w:rsidR="00BC2BED" w:rsidRPr="00CA4948" w14:paraId="30ADC196" w14:textId="77777777" w:rsidTr="00BC2BED">
        <w:trPr>
          <w:trHeight w:val="225"/>
        </w:trPr>
        <w:tc>
          <w:tcPr>
            <w:tcW w:w="2112" w:type="pct"/>
            <w:tcBorders>
              <w:top w:val="nil"/>
              <w:left w:val="nil"/>
              <w:bottom w:val="nil"/>
              <w:right w:val="nil"/>
            </w:tcBorders>
            <w:shd w:val="clear" w:color="auto" w:fill="auto"/>
            <w:noWrap/>
            <w:vAlign w:val="bottom"/>
            <w:hideMark/>
          </w:tcPr>
          <w:p w14:paraId="1DD53B52"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LESS:</w:t>
            </w:r>
          </w:p>
        </w:tc>
        <w:tc>
          <w:tcPr>
            <w:tcW w:w="578" w:type="pct"/>
            <w:tcBorders>
              <w:top w:val="nil"/>
              <w:left w:val="nil"/>
              <w:bottom w:val="nil"/>
              <w:right w:val="nil"/>
            </w:tcBorders>
            <w:shd w:val="clear" w:color="auto" w:fill="auto"/>
            <w:noWrap/>
            <w:vAlign w:val="center"/>
            <w:hideMark/>
          </w:tcPr>
          <w:p w14:paraId="18518931"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center"/>
            <w:hideMark/>
          </w:tcPr>
          <w:p w14:paraId="0B08CC75" w14:textId="27574DAD"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center"/>
            <w:hideMark/>
          </w:tcPr>
          <w:p w14:paraId="6B986C0F"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center"/>
            <w:hideMark/>
          </w:tcPr>
          <w:p w14:paraId="51766732"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7" w:type="pct"/>
            <w:tcBorders>
              <w:top w:val="nil"/>
              <w:left w:val="nil"/>
              <w:bottom w:val="nil"/>
              <w:right w:val="nil"/>
            </w:tcBorders>
            <w:shd w:val="clear" w:color="auto" w:fill="auto"/>
            <w:noWrap/>
            <w:vAlign w:val="center"/>
            <w:hideMark/>
          </w:tcPr>
          <w:p w14:paraId="4661CACC"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BC2BED" w:rsidRPr="00CA4948" w14:paraId="7E259B06" w14:textId="77777777" w:rsidTr="00BC2BED">
        <w:trPr>
          <w:trHeight w:val="225"/>
        </w:trPr>
        <w:tc>
          <w:tcPr>
            <w:tcW w:w="2112" w:type="pct"/>
            <w:tcBorders>
              <w:top w:val="nil"/>
              <w:left w:val="nil"/>
              <w:bottom w:val="nil"/>
              <w:right w:val="nil"/>
            </w:tcBorders>
            <w:shd w:val="clear" w:color="auto" w:fill="auto"/>
            <w:noWrap/>
            <w:vAlign w:val="bottom"/>
            <w:hideMark/>
          </w:tcPr>
          <w:p w14:paraId="14E86A4A"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OWN-SOURCE INCOME</w:t>
            </w:r>
          </w:p>
        </w:tc>
        <w:tc>
          <w:tcPr>
            <w:tcW w:w="578" w:type="pct"/>
            <w:tcBorders>
              <w:top w:val="nil"/>
              <w:left w:val="nil"/>
              <w:bottom w:val="nil"/>
              <w:right w:val="nil"/>
            </w:tcBorders>
            <w:shd w:val="clear" w:color="auto" w:fill="auto"/>
            <w:noWrap/>
            <w:vAlign w:val="center"/>
            <w:hideMark/>
          </w:tcPr>
          <w:p w14:paraId="334267B5"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center"/>
            <w:hideMark/>
          </w:tcPr>
          <w:p w14:paraId="159167E5" w14:textId="024528CA"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center"/>
            <w:hideMark/>
          </w:tcPr>
          <w:p w14:paraId="064B6734"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center"/>
            <w:hideMark/>
          </w:tcPr>
          <w:p w14:paraId="15C2F369"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7" w:type="pct"/>
            <w:tcBorders>
              <w:top w:val="nil"/>
              <w:left w:val="nil"/>
              <w:bottom w:val="nil"/>
              <w:right w:val="nil"/>
            </w:tcBorders>
            <w:shd w:val="clear" w:color="auto" w:fill="auto"/>
            <w:noWrap/>
            <w:vAlign w:val="center"/>
            <w:hideMark/>
          </w:tcPr>
          <w:p w14:paraId="7300BB7D"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BC2BED" w:rsidRPr="00CA4948" w14:paraId="01CB2CA4" w14:textId="77777777" w:rsidTr="00BC2BED">
        <w:trPr>
          <w:trHeight w:val="225"/>
        </w:trPr>
        <w:tc>
          <w:tcPr>
            <w:tcW w:w="2112" w:type="pct"/>
            <w:tcBorders>
              <w:top w:val="nil"/>
              <w:left w:val="nil"/>
              <w:bottom w:val="nil"/>
              <w:right w:val="nil"/>
            </w:tcBorders>
            <w:shd w:val="clear" w:color="auto" w:fill="auto"/>
            <w:noWrap/>
            <w:vAlign w:val="bottom"/>
            <w:hideMark/>
          </w:tcPr>
          <w:p w14:paraId="03B935B0"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Own-source revenue</w:t>
            </w:r>
          </w:p>
        </w:tc>
        <w:tc>
          <w:tcPr>
            <w:tcW w:w="578" w:type="pct"/>
            <w:tcBorders>
              <w:top w:val="nil"/>
              <w:left w:val="nil"/>
              <w:bottom w:val="nil"/>
              <w:right w:val="nil"/>
            </w:tcBorders>
            <w:shd w:val="clear" w:color="auto" w:fill="auto"/>
            <w:noWrap/>
            <w:vAlign w:val="center"/>
            <w:hideMark/>
          </w:tcPr>
          <w:p w14:paraId="734D41D4"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center"/>
            <w:hideMark/>
          </w:tcPr>
          <w:p w14:paraId="75E35840" w14:textId="07F89A6A"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center"/>
            <w:hideMark/>
          </w:tcPr>
          <w:p w14:paraId="2DBD815E"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center"/>
            <w:hideMark/>
          </w:tcPr>
          <w:p w14:paraId="5A18BF33"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7" w:type="pct"/>
            <w:tcBorders>
              <w:top w:val="nil"/>
              <w:left w:val="nil"/>
              <w:bottom w:val="nil"/>
              <w:right w:val="nil"/>
            </w:tcBorders>
            <w:shd w:val="clear" w:color="auto" w:fill="auto"/>
            <w:noWrap/>
            <w:vAlign w:val="center"/>
            <w:hideMark/>
          </w:tcPr>
          <w:p w14:paraId="026BEF62"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BC2BED" w:rsidRPr="00CA4948" w14:paraId="6E753C64" w14:textId="77777777" w:rsidTr="00BC2BED">
        <w:trPr>
          <w:trHeight w:val="225"/>
        </w:trPr>
        <w:tc>
          <w:tcPr>
            <w:tcW w:w="2112" w:type="pct"/>
            <w:tcBorders>
              <w:top w:val="nil"/>
              <w:left w:val="nil"/>
              <w:bottom w:val="nil"/>
              <w:right w:val="nil"/>
            </w:tcBorders>
            <w:shd w:val="clear" w:color="auto" w:fill="auto"/>
            <w:noWrap/>
            <w:vAlign w:val="bottom"/>
            <w:hideMark/>
          </w:tcPr>
          <w:p w14:paraId="6A7C3F3C"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Non-taxation revenue</w:t>
            </w:r>
          </w:p>
        </w:tc>
        <w:tc>
          <w:tcPr>
            <w:tcW w:w="578" w:type="pct"/>
            <w:tcBorders>
              <w:top w:val="nil"/>
              <w:left w:val="nil"/>
              <w:bottom w:val="nil"/>
              <w:right w:val="nil"/>
            </w:tcBorders>
            <w:shd w:val="clear" w:color="auto" w:fill="auto"/>
            <w:noWrap/>
            <w:vAlign w:val="center"/>
            <w:hideMark/>
          </w:tcPr>
          <w:p w14:paraId="3B92BF5A"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center"/>
            <w:hideMark/>
          </w:tcPr>
          <w:p w14:paraId="07C3BABD" w14:textId="62035DD5"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w:t>
            </w:r>
          </w:p>
        </w:tc>
        <w:tc>
          <w:tcPr>
            <w:tcW w:w="578" w:type="pct"/>
            <w:tcBorders>
              <w:top w:val="nil"/>
              <w:left w:val="nil"/>
              <w:bottom w:val="nil"/>
              <w:right w:val="nil"/>
            </w:tcBorders>
            <w:shd w:val="clear" w:color="auto" w:fill="auto"/>
            <w:noWrap/>
            <w:vAlign w:val="center"/>
            <w:hideMark/>
          </w:tcPr>
          <w:p w14:paraId="7ADF8C5E"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p>
        </w:tc>
        <w:tc>
          <w:tcPr>
            <w:tcW w:w="578" w:type="pct"/>
            <w:tcBorders>
              <w:top w:val="nil"/>
              <w:left w:val="nil"/>
              <w:bottom w:val="nil"/>
              <w:right w:val="nil"/>
            </w:tcBorders>
            <w:shd w:val="clear" w:color="auto" w:fill="auto"/>
            <w:noWrap/>
            <w:vAlign w:val="center"/>
            <w:hideMark/>
          </w:tcPr>
          <w:p w14:paraId="6D18FCB0"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c>
          <w:tcPr>
            <w:tcW w:w="577" w:type="pct"/>
            <w:tcBorders>
              <w:top w:val="nil"/>
              <w:left w:val="nil"/>
              <w:bottom w:val="nil"/>
              <w:right w:val="nil"/>
            </w:tcBorders>
            <w:shd w:val="clear" w:color="auto" w:fill="auto"/>
            <w:noWrap/>
            <w:vAlign w:val="center"/>
            <w:hideMark/>
          </w:tcPr>
          <w:p w14:paraId="72A2E698" w14:textId="77777777" w:rsidR="00BC2BED" w:rsidRPr="00043432" w:rsidRDefault="00BC2BED" w:rsidP="00043432">
            <w:pPr>
              <w:pStyle w:val="ListParagraph"/>
              <w:numPr>
                <w:ilvl w:val="0"/>
                <w:numId w:val="20"/>
              </w:numPr>
              <w:spacing w:after="0"/>
              <w:jc w:val="right"/>
              <w:rPr>
                <w:rFonts w:ascii="Times New Roman" w:eastAsia="Times New Roman" w:hAnsi="Times New Roman" w:cs="Times New Roman"/>
                <w:color w:val="auto"/>
                <w:sz w:val="20"/>
                <w:szCs w:val="20"/>
                <w:lang w:eastAsia="en-AU"/>
              </w:rPr>
            </w:pPr>
          </w:p>
        </w:tc>
      </w:tr>
      <w:tr w:rsidR="00BC2BED" w:rsidRPr="00CA4948" w14:paraId="75F3EA02" w14:textId="77777777" w:rsidTr="00BC2BED">
        <w:trPr>
          <w:trHeight w:val="465"/>
        </w:trPr>
        <w:tc>
          <w:tcPr>
            <w:tcW w:w="2112" w:type="pct"/>
            <w:tcBorders>
              <w:top w:val="nil"/>
              <w:left w:val="nil"/>
              <w:bottom w:val="nil"/>
              <w:right w:val="nil"/>
            </w:tcBorders>
            <w:shd w:val="clear" w:color="auto" w:fill="auto"/>
            <w:vAlign w:val="bottom"/>
            <w:hideMark/>
          </w:tcPr>
          <w:p w14:paraId="229ACD2E" w14:textId="77777777" w:rsidR="00BC2BED" w:rsidRPr="00043432" w:rsidRDefault="00BC2BED" w:rsidP="00043432">
            <w:pPr>
              <w:pStyle w:val="ListParagraph"/>
              <w:numPr>
                <w:ilvl w:val="0"/>
                <w:numId w:val="20"/>
              </w:numPr>
              <w:spacing w:after="0"/>
              <w:jc w:val="left"/>
              <w:rPr>
                <w:rFonts w:eastAsia="Times New Roman" w:cs="Arial"/>
                <w:i/>
                <w:iCs/>
                <w:sz w:val="16"/>
                <w:szCs w:val="16"/>
                <w:lang w:eastAsia="en-AU"/>
              </w:rPr>
            </w:pPr>
            <w:r w:rsidRPr="00043432">
              <w:rPr>
                <w:rFonts w:eastAsia="Times New Roman" w:cs="Arial"/>
                <w:i/>
                <w:iCs/>
                <w:sz w:val="16"/>
                <w:szCs w:val="16"/>
                <w:lang w:eastAsia="en-AU"/>
              </w:rPr>
              <w:t xml:space="preserve">Financial Institutions Supervisory Levies </w:t>
            </w:r>
            <w:r w:rsidRPr="00043432">
              <w:rPr>
                <w:rFonts w:eastAsia="Times New Roman" w:cs="Arial"/>
                <w:i/>
                <w:iCs/>
                <w:sz w:val="16"/>
                <w:szCs w:val="16"/>
                <w:lang w:eastAsia="en-AU"/>
              </w:rPr>
              <w:br/>
              <w:t xml:space="preserve">     Collection Act 1998</w:t>
            </w:r>
          </w:p>
        </w:tc>
        <w:tc>
          <w:tcPr>
            <w:tcW w:w="578" w:type="pct"/>
            <w:tcBorders>
              <w:top w:val="nil"/>
              <w:left w:val="nil"/>
              <w:bottom w:val="nil"/>
              <w:right w:val="nil"/>
            </w:tcBorders>
            <w:shd w:val="clear" w:color="auto" w:fill="auto"/>
            <w:noWrap/>
            <w:vAlign w:val="center"/>
            <w:hideMark/>
          </w:tcPr>
          <w:p w14:paraId="27BE1323" w14:textId="76450516"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222,980 </w:t>
            </w:r>
          </w:p>
        </w:tc>
        <w:tc>
          <w:tcPr>
            <w:tcW w:w="578" w:type="pct"/>
            <w:tcBorders>
              <w:top w:val="nil"/>
              <w:left w:val="nil"/>
              <w:bottom w:val="nil"/>
              <w:right w:val="nil"/>
            </w:tcBorders>
            <w:shd w:val="clear" w:color="000000" w:fill="E6E6E6"/>
            <w:noWrap/>
            <w:vAlign w:val="center"/>
            <w:hideMark/>
          </w:tcPr>
          <w:p w14:paraId="41F0ECBF" w14:textId="652D0FE0"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262,941 </w:t>
            </w:r>
          </w:p>
        </w:tc>
        <w:tc>
          <w:tcPr>
            <w:tcW w:w="578" w:type="pct"/>
            <w:tcBorders>
              <w:top w:val="nil"/>
              <w:left w:val="nil"/>
              <w:bottom w:val="nil"/>
              <w:right w:val="nil"/>
            </w:tcBorders>
            <w:shd w:val="clear" w:color="auto" w:fill="auto"/>
            <w:noWrap/>
            <w:vAlign w:val="center"/>
            <w:hideMark/>
          </w:tcPr>
          <w:p w14:paraId="52B73CB8" w14:textId="46613D78"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234,508 </w:t>
            </w:r>
          </w:p>
        </w:tc>
        <w:tc>
          <w:tcPr>
            <w:tcW w:w="578" w:type="pct"/>
            <w:tcBorders>
              <w:top w:val="nil"/>
              <w:left w:val="nil"/>
              <w:bottom w:val="nil"/>
              <w:right w:val="nil"/>
            </w:tcBorders>
            <w:shd w:val="clear" w:color="auto" w:fill="auto"/>
            <w:noWrap/>
            <w:vAlign w:val="center"/>
            <w:hideMark/>
          </w:tcPr>
          <w:p w14:paraId="5AA136CF" w14:textId="17BE2098"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235,521 </w:t>
            </w:r>
          </w:p>
        </w:tc>
        <w:tc>
          <w:tcPr>
            <w:tcW w:w="577" w:type="pct"/>
            <w:tcBorders>
              <w:top w:val="nil"/>
              <w:left w:val="nil"/>
              <w:bottom w:val="nil"/>
              <w:right w:val="nil"/>
            </w:tcBorders>
            <w:shd w:val="clear" w:color="auto" w:fill="auto"/>
            <w:noWrap/>
            <w:vAlign w:val="center"/>
            <w:hideMark/>
          </w:tcPr>
          <w:p w14:paraId="75C0867A" w14:textId="1FBCF16E"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233,765 </w:t>
            </w:r>
          </w:p>
        </w:tc>
      </w:tr>
      <w:tr w:rsidR="00BC2BED" w:rsidRPr="00CA4948" w14:paraId="5A333525" w14:textId="77777777" w:rsidTr="00BC2BED">
        <w:trPr>
          <w:trHeight w:val="225"/>
        </w:trPr>
        <w:tc>
          <w:tcPr>
            <w:tcW w:w="2112" w:type="pct"/>
            <w:tcBorders>
              <w:top w:val="nil"/>
              <w:left w:val="nil"/>
              <w:bottom w:val="nil"/>
              <w:right w:val="nil"/>
            </w:tcBorders>
            <w:shd w:val="clear" w:color="auto" w:fill="auto"/>
            <w:noWrap/>
            <w:vAlign w:val="bottom"/>
            <w:hideMark/>
          </w:tcPr>
          <w:p w14:paraId="296539F3"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Interest</w:t>
            </w:r>
          </w:p>
        </w:tc>
        <w:tc>
          <w:tcPr>
            <w:tcW w:w="578" w:type="pct"/>
            <w:tcBorders>
              <w:top w:val="nil"/>
              <w:left w:val="nil"/>
              <w:bottom w:val="nil"/>
              <w:right w:val="nil"/>
            </w:tcBorders>
            <w:shd w:val="clear" w:color="auto" w:fill="auto"/>
            <w:noWrap/>
            <w:vAlign w:val="center"/>
            <w:hideMark/>
          </w:tcPr>
          <w:p w14:paraId="2B6CF66C" w14:textId="03C9916A"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000000" w:fill="E6E6E6"/>
            <w:noWrap/>
            <w:vAlign w:val="center"/>
            <w:hideMark/>
          </w:tcPr>
          <w:p w14:paraId="0E364A3B" w14:textId="28A12AA3"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auto" w:fill="auto"/>
            <w:noWrap/>
            <w:vAlign w:val="center"/>
            <w:hideMark/>
          </w:tcPr>
          <w:p w14:paraId="53CA675D" w14:textId="3750FF89"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8" w:type="pct"/>
            <w:tcBorders>
              <w:top w:val="nil"/>
              <w:left w:val="nil"/>
              <w:bottom w:val="nil"/>
              <w:right w:val="nil"/>
            </w:tcBorders>
            <w:shd w:val="clear" w:color="auto" w:fill="auto"/>
            <w:noWrap/>
            <w:vAlign w:val="center"/>
            <w:hideMark/>
          </w:tcPr>
          <w:p w14:paraId="16EC41E4" w14:textId="670FA022"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c>
          <w:tcPr>
            <w:tcW w:w="577" w:type="pct"/>
            <w:tcBorders>
              <w:top w:val="nil"/>
              <w:left w:val="nil"/>
              <w:bottom w:val="nil"/>
              <w:right w:val="nil"/>
            </w:tcBorders>
            <w:shd w:val="clear" w:color="auto" w:fill="auto"/>
            <w:noWrap/>
            <w:vAlign w:val="center"/>
            <w:hideMark/>
          </w:tcPr>
          <w:p w14:paraId="00A878E9" w14:textId="73B23C61"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55 </w:t>
            </w:r>
          </w:p>
        </w:tc>
      </w:tr>
      <w:tr w:rsidR="00BC2BED" w:rsidRPr="00CA4948" w14:paraId="13BCB34E" w14:textId="77777777" w:rsidTr="00BC2BED">
        <w:trPr>
          <w:trHeight w:val="225"/>
        </w:trPr>
        <w:tc>
          <w:tcPr>
            <w:tcW w:w="2112" w:type="pct"/>
            <w:tcBorders>
              <w:top w:val="nil"/>
              <w:left w:val="nil"/>
              <w:bottom w:val="nil"/>
              <w:right w:val="nil"/>
            </w:tcBorders>
            <w:shd w:val="clear" w:color="auto" w:fill="auto"/>
            <w:noWrap/>
            <w:vAlign w:val="bottom"/>
            <w:hideMark/>
          </w:tcPr>
          <w:p w14:paraId="798AB69D"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Risk equalisation receipts</w:t>
            </w:r>
          </w:p>
        </w:tc>
        <w:tc>
          <w:tcPr>
            <w:tcW w:w="578" w:type="pct"/>
            <w:tcBorders>
              <w:top w:val="nil"/>
              <w:left w:val="nil"/>
              <w:bottom w:val="nil"/>
              <w:right w:val="nil"/>
            </w:tcBorders>
            <w:shd w:val="clear" w:color="auto" w:fill="auto"/>
            <w:noWrap/>
            <w:vAlign w:val="center"/>
            <w:hideMark/>
          </w:tcPr>
          <w:p w14:paraId="598C9919" w14:textId="373F5503"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000000" w:fill="E6E6E6"/>
            <w:noWrap/>
            <w:vAlign w:val="center"/>
            <w:hideMark/>
          </w:tcPr>
          <w:p w14:paraId="01DA3BDD" w14:textId="741B8866"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auto" w:fill="auto"/>
            <w:noWrap/>
            <w:vAlign w:val="center"/>
            <w:hideMark/>
          </w:tcPr>
          <w:p w14:paraId="2C37305A" w14:textId="1C30630A"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8" w:type="pct"/>
            <w:tcBorders>
              <w:top w:val="nil"/>
              <w:left w:val="nil"/>
              <w:bottom w:val="nil"/>
              <w:right w:val="nil"/>
            </w:tcBorders>
            <w:shd w:val="clear" w:color="auto" w:fill="auto"/>
            <w:noWrap/>
            <w:vAlign w:val="center"/>
            <w:hideMark/>
          </w:tcPr>
          <w:p w14:paraId="5C46C6D6" w14:textId="44A95148"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c>
          <w:tcPr>
            <w:tcW w:w="577" w:type="pct"/>
            <w:tcBorders>
              <w:top w:val="nil"/>
              <w:left w:val="nil"/>
              <w:bottom w:val="nil"/>
              <w:right w:val="nil"/>
            </w:tcBorders>
            <w:shd w:val="clear" w:color="auto" w:fill="auto"/>
            <w:noWrap/>
            <w:vAlign w:val="center"/>
            <w:hideMark/>
          </w:tcPr>
          <w:p w14:paraId="2246DDEE" w14:textId="4D31BE63"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cs="Arial"/>
                <w:sz w:val="16"/>
                <w:szCs w:val="16"/>
              </w:rPr>
              <w:t xml:space="preserve">450,000 </w:t>
            </w:r>
          </w:p>
        </w:tc>
      </w:tr>
      <w:tr w:rsidR="00BC2BED" w:rsidRPr="00CA4948" w14:paraId="7C54B39B" w14:textId="77777777" w:rsidTr="00BC2BED">
        <w:trPr>
          <w:trHeight w:val="225"/>
        </w:trPr>
        <w:tc>
          <w:tcPr>
            <w:tcW w:w="2112" w:type="pct"/>
            <w:tcBorders>
              <w:top w:val="nil"/>
              <w:left w:val="nil"/>
              <w:bottom w:val="nil"/>
              <w:right w:val="nil"/>
            </w:tcBorders>
            <w:shd w:val="clear" w:color="auto" w:fill="auto"/>
            <w:noWrap/>
            <w:vAlign w:val="bottom"/>
            <w:hideMark/>
          </w:tcPr>
          <w:p w14:paraId="49376185" w14:textId="77777777" w:rsidR="00BC2BED" w:rsidRPr="00043432" w:rsidRDefault="00BC2BED"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non-taxation revenue</w:t>
            </w:r>
          </w:p>
        </w:tc>
        <w:tc>
          <w:tcPr>
            <w:tcW w:w="578" w:type="pct"/>
            <w:tcBorders>
              <w:top w:val="single" w:sz="4" w:space="0" w:color="auto"/>
              <w:left w:val="nil"/>
              <w:bottom w:val="single" w:sz="4" w:space="0" w:color="auto"/>
              <w:right w:val="nil"/>
            </w:tcBorders>
            <w:shd w:val="clear" w:color="auto" w:fill="auto"/>
            <w:noWrap/>
            <w:vAlign w:val="center"/>
            <w:hideMark/>
          </w:tcPr>
          <w:p w14:paraId="6CA50F45" w14:textId="27BF0F0D"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673,035 </w:t>
            </w:r>
          </w:p>
        </w:tc>
        <w:tc>
          <w:tcPr>
            <w:tcW w:w="578" w:type="pct"/>
            <w:tcBorders>
              <w:top w:val="single" w:sz="4" w:space="0" w:color="auto"/>
              <w:left w:val="nil"/>
              <w:bottom w:val="single" w:sz="4" w:space="0" w:color="auto"/>
              <w:right w:val="nil"/>
            </w:tcBorders>
            <w:shd w:val="clear" w:color="000000" w:fill="E6E6E6"/>
            <w:noWrap/>
            <w:vAlign w:val="center"/>
            <w:hideMark/>
          </w:tcPr>
          <w:p w14:paraId="1347AFBF" w14:textId="1592AC7B"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712,996 </w:t>
            </w:r>
          </w:p>
        </w:tc>
        <w:tc>
          <w:tcPr>
            <w:tcW w:w="578" w:type="pct"/>
            <w:tcBorders>
              <w:top w:val="single" w:sz="4" w:space="0" w:color="auto"/>
              <w:left w:val="nil"/>
              <w:bottom w:val="single" w:sz="4" w:space="0" w:color="auto"/>
              <w:right w:val="nil"/>
            </w:tcBorders>
            <w:shd w:val="clear" w:color="auto" w:fill="auto"/>
            <w:noWrap/>
            <w:vAlign w:val="center"/>
            <w:hideMark/>
          </w:tcPr>
          <w:p w14:paraId="402DF898" w14:textId="20EF83F1"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684,563 </w:t>
            </w:r>
          </w:p>
        </w:tc>
        <w:tc>
          <w:tcPr>
            <w:tcW w:w="578" w:type="pct"/>
            <w:tcBorders>
              <w:top w:val="single" w:sz="4" w:space="0" w:color="auto"/>
              <w:left w:val="nil"/>
              <w:bottom w:val="single" w:sz="4" w:space="0" w:color="auto"/>
              <w:right w:val="nil"/>
            </w:tcBorders>
            <w:shd w:val="clear" w:color="auto" w:fill="auto"/>
            <w:noWrap/>
            <w:vAlign w:val="center"/>
            <w:hideMark/>
          </w:tcPr>
          <w:p w14:paraId="3EA6C0A0" w14:textId="28387ED8"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685,576 </w:t>
            </w:r>
          </w:p>
        </w:tc>
        <w:tc>
          <w:tcPr>
            <w:tcW w:w="577" w:type="pct"/>
            <w:tcBorders>
              <w:top w:val="single" w:sz="4" w:space="0" w:color="auto"/>
              <w:left w:val="nil"/>
              <w:bottom w:val="single" w:sz="4" w:space="0" w:color="auto"/>
              <w:right w:val="nil"/>
            </w:tcBorders>
            <w:shd w:val="clear" w:color="auto" w:fill="auto"/>
            <w:noWrap/>
            <w:vAlign w:val="center"/>
            <w:hideMark/>
          </w:tcPr>
          <w:p w14:paraId="1E389910" w14:textId="7B70974B"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cs="Arial"/>
                <w:b/>
                <w:bCs/>
                <w:i/>
                <w:iCs/>
                <w:sz w:val="16"/>
                <w:szCs w:val="16"/>
              </w:rPr>
              <w:t xml:space="preserve">683,820 </w:t>
            </w:r>
          </w:p>
        </w:tc>
      </w:tr>
      <w:tr w:rsidR="00BC2BED" w:rsidRPr="00CA4948" w14:paraId="35B0F1F7" w14:textId="77777777" w:rsidTr="00BC2BED">
        <w:trPr>
          <w:trHeight w:val="630"/>
        </w:trPr>
        <w:tc>
          <w:tcPr>
            <w:tcW w:w="2112" w:type="pct"/>
            <w:tcBorders>
              <w:top w:val="nil"/>
              <w:left w:val="nil"/>
              <w:bottom w:val="nil"/>
              <w:right w:val="nil"/>
            </w:tcBorders>
            <w:shd w:val="clear" w:color="auto" w:fill="auto"/>
            <w:vAlign w:val="bottom"/>
            <w:hideMark/>
          </w:tcPr>
          <w:p w14:paraId="587B355F"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own-source revenue</w:t>
            </w:r>
            <w:r w:rsidRPr="00043432">
              <w:rPr>
                <w:rFonts w:eastAsia="Times New Roman" w:cs="Arial"/>
                <w:b/>
                <w:bCs/>
                <w:sz w:val="16"/>
                <w:szCs w:val="16"/>
                <w:lang w:eastAsia="en-AU"/>
              </w:rPr>
              <w:br/>
              <w:t xml:space="preserve">  administered on behalf of</w:t>
            </w:r>
            <w:r w:rsidRPr="00043432">
              <w:rPr>
                <w:rFonts w:eastAsia="Times New Roman" w:cs="Arial"/>
                <w:b/>
                <w:bCs/>
                <w:sz w:val="16"/>
                <w:szCs w:val="16"/>
                <w:lang w:eastAsia="en-AU"/>
              </w:rPr>
              <w:br/>
              <w:t xml:space="preserve">  Government</w:t>
            </w:r>
          </w:p>
        </w:tc>
        <w:tc>
          <w:tcPr>
            <w:tcW w:w="578" w:type="pct"/>
            <w:tcBorders>
              <w:top w:val="nil"/>
              <w:left w:val="nil"/>
              <w:bottom w:val="single" w:sz="4" w:space="0" w:color="auto"/>
              <w:right w:val="nil"/>
            </w:tcBorders>
            <w:shd w:val="clear" w:color="auto" w:fill="auto"/>
            <w:noWrap/>
            <w:vAlign w:val="bottom"/>
            <w:hideMark/>
          </w:tcPr>
          <w:p w14:paraId="09BB654B" w14:textId="3C694D2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673,035 </w:t>
            </w:r>
          </w:p>
        </w:tc>
        <w:tc>
          <w:tcPr>
            <w:tcW w:w="578" w:type="pct"/>
            <w:tcBorders>
              <w:top w:val="nil"/>
              <w:left w:val="nil"/>
              <w:bottom w:val="single" w:sz="4" w:space="0" w:color="auto"/>
              <w:right w:val="nil"/>
            </w:tcBorders>
            <w:shd w:val="clear" w:color="000000" w:fill="E6E6E6"/>
            <w:noWrap/>
            <w:vAlign w:val="bottom"/>
            <w:hideMark/>
          </w:tcPr>
          <w:p w14:paraId="7529914F" w14:textId="56995F99"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712,996 </w:t>
            </w:r>
          </w:p>
        </w:tc>
        <w:tc>
          <w:tcPr>
            <w:tcW w:w="578" w:type="pct"/>
            <w:tcBorders>
              <w:top w:val="nil"/>
              <w:left w:val="nil"/>
              <w:bottom w:val="single" w:sz="4" w:space="0" w:color="auto"/>
              <w:right w:val="nil"/>
            </w:tcBorders>
            <w:shd w:val="clear" w:color="auto" w:fill="auto"/>
            <w:noWrap/>
            <w:vAlign w:val="bottom"/>
            <w:hideMark/>
          </w:tcPr>
          <w:p w14:paraId="56B88433" w14:textId="6023CF31"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684,563 </w:t>
            </w:r>
          </w:p>
        </w:tc>
        <w:tc>
          <w:tcPr>
            <w:tcW w:w="578" w:type="pct"/>
            <w:tcBorders>
              <w:top w:val="nil"/>
              <w:left w:val="nil"/>
              <w:bottom w:val="single" w:sz="4" w:space="0" w:color="auto"/>
              <w:right w:val="nil"/>
            </w:tcBorders>
            <w:shd w:val="clear" w:color="auto" w:fill="auto"/>
            <w:noWrap/>
            <w:vAlign w:val="bottom"/>
            <w:hideMark/>
          </w:tcPr>
          <w:p w14:paraId="7FB48625" w14:textId="4ECE4C72"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685,576 </w:t>
            </w:r>
          </w:p>
        </w:tc>
        <w:tc>
          <w:tcPr>
            <w:tcW w:w="577" w:type="pct"/>
            <w:tcBorders>
              <w:top w:val="nil"/>
              <w:left w:val="nil"/>
              <w:bottom w:val="single" w:sz="4" w:space="0" w:color="auto"/>
              <w:right w:val="nil"/>
            </w:tcBorders>
            <w:shd w:val="clear" w:color="auto" w:fill="auto"/>
            <w:noWrap/>
            <w:vAlign w:val="bottom"/>
            <w:hideMark/>
          </w:tcPr>
          <w:p w14:paraId="4B8B2FAE" w14:textId="4A8E56E0"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683,820 </w:t>
            </w:r>
          </w:p>
        </w:tc>
      </w:tr>
      <w:tr w:rsidR="00BC2BED" w:rsidRPr="00CA4948" w14:paraId="5C7633ED" w14:textId="77777777" w:rsidTr="00BC2BED">
        <w:trPr>
          <w:trHeight w:val="630"/>
        </w:trPr>
        <w:tc>
          <w:tcPr>
            <w:tcW w:w="2112" w:type="pct"/>
            <w:tcBorders>
              <w:top w:val="nil"/>
              <w:left w:val="nil"/>
              <w:bottom w:val="nil"/>
              <w:right w:val="nil"/>
            </w:tcBorders>
            <w:shd w:val="clear" w:color="auto" w:fill="auto"/>
            <w:vAlign w:val="bottom"/>
            <w:hideMark/>
          </w:tcPr>
          <w:p w14:paraId="603F5CB5"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own-sourced income</w:t>
            </w:r>
            <w:r w:rsidRPr="00043432">
              <w:rPr>
                <w:rFonts w:eastAsia="Times New Roman" w:cs="Arial"/>
                <w:b/>
                <w:bCs/>
                <w:sz w:val="16"/>
                <w:szCs w:val="16"/>
                <w:lang w:eastAsia="en-AU"/>
              </w:rPr>
              <w:br/>
              <w:t xml:space="preserve">  administered on behalf of</w:t>
            </w:r>
            <w:r w:rsidRPr="00043432">
              <w:rPr>
                <w:rFonts w:eastAsia="Times New Roman" w:cs="Arial"/>
                <w:b/>
                <w:bCs/>
                <w:sz w:val="16"/>
                <w:szCs w:val="16"/>
                <w:lang w:eastAsia="en-AU"/>
              </w:rPr>
              <w:br/>
              <w:t xml:space="preserve">  Government</w:t>
            </w:r>
          </w:p>
        </w:tc>
        <w:tc>
          <w:tcPr>
            <w:tcW w:w="578" w:type="pct"/>
            <w:tcBorders>
              <w:top w:val="nil"/>
              <w:left w:val="nil"/>
              <w:bottom w:val="single" w:sz="4" w:space="0" w:color="auto"/>
              <w:right w:val="nil"/>
            </w:tcBorders>
            <w:shd w:val="clear" w:color="auto" w:fill="auto"/>
            <w:noWrap/>
            <w:vAlign w:val="bottom"/>
            <w:hideMark/>
          </w:tcPr>
          <w:p w14:paraId="79D46CA2" w14:textId="2B357092"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673,035 </w:t>
            </w:r>
          </w:p>
        </w:tc>
        <w:tc>
          <w:tcPr>
            <w:tcW w:w="578" w:type="pct"/>
            <w:tcBorders>
              <w:top w:val="nil"/>
              <w:left w:val="nil"/>
              <w:bottom w:val="single" w:sz="4" w:space="0" w:color="auto"/>
              <w:right w:val="nil"/>
            </w:tcBorders>
            <w:shd w:val="clear" w:color="000000" w:fill="E6E6E6"/>
            <w:noWrap/>
            <w:vAlign w:val="bottom"/>
            <w:hideMark/>
          </w:tcPr>
          <w:p w14:paraId="65587DBB" w14:textId="0F26EA40"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712,996 </w:t>
            </w:r>
          </w:p>
        </w:tc>
        <w:tc>
          <w:tcPr>
            <w:tcW w:w="578" w:type="pct"/>
            <w:tcBorders>
              <w:top w:val="nil"/>
              <w:left w:val="nil"/>
              <w:bottom w:val="single" w:sz="4" w:space="0" w:color="auto"/>
              <w:right w:val="nil"/>
            </w:tcBorders>
            <w:shd w:val="clear" w:color="auto" w:fill="auto"/>
            <w:noWrap/>
            <w:vAlign w:val="bottom"/>
            <w:hideMark/>
          </w:tcPr>
          <w:p w14:paraId="0EDC6AF1" w14:textId="77ACEBD1"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684,563 </w:t>
            </w:r>
          </w:p>
        </w:tc>
        <w:tc>
          <w:tcPr>
            <w:tcW w:w="578" w:type="pct"/>
            <w:tcBorders>
              <w:top w:val="nil"/>
              <w:left w:val="nil"/>
              <w:bottom w:val="single" w:sz="4" w:space="0" w:color="auto"/>
              <w:right w:val="nil"/>
            </w:tcBorders>
            <w:shd w:val="clear" w:color="auto" w:fill="auto"/>
            <w:noWrap/>
            <w:vAlign w:val="bottom"/>
            <w:hideMark/>
          </w:tcPr>
          <w:p w14:paraId="38FF6AA1" w14:textId="027E7D78"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685,576 </w:t>
            </w:r>
          </w:p>
        </w:tc>
        <w:tc>
          <w:tcPr>
            <w:tcW w:w="577" w:type="pct"/>
            <w:tcBorders>
              <w:top w:val="nil"/>
              <w:left w:val="nil"/>
              <w:bottom w:val="single" w:sz="4" w:space="0" w:color="auto"/>
              <w:right w:val="nil"/>
            </w:tcBorders>
            <w:shd w:val="clear" w:color="auto" w:fill="auto"/>
            <w:noWrap/>
            <w:vAlign w:val="bottom"/>
            <w:hideMark/>
          </w:tcPr>
          <w:p w14:paraId="39AA7C7A" w14:textId="1B9D752D"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683,820 </w:t>
            </w:r>
          </w:p>
        </w:tc>
      </w:tr>
      <w:tr w:rsidR="00BC2BED" w:rsidRPr="00CA4948" w14:paraId="2117A0DA" w14:textId="77777777" w:rsidTr="00BC2BED">
        <w:trPr>
          <w:trHeight w:val="420"/>
        </w:trPr>
        <w:tc>
          <w:tcPr>
            <w:tcW w:w="2112" w:type="pct"/>
            <w:tcBorders>
              <w:top w:val="nil"/>
              <w:left w:val="nil"/>
              <w:bottom w:val="nil"/>
              <w:right w:val="nil"/>
            </w:tcBorders>
            <w:shd w:val="clear" w:color="auto" w:fill="auto"/>
            <w:vAlign w:val="bottom"/>
            <w:hideMark/>
          </w:tcPr>
          <w:p w14:paraId="3DB3029C"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Net (cost of)/contribution by</w:t>
            </w:r>
            <w:r w:rsidRPr="00043432">
              <w:rPr>
                <w:rFonts w:eastAsia="Times New Roman" w:cs="Arial"/>
                <w:b/>
                <w:bCs/>
                <w:sz w:val="16"/>
                <w:szCs w:val="16"/>
                <w:lang w:eastAsia="en-AU"/>
              </w:rPr>
              <w:br/>
              <w:t xml:space="preserve">  services</w:t>
            </w:r>
          </w:p>
        </w:tc>
        <w:tc>
          <w:tcPr>
            <w:tcW w:w="578" w:type="pct"/>
            <w:tcBorders>
              <w:top w:val="nil"/>
              <w:left w:val="nil"/>
              <w:bottom w:val="single" w:sz="4" w:space="0" w:color="auto"/>
              <w:right w:val="nil"/>
            </w:tcBorders>
            <w:shd w:val="clear" w:color="auto" w:fill="auto"/>
            <w:noWrap/>
            <w:vAlign w:val="bottom"/>
            <w:hideMark/>
          </w:tcPr>
          <w:p w14:paraId="1777E9A6" w14:textId="0EDBC51E"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(222,980)</w:t>
            </w:r>
          </w:p>
        </w:tc>
        <w:tc>
          <w:tcPr>
            <w:tcW w:w="578" w:type="pct"/>
            <w:tcBorders>
              <w:top w:val="nil"/>
              <w:left w:val="nil"/>
              <w:bottom w:val="single" w:sz="4" w:space="0" w:color="auto"/>
              <w:right w:val="nil"/>
            </w:tcBorders>
            <w:shd w:val="clear" w:color="000000" w:fill="E6E6E6"/>
            <w:noWrap/>
            <w:vAlign w:val="bottom"/>
            <w:hideMark/>
          </w:tcPr>
          <w:p w14:paraId="6E4B4A03" w14:textId="65E749FA"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(262,941)</w:t>
            </w:r>
          </w:p>
        </w:tc>
        <w:tc>
          <w:tcPr>
            <w:tcW w:w="578" w:type="pct"/>
            <w:tcBorders>
              <w:top w:val="nil"/>
              <w:left w:val="nil"/>
              <w:bottom w:val="single" w:sz="4" w:space="0" w:color="auto"/>
              <w:right w:val="nil"/>
            </w:tcBorders>
            <w:shd w:val="clear" w:color="auto" w:fill="auto"/>
            <w:noWrap/>
            <w:vAlign w:val="bottom"/>
            <w:hideMark/>
          </w:tcPr>
          <w:p w14:paraId="59634495" w14:textId="30C18F70"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(234,508)</w:t>
            </w:r>
          </w:p>
        </w:tc>
        <w:tc>
          <w:tcPr>
            <w:tcW w:w="578" w:type="pct"/>
            <w:tcBorders>
              <w:top w:val="nil"/>
              <w:left w:val="nil"/>
              <w:bottom w:val="single" w:sz="4" w:space="0" w:color="auto"/>
              <w:right w:val="nil"/>
            </w:tcBorders>
            <w:shd w:val="clear" w:color="auto" w:fill="auto"/>
            <w:noWrap/>
            <w:vAlign w:val="bottom"/>
            <w:hideMark/>
          </w:tcPr>
          <w:p w14:paraId="504AECC2" w14:textId="35D72342"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(235,521)</w:t>
            </w:r>
          </w:p>
        </w:tc>
        <w:tc>
          <w:tcPr>
            <w:tcW w:w="577" w:type="pct"/>
            <w:tcBorders>
              <w:top w:val="nil"/>
              <w:left w:val="nil"/>
              <w:bottom w:val="single" w:sz="4" w:space="0" w:color="auto"/>
              <w:right w:val="nil"/>
            </w:tcBorders>
            <w:shd w:val="clear" w:color="auto" w:fill="auto"/>
            <w:noWrap/>
            <w:vAlign w:val="bottom"/>
            <w:hideMark/>
          </w:tcPr>
          <w:p w14:paraId="6569A624" w14:textId="0724EB4C"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(233,765)</w:t>
            </w:r>
          </w:p>
        </w:tc>
      </w:tr>
      <w:tr w:rsidR="00BC2BED" w:rsidRPr="00CA4948" w14:paraId="5A6B591E" w14:textId="77777777" w:rsidTr="00BC2BED">
        <w:trPr>
          <w:trHeight w:val="210"/>
        </w:trPr>
        <w:tc>
          <w:tcPr>
            <w:tcW w:w="2112" w:type="pct"/>
            <w:tcBorders>
              <w:top w:val="nil"/>
              <w:left w:val="nil"/>
              <w:bottom w:val="nil"/>
              <w:right w:val="nil"/>
            </w:tcBorders>
            <w:shd w:val="clear" w:color="auto" w:fill="auto"/>
            <w:vAlign w:val="bottom"/>
            <w:hideMark/>
          </w:tcPr>
          <w:p w14:paraId="228282A5"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 xml:space="preserve">Surplus/(deficit) </w:t>
            </w:r>
          </w:p>
        </w:tc>
        <w:tc>
          <w:tcPr>
            <w:tcW w:w="578" w:type="pct"/>
            <w:tcBorders>
              <w:top w:val="nil"/>
              <w:left w:val="nil"/>
              <w:bottom w:val="single" w:sz="4" w:space="0" w:color="auto"/>
              <w:right w:val="nil"/>
            </w:tcBorders>
            <w:shd w:val="clear" w:color="auto" w:fill="auto"/>
            <w:noWrap/>
            <w:vAlign w:val="bottom"/>
            <w:hideMark/>
          </w:tcPr>
          <w:p w14:paraId="03DAB74E" w14:textId="369F53B8"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222,980 </w:t>
            </w:r>
          </w:p>
        </w:tc>
        <w:tc>
          <w:tcPr>
            <w:tcW w:w="578" w:type="pct"/>
            <w:tcBorders>
              <w:top w:val="nil"/>
              <w:left w:val="nil"/>
              <w:bottom w:val="single" w:sz="4" w:space="0" w:color="auto"/>
              <w:right w:val="nil"/>
            </w:tcBorders>
            <w:shd w:val="clear" w:color="000000" w:fill="E6E6E6"/>
            <w:noWrap/>
            <w:vAlign w:val="bottom"/>
            <w:hideMark/>
          </w:tcPr>
          <w:p w14:paraId="78B6EA1F" w14:textId="690F7450"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262,941 </w:t>
            </w:r>
          </w:p>
        </w:tc>
        <w:tc>
          <w:tcPr>
            <w:tcW w:w="578" w:type="pct"/>
            <w:tcBorders>
              <w:top w:val="nil"/>
              <w:left w:val="nil"/>
              <w:bottom w:val="single" w:sz="4" w:space="0" w:color="auto"/>
              <w:right w:val="nil"/>
            </w:tcBorders>
            <w:shd w:val="clear" w:color="auto" w:fill="auto"/>
            <w:noWrap/>
            <w:vAlign w:val="bottom"/>
            <w:hideMark/>
          </w:tcPr>
          <w:p w14:paraId="1C40AFB5" w14:textId="18CFD2C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234,508 </w:t>
            </w:r>
          </w:p>
        </w:tc>
        <w:tc>
          <w:tcPr>
            <w:tcW w:w="578" w:type="pct"/>
            <w:tcBorders>
              <w:top w:val="nil"/>
              <w:left w:val="nil"/>
              <w:bottom w:val="single" w:sz="4" w:space="0" w:color="auto"/>
              <w:right w:val="nil"/>
            </w:tcBorders>
            <w:shd w:val="clear" w:color="auto" w:fill="auto"/>
            <w:noWrap/>
            <w:vAlign w:val="bottom"/>
            <w:hideMark/>
          </w:tcPr>
          <w:p w14:paraId="78A183C0" w14:textId="61260383"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235,521 </w:t>
            </w:r>
          </w:p>
        </w:tc>
        <w:tc>
          <w:tcPr>
            <w:tcW w:w="577" w:type="pct"/>
            <w:tcBorders>
              <w:top w:val="nil"/>
              <w:left w:val="nil"/>
              <w:bottom w:val="single" w:sz="4" w:space="0" w:color="auto"/>
              <w:right w:val="nil"/>
            </w:tcBorders>
            <w:shd w:val="clear" w:color="auto" w:fill="auto"/>
            <w:noWrap/>
            <w:vAlign w:val="bottom"/>
            <w:hideMark/>
          </w:tcPr>
          <w:p w14:paraId="67484426" w14:textId="5E913CBB"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233,765 </w:t>
            </w:r>
          </w:p>
        </w:tc>
      </w:tr>
      <w:tr w:rsidR="00BC2BED" w:rsidRPr="00CA4948" w14:paraId="3BF864B0" w14:textId="77777777" w:rsidTr="00BC2BED">
        <w:trPr>
          <w:trHeight w:val="210"/>
        </w:trPr>
        <w:tc>
          <w:tcPr>
            <w:tcW w:w="2112" w:type="pct"/>
            <w:tcBorders>
              <w:top w:val="nil"/>
              <w:left w:val="nil"/>
              <w:bottom w:val="single" w:sz="4" w:space="0" w:color="000000"/>
              <w:right w:val="nil"/>
            </w:tcBorders>
            <w:shd w:val="clear" w:color="auto" w:fill="auto"/>
            <w:noWrap/>
            <w:vAlign w:val="bottom"/>
            <w:hideMark/>
          </w:tcPr>
          <w:p w14:paraId="6346C2A4"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comprehensive income/(loss)</w:t>
            </w:r>
          </w:p>
        </w:tc>
        <w:tc>
          <w:tcPr>
            <w:tcW w:w="578" w:type="pct"/>
            <w:tcBorders>
              <w:top w:val="nil"/>
              <w:left w:val="nil"/>
              <w:bottom w:val="single" w:sz="4" w:space="0" w:color="000000"/>
              <w:right w:val="nil"/>
            </w:tcBorders>
            <w:shd w:val="clear" w:color="auto" w:fill="auto"/>
            <w:noWrap/>
            <w:vAlign w:val="center"/>
            <w:hideMark/>
          </w:tcPr>
          <w:p w14:paraId="2CA5F940" w14:textId="4B2631EC"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222,980 </w:t>
            </w:r>
          </w:p>
        </w:tc>
        <w:tc>
          <w:tcPr>
            <w:tcW w:w="578" w:type="pct"/>
            <w:tcBorders>
              <w:top w:val="nil"/>
              <w:left w:val="nil"/>
              <w:bottom w:val="single" w:sz="4" w:space="0" w:color="000000"/>
              <w:right w:val="nil"/>
            </w:tcBorders>
            <w:shd w:val="clear" w:color="000000" w:fill="E6E6E6"/>
            <w:noWrap/>
            <w:vAlign w:val="center"/>
            <w:hideMark/>
          </w:tcPr>
          <w:p w14:paraId="7657E6C3" w14:textId="6913A961"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262,941 </w:t>
            </w:r>
          </w:p>
        </w:tc>
        <w:tc>
          <w:tcPr>
            <w:tcW w:w="578" w:type="pct"/>
            <w:tcBorders>
              <w:top w:val="nil"/>
              <w:left w:val="nil"/>
              <w:bottom w:val="single" w:sz="4" w:space="0" w:color="000000"/>
              <w:right w:val="nil"/>
            </w:tcBorders>
            <w:shd w:val="clear" w:color="auto" w:fill="auto"/>
            <w:noWrap/>
            <w:vAlign w:val="center"/>
            <w:hideMark/>
          </w:tcPr>
          <w:p w14:paraId="253CB0DE" w14:textId="21DDA270"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234,508 </w:t>
            </w:r>
          </w:p>
        </w:tc>
        <w:tc>
          <w:tcPr>
            <w:tcW w:w="578" w:type="pct"/>
            <w:tcBorders>
              <w:top w:val="nil"/>
              <w:left w:val="nil"/>
              <w:bottom w:val="single" w:sz="4" w:space="0" w:color="000000"/>
              <w:right w:val="nil"/>
            </w:tcBorders>
            <w:shd w:val="clear" w:color="auto" w:fill="auto"/>
            <w:noWrap/>
            <w:vAlign w:val="center"/>
            <w:hideMark/>
          </w:tcPr>
          <w:p w14:paraId="2459E906" w14:textId="6C844745"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235,521 </w:t>
            </w:r>
          </w:p>
        </w:tc>
        <w:tc>
          <w:tcPr>
            <w:tcW w:w="577" w:type="pct"/>
            <w:tcBorders>
              <w:top w:val="nil"/>
              <w:left w:val="nil"/>
              <w:bottom w:val="single" w:sz="4" w:space="0" w:color="000000"/>
              <w:right w:val="nil"/>
            </w:tcBorders>
            <w:shd w:val="clear" w:color="auto" w:fill="auto"/>
            <w:noWrap/>
            <w:vAlign w:val="center"/>
            <w:hideMark/>
          </w:tcPr>
          <w:p w14:paraId="284D63BF" w14:textId="3CCE5951"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cs="Arial"/>
                <w:b/>
                <w:bCs/>
                <w:sz w:val="16"/>
                <w:szCs w:val="16"/>
              </w:rPr>
              <w:t xml:space="preserve">233,765 </w:t>
            </w:r>
          </w:p>
        </w:tc>
      </w:tr>
    </w:tbl>
    <w:p w14:paraId="7A3A3022" w14:textId="77777777" w:rsidR="0008358A" w:rsidRPr="001773EA" w:rsidRDefault="0008358A" w:rsidP="0008358A">
      <w:pPr>
        <w:pStyle w:val="ChartandTableFootnote"/>
      </w:pPr>
      <w:r w:rsidRPr="001773EA">
        <w:t>Prepared on Australian Accounting Standards basis.</w:t>
      </w:r>
    </w:p>
    <w:p w14:paraId="255590CC" w14:textId="77777777" w:rsidR="0008358A" w:rsidRDefault="0008358A" w:rsidP="0008358A">
      <w:pPr>
        <w:pStyle w:val="TableGraphic"/>
      </w:pPr>
    </w:p>
    <w:p w14:paraId="5EA0B31B" w14:textId="77777777" w:rsidR="0008358A" w:rsidRDefault="0008358A" w:rsidP="0008358A">
      <w:pPr>
        <w:pStyle w:val="TableHeadingcontinued"/>
      </w:pPr>
      <w:r>
        <w:br w:type="page"/>
      </w:r>
      <w:r w:rsidRPr="00D30CBA">
        <w:lastRenderedPageBreak/>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5000" w:type="pct"/>
        <w:tblCellMar>
          <w:left w:w="0" w:type="dxa"/>
          <w:right w:w="28" w:type="dxa"/>
        </w:tblCellMar>
        <w:tblLook w:val="04A0" w:firstRow="1" w:lastRow="0" w:firstColumn="1" w:lastColumn="0" w:noHBand="0" w:noVBand="1"/>
      </w:tblPr>
      <w:tblGrid>
        <w:gridCol w:w="3256"/>
        <w:gridCol w:w="891"/>
        <w:gridCol w:w="891"/>
        <w:gridCol w:w="891"/>
        <w:gridCol w:w="891"/>
        <w:gridCol w:w="890"/>
      </w:tblGrid>
      <w:tr w:rsidR="00BC2BED" w:rsidRPr="00684B76" w14:paraId="21AB4D19" w14:textId="77777777" w:rsidTr="00BC2BED">
        <w:trPr>
          <w:trHeight w:val="800"/>
        </w:trPr>
        <w:tc>
          <w:tcPr>
            <w:tcW w:w="2111" w:type="pct"/>
            <w:tcBorders>
              <w:top w:val="single" w:sz="4" w:space="0" w:color="auto"/>
              <w:left w:val="nil"/>
              <w:bottom w:val="nil"/>
              <w:right w:val="nil"/>
            </w:tcBorders>
            <w:shd w:val="clear" w:color="auto" w:fill="auto"/>
            <w:noWrap/>
            <w:hideMark/>
          </w:tcPr>
          <w:p w14:paraId="413733BE" w14:textId="3B100147" w:rsidR="00BC2BED" w:rsidRPr="00043432" w:rsidRDefault="004447D7" w:rsidP="00043432">
            <w:pPr>
              <w:pStyle w:val="ListParagraph"/>
              <w:numPr>
                <w:ilvl w:val="0"/>
                <w:numId w:val="20"/>
              </w:numPr>
              <w:spacing w:after="0"/>
              <w:rPr>
                <w:rFonts w:eastAsia="Times New Roman" w:cs="Arial"/>
                <w:b/>
                <w:bCs/>
                <w:color w:val="auto"/>
                <w:sz w:val="16"/>
                <w:szCs w:val="16"/>
                <w:lang w:eastAsia="en-AU"/>
              </w:rPr>
            </w:pPr>
            <w:r w:rsidRPr="004447D7">
              <w:t xml:space="preserve"> </w:t>
            </w:r>
            <w:r w:rsidR="00BC2BED" w:rsidRPr="00043432">
              <w:rPr>
                <w:rFonts w:eastAsia="Times New Roman" w:cs="Arial"/>
                <w:b/>
                <w:bCs/>
                <w:color w:val="auto"/>
                <w:sz w:val="16"/>
                <w:szCs w:val="16"/>
                <w:lang w:eastAsia="en-AU"/>
              </w:rPr>
              <w:t> </w:t>
            </w:r>
          </w:p>
        </w:tc>
        <w:tc>
          <w:tcPr>
            <w:tcW w:w="578" w:type="pct"/>
            <w:tcBorders>
              <w:top w:val="single" w:sz="4" w:space="0" w:color="auto"/>
              <w:left w:val="nil"/>
              <w:bottom w:val="single" w:sz="4" w:space="0" w:color="auto"/>
              <w:right w:val="nil"/>
            </w:tcBorders>
            <w:shd w:val="clear" w:color="auto" w:fill="auto"/>
            <w:hideMark/>
          </w:tcPr>
          <w:p w14:paraId="7DC8DEA8"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2020-21 Estimated actual</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000000" w:fill="E6E6E6"/>
            <w:hideMark/>
          </w:tcPr>
          <w:p w14:paraId="1E12BCAF"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2021-22</w:t>
            </w:r>
            <w:r w:rsidRPr="00043432">
              <w:rPr>
                <w:rFonts w:eastAsia="Times New Roman" w:cs="Arial"/>
                <w:color w:val="auto"/>
                <w:sz w:val="16"/>
                <w:szCs w:val="16"/>
                <w:lang w:eastAsia="en-AU"/>
              </w:rPr>
              <w:br/>
              <w:t>Budget</w:t>
            </w:r>
            <w:r w:rsidRPr="00043432">
              <w:rPr>
                <w:rFonts w:eastAsia="Times New Roman" w:cs="Arial"/>
                <w:color w:val="auto"/>
                <w:sz w:val="16"/>
                <w:szCs w:val="16"/>
                <w:lang w:eastAsia="en-AU"/>
              </w:rPr>
              <w:br/>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4FDD3D8C"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2022-23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758EF1A2"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2023-24 Forward estimate</w:t>
            </w:r>
            <w:r w:rsidRPr="00043432">
              <w:rPr>
                <w:rFonts w:eastAsia="Times New Roman" w:cs="Arial"/>
                <w:color w:val="auto"/>
                <w:sz w:val="16"/>
                <w:szCs w:val="16"/>
                <w:lang w:eastAsia="en-AU"/>
              </w:rPr>
              <w:br/>
              <w:t>$'000</w:t>
            </w:r>
          </w:p>
        </w:tc>
        <w:tc>
          <w:tcPr>
            <w:tcW w:w="578" w:type="pct"/>
            <w:tcBorders>
              <w:top w:val="single" w:sz="4" w:space="0" w:color="auto"/>
              <w:left w:val="nil"/>
              <w:bottom w:val="single" w:sz="4" w:space="0" w:color="auto"/>
              <w:right w:val="nil"/>
            </w:tcBorders>
            <w:shd w:val="clear" w:color="auto" w:fill="auto"/>
            <w:hideMark/>
          </w:tcPr>
          <w:p w14:paraId="07D8C286" w14:textId="77777777" w:rsidR="00BC2BED" w:rsidRPr="00043432" w:rsidRDefault="00BC2BED" w:rsidP="00043432">
            <w:pPr>
              <w:pStyle w:val="ListParagraph"/>
              <w:numPr>
                <w:ilvl w:val="0"/>
                <w:numId w:val="20"/>
              </w:numPr>
              <w:spacing w:after="0"/>
              <w:jc w:val="right"/>
              <w:rPr>
                <w:rFonts w:eastAsia="Times New Roman" w:cs="Arial"/>
                <w:color w:val="auto"/>
                <w:sz w:val="16"/>
                <w:szCs w:val="16"/>
                <w:lang w:eastAsia="en-AU"/>
              </w:rPr>
            </w:pPr>
            <w:r w:rsidRPr="00043432">
              <w:rPr>
                <w:rFonts w:eastAsia="Times New Roman" w:cs="Arial"/>
                <w:color w:val="auto"/>
                <w:sz w:val="16"/>
                <w:szCs w:val="16"/>
                <w:lang w:eastAsia="en-AU"/>
              </w:rPr>
              <w:t>2024-25</w:t>
            </w:r>
            <w:r w:rsidRPr="00043432">
              <w:rPr>
                <w:rFonts w:eastAsia="Times New Roman" w:cs="Arial"/>
                <w:color w:val="auto"/>
                <w:sz w:val="16"/>
                <w:szCs w:val="16"/>
                <w:lang w:eastAsia="en-AU"/>
              </w:rPr>
              <w:br/>
              <w:t>Forward estimate</w:t>
            </w:r>
            <w:r w:rsidRPr="00043432">
              <w:rPr>
                <w:rFonts w:eastAsia="Times New Roman" w:cs="Arial"/>
                <w:color w:val="auto"/>
                <w:sz w:val="16"/>
                <w:szCs w:val="16"/>
                <w:lang w:eastAsia="en-AU"/>
              </w:rPr>
              <w:br/>
              <w:t>$'000</w:t>
            </w:r>
          </w:p>
        </w:tc>
      </w:tr>
      <w:tr w:rsidR="00BC2BED" w:rsidRPr="00684B76" w14:paraId="41579176" w14:textId="77777777" w:rsidTr="00BC2BED">
        <w:trPr>
          <w:trHeight w:val="210"/>
        </w:trPr>
        <w:tc>
          <w:tcPr>
            <w:tcW w:w="2111" w:type="pct"/>
            <w:tcBorders>
              <w:top w:val="nil"/>
              <w:left w:val="nil"/>
              <w:bottom w:val="nil"/>
              <w:right w:val="nil"/>
            </w:tcBorders>
            <w:shd w:val="clear" w:color="auto" w:fill="auto"/>
            <w:noWrap/>
            <w:vAlign w:val="bottom"/>
            <w:hideMark/>
          </w:tcPr>
          <w:p w14:paraId="43B97752"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 xml:space="preserve">ASSETS </w:t>
            </w:r>
          </w:p>
        </w:tc>
        <w:tc>
          <w:tcPr>
            <w:tcW w:w="578" w:type="pct"/>
            <w:tcBorders>
              <w:top w:val="nil"/>
              <w:left w:val="nil"/>
              <w:bottom w:val="nil"/>
              <w:right w:val="nil"/>
            </w:tcBorders>
            <w:shd w:val="clear" w:color="auto" w:fill="auto"/>
            <w:noWrap/>
            <w:vAlign w:val="bottom"/>
            <w:hideMark/>
          </w:tcPr>
          <w:p w14:paraId="3D236A51"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12B283FD"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nil"/>
              <w:left w:val="nil"/>
              <w:bottom w:val="nil"/>
              <w:right w:val="nil"/>
            </w:tcBorders>
            <w:shd w:val="clear" w:color="auto" w:fill="auto"/>
            <w:noWrap/>
            <w:vAlign w:val="bottom"/>
            <w:hideMark/>
          </w:tcPr>
          <w:p w14:paraId="657E3D3A"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36FFBC61"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0BEA94B5"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684B76" w14:paraId="17209AF3" w14:textId="77777777" w:rsidTr="00BC2BED">
        <w:trPr>
          <w:trHeight w:val="210"/>
        </w:trPr>
        <w:tc>
          <w:tcPr>
            <w:tcW w:w="2111" w:type="pct"/>
            <w:tcBorders>
              <w:top w:val="nil"/>
              <w:left w:val="nil"/>
              <w:bottom w:val="nil"/>
              <w:right w:val="nil"/>
            </w:tcBorders>
            <w:shd w:val="clear" w:color="auto" w:fill="auto"/>
            <w:noWrap/>
            <w:vAlign w:val="bottom"/>
            <w:hideMark/>
          </w:tcPr>
          <w:p w14:paraId="57742E10"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Financial assets</w:t>
            </w:r>
          </w:p>
        </w:tc>
        <w:tc>
          <w:tcPr>
            <w:tcW w:w="578" w:type="pct"/>
            <w:tcBorders>
              <w:top w:val="nil"/>
              <w:left w:val="nil"/>
              <w:bottom w:val="nil"/>
              <w:right w:val="nil"/>
            </w:tcBorders>
            <w:shd w:val="clear" w:color="auto" w:fill="auto"/>
            <w:noWrap/>
            <w:vAlign w:val="bottom"/>
            <w:hideMark/>
          </w:tcPr>
          <w:p w14:paraId="1F17FF9F"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76B62823"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nil"/>
              <w:left w:val="nil"/>
              <w:bottom w:val="nil"/>
              <w:right w:val="nil"/>
            </w:tcBorders>
            <w:shd w:val="clear" w:color="auto" w:fill="auto"/>
            <w:noWrap/>
            <w:vAlign w:val="bottom"/>
            <w:hideMark/>
          </w:tcPr>
          <w:p w14:paraId="452EBB74"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2CDA2AFB"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48AFB0DB"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684B76" w14:paraId="1633593D" w14:textId="77777777" w:rsidTr="00BC2BED">
        <w:trPr>
          <w:trHeight w:val="200"/>
        </w:trPr>
        <w:tc>
          <w:tcPr>
            <w:tcW w:w="2111" w:type="pct"/>
            <w:tcBorders>
              <w:top w:val="nil"/>
              <w:left w:val="nil"/>
              <w:bottom w:val="nil"/>
              <w:right w:val="nil"/>
            </w:tcBorders>
            <w:shd w:val="clear" w:color="auto" w:fill="auto"/>
            <w:noWrap/>
            <w:vAlign w:val="bottom"/>
            <w:hideMark/>
          </w:tcPr>
          <w:p w14:paraId="58E52A80" w14:textId="77777777" w:rsidR="00BC2BED" w:rsidRPr="00043432" w:rsidRDefault="00BC2BED" w:rsidP="00043432">
            <w:pPr>
              <w:pStyle w:val="ListParagraph"/>
              <w:numPr>
                <w:ilvl w:val="0"/>
                <w:numId w:val="20"/>
              </w:numPr>
              <w:spacing w:after="0"/>
              <w:jc w:val="left"/>
              <w:rPr>
                <w:rFonts w:eastAsia="Times New Roman" w:cs="Arial"/>
                <w:color w:val="auto"/>
                <w:sz w:val="16"/>
                <w:szCs w:val="16"/>
                <w:lang w:eastAsia="en-AU"/>
              </w:rPr>
            </w:pPr>
            <w:r w:rsidRPr="00043432">
              <w:rPr>
                <w:rFonts w:eastAsia="Times New Roman" w:cs="Arial"/>
                <w:color w:val="auto"/>
                <w:sz w:val="16"/>
                <w:szCs w:val="16"/>
                <w:lang w:eastAsia="en-AU"/>
              </w:rPr>
              <w:t>Cash and cash equivalents</w:t>
            </w:r>
          </w:p>
        </w:tc>
        <w:tc>
          <w:tcPr>
            <w:tcW w:w="578" w:type="pct"/>
            <w:tcBorders>
              <w:top w:val="nil"/>
              <w:left w:val="nil"/>
              <w:bottom w:val="nil"/>
              <w:right w:val="nil"/>
            </w:tcBorders>
            <w:shd w:val="clear" w:color="auto" w:fill="auto"/>
            <w:noWrap/>
            <w:vAlign w:val="bottom"/>
            <w:hideMark/>
          </w:tcPr>
          <w:p w14:paraId="6A9C629D"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835 </w:t>
            </w:r>
          </w:p>
        </w:tc>
        <w:tc>
          <w:tcPr>
            <w:tcW w:w="578" w:type="pct"/>
            <w:tcBorders>
              <w:top w:val="nil"/>
              <w:left w:val="nil"/>
              <w:bottom w:val="nil"/>
              <w:right w:val="nil"/>
            </w:tcBorders>
            <w:shd w:val="clear" w:color="000000" w:fill="E6E6E6"/>
            <w:noWrap/>
            <w:vAlign w:val="bottom"/>
            <w:hideMark/>
          </w:tcPr>
          <w:p w14:paraId="0C801361"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835 </w:t>
            </w:r>
          </w:p>
        </w:tc>
        <w:tc>
          <w:tcPr>
            <w:tcW w:w="578" w:type="pct"/>
            <w:tcBorders>
              <w:top w:val="nil"/>
              <w:left w:val="nil"/>
              <w:bottom w:val="nil"/>
              <w:right w:val="nil"/>
            </w:tcBorders>
            <w:shd w:val="clear" w:color="auto" w:fill="auto"/>
            <w:noWrap/>
            <w:vAlign w:val="bottom"/>
            <w:hideMark/>
          </w:tcPr>
          <w:p w14:paraId="28742AC2"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835 </w:t>
            </w:r>
          </w:p>
        </w:tc>
        <w:tc>
          <w:tcPr>
            <w:tcW w:w="578" w:type="pct"/>
            <w:tcBorders>
              <w:top w:val="nil"/>
              <w:left w:val="nil"/>
              <w:bottom w:val="nil"/>
              <w:right w:val="nil"/>
            </w:tcBorders>
            <w:shd w:val="clear" w:color="auto" w:fill="auto"/>
            <w:noWrap/>
            <w:vAlign w:val="bottom"/>
            <w:hideMark/>
          </w:tcPr>
          <w:p w14:paraId="0B992900"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835 </w:t>
            </w:r>
          </w:p>
        </w:tc>
        <w:tc>
          <w:tcPr>
            <w:tcW w:w="578" w:type="pct"/>
            <w:tcBorders>
              <w:top w:val="nil"/>
              <w:left w:val="nil"/>
              <w:bottom w:val="nil"/>
              <w:right w:val="nil"/>
            </w:tcBorders>
            <w:shd w:val="clear" w:color="auto" w:fill="auto"/>
            <w:noWrap/>
            <w:vAlign w:val="bottom"/>
            <w:hideMark/>
          </w:tcPr>
          <w:p w14:paraId="0DC69448"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835 </w:t>
            </w:r>
          </w:p>
        </w:tc>
      </w:tr>
      <w:tr w:rsidR="00BC2BED" w:rsidRPr="00684B76" w14:paraId="1FFBA4AD" w14:textId="77777777" w:rsidTr="00BC2BED">
        <w:trPr>
          <w:trHeight w:val="200"/>
        </w:trPr>
        <w:tc>
          <w:tcPr>
            <w:tcW w:w="2111" w:type="pct"/>
            <w:tcBorders>
              <w:top w:val="nil"/>
              <w:left w:val="nil"/>
              <w:bottom w:val="nil"/>
              <w:right w:val="nil"/>
            </w:tcBorders>
            <w:shd w:val="clear" w:color="auto" w:fill="auto"/>
            <w:noWrap/>
            <w:vAlign w:val="bottom"/>
            <w:hideMark/>
          </w:tcPr>
          <w:p w14:paraId="4AF32CC9"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Receivables</w:t>
            </w:r>
          </w:p>
        </w:tc>
        <w:tc>
          <w:tcPr>
            <w:tcW w:w="578" w:type="pct"/>
            <w:tcBorders>
              <w:top w:val="nil"/>
              <w:left w:val="nil"/>
              <w:bottom w:val="nil"/>
              <w:right w:val="nil"/>
            </w:tcBorders>
            <w:shd w:val="clear" w:color="auto" w:fill="auto"/>
            <w:noWrap/>
            <w:vAlign w:val="bottom"/>
            <w:hideMark/>
          </w:tcPr>
          <w:p w14:paraId="6E09FAA0"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2,197 </w:t>
            </w:r>
          </w:p>
        </w:tc>
        <w:tc>
          <w:tcPr>
            <w:tcW w:w="578" w:type="pct"/>
            <w:tcBorders>
              <w:top w:val="nil"/>
              <w:left w:val="nil"/>
              <w:bottom w:val="nil"/>
              <w:right w:val="nil"/>
            </w:tcBorders>
            <w:shd w:val="clear" w:color="000000" w:fill="E6E6E6"/>
            <w:noWrap/>
            <w:vAlign w:val="bottom"/>
            <w:hideMark/>
          </w:tcPr>
          <w:p w14:paraId="0FE0C3A4"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2,197 </w:t>
            </w:r>
          </w:p>
        </w:tc>
        <w:tc>
          <w:tcPr>
            <w:tcW w:w="578" w:type="pct"/>
            <w:tcBorders>
              <w:top w:val="nil"/>
              <w:left w:val="nil"/>
              <w:bottom w:val="nil"/>
              <w:right w:val="nil"/>
            </w:tcBorders>
            <w:shd w:val="clear" w:color="auto" w:fill="auto"/>
            <w:noWrap/>
            <w:vAlign w:val="bottom"/>
            <w:hideMark/>
          </w:tcPr>
          <w:p w14:paraId="3CBE1344"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2,197 </w:t>
            </w:r>
          </w:p>
        </w:tc>
        <w:tc>
          <w:tcPr>
            <w:tcW w:w="578" w:type="pct"/>
            <w:tcBorders>
              <w:top w:val="nil"/>
              <w:left w:val="nil"/>
              <w:bottom w:val="nil"/>
              <w:right w:val="nil"/>
            </w:tcBorders>
            <w:shd w:val="clear" w:color="auto" w:fill="auto"/>
            <w:noWrap/>
            <w:vAlign w:val="bottom"/>
            <w:hideMark/>
          </w:tcPr>
          <w:p w14:paraId="62F5E361"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2,197 </w:t>
            </w:r>
          </w:p>
        </w:tc>
        <w:tc>
          <w:tcPr>
            <w:tcW w:w="578" w:type="pct"/>
            <w:tcBorders>
              <w:top w:val="nil"/>
              <w:left w:val="nil"/>
              <w:bottom w:val="nil"/>
              <w:right w:val="nil"/>
            </w:tcBorders>
            <w:shd w:val="clear" w:color="auto" w:fill="auto"/>
            <w:noWrap/>
            <w:vAlign w:val="bottom"/>
            <w:hideMark/>
          </w:tcPr>
          <w:p w14:paraId="0E20EB9D"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2,197 </w:t>
            </w:r>
          </w:p>
        </w:tc>
      </w:tr>
      <w:tr w:rsidR="00BC2BED" w:rsidRPr="00684B76" w14:paraId="0DDF27FA" w14:textId="77777777" w:rsidTr="00BC2BED">
        <w:trPr>
          <w:trHeight w:val="200"/>
        </w:trPr>
        <w:tc>
          <w:tcPr>
            <w:tcW w:w="2111" w:type="pct"/>
            <w:tcBorders>
              <w:top w:val="nil"/>
              <w:left w:val="nil"/>
              <w:bottom w:val="nil"/>
              <w:right w:val="nil"/>
            </w:tcBorders>
            <w:shd w:val="clear" w:color="auto" w:fill="auto"/>
            <w:noWrap/>
            <w:vAlign w:val="bottom"/>
            <w:hideMark/>
          </w:tcPr>
          <w:p w14:paraId="13E954FF" w14:textId="77777777" w:rsidR="00BC2BED" w:rsidRPr="00043432" w:rsidRDefault="00BC2BED"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financial assets</w:t>
            </w:r>
          </w:p>
        </w:tc>
        <w:tc>
          <w:tcPr>
            <w:tcW w:w="578" w:type="pct"/>
            <w:tcBorders>
              <w:top w:val="single" w:sz="4" w:space="0" w:color="000000"/>
              <w:left w:val="nil"/>
              <w:bottom w:val="single" w:sz="4" w:space="0" w:color="000000"/>
              <w:right w:val="nil"/>
            </w:tcBorders>
            <w:shd w:val="clear" w:color="auto" w:fill="auto"/>
            <w:noWrap/>
            <w:vAlign w:val="bottom"/>
            <w:hideMark/>
          </w:tcPr>
          <w:p w14:paraId="796E6D6F"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3,032 </w:t>
            </w:r>
          </w:p>
        </w:tc>
        <w:tc>
          <w:tcPr>
            <w:tcW w:w="578" w:type="pct"/>
            <w:tcBorders>
              <w:top w:val="single" w:sz="4" w:space="0" w:color="000000"/>
              <w:left w:val="nil"/>
              <w:bottom w:val="single" w:sz="4" w:space="0" w:color="000000"/>
              <w:right w:val="nil"/>
            </w:tcBorders>
            <w:shd w:val="clear" w:color="000000" w:fill="E6E6E6"/>
            <w:noWrap/>
            <w:vAlign w:val="bottom"/>
            <w:hideMark/>
          </w:tcPr>
          <w:p w14:paraId="1C694160"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3,032 </w:t>
            </w:r>
          </w:p>
        </w:tc>
        <w:tc>
          <w:tcPr>
            <w:tcW w:w="578" w:type="pct"/>
            <w:tcBorders>
              <w:top w:val="single" w:sz="4" w:space="0" w:color="000000"/>
              <w:left w:val="nil"/>
              <w:bottom w:val="single" w:sz="4" w:space="0" w:color="000000"/>
              <w:right w:val="nil"/>
            </w:tcBorders>
            <w:shd w:val="clear" w:color="auto" w:fill="auto"/>
            <w:noWrap/>
            <w:vAlign w:val="bottom"/>
            <w:hideMark/>
          </w:tcPr>
          <w:p w14:paraId="0CFDB1B5"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3,032 </w:t>
            </w:r>
          </w:p>
        </w:tc>
        <w:tc>
          <w:tcPr>
            <w:tcW w:w="578" w:type="pct"/>
            <w:tcBorders>
              <w:top w:val="single" w:sz="4" w:space="0" w:color="000000"/>
              <w:left w:val="nil"/>
              <w:bottom w:val="single" w:sz="4" w:space="0" w:color="000000"/>
              <w:right w:val="nil"/>
            </w:tcBorders>
            <w:shd w:val="clear" w:color="auto" w:fill="auto"/>
            <w:noWrap/>
            <w:vAlign w:val="bottom"/>
            <w:hideMark/>
          </w:tcPr>
          <w:p w14:paraId="7B971836"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3,032 </w:t>
            </w:r>
          </w:p>
        </w:tc>
        <w:tc>
          <w:tcPr>
            <w:tcW w:w="578" w:type="pct"/>
            <w:tcBorders>
              <w:top w:val="single" w:sz="4" w:space="0" w:color="000000"/>
              <w:left w:val="nil"/>
              <w:bottom w:val="single" w:sz="4" w:space="0" w:color="000000"/>
              <w:right w:val="nil"/>
            </w:tcBorders>
            <w:shd w:val="clear" w:color="auto" w:fill="auto"/>
            <w:noWrap/>
            <w:vAlign w:val="bottom"/>
            <w:hideMark/>
          </w:tcPr>
          <w:p w14:paraId="6E88B6F1"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3,032 </w:t>
            </w:r>
          </w:p>
        </w:tc>
      </w:tr>
      <w:tr w:rsidR="00BC2BED" w:rsidRPr="00684B76" w14:paraId="3D1B0FB2" w14:textId="77777777" w:rsidTr="00BC2BED">
        <w:trPr>
          <w:trHeight w:val="420"/>
        </w:trPr>
        <w:tc>
          <w:tcPr>
            <w:tcW w:w="2111" w:type="pct"/>
            <w:tcBorders>
              <w:top w:val="nil"/>
              <w:left w:val="nil"/>
              <w:bottom w:val="nil"/>
              <w:right w:val="nil"/>
            </w:tcBorders>
            <w:shd w:val="clear" w:color="auto" w:fill="auto"/>
            <w:vAlign w:val="bottom"/>
            <w:hideMark/>
          </w:tcPr>
          <w:p w14:paraId="450D4F01"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assets administered on</w:t>
            </w:r>
            <w:r w:rsidRPr="00043432">
              <w:rPr>
                <w:rFonts w:eastAsia="Times New Roman" w:cs="Arial"/>
                <w:b/>
                <w:bCs/>
                <w:sz w:val="16"/>
                <w:szCs w:val="16"/>
                <w:lang w:eastAsia="en-AU"/>
              </w:rPr>
              <w:br/>
              <w:t xml:space="preserve">  behalf of Government</w:t>
            </w:r>
          </w:p>
        </w:tc>
        <w:tc>
          <w:tcPr>
            <w:tcW w:w="578" w:type="pct"/>
            <w:tcBorders>
              <w:top w:val="nil"/>
              <w:left w:val="nil"/>
              <w:bottom w:val="single" w:sz="4" w:space="0" w:color="auto"/>
              <w:right w:val="nil"/>
            </w:tcBorders>
            <w:shd w:val="clear" w:color="auto" w:fill="auto"/>
            <w:noWrap/>
            <w:vAlign w:val="bottom"/>
            <w:hideMark/>
          </w:tcPr>
          <w:p w14:paraId="2A9CA125"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3,032 </w:t>
            </w:r>
          </w:p>
        </w:tc>
        <w:tc>
          <w:tcPr>
            <w:tcW w:w="578" w:type="pct"/>
            <w:tcBorders>
              <w:top w:val="nil"/>
              <w:left w:val="nil"/>
              <w:bottom w:val="single" w:sz="4" w:space="0" w:color="auto"/>
              <w:right w:val="nil"/>
            </w:tcBorders>
            <w:shd w:val="clear" w:color="000000" w:fill="E6E6E6"/>
            <w:noWrap/>
            <w:vAlign w:val="bottom"/>
            <w:hideMark/>
          </w:tcPr>
          <w:p w14:paraId="55DEE2BB"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3,032 </w:t>
            </w:r>
          </w:p>
        </w:tc>
        <w:tc>
          <w:tcPr>
            <w:tcW w:w="578" w:type="pct"/>
            <w:tcBorders>
              <w:top w:val="nil"/>
              <w:left w:val="nil"/>
              <w:bottom w:val="single" w:sz="4" w:space="0" w:color="auto"/>
              <w:right w:val="nil"/>
            </w:tcBorders>
            <w:shd w:val="clear" w:color="auto" w:fill="auto"/>
            <w:noWrap/>
            <w:vAlign w:val="bottom"/>
            <w:hideMark/>
          </w:tcPr>
          <w:p w14:paraId="62ACF50D"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3,032 </w:t>
            </w:r>
          </w:p>
        </w:tc>
        <w:tc>
          <w:tcPr>
            <w:tcW w:w="578" w:type="pct"/>
            <w:tcBorders>
              <w:top w:val="nil"/>
              <w:left w:val="nil"/>
              <w:bottom w:val="single" w:sz="4" w:space="0" w:color="auto"/>
              <w:right w:val="nil"/>
            </w:tcBorders>
            <w:shd w:val="clear" w:color="auto" w:fill="auto"/>
            <w:noWrap/>
            <w:vAlign w:val="bottom"/>
            <w:hideMark/>
          </w:tcPr>
          <w:p w14:paraId="2041DAC0"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3,032 </w:t>
            </w:r>
          </w:p>
        </w:tc>
        <w:tc>
          <w:tcPr>
            <w:tcW w:w="578" w:type="pct"/>
            <w:tcBorders>
              <w:top w:val="nil"/>
              <w:left w:val="nil"/>
              <w:bottom w:val="single" w:sz="4" w:space="0" w:color="auto"/>
              <w:right w:val="nil"/>
            </w:tcBorders>
            <w:shd w:val="clear" w:color="auto" w:fill="auto"/>
            <w:noWrap/>
            <w:vAlign w:val="bottom"/>
            <w:hideMark/>
          </w:tcPr>
          <w:p w14:paraId="1971C83A"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3,032 </w:t>
            </w:r>
          </w:p>
        </w:tc>
      </w:tr>
      <w:tr w:rsidR="00BC2BED" w:rsidRPr="00684B76" w14:paraId="3F3827CF" w14:textId="77777777" w:rsidTr="00BC2BED">
        <w:trPr>
          <w:trHeight w:val="210"/>
        </w:trPr>
        <w:tc>
          <w:tcPr>
            <w:tcW w:w="2111" w:type="pct"/>
            <w:tcBorders>
              <w:top w:val="nil"/>
              <w:left w:val="nil"/>
              <w:bottom w:val="nil"/>
              <w:right w:val="nil"/>
            </w:tcBorders>
            <w:shd w:val="clear" w:color="auto" w:fill="auto"/>
            <w:noWrap/>
            <w:vAlign w:val="bottom"/>
            <w:hideMark/>
          </w:tcPr>
          <w:p w14:paraId="5235E319"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LIABILITIES</w:t>
            </w:r>
          </w:p>
        </w:tc>
        <w:tc>
          <w:tcPr>
            <w:tcW w:w="578" w:type="pct"/>
            <w:tcBorders>
              <w:top w:val="nil"/>
              <w:left w:val="nil"/>
              <w:bottom w:val="nil"/>
              <w:right w:val="nil"/>
            </w:tcBorders>
            <w:shd w:val="clear" w:color="auto" w:fill="auto"/>
            <w:noWrap/>
            <w:vAlign w:val="bottom"/>
            <w:hideMark/>
          </w:tcPr>
          <w:p w14:paraId="78562233"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1B6B02DA"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nil"/>
              <w:left w:val="nil"/>
              <w:bottom w:val="nil"/>
              <w:right w:val="nil"/>
            </w:tcBorders>
            <w:shd w:val="clear" w:color="auto" w:fill="auto"/>
            <w:noWrap/>
            <w:vAlign w:val="bottom"/>
            <w:hideMark/>
          </w:tcPr>
          <w:p w14:paraId="735936A4"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40921C6D"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40595C56"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684B76" w14:paraId="49AE8B6F" w14:textId="77777777" w:rsidTr="00BC2BED">
        <w:trPr>
          <w:trHeight w:val="210"/>
        </w:trPr>
        <w:tc>
          <w:tcPr>
            <w:tcW w:w="2111" w:type="pct"/>
            <w:tcBorders>
              <w:top w:val="nil"/>
              <w:left w:val="nil"/>
              <w:bottom w:val="nil"/>
              <w:right w:val="nil"/>
            </w:tcBorders>
            <w:shd w:val="clear" w:color="auto" w:fill="auto"/>
            <w:noWrap/>
            <w:vAlign w:val="bottom"/>
            <w:hideMark/>
          </w:tcPr>
          <w:p w14:paraId="685BFE7F"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Payables</w:t>
            </w:r>
          </w:p>
        </w:tc>
        <w:tc>
          <w:tcPr>
            <w:tcW w:w="578" w:type="pct"/>
            <w:tcBorders>
              <w:top w:val="nil"/>
              <w:left w:val="nil"/>
              <w:bottom w:val="nil"/>
              <w:right w:val="nil"/>
            </w:tcBorders>
            <w:shd w:val="clear" w:color="auto" w:fill="auto"/>
            <w:noWrap/>
            <w:vAlign w:val="bottom"/>
            <w:hideMark/>
          </w:tcPr>
          <w:p w14:paraId="2C3F4739"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p>
        </w:tc>
        <w:tc>
          <w:tcPr>
            <w:tcW w:w="578" w:type="pct"/>
            <w:tcBorders>
              <w:top w:val="nil"/>
              <w:left w:val="nil"/>
              <w:bottom w:val="nil"/>
              <w:right w:val="nil"/>
            </w:tcBorders>
            <w:shd w:val="clear" w:color="000000" w:fill="E6E6E6"/>
            <w:noWrap/>
            <w:vAlign w:val="bottom"/>
            <w:hideMark/>
          </w:tcPr>
          <w:p w14:paraId="129C1D91"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 </w:t>
            </w:r>
          </w:p>
        </w:tc>
        <w:tc>
          <w:tcPr>
            <w:tcW w:w="578" w:type="pct"/>
            <w:tcBorders>
              <w:top w:val="nil"/>
              <w:left w:val="nil"/>
              <w:bottom w:val="nil"/>
              <w:right w:val="nil"/>
            </w:tcBorders>
            <w:shd w:val="clear" w:color="auto" w:fill="auto"/>
            <w:noWrap/>
            <w:vAlign w:val="bottom"/>
            <w:hideMark/>
          </w:tcPr>
          <w:p w14:paraId="0A26FE93"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p>
        </w:tc>
        <w:tc>
          <w:tcPr>
            <w:tcW w:w="578" w:type="pct"/>
            <w:tcBorders>
              <w:top w:val="nil"/>
              <w:left w:val="nil"/>
              <w:bottom w:val="nil"/>
              <w:right w:val="nil"/>
            </w:tcBorders>
            <w:shd w:val="clear" w:color="auto" w:fill="auto"/>
            <w:noWrap/>
            <w:vAlign w:val="bottom"/>
            <w:hideMark/>
          </w:tcPr>
          <w:p w14:paraId="1500F80A"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c>
          <w:tcPr>
            <w:tcW w:w="578" w:type="pct"/>
            <w:tcBorders>
              <w:top w:val="nil"/>
              <w:left w:val="nil"/>
              <w:bottom w:val="nil"/>
              <w:right w:val="nil"/>
            </w:tcBorders>
            <w:shd w:val="clear" w:color="auto" w:fill="auto"/>
            <w:noWrap/>
            <w:vAlign w:val="bottom"/>
            <w:hideMark/>
          </w:tcPr>
          <w:p w14:paraId="613858AB" w14:textId="77777777" w:rsidR="00BC2BED" w:rsidRPr="00043432" w:rsidRDefault="00BC2BED" w:rsidP="00043432">
            <w:pPr>
              <w:pStyle w:val="ListParagraph"/>
              <w:numPr>
                <w:ilvl w:val="0"/>
                <w:numId w:val="20"/>
              </w:numPr>
              <w:spacing w:after="0"/>
              <w:jc w:val="left"/>
              <w:rPr>
                <w:rFonts w:ascii="Times New Roman" w:eastAsia="Times New Roman" w:hAnsi="Times New Roman" w:cs="Times New Roman"/>
                <w:color w:val="auto"/>
                <w:sz w:val="20"/>
                <w:szCs w:val="20"/>
                <w:lang w:eastAsia="en-AU"/>
              </w:rPr>
            </w:pPr>
          </w:p>
        </w:tc>
      </w:tr>
      <w:tr w:rsidR="00BC2BED" w:rsidRPr="00684B76" w14:paraId="4C3C1A71" w14:textId="77777777" w:rsidTr="00BC2BED">
        <w:trPr>
          <w:trHeight w:val="200"/>
        </w:trPr>
        <w:tc>
          <w:tcPr>
            <w:tcW w:w="2111" w:type="pct"/>
            <w:tcBorders>
              <w:top w:val="nil"/>
              <w:left w:val="nil"/>
              <w:bottom w:val="nil"/>
              <w:right w:val="nil"/>
            </w:tcBorders>
            <w:shd w:val="clear" w:color="auto" w:fill="auto"/>
            <w:noWrap/>
            <w:vAlign w:val="bottom"/>
            <w:hideMark/>
          </w:tcPr>
          <w:p w14:paraId="48281011" w14:textId="77777777" w:rsidR="00BC2BED" w:rsidRPr="00043432" w:rsidRDefault="00BC2BED" w:rsidP="00043432">
            <w:pPr>
              <w:pStyle w:val="ListParagraph"/>
              <w:numPr>
                <w:ilvl w:val="0"/>
                <w:numId w:val="20"/>
              </w:numPr>
              <w:spacing w:after="0"/>
              <w:jc w:val="left"/>
              <w:rPr>
                <w:rFonts w:eastAsia="Times New Roman" w:cs="Arial"/>
                <w:sz w:val="16"/>
                <w:szCs w:val="16"/>
                <w:lang w:eastAsia="en-AU"/>
              </w:rPr>
            </w:pPr>
            <w:r w:rsidRPr="00043432">
              <w:rPr>
                <w:rFonts w:eastAsia="Times New Roman" w:cs="Arial"/>
                <w:sz w:val="16"/>
                <w:szCs w:val="16"/>
                <w:lang w:eastAsia="en-AU"/>
              </w:rPr>
              <w:t>Lloyds Security Trust Deposit</w:t>
            </w:r>
          </w:p>
        </w:tc>
        <w:tc>
          <w:tcPr>
            <w:tcW w:w="578" w:type="pct"/>
            <w:tcBorders>
              <w:top w:val="nil"/>
              <w:left w:val="nil"/>
              <w:bottom w:val="nil"/>
              <w:right w:val="nil"/>
            </w:tcBorders>
            <w:shd w:val="clear" w:color="auto" w:fill="auto"/>
            <w:noWrap/>
            <w:vAlign w:val="bottom"/>
            <w:hideMark/>
          </w:tcPr>
          <w:p w14:paraId="43FD47D9"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2,000 </w:t>
            </w:r>
          </w:p>
        </w:tc>
        <w:tc>
          <w:tcPr>
            <w:tcW w:w="578" w:type="pct"/>
            <w:tcBorders>
              <w:top w:val="nil"/>
              <w:left w:val="nil"/>
              <w:bottom w:val="nil"/>
              <w:right w:val="nil"/>
            </w:tcBorders>
            <w:shd w:val="clear" w:color="000000" w:fill="E6E6E6"/>
            <w:noWrap/>
            <w:vAlign w:val="bottom"/>
            <w:hideMark/>
          </w:tcPr>
          <w:p w14:paraId="66BA2A58"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2,000 </w:t>
            </w:r>
          </w:p>
        </w:tc>
        <w:tc>
          <w:tcPr>
            <w:tcW w:w="578" w:type="pct"/>
            <w:tcBorders>
              <w:top w:val="nil"/>
              <w:left w:val="nil"/>
              <w:bottom w:val="nil"/>
              <w:right w:val="nil"/>
            </w:tcBorders>
            <w:shd w:val="clear" w:color="auto" w:fill="auto"/>
            <w:noWrap/>
            <w:vAlign w:val="bottom"/>
            <w:hideMark/>
          </w:tcPr>
          <w:p w14:paraId="0EF75BFF"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2,000 </w:t>
            </w:r>
          </w:p>
        </w:tc>
        <w:tc>
          <w:tcPr>
            <w:tcW w:w="578" w:type="pct"/>
            <w:tcBorders>
              <w:top w:val="nil"/>
              <w:left w:val="nil"/>
              <w:bottom w:val="nil"/>
              <w:right w:val="nil"/>
            </w:tcBorders>
            <w:shd w:val="clear" w:color="auto" w:fill="auto"/>
            <w:noWrap/>
            <w:vAlign w:val="bottom"/>
            <w:hideMark/>
          </w:tcPr>
          <w:p w14:paraId="4290F9F0"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2,000 </w:t>
            </w:r>
          </w:p>
        </w:tc>
        <w:tc>
          <w:tcPr>
            <w:tcW w:w="578" w:type="pct"/>
            <w:tcBorders>
              <w:top w:val="nil"/>
              <w:left w:val="nil"/>
              <w:bottom w:val="nil"/>
              <w:right w:val="nil"/>
            </w:tcBorders>
            <w:shd w:val="clear" w:color="auto" w:fill="auto"/>
            <w:noWrap/>
            <w:vAlign w:val="bottom"/>
            <w:hideMark/>
          </w:tcPr>
          <w:p w14:paraId="4ED13DC9" w14:textId="77777777" w:rsidR="00BC2BED" w:rsidRPr="00043432" w:rsidRDefault="00BC2BED" w:rsidP="00043432">
            <w:pPr>
              <w:pStyle w:val="ListParagraph"/>
              <w:numPr>
                <w:ilvl w:val="0"/>
                <w:numId w:val="20"/>
              </w:numPr>
              <w:spacing w:after="0"/>
              <w:jc w:val="right"/>
              <w:rPr>
                <w:rFonts w:eastAsia="Times New Roman" w:cs="Arial"/>
                <w:sz w:val="16"/>
                <w:szCs w:val="16"/>
                <w:lang w:eastAsia="en-AU"/>
              </w:rPr>
            </w:pPr>
            <w:r w:rsidRPr="00043432">
              <w:rPr>
                <w:rFonts w:eastAsia="Times New Roman" w:cs="Arial"/>
                <w:sz w:val="16"/>
                <w:szCs w:val="16"/>
                <w:lang w:eastAsia="en-AU"/>
              </w:rPr>
              <w:t xml:space="preserve">2,000 </w:t>
            </w:r>
          </w:p>
        </w:tc>
      </w:tr>
      <w:tr w:rsidR="00BC2BED" w:rsidRPr="00684B76" w14:paraId="4F8E4958" w14:textId="77777777" w:rsidTr="00BC2BED">
        <w:trPr>
          <w:trHeight w:val="200"/>
        </w:trPr>
        <w:tc>
          <w:tcPr>
            <w:tcW w:w="2111" w:type="pct"/>
            <w:tcBorders>
              <w:top w:val="nil"/>
              <w:left w:val="nil"/>
              <w:bottom w:val="nil"/>
              <w:right w:val="nil"/>
            </w:tcBorders>
            <w:shd w:val="clear" w:color="auto" w:fill="auto"/>
            <w:noWrap/>
            <w:vAlign w:val="bottom"/>
            <w:hideMark/>
          </w:tcPr>
          <w:p w14:paraId="38CF3366" w14:textId="77777777" w:rsidR="00BC2BED" w:rsidRPr="00043432" w:rsidRDefault="00BC2BED" w:rsidP="00043432">
            <w:pPr>
              <w:pStyle w:val="ListParagraph"/>
              <w:numPr>
                <w:ilvl w:val="0"/>
                <w:numId w:val="20"/>
              </w:numPr>
              <w:spacing w:after="0"/>
              <w:jc w:val="left"/>
              <w:rPr>
                <w:rFonts w:eastAsia="Times New Roman" w:cs="Arial"/>
                <w:b/>
                <w:bCs/>
                <w:i/>
                <w:iCs/>
                <w:sz w:val="16"/>
                <w:szCs w:val="16"/>
                <w:lang w:eastAsia="en-AU"/>
              </w:rPr>
            </w:pPr>
            <w:r w:rsidRPr="00043432">
              <w:rPr>
                <w:rFonts w:eastAsia="Times New Roman" w:cs="Arial"/>
                <w:b/>
                <w:bCs/>
                <w:i/>
                <w:iCs/>
                <w:sz w:val="16"/>
                <w:szCs w:val="16"/>
                <w:lang w:eastAsia="en-AU"/>
              </w:rPr>
              <w:t>Total payables</w:t>
            </w:r>
          </w:p>
        </w:tc>
        <w:tc>
          <w:tcPr>
            <w:tcW w:w="578" w:type="pct"/>
            <w:tcBorders>
              <w:top w:val="single" w:sz="4" w:space="0" w:color="000000"/>
              <w:left w:val="nil"/>
              <w:bottom w:val="single" w:sz="4" w:space="0" w:color="000000"/>
              <w:right w:val="nil"/>
            </w:tcBorders>
            <w:shd w:val="clear" w:color="auto" w:fill="auto"/>
            <w:noWrap/>
            <w:vAlign w:val="bottom"/>
            <w:hideMark/>
          </w:tcPr>
          <w:p w14:paraId="7FF39B6E"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2,000 </w:t>
            </w:r>
          </w:p>
        </w:tc>
        <w:tc>
          <w:tcPr>
            <w:tcW w:w="578" w:type="pct"/>
            <w:tcBorders>
              <w:top w:val="single" w:sz="4" w:space="0" w:color="000000"/>
              <w:left w:val="nil"/>
              <w:bottom w:val="single" w:sz="4" w:space="0" w:color="000000"/>
              <w:right w:val="nil"/>
            </w:tcBorders>
            <w:shd w:val="clear" w:color="000000" w:fill="E6E6E6"/>
            <w:noWrap/>
            <w:vAlign w:val="bottom"/>
            <w:hideMark/>
          </w:tcPr>
          <w:p w14:paraId="3F9EC0D3"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2,000 </w:t>
            </w:r>
          </w:p>
        </w:tc>
        <w:tc>
          <w:tcPr>
            <w:tcW w:w="578" w:type="pct"/>
            <w:tcBorders>
              <w:top w:val="single" w:sz="4" w:space="0" w:color="000000"/>
              <w:left w:val="nil"/>
              <w:bottom w:val="single" w:sz="4" w:space="0" w:color="000000"/>
              <w:right w:val="nil"/>
            </w:tcBorders>
            <w:shd w:val="clear" w:color="auto" w:fill="auto"/>
            <w:noWrap/>
            <w:vAlign w:val="bottom"/>
            <w:hideMark/>
          </w:tcPr>
          <w:p w14:paraId="48582DDA"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2,000 </w:t>
            </w:r>
          </w:p>
        </w:tc>
        <w:tc>
          <w:tcPr>
            <w:tcW w:w="578" w:type="pct"/>
            <w:tcBorders>
              <w:top w:val="single" w:sz="4" w:space="0" w:color="000000"/>
              <w:left w:val="nil"/>
              <w:bottom w:val="single" w:sz="4" w:space="0" w:color="000000"/>
              <w:right w:val="nil"/>
            </w:tcBorders>
            <w:shd w:val="clear" w:color="auto" w:fill="auto"/>
            <w:noWrap/>
            <w:vAlign w:val="bottom"/>
            <w:hideMark/>
          </w:tcPr>
          <w:p w14:paraId="79E3DDCE"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2,000 </w:t>
            </w:r>
          </w:p>
        </w:tc>
        <w:tc>
          <w:tcPr>
            <w:tcW w:w="578" w:type="pct"/>
            <w:tcBorders>
              <w:top w:val="single" w:sz="4" w:space="0" w:color="000000"/>
              <w:left w:val="nil"/>
              <w:bottom w:val="single" w:sz="4" w:space="0" w:color="000000"/>
              <w:right w:val="nil"/>
            </w:tcBorders>
            <w:shd w:val="clear" w:color="auto" w:fill="auto"/>
            <w:noWrap/>
            <w:vAlign w:val="bottom"/>
            <w:hideMark/>
          </w:tcPr>
          <w:p w14:paraId="35C13155"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2,000 </w:t>
            </w:r>
          </w:p>
        </w:tc>
      </w:tr>
      <w:tr w:rsidR="00BC2BED" w:rsidRPr="00684B76" w14:paraId="6FD65E91" w14:textId="77777777" w:rsidTr="00BC2BED">
        <w:trPr>
          <w:trHeight w:val="420"/>
        </w:trPr>
        <w:tc>
          <w:tcPr>
            <w:tcW w:w="2111" w:type="pct"/>
            <w:tcBorders>
              <w:top w:val="nil"/>
              <w:left w:val="nil"/>
              <w:bottom w:val="nil"/>
              <w:right w:val="nil"/>
            </w:tcBorders>
            <w:shd w:val="clear" w:color="auto" w:fill="auto"/>
            <w:vAlign w:val="bottom"/>
            <w:hideMark/>
          </w:tcPr>
          <w:p w14:paraId="20A0890A"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Total liabilities administered on</w:t>
            </w:r>
            <w:r w:rsidRPr="00043432">
              <w:rPr>
                <w:rFonts w:eastAsia="Times New Roman" w:cs="Arial"/>
                <w:b/>
                <w:bCs/>
                <w:sz w:val="16"/>
                <w:szCs w:val="16"/>
                <w:lang w:eastAsia="en-AU"/>
              </w:rPr>
              <w:br/>
              <w:t xml:space="preserve">  behalf of Government</w:t>
            </w:r>
          </w:p>
        </w:tc>
        <w:tc>
          <w:tcPr>
            <w:tcW w:w="578" w:type="pct"/>
            <w:tcBorders>
              <w:top w:val="nil"/>
              <w:left w:val="nil"/>
              <w:bottom w:val="single" w:sz="4" w:space="0" w:color="000000"/>
              <w:right w:val="nil"/>
            </w:tcBorders>
            <w:shd w:val="clear" w:color="auto" w:fill="auto"/>
            <w:noWrap/>
            <w:vAlign w:val="bottom"/>
            <w:hideMark/>
          </w:tcPr>
          <w:p w14:paraId="49B616D4"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2,000 </w:t>
            </w:r>
          </w:p>
        </w:tc>
        <w:tc>
          <w:tcPr>
            <w:tcW w:w="578" w:type="pct"/>
            <w:tcBorders>
              <w:top w:val="nil"/>
              <w:left w:val="nil"/>
              <w:bottom w:val="single" w:sz="4" w:space="0" w:color="000000"/>
              <w:right w:val="nil"/>
            </w:tcBorders>
            <w:shd w:val="clear" w:color="000000" w:fill="E6E6E6"/>
            <w:noWrap/>
            <w:vAlign w:val="bottom"/>
            <w:hideMark/>
          </w:tcPr>
          <w:p w14:paraId="6996A6D1"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2,000 </w:t>
            </w:r>
          </w:p>
        </w:tc>
        <w:tc>
          <w:tcPr>
            <w:tcW w:w="578" w:type="pct"/>
            <w:tcBorders>
              <w:top w:val="nil"/>
              <w:left w:val="nil"/>
              <w:bottom w:val="single" w:sz="4" w:space="0" w:color="000000"/>
              <w:right w:val="nil"/>
            </w:tcBorders>
            <w:shd w:val="clear" w:color="auto" w:fill="auto"/>
            <w:noWrap/>
            <w:vAlign w:val="bottom"/>
            <w:hideMark/>
          </w:tcPr>
          <w:p w14:paraId="538A9E07"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2,000 </w:t>
            </w:r>
          </w:p>
        </w:tc>
        <w:tc>
          <w:tcPr>
            <w:tcW w:w="578" w:type="pct"/>
            <w:tcBorders>
              <w:top w:val="nil"/>
              <w:left w:val="nil"/>
              <w:bottom w:val="single" w:sz="4" w:space="0" w:color="000000"/>
              <w:right w:val="nil"/>
            </w:tcBorders>
            <w:shd w:val="clear" w:color="auto" w:fill="auto"/>
            <w:noWrap/>
            <w:vAlign w:val="bottom"/>
            <w:hideMark/>
          </w:tcPr>
          <w:p w14:paraId="07DD6749"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2,000 </w:t>
            </w:r>
          </w:p>
        </w:tc>
        <w:tc>
          <w:tcPr>
            <w:tcW w:w="578" w:type="pct"/>
            <w:tcBorders>
              <w:top w:val="nil"/>
              <w:left w:val="nil"/>
              <w:bottom w:val="single" w:sz="4" w:space="0" w:color="000000"/>
              <w:right w:val="nil"/>
            </w:tcBorders>
            <w:shd w:val="clear" w:color="auto" w:fill="auto"/>
            <w:noWrap/>
            <w:vAlign w:val="bottom"/>
            <w:hideMark/>
          </w:tcPr>
          <w:p w14:paraId="53D00ED8"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2,000 </w:t>
            </w:r>
          </w:p>
        </w:tc>
      </w:tr>
      <w:tr w:rsidR="00BC2BED" w:rsidRPr="00684B76" w14:paraId="4E253BFF" w14:textId="77777777" w:rsidTr="00BC2BED">
        <w:trPr>
          <w:trHeight w:val="210"/>
        </w:trPr>
        <w:tc>
          <w:tcPr>
            <w:tcW w:w="2111" w:type="pct"/>
            <w:tcBorders>
              <w:top w:val="nil"/>
              <w:left w:val="nil"/>
              <w:bottom w:val="single" w:sz="4" w:space="0" w:color="000000"/>
              <w:right w:val="nil"/>
            </w:tcBorders>
            <w:shd w:val="clear" w:color="auto" w:fill="auto"/>
            <w:noWrap/>
            <w:vAlign w:val="bottom"/>
            <w:hideMark/>
          </w:tcPr>
          <w:p w14:paraId="0DF6C250" w14:textId="77777777" w:rsidR="00BC2BED" w:rsidRPr="00043432" w:rsidRDefault="00BC2BED" w:rsidP="00043432">
            <w:pPr>
              <w:pStyle w:val="ListParagraph"/>
              <w:numPr>
                <w:ilvl w:val="0"/>
                <w:numId w:val="20"/>
              </w:numPr>
              <w:spacing w:after="0"/>
              <w:jc w:val="left"/>
              <w:rPr>
                <w:rFonts w:eastAsia="Times New Roman" w:cs="Arial"/>
                <w:b/>
                <w:bCs/>
                <w:sz w:val="16"/>
                <w:szCs w:val="16"/>
                <w:lang w:eastAsia="en-AU"/>
              </w:rPr>
            </w:pPr>
            <w:r w:rsidRPr="00043432">
              <w:rPr>
                <w:rFonts w:eastAsia="Times New Roman" w:cs="Arial"/>
                <w:b/>
                <w:bCs/>
                <w:sz w:val="16"/>
                <w:szCs w:val="16"/>
                <w:lang w:eastAsia="en-AU"/>
              </w:rPr>
              <w:t>Net assets/(liabilities)</w:t>
            </w:r>
          </w:p>
        </w:tc>
        <w:tc>
          <w:tcPr>
            <w:tcW w:w="578" w:type="pct"/>
            <w:tcBorders>
              <w:top w:val="nil"/>
              <w:left w:val="nil"/>
              <w:bottom w:val="single" w:sz="4" w:space="0" w:color="000000"/>
              <w:right w:val="nil"/>
            </w:tcBorders>
            <w:shd w:val="clear" w:color="auto" w:fill="auto"/>
            <w:noWrap/>
            <w:vAlign w:val="bottom"/>
            <w:hideMark/>
          </w:tcPr>
          <w:p w14:paraId="4E891E40"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1,032 </w:t>
            </w:r>
          </w:p>
        </w:tc>
        <w:tc>
          <w:tcPr>
            <w:tcW w:w="578" w:type="pct"/>
            <w:tcBorders>
              <w:top w:val="nil"/>
              <w:left w:val="nil"/>
              <w:bottom w:val="single" w:sz="4" w:space="0" w:color="000000"/>
              <w:right w:val="nil"/>
            </w:tcBorders>
            <w:shd w:val="clear" w:color="000000" w:fill="E6E6E6"/>
            <w:noWrap/>
            <w:vAlign w:val="bottom"/>
            <w:hideMark/>
          </w:tcPr>
          <w:p w14:paraId="7D5A5703" w14:textId="77777777" w:rsidR="00BC2BED" w:rsidRPr="00043432" w:rsidRDefault="00BC2BED" w:rsidP="00043432">
            <w:pPr>
              <w:pStyle w:val="ListParagraph"/>
              <w:numPr>
                <w:ilvl w:val="0"/>
                <w:numId w:val="20"/>
              </w:numPr>
              <w:spacing w:after="0"/>
              <w:jc w:val="right"/>
              <w:rPr>
                <w:rFonts w:eastAsia="Times New Roman" w:cs="Arial"/>
                <w:b/>
                <w:bCs/>
                <w:i/>
                <w:iCs/>
                <w:sz w:val="16"/>
                <w:szCs w:val="16"/>
                <w:lang w:eastAsia="en-AU"/>
              </w:rPr>
            </w:pPr>
            <w:r w:rsidRPr="00043432">
              <w:rPr>
                <w:rFonts w:eastAsia="Times New Roman" w:cs="Arial"/>
                <w:b/>
                <w:bCs/>
                <w:i/>
                <w:iCs/>
                <w:sz w:val="16"/>
                <w:szCs w:val="16"/>
                <w:lang w:eastAsia="en-AU"/>
              </w:rPr>
              <w:t xml:space="preserve">1,032 </w:t>
            </w:r>
          </w:p>
        </w:tc>
        <w:tc>
          <w:tcPr>
            <w:tcW w:w="578" w:type="pct"/>
            <w:tcBorders>
              <w:top w:val="nil"/>
              <w:left w:val="nil"/>
              <w:bottom w:val="single" w:sz="4" w:space="0" w:color="000000"/>
              <w:right w:val="nil"/>
            </w:tcBorders>
            <w:shd w:val="clear" w:color="auto" w:fill="auto"/>
            <w:noWrap/>
            <w:vAlign w:val="bottom"/>
            <w:hideMark/>
          </w:tcPr>
          <w:p w14:paraId="0DC8FF29"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1,032 </w:t>
            </w:r>
          </w:p>
        </w:tc>
        <w:tc>
          <w:tcPr>
            <w:tcW w:w="578" w:type="pct"/>
            <w:tcBorders>
              <w:top w:val="nil"/>
              <w:left w:val="nil"/>
              <w:bottom w:val="single" w:sz="4" w:space="0" w:color="000000"/>
              <w:right w:val="nil"/>
            </w:tcBorders>
            <w:shd w:val="clear" w:color="auto" w:fill="auto"/>
            <w:noWrap/>
            <w:vAlign w:val="bottom"/>
            <w:hideMark/>
          </w:tcPr>
          <w:p w14:paraId="72F17F1D"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1,032 </w:t>
            </w:r>
          </w:p>
        </w:tc>
        <w:tc>
          <w:tcPr>
            <w:tcW w:w="578" w:type="pct"/>
            <w:tcBorders>
              <w:top w:val="nil"/>
              <w:left w:val="nil"/>
              <w:bottom w:val="single" w:sz="4" w:space="0" w:color="000000"/>
              <w:right w:val="nil"/>
            </w:tcBorders>
            <w:shd w:val="clear" w:color="auto" w:fill="auto"/>
            <w:noWrap/>
            <w:vAlign w:val="bottom"/>
            <w:hideMark/>
          </w:tcPr>
          <w:p w14:paraId="35A676B8" w14:textId="77777777" w:rsidR="00BC2BED" w:rsidRPr="00043432" w:rsidRDefault="00BC2BED" w:rsidP="00043432">
            <w:pPr>
              <w:pStyle w:val="ListParagraph"/>
              <w:numPr>
                <w:ilvl w:val="0"/>
                <w:numId w:val="20"/>
              </w:numPr>
              <w:spacing w:after="0"/>
              <w:jc w:val="right"/>
              <w:rPr>
                <w:rFonts w:eastAsia="Times New Roman" w:cs="Arial"/>
                <w:b/>
                <w:bCs/>
                <w:sz w:val="16"/>
                <w:szCs w:val="16"/>
                <w:lang w:eastAsia="en-AU"/>
              </w:rPr>
            </w:pPr>
            <w:r w:rsidRPr="00043432">
              <w:rPr>
                <w:rFonts w:eastAsia="Times New Roman" w:cs="Arial"/>
                <w:b/>
                <w:bCs/>
                <w:sz w:val="16"/>
                <w:szCs w:val="16"/>
                <w:lang w:eastAsia="en-AU"/>
              </w:rPr>
              <w:t xml:space="preserve">1,032 </w:t>
            </w:r>
          </w:p>
        </w:tc>
      </w:tr>
    </w:tbl>
    <w:p w14:paraId="71A2B691" w14:textId="77777777" w:rsidR="0008358A" w:rsidRPr="00B7521F" w:rsidRDefault="0008358A" w:rsidP="0008358A">
      <w:pPr>
        <w:pStyle w:val="TableGraphic"/>
        <w:rPr>
          <w:rFonts w:ascii="Arial" w:hAnsi="Arial" w:cs="Arial"/>
          <w:sz w:val="16"/>
          <w:szCs w:val="16"/>
        </w:rPr>
      </w:pPr>
      <w:r w:rsidRPr="00B7521F">
        <w:rPr>
          <w:rFonts w:ascii="Arial" w:hAnsi="Arial" w:cs="Arial"/>
          <w:sz w:val="16"/>
          <w:szCs w:val="16"/>
        </w:rPr>
        <w:t>Prepared on Australian Accounting Standards basis.</w:t>
      </w:r>
    </w:p>
    <w:p w14:paraId="1653447C" w14:textId="77777777" w:rsidR="00362116" w:rsidRDefault="00362116" w:rsidP="0008358A">
      <w:pPr>
        <w:pStyle w:val="SingleParagraph"/>
        <w:spacing w:line="240" w:lineRule="auto"/>
        <w:rPr>
          <w:rFonts w:ascii="Arial" w:hAnsi="Arial" w:cs="Arial"/>
          <w:sz w:val="16"/>
          <w:szCs w:val="16"/>
        </w:rPr>
        <w:sectPr w:rsidR="00362116" w:rsidSect="00003CA8">
          <w:headerReference w:type="even" r:id="rId20"/>
          <w:headerReference w:type="default" r:id="rId21"/>
          <w:footerReference w:type="even" r:id="rId22"/>
          <w:footerReference w:type="default" r:id="rId23"/>
          <w:footerReference w:type="first" r:id="rId24"/>
          <w:pgSz w:w="11906" w:h="16838" w:code="9"/>
          <w:pgMar w:top="2410" w:right="2098" w:bottom="2127" w:left="2098" w:header="1899" w:footer="1899" w:gutter="0"/>
          <w:cols w:space="708"/>
          <w:titlePg/>
          <w:docGrid w:linePitch="360"/>
        </w:sectPr>
      </w:pPr>
    </w:p>
    <w:p w14:paraId="0A42C76C" w14:textId="613055AA" w:rsidR="0008358A" w:rsidRPr="00B7521F" w:rsidRDefault="0008358A" w:rsidP="0008358A">
      <w:pPr>
        <w:pStyle w:val="SingleParagraph"/>
        <w:spacing w:line="240" w:lineRule="auto"/>
        <w:rPr>
          <w:rFonts w:ascii="Arial" w:hAnsi="Arial" w:cs="Arial"/>
          <w:sz w:val="16"/>
          <w:szCs w:val="16"/>
        </w:rPr>
      </w:pPr>
    </w:p>
    <w:bookmarkStart w:id="30" w:name="OLE_LINK1"/>
    <w:p w14:paraId="0FCF49E7" w14:textId="7B1B6F04" w:rsidR="00362116" w:rsidRPr="00362116" w:rsidRDefault="007361C0" w:rsidP="0008358A">
      <w:pPr>
        <w:pStyle w:val="Source"/>
        <w:rPr>
          <w:rFonts w:eastAsiaTheme="minorHAnsi" w:cstheme="minorBidi"/>
          <w:b/>
          <w:bCs/>
          <w:color w:val="000000"/>
          <w:sz w:val="22"/>
          <w:szCs w:val="22"/>
          <w:lang w:eastAsia="en-US"/>
        </w:rPr>
      </w:pPr>
      <w:r w:rsidRPr="007361C0">
        <w:rPr>
          <w:rFonts w:cs="Arial"/>
          <w:b/>
          <w:bCs/>
          <w:i/>
          <w:iCs/>
          <w:noProof/>
          <w:szCs w:val="16"/>
        </w:rPr>
        <mc:AlternateContent>
          <mc:Choice Requires="wps">
            <w:drawing>
              <wp:anchor distT="45720" distB="45720" distL="114300" distR="114300" simplePos="0" relativeHeight="251659264" behindDoc="0" locked="0" layoutInCell="1" allowOverlap="1" wp14:anchorId="28611E49" wp14:editId="799A569C">
                <wp:simplePos x="0" y="0"/>
                <wp:positionH relativeFrom="column">
                  <wp:posOffset>-569595</wp:posOffset>
                </wp:positionH>
                <wp:positionV relativeFrom="paragraph">
                  <wp:posOffset>2105660</wp:posOffset>
                </wp:positionV>
                <wp:extent cx="40005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81000"/>
                        </a:xfrm>
                        <a:prstGeom prst="rect">
                          <a:avLst/>
                        </a:prstGeom>
                        <a:solidFill>
                          <a:srgbClr val="FFFFFF"/>
                        </a:solidFill>
                        <a:ln w="9525">
                          <a:noFill/>
                          <a:miter lim="800000"/>
                          <a:headEnd/>
                          <a:tailEnd/>
                        </a:ln>
                      </wps:spPr>
                      <wps:txbx>
                        <w:txbxContent>
                          <w:p w14:paraId="5835F2F0" w14:textId="0EE68A5F" w:rsidR="00950D0A" w:rsidRPr="007361C0" w:rsidRDefault="00950D0A">
                            <w:pPr>
                              <w:rPr>
                                <w:sz w:val="20"/>
                                <w:szCs w:val="20"/>
                              </w:rPr>
                            </w:pPr>
                            <w:r w:rsidRPr="007361C0">
                              <w:rPr>
                                <w:sz w:val="20"/>
                                <w:szCs w:val="20"/>
                              </w:rPr>
                              <w:t>1</w:t>
                            </w:r>
                            <w:r>
                              <w:rPr>
                                <w:sz w:val="20"/>
                                <w:szCs w:val="20"/>
                              </w:rPr>
                              <w:t>54</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11E49" id="_x0000_t202" coordsize="21600,21600" o:spt="202" path="m,l,21600r21600,l21600,xe">
                <v:stroke joinstyle="miter"/>
                <v:path gradientshapeok="t" o:connecttype="rect"/>
              </v:shapetype>
              <v:shape id="Text Box 2" o:spid="_x0000_s1026" type="#_x0000_t202" style="position:absolute;left:0;text-align:left;margin-left:-44.85pt;margin-top:165.8pt;width:31.5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" stroked="f">
                <v:textbox style="layout-flow:vertical">
                  <w:txbxContent>
                    <w:p w14:paraId="5835F2F0" w14:textId="0EE68A5F" w:rsidR="00950D0A" w:rsidRPr="007361C0" w:rsidRDefault="00950D0A">
                      <w:pPr>
                        <w:rPr>
                          <w:sz w:val="20"/>
                          <w:szCs w:val="20"/>
                        </w:rPr>
                      </w:pPr>
                      <w:r w:rsidRPr="007361C0">
                        <w:rPr>
                          <w:sz w:val="20"/>
                          <w:szCs w:val="20"/>
                        </w:rPr>
                        <w:t>1</w:t>
                      </w:r>
                      <w:r>
                        <w:rPr>
                          <w:sz w:val="20"/>
                          <w:szCs w:val="20"/>
                        </w:rPr>
                        <w:t>54</w:t>
                      </w:r>
                    </w:p>
                  </w:txbxContent>
                </v:textbox>
                <w10:wrap type="square"/>
              </v:shape>
            </w:pict>
          </mc:Fallback>
        </mc:AlternateContent>
      </w:r>
      <w:r w:rsidR="0008358A" w:rsidRPr="00362116">
        <w:rPr>
          <w:b/>
          <w:bCs/>
          <w:sz w:val="20"/>
        </w:rPr>
        <w:t>Table 3.9: Schedule of budgeted administered cash flows (for the period ended 30 June)</w:t>
      </w:r>
      <w:bookmarkEnd w:id="30"/>
    </w:p>
    <w:tbl>
      <w:tblPr>
        <w:tblW w:w="5000" w:type="pct"/>
        <w:tblCellMar>
          <w:left w:w="0" w:type="dxa"/>
          <w:right w:w="28" w:type="dxa"/>
        </w:tblCellMar>
        <w:tblLook w:val="04A0" w:firstRow="1" w:lastRow="0" w:firstColumn="1" w:lastColumn="0" w:noHBand="0" w:noVBand="1"/>
      </w:tblPr>
      <w:tblGrid>
        <w:gridCol w:w="6180"/>
        <w:gridCol w:w="1252"/>
        <w:gridCol w:w="1218"/>
        <w:gridCol w:w="1218"/>
        <w:gridCol w:w="1218"/>
        <w:gridCol w:w="1215"/>
      </w:tblGrid>
      <w:tr w:rsidR="00362116" w:rsidRPr="00362116" w14:paraId="4B2A9B7B" w14:textId="77777777" w:rsidTr="00362116">
        <w:trPr>
          <w:trHeight w:val="900"/>
        </w:trPr>
        <w:tc>
          <w:tcPr>
            <w:tcW w:w="2512" w:type="pct"/>
            <w:tcBorders>
              <w:top w:val="single" w:sz="4" w:space="0" w:color="auto"/>
              <w:left w:val="nil"/>
              <w:bottom w:val="nil"/>
              <w:right w:val="nil"/>
            </w:tcBorders>
            <w:shd w:val="clear" w:color="auto" w:fill="auto"/>
            <w:noWrap/>
            <w:hideMark/>
          </w:tcPr>
          <w:p w14:paraId="056608CE" w14:textId="5D7C9790" w:rsidR="00362116" w:rsidRPr="00362116" w:rsidRDefault="00362116">
            <w:pPr>
              <w:rPr>
                <w:rFonts w:eastAsia="Times New Roman" w:cs="Arial"/>
                <w:b/>
                <w:bCs/>
                <w:color w:val="auto"/>
                <w:sz w:val="16"/>
                <w:szCs w:val="16"/>
                <w:lang w:eastAsia="en-AU"/>
              </w:rPr>
            </w:pPr>
            <w:r w:rsidRPr="00362116">
              <w:rPr>
                <w:rFonts w:eastAsia="Times New Roman" w:cs="Arial"/>
                <w:b/>
                <w:bCs/>
                <w:color w:val="auto"/>
                <w:sz w:val="16"/>
                <w:szCs w:val="16"/>
                <w:lang w:eastAsia="en-AU"/>
              </w:rPr>
              <w:t> </w:t>
            </w:r>
          </w:p>
        </w:tc>
        <w:tc>
          <w:tcPr>
            <w:tcW w:w="509" w:type="pct"/>
            <w:tcBorders>
              <w:top w:val="single" w:sz="4" w:space="0" w:color="auto"/>
              <w:left w:val="nil"/>
              <w:bottom w:val="single" w:sz="4" w:space="0" w:color="auto"/>
              <w:right w:val="nil"/>
            </w:tcBorders>
            <w:shd w:val="clear" w:color="auto" w:fill="auto"/>
            <w:hideMark/>
          </w:tcPr>
          <w:p w14:paraId="100ECDE5" w14:textId="77777777" w:rsidR="00362116" w:rsidRDefault="00362116" w:rsidP="00362116">
            <w:pPr>
              <w:spacing w:after="0"/>
              <w:jc w:val="right"/>
              <w:rPr>
                <w:rFonts w:eastAsia="Times New Roman" w:cs="Arial"/>
                <w:color w:val="auto"/>
                <w:sz w:val="16"/>
                <w:szCs w:val="16"/>
                <w:lang w:eastAsia="en-AU"/>
              </w:rPr>
            </w:pPr>
            <w:r w:rsidRPr="00362116">
              <w:rPr>
                <w:rFonts w:eastAsia="Times New Roman" w:cs="Arial"/>
                <w:color w:val="auto"/>
                <w:sz w:val="16"/>
                <w:szCs w:val="16"/>
                <w:lang w:eastAsia="en-AU"/>
              </w:rPr>
              <w:t>2020-21 Estimated actual</w:t>
            </w:r>
            <w:r w:rsidRPr="00362116">
              <w:rPr>
                <w:rFonts w:eastAsia="Times New Roman" w:cs="Arial"/>
                <w:color w:val="auto"/>
                <w:sz w:val="16"/>
                <w:szCs w:val="16"/>
                <w:lang w:eastAsia="en-AU"/>
              </w:rPr>
              <w:br/>
            </w:r>
          </w:p>
          <w:p w14:paraId="366C6B7A" w14:textId="7452302B" w:rsidR="00362116" w:rsidRPr="00362116" w:rsidRDefault="00362116" w:rsidP="00362116">
            <w:pPr>
              <w:spacing w:after="0"/>
              <w:jc w:val="right"/>
              <w:rPr>
                <w:rFonts w:eastAsia="Times New Roman" w:cs="Arial"/>
                <w:color w:val="auto"/>
                <w:sz w:val="16"/>
                <w:szCs w:val="16"/>
                <w:lang w:eastAsia="en-AU"/>
              </w:rPr>
            </w:pPr>
            <w:r w:rsidRPr="00362116">
              <w:rPr>
                <w:rFonts w:eastAsia="Times New Roman" w:cs="Arial"/>
                <w:color w:val="auto"/>
                <w:sz w:val="16"/>
                <w:szCs w:val="16"/>
                <w:lang w:eastAsia="en-AU"/>
              </w:rPr>
              <w:t>$'000</w:t>
            </w:r>
          </w:p>
        </w:tc>
        <w:tc>
          <w:tcPr>
            <w:tcW w:w="495" w:type="pct"/>
            <w:tcBorders>
              <w:top w:val="single" w:sz="4" w:space="0" w:color="auto"/>
              <w:left w:val="nil"/>
              <w:bottom w:val="single" w:sz="4" w:space="0" w:color="auto"/>
              <w:right w:val="nil"/>
            </w:tcBorders>
            <w:shd w:val="clear" w:color="000000" w:fill="E6E6E6"/>
            <w:hideMark/>
          </w:tcPr>
          <w:p w14:paraId="7863FA56" w14:textId="77777777" w:rsidR="00362116" w:rsidRPr="00362116" w:rsidRDefault="00362116" w:rsidP="00362116">
            <w:pPr>
              <w:spacing w:after="0"/>
              <w:jc w:val="right"/>
              <w:rPr>
                <w:rFonts w:eastAsia="Times New Roman" w:cs="Arial"/>
                <w:color w:val="auto"/>
                <w:sz w:val="16"/>
                <w:szCs w:val="16"/>
                <w:lang w:eastAsia="en-AU"/>
              </w:rPr>
            </w:pPr>
            <w:r w:rsidRPr="00362116">
              <w:rPr>
                <w:rFonts w:eastAsia="Times New Roman" w:cs="Arial"/>
                <w:color w:val="auto"/>
                <w:sz w:val="16"/>
                <w:szCs w:val="16"/>
                <w:lang w:eastAsia="en-AU"/>
              </w:rPr>
              <w:t>2021-22</w:t>
            </w:r>
            <w:r w:rsidRPr="00362116">
              <w:rPr>
                <w:rFonts w:eastAsia="Times New Roman" w:cs="Arial"/>
                <w:color w:val="auto"/>
                <w:sz w:val="16"/>
                <w:szCs w:val="16"/>
                <w:lang w:eastAsia="en-AU"/>
              </w:rPr>
              <w:br/>
              <w:t>Budget</w:t>
            </w:r>
            <w:r w:rsidRPr="00362116">
              <w:rPr>
                <w:rFonts w:eastAsia="Times New Roman" w:cs="Arial"/>
                <w:color w:val="auto"/>
                <w:sz w:val="16"/>
                <w:szCs w:val="16"/>
                <w:lang w:eastAsia="en-AU"/>
              </w:rPr>
              <w:br/>
            </w:r>
            <w:r w:rsidRPr="00362116">
              <w:rPr>
                <w:rFonts w:eastAsia="Times New Roman" w:cs="Arial"/>
                <w:color w:val="auto"/>
                <w:sz w:val="16"/>
                <w:szCs w:val="16"/>
                <w:lang w:eastAsia="en-AU"/>
              </w:rPr>
              <w:br/>
              <w:t>$'000</w:t>
            </w:r>
          </w:p>
        </w:tc>
        <w:tc>
          <w:tcPr>
            <w:tcW w:w="495" w:type="pct"/>
            <w:tcBorders>
              <w:top w:val="single" w:sz="4" w:space="0" w:color="auto"/>
              <w:left w:val="nil"/>
              <w:bottom w:val="single" w:sz="4" w:space="0" w:color="auto"/>
              <w:right w:val="nil"/>
            </w:tcBorders>
            <w:shd w:val="clear" w:color="auto" w:fill="auto"/>
            <w:hideMark/>
          </w:tcPr>
          <w:p w14:paraId="2E87BF56" w14:textId="77777777" w:rsidR="00362116" w:rsidRPr="00362116" w:rsidRDefault="00362116" w:rsidP="00362116">
            <w:pPr>
              <w:spacing w:after="0"/>
              <w:jc w:val="right"/>
              <w:rPr>
                <w:rFonts w:eastAsia="Times New Roman" w:cs="Arial"/>
                <w:color w:val="auto"/>
                <w:sz w:val="16"/>
                <w:szCs w:val="16"/>
                <w:lang w:eastAsia="en-AU"/>
              </w:rPr>
            </w:pPr>
            <w:r w:rsidRPr="00362116">
              <w:rPr>
                <w:rFonts w:eastAsia="Times New Roman" w:cs="Arial"/>
                <w:color w:val="auto"/>
                <w:sz w:val="16"/>
                <w:szCs w:val="16"/>
                <w:lang w:eastAsia="en-AU"/>
              </w:rPr>
              <w:t>2022-23 Forward estimate</w:t>
            </w:r>
            <w:r w:rsidRPr="00362116">
              <w:rPr>
                <w:rFonts w:eastAsia="Times New Roman" w:cs="Arial"/>
                <w:color w:val="auto"/>
                <w:sz w:val="16"/>
                <w:szCs w:val="16"/>
                <w:lang w:eastAsia="en-AU"/>
              </w:rPr>
              <w:br/>
              <w:t>$'000</w:t>
            </w:r>
          </w:p>
        </w:tc>
        <w:tc>
          <w:tcPr>
            <w:tcW w:w="495" w:type="pct"/>
            <w:tcBorders>
              <w:top w:val="single" w:sz="4" w:space="0" w:color="auto"/>
              <w:left w:val="nil"/>
              <w:bottom w:val="single" w:sz="4" w:space="0" w:color="auto"/>
              <w:right w:val="nil"/>
            </w:tcBorders>
            <w:shd w:val="clear" w:color="auto" w:fill="auto"/>
            <w:hideMark/>
          </w:tcPr>
          <w:p w14:paraId="28C41717" w14:textId="77777777" w:rsidR="00362116" w:rsidRPr="00362116" w:rsidRDefault="00362116" w:rsidP="00362116">
            <w:pPr>
              <w:spacing w:after="0"/>
              <w:jc w:val="right"/>
              <w:rPr>
                <w:rFonts w:eastAsia="Times New Roman" w:cs="Arial"/>
                <w:color w:val="auto"/>
                <w:sz w:val="16"/>
                <w:szCs w:val="16"/>
                <w:lang w:eastAsia="en-AU"/>
              </w:rPr>
            </w:pPr>
            <w:r w:rsidRPr="00362116">
              <w:rPr>
                <w:rFonts w:eastAsia="Times New Roman" w:cs="Arial"/>
                <w:color w:val="auto"/>
                <w:sz w:val="16"/>
                <w:szCs w:val="16"/>
                <w:lang w:eastAsia="en-AU"/>
              </w:rPr>
              <w:t>2023-24 Forward estimate</w:t>
            </w:r>
            <w:r w:rsidRPr="00362116">
              <w:rPr>
                <w:rFonts w:eastAsia="Times New Roman" w:cs="Arial"/>
                <w:color w:val="auto"/>
                <w:sz w:val="16"/>
                <w:szCs w:val="16"/>
                <w:lang w:eastAsia="en-AU"/>
              </w:rPr>
              <w:br/>
              <w:t>$'000</w:t>
            </w:r>
          </w:p>
        </w:tc>
        <w:tc>
          <w:tcPr>
            <w:tcW w:w="494" w:type="pct"/>
            <w:tcBorders>
              <w:top w:val="single" w:sz="4" w:space="0" w:color="auto"/>
              <w:left w:val="nil"/>
              <w:bottom w:val="single" w:sz="4" w:space="0" w:color="auto"/>
              <w:right w:val="nil"/>
            </w:tcBorders>
            <w:shd w:val="clear" w:color="auto" w:fill="auto"/>
            <w:hideMark/>
          </w:tcPr>
          <w:p w14:paraId="05B6A6D3" w14:textId="77777777" w:rsidR="00362116" w:rsidRPr="00362116" w:rsidRDefault="00362116" w:rsidP="00362116">
            <w:pPr>
              <w:spacing w:after="0"/>
              <w:jc w:val="right"/>
              <w:rPr>
                <w:rFonts w:eastAsia="Times New Roman" w:cs="Arial"/>
                <w:color w:val="auto"/>
                <w:sz w:val="16"/>
                <w:szCs w:val="16"/>
                <w:lang w:eastAsia="en-AU"/>
              </w:rPr>
            </w:pPr>
            <w:r w:rsidRPr="00362116">
              <w:rPr>
                <w:rFonts w:eastAsia="Times New Roman" w:cs="Arial"/>
                <w:color w:val="auto"/>
                <w:sz w:val="16"/>
                <w:szCs w:val="16"/>
                <w:lang w:eastAsia="en-AU"/>
              </w:rPr>
              <w:t>2024-25</w:t>
            </w:r>
            <w:r w:rsidRPr="00362116">
              <w:rPr>
                <w:rFonts w:eastAsia="Times New Roman" w:cs="Arial"/>
                <w:color w:val="auto"/>
                <w:sz w:val="16"/>
                <w:szCs w:val="16"/>
                <w:lang w:eastAsia="en-AU"/>
              </w:rPr>
              <w:br/>
              <w:t>Forward estimate</w:t>
            </w:r>
            <w:r w:rsidRPr="00362116">
              <w:rPr>
                <w:rFonts w:eastAsia="Times New Roman" w:cs="Arial"/>
                <w:color w:val="auto"/>
                <w:sz w:val="16"/>
                <w:szCs w:val="16"/>
                <w:lang w:eastAsia="en-AU"/>
              </w:rPr>
              <w:br/>
              <w:t>$'000</w:t>
            </w:r>
          </w:p>
        </w:tc>
      </w:tr>
      <w:tr w:rsidR="00362116" w:rsidRPr="00362116" w14:paraId="578D9DF4" w14:textId="77777777" w:rsidTr="00362116">
        <w:trPr>
          <w:trHeight w:val="225"/>
        </w:trPr>
        <w:tc>
          <w:tcPr>
            <w:tcW w:w="2512" w:type="pct"/>
            <w:tcBorders>
              <w:top w:val="nil"/>
              <w:left w:val="nil"/>
              <w:bottom w:val="nil"/>
              <w:right w:val="nil"/>
            </w:tcBorders>
            <w:shd w:val="clear" w:color="auto" w:fill="auto"/>
            <w:noWrap/>
            <w:vAlign w:val="bottom"/>
            <w:hideMark/>
          </w:tcPr>
          <w:p w14:paraId="3C9BABAE" w14:textId="77777777" w:rsidR="00362116" w:rsidRPr="00362116" w:rsidRDefault="00362116" w:rsidP="00362116">
            <w:pPr>
              <w:spacing w:after="0"/>
              <w:jc w:val="left"/>
              <w:rPr>
                <w:rFonts w:eastAsia="Times New Roman" w:cs="Arial"/>
                <w:b/>
                <w:bCs/>
                <w:sz w:val="16"/>
                <w:szCs w:val="16"/>
                <w:lang w:eastAsia="en-AU"/>
              </w:rPr>
            </w:pPr>
            <w:r w:rsidRPr="00362116">
              <w:rPr>
                <w:rFonts w:eastAsia="Times New Roman" w:cs="Arial"/>
                <w:b/>
                <w:bCs/>
                <w:sz w:val="16"/>
                <w:szCs w:val="16"/>
                <w:lang w:eastAsia="en-AU"/>
              </w:rPr>
              <w:t>OPERATING ACTIVITIES</w:t>
            </w:r>
          </w:p>
        </w:tc>
        <w:tc>
          <w:tcPr>
            <w:tcW w:w="509" w:type="pct"/>
            <w:tcBorders>
              <w:top w:val="nil"/>
              <w:left w:val="nil"/>
              <w:bottom w:val="nil"/>
              <w:right w:val="nil"/>
            </w:tcBorders>
            <w:shd w:val="clear" w:color="auto" w:fill="auto"/>
            <w:noWrap/>
            <w:vAlign w:val="bottom"/>
            <w:hideMark/>
          </w:tcPr>
          <w:p w14:paraId="3B15FE90" w14:textId="77777777" w:rsidR="00362116" w:rsidRPr="00362116" w:rsidRDefault="00362116" w:rsidP="00362116">
            <w:pPr>
              <w:spacing w:after="0"/>
              <w:jc w:val="left"/>
              <w:rPr>
                <w:rFonts w:eastAsia="Times New Roman" w:cs="Arial"/>
                <w:b/>
                <w:bCs/>
                <w:sz w:val="16"/>
                <w:szCs w:val="16"/>
                <w:lang w:eastAsia="en-AU"/>
              </w:rPr>
            </w:pPr>
          </w:p>
        </w:tc>
        <w:tc>
          <w:tcPr>
            <w:tcW w:w="495" w:type="pct"/>
            <w:tcBorders>
              <w:top w:val="nil"/>
              <w:left w:val="nil"/>
              <w:bottom w:val="nil"/>
              <w:right w:val="nil"/>
            </w:tcBorders>
            <w:shd w:val="clear" w:color="000000" w:fill="E6E6E6"/>
            <w:noWrap/>
            <w:vAlign w:val="bottom"/>
            <w:hideMark/>
          </w:tcPr>
          <w:p w14:paraId="55D3B7AC"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5" w:type="pct"/>
            <w:tcBorders>
              <w:top w:val="nil"/>
              <w:left w:val="nil"/>
              <w:bottom w:val="nil"/>
              <w:right w:val="nil"/>
            </w:tcBorders>
            <w:shd w:val="clear" w:color="auto" w:fill="auto"/>
            <w:noWrap/>
            <w:vAlign w:val="bottom"/>
            <w:hideMark/>
          </w:tcPr>
          <w:p w14:paraId="363A27C3" w14:textId="77777777" w:rsidR="00362116" w:rsidRPr="00362116" w:rsidRDefault="00362116" w:rsidP="00362116">
            <w:pPr>
              <w:spacing w:after="0"/>
              <w:jc w:val="left"/>
              <w:rPr>
                <w:rFonts w:eastAsia="Times New Roman" w:cs="Arial"/>
                <w:sz w:val="16"/>
                <w:szCs w:val="16"/>
                <w:lang w:eastAsia="en-AU"/>
              </w:rPr>
            </w:pPr>
          </w:p>
        </w:tc>
        <w:tc>
          <w:tcPr>
            <w:tcW w:w="495" w:type="pct"/>
            <w:tcBorders>
              <w:top w:val="nil"/>
              <w:left w:val="nil"/>
              <w:bottom w:val="nil"/>
              <w:right w:val="nil"/>
            </w:tcBorders>
            <w:shd w:val="clear" w:color="auto" w:fill="auto"/>
            <w:noWrap/>
            <w:vAlign w:val="bottom"/>
            <w:hideMark/>
          </w:tcPr>
          <w:p w14:paraId="70143B5A"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c>
          <w:tcPr>
            <w:tcW w:w="494" w:type="pct"/>
            <w:tcBorders>
              <w:top w:val="nil"/>
              <w:left w:val="nil"/>
              <w:bottom w:val="nil"/>
              <w:right w:val="nil"/>
            </w:tcBorders>
            <w:shd w:val="clear" w:color="auto" w:fill="auto"/>
            <w:noWrap/>
            <w:vAlign w:val="bottom"/>
            <w:hideMark/>
          </w:tcPr>
          <w:p w14:paraId="5335F1E4"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r>
      <w:tr w:rsidR="00362116" w:rsidRPr="00362116" w14:paraId="0DAC8432" w14:textId="77777777" w:rsidTr="00362116">
        <w:trPr>
          <w:trHeight w:val="225"/>
        </w:trPr>
        <w:tc>
          <w:tcPr>
            <w:tcW w:w="2512" w:type="pct"/>
            <w:tcBorders>
              <w:top w:val="nil"/>
              <w:left w:val="nil"/>
              <w:bottom w:val="nil"/>
              <w:right w:val="nil"/>
            </w:tcBorders>
            <w:shd w:val="clear" w:color="auto" w:fill="auto"/>
            <w:noWrap/>
            <w:vAlign w:val="bottom"/>
            <w:hideMark/>
          </w:tcPr>
          <w:p w14:paraId="6EF18995" w14:textId="77777777" w:rsidR="00362116" w:rsidRPr="00362116" w:rsidRDefault="00362116" w:rsidP="00362116">
            <w:pPr>
              <w:spacing w:after="0"/>
              <w:jc w:val="left"/>
              <w:rPr>
                <w:rFonts w:eastAsia="Times New Roman" w:cs="Arial"/>
                <w:b/>
                <w:bCs/>
                <w:sz w:val="16"/>
                <w:szCs w:val="16"/>
                <w:lang w:eastAsia="en-AU"/>
              </w:rPr>
            </w:pPr>
            <w:r w:rsidRPr="00362116">
              <w:rPr>
                <w:rFonts w:eastAsia="Times New Roman" w:cs="Arial"/>
                <w:b/>
                <w:bCs/>
                <w:sz w:val="16"/>
                <w:szCs w:val="16"/>
                <w:lang w:eastAsia="en-AU"/>
              </w:rPr>
              <w:t>Cash received</w:t>
            </w:r>
          </w:p>
        </w:tc>
        <w:tc>
          <w:tcPr>
            <w:tcW w:w="509" w:type="pct"/>
            <w:tcBorders>
              <w:top w:val="nil"/>
              <w:left w:val="nil"/>
              <w:bottom w:val="nil"/>
              <w:right w:val="nil"/>
            </w:tcBorders>
            <w:shd w:val="clear" w:color="auto" w:fill="auto"/>
            <w:noWrap/>
            <w:vAlign w:val="bottom"/>
            <w:hideMark/>
          </w:tcPr>
          <w:p w14:paraId="43380134" w14:textId="77777777" w:rsidR="00362116" w:rsidRPr="00362116" w:rsidRDefault="00362116" w:rsidP="00362116">
            <w:pPr>
              <w:spacing w:after="0"/>
              <w:jc w:val="left"/>
              <w:rPr>
                <w:rFonts w:eastAsia="Times New Roman" w:cs="Arial"/>
                <w:b/>
                <w:bCs/>
                <w:sz w:val="16"/>
                <w:szCs w:val="16"/>
                <w:lang w:eastAsia="en-AU"/>
              </w:rPr>
            </w:pPr>
          </w:p>
        </w:tc>
        <w:tc>
          <w:tcPr>
            <w:tcW w:w="495" w:type="pct"/>
            <w:tcBorders>
              <w:top w:val="nil"/>
              <w:left w:val="nil"/>
              <w:bottom w:val="nil"/>
              <w:right w:val="nil"/>
            </w:tcBorders>
            <w:shd w:val="clear" w:color="000000" w:fill="E6E6E6"/>
            <w:noWrap/>
            <w:vAlign w:val="bottom"/>
            <w:hideMark/>
          </w:tcPr>
          <w:p w14:paraId="56930D44"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5" w:type="pct"/>
            <w:tcBorders>
              <w:top w:val="nil"/>
              <w:left w:val="nil"/>
              <w:bottom w:val="nil"/>
              <w:right w:val="nil"/>
            </w:tcBorders>
            <w:shd w:val="clear" w:color="auto" w:fill="auto"/>
            <w:noWrap/>
            <w:vAlign w:val="bottom"/>
            <w:hideMark/>
          </w:tcPr>
          <w:p w14:paraId="6270E0B0" w14:textId="77777777" w:rsidR="00362116" w:rsidRPr="00362116" w:rsidRDefault="00362116" w:rsidP="00362116">
            <w:pPr>
              <w:spacing w:after="0"/>
              <w:jc w:val="left"/>
              <w:rPr>
                <w:rFonts w:eastAsia="Times New Roman" w:cs="Arial"/>
                <w:sz w:val="16"/>
                <w:szCs w:val="16"/>
                <w:lang w:eastAsia="en-AU"/>
              </w:rPr>
            </w:pPr>
          </w:p>
        </w:tc>
        <w:tc>
          <w:tcPr>
            <w:tcW w:w="495" w:type="pct"/>
            <w:tcBorders>
              <w:top w:val="nil"/>
              <w:left w:val="nil"/>
              <w:bottom w:val="nil"/>
              <w:right w:val="nil"/>
            </w:tcBorders>
            <w:shd w:val="clear" w:color="auto" w:fill="auto"/>
            <w:noWrap/>
            <w:vAlign w:val="bottom"/>
            <w:hideMark/>
          </w:tcPr>
          <w:p w14:paraId="1F68AADD"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c>
          <w:tcPr>
            <w:tcW w:w="494" w:type="pct"/>
            <w:tcBorders>
              <w:top w:val="nil"/>
              <w:left w:val="nil"/>
              <w:bottom w:val="nil"/>
              <w:right w:val="nil"/>
            </w:tcBorders>
            <w:shd w:val="clear" w:color="auto" w:fill="auto"/>
            <w:noWrap/>
            <w:vAlign w:val="bottom"/>
            <w:hideMark/>
          </w:tcPr>
          <w:p w14:paraId="0D6F9B7B"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r>
      <w:tr w:rsidR="00362116" w:rsidRPr="00362116" w14:paraId="4F0EAF3D" w14:textId="77777777" w:rsidTr="00362116">
        <w:trPr>
          <w:trHeight w:val="225"/>
        </w:trPr>
        <w:tc>
          <w:tcPr>
            <w:tcW w:w="2512" w:type="pct"/>
            <w:tcBorders>
              <w:top w:val="nil"/>
              <w:left w:val="nil"/>
              <w:bottom w:val="nil"/>
              <w:right w:val="nil"/>
            </w:tcBorders>
            <w:shd w:val="clear" w:color="auto" w:fill="auto"/>
            <w:vAlign w:val="bottom"/>
            <w:hideMark/>
          </w:tcPr>
          <w:p w14:paraId="2E5822B8" w14:textId="77777777" w:rsidR="00362116" w:rsidRPr="00362116" w:rsidRDefault="00362116" w:rsidP="00362116">
            <w:pPr>
              <w:spacing w:after="0"/>
              <w:ind w:firstLineChars="100" w:firstLine="160"/>
              <w:jc w:val="left"/>
              <w:rPr>
                <w:rFonts w:eastAsia="Times New Roman" w:cs="Arial"/>
                <w:color w:val="auto"/>
                <w:sz w:val="16"/>
                <w:szCs w:val="16"/>
                <w:lang w:eastAsia="en-AU"/>
              </w:rPr>
            </w:pPr>
            <w:r w:rsidRPr="00362116">
              <w:rPr>
                <w:rFonts w:eastAsia="Times New Roman" w:cs="Arial"/>
                <w:color w:val="auto"/>
                <w:sz w:val="16"/>
                <w:szCs w:val="16"/>
                <w:lang w:eastAsia="en-AU"/>
              </w:rPr>
              <w:t>Financial Institutions Supervisory Levies</w:t>
            </w:r>
          </w:p>
        </w:tc>
        <w:tc>
          <w:tcPr>
            <w:tcW w:w="509" w:type="pct"/>
            <w:tcBorders>
              <w:top w:val="nil"/>
              <w:left w:val="nil"/>
              <w:bottom w:val="nil"/>
              <w:right w:val="nil"/>
            </w:tcBorders>
            <w:shd w:val="clear" w:color="auto" w:fill="auto"/>
            <w:noWrap/>
            <w:vAlign w:val="bottom"/>
            <w:hideMark/>
          </w:tcPr>
          <w:p w14:paraId="0638BB4C"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222,980 </w:t>
            </w:r>
          </w:p>
        </w:tc>
        <w:tc>
          <w:tcPr>
            <w:tcW w:w="495" w:type="pct"/>
            <w:tcBorders>
              <w:top w:val="nil"/>
              <w:left w:val="nil"/>
              <w:bottom w:val="nil"/>
              <w:right w:val="nil"/>
            </w:tcBorders>
            <w:shd w:val="clear" w:color="000000" w:fill="E6E6E6"/>
            <w:noWrap/>
            <w:vAlign w:val="bottom"/>
            <w:hideMark/>
          </w:tcPr>
          <w:p w14:paraId="49760CE7"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262,941 </w:t>
            </w:r>
          </w:p>
        </w:tc>
        <w:tc>
          <w:tcPr>
            <w:tcW w:w="495" w:type="pct"/>
            <w:tcBorders>
              <w:top w:val="nil"/>
              <w:left w:val="nil"/>
              <w:bottom w:val="nil"/>
              <w:right w:val="nil"/>
            </w:tcBorders>
            <w:shd w:val="clear" w:color="auto" w:fill="auto"/>
            <w:noWrap/>
            <w:vAlign w:val="bottom"/>
            <w:hideMark/>
          </w:tcPr>
          <w:p w14:paraId="50D9DFE5"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234,508 </w:t>
            </w:r>
          </w:p>
        </w:tc>
        <w:tc>
          <w:tcPr>
            <w:tcW w:w="495" w:type="pct"/>
            <w:tcBorders>
              <w:top w:val="nil"/>
              <w:left w:val="nil"/>
              <w:bottom w:val="nil"/>
              <w:right w:val="nil"/>
            </w:tcBorders>
            <w:shd w:val="clear" w:color="auto" w:fill="auto"/>
            <w:noWrap/>
            <w:vAlign w:val="bottom"/>
            <w:hideMark/>
          </w:tcPr>
          <w:p w14:paraId="516F3632"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235,521 </w:t>
            </w:r>
          </w:p>
        </w:tc>
        <w:tc>
          <w:tcPr>
            <w:tcW w:w="494" w:type="pct"/>
            <w:tcBorders>
              <w:top w:val="nil"/>
              <w:left w:val="nil"/>
              <w:bottom w:val="nil"/>
              <w:right w:val="nil"/>
            </w:tcBorders>
            <w:shd w:val="clear" w:color="auto" w:fill="auto"/>
            <w:noWrap/>
            <w:vAlign w:val="bottom"/>
            <w:hideMark/>
          </w:tcPr>
          <w:p w14:paraId="327F0C7C"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233,765 </w:t>
            </w:r>
          </w:p>
        </w:tc>
      </w:tr>
      <w:tr w:rsidR="00362116" w:rsidRPr="00362116" w14:paraId="3BECB587" w14:textId="77777777" w:rsidTr="00362116">
        <w:trPr>
          <w:trHeight w:val="225"/>
        </w:trPr>
        <w:tc>
          <w:tcPr>
            <w:tcW w:w="2512" w:type="pct"/>
            <w:tcBorders>
              <w:top w:val="nil"/>
              <w:left w:val="nil"/>
              <w:bottom w:val="nil"/>
              <w:right w:val="nil"/>
            </w:tcBorders>
            <w:shd w:val="clear" w:color="auto" w:fill="auto"/>
            <w:noWrap/>
            <w:vAlign w:val="bottom"/>
            <w:hideMark/>
          </w:tcPr>
          <w:p w14:paraId="016587DD" w14:textId="77777777" w:rsidR="00362116" w:rsidRPr="00362116" w:rsidRDefault="00362116" w:rsidP="00362116">
            <w:pPr>
              <w:spacing w:after="0"/>
              <w:ind w:firstLineChars="100" w:firstLine="160"/>
              <w:jc w:val="left"/>
              <w:rPr>
                <w:rFonts w:eastAsia="Times New Roman" w:cs="Arial"/>
                <w:sz w:val="16"/>
                <w:szCs w:val="16"/>
                <w:lang w:eastAsia="en-AU"/>
              </w:rPr>
            </w:pPr>
            <w:r w:rsidRPr="00362116">
              <w:rPr>
                <w:rFonts w:eastAsia="Times New Roman" w:cs="Arial"/>
                <w:sz w:val="16"/>
                <w:szCs w:val="16"/>
                <w:lang w:eastAsia="en-AU"/>
              </w:rPr>
              <w:t>Interest</w:t>
            </w:r>
          </w:p>
        </w:tc>
        <w:tc>
          <w:tcPr>
            <w:tcW w:w="509" w:type="pct"/>
            <w:tcBorders>
              <w:top w:val="nil"/>
              <w:left w:val="nil"/>
              <w:bottom w:val="nil"/>
              <w:right w:val="nil"/>
            </w:tcBorders>
            <w:shd w:val="clear" w:color="auto" w:fill="auto"/>
            <w:noWrap/>
            <w:vAlign w:val="bottom"/>
            <w:hideMark/>
          </w:tcPr>
          <w:p w14:paraId="2F19CE73"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5" w:type="pct"/>
            <w:tcBorders>
              <w:top w:val="nil"/>
              <w:left w:val="nil"/>
              <w:bottom w:val="nil"/>
              <w:right w:val="nil"/>
            </w:tcBorders>
            <w:shd w:val="clear" w:color="000000" w:fill="E6E6E6"/>
            <w:noWrap/>
            <w:vAlign w:val="bottom"/>
            <w:hideMark/>
          </w:tcPr>
          <w:p w14:paraId="0C11EF38"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5" w:type="pct"/>
            <w:tcBorders>
              <w:top w:val="nil"/>
              <w:left w:val="nil"/>
              <w:bottom w:val="nil"/>
              <w:right w:val="nil"/>
            </w:tcBorders>
            <w:shd w:val="clear" w:color="auto" w:fill="auto"/>
            <w:noWrap/>
            <w:vAlign w:val="bottom"/>
            <w:hideMark/>
          </w:tcPr>
          <w:p w14:paraId="2712E35E"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5" w:type="pct"/>
            <w:tcBorders>
              <w:top w:val="nil"/>
              <w:left w:val="nil"/>
              <w:bottom w:val="nil"/>
              <w:right w:val="nil"/>
            </w:tcBorders>
            <w:shd w:val="clear" w:color="auto" w:fill="auto"/>
            <w:noWrap/>
            <w:vAlign w:val="bottom"/>
            <w:hideMark/>
          </w:tcPr>
          <w:p w14:paraId="1AA948D5"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4" w:type="pct"/>
            <w:tcBorders>
              <w:top w:val="nil"/>
              <w:left w:val="nil"/>
              <w:bottom w:val="nil"/>
              <w:right w:val="nil"/>
            </w:tcBorders>
            <w:shd w:val="clear" w:color="auto" w:fill="auto"/>
            <w:noWrap/>
            <w:vAlign w:val="bottom"/>
            <w:hideMark/>
          </w:tcPr>
          <w:p w14:paraId="6B5BCDA2"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r>
      <w:tr w:rsidR="00362116" w:rsidRPr="00362116" w14:paraId="5560F38D" w14:textId="77777777" w:rsidTr="00362116">
        <w:trPr>
          <w:trHeight w:val="225"/>
        </w:trPr>
        <w:tc>
          <w:tcPr>
            <w:tcW w:w="2512" w:type="pct"/>
            <w:tcBorders>
              <w:top w:val="nil"/>
              <w:left w:val="nil"/>
              <w:bottom w:val="nil"/>
              <w:right w:val="nil"/>
            </w:tcBorders>
            <w:shd w:val="clear" w:color="auto" w:fill="auto"/>
            <w:noWrap/>
            <w:vAlign w:val="bottom"/>
            <w:hideMark/>
          </w:tcPr>
          <w:p w14:paraId="02FCCD0B" w14:textId="77777777" w:rsidR="00362116" w:rsidRPr="00362116" w:rsidRDefault="00362116" w:rsidP="00362116">
            <w:pPr>
              <w:spacing w:after="0"/>
              <w:ind w:firstLineChars="100" w:firstLine="160"/>
              <w:jc w:val="left"/>
              <w:rPr>
                <w:rFonts w:eastAsia="Times New Roman" w:cs="Arial"/>
                <w:sz w:val="16"/>
                <w:szCs w:val="16"/>
                <w:lang w:eastAsia="en-AU"/>
              </w:rPr>
            </w:pPr>
            <w:r w:rsidRPr="00362116">
              <w:rPr>
                <w:rFonts w:eastAsia="Times New Roman" w:cs="Arial"/>
                <w:sz w:val="16"/>
                <w:szCs w:val="16"/>
                <w:lang w:eastAsia="en-AU"/>
              </w:rPr>
              <w:t>Risk equalisation levy collections</w:t>
            </w:r>
          </w:p>
        </w:tc>
        <w:tc>
          <w:tcPr>
            <w:tcW w:w="509" w:type="pct"/>
            <w:tcBorders>
              <w:top w:val="nil"/>
              <w:left w:val="nil"/>
              <w:bottom w:val="nil"/>
              <w:right w:val="nil"/>
            </w:tcBorders>
            <w:shd w:val="clear" w:color="auto" w:fill="auto"/>
            <w:noWrap/>
            <w:vAlign w:val="bottom"/>
            <w:hideMark/>
          </w:tcPr>
          <w:p w14:paraId="3752E009"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000000" w:fill="E6E6E6"/>
            <w:noWrap/>
            <w:vAlign w:val="bottom"/>
            <w:hideMark/>
          </w:tcPr>
          <w:p w14:paraId="0169863A"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auto" w:fill="auto"/>
            <w:noWrap/>
            <w:vAlign w:val="bottom"/>
            <w:hideMark/>
          </w:tcPr>
          <w:p w14:paraId="484F1817"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auto" w:fill="auto"/>
            <w:noWrap/>
            <w:vAlign w:val="bottom"/>
            <w:hideMark/>
          </w:tcPr>
          <w:p w14:paraId="1D5C0CF7"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4" w:type="pct"/>
            <w:tcBorders>
              <w:top w:val="nil"/>
              <w:left w:val="nil"/>
              <w:bottom w:val="nil"/>
              <w:right w:val="nil"/>
            </w:tcBorders>
            <w:shd w:val="clear" w:color="auto" w:fill="auto"/>
            <w:noWrap/>
            <w:vAlign w:val="bottom"/>
            <w:hideMark/>
          </w:tcPr>
          <w:p w14:paraId="6F6A202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r>
      <w:tr w:rsidR="00362116" w:rsidRPr="00362116" w14:paraId="0D8AEC24" w14:textId="77777777" w:rsidTr="00362116">
        <w:trPr>
          <w:trHeight w:val="210"/>
        </w:trPr>
        <w:tc>
          <w:tcPr>
            <w:tcW w:w="2512" w:type="pct"/>
            <w:tcBorders>
              <w:top w:val="nil"/>
              <w:left w:val="nil"/>
              <w:bottom w:val="nil"/>
              <w:right w:val="nil"/>
            </w:tcBorders>
            <w:shd w:val="clear" w:color="auto" w:fill="auto"/>
            <w:noWrap/>
            <w:vAlign w:val="bottom"/>
            <w:hideMark/>
          </w:tcPr>
          <w:p w14:paraId="036C51A7" w14:textId="5695ABB7" w:rsidR="00362116" w:rsidRPr="00362116" w:rsidRDefault="00362116" w:rsidP="00362116">
            <w:pPr>
              <w:spacing w:after="0"/>
              <w:jc w:val="left"/>
              <w:rPr>
                <w:rFonts w:eastAsia="Times New Roman" w:cs="Arial"/>
                <w:b/>
                <w:bCs/>
                <w:i/>
                <w:iCs/>
                <w:sz w:val="16"/>
                <w:szCs w:val="16"/>
                <w:lang w:eastAsia="en-AU"/>
              </w:rPr>
            </w:pPr>
            <w:r w:rsidRPr="00362116">
              <w:rPr>
                <w:rFonts w:eastAsia="Times New Roman" w:cs="Arial"/>
                <w:b/>
                <w:bCs/>
                <w:i/>
                <w:iCs/>
                <w:sz w:val="16"/>
                <w:szCs w:val="16"/>
                <w:lang w:eastAsia="en-AU"/>
              </w:rPr>
              <w:t>Total cash received</w:t>
            </w:r>
          </w:p>
        </w:tc>
        <w:tc>
          <w:tcPr>
            <w:tcW w:w="509" w:type="pct"/>
            <w:tcBorders>
              <w:top w:val="single" w:sz="4" w:space="0" w:color="000000"/>
              <w:left w:val="nil"/>
              <w:bottom w:val="single" w:sz="4" w:space="0" w:color="000000"/>
              <w:right w:val="nil"/>
            </w:tcBorders>
            <w:shd w:val="clear" w:color="auto" w:fill="auto"/>
            <w:noWrap/>
            <w:vAlign w:val="bottom"/>
            <w:hideMark/>
          </w:tcPr>
          <w:p w14:paraId="6D851695"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673,035 </w:t>
            </w:r>
          </w:p>
        </w:tc>
        <w:tc>
          <w:tcPr>
            <w:tcW w:w="495" w:type="pct"/>
            <w:tcBorders>
              <w:top w:val="single" w:sz="4" w:space="0" w:color="000000"/>
              <w:left w:val="nil"/>
              <w:bottom w:val="single" w:sz="4" w:space="0" w:color="000000"/>
              <w:right w:val="nil"/>
            </w:tcBorders>
            <w:shd w:val="clear" w:color="000000" w:fill="E6E6E6"/>
            <w:noWrap/>
            <w:vAlign w:val="bottom"/>
            <w:hideMark/>
          </w:tcPr>
          <w:p w14:paraId="25C044B2"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712,996 </w:t>
            </w:r>
          </w:p>
        </w:tc>
        <w:tc>
          <w:tcPr>
            <w:tcW w:w="495" w:type="pct"/>
            <w:tcBorders>
              <w:top w:val="single" w:sz="4" w:space="0" w:color="000000"/>
              <w:left w:val="nil"/>
              <w:bottom w:val="single" w:sz="4" w:space="0" w:color="000000"/>
              <w:right w:val="nil"/>
            </w:tcBorders>
            <w:shd w:val="clear" w:color="auto" w:fill="auto"/>
            <w:noWrap/>
            <w:vAlign w:val="bottom"/>
            <w:hideMark/>
          </w:tcPr>
          <w:p w14:paraId="5C183029"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684,563 </w:t>
            </w:r>
          </w:p>
        </w:tc>
        <w:tc>
          <w:tcPr>
            <w:tcW w:w="495" w:type="pct"/>
            <w:tcBorders>
              <w:top w:val="single" w:sz="4" w:space="0" w:color="000000"/>
              <w:left w:val="nil"/>
              <w:bottom w:val="single" w:sz="4" w:space="0" w:color="000000"/>
              <w:right w:val="nil"/>
            </w:tcBorders>
            <w:shd w:val="clear" w:color="auto" w:fill="auto"/>
            <w:noWrap/>
            <w:vAlign w:val="bottom"/>
            <w:hideMark/>
          </w:tcPr>
          <w:p w14:paraId="26FC8A62"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685,576 </w:t>
            </w:r>
          </w:p>
        </w:tc>
        <w:tc>
          <w:tcPr>
            <w:tcW w:w="494" w:type="pct"/>
            <w:tcBorders>
              <w:top w:val="single" w:sz="4" w:space="0" w:color="000000"/>
              <w:left w:val="nil"/>
              <w:bottom w:val="single" w:sz="4" w:space="0" w:color="000000"/>
              <w:right w:val="nil"/>
            </w:tcBorders>
            <w:shd w:val="clear" w:color="auto" w:fill="auto"/>
            <w:noWrap/>
            <w:vAlign w:val="bottom"/>
            <w:hideMark/>
          </w:tcPr>
          <w:p w14:paraId="4155A43F"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683,820 </w:t>
            </w:r>
          </w:p>
        </w:tc>
      </w:tr>
      <w:tr w:rsidR="00362116" w:rsidRPr="00362116" w14:paraId="7405C1E5" w14:textId="77777777" w:rsidTr="00362116">
        <w:trPr>
          <w:trHeight w:val="225"/>
        </w:trPr>
        <w:tc>
          <w:tcPr>
            <w:tcW w:w="2512" w:type="pct"/>
            <w:tcBorders>
              <w:top w:val="nil"/>
              <w:left w:val="nil"/>
              <w:bottom w:val="nil"/>
              <w:right w:val="nil"/>
            </w:tcBorders>
            <w:shd w:val="clear" w:color="auto" w:fill="auto"/>
            <w:noWrap/>
            <w:vAlign w:val="bottom"/>
            <w:hideMark/>
          </w:tcPr>
          <w:p w14:paraId="2591E018" w14:textId="77777777" w:rsidR="00362116" w:rsidRPr="00362116" w:rsidRDefault="00362116" w:rsidP="00362116">
            <w:pPr>
              <w:spacing w:after="0"/>
              <w:jc w:val="left"/>
              <w:rPr>
                <w:rFonts w:eastAsia="Times New Roman" w:cs="Arial"/>
                <w:b/>
                <w:bCs/>
                <w:sz w:val="16"/>
                <w:szCs w:val="16"/>
                <w:lang w:eastAsia="en-AU"/>
              </w:rPr>
            </w:pPr>
            <w:r w:rsidRPr="00362116">
              <w:rPr>
                <w:rFonts w:eastAsia="Times New Roman" w:cs="Arial"/>
                <w:b/>
                <w:bCs/>
                <w:sz w:val="16"/>
                <w:szCs w:val="16"/>
                <w:lang w:eastAsia="en-AU"/>
              </w:rPr>
              <w:t>Cash used</w:t>
            </w:r>
          </w:p>
        </w:tc>
        <w:tc>
          <w:tcPr>
            <w:tcW w:w="509" w:type="pct"/>
            <w:tcBorders>
              <w:top w:val="nil"/>
              <w:left w:val="nil"/>
              <w:bottom w:val="nil"/>
              <w:right w:val="nil"/>
            </w:tcBorders>
            <w:shd w:val="clear" w:color="auto" w:fill="auto"/>
            <w:noWrap/>
            <w:vAlign w:val="bottom"/>
            <w:hideMark/>
          </w:tcPr>
          <w:p w14:paraId="684EC957" w14:textId="77777777" w:rsidR="00362116" w:rsidRPr="00362116" w:rsidRDefault="00362116" w:rsidP="00362116">
            <w:pPr>
              <w:spacing w:after="0"/>
              <w:jc w:val="left"/>
              <w:rPr>
                <w:rFonts w:eastAsia="Times New Roman" w:cs="Arial"/>
                <w:b/>
                <w:bCs/>
                <w:sz w:val="16"/>
                <w:szCs w:val="16"/>
                <w:lang w:eastAsia="en-AU"/>
              </w:rPr>
            </w:pPr>
          </w:p>
        </w:tc>
        <w:tc>
          <w:tcPr>
            <w:tcW w:w="495" w:type="pct"/>
            <w:tcBorders>
              <w:top w:val="nil"/>
              <w:left w:val="nil"/>
              <w:bottom w:val="nil"/>
              <w:right w:val="nil"/>
            </w:tcBorders>
            <w:shd w:val="clear" w:color="000000" w:fill="E6E6E6"/>
            <w:noWrap/>
            <w:vAlign w:val="bottom"/>
            <w:hideMark/>
          </w:tcPr>
          <w:p w14:paraId="318EF988"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5" w:type="pct"/>
            <w:tcBorders>
              <w:top w:val="nil"/>
              <w:left w:val="nil"/>
              <w:bottom w:val="nil"/>
              <w:right w:val="nil"/>
            </w:tcBorders>
            <w:shd w:val="clear" w:color="auto" w:fill="auto"/>
            <w:noWrap/>
            <w:vAlign w:val="bottom"/>
            <w:hideMark/>
          </w:tcPr>
          <w:p w14:paraId="55079199" w14:textId="77777777" w:rsidR="00362116" w:rsidRPr="00362116" w:rsidRDefault="00362116" w:rsidP="00362116">
            <w:pPr>
              <w:spacing w:after="0"/>
              <w:jc w:val="left"/>
              <w:rPr>
                <w:rFonts w:eastAsia="Times New Roman" w:cs="Arial"/>
                <w:sz w:val="16"/>
                <w:szCs w:val="16"/>
                <w:lang w:eastAsia="en-AU"/>
              </w:rPr>
            </w:pPr>
          </w:p>
        </w:tc>
        <w:tc>
          <w:tcPr>
            <w:tcW w:w="495" w:type="pct"/>
            <w:tcBorders>
              <w:top w:val="nil"/>
              <w:left w:val="nil"/>
              <w:bottom w:val="nil"/>
              <w:right w:val="nil"/>
            </w:tcBorders>
            <w:shd w:val="clear" w:color="auto" w:fill="auto"/>
            <w:noWrap/>
            <w:vAlign w:val="bottom"/>
            <w:hideMark/>
          </w:tcPr>
          <w:p w14:paraId="1E698775"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c>
          <w:tcPr>
            <w:tcW w:w="494" w:type="pct"/>
            <w:tcBorders>
              <w:top w:val="nil"/>
              <w:left w:val="nil"/>
              <w:bottom w:val="nil"/>
              <w:right w:val="nil"/>
            </w:tcBorders>
            <w:shd w:val="clear" w:color="auto" w:fill="auto"/>
            <w:noWrap/>
            <w:vAlign w:val="bottom"/>
            <w:hideMark/>
          </w:tcPr>
          <w:p w14:paraId="517E440F"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r>
      <w:tr w:rsidR="00362116" w:rsidRPr="00362116" w14:paraId="2741B3FB" w14:textId="77777777" w:rsidTr="00362116">
        <w:trPr>
          <w:trHeight w:val="225"/>
        </w:trPr>
        <w:tc>
          <w:tcPr>
            <w:tcW w:w="2512" w:type="pct"/>
            <w:tcBorders>
              <w:top w:val="nil"/>
              <w:left w:val="nil"/>
              <w:bottom w:val="nil"/>
              <w:right w:val="nil"/>
            </w:tcBorders>
            <w:shd w:val="clear" w:color="auto" w:fill="auto"/>
            <w:noWrap/>
            <w:vAlign w:val="bottom"/>
            <w:hideMark/>
          </w:tcPr>
          <w:p w14:paraId="1BEC7537" w14:textId="77777777" w:rsidR="00362116" w:rsidRPr="00362116" w:rsidRDefault="00362116" w:rsidP="00362116">
            <w:pPr>
              <w:spacing w:after="0"/>
              <w:ind w:firstLineChars="100" w:firstLine="160"/>
              <w:jc w:val="left"/>
              <w:rPr>
                <w:rFonts w:eastAsia="Times New Roman" w:cs="Arial"/>
                <w:color w:val="auto"/>
                <w:sz w:val="16"/>
                <w:szCs w:val="16"/>
                <w:lang w:eastAsia="en-AU"/>
              </w:rPr>
            </w:pPr>
            <w:r w:rsidRPr="00362116">
              <w:rPr>
                <w:rFonts w:eastAsia="Times New Roman" w:cs="Arial"/>
                <w:color w:val="auto"/>
                <w:sz w:val="16"/>
                <w:szCs w:val="16"/>
                <w:lang w:eastAsia="en-AU"/>
              </w:rPr>
              <w:t>Borrowing costs</w:t>
            </w:r>
          </w:p>
        </w:tc>
        <w:tc>
          <w:tcPr>
            <w:tcW w:w="509" w:type="pct"/>
            <w:tcBorders>
              <w:top w:val="nil"/>
              <w:left w:val="nil"/>
              <w:bottom w:val="nil"/>
              <w:right w:val="nil"/>
            </w:tcBorders>
            <w:shd w:val="clear" w:color="auto" w:fill="auto"/>
            <w:noWrap/>
            <w:vAlign w:val="bottom"/>
            <w:hideMark/>
          </w:tcPr>
          <w:p w14:paraId="59597EBE"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5" w:type="pct"/>
            <w:tcBorders>
              <w:top w:val="nil"/>
              <w:left w:val="nil"/>
              <w:bottom w:val="nil"/>
              <w:right w:val="nil"/>
            </w:tcBorders>
            <w:shd w:val="clear" w:color="000000" w:fill="E6E6E6"/>
            <w:noWrap/>
            <w:vAlign w:val="bottom"/>
            <w:hideMark/>
          </w:tcPr>
          <w:p w14:paraId="59602EF7"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5" w:type="pct"/>
            <w:tcBorders>
              <w:top w:val="nil"/>
              <w:left w:val="nil"/>
              <w:bottom w:val="nil"/>
              <w:right w:val="nil"/>
            </w:tcBorders>
            <w:shd w:val="clear" w:color="auto" w:fill="auto"/>
            <w:noWrap/>
            <w:vAlign w:val="bottom"/>
            <w:hideMark/>
          </w:tcPr>
          <w:p w14:paraId="59F6A1CE"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5" w:type="pct"/>
            <w:tcBorders>
              <w:top w:val="nil"/>
              <w:left w:val="nil"/>
              <w:bottom w:val="nil"/>
              <w:right w:val="nil"/>
            </w:tcBorders>
            <w:shd w:val="clear" w:color="auto" w:fill="auto"/>
            <w:noWrap/>
            <w:vAlign w:val="bottom"/>
            <w:hideMark/>
          </w:tcPr>
          <w:p w14:paraId="65AA4123"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c>
          <w:tcPr>
            <w:tcW w:w="494" w:type="pct"/>
            <w:tcBorders>
              <w:top w:val="nil"/>
              <w:left w:val="nil"/>
              <w:bottom w:val="nil"/>
              <w:right w:val="nil"/>
            </w:tcBorders>
            <w:shd w:val="clear" w:color="auto" w:fill="auto"/>
            <w:noWrap/>
            <w:vAlign w:val="bottom"/>
            <w:hideMark/>
          </w:tcPr>
          <w:p w14:paraId="4F91CBB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55 </w:t>
            </w:r>
          </w:p>
        </w:tc>
      </w:tr>
      <w:tr w:rsidR="00362116" w:rsidRPr="00362116" w14:paraId="65A576E2" w14:textId="77777777" w:rsidTr="00362116">
        <w:trPr>
          <w:trHeight w:val="225"/>
        </w:trPr>
        <w:tc>
          <w:tcPr>
            <w:tcW w:w="2512" w:type="pct"/>
            <w:tcBorders>
              <w:top w:val="nil"/>
              <w:left w:val="nil"/>
              <w:bottom w:val="nil"/>
              <w:right w:val="nil"/>
            </w:tcBorders>
            <w:shd w:val="clear" w:color="auto" w:fill="auto"/>
            <w:noWrap/>
            <w:vAlign w:val="bottom"/>
            <w:hideMark/>
          </w:tcPr>
          <w:p w14:paraId="1EA25F01" w14:textId="77777777" w:rsidR="00362116" w:rsidRPr="00362116" w:rsidRDefault="00362116" w:rsidP="00362116">
            <w:pPr>
              <w:spacing w:after="0"/>
              <w:ind w:firstLineChars="100" w:firstLine="160"/>
              <w:jc w:val="left"/>
              <w:rPr>
                <w:rFonts w:eastAsia="Times New Roman" w:cs="Arial"/>
                <w:sz w:val="16"/>
                <w:szCs w:val="16"/>
                <w:lang w:eastAsia="en-AU"/>
              </w:rPr>
            </w:pPr>
            <w:r w:rsidRPr="00362116">
              <w:rPr>
                <w:rFonts w:eastAsia="Times New Roman" w:cs="Arial"/>
                <w:sz w:val="16"/>
                <w:szCs w:val="16"/>
                <w:lang w:eastAsia="en-AU"/>
              </w:rPr>
              <w:t>Risk equalisation levy payments</w:t>
            </w:r>
          </w:p>
        </w:tc>
        <w:tc>
          <w:tcPr>
            <w:tcW w:w="509" w:type="pct"/>
            <w:tcBorders>
              <w:top w:val="nil"/>
              <w:left w:val="nil"/>
              <w:bottom w:val="nil"/>
              <w:right w:val="nil"/>
            </w:tcBorders>
            <w:shd w:val="clear" w:color="auto" w:fill="auto"/>
            <w:noWrap/>
            <w:vAlign w:val="bottom"/>
            <w:hideMark/>
          </w:tcPr>
          <w:p w14:paraId="56237364"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000000" w:fill="E6E6E6"/>
            <w:noWrap/>
            <w:vAlign w:val="bottom"/>
            <w:hideMark/>
          </w:tcPr>
          <w:p w14:paraId="290EAEDA"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auto" w:fill="auto"/>
            <w:noWrap/>
            <w:vAlign w:val="bottom"/>
            <w:hideMark/>
          </w:tcPr>
          <w:p w14:paraId="3356ADC6"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auto" w:fill="auto"/>
            <w:noWrap/>
            <w:vAlign w:val="bottom"/>
            <w:hideMark/>
          </w:tcPr>
          <w:p w14:paraId="1F5550D6"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4" w:type="pct"/>
            <w:tcBorders>
              <w:top w:val="nil"/>
              <w:left w:val="nil"/>
              <w:bottom w:val="nil"/>
              <w:right w:val="nil"/>
            </w:tcBorders>
            <w:shd w:val="clear" w:color="auto" w:fill="auto"/>
            <w:noWrap/>
            <w:vAlign w:val="bottom"/>
            <w:hideMark/>
          </w:tcPr>
          <w:p w14:paraId="270AD54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r>
      <w:tr w:rsidR="00362116" w:rsidRPr="00362116" w14:paraId="20970271" w14:textId="77777777" w:rsidTr="00362116">
        <w:trPr>
          <w:trHeight w:val="210"/>
        </w:trPr>
        <w:tc>
          <w:tcPr>
            <w:tcW w:w="2512" w:type="pct"/>
            <w:tcBorders>
              <w:top w:val="nil"/>
              <w:left w:val="nil"/>
              <w:bottom w:val="nil"/>
              <w:right w:val="nil"/>
            </w:tcBorders>
            <w:shd w:val="clear" w:color="auto" w:fill="auto"/>
            <w:noWrap/>
            <w:vAlign w:val="bottom"/>
            <w:hideMark/>
          </w:tcPr>
          <w:p w14:paraId="17CEB7BC" w14:textId="77777777" w:rsidR="00362116" w:rsidRPr="00362116" w:rsidRDefault="00362116" w:rsidP="00362116">
            <w:pPr>
              <w:spacing w:after="0"/>
              <w:jc w:val="left"/>
              <w:rPr>
                <w:rFonts w:eastAsia="Times New Roman" w:cs="Arial"/>
                <w:b/>
                <w:bCs/>
                <w:i/>
                <w:iCs/>
                <w:sz w:val="16"/>
                <w:szCs w:val="16"/>
                <w:lang w:eastAsia="en-AU"/>
              </w:rPr>
            </w:pPr>
            <w:r w:rsidRPr="00362116">
              <w:rPr>
                <w:rFonts w:eastAsia="Times New Roman" w:cs="Arial"/>
                <w:b/>
                <w:bCs/>
                <w:i/>
                <w:iCs/>
                <w:sz w:val="16"/>
                <w:szCs w:val="16"/>
                <w:lang w:eastAsia="en-AU"/>
              </w:rPr>
              <w:t>Total cash used</w:t>
            </w:r>
          </w:p>
        </w:tc>
        <w:tc>
          <w:tcPr>
            <w:tcW w:w="509" w:type="pct"/>
            <w:tcBorders>
              <w:top w:val="single" w:sz="4" w:space="0" w:color="000000"/>
              <w:left w:val="nil"/>
              <w:bottom w:val="single" w:sz="4" w:space="0" w:color="000000"/>
              <w:right w:val="nil"/>
            </w:tcBorders>
            <w:shd w:val="clear" w:color="auto" w:fill="auto"/>
            <w:noWrap/>
            <w:vAlign w:val="bottom"/>
            <w:hideMark/>
          </w:tcPr>
          <w:p w14:paraId="706B75E5"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450,055 </w:t>
            </w:r>
          </w:p>
        </w:tc>
        <w:tc>
          <w:tcPr>
            <w:tcW w:w="495" w:type="pct"/>
            <w:tcBorders>
              <w:top w:val="single" w:sz="4" w:space="0" w:color="000000"/>
              <w:left w:val="nil"/>
              <w:bottom w:val="single" w:sz="4" w:space="0" w:color="000000"/>
              <w:right w:val="nil"/>
            </w:tcBorders>
            <w:shd w:val="clear" w:color="000000" w:fill="E6E6E6"/>
            <w:noWrap/>
            <w:vAlign w:val="bottom"/>
            <w:hideMark/>
          </w:tcPr>
          <w:p w14:paraId="6596C0C9"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450,055 </w:t>
            </w:r>
          </w:p>
        </w:tc>
        <w:tc>
          <w:tcPr>
            <w:tcW w:w="495" w:type="pct"/>
            <w:tcBorders>
              <w:top w:val="single" w:sz="4" w:space="0" w:color="000000"/>
              <w:left w:val="nil"/>
              <w:bottom w:val="single" w:sz="4" w:space="0" w:color="000000"/>
              <w:right w:val="nil"/>
            </w:tcBorders>
            <w:shd w:val="clear" w:color="auto" w:fill="auto"/>
            <w:noWrap/>
            <w:vAlign w:val="bottom"/>
            <w:hideMark/>
          </w:tcPr>
          <w:p w14:paraId="636EBCC1"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450,055 </w:t>
            </w:r>
          </w:p>
        </w:tc>
        <w:tc>
          <w:tcPr>
            <w:tcW w:w="495" w:type="pct"/>
            <w:tcBorders>
              <w:top w:val="single" w:sz="4" w:space="0" w:color="000000"/>
              <w:left w:val="nil"/>
              <w:bottom w:val="single" w:sz="4" w:space="0" w:color="000000"/>
              <w:right w:val="nil"/>
            </w:tcBorders>
            <w:shd w:val="clear" w:color="auto" w:fill="auto"/>
            <w:noWrap/>
            <w:vAlign w:val="bottom"/>
            <w:hideMark/>
          </w:tcPr>
          <w:p w14:paraId="2A4C1ADF"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450,055 </w:t>
            </w:r>
          </w:p>
        </w:tc>
        <w:tc>
          <w:tcPr>
            <w:tcW w:w="494" w:type="pct"/>
            <w:tcBorders>
              <w:top w:val="single" w:sz="4" w:space="0" w:color="000000"/>
              <w:left w:val="nil"/>
              <w:bottom w:val="single" w:sz="4" w:space="0" w:color="000000"/>
              <w:right w:val="nil"/>
            </w:tcBorders>
            <w:shd w:val="clear" w:color="auto" w:fill="auto"/>
            <w:noWrap/>
            <w:vAlign w:val="bottom"/>
            <w:hideMark/>
          </w:tcPr>
          <w:p w14:paraId="44AF9FEC"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450,055 </w:t>
            </w:r>
          </w:p>
        </w:tc>
      </w:tr>
      <w:tr w:rsidR="00362116" w:rsidRPr="00362116" w14:paraId="3EE05598" w14:textId="77777777" w:rsidTr="00362116">
        <w:trPr>
          <w:trHeight w:val="450"/>
        </w:trPr>
        <w:tc>
          <w:tcPr>
            <w:tcW w:w="2512" w:type="pct"/>
            <w:tcBorders>
              <w:top w:val="nil"/>
              <w:left w:val="nil"/>
              <w:bottom w:val="nil"/>
              <w:right w:val="nil"/>
            </w:tcBorders>
            <w:shd w:val="clear" w:color="auto" w:fill="auto"/>
            <w:vAlign w:val="bottom"/>
            <w:hideMark/>
          </w:tcPr>
          <w:p w14:paraId="5C457D7E" w14:textId="77777777" w:rsidR="00362116" w:rsidRPr="00362116" w:rsidRDefault="00362116" w:rsidP="00362116">
            <w:pPr>
              <w:spacing w:after="0"/>
              <w:jc w:val="left"/>
              <w:rPr>
                <w:rFonts w:eastAsia="Times New Roman" w:cs="Arial"/>
                <w:b/>
                <w:bCs/>
                <w:sz w:val="16"/>
                <w:szCs w:val="16"/>
                <w:lang w:eastAsia="en-AU"/>
              </w:rPr>
            </w:pPr>
            <w:r w:rsidRPr="00362116">
              <w:rPr>
                <w:rFonts w:eastAsia="Times New Roman" w:cs="Arial"/>
                <w:b/>
                <w:bCs/>
                <w:sz w:val="16"/>
                <w:szCs w:val="16"/>
                <w:lang w:eastAsia="en-AU"/>
              </w:rPr>
              <w:t>Net cash from</w:t>
            </w:r>
            <w:proofErr w:type="gramStart"/>
            <w:r w:rsidRPr="00362116">
              <w:rPr>
                <w:rFonts w:eastAsia="Times New Roman" w:cs="Arial"/>
                <w:b/>
                <w:bCs/>
                <w:sz w:val="16"/>
                <w:szCs w:val="16"/>
                <w:lang w:eastAsia="en-AU"/>
              </w:rPr>
              <w:t>/(</w:t>
            </w:r>
            <w:proofErr w:type="gramEnd"/>
            <w:r w:rsidRPr="00362116">
              <w:rPr>
                <w:rFonts w:eastAsia="Times New Roman" w:cs="Arial"/>
                <w:b/>
                <w:bCs/>
                <w:sz w:val="16"/>
                <w:szCs w:val="16"/>
                <w:lang w:eastAsia="en-AU"/>
              </w:rPr>
              <w:t>used by)</w:t>
            </w:r>
            <w:r w:rsidRPr="00362116">
              <w:rPr>
                <w:rFonts w:eastAsia="Times New Roman" w:cs="Arial"/>
                <w:b/>
                <w:bCs/>
                <w:sz w:val="16"/>
                <w:szCs w:val="16"/>
                <w:lang w:eastAsia="en-AU"/>
              </w:rPr>
              <w:br/>
              <w:t xml:space="preserve">  operating activities</w:t>
            </w:r>
          </w:p>
        </w:tc>
        <w:tc>
          <w:tcPr>
            <w:tcW w:w="509" w:type="pct"/>
            <w:tcBorders>
              <w:top w:val="nil"/>
              <w:left w:val="nil"/>
              <w:bottom w:val="single" w:sz="4" w:space="0" w:color="000000"/>
              <w:right w:val="nil"/>
            </w:tcBorders>
            <w:shd w:val="clear" w:color="auto" w:fill="auto"/>
            <w:noWrap/>
            <w:vAlign w:val="bottom"/>
            <w:hideMark/>
          </w:tcPr>
          <w:p w14:paraId="70EC3FCF"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222,980 </w:t>
            </w:r>
          </w:p>
        </w:tc>
        <w:tc>
          <w:tcPr>
            <w:tcW w:w="495" w:type="pct"/>
            <w:tcBorders>
              <w:top w:val="nil"/>
              <w:left w:val="nil"/>
              <w:bottom w:val="single" w:sz="4" w:space="0" w:color="000000"/>
              <w:right w:val="nil"/>
            </w:tcBorders>
            <w:shd w:val="clear" w:color="000000" w:fill="E6E6E6"/>
            <w:noWrap/>
            <w:vAlign w:val="bottom"/>
            <w:hideMark/>
          </w:tcPr>
          <w:p w14:paraId="3258DDC3"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262,941 </w:t>
            </w:r>
          </w:p>
        </w:tc>
        <w:tc>
          <w:tcPr>
            <w:tcW w:w="495" w:type="pct"/>
            <w:tcBorders>
              <w:top w:val="nil"/>
              <w:left w:val="nil"/>
              <w:bottom w:val="single" w:sz="4" w:space="0" w:color="000000"/>
              <w:right w:val="nil"/>
            </w:tcBorders>
            <w:shd w:val="clear" w:color="auto" w:fill="auto"/>
            <w:noWrap/>
            <w:vAlign w:val="bottom"/>
            <w:hideMark/>
          </w:tcPr>
          <w:p w14:paraId="16405B88"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234,508 </w:t>
            </w:r>
          </w:p>
        </w:tc>
        <w:tc>
          <w:tcPr>
            <w:tcW w:w="495" w:type="pct"/>
            <w:tcBorders>
              <w:top w:val="nil"/>
              <w:left w:val="nil"/>
              <w:bottom w:val="single" w:sz="4" w:space="0" w:color="000000"/>
              <w:right w:val="nil"/>
            </w:tcBorders>
            <w:shd w:val="clear" w:color="auto" w:fill="auto"/>
            <w:noWrap/>
            <w:vAlign w:val="bottom"/>
            <w:hideMark/>
          </w:tcPr>
          <w:p w14:paraId="3E043424"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235,521 </w:t>
            </w:r>
          </w:p>
        </w:tc>
        <w:tc>
          <w:tcPr>
            <w:tcW w:w="494" w:type="pct"/>
            <w:tcBorders>
              <w:top w:val="nil"/>
              <w:left w:val="nil"/>
              <w:bottom w:val="single" w:sz="4" w:space="0" w:color="000000"/>
              <w:right w:val="nil"/>
            </w:tcBorders>
            <w:shd w:val="clear" w:color="auto" w:fill="auto"/>
            <w:noWrap/>
            <w:vAlign w:val="bottom"/>
            <w:hideMark/>
          </w:tcPr>
          <w:p w14:paraId="42512AB6"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233,765 </w:t>
            </w:r>
          </w:p>
        </w:tc>
      </w:tr>
      <w:tr w:rsidR="00362116" w:rsidRPr="00362116" w14:paraId="7385311F" w14:textId="77777777" w:rsidTr="00362116">
        <w:trPr>
          <w:trHeight w:val="420"/>
        </w:trPr>
        <w:tc>
          <w:tcPr>
            <w:tcW w:w="2512" w:type="pct"/>
            <w:tcBorders>
              <w:top w:val="nil"/>
              <w:left w:val="nil"/>
              <w:bottom w:val="nil"/>
              <w:right w:val="nil"/>
            </w:tcBorders>
            <w:shd w:val="clear" w:color="auto" w:fill="auto"/>
            <w:vAlign w:val="bottom"/>
            <w:hideMark/>
          </w:tcPr>
          <w:p w14:paraId="3F407B04" w14:textId="77777777" w:rsidR="00362116" w:rsidRPr="00362116" w:rsidRDefault="00362116" w:rsidP="00362116">
            <w:pPr>
              <w:spacing w:after="0"/>
              <w:jc w:val="left"/>
              <w:rPr>
                <w:rFonts w:eastAsia="Times New Roman" w:cs="Arial"/>
                <w:b/>
                <w:bCs/>
                <w:i/>
                <w:iCs/>
                <w:sz w:val="16"/>
                <w:szCs w:val="16"/>
                <w:lang w:eastAsia="en-AU"/>
              </w:rPr>
            </w:pPr>
            <w:r w:rsidRPr="00362116">
              <w:rPr>
                <w:rFonts w:eastAsia="Times New Roman" w:cs="Arial"/>
                <w:b/>
                <w:bCs/>
                <w:i/>
                <w:iCs/>
                <w:sz w:val="16"/>
                <w:szCs w:val="16"/>
                <w:lang w:eastAsia="en-AU"/>
              </w:rPr>
              <w:t>Net increase/(decrease) in cash</w:t>
            </w:r>
            <w:r w:rsidRPr="00362116">
              <w:rPr>
                <w:rFonts w:eastAsia="Times New Roman" w:cs="Arial"/>
                <w:b/>
                <w:bCs/>
                <w:i/>
                <w:iCs/>
                <w:sz w:val="16"/>
                <w:szCs w:val="16"/>
                <w:lang w:eastAsia="en-AU"/>
              </w:rPr>
              <w:br/>
              <w:t xml:space="preserve">  held</w:t>
            </w:r>
          </w:p>
        </w:tc>
        <w:tc>
          <w:tcPr>
            <w:tcW w:w="509" w:type="pct"/>
            <w:tcBorders>
              <w:top w:val="nil"/>
              <w:left w:val="nil"/>
              <w:bottom w:val="single" w:sz="4" w:space="0" w:color="auto"/>
              <w:right w:val="nil"/>
            </w:tcBorders>
            <w:shd w:val="clear" w:color="auto" w:fill="auto"/>
            <w:noWrap/>
            <w:vAlign w:val="bottom"/>
            <w:hideMark/>
          </w:tcPr>
          <w:p w14:paraId="27BC1748"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222,980 </w:t>
            </w:r>
          </w:p>
        </w:tc>
        <w:tc>
          <w:tcPr>
            <w:tcW w:w="495" w:type="pct"/>
            <w:tcBorders>
              <w:top w:val="nil"/>
              <w:left w:val="nil"/>
              <w:bottom w:val="single" w:sz="4" w:space="0" w:color="auto"/>
              <w:right w:val="nil"/>
            </w:tcBorders>
            <w:shd w:val="clear" w:color="000000" w:fill="E6E6E6"/>
            <w:noWrap/>
            <w:vAlign w:val="bottom"/>
            <w:hideMark/>
          </w:tcPr>
          <w:p w14:paraId="75D5DBED"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262,941 </w:t>
            </w:r>
          </w:p>
        </w:tc>
        <w:tc>
          <w:tcPr>
            <w:tcW w:w="495" w:type="pct"/>
            <w:tcBorders>
              <w:top w:val="nil"/>
              <w:left w:val="nil"/>
              <w:bottom w:val="single" w:sz="4" w:space="0" w:color="auto"/>
              <w:right w:val="nil"/>
            </w:tcBorders>
            <w:shd w:val="clear" w:color="auto" w:fill="auto"/>
            <w:noWrap/>
            <w:vAlign w:val="bottom"/>
            <w:hideMark/>
          </w:tcPr>
          <w:p w14:paraId="28630AD6"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234,508 </w:t>
            </w:r>
          </w:p>
        </w:tc>
        <w:tc>
          <w:tcPr>
            <w:tcW w:w="495" w:type="pct"/>
            <w:tcBorders>
              <w:top w:val="nil"/>
              <w:left w:val="nil"/>
              <w:bottom w:val="single" w:sz="4" w:space="0" w:color="auto"/>
              <w:right w:val="nil"/>
            </w:tcBorders>
            <w:shd w:val="clear" w:color="auto" w:fill="auto"/>
            <w:noWrap/>
            <w:vAlign w:val="bottom"/>
            <w:hideMark/>
          </w:tcPr>
          <w:p w14:paraId="7AA37168"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235,521 </w:t>
            </w:r>
          </w:p>
        </w:tc>
        <w:tc>
          <w:tcPr>
            <w:tcW w:w="494" w:type="pct"/>
            <w:tcBorders>
              <w:top w:val="nil"/>
              <w:left w:val="nil"/>
              <w:bottom w:val="single" w:sz="4" w:space="0" w:color="auto"/>
              <w:right w:val="nil"/>
            </w:tcBorders>
            <w:shd w:val="clear" w:color="auto" w:fill="auto"/>
            <w:noWrap/>
            <w:vAlign w:val="bottom"/>
            <w:hideMark/>
          </w:tcPr>
          <w:p w14:paraId="6B428F6D" w14:textId="77777777" w:rsidR="00362116" w:rsidRPr="00362116" w:rsidRDefault="00362116" w:rsidP="00362116">
            <w:pPr>
              <w:spacing w:after="0"/>
              <w:jc w:val="right"/>
              <w:rPr>
                <w:rFonts w:eastAsia="Times New Roman" w:cs="Arial"/>
                <w:b/>
                <w:bCs/>
                <w:i/>
                <w:iCs/>
                <w:sz w:val="16"/>
                <w:szCs w:val="16"/>
                <w:lang w:eastAsia="en-AU"/>
              </w:rPr>
            </w:pPr>
            <w:r w:rsidRPr="00362116">
              <w:rPr>
                <w:rFonts w:eastAsia="Times New Roman" w:cs="Arial"/>
                <w:b/>
                <w:bCs/>
                <w:i/>
                <w:iCs/>
                <w:sz w:val="16"/>
                <w:szCs w:val="16"/>
                <w:lang w:eastAsia="en-AU"/>
              </w:rPr>
              <w:t xml:space="preserve">233,765 </w:t>
            </w:r>
          </w:p>
        </w:tc>
      </w:tr>
      <w:tr w:rsidR="00362116" w:rsidRPr="00362116" w14:paraId="4CF7F895" w14:textId="77777777" w:rsidTr="00362116">
        <w:trPr>
          <w:trHeight w:val="450"/>
        </w:trPr>
        <w:tc>
          <w:tcPr>
            <w:tcW w:w="2512" w:type="pct"/>
            <w:tcBorders>
              <w:top w:val="nil"/>
              <w:left w:val="nil"/>
              <w:bottom w:val="nil"/>
              <w:right w:val="nil"/>
            </w:tcBorders>
            <w:shd w:val="clear" w:color="auto" w:fill="auto"/>
            <w:vAlign w:val="bottom"/>
            <w:hideMark/>
          </w:tcPr>
          <w:p w14:paraId="57BA5B16" w14:textId="77777777" w:rsidR="00362116" w:rsidRPr="00362116" w:rsidRDefault="00362116" w:rsidP="00362116">
            <w:pPr>
              <w:spacing w:after="0"/>
              <w:ind w:firstLineChars="100" w:firstLine="160"/>
              <w:jc w:val="left"/>
              <w:rPr>
                <w:rFonts w:eastAsia="Times New Roman" w:cs="Arial"/>
                <w:sz w:val="16"/>
                <w:szCs w:val="16"/>
                <w:lang w:eastAsia="en-AU"/>
              </w:rPr>
            </w:pPr>
            <w:r w:rsidRPr="00362116">
              <w:rPr>
                <w:rFonts w:eastAsia="Times New Roman" w:cs="Arial"/>
                <w:sz w:val="16"/>
                <w:szCs w:val="16"/>
                <w:lang w:eastAsia="en-AU"/>
              </w:rPr>
              <w:t>Cash and cash equivalents at</w:t>
            </w:r>
            <w:r w:rsidRPr="00362116">
              <w:rPr>
                <w:rFonts w:eastAsia="Times New Roman" w:cs="Arial"/>
                <w:sz w:val="16"/>
                <w:szCs w:val="16"/>
                <w:lang w:eastAsia="en-AU"/>
              </w:rPr>
              <w:br/>
              <w:t xml:space="preserve">  beginning of reporting period</w:t>
            </w:r>
          </w:p>
        </w:tc>
        <w:tc>
          <w:tcPr>
            <w:tcW w:w="509" w:type="pct"/>
            <w:tcBorders>
              <w:top w:val="nil"/>
              <w:left w:val="nil"/>
              <w:bottom w:val="nil"/>
              <w:right w:val="nil"/>
            </w:tcBorders>
            <w:shd w:val="clear" w:color="auto" w:fill="auto"/>
            <w:noWrap/>
            <w:vAlign w:val="bottom"/>
            <w:hideMark/>
          </w:tcPr>
          <w:p w14:paraId="23453954"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835 </w:t>
            </w:r>
          </w:p>
        </w:tc>
        <w:tc>
          <w:tcPr>
            <w:tcW w:w="495" w:type="pct"/>
            <w:tcBorders>
              <w:top w:val="nil"/>
              <w:left w:val="nil"/>
              <w:bottom w:val="nil"/>
              <w:right w:val="nil"/>
            </w:tcBorders>
            <w:shd w:val="clear" w:color="000000" w:fill="E6E6E6"/>
            <w:noWrap/>
            <w:vAlign w:val="bottom"/>
            <w:hideMark/>
          </w:tcPr>
          <w:p w14:paraId="31B5194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835 </w:t>
            </w:r>
          </w:p>
        </w:tc>
        <w:tc>
          <w:tcPr>
            <w:tcW w:w="495" w:type="pct"/>
            <w:tcBorders>
              <w:top w:val="nil"/>
              <w:left w:val="nil"/>
              <w:bottom w:val="nil"/>
              <w:right w:val="nil"/>
            </w:tcBorders>
            <w:shd w:val="clear" w:color="auto" w:fill="auto"/>
            <w:noWrap/>
            <w:vAlign w:val="bottom"/>
            <w:hideMark/>
          </w:tcPr>
          <w:p w14:paraId="0B981A8E"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835 </w:t>
            </w:r>
          </w:p>
        </w:tc>
        <w:tc>
          <w:tcPr>
            <w:tcW w:w="495" w:type="pct"/>
            <w:tcBorders>
              <w:top w:val="nil"/>
              <w:left w:val="nil"/>
              <w:bottom w:val="nil"/>
              <w:right w:val="nil"/>
            </w:tcBorders>
            <w:shd w:val="clear" w:color="auto" w:fill="auto"/>
            <w:noWrap/>
            <w:vAlign w:val="bottom"/>
            <w:hideMark/>
          </w:tcPr>
          <w:p w14:paraId="653F77ED"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835 </w:t>
            </w:r>
          </w:p>
        </w:tc>
        <w:tc>
          <w:tcPr>
            <w:tcW w:w="494" w:type="pct"/>
            <w:tcBorders>
              <w:top w:val="nil"/>
              <w:left w:val="nil"/>
              <w:bottom w:val="nil"/>
              <w:right w:val="nil"/>
            </w:tcBorders>
            <w:shd w:val="clear" w:color="auto" w:fill="auto"/>
            <w:noWrap/>
            <w:vAlign w:val="bottom"/>
            <w:hideMark/>
          </w:tcPr>
          <w:p w14:paraId="4EE89DB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835 </w:t>
            </w:r>
          </w:p>
        </w:tc>
      </w:tr>
      <w:tr w:rsidR="00362116" w:rsidRPr="00362116" w14:paraId="2206E66D" w14:textId="77777777" w:rsidTr="00362116">
        <w:trPr>
          <w:trHeight w:val="225"/>
        </w:trPr>
        <w:tc>
          <w:tcPr>
            <w:tcW w:w="2512" w:type="pct"/>
            <w:tcBorders>
              <w:top w:val="nil"/>
              <w:left w:val="nil"/>
              <w:bottom w:val="nil"/>
              <w:right w:val="nil"/>
            </w:tcBorders>
            <w:shd w:val="clear" w:color="auto" w:fill="auto"/>
            <w:vAlign w:val="bottom"/>
            <w:hideMark/>
          </w:tcPr>
          <w:p w14:paraId="60084A50" w14:textId="77777777" w:rsidR="00362116" w:rsidRPr="00362116" w:rsidRDefault="00362116" w:rsidP="00362116">
            <w:pPr>
              <w:spacing w:after="0"/>
              <w:ind w:firstLineChars="200" w:firstLine="320"/>
              <w:jc w:val="left"/>
              <w:rPr>
                <w:rFonts w:eastAsia="Times New Roman" w:cs="Arial"/>
                <w:sz w:val="16"/>
                <w:szCs w:val="16"/>
                <w:lang w:eastAsia="en-AU"/>
              </w:rPr>
            </w:pPr>
            <w:r w:rsidRPr="00362116">
              <w:rPr>
                <w:rFonts w:eastAsia="Times New Roman" w:cs="Arial"/>
                <w:sz w:val="16"/>
                <w:szCs w:val="16"/>
                <w:lang w:eastAsia="en-AU"/>
              </w:rPr>
              <w:t>Cash from Official Public Account for:</w:t>
            </w:r>
          </w:p>
        </w:tc>
        <w:tc>
          <w:tcPr>
            <w:tcW w:w="509" w:type="pct"/>
            <w:tcBorders>
              <w:top w:val="nil"/>
              <w:left w:val="nil"/>
              <w:bottom w:val="nil"/>
              <w:right w:val="nil"/>
            </w:tcBorders>
            <w:shd w:val="clear" w:color="auto" w:fill="auto"/>
            <w:noWrap/>
            <w:vAlign w:val="bottom"/>
            <w:hideMark/>
          </w:tcPr>
          <w:p w14:paraId="3917C544" w14:textId="77777777" w:rsidR="00362116" w:rsidRPr="00362116" w:rsidRDefault="00362116" w:rsidP="00362116">
            <w:pPr>
              <w:spacing w:after="0"/>
              <w:ind w:firstLineChars="200" w:firstLine="320"/>
              <w:jc w:val="left"/>
              <w:rPr>
                <w:rFonts w:eastAsia="Times New Roman" w:cs="Arial"/>
                <w:sz w:val="16"/>
                <w:szCs w:val="16"/>
                <w:lang w:eastAsia="en-AU"/>
              </w:rPr>
            </w:pPr>
          </w:p>
        </w:tc>
        <w:tc>
          <w:tcPr>
            <w:tcW w:w="495" w:type="pct"/>
            <w:tcBorders>
              <w:top w:val="nil"/>
              <w:left w:val="nil"/>
              <w:bottom w:val="nil"/>
              <w:right w:val="nil"/>
            </w:tcBorders>
            <w:shd w:val="clear" w:color="000000" w:fill="E6E6E6"/>
            <w:noWrap/>
            <w:vAlign w:val="bottom"/>
            <w:hideMark/>
          </w:tcPr>
          <w:p w14:paraId="5FF79240"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5" w:type="pct"/>
            <w:tcBorders>
              <w:top w:val="nil"/>
              <w:left w:val="nil"/>
              <w:bottom w:val="nil"/>
              <w:right w:val="nil"/>
            </w:tcBorders>
            <w:shd w:val="clear" w:color="auto" w:fill="auto"/>
            <w:noWrap/>
            <w:vAlign w:val="bottom"/>
            <w:hideMark/>
          </w:tcPr>
          <w:p w14:paraId="37B28535" w14:textId="77777777" w:rsidR="00362116" w:rsidRPr="00362116" w:rsidRDefault="00362116" w:rsidP="00362116">
            <w:pPr>
              <w:spacing w:after="0"/>
              <w:jc w:val="left"/>
              <w:rPr>
                <w:rFonts w:eastAsia="Times New Roman" w:cs="Arial"/>
                <w:sz w:val="16"/>
                <w:szCs w:val="16"/>
                <w:lang w:eastAsia="en-AU"/>
              </w:rPr>
            </w:pPr>
          </w:p>
        </w:tc>
        <w:tc>
          <w:tcPr>
            <w:tcW w:w="495" w:type="pct"/>
            <w:tcBorders>
              <w:top w:val="nil"/>
              <w:left w:val="nil"/>
              <w:bottom w:val="nil"/>
              <w:right w:val="nil"/>
            </w:tcBorders>
            <w:shd w:val="clear" w:color="auto" w:fill="auto"/>
            <w:noWrap/>
            <w:vAlign w:val="bottom"/>
            <w:hideMark/>
          </w:tcPr>
          <w:p w14:paraId="56AD0191"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c>
          <w:tcPr>
            <w:tcW w:w="494" w:type="pct"/>
            <w:tcBorders>
              <w:top w:val="nil"/>
              <w:left w:val="nil"/>
              <w:bottom w:val="nil"/>
              <w:right w:val="nil"/>
            </w:tcBorders>
            <w:shd w:val="clear" w:color="auto" w:fill="auto"/>
            <w:noWrap/>
            <w:vAlign w:val="bottom"/>
            <w:hideMark/>
          </w:tcPr>
          <w:p w14:paraId="4622042C" w14:textId="77777777" w:rsidR="00362116" w:rsidRPr="00362116" w:rsidRDefault="00362116" w:rsidP="00362116">
            <w:pPr>
              <w:spacing w:after="0"/>
              <w:jc w:val="left"/>
              <w:rPr>
                <w:rFonts w:ascii="Times New Roman" w:eastAsia="Times New Roman" w:hAnsi="Times New Roman" w:cs="Times New Roman"/>
                <w:color w:val="auto"/>
                <w:sz w:val="20"/>
                <w:szCs w:val="20"/>
                <w:lang w:eastAsia="en-AU"/>
              </w:rPr>
            </w:pPr>
          </w:p>
        </w:tc>
      </w:tr>
      <w:tr w:rsidR="00362116" w:rsidRPr="00362116" w14:paraId="590B6378" w14:textId="77777777" w:rsidTr="00362116">
        <w:trPr>
          <w:trHeight w:val="225"/>
        </w:trPr>
        <w:tc>
          <w:tcPr>
            <w:tcW w:w="2512" w:type="pct"/>
            <w:tcBorders>
              <w:top w:val="nil"/>
              <w:left w:val="nil"/>
              <w:bottom w:val="nil"/>
              <w:right w:val="nil"/>
            </w:tcBorders>
            <w:shd w:val="clear" w:color="auto" w:fill="auto"/>
            <w:noWrap/>
            <w:vAlign w:val="bottom"/>
            <w:hideMark/>
          </w:tcPr>
          <w:p w14:paraId="7DC2A049" w14:textId="77777777" w:rsidR="00362116" w:rsidRPr="00362116" w:rsidRDefault="00362116" w:rsidP="00362116">
            <w:pPr>
              <w:spacing w:after="0"/>
              <w:ind w:firstLineChars="300" w:firstLine="480"/>
              <w:jc w:val="left"/>
              <w:rPr>
                <w:rFonts w:eastAsia="Times New Roman" w:cs="Arial"/>
                <w:sz w:val="16"/>
                <w:szCs w:val="16"/>
                <w:lang w:eastAsia="en-AU"/>
              </w:rPr>
            </w:pPr>
            <w:r w:rsidRPr="00362116">
              <w:rPr>
                <w:rFonts w:eastAsia="Times New Roman" w:cs="Arial"/>
                <w:sz w:val="16"/>
                <w:szCs w:val="16"/>
                <w:lang w:eastAsia="en-AU"/>
              </w:rPr>
              <w:t>- Risk equalisation collections</w:t>
            </w:r>
          </w:p>
        </w:tc>
        <w:tc>
          <w:tcPr>
            <w:tcW w:w="509" w:type="pct"/>
            <w:tcBorders>
              <w:top w:val="nil"/>
              <w:left w:val="nil"/>
              <w:bottom w:val="nil"/>
              <w:right w:val="nil"/>
            </w:tcBorders>
            <w:shd w:val="clear" w:color="auto" w:fill="auto"/>
            <w:noWrap/>
            <w:vAlign w:val="bottom"/>
            <w:hideMark/>
          </w:tcPr>
          <w:p w14:paraId="2E8C15A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000000" w:fill="E6E6E6"/>
            <w:noWrap/>
            <w:vAlign w:val="bottom"/>
            <w:hideMark/>
          </w:tcPr>
          <w:p w14:paraId="4F28126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auto" w:fill="auto"/>
            <w:noWrap/>
            <w:vAlign w:val="bottom"/>
            <w:hideMark/>
          </w:tcPr>
          <w:p w14:paraId="4F576FC8"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5" w:type="pct"/>
            <w:tcBorders>
              <w:top w:val="nil"/>
              <w:left w:val="nil"/>
              <w:bottom w:val="nil"/>
              <w:right w:val="nil"/>
            </w:tcBorders>
            <w:shd w:val="clear" w:color="000000" w:fill="FFFFFF"/>
            <w:noWrap/>
            <w:vAlign w:val="bottom"/>
            <w:hideMark/>
          </w:tcPr>
          <w:p w14:paraId="68682E7C"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c>
          <w:tcPr>
            <w:tcW w:w="494" w:type="pct"/>
            <w:tcBorders>
              <w:top w:val="nil"/>
              <w:left w:val="nil"/>
              <w:bottom w:val="nil"/>
              <w:right w:val="nil"/>
            </w:tcBorders>
            <w:shd w:val="clear" w:color="auto" w:fill="auto"/>
            <w:noWrap/>
            <w:vAlign w:val="bottom"/>
            <w:hideMark/>
          </w:tcPr>
          <w:p w14:paraId="7FCC3B49"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 xml:space="preserve">450,000 </w:t>
            </w:r>
          </w:p>
        </w:tc>
      </w:tr>
      <w:tr w:rsidR="00362116" w:rsidRPr="00362116" w14:paraId="4C0DA4E4" w14:textId="77777777" w:rsidTr="00362116">
        <w:tc>
          <w:tcPr>
            <w:tcW w:w="2512" w:type="pct"/>
            <w:tcBorders>
              <w:top w:val="nil"/>
              <w:left w:val="nil"/>
              <w:bottom w:val="nil"/>
              <w:right w:val="nil"/>
            </w:tcBorders>
            <w:shd w:val="clear" w:color="auto" w:fill="auto"/>
            <w:vAlign w:val="bottom"/>
            <w:hideMark/>
          </w:tcPr>
          <w:p w14:paraId="24F3C77D" w14:textId="77777777" w:rsidR="00362116" w:rsidRPr="00362116" w:rsidRDefault="00362116" w:rsidP="00362116">
            <w:pPr>
              <w:spacing w:after="0"/>
              <w:ind w:firstLineChars="200" w:firstLine="320"/>
              <w:jc w:val="left"/>
              <w:rPr>
                <w:rFonts w:eastAsia="Times New Roman" w:cs="Arial"/>
                <w:i/>
                <w:iCs/>
                <w:sz w:val="16"/>
                <w:szCs w:val="16"/>
                <w:lang w:eastAsia="en-AU"/>
              </w:rPr>
            </w:pPr>
            <w:r w:rsidRPr="00362116">
              <w:rPr>
                <w:rFonts w:eastAsia="Times New Roman" w:cs="Arial"/>
                <w:i/>
                <w:iCs/>
                <w:sz w:val="16"/>
                <w:szCs w:val="16"/>
                <w:lang w:eastAsia="en-AU"/>
              </w:rPr>
              <w:t>Total cash from Official Public Account</w:t>
            </w:r>
          </w:p>
        </w:tc>
        <w:tc>
          <w:tcPr>
            <w:tcW w:w="509" w:type="pct"/>
            <w:tcBorders>
              <w:top w:val="single" w:sz="4" w:space="0" w:color="000000"/>
              <w:left w:val="nil"/>
              <w:bottom w:val="nil"/>
              <w:right w:val="nil"/>
            </w:tcBorders>
            <w:shd w:val="clear" w:color="000000" w:fill="FFFFFF"/>
            <w:noWrap/>
            <w:vAlign w:val="bottom"/>
            <w:hideMark/>
          </w:tcPr>
          <w:p w14:paraId="3738D888"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 xml:space="preserve">450,000 </w:t>
            </w:r>
          </w:p>
        </w:tc>
        <w:tc>
          <w:tcPr>
            <w:tcW w:w="495" w:type="pct"/>
            <w:tcBorders>
              <w:top w:val="single" w:sz="4" w:space="0" w:color="000000"/>
              <w:left w:val="nil"/>
              <w:bottom w:val="nil"/>
              <w:right w:val="nil"/>
            </w:tcBorders>
            <w:shd w:val="clear" w:color="000000" w:fill="E6E6E6"/>
            <w:noWrap/>
            <w:vAlign w:val="bottom"/>
            <w:hideMark/>
          </w:tcPr>
          <w:p w14:paraId="1AD7B63F"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 xml:space="preserve">450,000 </w:t>
            </w:r>
          </w:p>
        </w:tc>
        <w:tc>
          <w:tcPr>
            <w:tcW w:w="495" w:type="pct"/>
            <w:tcBorders>
              <w:top w:val="single" w:sz="4" w:space="0" w:color="000000"/>
              <w:left w:val="nil"/>
              <w:bottom w:val="nil"/>
              <w:right w:val="nil"/>
            </w:tcBorders>
            <w:shd w:val="clear" w:color="auto" w:fill="auto"/>
            <w:noWrap/>
            <w:vAlign w:val="bottom"/>
            <w:hideMark/>
          </w:tcPr>
          <w:p w14:paraId="60774462"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 xml:space="preserve">450,000 </w:t>
            </w:r>
          </w:p>
        </w:tc>
        <w:tc>
          <w:tcPr>
            <w:tcW w:w="495" w:type="pct"/>
            <w:tcBorders>
              <w:top w:val="single" w:sz="4" w:space="0" w:color="000000"/>
              <w:left w:val="nil"/>
              <w:bottom w:val="nil"/>
              <w:right w:val="nil"/>
            </w:tcBorders>
            <w:shd w:val="clear" w:color="auto" w:fill="auto"/>
            <w:noWrap/>
            <w:vAlign w:val="bottom"/>
            <w:hideMark/>
          </w:tcPr>
          <w:p w14:paraId="5A8757F7"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 xml:space="preserve">450,000 </w:t>
            </w:r>
          </w:p>
        </w:tc>
        <w:tc>
          <w:tcPr>
            <w:tcW w:w="494" w:type="pct"/>
            <w:tcBorders>
              <w:top w:val="single" w:sz="4" w:space="0" w:color="000000"/>
              <w:left w:val="nil"/>
              <w:bottom w:val="nil"/>
              <w:right w:val="nil"/>
            </w:tcBorders>
            <w:shd w:val="clear" w:color="auto" w:fill="auto"/>
            <w:noWrap/>
            <w:vAlign w:val="bottom"/>
            <w:hideMark/>
          </w:tcPr>
          <w:p w14:paraId="15467BF2"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 xml:space="preserve">450,000 </w:t>
            </w:r>
          </w:p>
        </w:tc>
      </w:tr>
      <w:tr w:rsidR="00362116" w:rsidRPr="00362116" w14:paraId="262E2D26" w14:textId="77777777" w:rsidTr="00362116">
        <w:trPr>
          <w:trHeight w:val="225"/>
        </w:trPr>
        <w:tc>
          <w:tcPr>
            <w:tcW w:w="2512" w:type="pct"/>
            <w:tcBorders>
              <w:top w:val="nil"/>
              <w:left w:val="nil"/>
              <w:bottom w:val="nil"/>
              <w:right w:val="nil"/>
            </w:tcBorders>
            <w:shd w:val="clear" w:color="auto" w:fill="auto"/>
            <w:noWrap/>
            <w:vAlign w:val="bottom"/>
            <w:hideMark/>
          </w:tcPr>
          <w:p w14:paraId="427B9E96" w14:textId="77777777" w:rsidR="00362116" w:rsidRPr="00362116" w:rsidRDefault="00362116" w:rsidP="00362116">
            <w:pPr>
              <w:spacing w:after="0"/>
              <w:ind w:firstLineChars="200" w:firstLine="320"/>
              <w:jc w:val="left"/>
              <w:rPr>
                <w:rFonts w:eastAsia="Times New Roman" w:cs="Arial"/>
                <w:sz w:val="16"/>
                <w:szCs w:val="16"/>
                <w:lang w:eastAsia="en-AU"/>
              </w:rPr>
            </w:pPr>
            <w:r w:rsidRPr="00362116">
              <w:rPr>
                <w:rFonts w:eastAsia="Times New Roman" w:cs="Arial"/>
                <w:sz w:val="16"/>
                <w:szCs w:val="16"/>
                <w:lang w:eastAsia="en-AU"/>
              </w:rPr>
              <w:t>Cash to Official Public Account for:</w:t>
            </w:r>
          </w:p>
        </w:tc>
        <w:tc>
          <w:tcPr>
            <w:tcW w:w="509" w:type="pct"/>
            <w:tcBorders>
              <w:top w:val="single" w:sz="4" w:space="0" w:color="auto"/>
              <w:left w:val="nil"/>
              <w:bottom w:val="nil"/>
              <w:right w:val="nil"/>
            </w:tcBorders>
            <w:shd w:val="clear" w:color="auto" w:fill="auto"/>
            <w:noWrap/>
            <w:vAlign w:val="bottom"/>
            <w:hideMark/>
          </w:tcPr>
          <w:p w14:paraId="1B7FBF94"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5" w:type="pct"/>
            <w:tcBorders>
              <w:top w:val="single" w:sz="4" w:space="0" w:color="auto"/>
              <w:left w:val="nil"/>
              <w:bottom w:val="nil"/>
              <w:right w:val="nil"/>
            </w:tcBorders>
            <w:shd w:val="clear" w:color="000000" w:fill="E6E6E6"/>
            <w:noWrap/>
            <w:vAlign w:val="bottom"/>
            <w:hideMark/>
          </w:tcPr>
          <w:p w14:paraId="0EE55780"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5" w:type="pct"/>
            <w:tcBorders>
              <w:top w:val="single" w:sz="4" w:space="0" w:color="auto"/>
              <w:left w:val="nil"/>
              <w:bottom w:val="nil"/>
              <w:right w:val="nil"/>
            </w:tcBorders>
            <w:shd w:val="clear" w:color="auto" w:fill="auto"/>
            <w:noWrap/>
            <w:vAlign w:val="bottom"/>
            <w:hideMark/>
          </w:tcPr>
          <w:p w14:paraId="0F5A8EF6"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5" w:type="pct"/>
            <w:tcBorders>
              <w:top w:val="single" w:sz="4" w:space="0" w:color="auto"/>
              <w:left w:val="nil"/>
              <w:bottom w:val="nil"/>
              <w:right w:val="nil"/>
            </w:tcBorders>
            <w:shd w:val="clear" w:color="auto" w:fill="auto"/>
            <w:noWrap/>
            <w:vAlign w:val="bottom"/>
            <w:hideMark/>
          </w:tcPr>
          <w:p w14:paraId="202B3575"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c>
          <w:tcPr>
            <w:tcW w:w="494" w:type="pct"/>
            <w:tcBorders>
              <w:top w:val="single" w:sz="4" w:space="0" w:color="auto"/>
              <w:left w:val="nil"/>
              <w:bottom w:val="nil"/>
              <w:right w:val="nil"/>
            </w:tcBorders>
            <w:shd w:val="clear" w:color="auto" w:fill="auto"/>
            <w:noWrap/>
            <w:vAlign w:val="bottom"/>
            <w:hideMark/>
          </w:tcPr>
          <w:p w14:paraId="34AE84EC" w14:textId="77777777" w:rsidR="00362116" w:rsidRPr="00362116" w:rsidRDefault="00362116" w:rsidP="00362116">
            <w:pPr>
              <w:spacing w:after="0"/>
              <w:jc w:val="left"/>
              <w:rPr>
                <w:rFonts w:eastAsia="Times New Roman" w:cs="Arial"/>
                <w:sz w:val="16"/>
                <w:szCs w:val="16"/>
                <w:lang w:eastAsia="en-AU"/>
              </w:rPr>
            </w:pPr>
            <w:r w:rsidRPr="00362116">
              <w:rPr>
                <w:rFonts w:eastAsia="Times New Roman" w:cs="Arial"/>
                <w:sz w:val="16"/>
                <w:szCs w:val="16"/>
                <w:lang w:eastAsia="en-AU"/>
              </w:rPr>
              <w:t> </w:t>
            </w:r>
          </w:p>
        </w:tc>
      </w:tr>
      <w:tr w:rsidR="00362116" w:rsidRPr="00362116" w14:paraId="37F82CCC" w14:textId="77777777" w:rsidTr="00362116">
        <w:trPr>
          <w:trHeight w:val="225"/>
        </w:trPr>
        <w:tc>
          <w:tcPr>
            <w:tcW w:w="2512" w:type="pct"/>
            <w:tcBorders>
              <w:top w:val="nil"/>
              <w:left w:val="nil"/>
              <w:bottom w:val="nil"/>
              <w:right w:val="nil"/>
            </w:tcBorders>
            <w:shd w:val="clear" w:color="auto" w:fill="auto"/>
            <w:noWrap/>
            <w:vAlign w:val="bottom"/>
            <w:hideMark/>
          </w:tcPr>
          <w:p w14:paraId="5486D55B" w14:textId="77777777" w:rsidR="00362116" w:rsidRPr="00362116" w:rsidRDefault="00362116" w:rsidP="00362116">
            <w:pPr>
              <w:spacing w:after="0"/>
              <w:ind w:firstLineChars="300" w:firstLine="480"/>
              <w:jc w:val="left"/>
              <w:rPr>
                <w:rFonts w:eastAsia="Times New Roman" w:cs="Arial"/>
                <w:sz w:val="16"/>
                <w:szCs w:val="16"/>
                <w:lang w:eastAsia="en-AU"/>
              </w:rPr>
            </w:pPr>
            <w:r w:rsidRPr="00362116">
              <w:rPr>
                <w:rFonts w:eastAsia="Times New Roman" w:cs="Arial"/>
                <w:sz w:val="16"/>
                <w:szCs w:val="16"/>
                <w:lang w:eastAsia="en-AU"/>
              </w:rPr>
              <w:t>- Financial Institutions Supervisory Levies</w:t>
            </w:r>
          </w:p>
        </w:tc>
        <w:tc>
          <w:tcPr>
            <w:tcW w:w="509" w:type="pct"/>
            <w:tcBorders>
              <w:top w:val="nil"/>
              <w:left w:val="nil"/>
              <w:bottom w:val="nil"/>
              <w:right w:val="nil"/>
            </w:tcBorders>
            <w:shd w:val="clear" w:color="auto" w:fill="auto"/>
            <w:noWrap/>
            <w:vAlign w:val="bottom"/>
            <w:hideMark/>
          </w:tcPr>
          <w:p w14:paraId="53B3F9FF"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(222,980)</w:t>
            </w:r>
          </w:p>
        </w:tc>
        <w:tc>
          <w:tcPr>
            <w:tcW w:w="495" w:type="pct"/>
            <w:tcBorders>
              <w:top w:val="nil"/>
              <w:left w:val="nil"/>
              <w:bottom w:val="nil"/>
              <w:right w:val="nil"/>
            </w:tcBorders>
            <w:shd w:val="clear" w:color="000000" w:fill="E6E6E6"/>
            <w:noWrap/>
            <w:vAlign w:val="bottom"/>
            <w:hideMark/>
          </w:tcPr>
          <w:p w14:paraId="3A8A81B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(262,941)</w:t>
            </w:r>
          </w:p>
        </w:tc>
        <w:tc>
          <w:tcPr>
            <w:tcW w:w="495" w:type="pct"/>
            <w:tcBorders>
              <w:top w:val="nil"/>
              <w:left w:val="nil"/>
              <w:bottom w:val="nil"/>
              <w:right w:val="nil"/>
            </w:tcBorders>
            <w:shd w:val="clear" w:color="auto" w:fill="auto"/>
            <w:noWrap/>
            <w:vAlign w:val="bottom"/>
            <w:hideMark/>
          </w:tcPr>
          <w:p w14:paraId="6E9FB175"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(234,508)</w:t>
            </w:r>
          </w:p>
        </w:tc>
        <w:tc>
          <w:tcPr>
            <w:tcW w:w="495" w:type="pct"/>
            <w:tcBorders>
              <w:top w:val="nil"/>
              <w:left w:val="nil"/>
              <w:bottom w:val="nil"/>
              <w:right w:val="nil"/>
            </w:tcBorders>
            <w:shd w:val="clear" w:color="auto" w:fill="auto"/>
            <w:noWrap/>
            <w:vAlign w:val="bottom"/>
            <w:hideMark/>
          </w:tcPr>
          <w:p w14:paraId="7F67BD20"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(235,521)</w:t>
            </w:r>
          </w:p>
        </w:tc>
        <w:tc>
          <w:tcPr>
            <w:tcW w:w="494" w:type="pct"/>
            <w:tcBorders>
              <w:top w:val="nil"/>
              <w:left w:val="nil"/>
              <w:bottom w:val="nil"/>
              <w:right w:val="nil"/>
            </w:tcBorders>
            <w:shd w:val="clear" w:color="auto" w:fill="auto"/>
            <w:noWrap/>
            <w:vAlign w:val="bottom"/>
            <w:hideMark/>
          </w:tcPr>
          <w:p w14:paraId="49CF7CEB"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(233,765)</w:t>
            </w:r>
          </w:p>
        </w:tc>
      </w:tr>
      <w:tr w:rsidR="00362116" w:rsidRPr="00362116" w14:paraId="400ABCD7" w14:textId="77777777" w:rsidTr="00362116">
        <w:trPr>
          <w:trHeight w:val="225"/>
        </w:trPr>
        <w:tc>
          <w:tcPr>
            <w:tcW w:w="2512" w:type="pct"/>
            <w:tcBorders>
              <w:top w:val="nil"/>
              <w:left w:val="nil"/>
              <w:bottom w:val="nil"/>
              <w:right w:val="nil"/>
            </w:tcBorders>
            <w:shd w:val="clear" w:color="auto" w:fill="auto"/>
            <w:vAlign w:val="bottom"/>
            <w:hideMark/>
          </w:tcPr>
          <w:p w14:paraId="46DB5764" w14:textId="77777777" w:rsidR="00362116" w:rsidRPr="00362116" w:rsidRDefault="00362116" w:rsidP="00362116">
            <w:pPr>
              <w:spacing w:after="0"/>
              <w:ind w:firstLineChars="300" w:firstLine="480"/>
              <w:jc w:val="left"/>
              <w:rPr>
                <w:rFonts w:eastAsia="Times New Roman" w:cs="Arial"/>
                <w:sz w:val="16"/>
                <w:szCs w:val="16"/>
                <w:lang w:eastAsia="en-AU"/>
              </w:rPr>
            </w:pPr>
            <w:r w:rsidRPr="00362116">
              <w:rPr>
                <w:rFonts w:eastAsia="Times New Roman" w:cs="Arial"/>
                <w:sz w:val="16"/>
                <w:szCs w:val="16"/>
                <w:lang w:eastAsia="en-AU"/>
              </w:rPr>
              <w:t>Risk equalisation payments</w:t>
            </w:r>
          </w:p>
        </w:tc>
        <w:tc>
          <w:tcPr>
            <w:tcW w:w="509" w:type="pct"/>
            <w:tcBorders>
              <w:top w:val="nil"/>
              <w:left w:val="nil"/>
              <w:bottom w:val="nil"/>
              <w:right w:val="nil"/>
            </w:tcBorders>
            <w:shd w:val="clear" w:color="auto" w:fill="auto"/>
            <w:noWrap/>
            <w:vAlign w:val="bottom"/>
            <w:hideMark/>
          </w:tcPr>
          <w:p w14:paraId="67B46387"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(450,000)</w:t>
            </w:r>
          </w:p>
        </w:tc>
        <w:tc>
          <w:tcPr>
            <w:tcW w:w="495" w:type="pct"/>
            <w:tcBorders>
              <w:top w:val="nil"/>
              <w:left w:val="nil"/>
              <w:bottom w:val="nil"/>
              <w:right w:val="nil"/>
            </w:tcBorders>
            <w:shd w:val="clear" w:color="000000" w:fill="E6E6E6"/>
            <w:noWrap/>
            <w:vAlign w:val="bottom"/>
            <w:hideMark/>
          </w:tcPr>
          <w:p w14:paraId="0E5B27D5"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(450,000)</w:t>
            </w:r>
          </w:p>
        </w:tc>
        <w:tc>
          <w:tcPr>
            <w:tcW w:w="495" w:type="pct"/>
            <w:tcBorders>
              <w:top w:val="nil"/>
              <w:left w:val="nil"/>
              <w:bottom w:val="nil"/>
              <w:right w:val="nil"/>
            </w:tcBorders>
            <w:shd w:val="clear" w:color="auto" w:fill="auto"/>
            <w:noWrap/>
            <w:vAlign w:val="bottom"/>
            <w:hideMark/>
          </w:tcPr>
          <w:p w14:paraId="5A13DE89"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(450,000)</w:t>
            </w:r>
          </w:p>
        </w:tc>
        <w:tc>
          <w:tcPr>
            <w:tcW w:w="495" w:type="pct"/>
            <w:tcBorders>
              <w:top w:val="nil"/>
              <w:left w:val="nil"/>
              <w:bottom w:val="nil"/>
              <w:right w:val="nil"/>
            </w:tcBorders>
            <w:shd w:val="clear" w:color="000000" w:fill="FFFFFF"/>
            <w:noWrap/>
            <w:vAlign w:val="bottom"/>
            <w:hideMark/>
          </w:tcPr>
          <w:p w14:paraId="474D0489"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(450,000)</w:t>
            </w:r>
          </w:p>
        </w:tc>
        <w:tc>
          <w:tcPr>
            <w:tcW w:w="494" w:type="pct"/>
            <w:tcBorders>
              <w:top w:val="nil"/>
              <w:left w:val="nil"/>
              <w:bottom w:val="nil"/>
              <w:right w:val="nil"/>
            </w:tcBorders>
            <w:shd w:val="clear" w:color="auto" w:fill="auto"/>
            <w:noWrap/>
            <w:vAlign w:val="bottom"/>
            <w:hideMark/>
          </w:tcPr>
          <w:p w14:paraId="70B3E2A5" w14:textId="77777777" w:rsidR="00362116" w:rsidRPr="00362116" w:rsidRDefault="00362116" w:rsidP="00362116">
            <w:pPr>
              <w:spacing w:after="0"/>
              <w:jc w:val="right"/>
              <w:rPr>
                <w:rFonts w:eastAsia="Times New Roman" w:cs="Arial"/>
                <w:sz w:val="16"/>
                <w:szCs w:val="16"/>
                <w:lang w:eastAsia="en-AU"/>
              </w:rPr>
            </w:pPr>
            <w:r w:rsidRPr="00362116">
              <w:rPr>
                <w:rFonts w:eastAsia="Times New Roman" w:cs="Arial"/>
                <w:sz w:val="16"/>
                <w:szCs w:val="16"/>
                <w:lang w:eastAsia="en-AU"/>
              </w:rPr>
              <w:t>(450,000)</w:t>
            </w:r>
          </w:p>
        </w:tc>
      </w:tr>
      <w:tr w:rsidR="00362116" w:rsidRPr="00362116" w14:paraId="4F019B18" w14:textId="77777777" w:rsidTr="00362116">
        <w:trPr>
          <w:trHeight w:val="225"/>
        </w:trPr>
        <w:tc>
          <w:tcPr>
            <w:tcW w:w="2512" w:type="pct"/>
            <w:tcBorders>
              <w:top w:val="nil"/>
              <w:left w:val="nil"/>
              <w:bottom w:val="nil"/>
              <w:right w:val="nil"/>
            </w:tcBorders>
            <w:shd w:val="clear" w:color="auto" w:fill="auto"/>
            <w:vAlign w:val="bottom"/>
            <w:hideMark/>
          </w:tcPr>
          <w:p w14:paraId="76FB6955" w14:textId="77777777" w:rsidR="00362116" w:rsidRPr="00362116" w:rsidRDefault="00362116" w:rsidP="00362116">
            <w:pPr>
              <w:spacing w:after="0"/>
              <w:ind w:firstLineChars="100" w:firstLine="160"/>
              <w:jc w:val="left"/>
              <w:rPr>
                <w:rFonts w:eastAsia="Times New Roman" w:cs="Arial"/>
                <w:i/>
                <w:iCs/>
                <w:sz w:val="16"/>
                <w:szCs w:val="16"/>
                <w:lang w:eastAsia="en-AU"/>
              </w:rPr>
            </w:pPr>
            <w:r w:rsidRPr="00362116">
              <w:rPr>
                <w:rFonts w:eastAsia="Times New Roman" w:cs="Arial"/>
                <w:i/>
                <w:iCs/>
                <w:sz w:val="16"/>
                <w:szCs w:val="16"/>
                <w:lang w:eastAsia="en-AU"/>
              </w:rPr>
              <w:t>Total cash to Official Public Account</w:t>
            </w:r>
          </w:p>
        </w:tc>
        <w:tc>
          <w:tcPr>
            <w:tcW w:w="509" w:type="pct"/>
            <w:tcBorders>
              <w:top w:val="single" w:sz="4" w:space="0" w:color="000000"/>
              <w:left w:val="nil"/>
              <w:bottom w:val="nil"/>
              <w:right w:val="nil"/>
            </w:tcBorders>
            <w:shd w:val="clear" w:color="auto" w:fill="auto"/>
            <w:noWrap/>
            <w:vAlign w:val="bottom"/>
            <w:hideMark/>
          </w:tcPr>
          <w:p w14:paraId="2604CAEE"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(672,980)</w:t>
            </w:r>
          </w:p>
        </w:tc>
        <w:tc>
          <w:tcPr>
            <w:tcW w:w="495" w:type="pct"/>
            <w:tcBorders>
              <w:top w:val="single" w:sz="4" w:space="0" w:color="000000"/>
              <w:left w:val="nil"/>
              <w:bottom w:val="nil"/>
              <w:right w:val="nil"/>
            </w:tcBorders>
            <w:shd w:val="clear" w:color="000000" w:fill="E6E6E6"/>
            <w:noWrap/>
            <w:vAlign w:val="bottom"/>
            <w:hideMark/>
          </w:tcPr>
          <w:p w14:paraId="20E9D96A"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(712,941)</w:t>
            </w:r>
          </w:p>
        </w:tc>
        <w:tc>
          <w:tcPr>
            <w:tcW w:w="495" w:type="pct"/>
            <w:tcBorders>
              <w:top w:val="single" w:sz="4" w:space="0" w:color="000000"/>
              <w:left w:val="nil"/>
              <w:bottom w:val="nil"/>
              <w:right w:val="nil"/>
            </w:tcBorders>
            <w:shd w:val="clear" w:color="auto" w:fill="auto"/>
            <w:noWrap/>
            <w:vAlign w:val="bottom"/>
            <w:hideMark/>
          </w:tcPr>
          <w:p w14:paraId="46467FE3"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(684,508)</w:t>
            </w:r>
          </w:p>
        </w:tc>
        <w:tc>
          <w:tcPr>
            <w:tcW w:w="495" w:type="pct"/>
            <w:tcBorders>
              <w:top w:val="single" w:sz="4" w:space="0" w:color="000000"/>
              <w:left w:val="nil"/>
              <w:bottom w:val="nil"/>
              <w:right w:val="nil"/>
            </w:tcBorders>
            <w:shd w:val="clear" w:color="auto" w:fill="auto"/>
            <w:noWrap/>
            <w:vAlign w:val="bottom"/>
            <w:hideMark/>
          </w:tcPr>
          <w:p w14:paraId="19A51324"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(685,521)</w:t>
            </w:r>
          </w:p>
        </w:tc>
        <w:tc>
          <w:tcPr>
            <w:tcW w:w="494" w:type="pct"/>
            <w:tcBorders>
              <w:top w:val="single" w:sz="4" w:space="0" w:color="000000"/>
              <w:left w:val="nil"/>
              <w:bottom w:val="nil"/>
              <w:right w:val="nil"/>
            </w:tcBorders>
            <w:shd w:val="clear" w:color="auto" w:fill="auto"/>
            <w:noWrap/>
            <w:vAlign w:val="bottom"/>
            <w:hideMark/>
          </w:tcPr>
          <w:p w14:paraId="6CDC003A" w14:textId="77777777" w:rsidR="00362116" w:rsidRPr="00362116" w:rsidRDefault="00362116" w:rsidP="00362116">
            <w:pPr>
              <w:spacing w:after="0"/>
              <w:jc w:val="right"/>
              <w:rPr>
                <w:rFonts w:eastAsia="Times New Roman" w:cs="Arial"/>
                <w:i/>
                <w:iCs/>
                <w:sz w:val="16"/>
                <w:szCs w:val="16"/>
                <w:lang w:eastAsia="en-AU"/>
              </w:rPr>
            </w:pPr>
            <w:r w:rsidRPr="00362116">
              <w:rPr>
                <w:rFonts w:eastAsia="Times New Roman" w:cs="Arial"/>
                <w:i/>
                <w:iCs/>
                <w:sz w:val="16"/>
                <w:szCs w:val="16"/>
                <w:lang w:eastAsia="en-AU"/>
              </w:rPr>
              <w:t>(683,765)</w:t>
            </w:r>
          </w:p>
        </w:tc>
      </w:tr>
      <w:tr w:rsidR="00362116" w:rsidRPr="00362116" w14:paraId="64BD2110" w14:textId="77777777" w:rsidTr="00362116">
        <w:trPr>
          <w:trHeight w:val="450"/>
        </w:trPr>
        <w:tc>
          <w:tcPr>
            <w:tcW w:w="2512" w:type="pct"/>
            <w:tcBorders>
              <w:top w:val="nil"/>
              <w:left w:val="nil"/>
              <w:bottom w:val="single" w:sz="4" w:space="0" w:color="auto"/>
              <w:right w:val="nil"/>
            </w:tcBorders>
            <w:shd w:val="clear" w:color="auto" w:fill="auto"/>
            <w:vAlign w:val="bottom"/>
            <w:hideMark/>
          </w:tcPr>
          <w:p w14:paraId="0BA7C276" w14:textId="77777777" w:rsidR="00362116" w:rsidRPr="00362116" w:rsidRDefault="00362116" w:rsidP="00362116">
            <w:pPr>
              <w:spacing w:after="0"/>
              <w:jc w:val="left"/>
              <w:rPr>
                <w:rFonts w:eastAsia="Times New Roman" w:cs="Arial"/>
                <w:b/>
                <w:bCs/>
                <w:sz w:val="16"/>
                <w:szCs w:val="16"/>
                <w:lang w:eastAsia="en-AU"/>
              </w:rPr>
            </w:pPr>
            <w:r w:rsidRPr="00362116">
              <w:rPr>
                <w:rFonts w:eastAsia="Times New Roman" w:cs="Arial"/>
                <w:b/>
                <w:bCs/>
                <w:sz w:val="16"/>
                <w:szCs w:val="16"/>
                <w:lang w:eastAsia="en-AU"/>
              </w:rPr>
              <w:t>Cash and cash equivalents at</w:t>
            </w:r>
            <w:r w:rsidRPr="00362116">
              <w:rPr>
                <w:rFonts w:eastAsia="Times New Roman" w:cs="Arial"/>
                <w:b/>
                <w:bCs/>
                <w:sz w:val="16"/>
                <w:szCs w:val="16"/>
                <w:lang w:eastAsia="en-AU"/>
              </w:rPr>
              <w:br/>
              <w:t xml:space="preserve">  end of reporting period</w:t>
            </w:r>
          </w:p>
        </w:tc>
        <w:tc>
          <w:tcPr>
            <w:tcW w:w="509" w:type="pct"/>
            <w:tcBorders>
              <w:top w:val="single" w:sz="4" w:space="0" w:color="000000"/>
              <w:left w:val="nil"/>
              <w:bottom w:val="single" w:sz="4" w:space="0" w:color="auto"/>
              <w:right w:val="nil"/>
            </w:tcBorders>
            <w:shd w:val="clear" w:color="auto" w:fill="auto"/>
            <w:noWrap/>
            <w:vAlign w:val="bottom"/>
            <w:hideMark/>
          </w:tcPr>
          <w:p w14:paraId="3DDBDB12"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835 </w:t>
            </w:r>
          </w:p>
        </w:tc>
        <w:tc>
          <w:tcPr>
            <w:tcW w:w="495" w:type="pct"/>
            <w:tcBorders>
              <w:top w:val="single" w:sz="4" w:space="0" w:color="000000"/>
              <w:left w:val="nil"/>
              <w:bottom w:val="single" w:sz="4" w:space="0" w:color="auto"/>
              <w:right w:val="nil"/>
            </w:tcBorders>
            <w:shd w:val="clear" w:color="000000" w:fill="E6E6E6"/>
            <w:noWrap/>
            <w:vAlign w:val="bottom"/>
            <w:hideMark/>
          </w:tcPr>
          <w:p w14:paraId="36700FD7"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835 </w:t>
            </w:r>
          </w:p>
        </w:tc>
        <w:tc>
          <w:tcPr>
            <w:tcW w:w="495" w:type="pct"/>
            <w:tcBorders>
              <w:top w:val="single" w:sz="4" w:space="0" w:color="000000"/>
              <w:left w:val="nil"/>
              <w:bottom w:val="single" w:sz="4" w:space="0" w:color="auto"/>
              <w:right w:val="nil"/>
            </w:tcBorders>
            <w:shd w:val="clear" w:color="auto" w:fill="auto"/>
            <w:noWrap/>
            <w:vAlign w:val="bottom"/>
            <w:hideMark/>
          </w:tcPr>
          <w:p w14:paraId="041C7DD5"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835 </w:t>
            </w:r>
          </w:p>
        </w:tc>
        <w:tc>
          <w:tcPr>
            <w:tcW w:w="495" w:type="pct"/>
            <w:tcBorders>
              <w:top w:val="single" w:sz="4" w:space="0" w:color="000000"/>
              <w:left w:val="nil"/>
              <w:bottom w:val="single" w:sz="4" w:space="0" w:color="auto"/>
              <w:right w:val="nil"/>
            </w:tcBorders>
            <w:shd w:val="clear" w:color="auto" w:fill="auto"/>
            <w:noWrap/>
            <w:vAlign w:val="bottom"/>
            <w:hideMark/>
          </w:tcPr>
          <w:p w14:paraId="5413F5DF"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835 </w:t>
            </w:r>
          </w:p>
        </w:tc>
        <w:tc>
          <w:tcPr>
            <w:tcW w:w="494" w:type="pct"/>
            <w:tcBorders>
              <w:top w:val="single" w:sz="4" w:space="0" w:color="000000"/>
              <w:left w:val="nil"/>
              <w:bottom w:val="single" w:sz="4" w:space="0" w:color="auto"/>
              <w:right w:val="nil"/>
            </w:tcBorders>
            <w:shd w:val="clear" w:color="auto" w:fill="auto"/>
            <w:noWrap/>
            <w:vAlign w:val="bottom"/>
            <w:hideMark/>
          </w:tcPr>
          <w:p w14:paraId="1CCC4D45" w14:textId="77777777" w:rsidR="00362116" w:rsidRPr="00362116" w:rsidRDefault="00362116" w:rsidP="00362116">
            <w:pPr>
              <w:spacing w:after="0"/>
              <w:jc w:val="right"/>
              <w:rPr>
                <w:rFonts w:eastAsia="Times New Roman" w:cs="Arial"/>
                <w:b/>
                <w:bCs/>
                <w:sz w:val="16"/>
                <w:szCs w:val="16"/>
                <w:lang w:eastAsia="en-AU"/>
              </w:rPr>
            </w:pPr>
            <w:r w:rsidRPr="00362116">
              <w:rPr>
                <w:rFonts w:eastAsia="Times New Roman" w:cs="Arial"/>
                <w:b/>
                <w:bCs/>
                <w:sz w:val="16"/>
                <w:szCs w:val="16"/>
                <w:lang w:eastAsia="en-AU"/>
              </w:rPr>
              <w:t xml:space="preserve">835 </w:t>
            </w:r>
          </w:p>
        </w:tc>
      </w:tr>
    </w:tbl>
    <w:p w14:paraId="6C761487" w14:textId="2B446D22" w:rsidR="0008358A" w:rsidRDefault="0008358A" w:rsidP="0008358A">
      <w:pPr>
        <w:pStyle w:val="Source"/>
      </w:pPr>
      <w:r>
        <w:t>Prepared on Australian Accounting Standards basis.</w:t>
      </w:r>
    </w:p>
    <w:p w14:paraId="08FE80D3" w14:textId="77777777" w:rsidR="0008358A" w:rsidRDefault="0008358A" w:rsidP="00043432">
      <w:pPr>
        <w:pStyle w:val="ListParagraph"/>
        <w:numPr>
          <w:ilvl w:val="0"/>
          <w:numId w:val="20"/>
        </w:numPr>
        <w:spacing w:after="0"/>
        <w:jc w:val="left"/>
      </w:pPr>
    </w:p>
    <w:p w14:paraId="26A0C2D8" w14:textId="77777777" w:rsidR="0008358A" w:rsidRPr="00043432" w:rsidRDefault="0008358A" w:rsidP="00043432">
      <w:pPr>
        <w:pStyle w:val="ListParagraph"/>
        <w:numPr>
          <w:ilvl w:val="0"/>
          <w:numId w:val="20"/>
        </w:numPr>
        <w:spacing w:after="0"/>
        <w:jc w:val="left"/>
        <w:rPr>
          <w:b/>
          <w:lang w:val="x-none" w:eastAsia="x-none"/>
        </w:rPr>
        <w:sectPr w:rsidR="0008358A" w:rsidRPr="00043432" w:rsidSect="00362116">
          <w:headerReference w:type="first" r:id="rId25"/>
          <w:footerReference w:type="first" r:id="rId26"/>
          <w:pgSz w:w="16838" w:h="11906" w:orient="landscape" w:code="9"/>
          <w:pgMar w:top="2098" w:right="2410" w:bottom="2098" w:left="2127" w:header="1899" w:footer="1899" w:gutter="0"/>
          <w:cols w:space="708"/>
          <w:titlePg/>
          <w:docGrid w:linePitch="360"/>
        </w:sectPr>
      </w:pPr>
    </w:p>
    <w:p w14:paraId="57DE34E1" w14:textId="0A04689E" w:rsidR="00A533A9" w:rsidRPr="00DA320F" w:rsidRDefault="00A533A9" w:rsidP="00362116">
      <w:pPr>
        <w:pStyle w:val="ListParagraph"/>
        <w:ind w:left="0"/>
        <w:rPr>
          <w:b/>
          <w:bCs/>
          <w:color w:val="FF0000"/>
          <w:sz w:val="72"/>
          <w:szCs w:val="72"/>
        </w:rPr>
      </w:pPr>
    </w:p>
    <w:sectPr w:rsidR="00A533A9" w:rsidRPr="00DA320F" w:rsidSect="0095364E">
      <w:headerReference w:type="even" r:id="rId27"/>
      <w:headerReference w:type="default" r:id="rId28"/>
      <w:headerReference w:type="first" r:id="rId29"/>
      <w:footerReference w:type="first" r:id="rId30"/>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AE2DC" w14:textId="77777777" w:rsidR="00950D0A" w:rsidRPr="000D4EDE" w:rsidRDefault="00950D0A" w:rsidP="000D4EDE">
      <w:r>
        <w:separator/>
      </w:r>
    </w:p>
  </w:endnote>
  <w:endnote w:type="continuationSeparator" w:id="0">
    <w:p w14:paraId="1A66E1C1" w14:textId="77777777" w:rsidR="00950D0A" w:rsidRPr="000D4EDE" w:rsidRDefault="00950D0A" w:rsidP="000D4EDE">
      <w:r>
        <w:continuationSeparator/>
      </w:r>
    </w:p>
  </w:endnote>
  <w:endnote w:type="continuationNotice" w:id="1">
    <w:p w14:paraId="37DEFA93" w14:textId="77777777" w:rsidR="00950D0A" w:rsidRDefault="00950D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IN OT Light">
    <w:altName w:val="Calibri"/>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7D02" w14:textId="11BC43CE" w:rsidR="00950D0A" w:rsidRPr="004D0DE4" w:rsidRDefault="00950D0A" w:rsidP="004D0DE4">
    <w:pPr>
      <w:pStyle w:val="Footer"/>
      <w:jc w:val="center"/>
      <w:rPr>
        <w:rFonts w:ascii="Arial" w:hAnsi="Arial" w:cs="Arial"/>
        <w:sz w:val="20"/>
        <w:szCs w:val="20"/>
      </w:rPr>
    </w:pPr>
    <w:r w:rsidRPr="004D0DE4">
      <w:rPr>
        <w:rFonts w:ascii="Arial" w:hAnsi="Arial" w:cs="Arial"/>
        <w:sz w:val="20"/>
        <w:szCs w:val="20"/>
      </w:rPr>
      <w:fldChar w:fldCharType="begin"/>
    </w:r>
    <w:r w:rsidRPr="004D0DE4">
      <w:rPr>
        <w:rFonts w:ascii="Arial" w:hAnsi="Arial" w:cs="Arial"/>
        <w:sz w:val="20"/>
        <w:szCs w:val="20"/>
      </w:rPr>
      <w:instrText xml:space="preserve"> PAGE   \* MERGEFORMAT </w:instrText>
    </w:r>
    <w:r w:rsidRPr="004D0DE4">
      <w:rPr>
        <w:rFonts w:ascii="Arial" w:hAnsi="Arial" w:cs="Arial"/>
        <w:sz w:val="20"/>
        <w:szCs w:val="20"/>
      </w:rPr>
      <w:fldChar w:fldCharType="separate"/>
    </w:r>
    <w:r>
      <w:rPr>
        <w:rFonts w:ascii="Arial" w:hAnsi="Arial" w:cs="Arial"/>
        <w:noProof/>
        <w:sz w:val="20"/>
        <w:szCs w:val="20"/>
      </w:rPr>
      <w:t>138</w:t>
    </w:r>
    <w:r w:rsidRPr="004D0DE4">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1BE92" w14:textId="50394DC8" w:rsidR="00950D0A" w:rsidRPr="004D0DE4" w:rsidRDefault="00950D0A" w:rsidP="004D0DE4">
    <w:pPr>
      <w:pStyle w:val="Footer"/>
      <w:jc w:val="center"/>
      <w:rPr>
        <w:rFonts w:ascii="Arial" w:hAnsi="Arial" w:cs="Arial"/>
        <w:sz w:val="20"/>
        <w:szCs w:val="20"/>
      </w:rPr>
    </w:pPr>
    <w:r w:rsidRPr="004D0DE4">
      <w:rPr>
        <w:rFonts w:ascii="Arial" w:hAnsi="Arial" w:cs="Arial"/>
        <w:sz w:val="20"/>
        <w:szCs w:val="20"/>
      </w:rPr>
      <w:fldChar w:fldCharType="begin"/>
    </w:r>
    <w:r w:rsidRPr="004D0DE4">
      <w:rPr>
        <w:rFonts w:ascii="Arial" w:hAnsi="Arial" w:cs="Arial"/>
        <w:sz w:val="20"/>
        <w:szCs w:val="20"/>
      </w:rPr>
      <w:instrText xml:space="preserve"> PAGE   \* MERGEFORMAT </w:instrText>
    </w:r>
    <w:r w:rsidRPr="004D0DE4">
      <w:rPr>
        <w:rFonts w:ascii="Arial" w:hAnsi="Arial" w:cs="Arial"/>
        <w:sz w:val="20"/>
        <w:szCs w:val="20"/>
      </w:rPr>
      <w:fldChar w:fldCharType="separate"/>
    </w:r>
    <w:r>
      <w:rPr>
        <w:rFonts w:ascii="Arial" w:hAnsi="Arial" w:cs="Arial"/>
        <w:noProof/>
        <w:sz w:val="20"/>
        <w:szCs w:val="20"/>
      </w:rPr>
      <w:t>137</w:t>
    </w:r>
    <w:r w:rsidRPr="004D0DE4">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606697739"/>
      <w:docPartObj>
        <w:docPartGallery w:val="Page Numbers (Bottom of Page)"/>
        <w:docPartUnique/>
      </w:docPartObj>
    </w:sdtPr>
    <w:sdtEndPr>
      <w:rPr>
        <w:noProof/>
      </w:rPr>
    </w:sdtEndPr>
    <w:sdtContent>
      <w:p w14:paraId="71FFDB91" w14:textId="1DFF8F02" w:rsidR="00950D0A" w:rsidRPr="006E23A4" w:rsidRDefault="00950D0A" w:rsidP="006E23A4">
        <w:pPr>
          <w:pStyle w:val="Footer"/>
          <w:jc w:val="center"/>
          <w:rPr>
            <w:rFonts w:ascii="Arial" w:hAnsi="Arial" w:cs="Arial"/>
            <w:sz w:val="20"/>
            <w:szCs w:val="20"/>
          </w:rPr>
        </w:pPr>
        <w:r w:rsidRPr="006E23A4">
          <w:rPr>
            <w:rFonts w:ascii="Arial" w:hAnsi="Arial" w:cs="Arial"/>
            <w:sz w:val="20"/>
            <w:szCs w:val="20"/>
          </w:rPr>
          <w:fldChar w:fldCharType="begin"/>
        </w:r>
        <w:r w:rsidRPr="006E23A4">
          <w:rPr>
            <w:rFonts w:ascii="Arial" w:hAnsi="Arial" w:cs="Arial"/>
            <w:sz w:val="20"/>
            <w:szCs w:val="20"/>
          </w:rPr>
          <w:instrText xml:space="preserve"> PAGE   \* MERGEFORMAT </w:instrText>
        </w:r>
        <w:r w:rsidRPr="006E23A4">
          <w:rPr>
            <w:rFonts w:ascii="Arial" w:hAnsi="Arial" w:cs="Arial"/>
            <w:sz w:val="20"/>
            <w:szCs w:val="20"/>
          </w:rPr>
          <w:fldChar w:fldCharType="separate"/>
        </w:r>
        <w:r>
          <w:rPr>
            <w:rFonts w:ascii="Arial" w:hAnsi="Arial" w:cs="Arial"/>
            <w:noProof/>
            <w:sz w:val="20"/>
            <w:szCs w:val="20"/>
          </w:rPr>
          <w:t>133</w:t>
        </w:r>
        <w:r w:rsidRPr="006E23A4">
          <w:rPr>
            <w:rFonts w:ascii="Arial" w:hAnsi="Arial" w:cs="Arial"/>
            <w:noProof/>
            <w:sz w:val="20"/>
            <w:szCs w:val="20"/>
          </w:rPr>
          <w:fldChar w:fldCharType="end"/>
        </w:r>
      </w:p>
    </w:sdtContent>
  </w:sdt>
  <w:p w14:paraId="354632A6" w14:textId="56FC1C97" w:rsidR="00950D0A" w:rsidRPr="006B59CA" w:rsidRDefault="00950D0A" w:rsidP="00953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D80F" w14:textId="77777777" w:rsidR="00950D0A" w:rsidRDefault="00950D0A" w:rsidP="004D0DE4">
    <w:pPr>
      <w:pStyle w:val="Footer"/>
      <w:jc w:val="center"/>
      <w:rPr>
        <w:rStyle w:val="PageNumber"/>
        <w:rFonts w:ascii="Arial" w:hAnsi="Arial" w:cs="Arial"/>
        <w:sz w:val="20"/>
        <w:szCs w:val="20"/>
      </w:rPr>
    </w:pPr>
  </w:p>
  <w:p w14:paraId="648E1D50" w14:textId="77777777" w:rsidR="00950D0A" w:rsidRDefault="00950D0A" w:rsidP="004D0DE4">
    <w:pPr>
      <w:pStyle w:val="Footer"/>
      <w:jc w:val="center"/>
      <w:rPr>
        <w:rStyle w:val="PageNumber"/>
        <w:rFonts w:ascii="Arial" w:hAnsi="Arial" w:cs="Arial"/>
        <w:sz w:val="20"/>
        <w:szCs w:val="20"/>
      </w:rPr>
    </w:pPr>
  </w:p>
  <w:p w14:paraId="0D8872F2" w14:textId="6C904EA3" w:rsidR="00950D0A" w:rsidRPr="004D0DE4" w:rsidRDefault="00950D0A" w:rsidP="004D0DE4">
    <w:pPr>
      <w:pStyle w:val="Footer"/>
      <w:jc w:val="center"/>
      <w:rPr>
        <w:rStyle w:val="PageNumber"/>
        <w:rFonts w:ascii="Arial" w:hAnsi="Arial" w:cs="Arial"/>
        <w:sz w:val="20"/>
        <w:szCs w:val="20"/>
      </w:rPr>
    </w:pPr>
    <w:r w:rsidRPr="004D0DE4">
      <w:rPr>
        <w:rStyle w:val="PageNumber"/>
        <w:rFonts w:ascii="Arial" w:hAnsi="Arial" w:cs="Arial"/>
        <w:sz w:val="20"/>
        <w:szCs w:val="20"/>
      </w:rPr>
      <w:fldChar w:fldCharType="begin"/>
    </w:r>
    <w:r w:rsidRPr="004D0DE4">
      <w:rPr>
        <w:rStyle w:val="PageNumber"/>
        <w:rFonts w:ascii="Arial" w:hAnsi="Arial" w:cs="Arial"/>
        <w:sz w:val="20"/>
        <w:szCs w:val="20"/>
      </w:rPr>
      <w:instrText xml:space="preserve"> PAGE  \* Arabic </w:instrText>
    </w:r>
    <w:r w:rsidRPr="004D0DE4">
      <w:rPr>
        <w:rStyle w:val="PageNumber"/>
        <w:rFonts w:ascii="Arial" w:hAnsi="Arial" w:cs="Arial"/>
        <w:sz w:val="20"/>
        <w:szCs w:val="20"/>
      </w:rPr>
      <w:fldChar w:fldCharType="separate"/>
    </w:r>
    <w:r>
      <w:rPr>
        <w:rStyle w:val="PageNumber"/>
        <w:rFonts w:ascii="Arial" w:hAnsi="Arial" w:cs="Arial"/>
        <w:noProof/>
        <w:sz w:val="20"/>
        <w:szCs w:val="20"/>
      </w:rPr>
      <w:t>150</w:t>
    </w:r>
    <w:r w:rsidRPr="004D0DE4">
      <w:rPr>
        <w:rStyle w:val="PageNumbe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D59F" w14:textId="77777777" w:rsidR="00950D0A" w:rsidRDefault="00950D0A" w:rsidP="004D0DE4">
    <w:pPr>
      <w:pStyle w:val="Footer"/>
      <w:jc w:val="center"/>
      <w:rPr>
        <w:rStyle w:val="PageNumber"/>
        <w:rFonts w:ascii="Arial" w:hAnsi="Arial" w:cs="Arial"/>
        <w:sz w:val="20"/>
        <w:szCs w:val="20"/>
      </w:rPr>
    </w:pPr>
  </w:p>
  <w:p w14:paraId="0269C089" w14:textId="77777777" w:rsidR="00950D0A" w:rsidRDefault="00950D0A" w:rsidP="004D0DE4">
    <w:pPr>
      <w:pStyle w:val="Footer"/>
      <w:jc w:val="center"/>
      <w:rPr>
        <w:rStyle w:val="PageNumber"/>
        <w:rFonts w:ascii="Arial" w:hAnsi="Arial" w:cs="Arial"/>
        <w:sz w:val="20"/>
        <w:szCs w:val="20"/>
      </w:rPr>
    </w:pPr>
  </w:p>
  <w:p w14:paraId="294E5CD9" w14:textId="2E844557" w:rsidR="00950D0A" w:rsidRPr="004D0DE4" w:rsidRDefault="00950D0A" w:rsidP="004D0DE4">
    <w:pPr>
      <w:pStyle w:val="Footer"/>
      <w:jc w:val="center"/>
      <w:rPr>
        <w:rStyle w:val="PageNumber"/>
        <w:rFonts w:ascii="Arial" w:hAnsi="Arial" w:cs="Arial"/>
        <w:sz w:val="20"/>
        <w:szCs w:val="20"/>
      </w:rPr>
    </w:pPr>
    <w:r w:rsidRPr="004D0DE4">
      <w:rPr>
        <w:rStyle w:val="PageNumber"/>
        <w:rFonts w:ascii="Arial" w:hAnsi="Arial" w:cs="Arial"/>
        <w:sz w:val="20"/>
        <w:szCs w:val="20"/>
      </w:rPr>
      <w:fldChar w:fldCharType="begin"/>
    </w:r>
    <w:r w:rsidRPr="004D0DE4">
      <w:rPr>
        <w:rStyle w:val="PageNumber"/>
        <w:rFonts w:ascii="Arial" w:hAnsi="Arial" w:cs="Arial"/>
        <w:sz w:val="20"/>
        <w:szCs w:val="20"/>
      </w:rPr>
      <w:instrText xml:space="preserve"> PAGE  \* Arabic </w:instrText>
    </w:r>
    <w:r w:rsidRPr="004D0DE4">
      <w:rPr>
        <w:rStyle w:val="PageNumber"/>
        <w:rFonts w:ascii="Arial" w:hAnsi="Arial" w:cs="Arial"/>
        <w:sz w:val="20"/>
        <w:szCs w:val="20"/>
      </w:rPr>
      <w:fldChar w:fldCharType="separate"/>
    </w:r>
    <w:r>
      <w:rPr>
        <w:rStyle w:val="PageNumber"/>
        <w:rFonts w:ascii="Arial" w:hAnsi="Arial" w:cs="Arial"/>
        <w:noProof/>
        <w:sz w:val="20"/>
        <w:szCs w:val="20"/>
      </w:rPr>
      <w:t>149</w:t>
    </w:r>
    <w:r w:rsidRPr="004D0DE4">
      <w:rPr>
        <w:rStyle w:val="PageNumber"/>
        <w:rFonts w:ascii="Arial" w:hAnsi="Arial" w:cs="Arial"/>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2101B" w14:textId="77777777" w:rsidR="00950D0A" w:rsidRDefault="00950D0A" w:rsidP="007057ED">
    <w:pPr>
      <w:pStyle w:val="Footer"/>
      <w:jc w:val="center"/>
      <w:rPr>
        <w:rFonts w:ascii="Arial" w:hAnsi="Arial" w:cs="Arial"/>
        <w:sz w:val="20"/>
        <w:szCs w:val="20"/>
      </w:rPr>
    </w:pPr>
  </w:p>
  <w:p w14:paraId="195D8168" w14:textId="77777777" w:rsidR="00950D0A" w:rsidRDefault="00950D0A" w:rsidP="007057ED">
    <w:pPr>
      <w:pStyle w:val="Footer"/>
      <w:jc w:val="center"/>
      <w:rPr>
        <w:rFonts w:ascii="Arial" w:hAnsi="Arial" w:cs="Arial"/>
        <w:sz w:val="20"/>
        <w:szCs w:val="20"/>
      </w:rPr>
    </w:pPr>
  </w:p>
  <w:p w14:paraId="5D822C8E" w14:textId="02BA0671" w:rsidR="00950D0A" w:rsidRPr="004D0DE4" w:rsidRDefault="00950D0A" w:rsidP="007057ED">
    <w:pPr>
      <w:pStyle w:val="Footer"/>
      <w:jc w:val="center"/>
      <w:rPr>
        <w:rFonts w:ascii="Arial" w:hAnsi="Arial" w:cs="Arial"/>
        <w:sz w:val="20"/>
        <w:szCs w:val="20"/>
      </w:rPr>
    </w:pPr>
    <w:r w:rsidRPr="004D0DE4">
      <w:rPr>
        <w:rFonts w:ascii="Arial" w:hAnsi="Arial" w:cs="Arial"/>
        <w:sz w:val="20"/>
        <w:szCs w:val="20"/>
      </w:rPr>
      <w:fldChar w:fldCharType="begin"/>
    </w:r>
    <w:r w:rsidRPr="004D0DE4">
      <w:rPr>
        <w:rFonts w:ascii="Arial" w:hAnsi="Arial" w:cs="Arial"/>
        <w:sz w:val="20"/>
        <w:szCs w:val="20"/>
      </w:rPr>
      <w:instrText xml:space="preserve"> PAGE   \* MERGEFORMAT </w:instrText>
    </w:r>
    <w:r w:rsidRPr="004D0DE4">
      <w:rPr>
        <w:rFonts w:ascii="Arial" w:hAnsi="Arial" w:cs="Arial"/>
        <w:sz w:val="20"/>
        <w:szCs w:val="20"/>
      </w:rPr>
      <w:fldChar w:fldCharType="separate"/>
    </w:r>
    <w:r>
      <w:rPr>
        <w:rFonts w:ascii="Arial" w:hAnsi="Arial" w:cs="Arial"/>
        <w:noProof/>
        <w:sz w:val="20"/>
        <w:szCs w:val="20"/>
      </w:rPr>
      <w:t>139</w:t>
    </w:r>
    <w:r w:rsidRPr="004D0DE4">
      <w:rPr>
        <w:rFonts w:ascii="Arial" w:hAnsi="Arial" w:cs="Arial"/>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4258" w14:textId="77777777" w:rsidR="00950D0A" w:rsidRPr="00F50121" w:rsidRDefault="00950D0A" w:rsidP="00F50121">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C316C" w14:textId="77777777" w:rsidR="00950D0A" w:rsidRPr="00C97362" w:rsidRDefault="00950D0A" w:rsidP="0095364E">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01A29" w14:textId="77777777" w:rsidR="00950D0A" w:rsidRPr="000D4EDE" w:rsidRDefault="00950D0A" w:rsidP="000D4EDE">
      <w:r>
        <w:separator/>
      </w:r>
    </w:p>
  </w:footnote>
  <w:footnote w:type="continuationSeparator" w:id="0">
    <w:p w14:paraId="020438F3" w14:textId="77777777" w:rsidR="00950D0A" w:rsidRPr="000D4EDE" w:rsidRDefault="00950D0A" w:rsidP="000D4EDE">
      <w:r>
        <w:continuationSeparator/>
      </w:r>
    </w:p>
  </w:footnote>
  <w:footnote w:type="continuationNotice" w:id="1">
    <w:p w14:paraId="40A6C269" w14:textId="77777777" w:rsidR="00950D0A" w:rsidRDefault="00950D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02B0" w14:textId="77777777" w:rsidR="00950D0A" w:rsidRPr="00F00984" w:rsidRDefault="00950D0A" w:rsidP="0095364E">
    <w:pPr>
      <w:pStyle w:val="HeaderEven"/>
    </w:pPr>
    <w:r>
      <w:rPr>
        <w:noProof/>
      </w:rPr>
      <mc:AlternateContent>
        <mc:Choice Requires="wps">
          <w:drawing>
            <wp:anchor distT="0" distB="0" distL="0" distR="0" simplePos="0" relativeHeight="251658242" behindDoc="0" locked="1" layoutInCell="0" allowOverlap="1" wp14:anchorId="76511E3A" wp14:editId="21017D33">
              <wp:simplePos x="0" y="0"/>
              <wp:positionH relativeFrom="margin">
                <wp:align>center</wp:align>
              </wp:positionH>
              <wp:positionV relativeFrom="page">
                <wp:posOffset>512445</wp:posOffset>
              </wp:positionV>
              <wp:extent cx="4910455" cy="615315"/>
              <wp:effectExtent l="0" t="0" r="4445" b="13335"/>
              <wp:wrapSquare wrapText="bothSides"/>
              <wp:docPr id="29" name="Text Box 2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9084" w14:textId="77777777" w:rsidR="00950D0A" w:rsidRDefault="00950D0A"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11E3A" id="_x0000_t202" coordsize="21600,21600" o:spt="202" path="m,l,21600r21600,l21600,xe">
              <v:stroke joinstyle="miter"/>
              <v:path gradientshapeok="t" o:connecttype="rect"/>
            </v:shapetype>
            <v:shape id="Text Box 29" o:spid="_x0000_s1027" type="#_x0000_t202" alt="Portrait Classification Header" style="position:absolute;margin-left:0;margin-top:40.35pt;width:386.65pt;height:48.45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" o:allowincell="f" filled="f" stroked="f">
              <v:textbox inset="0,0,0,0">
                <w:txbxContent>
                  <w:p w14:paraId="3C639084" w14:textId="77777777" w:rsidR="00950D0A" w:rsidRDefault="00950D0A" w:rsidP="0095364E">
                    <w:pPr>
                      <w:pStyle w:val="Classification"/>
                    </w:pPr>
                  </w:p>
                </w:txbxContent>
              </v:textbox>
              <w10:wrap type="square" anchorx="margin" anchory="page"/>
              <w10:anchorlock/>
            </v:shape>
          </w:pict>
        </mc:Fallback>
      </mc:AlternateContent>
    </w:r>
    <w:r>
      <w:t>Australian Prudential Regulation Authority Budget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90E91" w14:textId="259908C0" w:rsidR="00950D0A" w:rsidRPr="00F00984" w:rsidRDefault="00950D0A" w:rsidP="004C7569">
    <w:pPr>
      <w:pStyle w:val="HeaderEven"/>
      <w:jc w:val="right"/>
    </w:pPr>
    <w:r>
      <w:rPr>
        <w:noProof/>
      </w:rPr>
      <mc:AlternateContent>
        <mc:Choice Requires="wps">
          <w:drawing>
            <wp:anchor distT="0" distB="0" distL="0" distR="0" simplePos="0" relativeHeight="251658244" behindDoc="0" locked="1" layoutInCell="0" allowOverlap="1" wp14:anchorId="512CD72E" wp14:editId="4047EEC1">
              <wp:simplePos x="0" y="0"/>
              <wp:positionH relativeFrom="margin">
                <wp:align>center</wp:align>
              </wp:positionH>
              <wp:positionV relativeFrom="page">
                <wp:posOffset>512445</wp:posOffset>
              </wp:positionV>
              <wp:extent cx="4910455" cy="615315"/>
              <wp:effectExtent l="0" t="0" r="4445" b="13335"/>
              <wp:wrapSquare wrapText="bothSides"/>
              <wp:docPr id="28"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DDB08" w14:textId="77777777" w:rsidR="00950D0A" w:rsidRDefault="00950D0A"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D72E" id="_x0000_t202" coordsize="21600,21600" o:spt="202" path="m,l,21600r21600,l21600,xe">
              <v:stroke joinstyle="miter"/>
              <v:path gradientshapeok="t" o:connecttype="rect"/>
            </v:shapetype>
            <v:shape id="Text Box 28" o:spid="_x0000_s1028" type="#_x0000_t202" alt="Portrait Classification Header" style="position:absolute;left:0;text-align:left;margin-left:0;margin-top:40.35pt;width:386.65pt;height:48.4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L0r+mAMCAADmAwAADgAAAAAA&#10;AAAAAAAAAAAuAgAAZHJzL2Uyb0RvYy54bWxQSwECLQAUAAYACAAAACEAj1v8W90AAAAHAQAADwAA&#10;AAAAAAAAAAAAAABdBAAAZHJzL2Rvd25yZXYueG1sUEsFBgAAAAAEAAQA8wAAAGcFAAAAAA==&#10;" o:allowincell="f" filled="f" stroked="f">
              <v:textbox inset="0,0,0,0">
                <w:txbxContent>
                  <w:p w14:paraId="2ABDDB08" w14:textId="77777777" w:rsidR="00950D0A" w:rsidRDefault="00950D0A" w:rsidP="0095364E">
                    <w:pPr>
                      <w:pStyle w:val="Classification"/>
                    </w:pPr>
                  </w:p>
                </w:txbxContent>
              </v:textbox>
              <w10:wrap type="square" anchorx="margin" anchory="page"/>
              <w10:anchorlock/>
            </v:shape>
          </w:pict>
        </mc:Fallback>
      </mc:AlternateContent>
    </w:r>
    <w:r>
      <w:t>Australian Prudential Regulation Authority Budget Statements</w:t>
    </w:r>
  </w:p>
  <w:p w14:paraId="4538BD46" w14:textId="2A2C24AE" w:rsidR="00950D0A" w:rsidRDefault="00950D0A" w:rsidP="000F5AB1">
    <w:pPr>
      <w:pStyle w:val="HeaderOd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9C675" w14:textId="77777777" w:rsidR="00950D0A" w:rsidRPr="00F00984" w:rsidRDefault="00950D0A" w:rsidP="007057ED">
    <w:pPr>
      <w:pStyle w:val="HeaderEven"/>
      <w:jc w:val="right"/>
    </w:pPr>
    <w:r>
      <w:rPr>
        <w:noProof/>
      </w:rPr>
      <mc:AlternateContent>
        <mc:Choice Requires="wps">
          <w:drawing>
            <wp:anchor distT="0" distB="0" distL="0" distR="0" simplePos="0" relativeHeight="251664390" behindDoc="0" locked="1" layoutInCell="0" allowOverlap="1" wp14:anchorId="1C5F719D" wp14:editId="1496584C">
              <wp:simplePos x="0" y="0"/>
              <wp:positionH relativeFrom="margin">
                <wp:align>center</wp:align>
              </wp:positionH>
              <wp:positionV relativeFrom="page">
                <wp:posOffset>512445</wp:posOffset>
              </wp:positionV>
              <wp:extent cx="4910455" cy="615315"/>
              <wp:effectExtent l="0" t="0" r="4445" b="13335"/>
              <wp:wrapSquare wrapText="bothSides"/>
              <wp:docPr id="2" name="Text Box 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87829" w14:textId="77777777" w:rsidR="00950D0A" w:rsidRDefault="00950D0A" w:rsidP="007057ED">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719D" id="_x0000_t202" coordsize="21600,21600" o:spt="202" path="m,l,21600r21600,l21600,xe">
              <v:stroke joinstyle="miter"/>
              <v:path gradientshapeok="t" o:connecttype="rect"/>
            </v:shapetype>
            <v:shape id="_x0000_s1029" type="#_x0000_t202" alt="Portrait Classification Header" style="position:absolute;left:0;text-align:left;margin-left:0;margin-top:40.35pt;width:386.65pt;height:48.45pt;z-index:25166439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0Zi3NwMCAADkAwAADgAAAAAA&#10;AAAAAAAAAAAuAgAAZHJzL2Uyb0RvYy54bWxQSwECLQAUAAYACAAAACEAj1v8W90AAAAHAQAADwAA&#10;AAAAAAAAAAAAAABdBAAAZHJzL2Rvd25yZXYueG1sUEsFBgAAAAAEAAQA8wAAAGcFAAAAAA==&#10;" o:allowincell="f" filled="f" stroked="f">
              <v:textbox inset="0,0,0,0">
                <w:txbxContent>
                  <w:p w14:paraId="12987829" w14:textId="77777777" w:rsidR="00950D0A" w:rsidRDefault="00950D0A" w:rsidP="007057ED">
                    <w:pPr>
                      <w:pStyle w:val="Classification"/>
                    </w:pPr>
                  </w:p>
                </w:txbxContent>
              </v:textbox>
              <w10:wrap type="square" anchorx="margin" anchory="page"/>
              <w10:anchorlock/>
            </v:shape>
          </w:pict>
        </mc:Fallback>
      </mc:AlternateContent>
    </w:r>
    <w:r>
      <w:rPr>
        <w:noProof/>
      </w:rPr>
      <mc:AlternateContent>
        <mc:Choice Requires="wps">
          <w:drawing>
            <wp:anchor distT="0" distB="0" distL="0" distR="0" simplePos="0" relativeHeight="251665414" behindDoc="0" locked="1" layoutInCell="0" allowOverlap="1" wp14:anchorId="66C6214A" wp14:editId="59F8113D">
              <wp:simplePos x="0" y="0"/>
              <wp:positionH relativeFrom="margin">
                <wp:align>center</wp:align>
              </wp:positionH>
              <wp:positionV relativeFrom="page">
                <wp:posOffset>512445</wp:posOffset>
              </wp:positionV>
              <wp:extent cx="4910455" cy="615315"/>
              <wp:effectExtent l="0" t="0" r="4445" b="13335"/>
              <wp:wrapSquare wrapText="bothSides"/>
              <wp:docPr id="1" name="Text Box 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66B92" w14:textId="77777777" w:rsidR="00950D0A" w:rsidRDefault="00950D0A" w:rsidP="007057ED">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6214A" id="Text Box 1" o:spid="_x0000_s1030" type="#_x0000_t202" alt="Portrait Classification Header" style="position:absolute;left:0;text-align:left;margin-left:0;margin-top:40.35pt;width:386.65pt;height:48.45pt;z-index:25166541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r3xWgMCAADkAwAADgAAAAAA&#10;AAAAAAAAAAAuAgAAZHJzL2Uyb0RvYy54bWxQSwECLQAUAAYACAAAACEAj1v8W90AAAAHAQAADwAA&#10;AAAAAAAAAAAAAABdBAAAZHJzL2Rvd25yZXYueG1sUEsFBgAAAAAEAAQA8wAAAGcFAAAAAA==&#10;" o:allowincell="f" filled="f" stroked="f">
              <v:textbox inset="0,0,0,0">
                <w:txbxContent>
                  <w:p w14:paraId="7E466B92" w14:textId="77777777" w:rsidR="00950D0A" w:rsidRDefault="00950D0A" w:rsidP="007057ED">
                    <w:pPr>
                      <w:pStyle w:val="Classification"/>
                    </w:pPr>
                  </w:p>
                </w:txbxContent>
              </v:textbox>
              <w10:wrap type="square" anchorx="margin" anchory="page"/>
              <w10:anchorlock/>
            </v:shape>
          </w:pict>
        </mc:Fallback>
      </mc:AlternateContent>
    </w:r>
    <w:r>
      <w:t>Australian Prudential Regulation Authority Budget Statements</w:t>
    </w:r>
  </w:p>
  <w:p w14:paraId="2846979D" w14:textId="11CE169D" w:rsidR="00950D0A" w:rsidRPr="00B4084B" w:rsidRDefault="00950D0A" w:rsidP="0095364E">
    <w:pPr>
      <w:pStyle w:val="HeaderOdd"/>
    </w:pPr>
    <w:r>
      <w:rPr>
        <w:noProof/>
      </w:rPr>
      <mc:AlternateContent>
        <mc:Choice Requires="wps">
          <w:drawing>
            <wp:anchor distT="0" distB="0" distL="114300" distR="114300" simplePos="0" relativeHeight="251662342" behindDoc="0" locked="0" layoutInCell="1" allowOverlap="1" wp14:anchorId="6EF68D56" wp14:editId="6BF05D02">
              <wp:simplePos x="0" y="0"/>
              <wp:positionH relativeFrom="column">
                <wp:posOffset>7884795</wp:posOffset>
              </wp:positionH>
              <wp:positionV relativeFrom="margin">
                <wp:posOffset>0</wp:posOffset>
              </wp:positionV>
              <wp:extent cx="399600" cy="4572000"/>
              <wp:effectExtent l="0" t="0" r="635" b="0"/>
              <wp:wrapNone/>
              <wp:docPr id="1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DBFF0" w14:textId="77777777" w:rsidR="00950D0A" w:rsidRPr="00137C7E" w:rsidRDefault="00950D0A" w:rsidP="00AF36F7">
                          <w:pPr>
                            <w:pStyle w:val="HeaderEven"/>
                            <w:rPr>
                              <w:rStyle w:val="FramedHeader"/>
                            </w:rPr>
                          </w:pPr>
                          <w:r>
                            <w:t>Department of the Treasury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8D56" id="Text Box 6" o:spid="_x0000_s1031" type="#_x0000_t202" alt="Landscape Odd Header" style="position:absolute;left:0;text-align:left;margin-left:620.85pt;margin-top:0;width:31.45pt;height:5in;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" stroked="f">
              <v:textbox style="layout-flow:vertical">
                <w:txbxContent>
                  <w:p w14:paraId="50DDBFF0" w14:textId="77777777" w:rsidR="00950D0A" w:rsidRPr="00137C7E" w:rsidRDefault="00950D0A" w:rsidP="00AF36F7">
                    <w:pPr>
                      <w:pStyle w:val="HeaderEven"/>
                      <w:rPr>
                        <w:rStyle w:val="FramedHeader"/>
                      </w:rPr>
                    </w:pPr>
                    <w:r>
                      <w:t>Department of the Treasury Budget Statements</w:t>
                    </w:r>
                  </w:p>
                </w:txbxContent>
              </v:textbox>
              <w10:wrap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D2A4" w14:textId="6C50233A" w:rsidR="00950D0A" w:rsidRPr="000304FC" w:rsidRDefault="00950D0A" w:rsidP="0095364E">
    <w:pPr>
      <w:pStyle w:val="HeaderEven"/>
    </w:pPr>
    <w:r>
      <w:rPr>
        <w:noProof/>
      </w:rPr>
      <mc:AlternateContent>
        <mc:Choice Requires="wps">
          <w:drawing>
            <wp:anchor distT="0" distB="0" distL="0" distR="0" simplePos="0" relativeHeight="251658243" behindDoc="0" locked="1" layoutInCell="0" allowOverlap="1" wp14:anchorId="4A1E4CBD" wp14:editId="798A2386">
              <wp:simplePos x="0" y="0"/>
              <wp:positionH relativeFrom="margin">
                <wp:align>center</wp:align>
              </wp:positionH>
              <wp:positionV relativeFrom="page">
                <wp:posOffset>512445</wp:posOffset>
              </wp:positionV>
              <wp:extent cx="4910455" cy="615315"/>
              <wp:effectExtent l="0" t="0" r="4445" b="13335"/>
              <wp:wrapSquare wrapText="bothSides"/>
              <wp:docPr id="18"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FBCE" w14:textId="77777777" w:rsidR="00950D0A" w:rsidRDefault="00950D0A"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E4CBD" id="_x0000_t202" coordsize="21600,21600" o:spt="202" path="m,l,21600r21600,l21600,xe">
              <v:stroke joinstyle="miter"/>
              <v:path gradientshapeok="t" o:connecttype="rect"/>
            </v:shapetype>
            <v:shape id="Text Box 18" o:spid="_x0000_s1032" type="#_x0000_t202" alt="Portrait Classification Header" style="position:absolute;margin-left:0;margin-top:40.35pt;width:386.65pt;height:48.45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6p5xygMCAADmAwAADgAAAAAA&#10;AAAAAAAAAAAuAgAAZHJzL2Uyb0RvYy54bWxQSwECLQAUAAYACAAAACEAj1v8W90AAAAHAQAADwAA&#10;AAAAAAAAAAAAAABdBAAAZHJzL2Rvd25yZXYueG1sUEsFBgAAAAAEAAQA8wAAAGcFAAAAAA==&#10;" o:allowincell="f" filled="f" stroked="f">
              <v:textbox inset="0,0,0,0">
                <w:txbxContent>
                  <w:p w14:paraId="369EFBCE" w14:textId="77777777" w:rsidR="00950D0A" w:rsidRDefault="00950D0A" w:rsidP="0095364E">
                    <w:pPr>
                      <w:pStyle w:val="Classification"/>
                    </w:pPr>
                  </w:p>
                </w:txbxContent>
              </v:textbox>
              <w10:wrap type="square" anchorx="margin" anchory="page"/>
              <w10:anchorlock/>
            </v:shape>
          </w:pict>
        </mc:Fallback>
      </mc:AlternateContent>
    </w:r>
    <w:r w:rsidRPr="004D4A53">
      <w:t xml:space="preserve"> </w:t>
    </w:r>
    <w:r>
      <w:t>Australian Prudential Regulation Authority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4D00F" w14:textId="188A0591" w:rsidR="00950D0A" w:rsidRPr="000304FC" w:rsidRDefault="00950D0A" w:rsidP="0095364E">
    <w:pPr>
      <w:pStyle w:val="HeaderOdd"/>
    </w:pPr>
    <w:r w:rsidRPr="004D4A53">
      <w:t xml:space="preserve"> </w:t>
    </w:r>
    <w:r>
      <w:t>Australian Prudential Regulation Authority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02AD7" w14:textId="77777777" w:rsidR="00950D0A" w:rsidRPr="00B4084B" w:rsidRDefault="00950D0A" w:rsidP="0095364E">
    <w:pPr>
      <w:pStyle w:val="HeaderOdd"/>
    </w:pPr>
    <w:r>
      <w:rPr>
        <w:noProof/>
      </w:rPr>
      <mc:AlternateContent>
        <mc:Choice Requires="wps">
          <w:drawing>
            <wp:anchor distT="0" distB="0" distL="114300" distR="114300" simplePos="0" relativeHeight="251667462" behindDoc="0" locked="0" layoutInCell="1" allowOverlap="1" wp14:anchorId="55BBF5D3" wp14:editId="26D27D04">
              <wp:simplePos x="0" y="0"/>
              <wp:positionH relativeFrom="column">
                <wp:posOffset>7884795</wp:posOffset>
              </wp:positionH>
              <wp:positionV relativeFrom="margin">
                <wp:posOffset>0</wp:posOffset>
              </wp:positionV>
              <wp:extent cx="399600" cy="4572000"/>
              <wp:effectExtent l="0" t="0" r="635" b="0"/>
              <wp:wrapNone/>
              <wp:docPr id="5"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FB542" w14:textId="5E28848F" w:rsidR="00950D0A" w:rsidRPr="00137C7E" w:rsidRDefault="00950D0A" w:rsidP="00AF36F7">
                          <w:pPr>
                            <w:pStyle w:val="HeaderEven"/>
                            <w:rPr>
                              <w:rStyle w:val="FramedHeader"/>
                            </w:rPr>
                          </w:pPr>
                          <w:r>
                            <w:t>Australian Prudential Regulation Authority Budget Statements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BF5D3" id="_x0000_t202" coordsize="21600,21600" o:spt="202" path="m,l,21600r21600,l21600,xe">
              <v:stroke joinstyle="miter"/>
              <v:path gradientshapeok="t" o:connecttype="rect"/>
            </v:shapetype>
            <v:shape id="_x0000_s1033" type="#_x0000_t202" alt="Landscape Odd Header" style="position:absolute;left:0;text-align:left;margin-left:620.85pt;margin-top:0;width:31.45pt;height:5in;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" stroked="f">
              <v:textbox style="layout-flow:vertical">
                <w:txbxContent>
                  <w:p w14:paraId="4B9FB542" w14:textId="5E28848F" w:rsidR="00950D0A" w:rsidRPr="00137C7E" w:rsidRDefault="00950D0A" w:rsidP="00AF36F7">
                    <w:pPr>
                      <w:pStyle w:val="HeaderEven"/>
                      <w:rPr>
                        <w:rStyle w:val="FramedHeader"/>
                      </w:rPr>
                    </w:pPr>
                    <w:r>
                      <w:t>Australian Prudential Regulation Authority Budget Statements</w:t>
                    </w:r>
                  </w:p>
                </w:txbxContent>
              </v:textbox>
              <w10:wrap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6416" w14:textId="57390581" w:rsidR="00950D0A" w:rsidRDefault="00950D0A" w:rsidP="0095364E">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532D72C9" w14:textId="77777777" w:rsidR="00950D0A" w:rsidRDefault="00950D0A" w:rsidP="0095364E">
    <w:pPr>
      <w:pStyle w:val="SecurityClassificationHeader"/>
    </w:pPr>
  </w:p>
  <w:p w14:paraId="11997E36" w14:textId="77777777" w:rsidR="00950D0A" w:rsidRDefault="00950D0A" w:rsidP="0095364E">
    <w:pPr>
      <w:pStyle w:val="HeaderEven"/>
    </w:pPr>
    <w:r>
      <w:t>Index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91B4" w14:textId="0A1F9CC1" w:rsidR="00950D0A" w:rsidRDefault="00950D0A" w:rsidP="0095364E">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028A63E9" w14:textId="2FFE4A47" w:rsidR="00950D0A" w:rsidRDefault="00950D0A" w:rsidP="0095364E">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122799FE" w14:textId="77777777" w:rsidR="00950D0A" w:rsidRDefault="00950D0A" w:rsidP="0095364E">
    <w:pPr>
      <w:pStyle w:val="HeaderOdd"/>
    </w:pPr>
    <w:r>
      <w:t>Index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27F1C" w14:textId="77777777" w:rsidR="00950D0A" w:rsidRPr="00970E65" w:rsidRDefault="00950D0A" w:rsidP="0095364E">
    <w:pPr>
      <w:pStyle w:val="HeaderOdd"/>
    </w:pPr>
    <w:r>
      <w:rPr>
        <w:noProof/>
      </w:rPr>
      <mc:AlternateContent>
        <mc:Choice Requires="wps">
          <w:drawing>
            <wp:anchor distT="0" distB="0" distL="0" distR="0" simplePos="0" relativeHeight="251658241" behindDoc="0" locked="1" layoutInCell="0" allowOverlap="1" wp14:anchorId="46295111" wp14:editId="3A17C168">
              <wp:simplePos x="0" y="0"/>
              <wp:positionH relativeFrom="margin">
                <wp:align>center</wp:align>
              </wp:positionH>
              <wp:positionV relativeFrom="page">
                <wp:posOffset>512445</wp:posOffset>
              </wp:positionV>
              <wp:extent cx="4910455" cy="615315"/>
              <wp:effectExtent l="0" t="0" r="4445" b="13335"/>
              <wp:wrapSquare wrapText="bothSides"/>
              <wp:docPr id="15" name="Text Box 1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E6718" w14:textId="77777777" w:rsidR="00950D0A" w:rsidRDefault="00950D0A" w:rsidP="0095364E">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95111" id="_x0000_t202" coordsize="21600,21600" o:spt="202" path="m,l,21600r21600,l21600,xe">
              <v:stroke joinstyle="miter"/>
              <v:path gradientshapeok="t" o:connecttype="rect"/>
            </v:shapetype>
            <v:shape id="Text Box 15" o:spid="_x0000_s1034" type="#_x0000_t202" alt="Portrait Classification Header" style="position:absolute;left:0;text-align:left;margin-left:0;margin-top:40.35pt;width:386.65pt;height:48.45pt;z-index:251658241;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" o:allowincell="f" filled="f" stroked="f">
              <v:textbox inset="0,0,0,0">
                <w:txbxContent>
                  <w:p w14:paraId="7EDE6718" w14:textId="77777777" w:rsidR="00E23191" w:rsidRDefault="00E23191" w:rsidP="0095364E">
                    <w:pPr>
                      <w:pStyle w:val="Classification"/>
                    </w:pPr>
                  </w:p>
                </w:txbxContent>
              </v:textbox>
              <w10:wrap type="square"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F34117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7"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8"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0"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12A273F"/>
    <w:multiLevelType w:val="multilevel"/>
    <w:tmpl w:val="8EA00C60"/>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6EE4A76"/>
    <w:multiLevelType w:val="multilevel"/>
    <w:tmpl w:val="A524C7BC"/>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1731492"/>
    <w:multiLevelType w:val="multilevel"/>
    <w:tmpl w:val="9076AA2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77524FCD"/>
    <w:multiLevelType w:val="hybridMultilevel"/>
    <w:tmpl w:val="039A6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13"/>
  </w:num>
  <w:num w:numId="5">
    <w:abstractNumId w:val="14"/>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3"/>
  </w:num>
  <w:num w:numId="12">
    <w:abstractNumId w:val="9"/>
  </w:num>
  <w:num w:numId="13">
    <w:abstractNumId w:val="16"/>
  </w:num>
  <w:num w:numId="14">
    <w:abstractNumId w:val="8"/>
  </w:num>
  <w:num w:numId="15">
    <w:abstractNumId w:val="6"/>
  </w:num>
  <w:num w:numId="16">
    <w:abstractNumId w:val="17"/>
  </w:num>
  <w:num w:numId="17">
    <w:abstractNumId w:val="9"/>
    <w:lvlOverride w:ilvl="0">
      <w:startOverride w:val="1"/>
    </w:lvlOverride>
  </w:num>
  <w:num w:numId="18">
    <w:abstractNumId w:val="15"/>
  </w:num>
  <w:num w:numId="19">
    <w:abstractNumId w:val="12"/>
  </w:num>
  <w:num w:numId="2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cumentProtection w:formatting="1" w:enforcement="0"/>
  <w:styleLockTheme/>
  <w:styleLockQFSet/>
  <w:defaultTabStop w:val="425"/>
  <w:evenAndOddHeaders/>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8A"/>
    <w:rsid w:val="00001908"/>
    <w:rsid w:val="00002087"/>
    <w:rsid w:val="00003CA8"/>
    <w:rsid w:val="00004ED1"/>
    <w:rsid w:val="00005D98"/>
    <w:rsid w:val="00005F96"/>
    <w:rsid w:val="00007262"/>
    <w:rsid w:val="00011C96"/>
    <w:rsid w:val="000141B9"/>
    <w:rsid w:val="00020023"/>
    <w:rsid w:val="000233CA"/>
    <w:rsid w:val="00025954"/>
    <w:rsid w:val="00033422"/>
    <w:rsid w:val="00034A19"/>
    <w:rsid w:val="00036F9E"/>
    <w:rsid w:val="00037581"/>
    <w:rsid w:val="000413B3"/>
    <w:rsid w:val="00043432"/>
    <w:rsid w:val="00043F44"/>
    <w:rsid w:val="000453D9"/>
    <w:rsid w:val="000463AE"/>
    <w:rsid w:val="00052AF4"/>
    <w:rsid w:val="000573E5"/>
    <w:rsid w:val="00057B71"/>
    <w:rsid w:val="00062462"/>
    <w:rsid w:val="0007202C"/>
    <w:rsid w:val="00072B30"/>
    <w:rsid w:val="0007319C"/>
    <w:rsid w:val="000732AA"/>
    <w:rsid w:val="000767DD"/>
    <w:rsid w:val="0008011A"/>
    <w:rsid w:val="0008358A"/>
    <w:rsid w:val="00084F8B"/>
    <w:rsid w:val="000851D0"/>
    <w:rsid w:val="00086C3A"/>
    <w:rsid w:val="00086D07"/>
    <w:rsid w:val="00086F71"/>
    <w:rsid w:val="00093915"/>
    <w:rsid w:val="000949AD"/>
    <w:rsid w:val="00095109"/>
    <w:rsid w:val="00096B0F"/>
    <w:rsid w:val="000A3264"/>
    <w:rsid w:val="000A490E"/>
    <w:rsid w:val="000A6D34"/>
    <w:rsid w:val="000B04C5"/>
    <w:rsid w:val="000B63CA"/>
    <w:rsid w:val="000B752A"/>
    <w:rsid w:val="000C14D9"/>
    <w:rsid w:val="000C15C7"/>
    <w:rsid w:val="000D1703"/>
    <w:rsid w:val="000D2855"/>
    <w:rsid w:val="000D4EDE"/>
    <w:rsid w:val="000E2460"/>
    <w:rsid w:val="000E43AC"/>
    <w:rsid w:val="000E6E37"/>
    <w:rsid w:val="000F0E6F"/>
    <w:rsid w:val="000F5AB1"/>
    <w:rsid w:val="000F6ADA"/>
    <w:rsid w:val="000F6DCB"/>
    <w:rsid w:val="001006E3"/>
    <w:rsid w:val="001018A5"/>
    <w:rsid w:val="00106F56"/>
    <w:rsid w:val="00115A39"/>
    <w:rsid w:val="00117479"/>
    <w:rsid w:val="00121005"/>
    <w:rsid w:val="00123576"/>
    <w:rsid w:val="001241CB"/>
    <w:rsid w:val="00124B21"/>
    <w:rsid w:val="001327B8"/>
    <w:rsid w:val="0013471B"/>
    <w:rsid w:val="001352D4"/>
    <w:rsid w:val="00142D57"/>
    <w:rsid w:val="0014677F"/>
    <w:rsid w:val="00155789"/>
    <w:rsid w:val="001562A8"/>
    <w:rsid w:val="00157C98"/>
    <w:rsid w:val="0016435C"/>
    <w:rsid w:val="001653B6"/>
    <w:rsid w:val="00165BF6"/>
    <w:rsid w:val="00171925"/>
    <w:rsid w:val="00172AE6"/>
    <w:rsid w:val="00174B0F"/>
    <w:rsid w:val="0018235E"/>
    <w:rsid w:val="00184187"/>
    <w:rsid w:val="00197C34"/>
    <w:rsid w:val="001A0EDB"/>
    <w:rsid w:val="001A4EA4"/>
    <w:rsid w:val="001A664F"/>
    <w:rsid w:val="001A73A4"/>
    <w:rsid w:val="001B2DB7"/>
    <w:rsid w:val="001B3A9F"/>
    <w:rsid w:val="001B709A"/>
    <w:rsid w:val="001C54D3"/>
    <w:rsid w:val="001D0C02"/>
    <w:rsid w:val="001D3D43"/>
    <w:rsid w:val="001D5DC3"/>
    <w:rsid w:val="001E04A8"/>
    <w:rsid w:val="001E0F51"/>
    <w:rsid w:val="001E31C7"/>
    <w:rsid w:val="001E55BF"/>
    <w:rsid w:val="001F1831"/>
    <w:rsid w:val="001F4A12"/>
    <w:rsid w:val="001F6E1A"/>
    <w:rsid w:val="001F780A"/>
    <w:rsid w:val="001F7917"/>
    <w:rsid w:val="00200613"/>
    <w:rsid w:val="00214883"/>
    <w:rsid w:val="002156F6"/>
    <w:rsid w:val="0021775B"/>
    <w:rsid w:val="002204DA"/>
    <w:rsid w:val="00220550"/>
    <w:rsid w:val="00221EF1"/>
    <w:rsid w:val="00221F2A"/>
    <w:rsid w:val="002301A2"/>
    <w:rsid w:val="00236C2D"/>
    <w:rsid w:val="002374B7"/>
    <w:rsid w:val="00240126"/>
    <w:rsid w:val="002406BD"/>
    <w:rsid w:val="00241D16"/>
    <w:rsid w:val="00242384"/>
    <w:rsid w:val="0024304D"/>
    <w:rsid w:val="00244826"/>
    <w:rsid w:val="002467E6"/>
    <w:rsid w:val="00247ACA"/>
    <w:rsid w:val="00252E6A"/>
    <w:rsid w:val="00255A20"/>
    <w:rsid w:val="0025782A"/>
    <w:rsid w:val="00261941"/>
    <w:rsid w:val="00261ABB"/>
    <w:rsid w:val="00263414"/>
    <w:rsid w:val="002661A6"/>
    <w:rsid w:val="00266C23"/>
    <w:rsid w:val="00270FB0"/>
    <w:rsid w:val="00277D6C"/>
    <w:rsid w:val="002860EF"/>
    <w:rsid w:val="00286EAD"/>
    <w:rsid w:val="00287DD2"/>
    <w:rsid w:val="002928CA"/>
    <w:rsid w:val="00292A60"/>
    <w:rsid w:val="0029389B"/>
    <w:rsid w:val="002A1894"/>
    <w:rsid w:val="002A2188"/>
    <w:rsid w:val="002A36F2"/>
    <w:rsid w:val="002A7D14"/>
    <w:rsid w:val="002B0913"/>
    <w:rsid w:val="002B28E4"/>
    <w:rsid w:val="002B7504"/>
    <w:rsid w:val="002C0D97"/>
    <w:rsid w:val="002C5755"/>
    <w:rsid w:val="002C66D1"/>
    <w:rsid w:val="002C7065"/>
    <w:rsid w:val="002C7F4A"/>
    <w:rsid w:val="002D2804"/>
    <w:rsid w:val="002D4B6C"/>
    <w:rsid w:val="002D5274"/>
    <w:rsid w:val="002D56EC"/>
    <w:rsid w:val="002D6437"/>
    <w:rsid w:val="002E1EE3"/>
    <w:rsid w:val="002E50B5"/>
    <w:rsid w:val="002F0135"/>
    <w:rsid w:val="002F0C2C"/>
    <w:rsid w:val="002F1626"/>
    <w:rsid w:val="00300655"/>
    <w:rsid w:val="00303D18"/>
    <w:rsid w:val="00307ADD"/>
    <w:rsid w:val="00307E55"/>
    <w:rsid w:val="00311228"/>
    <w:rsid w:val="00312A66"/>
    <w:rsid w:val="003130CA"/>
    <w:rsid w:val="00314FAB"/>
    <w:rsid w:val="0032180D"/>
    <w:rsid w:val="0032734D"/>
    <w:rsid w:val="003306A5"/>
    <w:rsid w:val="00341BE8"/>
    <w:rsid w:val="0034646D"/>
    <w:rsid w:val="003473F2"/>
    <w:rsid w:val="00347BE5"/>
    <w:rsid w:val="00355D40"/>
    <w:rsid w:val="0036150E"/>
    <w:rsid w:val="00362116"/>
    <w:rsid w:val="00371AAC"/>
    <w:rsid w:val="00371F54"/>
    <w:rsid w:val="0037570B"/>
    <w:rsid w:val="00376B11"/>
    <w:rsid w:val="00376F37"/>
    <w:rsid w:val="0037770C"/>
    <w:rsid w:val="00377A42"/>
    <w:rsid w:val="00377C8B"/>
    <w:rsid w:val="00377CCB"/>
    <w:rsid w:val="00383A95"/>
    <w:rsid w:val="00385CA0"/>
    <w:rsid w:val="0039117B"/>
    <w:rsid w:val="003A2733"/>
    <w:rsid w:val="003A3021"/>
    <w:rsid w:val="003A5DBD"/>
    <w:rsid w:val="003A627E"/>
    <w:rsid w:val="003A79EE"/>
    <w:rsid w:val="003A7E4D"/>
    <w:rsid w:val="003B6E16"/>
    <w:rsid w:val="003C180A"/>
    <w:rsid w:val="003C1E25"/>
    <w:rsid w:val="003C5096"/>
    <w:rsid w:val="003D27CB"/>
    <w:rsid w:val="003D329D"/>
    <w:rsid w:val="003E59CC"/>
    <w:rsid w:val="003E6BF6"/>
    <w:rsid w:val="003E6F30"/>
    <w:rsid w:val="003F0F0D"/>
    <w:rsid w:val="003F1399"/>
    <w:rsid w:val="003F2B49"/>
    <w:rsid w:val="003F3013"/>
    <w:rsid w:val="0040173E"/>
    <w:rsid w:val="004079BF"/>
    <w:rsid w:val="00417AC2"/>
    <w:rsid w:val="00421A32"/>
    <w:rsid w:val="0042556B"/>
    <w:rsid w:val="004311F8"/>
    <w:rsid w:val="00435339"/>
    <w:rsid w:val="004410DC"/>
    <w:rsid w:val="0044447D"/>
    <w:rsid w:val="004447D7"/>
    <w:rsid w:val="00445409"/>
    <w:rsid w:val="00450C67"/>
    <w:rsid w:val="00454F83"/>
    <w:rsid w:val="00456C15"/>
    <w:rsid w:val="00460CF7"/>
    <w:rsid w:val="00463FA8"/>
    <w:rsid w:val="00466648"/>
    <w:rsid w:val="00467CAA"/>
    <w:rsid w:val="00472CBC"/>
    <w:rsid w:val="004752BA"/>
    <w:rsid w:val="004765B3"/>
    <w:rsid w:val="004837C3"/>
    <w:rsid w:val="004843CA"/>
    <w:rsid w:val="00492EAE"/>
    <w:rsid w:val="00493DAA"/>
    <w:rsid w:val="00494335"/>
    <w:rsid w:val="00495A4C"/>
    <w:rsid w:val="004967A1"/>
    <w:rsid w:val="004A2903"/>
    <w:rsid w:val="004A3888"/>
    <w:rsid w:val="004A61A6"/>
    <w:rsid w:val="004B584E"/>
    <w:rsid w:val="004C1106"/>
    <w:rsid w:val="004C6D4B"/>
    <w:rsid w:val="004C7569"/>
    <w:rsid w:val="004C766B"/>
    <w:rsid w:val="004D04D9"/>
    <w:rsid w:val="004D0DE4"/>
    <w:rsid w:val="004D33E3"/>
    <w:rsid w:val="004D76C1"/>
    <w:rsid w:val="004D7C22"/>
    <w:rsid w:val="004E1D8E"/>
    <w:rsid w:val="004E2269"/>
    <w:rsid w:val="004E451A"/>
    <w:rsid w:val="004F3339"/>
    <w:rsid w:val="004F530D"/>
    <w:rsid w:val="004F59B4"/>
    <w:rsid w:val="004F72A2"/>
    <w:rsid w:val="004F78E5"/>
    <w:rsid w:val="005026D4"/>
    <w:rsid w:val="00503A51"/>
    <w:rsid w:val="00505185"/>
    <w:rsid w:val="00506774"/>
    <w:rsid w:val="00512309"/>
    <w:rsid w:val="00514730"/>
    <w:rsid w:val="00514D61"/>
    <w:rsid w:val="00527A2E"/>
    <w:rsid w:val="00541D54"/>
    <w:rsid w:val="00542522"/>
    <w:rsid w:val="0054526E"/>
    <w:rsid w:val="00545CE1"/>
    <w:rsid w:val="005476B5"/>
    <w:rsid w:val="00554738"/>
    <w:rsid w:val="005549D7"/>
    <w:rsid w:val="00555D4C"/>
    <w:rsid w:val="005602DA"/>
    <w:rsid w:val="00562087"/>
    <w:rsid w:val="005656A7"/>
    <w:rsid w:val="005678FC"/>
    <w:rsid w:val="0057138A"/>
    <w:rsid w:val="00573327"/>
    <w:rsid w:val="005819D2"/>
    <w:rsid w:val="005907E9"/>
    <w:rsid w:val="00592F64"/>
    <w:rsid w:val="00595B4E"/>
    <w:rsid w:val="005A2934"/>
    <w:rsid w:val="005A3F63"/>
    <w:rsid w:val="005A59D0"/>
    <w:rsid w:val="005B073E"/>
    <w:rsid w:val="005B227F"/>
    <w:rsid w:val="005B7801"/>
    <w:rsid w:val="005C145E"/>
    <w:rsid w:val="005C5891"/>
    <w:rsid w:val="005C5E50"/>
    <w:rsid w:val="005D04CC"/>
    <w:rsid w:val="005D20C0"/>
    <w:rsid w:val="005D47FA"/>
    <w:rsid w:val="005D4898"/>
    <w:rsid w:val="005D5FAE"/>
    <w:rsid w:val="005D60FF"/>
    <w:rsid w:val="005E4BC9"/>
    <w:rsid w:val="005F29B7"/>
    <w:rsid w:val="005F2D27"/>
    <w:rsid w:val="00600491"/>
    <w:rsid w:val="006014C8"/>
    <w:rsid w:val="00602C96"/>
    <w:rsid w:val="00606EB5"/>
    <w:rsid w:val="00606FC8"/>
    <w:rsid w:val="00616C90"/>
    <w:rsid w:val="00617FDA"/>
    <w:rsid w:val="0062116F"/>
    <w:rsid w:val="00623FD7"/>
    <w:rsid w:val="00625432"/>
    <w:rsid w:val="00626087"/>
    <w:rsid w:val="00634756"/>
    <w:rsid w:val="00634E4C"/>
    <w:rsid w:val="00636B8B"/>
    <w:rsid w:val="0063791A"/>
    <w:rsid w:val="006403E8"/>
    <w:rsid w:val="00641EAA"/>
    <w:rsid w:val="006427FE"/>
    <w:rsid w:val="006428B6"/>
    <w:rsid w:val="00644EA2"/>
    <w:rsid w:val="006506C1"/>
    <w:rsid w:val="00655FC3"/>
    <w:rsid w:val="00657459"/>
    <w:rsid w:val="0065747A"/>
    <w:rsid w:val="00660F22"/>
    <w:rsid w:val="00662E28"/>
    <w:rsid w:val="00663122"/>
    <w:rsid w:val="00663DF7"/>
    <w:rsid w:val="0066674D"/>
    <w:rsid w:val="00666A78"/>
    <w:rsid w:val="00676C12"/>
    <w:rsid w:val="006907A8"/>
    <w:rsid w:val="0069375D"/>
    <w:rsid w:val="0069407C"/>
    <w:rsid w:val="006940C4"/>
    <w:rsid w:val="0069574E"/>
    <w:rsid w:val="006969C0"/>
    <w:rsid w:val="006A0A56"/>
    <w:rsid w:val="006A0DC8"/>
    <w:rsid w:val="006A1921"/>
    <w:rsid w:val="006A2303"/>
    <w:rsid w:val="006A2C82"/>
    <w:rsid w:val="006D2A45"/>
    <w:rsid w:val="006D315C"/>
    <w:rsid w:val="006D3CA7"/>
    <w:rsid w:val="006D71B8"/>
    <w:rsid w:val="006D730A"/>
    <w:rsid w:val="006E23A4"/>
    <w:rsid w:val="006E3395"/>
    <w:rsid w:val="006E3BC1"/>
    <w:rsid w:val="006E4272"/>
    <w:rsid w:val="006E64A0"/>
    <w:rsid w:val="006F0A6E"/>
    <w:rsid w:val="006F145A"/>
    <w:rsid w:val="006F27CB"/>
    <w:rsid w:val="006F29A0"/>
    <w:rsid w:val="006F359B"/>
    <w:rsid w:val="006F36E6"/>
    <w:rsid w:val="006F5865"/>
    <w:rsid w:val="007007FC"/>
    <w:rsid w:val="00701EC6"/>
    <w:rsid w:val="007057ED"/>
    <w:rsid w:val="0070607E"/>
    <w:rsid w:val="00706179"/>
    <w:rsid w:val="00707A84"/>
    <w:rsid w:val="00711A08"/>
    <w:rsid w:val="00714F78"/>
    <w:rsid w:val="007152B0"/>
    <w:rsid w:val="007170F7"/>
    <w:rsid w:val="00717589"/>
    <w:rsid w:val="007200F4"/>
    <w:rsid w:val="00722F9F"/>
    <w:rsid w:val="007253B8"/>
    <w:rsid w:val="00735749"/>
    <w:rsid w:val="007361C0"/>
    <w:rsid w:val="00736E7D"/>
    <w:rsid w:val="00747BE2"/>
    <w:rsid w:val="007509A6"/>
    <w:rsid w:val="00753F83"/>
    <w:rsid w:val="007541B0"/>
    <w:rsid w:val="0075469B"/>
    <w:rsid w:val="00755163"/>
    <w:rsid w:val="00756AAB"/>
    <w:rsid w:val="00757F63"/>
    <w:rsid w:val="007630DC"/>
    <w:rsid w:val="007645AE"/>
    <w:rsid w:val="00764992"/>
    <w:rsid w:val="00765749"/>
    <w:rsid w:val="00765B12"/>
    <w:rsid w:val="00775AA0"/>
    <w:rsid w:val="007770A5"/>
    <w:rsid w:val="007770FA"/>
    <w:rsid w:val="00781A5E"/>
    <w:rsid w:val="007848C4"/>
    <w:rsid w:val="00791738"/>
    <w:rsid w:val="00791780"/>
    <w:rsid w:val="00792D37"/>
    <w:rsid w:val="007A0EB7"/>
    <w:rsid w:val="007B2C95"/>
    <w:rsid w:val="007B313F"/>
    <w:rsid w:val="007B6871"/>
    <w:rsid w:val="007B7899"/>
    <w:rsid w:val="007C08B1"/>
    <w:rsid w:val="007C2CC2"/>
    <w:rsid w:val="007C38BD"/>
    <w:rsid w:val="007C4330"/>
    <w:rsid w:val="007C5B58"/>
    <w:rsid w:val="007C79AA"/>
    <w:rsid w:val="007D0CB8"/>
    <w:rsid w:val="007D0F80"/>
    <w:rsid w:val="007D2555"/>
    <w:rsid w:val="007D31DA"/>
    <w:rsid w:val="007D72C5"/>
    <w:rsid w:val="007E525D"/>
    <w:rsid w:val="007E746C"/>
    <w:rsid w:val="007F0323"/>
    <w:rsid w:val="007F379E"/>
    <w:rsid w:val="007F471C"/>
    <w:rsid w:val="00800C90"/>
    <w:rsid w:val="00803C3C"/>
    <w:rsid w:val="00803CDB"/>
    <w:rsid w:val="008125F8"/>
    <w:rsid w:val="008174E5"/>
    <w:rsid w:val="008208A8"/>
    <w:rsid w:val="008248BC"/>
    <w:rsid w:val="00826012"/>
    <w:rsid w:val="00830AB6"/>
    <w:rsid w:val="00832EFE"/>
    <w:rsid w:val="00834CE0"/>
    <w:rsid w:val="0084110F"/>
    <w:rsid w:val="00844B1D"/>
    <w:rsid w:val="00844F5C"/>
    <w:rsid w:val="00845843"/>
    <w:rsid w:val="00846D34"/>
    <w:rsid w:val="00851FA1"/>
    <w:rsid w:val="00863020"/>
    <w:rsid w:val="008637EC"/>
    <w:rsid w:val="00870BC6"/>
    <w:rsid w:val="00875DAD"/>
    <w:rsid w:val="00876B30"/>
    <w:rsid w:val="00877B84"/>
    <w:rsid w:val="00877E5F"/>
    <w:rsid w:val="0088036D"/>
    <w:rsid w:val="00881155"/>
    <w:rsid w:val="00882892"/>
    <w:rsid w:val="00885A14"/>
    <w:rsid w:val="0088689B"/>
    <w:rsid w:val="00887CB9"/>
    <w:rsid w:val="00890FA0"/>
    <w:rsid w:val="008947BF"/>
    <w:rsid w:val="00895373"/>
    <w:rsid w:val="008A0CBE"/>
    <w:rsid w:val="008A1CA8"/>
    <w:rsid w:val="008A214D"/>
    <w:rsid w:val="008A345E"/>
    <w:rsid w:val="008A72D2"/>
    <w:rsid w:val="008A74A3"/>
    <w:rsid w:val="008B6868"/>
    <w:rsid w:val="008B6D24"/>
    <w:rsid w:val="008C34F7"/>
    <w:rsid w:val="008C6A43"/>
    <w:rsid w:val="008C7B17"/>
    <w:rsid w:val="008D080C"/>
    <w:rsid w:val="008D1867"/>
    <w:rsid w:val="008D4EDC"/>
    <w:rsid w:val="008D6437"/>
    <w:rsid w:val="008D6EDF"/>
    <w:rsid w:val="008E3293"/>
    <w:rsid w:val="008E3EF5"/>
    <w:rsid w:val="008F33B5"/>
    <w:rsid w:val="00901414"/>
    <w:rsid w:val="0090380E"/>
    <w:rsid w:val="00906799"/>
    <w:rsid w:val="009068D4"/>
    <w:rsid w:val="009075DB"/>
    <w:rsid w:val="00922193"/>
    <w:rsid w:val="00924152"/>
    <w:rsid w:val="009306B5"/>
    <w:rsid w:val="0093194D"/>
    <w:rsid w:val="00934C3F"/>
    <w:rsid w:val="009361AC"/>
    <w:rsid w:val="009417AE"/>
    <w:rsid w:val="009434E8"/>
    <w:rsid w:val="00943ADF"/>
    <w:rsid w:val="00945B3F"/>
    <w:rsid w:val="00946A75"/>
    <w:rsid w:val="00950D0A"/>
    <w:rsid w:val="00950DCB"/>
    <w:rsid w:val="00952D47"/>
    <w:rsid w:val="00952D4C"/>
    <w:rsid w:val="0095364E"/>
    <w:rsid w:val="00955B91"/>
    <w:rsid w:val="00960246"/>
    <w:rsid w:val="009720E1"/>
    <w:rsid w:val="00972A4F"/>
    <w:rsid w:val="00974DBB"/>
    <w:rsid w:val="00974F0E"/>
    <w:rsid w:val="00975CD7"/>
    <w:rsid w:val="0098070E"/>
    <w:rsid w:val="00980CA1"/>
    <w:rsid w:val="00985E70"/>
    <w:rsid w:val="0098783B"/>
    <w:rsid w:val="00993C2B"/>
    <w:rsid w:val="009979F4"/>
    <w:rsid w:val="009A246D"/>
    <w:rsid w:val="009A45B2"/>
    <w:rsid w:val="009A5585"/>
    <w:rsid w:val="009A59D5"/>
    <w:rsid w:val="009A67EE"/>
    <w:rsid w:val="009B03C8"/>
    <w:rsid w:val="009B2CB7"/>
    <w:rsid w:val="009B7512"/>
    <w:rsid w:val="009C2198"/>
    <w:rsid w:val="009D2DDD"/>
    <w:rsid w:val="009E0C10"/>
    <w:rsid w:val="009E263B"/>
    <w:rsid w:val="009E3A48"/>
    <w:rsid w:val="009E4116"/>
    <w:rsid w:val="009E529F"/>
    <w:rsid w:val="009F0A3C"/>
    <w:rsid w:val="009F4D4D"/>
    <w:rsid w:val="00A000F6"/>
    <w:rsid w:val="00A10DA6"/>
    <w:rsid w:val="00A117AC"/>
    <w:rsid w:val="00A13342"/>
    <w:rsid w:val="00A151E9"/>
    <w:rsid w:val="00A15DBB"/>
    <w:rsid w:val="00A16763"/>
    <w:rsid w:val="00A259F2"/>
    <w:rsid w:val="00A2758A"/>
    <w:rsid w:val="00A33802"/>
    <w:rsid w:val="00A34ADD"/>
    <w:rsid w:val="00A37162"/>
    <w:rsid w:val="00A37E51"/>
    <w:rsid w:val="00A432E0"/>
    <w:rsid w:val="00A47982"/>
    <w:rsid w:val="00A51E2D"/>
    <w:rsid w:val="00A5319F"/>
    <w:rsid w:val="00A533A9"/>
    <w:rsid w:val="00A53690"/>
    <w:rsid w:val="00A62D31"/>
    <w:rsid w:val="00A63380"/>
    <w:rsid w:val="00A67F0C"/>
    <w:rsid w:val="00A72F3E"/>
    <w:rsid w:val="00A8129D"/>
    <w:rsid w:val="00A82188"/>
    <w:rsid w:val="00A865C7"/>
    <w:rsid w:val="00A909CC"/>
    <w:rsid w:val="00A964A5"/>
    <w:rsid w:val="00A97C5A"/>
    <w:rsid w:val="00A97E3B"/>
    <w:rsid w:val="00AA00CB"/>
    <w:rsid w:val="00AA20A1"/>
    <w:rsid w:val="00AA41F2"/>
    <w:rsid w:val="00AB039E"/>
    <w:rsid w:val="00AB4206"/>
    <w:rsid w:val="00AC498D"/>
    <w:rsid w:val="00AC4D3E"/>
    <w:rsid w:val="00AC7E54"/>
    <w:rsid w:val="00AD793C"/>
    <w:rsid w:val="00AE6A4E"/>
    <w:rsid w:val="00AE7B98"/>
    <w:rsid w:val="00AF129F"/>
    <w:rsid w:val="00AF36F7"/>
    <w:rsid w:val="00B00E7F"/>
    <w:rsid w:val="00B06BB8"/>
    <w:rsid w:val="00B11471"/>
    <w:rsid w:val="00B12DC9"/>
    <w:rsid w:val="00B13F84"/>
    <w:rsid w:val="00B14604"/>
    <w:rsid w:val="00B14D12"/>
    <w:rsid w:val="00B15ABA"/>
    <w:rsid w:val="00B20FA0"/>
    <w:rsid w:val="00B24DD4"/>
    <w:rsid w:val="00B34339"/>
    <w:rsid w:val="00B40B7D"/>
    <w:rsid w:val="00B42B2F"/>
    <w:rsid w:val="00B44900"/>
    <w:rsid w:val="00B4653B"/>
    <w:rsid w:val="00B467F6"/>
    <w:rsid w:val="00B472E1"/>
    <w:rsid w:val="00B52821"/>
    <w:rsid w:val="00B56C63"/>
    <w:rsid w:val="00B56CB6"/>
    <w:rsid w:val="00B62AFF"/>
    <w:rsid w:val="00B66079"/>
    <w:rsid w:val="00B664C7"/>
    <w:rsid w:val="00B71170"/>
    <w:rsid w:val="00B75DCB"/>
    <w:rsid w:val="00B77974"/>
    <w:rsid w:val="00B8095E"/>
    <w:rsid w:val="00B80BCE"/>
    <w:rsid w:val="00B80C2F"/>
    <w:rsid w:val="00B81524"/>
    <w:rsid w:val="00B81740"/>
    <w:rsid w:val="00B83542"/>
    <w:rsid w:val="00B85D7B"/>
    <w:rsid w:val="00B900EA"/>
    <w:rsid w:val="00B9068D"/>
    <w:rsid w:val="00B91069"/>
    <w:rsid w:val="00B912AF"/>
    <w:rsid w:val="00B92842"/>
    <w:rsid w:val="00B9759E"/>
    <w:rsid w:val="00BA2713"/>
    <w:rsid w:val="00BA2941"/>
    <w:rsid w:val="00BA4C61"/>
    <w:rsid w:val="00BA627A"/>
    <w:rsid w:val="00BB22FA"/>
    <w:rsid w:val="00BB2C30"/>
    <w:rsid w:val="00BB504A"/>
    <w:rsid w:val="00BB79EE"/>
    <w:rsid w:val="00BC24B6"/>
    <w:rsid w:val="00BC2BED"/>
    <w:rsid w:val="00BD12A1"/>
    <w:rsid w:val="00BD1D09"/>
    <w:rsid w:val="00BD7B83"/>
    <w:rsid w:val="00BF17C6"/>
    <w:rsid w:val="00BF6F09"/>
    <w:rsid w:val="00C0044D"/>
    <w:rsid w:val="00C00FDA"/>
    <w:rsid w:val="00C02EB9"/>
    <w:rsid w:val="00C0373C"/>
    <w:rsid w:val="00C04E4B"/>
    <w:rsid w:val="00C11531"/>
    <w:rsid w:val="00C11B56"/>
    <w:rsid w:val="00C14C04"/>
    <w:rsid w:val="00C1529E"/>
    <w:rsid w:val="00C16045"/>
    <w:rsid w:val="00C21E27"/>
    <w:rsid w:val="00C2332A"/>
    <w:rsid w:val="00C307DD"/>
    <w:rsid w:val="00C35463"/>
    <w:rsid w:val="00C4069F"/>
    <w:rsid w:val="00C42EA5"/>
    <w:rsid w:val="00C44F09"/>
    <w:rsid w:val="00C47AA6"/>
    <w:rsid w:val="00C50AF5"/>
    <w:rsid w:val="00C55BA0"/>
    <w:rsid w:val="00C62BF5"/>
    <w:rsid w:val="00C636DA"/>
    <w:rsid w:val="00C65BD6"/>
    <w:rsid w:val="00C67E22"/>
    <w:rsid w:val="00C70986"/>
    <w:rsid w:val="00C72271"/>
    <w:rsid w:val="00C72A17"/>
    <w:rsid w:val="00C812D3"/>
    <w:rsid w:val="00C81356"/>
    <w:rsid w:val="00C813CD"/>
    <w:rsid w:val="00C858D9"/>
    <w:rsid w:val="00C87DA0"/>
    <w:rsid w:val="00C90693"/>
    <w:rsid w:val="00C93606"/>
    <w:rsid w:val="00C96D95"/>
    <w:rsid w:val="00CA4E4D"/>
    <w:rsid w:val="00CA6FF9"/>
    <w:rsid w:val="00CB4238"/>
    <w:rsid w:val="00CB4D32"/>
    <w:rsid w:val="00CB5938"/>
    <w:rsid w:val="00CB5B27"/>
    <w:rsid w:val="00CB60E3"/>
    <w:rsid w:val="00CC13F5"/>
    <w:rsid w:val="00CC1A64"/>
    <w:rsid w:val="00CC34EB"/>
    <w:rsid w:val="00CC66EA"/>
    <w:rsid w:val="00CC7871"/>
    <w:rsid w:val="00CD3C17"/>
    <w:rsid w:val="00CE1F9C"/>
    <w:rsid w:val="00CE2E48"/>
    <w:rsid w:val="00CE33AF"/>
    <w:rsid w:val="00CE6C64"/>
    <w:rsid w:val="00CF0184"/>
    <w:rsid w:val="00CF32D8"/>
    <w:rsid w:val="00CF407C"/>
    <w:rsid w:val="00CF55F6"/>
    <w:rsid w:val="00CF59E0"/>
    <w:rsid w:val="00CF6672"/>
    <w:rsid w:val="00D021F7"/>
    <w:rsid w:val="00D02397"/>
    <w:rsid w:val="00D02839"/>
    <w:rsid w:val="00D069C7"/>
    <w:rsid w:val="00D078A2"/>
    <w:rsid w:val="00D10CC1"/>
    <w:rsid w:val="00D137D4"/>
    <w:rsid w:val="00D14C87"/>
    <w:rsid w:val="00D21123"/>
    <w:rsid w:val="00D26BB7"/>
    <w:rsid w:val="00D367EB"/>
    <w:rsid w:val="00D36C91"/>
    <w:rsid w:val="00D41871"/>
    <w:rsid w:val="00D45954"/>
    <w:rsid w:val="00D461C2"/>
    <w:rsid w:val="00D46AB3"/>
    <w:rsid w:val="00D5076B"/>
    <w:rsid w:val="00D61AAE"/>
    <w:rsid w:val="00D64B35"/>
    <w:rsid w:val="00D64CB8"/>
    <w:rsid w:val="00D67DAA"/>
    <w:rsid w:val="00D720AE"/>
    <w:rsid w:val="00D72FD8"/>
    <w:rsid w:val="00D80782"/>
    <w:rsid w:val="00D83336"/>
    <w:rsid w:val="00D864BF"/>
    <w:rsid w:val="00D877A7"/>
    <w:rsid w:val="00D92A45"/>
    <w:rsid w:val="00D939B6"/>
    <w:rsid w:val="00D95766"/>
    <w:rsid w:val="00D95942"/>
    <w:rsid w:val="00D9697A"/>
    <w:rsid w:val="00DA3023"/>
    <w:rsid w:val="00DA320F"/>
    <w:rsid w:val="00DA4C48"/>
    <w:rsid w:val="00DA727D"/>
    <w:rsid w:val="00DB53A7"/>
    <w:rsid w:val="00DC4CFC"/>
    <w:rsid w:val="00DC5324"/>
    <w:rsid w:val="00DD170F"/>
    <w:rsid w:val="00DE0532"/>
    <w:rsid w:val="00DE0A8A"/>
    <w:rsid w:val="00DF2F8B"/>
    <w:rsid w:val="00DF3F94"/>
    <w:rsid w:val="00DF6837"/>
    <w:rsid w:val="00DF68E4"/>
    <w:rsid w:val="00DF6E54"/>
    <w:rsid w:val="00E04228"/>
    <w:rsid w:val="00E04457"/>
    <w:rsid w:val="00E04BBC"/>
    <w:rsid w:val="00E10450"/>
    <w:rsid w:val="00E1478E"/>
    <w:rsid w:val="00E159D7"/>
    <w:rsid w:val="00E213AB"/>
    <w:rsid w:val="00E21653"/>
    <w:rsid w:val="00E21C9B"/>
    <w:rsid w:val="00E23191"/>
    <w:rsid w:val="00E2414E"/>
    <w:rsid w:val="00E26830"/>
    <w:rsid w:val="00E26FAF"/>
    <w:rsid w:val="00E27729"/>
    <w:rsid w:val="00E36857"/>
    <w:rsid w:val="00E3705B"/>
    <w:rsid w:val="00E40B36"/>
    <w:rsid w:val="00E51672"/>
    <w:rsid w:val="00E522FC"/>
    <w:rsid w:val="00E55EE5"/>
    <w:rsid w:val="00E56FFE"/>
    <w:rsid w:val="00E6140E"/>
    <w:rsid w:val="00E61784"/>
    <w:rsid w:val="00E625B3"/>
    <w:rsid w:val="00E64743"/>
    <w:rsid w:val="00E7257D"/>
    <w:rsid w:val="00E728CB"/>
    <w:rsid w:val="00E7336F"/>
    <w:rsid w:val="00E74F3B"/>
    <w:rsid w:val="00E76262"/>
    <w:rsid w:val="00E84A6B"/>
    <w:rsid w:val="00E8720D"/>
    <w:rsid w:val="00E875E0"/>
    <w:rsid w:val="00E9236D"/>
    <w:rsid w:val="00E92385"/>
    <w:rsid w:val="00E93F74"/>
    <w:rsid w:val="00E96DEA"/>
    <w:rsid w:val="00EA1585"/>
    <w:rsid w:val="00EA46C4"/>
    <w:rsid w:val="00EA48AE"/>
    <w:rsid w:val="00EA6781"/>
    <w:rsid w:val="00EB09E2"/>
    <w:rsid w:val="00EB29AA"/>
    <w:rsid w:val="00EB62FB"/>
    <w:rsid w:val="00EB74A5"/>
    <w:rsid w:val="00EE0126"/>
    <w:rsid w:val="00EE0C89"/>
    <w:rsid w:val="00EE2442"/>
    <w:rsid w:val="00EE47FE"/>
    <w:rsid w:val="00EE50C6"/>
    <w:rsid w:val="00EE5D41"/>
    <w:rsid w:val="00EE766D"/>
    <w:rsid w:val="00EF2A15"/>
    <w:rsid w:val="00EF5BFD"/>
    <w:rsid w:val="00EF7B33"/>
    <w:rsid w:val="00F00470"/>
    <w:rsid w:val="00F006A4"/>
    <w:rsid w:val="00F01C6F"/>
    <w:rsid w:val="00F0509B"/>
    <w:rsid w:val="00F06EE2"/>
    <w:rsid w:val="00F074DC"/>
    <w:rsid w:val="00F15632"/>
    <w:rsid w:val="00F16FB1"/>
    <w:rsid w:val="00F17535"/>
    <w:rsid w:val="00F20949"/>
    <w:rsid w:val="00F24F8F"/>
    <w:rsid w:val="00F27F3D"/>
    <w:rsid w:val="00F27F66"/>
    <w:rsid w:val="00F303B2"/>
    <w:rsid w:val="00F307E0"/>
    <w:rsid w:val="00F34D63"/>
    <w:rsid w:val="00F36318"/>
    <w:rsid w:val="00F45D7D"/>
    <w:rsid w:val="00F463EA"/>
    <w:rsid w:val="00F50121"/>
    <w:rsid w:val="00F53993"/>
    <w:rsid w:val="00F55113"/>
    <w:rsid w:val="00F55464"/>
    <w:rsid w:val="00F57F7A"/>
    <w:rsid w:val="00F62D33"/>
    <w:rsid w:val="00F64AB3"/>
    <w:rsid w:val="00F6570B"/>
    <w:rsid w:val="00F67615"/>
    <w:rsid w:val="00F76C98"/>
    <w:rsid w:val="00F8018C"/>
    <w:rsid w:val="00F804CD"/>
    <w:rsid w:val="00F80750"/>
    <w:rsid w:val="00F85F59"/>
    <w:rsid w:val="00F86538"/>
    <w:rsid w:val="00F86717"/>
    <w:rsid w:val="00F86DD4"/>
    <w:rsid w:val="00F8785C"/>
    <w:rsid w:val="00F95FA6"/>
    <w:rsid w:val="00F97C7A"/>
    <w:rsid w:val="00FA2909"/>
    <w:rsid w:val="00FA3CEC"/>
    <w:rsid w:val="00FB4CF2"/>
    <w:rsid w:val="00FC046C"/>
    <w:rsid w:val="00FC2A10"/>
    <w:rsid w:val="00FC4845"/>
    <w:rsid w:val="00FC6134"/>
    <w:rsid w:val="00FC6B03"/>
    <w:rsid w:val="00FD06D5"/>
    <w:rsid w:val="00FD28FF"/>
    <w:rsid w:val="00FD68A1"/>
    <w:rsid w:val="00FE3055"/>
    <w:rsid w:val="00FE419E"/>
    <w:rsid w:val="00FE523F"/>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E1B7F67"/>
  <w15:chartTrackingRefBased/>
  <w15:docId w15:val="{03C269CC-74F4-4620-8839-5734F40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locked="0" w:semiHidden="1" w:uiPriority="0" w:unhideWhenUsed="1" w:qFormat="1"/>
    <w:lsdException w:name="heading 5" w:locked="0" w:semiHidden="1" w:uiPriority="0"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iPriority="0"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2E50B5"/>
    <w:pPr>
      <w:numPr>
        <w:numId w:val="0"/>
      </w:numPr>
      <w:tabs>
        <w:tab w:val="left" w:pos="851"/>
        <w:tab w:val="right" w:pos="9027"/>
      </w:tabs>
      <w:spacing w:after="0"/>
      <w:ind w:left="851" w:hanging="851"/>
      <w:jc w:val="left"/>
    </w:pPr>
    <w:rPr>
      <w:rFonts w:ascii="Arial Bold" w:eastAsia="Times New Roman" w:hAnsi="Arial Bold" w:cs="Times New Roman"/>
      <w:b/>
      <w:caps/>
      <w:noProof/>
      <w:color w:val="auto"/>
      <w:sz w:val="20"/>
      <w:lang w:eastAsia="en-AU"/>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2E50B5"/>
    <w:pPr>
      <w:keepNext/>
      <w:numPr>
        <w:numId w:val="0"/>
      </w:numPr>
      <w:tabs>
        <w:tab w:val="right" w:leader="dot" w:pos="7700"/>
      </w:tabs>
      <w:spacing w:before="240" w:after="0"/>
      <w:ind w:right="851"/>
      <w:jc w:val="left"/>
    </w:pPr>
    <w:rPr>
      <w:rFonts w:ascii="Arial Bold" w:hAnsi="Arial Bold"/>
      <w:bCs/>
      <w:caps/>
      <w:noProof/>
      <w:sz w:val="20"/>
      <w:szCs w:val="20"/>
      <w:lang w:eastAsia="en-AU"/>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link w:val="TableHeadingChar"/>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SingleParagraph">
    <w:name w:val="Single Paragraph"/>
    <w:basedOn w:val="Normal"/>
    <w:rsid w:val="0008358A"/>
    <w:pPr>
      <w:numPr>
        <w:numId w:val="0"/>
      </w:numPr>
      <w:spacing w:after="0" w:line="260" w:lineRule="exact"/>
    </w:pPr>
    <w:rPr>
      <w:rFonts w:ascii="Book Antiqua" w:eastAsia="Times New Roman" w:hAnsi="Book Antiqua" w:cs="Times New Roman"/>
      <w:color w:val="auto"/>
      <w:sz w:val="20"/>
      <w:szCs w:val="20"/>
      <w:lang w:eastAsia="en-AU"/>
    </w:rPr>
  </w:style>
  <w:style w:type="paragraph" w:customStyle="1" w:styleId="Bullet">
    <w:name w:val="Bullet"/>
    <w:basedOn w:val="Normal"/>
    <w:link w:val="BulletChar"/>
    <w:rsid w:val="0008358A"/>
    <w:pPr>
      <w:numPr>
        <w:numId w:val="0"/>
      </w:numPr>
      <w:spacing w:line="260" w:lineRule="exact"/>
    </w:pPr>
    <w:rPr>
      <w:rFonts w:ascii="Book Antiqua" w:eastAsia="Times New Roman" w:hAnsi="Book Antiqua" w:cs="Times New Roman"/>
      <w:color w:val="auto"/>
      <w:sz w:val="20"/>
      <w:szCs w:val="20"/>
      <w:lang w:val="x-none" w:eastAsia="x-none"/>
    </w:rPr>
  </w:style>
  <w:style w:type="paragraph" w:customStyle="1" w:styleId="ChartandTableFootnoteAlpha">
    <w:name w:val="Chart and Table Footnote Alpha"/>
    <w:basedOn w:val="Normal"/>
    <w:next w:val="Normal"/>
    <w:rsid w:val="0008358A"/>
    <w:pPr>
      <w:numPr>
        <w:numId w:val="12"/>
      </w:numPr>
      <w:spacing w:after="0"/>
    </w:pPr>
    <w:rPr>
      <w:rFonts w:eastAsia="Times New Roman" w:cs="Times New Roman"/>
      <w:color w:val="auto"/>
      <w:sz w:val="16"/>
      <w:szCs w:val="20"/>
      <w:lang w:eastAsia="en-AU"/>
    </w:rPr>
  </w:style>
  <w:style w:type="paragraph" w:customStyle="1" w:styleId="ChartandTableFootnote">
    <w:name w:val="Chart and Table Footnote"/>
    <w:basedOn w:val="Normal"/>
    <w:next w:val="Normal"/>
    <w:link w:val="ChartandTableFootnoteChar"/>
    <w:rsid w:val="0008358A"/>
    <w:pPr>
      <w:numPr>
        <w:numId w:val="0"/>
      </w:numPr>
      <w:tabs>
        <w:tab w:val="left" w:pos="284"/>
      </w:tabs>
      <w:spacing w:after="0"/>
    </w:pPr>
    <w:rPr>
      <w:rFonts w:eastAsia="Times New Roman" w:cs="Times New Roman"/>
      <w:sz w:val="16"/>
      <w:szCs w:val="20"/>
      <w:lang w:val="x-none" w:eastAsia="x-none"/>
    </w:rPr>
  </w:style>
  <w:style w:type="paragraph" w:customStyle="1" w:styleId="ContentsHeading">
    <w:name w:val="Contents Heading"/>
    <w:basedOn w:val="Normal"/>
    <w:next w:val="Normal"/>
    <w:rsid w:val="0008358A"/>
    <w:pPr>
      <w:keepNext/>
      <w:numPr>
        <w:numId w:val="0"/>
      </w:numPr>
      <w:spacing w:after="600"/>
      <w:jc w:val="center"/>
    </w:pPr>
    <w:rPr>
      <w:rFonts w:eastAsia="Times New Roman" w:cs="Times New Roman"/>
      <w:b/>
      <w:smallCaps/>
      <w:color w:val="auto"/>
      <w:sz w:val="34"/>
      <w:szCs w:val="20"/>
      <w:lang w:eastAsia="en-AU"/>
    </w:rPr>
  </w:style>
  <w:style w:type="paragraph" w:customStyle="1" w:styleId="Classification">
    <w:name w:val="Classification"/>
    <w:basedOn w:val="Normal"/>
    <w:rsid w:val="0008358A"/>
    <w:pPr>
      <w:keepNext/>
      <w:numPr>
        <w:numId w:val="0"/>
      </w:numPr>
      <w:spacing w:after="0"/>
      <w:jc w:val="center"/>
    </w:pPr>
    <w:rPr>
      <w:rFonts w:eastAsia="Times New Roman" w:cs="Times New Roman"/>
      <w:b/>
      <w:smallCaps/>
      <w:color w:val="auto"/>
      <w:sz w:val="24"/>
      <w:szCs w:val="20"/>
      <w:lang w:eastAsia="en-AU"/>
    </w:rPr>
  </w:style>
  <w:style w:type="paragraph" w:customStyle="1" w:styleId="TableGraphic">
    <w:name w:val="Table Graphic"/>
    <w:basedOn w:val="Normal"/>
    <w:next w:val="Normal"/>
    <w:rsid w:val="0008358A"/>
    <w:pPr>
      <w:numPr>
        <w:numId w:val="0"/>
      </w:numPr>
      <w:spacing w:after="0"/>
      <w:ind w:right="-113"/>
    </w:pPr>
    <w:rPr>
      <w:rFonts w:ascii="Book Antiqua" w:eastAsia="Times New Roman" w:hAnsi="Book Antiqua" w:cs="Times New Roman"/>
      <w:color w:val="auto"/>
      <w:sz w:val="20"/>
      <w:szCs w:val="20"/>
      <w:lang w:eastAsia="en-AU"/>
    </w:rPr>
  </w:style>
  <w:style w:type="paragraph" w:customStyle="1" w:styleId="Source">
    <w:name w:val="Source"/>
    <w:basedOn w:val="Normal"/>
    <w:rsid w:val="0008358A"/>
    <w:pPr>
      <w:numPr>
        <w:numId w:val="0"/>
      </w:numPr>
      <w:tabs>
        <w:tab w:val="left" w:pos="284"/>
      </w:tabs>
      <w:spacing w:after="0"/>
    </w:pPr>
    <w:rPr>
      <w:rFonts w:eastAsia="Times New Roman" w:cs="Times New Roman"/>
      <w:color w:val="auto"/>
      <w:sz w:val="16"/>
      <w:szCs w:val="20"/>
      <w:lang w:eastAsia="en-AU"/>
    </w:rPr>
  </w:style>
  <w:style w:type="paragraph" w:customStyle="1" w:styleId="TableColumnHeadingLeft">
    <w:name w:val="Table Column Heading Left"/>
    <w:basedOn w:val="Normal"/>
    <w:next w:val="Normal"/>
    <w:rsid w:val="0008358A"/>
    <w:pPr>
      <w:numPr>
        <w:numId w:val="0"/>
      </w:numPr>
      <w:spacing w:before="60" w:after="60"/>
      <w:jc w:val="left"/>
    </w:pPr>
    <w:rPr>
      <w:rFonts w:eastAsia="Times New Roman" w:cs="Times New Roman"/>
      <w:b/>
      <w:color w:val="auto"/>
      <w:sz w:val="20"/>
      <w:szCs w:val="20"/>
      <w:lang w:eastAsia="en-AU"/>
    </w:rPr>
  </w:style>
  <w:style w:type="paragraph" w:customStyle="1" w:styleId="Exampletextbullet">
    <w:name w:val="Example text bullet"/>
    <w:basedOn w:val="Normal"/>
    <w:semiHidden/>
    <w:rsid w:val="0008358A"/>
    <w:pPr>
      <w:numPr>
        <w:numId w:val="13"/>
      </w:numPr>
      <w:spacing w:line="260" w:lineRule="exact"/>
    </w:pPr>
    <w:rPr>
      <w:rFonts w:ascii="Book Antiqua" w:eastAsia="Times New Roman" w:hAnsi="Book Antiqua" w:cs="Times New Roman"/>
      <w:i/>
      <w:color w:val="FF0000"/>
      <w:sz w:val="20"/>
      <w:szCs w:val="20"/>
      <w:lang w:val="x-none" w:eastAsia="x-none"/>
    </w:rPr>
  </w:style>
  <w:style w:type="paragraph" w:customStyle="1" w:styleId="TableHeadingcontinued">
    <w:name w:val="Table Heading continued"/>
    <w:basedOn w:val="Normal"/>
    <w:next w:val="TableGraphic"/>
    <w:rsid w:val="0008358A"/>
    <w:pPr>
      <w:keepNext/>
      <w:numPr>
        <w:numId w:val="0"/>
      </w:numPr>
      <w:spacing w:after="20"/>
      <w:jc w:val="left"/>
    </w:pPr>
    <w:rPr>
      <w:rFonts w:ascii="Arial Bold" w:eastAsia="Times New Roman" w:hAnsi="Arial Bold" w:cs="Times New Roman"/>
      <w:b/>
      <w:color w:val="auto"/>
      <w:sz w:val="20"/>
      <w:szCs w:val="20"/>
      <w:lang w:eastAsia="en-AU"/>
    </w:rPr>
  </w:style>
  <w:style w:type="paragraph" w:customStyle="1" w:styleId="HeaderEven">
    <w:name w:val="Header Even"/>
    <w:basedOn w:val="Normal"/>
    <w:rsid w:val="0008358A"/>
    <w:pPr>
      <w:numPr>
        <w:numId w:val="0"/>
      </w:numPr>
      <w:spacing w:after="0"/>
      <w:jc w:val="left"/>
    </w:pPr>
    <w:rPr>
      <w:rFonts w:ascii="Book Antiqua" w:eastAsia="Times New Roman" w:hAnsi="Book Antiqua" w:cs="Times New Roman"/>
      <w:i/>
      <w:color w:val="auto"/>
      <w:sz w:val="20"/>
      <w:szCs w:val="20"/>
      <w:lang w:eastAsia="en-AU"/>
    </w:rPr>
  </w:style>
  <w:style w:type="paragraph" w:customStyle="1" w:styleId="HeaderOdd">
    <w:name w:val="Header Odd"/>
    <w:basedOn w:val="Normal"/>
    <w:rsid w:val="0008358A"/>
    <w:pPr>
      <w:numPr>
        <w:numId w:val="0"/>
      </w:numPr>
      <w:spacing w:after="0"/>
      <w:jc w:val="right"/>
    </w:pPr>
    <w:rPr>
      <w:rFonts w:ascii="Book Antiqua" w:eastAsia="Times New Roman" w:hAnsi="Book Antiqua" w:cs="Times New Roman"/>
      <w:i/>
      <w:color w:val="auto"/>
      <w:sz w:val="20"/>
      <w:szCs w:val="20"/>
      <w:lang w:eastAsia="en-AU"/>
    </w:rPr>
  </w:style>
  <w:style w:type="paragraph" w:customStyle="1" w:styleId="TableHeadingNoTable">
    <w:name w:val="Table Heading No Table"/>
    <w:basedOn w:val="TableHeading"/>
    <w:next w:val="Normal"/>
    <w:rsid w:val="0008358A"/>
    <w:pPr>
      <w:spacing w:before="0" w:after="240"/>
      <w:jc w:val="left"/>
    </w:pPr>
    <w:rPr>
      <w:rFonts w:eastAsia="Times New Roman" w:cs="Times New Roman"/>
      <w:i w:val="0"/>
      <w:sz w:val="20"/>
      <w:szCs w:val="20"/>
      <w:lang w:val="x-none" w:eastAsia="x-none"/>
    </w:rPr>
  </w:style>
  <w:style w:type="paragraph" w:customStyle="1" w:styleId="Exampletextdash">
    <w:name w:val="Example text dash"/>
    <w:basedOn w:val="Exampletextbullet"/>
    <w:semiHidden/>
    <w:rsid w:val="0008358A"/>
    <w:pPr>
      <w:numPr>
        <w:ilvl w:val="1"/>
      </w:numPr>
    </w:pPr>
  </w:style>
  <w:style w:type="character" w:customStyle="1" w:styleId="TableHeadingChar">
    <w:name w:val="Table Heading Char"/>
    <w:link w:val="TableHeading"/>
    <w:rsid w:val="0008358A"/>
    <w:rPr>
      <w:b/>
      <w:i/>
    </w:rPr>
  </w:style>
  <w:style w:type="character" w:customStyle="1" w:styleId="ChartandTableFootnoteChar">
    <w:name w:val="Chart and Table Footnote Char"/>
    <w:link w:val="ChartandTableFootnote"/>
    <w:rsid w:val="0008358A"/>
    <w:rPr>
      <w:rFonts w:eastAsia="Times New Roman" w:cs="Times New Roman"/>
      <w:sz w:val="16"/>
      <w:szCs w:val="20"/>
      <w:lang w:val="x-none" w:eastAsia="x-none"/>
    </w:rPr>
  </w:style>
  <w:style w:type="character" w:customStyle="1" w:styleId="BulletChar">
    <w:name w:val="Bullet Char"/>
    <w:link w:val="Bullet"/>
    <w:rsid w:val="0008358A"/>
    <w:rPr>
      <w:rFonts w:ascii="Book Antiqua" w:eastAsia="Times New Roman" w:hAnsi="Book Antiqua" w:cs="Times New Roman"/>
      <w:color w:val="auto"/>
      <w:sz w:val="20"/>
      <w:szCs w:val="20"/>
      <w:lang w:val="x-none" w:eastAsia="x-none"/>
    </w:rPr>
  </w:style>
  <w:style w:type="paragraph" w:customStyle="1" w:styleId="SecurityClassificationHeader">
    <w:name w:val="Security Classification Header"/>
    <w:link w:val="SecurityClassificationHeaderChar"/>
    <w:rsid w:val="0008358A"/>
    <w:pPr>
      <w:spacing w:before="240" w:after="60"/>
      <w:jc w:val="center"/>
    </w:pPr>
    <w:rPr>
      <w:rFonts w:ascii="Calibri" w:eastAsia="Times New Roman" w:hAnsi="Calibri" w:cs="Times New Roman"/>
      <w:b/>
      <w:i/>
      <w:caps/>
      <w:color w:val="auto"/>
      <w:sz w:val="24"/>
      <w:szCs w:val="20"/>
      <w:lang w:eastAsia="en-AU"/>
    </w:rPr>
  </w:style>
  <w:style w:type="character" w:customStyle="1" w:styleId="SecurityClassificationHeaderChar">
    <w:name w:val="Security Classification Header Char"/>
    <w:link w:val="SecurityClassificationHeader"/>
    <w:rsid w:val="0008358A"/>
    <w:rPr>
      <w:rFonts w:ascii="Calibri" w:eastAsia="Times New Roman" w:hAnsi="Calibri" w:cs="Times New Roman"/>
      <w:b/>
      <w:i/>
      <w:caps/>
      <w:color w:val="auto"/>
      <w:sz w:val="24"/>
      <w:szCs w:val="20"/>
      <w:lang w:eastAsia="en-AU"/>
    </w:rPr>
  </w:style>
  <w:style w:type="paragraph" w:customStyle="1" w:styleId="DLMSecurityHeader">
    <w:name w:val="DLM Security Header"/>
    <w:link w:val="DLMSecurityHeaderChar"/>
    <w:rsid w:val="0008358A"/>
    <w:pPr>
      <w:spacing w:before="60"/>
      <w:jc w:val="center"/>
    </w:pPr>
    <w:rPr>
      <w:rFonts w:ascii="Calibri" w:eastAsia="Times New Roman" w:hAnsi="Calibri" w:cs="Times New Roman"/>
      <w:b/>
      <w:i/>
      <w:caps/>
      <w:color w:val="auto"/>
      <w:sz w:val="24"/>
      <w:szCs w:val="20"/>
      <w:lang w:eastAsia="en-AU"/>
    </w:rPr>
  </w:style>
  <w:style w:type="character" w:customStyle="1" w:styleId="DLMSecurityHeaderChar">
    <w:name w:val="DLM Security Header Char"/>
    <w:link w:val="DLMSecurityHeader"/>
    <w:rsid w:val="0008358A"/>
    <w:rPr>
      <w:rFonts w:ascii="Calibri" w:eastAsia="Times New Roman" w:hAnsi="Calibri" w:cs="Times New Roman"/>
      <w:b/>
      <w:i/>
      <w:caps/>
      <w:color w:val="auto"/>
      <w:sz w:val="24"/>
      <w:szCs w:val="20"/>
      <w:lang w:eastAsia="en-AU"/>
    </w:rPr>
  </w:style>
  <w:style w:type="paragraph" w:customStyle="1" w:styleId="Default">
    <w:name w:val="Default"/>
    <w:rsid w:val="00C96D95"/>
    <w:pPr>
      <w:autoSpaceDE w:val="0"/>
      <w:autoSpaceDN w:val="0"/>
      <w:adjustRightInd w:val="0"/>
      <w:spacing w:after="0"/>
      <w:jc w:val="left"/>
    </w:pPr>
    <w:rPr>
      <w:rFonts w:ascii="DIN OT Light" w:hAnsi="DIN OT Light" w:cs="DIN OT Light"/>
      <w:sz w:val="24"/>
      <w:szCs w:val="24"/>
    </w:rPr>
  </w:style>
  <w:style w:type="character" w:customStyle="1" w:styleId="FramedHeader">
    <w:name w:val="Framed Header"/>
    <w:rsid w:val="00F50121"/>
    <w:rPr>
      <w:rFonts w:ascii="Book Antiqua" w:hAnsi="Book Antiqua"/>
      <w:i/>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20558468">
      <w:bodyDiv w:val="1"/>
      <w:marLeft w:val="0"/>
      <w:marRight w:val="0"/>
      <w:marTop w:val="0"/>
      <w:marBottom w:val="0"/>
      <w:divBdr>
        <w:top w:val="none" w:sz="0" w:space="0" w:color="auto"/>
        <w:left w:val="none" w:sz="0" w:space="0" w:color="auto"/>
        <w:bottom w:val="none" w:sz="0" w:space="0" w:color="auto"/>
        <w:right w:val="none" w:sz="0" w:space="0" w:color="auto"/>
      </w:divBdr>
    </w:div>
    <w:div w:id="541207405">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72517467">
      <w:bodyDiv w:val="1"/>
      <w:marLeft w:val="0"/>
      <w:marRight w:val="0"/>
      <w:marTop w:val="0"/>
      <w:marBottom w:val="0"/>
      <w:divBdr>
        <w:top w:val="none" w:sz="0" w:space="0" w:color="auto"/>
        <w:left w:val="none" w:sz="0" w:space="0" w:color="auto"/>
        <w:bottom w:val="none" w:sz="0" w:space="0" w:color="auto"/>
        <w:right w:val="none" w:sz="0" w:space="0" w:color="auto"/>
      </w:divBdr>
    </w:div>
    <w:div w:id="1197086615">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2057728855">
      <w:bodyDiv w:val="1"/>
      <w:marLeft w:val="0"/>
      <w:marRight w:val="0"/>
      <w:marTop w:val="0"/>
      <w:marBottom w:val="0"/>
      <w:divBdr>
        <w:top w:val="none" w:sz="0" w:space="0" w:color="auto"/>
        <w:left w:val="none" w:sz="0" w:space="0" w:color="auto"/>
        <w:bottom w:val="none" w:sz="0" w:space="0" w:color="auto"/>
        <w:right w:val="none" w:sz="0" w:space="0" w:color="auto"/>
      </w:divBdr>
    </w:div>
    <w:div w:id="21312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apra.gov.au/news-and-publications/apra-annual-reports"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pra.gov.au/news-and-publications/apra-2020-2024-corporate-plan" TargetMode="Externa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7731" ma:contentTypeDescription="" ma:contentTypeScope="" ma:versionID="67e7fa359fc7929add1d1575c8f6917f">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78</Value>
    </TaxCatchAll>
    <_dlc_DocId xmlns="0f563589-9cf9-4143-b1eb-fb0534803d38">2021CSSG-1276-21054</_dlc_DocId>
    <_dlc_DocIdUrl xmlns="0f563589-9cf9-4143-b1eb-fb0534803d38">
      <Url>http://tweb/sites/cssg/ffmd/frbu/_layouts/15/DocIdRedir.aspx?ID=2021CSSG-1276-21054</Url>
      <Description>2021CSSG-1276-21054</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6BF917E-A245-447A-ACC8-CF7DA14CC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DF0E2-937F-4514-A13E-F322CCB3A4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eb47d8b7-fefc-4923-b53c-9685ba6b7210"/>
    <ds:schemaRef ds:uri="http://www.w3.org/XML/1998/namespace"/>
    <ds:schemaRef ds:uri="http://purl.org/dc/dcmitype/"/>
  </ds:schemaRefs>
</ds:datastoreItem>
</file>

<file path=customXml/itemProps3.xml><?xml version="1.0" encoding="utf-8"?>
<ds:datastoreItem xmlns:ds="http://schemas.openxmlformats.org/officeDocument/2006/customXml" ds:itemID="{21DA0DEF-203B-4402-8627-B730CAD279D0}">
  <ds:schemaRefs>
    <ds:schemaRef ds:uri="http://schemas.openxmlformats.org/officeDocument/2006/bibliography"/>
  </ds:schemaRefs>
</ds:datastoreItem>
</file>

<file path=customXml/itemProps4.xml><?xml version="1.0" encoding="utf-8"?>
<ds:datastoreItem xmlns:ds="http://schemas.openxmlformats.org/officeDocument/2006/customXml" ds:itemID="{9CA30F48-CBDF-4128-AE0E-65945084D381}">
  <ds:schemaRefs>
    <ds:schemaRef ds:uri="http://schemas.microsoft.com/sharepoint/v3/contenttype/forms"/>
  </ds:schemaRefs>
</ds:datastoreItem>
</file>

<file path=customXml/itemProps5.xml><?xml version="1.0" encoding="utf-8"?>
<ds:datastoreItem xmlns:ds="http://schemas.openxmlformats.org/officeDocument/2006/customXml" ds:itemID="{35BE4AAB-926E-411B-9BF8-209BC65300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23</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Treasury Portfolio Parliamentary Budget Statement</vt:lpstr>
    </vt:vector>
  </TitlesOfParts>
  <Company>APRA</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Portfolio Parliamentary Budget Statement</dc:title>
  <dc:subject>Budget</dc:subject>
  <dc:creator>Australian Government</dc:creator>
  <cp:keywords/>
  <dc:description/>
  <cp:lastModifiedBy>Moore, Ben</cp:lastModifiedBy>
  <cp:revision>52</cp:revision>
  <cp:lastPrinted>2021-05-12T00:05:00Z</cp:lastPrinted>
  <dcterms:created xsi:type="dcterms:W3CDTF">2021-05-03T01:11:00Z</dcterms:created>
  <dcterms:modified xsi:type="dcterms:W3CDTF">2021-05-12T01:07:00Z</dcterms:modified>
  <cp:category/>
</cp:coreProperties>
</file>