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47B94" w14:textId="10BE45F3" w:rsidR="00F012EA" w:rsidRPr="00DD5DF9" w:rsidRDefault="0095241E" w:rsidP="0077408A">
      <w:pPr>
        <w:pStyle w:val="Title"/>
      </w:pPr>
      <w:r>
        <w:t>Product M</w:t>
      </w:r>
      <w:r w:rsidR="00D62E3D">
        <w:t>a</w:t>
      </w:r>
      <w:r>
        <w:t xml:space="preserve">rket Power and its Implications for the </w:t>
      </w:r>
      <w:r w:rsidR="009745FB">
        <w:t>Australian</w:t>
      </w:r>
      <w:r>
        <w:t xml:space="preserve"> Economy</w:t>
      </w:r>
      <w:r w:rsidR="00511488">
        <w:t xml:space="preserve"> </w:t>
      </w:r>
    </w:p>
    <w:p w14:paraId="2E75ADB1" w14:textId="4BAF4888" w:rsidR="00F012EA" w:rsidRDefault="0095241E" w:rsidP="00F012EA">
      <w:pPr>
        <w:pStyle w:val="AuthorName"/>
        <w:rPr>
          <w:szCs w:val="24"/>
        </w:rPr>
      </w:pPr>
      <w:r>
        <w:rPr>
          <w:szCs w:val="24"/>
        </w:rPr>
        <w:t>Jonathan Hambur</w:t>
      </w:r>
      <w:r w:rsidR="00F012EA" w:rsidRPr="00F21A41">
        <w:rPr>
          <w:rStyle w:val="FootnoteReference"/>
          <w:szCs w:val="24"/>
        </w:rPr>
        <w:footnoteReference w:id="2"/>
      </w:r>
    </w:p>
    <w:p w14:paraId="7395195E"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39FB2296" w14:textId="6A480F4B" w:rsidR="00F012EA" w:rsidRPr="00F8009C" w:rsidRDefault="00F012EA" w:rsidP="00524D23">
      <w:pPr>
        <w:pStyle w:val="Subtitle"/>
        <w:rPr>
          <w:szCs w:val="36"/>
        </w:rPr>
      </w:pPr>
      <w:r w:rsidRPr="005D3856">
        <w:rPr>
          <w:szCs w:val="36"/>
        </w:rPr>
        <w:t>20</w:t>
      </w:r>
      <w:r w:rsidR="0095241E" w:rsidRPr="005D3856">
        <w:rPr>
          <w:szCs w:val="36"/>
        </w:rPr>
        <w:t>2</w:t>
      </w:r>
      <w:r w:rsidR="00BD4483" w:rsidRPr="005D3856">
        <w:rPr>
          <w:szCs w:val="36"/>
        </w:rPr>
        <w:t>1</w:t>
      </w:r>
      <w:r w:rsidR="00252C43" w:rsidRPr="005D3856">
        <w:rPr>
          <w:szCs w:val="36"/>
        </w:rPr>
        <w:noBreakHyphen/>
        <w:t>0</w:t>
      </w:r>
      <w:r w:rsidR="00BD4483" w:rsidRPr="005D3856">
        <w:rPr>
          <w:szCs w:val="36"/>
        </w:rPr>
        <w:t>3</w:t>
      </w:r>
    </w:p>
    <w:p w14:paraId="726A9CA5" w14:textId="6554BC1E" w:rsidR="00F012EA" w:rsidRDefault="00F012EA" w:rsidP="00F012EA">
      <w:pPr>
        <w:pStyle w:val="SeriesNumber"/>
        <w:spacing w:before="120" w:after="120"/>
        <w:rPr>
          <w:sz w:val="24"/>
          <w:szCs w:val="24"/>
        </w:rPr>
      </w:pPr>
      <w:r w:rsidRPr="0018497C">
        <w:rPr>
          <w:sz w:val="24"/>
          <w:szCs w:val="24"/>
        </w:rPr>
        <w:t xml:space="preserve">Date </w:t>
      </w:r>
      <w:r w:rsidRPr="00BD4483">
        <w:rPr>
          <w:sz w:val="24"/>
          <w:szCs w:val="24"/>
        </w:rPr>
        <w:t>created:</w:t>
      </w:r>
      <w:r w:rsidR="00BD4483">
        <w:rPr>
          <w:sz w:val="24"/>
          <w:szCs w:val="24"/>
        </w:rPr>
        <w:t xml:space="preserve"> June 2021</w:t>
      </w:r>
      <w:r w:rsidRPr="00BD4483">
        <w:rPr>
          <w:sz w:val="24"/>
          <w:szCs w:val="24"/>
        </w:rPr>
        <w:t xml:space="preserve"> </w:t>
      </w:r>
    </w:p>
    <w:p w14:paraId="7F086311" w14:textId="77777777" w:rsidR="000464B6" w:rsidRDefault="000464B6" w:rsidP="00F012EA">
      <w:pPr>
        <w:pStyle w:val="AuthorName"/>
        <w:rPr>
          <w:szCs w:val="24"/>
        </w:rPr>
        <w:sectPr w:rsidR="000464B6" w:rsidSect="008C0793">
          <w:headerReference w:type="even" r:id="rId13"/>
          <w:headerReference w:type="default" r:id="rId14"/>
          <w:footerReference w:type="even" r:id="rId15"/>
          <w:footerReference w:type="default" r:id="rId16"/>
          <w:headerReference w:type="first" r:id="rId17"/>
          <w:pgSz w:w="11906" w:h="16838" w:code="9"/>
          <w:pgMar w:top="1418" w:right="1304" w:bottom="1418" w:left="1304" w:header="567" w:footer="567" w:gutter="0"/>
          <w:cols w:space="708"/>
          <w:titlePg/>
          <w:docGrid w:linePitch="360"/>
        </w:sectPr>
      </w:pPr>
    </w:p>
    <w:p w14:paraId="7FCD9090" w14:textId="1B9132CF" w:rsidR="000464B6" w:rsidRDefault="000464B6" w:rsidP="000464B6">
      <w:r w:rsidRPr="00661BF0">
        <w:lastRenderedPageBreak/>
        <w:t xml:space="preserve">© </w:t>
      </w:r>
      <w:r w:rsidRPr="007718AC">
        <w:t>Commonwealth of Australia 20</w:t>
      </w:r>
      <w:r w:rsidR="0095241E">
        <w:t>20</w:t>
      </w:r>
    </w:p>
    <w:p w14:paraId="2C56EB38" w14:textId="71537B96" w:rsidR="00252C43" w:rsidRDefault="00252C43" w:rsidP="000464B6">
      <w:r>
        <w:t xml:space="preserve">ISBN: </w:t>
      </w:r>
      <w:r w:rsidRPr="00252C43">
        <w:t>978-1-925832-22-8</w:t>
      </w:r>
    </w:p>
    <w:p w14:paraId="0C2FDB3A" w14:textId="3AC6CD43"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9"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22F9FDBD"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51BBF14C" wp14:editId="3224C940">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B8801F1" w14:textId="77BD5DEA"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5BBF62ED" w14:textId="5BC8C110" w:rsidR="000464B6" w:rsidRPr="002F1BC2" w:rsidRDefault="000464B6" w:rsidP="000464B6">
      <w:pPr>
        <w:rPr>
          <w:i/>
        </w:rPr>
      </w:pPr>
      <w:r w:rsidRPr="002F1BC2">
        <w:rPr>
          <w:i/>
        </w:rPr>
        <w:t xml:space="preserve">Treasury material used </w:t>
      </w:r>
      <w:r w:rsidR="00252C43">
        <w:rPr>
          <w:i/>
        </w:rPr>
        <w:t>‘</w:t>
      </w:r>
      <w:r w:rsidRPr="002F1BC2">
        <w:rPr>
          <w:i/>
        </w:rPr>
        <w:t>as supplied</w:t>
      </w:r>
      <w:r w:rsidR="00252C43">
        <w:rPr>
          <w:i/>
        </w:rPr>
        <w:t>’</w:t>
      </w:r>
    </w:p>
    <w:p w14:paraId="5842F8FC"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C56C20D"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475F32C8" w14:textId="77777777" w:rsidR="000464B6" w:rsidRPr="006627B4" w:rsidRDefault="000464B6" w:rsidP="000464B6">
      <w:r w:rsidRPr="006627B4">
        <w:t>Derivative material</w:t>
      </w:r>
    </w:p>
    <w:p w14:paraId="2A2BF621"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738E10CC" w14:textId="77777777" w:rsidR="000464B6" w:rsidRPr="006627B4" w:rsidRDefault="000464B6" w:rsidP="000464B6">
      <w:pPr>
        <w:ind w:firstLine="720"/>
      </w:pPr>
      <w:r w:rsidRPr="002F1BC2">
        <w:rPr>
          <w:i/>
        </w:rPr>
        <w:t>Based on The Australian Government the Treasury data</w:t>
      </w:r>
    </w:p>
    <w:p w14:paraId="2C2766E2" w14:textId="77777777" w:rsidR="000464B6" w:rsidRPr="006627B4" w:rsidRDefault="000464B6" w:rsidP="000464B6">
      <w:pPr>
        <w:spacing w:after="40"/>
        <w:rPr>
          <w:b/>
        </w:rPr>
      </w:pPr>
      <w:r w:rsidRPr="006627B4">
        <w:rPr>
          <w:b/>
        </w:rPr>
        <w:t>Use of the Coat of Arms</w:t>
      </w:r>
    </w:p>
    <w:p w14:paraId="7EA2C0D8" w14:textId="3CD3CA4A"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2" w:history="1">
        <w:r w:rsidRPr="005A283B">
          <w:rPr>
            <w:rStyle w:val="Hyperlink"/>
          </w:rPr>
          <w:t>www.pmc.gov.au/government/commonwealth</w:t>
        </w:r>
        <w:r w:rsidR="00252C43">
          <w:rPr>
            <w:rStyle w:val="Hyperlink"/>
          </w:rPr>
          <w:noBreakHyphen/>
        </w:r>
        <w:r w:rsidRPr="005A283B">
          <w:rPr>
            <w:rStyle w:val="Hyperlink"/>
          </w:rPr>
          <w:t>coat</w:t>
        </w:r>
        <w:r w:rsidR="00252C43">
          <w:rPr>
            <w:rStyle w:val="Hyperlink"/>
          </w:rPr>
          <w:noBreakHyphen/>
        </w:r>
        <w:r w:rsidRPr="005A283B">
          <w:rPr>
            <w:rStyle w:val="Hyperlink"/>
          </w:rPr>
          <w:t>arms</w:t>
        </w:r>
      </w:hyperlink>
      <w:r w:rsidRPr="00A40BA2">
        <w:t>).</w:t>
      </w:r>
    </w:p>
    <w:p w14:paraId="44CD0904" w14:textId="77777777" w:rsidR="000464B6" w:rsidRPr="006627B4" w:rsidRDefault="00A57848" w:rsidP="000464B6">
      <w:pPr>
        <w:spacing w:after="40"/>
        <w:rPr>
          <w:b/>
        </w:rPr>
      </w:pPr>
      <w:r>
        <w:rPr>
          <w:b/>
        </w:rPr>
        <w:t>Other u</w:t>
      </w:r>
      <w:r w:rsidR="000464B6" w:rsidRPr="006627B4">
        <w:rPr>
          <w:b/>
        </w:rPr>
        <w:t>ses</w:t>
      </w:r>
    </w:p>
    <w:p w14:paraId="08DFC3AF" w14:textId="77777777" w:rsidR="000464B6" w:rsidRPr="006627B4" w:rsidRDefault="00A57848" w:rsidP="00A57848">
      <w:pPr>
        <w:spacing w:after="120"/>
      </w:pPr>
      <w:r>
        <w:t>E</w:t>
      </w:r>
      <w:r w:rsidR="000464B6" w:rsidRPr="006627B4">
        <w:t>nquiries regarding this licence and any other use of this document are welcome at:</w:t>
      </w:r>
    </w:p>
    <w:p w14:paraId="0B62D344" w14:textId="77777777" w:rsidR="000464B6" w:rsidRPr="006627B4" w:rsidRDefault="000464B6" w:rsidP="000464B6">
      <w:pPr>
        <w:spacing w:after="0"/>
        <w:ind w:left="720"/>
      </w:pPr>
      <w:r w:rsidRPr="006627B4">
        <w:t>Manager</w:t>
      </w:r>
    </w:p>
    <w:p w14:paraId="694F7E24" w14:textId="77777777" w:rsidR="000464B6" w:rsidRPr="006627B4" w:rsidRDefault="00A57848" w:rsidP="000464B6">
      <w:pPr>
        <w:spacing w:after="0"/>
        <w:ind w:left="720"/>
      </w:pPr>
      <w:r>
        <w:t>Media Unit</w:t>
      </w:r>
    </w:p>
    <w:p w14:paraId="29A70BE3" w14:textId="77777777" w:rsidR="000464B6" w:rsidRPr="006627B4" w:rsidRDefault="000464B6" w:rsidP="000464B6">
      <w:pPr>
        <w:spacing w:after="0"/>
        <w:ind w:left="720"/>
      </w:pPr>
      <w:r w:rsidRPr="006627B4">
        <w:t>The Treasury</w:t>
      </w:r>
    </w:p>
    <w:p w14:paraId="087FD105" w14:textId="77777777" w:rsidR="000464B6" w:rsidRPr="006627B4" w:rsidRDefault="000464B6" w:rsidP="000464B6">
      <w:pPr>
        <w:spacing w:after="0"/>
        <w:ind w:left="720"/>
      </w:pPr>
      <w:r w:rsidRPr="006627B4">
        <w:t xml:space="preserve">Langton Crescent </w:t>
      </w:r>
      <w:r w:rsidR="00A57848">
        <w:br/>
      </w:r>
      <w:r w:rsidRPr="006627B4">
        <w:t>Parkes ACT 2600</w:t>
      </w:r>
    </w:p>
    <w:p w14:paraId="2A826038" w14:textId="45331034" w:rsidR="000464B6" w:rsidRDefault="000464B6" w:rsidP="000464B6">
      <w:pPr>
        <w:spacing w:after="0"/>
        <w:ind w:left="720"/>
        <w:rPr>
          <w:rStyle w:val="Hyperlink"/>
        </w:rPr>
      </w:pPr>
      <w:r w:rsidRPr="006627B4">
        <w:t xml:space="preserve">Email: </w:t>
      </w:r>
      <w:hyperlink r:id="rId23" w:history="1">
        <w:r w:rsidR="00252C43">
          <w:rPr>
            <w:rStyle w:val="Hyperlink"/>
          </w:rPr>
          <w:t>media@treasury.gov.au</w:t>
        </w:r>
      </w:hyperlink>
      <w:r w:rsidRPr="002F1BC2">
        <w:rPr>
          <w:rStyle w:val="Hyperlink"/>
        </w:rPr>
        <w:t xml:space="preserve"> </w:t>
      </w:r>
    </w:p>
    <w:p w14:paraId="66B20F0C" w14:textId="77777777" w:rsidR="000464B6" w:rsidRPr="000464B6" w:rsidRDefault="000464B6" w:rsidP="000464B6"/>
    <w:p w14:paraId="57F81CDE" w14:textId="77777777" w:rsidR="000464B6" w:rsidRDefault="000464B6" w:rsidP="000464B6">
      <w:pPr>
        <w:spacing w:after="0"/>
        <w:ind w:left="720"/>
        <w:rPr>
          <w:rStyle w:val="Hyperlink"/>
        </w:rPr>
        <w:sectPr w:rsidR="000464B6" w:rsidSect="008C0793">
          <w:headerReference w:type="even" r:id="rId24"/>
          <w:headerReference w:type="default" r:id="rId25"/>
          <w:headerReference w:type="first" r:id="rId26"/>
          <w:pgSz w:w="11906" w:h="16838" w:code="9"/>
          <w:pgMar w:top="1418" w:right="1304" w:bottom="1418" w:left="1304" w:header="567" w:footer="567" w:gutter="0"/>
          <w:cols w:space="708"/>
          <w:titlePg/>
          <w:docGrid w:linePitch="360"/>
        </w:sectPr>
      </w:pPr>
    </w:p>
    <w:p w14:paraId="647864DC" w14:textId="7897A00D" w:rsidR="00F012EA" w:rsidRDefault="0095241E" w:rsidP="00F012EA">
      <w:pPr>
        <w:pStyle w:val="SingleParagraph"/>
      </w:pPr>
      <w:r>
        <w:lastRenderedPageBreak/>
        <w:t>Product Market Power and its Implications for the Australian Economy</w:t>
      </w:r>
    </w:p>
    <w:p w14:paraId="79C2418E" w14:textId="6319D5E3" w:rsidR="00F012EA" w:rsidRDefault="0095241E" w:rsidP="00F012EA">
      <w:pPr>
        <w:pStyle w:val="SingleParagraph"/>
      </w:pPr>
      <w:r>
        <w:t>Jon</w:t>
      </w:r>
      <w:r w:rsidR="00862E71">
        <w:t>a</w:t>
      </w:r>
      <w:r>
        <w:t>than Hambur</w:t>
      </w:r>
    </w:p>
    <w:p w14:paraId="2C59EB89" w14:textId="180C7939" w:rsidR="00F012EA" w:rsidRPr="00BD4483" w:rsidRDefault="00BD4483" w:rsidP="00BD4483">
      <w:pPr>
        <w:pStyle w:val="SingleParagraph"/>
      </w:pPr>
      <w:r w:rsidRPr="005D3856">
        <w:t>2021-03</w:t>
      </w:r>
    </w:p>
    <w:p w14:paraId="10AD9F7E" w14:textId="2C34A667" w:rsidR="005559A2" w:rsidRDefault="00BD4483" w:rsidP="00BD4483">
      <w:pPr>
        <w:pStyle w:val="SingleParagraph"/>
      </w:pPr>
      <w:r>
        <w:t>June 2021</w:t>
      </w:r>
    </w:p>
    <w:p w14:paraId="6FCC6B81" w14:textId="77777777" w:rsidR="00F012EA" w:rsidRDefault="00F012EA" w:rsidP="00F012EA">
      <w:pPr>
        <w:pStyle w:val="Heading1"/>
      </w:pPr>
      <w:r>
        <w:t>Abstract</w:t>
      </w:r>
    </w:p>
    <w:p w14:paraId="01F06BC9" w14:textId="551DEEFB" w:rsidR="00D62E3D" w:rsidRDefault="00D62E3D" w:rsidP="00C75E5B">
      <w:pPr>
        <w:jc w:val="both"/>
      </w:pPr>
      <w:r>
        <w:t>This paper documents the evolution of firm mark</w:t>
      </w:r>
      <w:r w:rsidR="00252C43">
        <w:noBreakHyphen/>
      </w:r>
      <w:r>
        <w:t>ups in the Australian economy using a large and representative database derived from administrative tax data. I find that mark</w:t>
      </w:r>
      <w:r w:rsidR="00252C43">
        <w:noBreakHyphen/>
      </w:r>
      <w:r>
        <w:t>ups have increased by around 5 per cent since the mid</w:t>
      </w:r>
      <w:r w:rsidR="00252C43">
        <w:noBreakHyphen/>
      </w:r>
      <w:r>
        <w:t>2000s</w:t>
      </w:r>
      <w:r w:rsidR="008334E4">
        <w:t xml:space="preserve">, which is </w:t>
      </w:r>
      <w:r w:rsidR="009E68A7">
        <w:t>less</w:t>
      </w:r>
      <w:r w:rsidR="008334E4">
        <w:t xml:space="preserve"> than previously documented for Australia, and</w:t>
      </w:r>
      <w:r w:rsidR="009E68A7">
        <w:t xml:space="preserve"> slightly less than has been documented for the average</w:t>
      </w:r>
      <w:r w:rsidR="008334E4">
        <w:t xml:space="preserve"> advanced </w:t>
      </w:r>
      <w:r w:rsidR="009E68A7">
        <w:t>economy</w:t>
      </w:r>
      <w:r>
        <w:t>. While part of this appears to reflect technological change, there also appear</w:t>
      </w:r>
      <w:r w:rsidR="00CE26ED">
        <w:t>s</w:t>
      </w:r>
      <w:r>
        <w:t xml:space="preserve"> to have been an increase in market power and decline in competition over the period. </w:t>
      </w:r>
      <w:r w:rsidR="008334E4">
        <w:t>This increase in market power appears to explain part of the slowdown in productivity growth</w:t>
      </w:r>
      <w:r w:rsidR="00CE26ED">
        <w:t xml:space="preserve"> observed in Australia over the past decade</w:t>
      </w:r>
      <w:r>
        <w:t xml:space="preserve">, </w:t>
      </w:r>
      <w:r w:rsidR="008334E4">
        <w:t xml:space="preserve">as it has been associated with slower </w:t>
      </w:r>
      <w:r w:rsidR="00CE26ED">
        <w:t xml:space="preserve">efficient </w:t>
      </w:r>
      <w:r w:rsidR="008334E4">
        <w:t>reallocation of resources from low</w:t>
      </w:r>
      <w:r w:rsidR="00252C43">
        <w:noBreakHyphen/>
      </w:r>
      <w:r w:rsidR="008334E4">
        <w:t>productivity to high</w:t>
      </w:r>
      <w:r w:rsidR="00252C43">
        <w:noBreakHyphen/>
      </w:r>
      <w:r w:rsidR="008334E4">
        <w:t>productivity firms</w:t>
      </w:r>
      <w:r>
        <w:t xml:space="preserve">. </w:t>
      </w:r>
    </w:p>
    <w:p w14:paraId="10451FB0" w14:textId="19999759" w:rsidR="000D4DD6" w:rsidRDefault="000D4DD6" w:rsidP="003C4225">
      <w:pPr>
        <w:spacing w:after="0"/>
        <w:jc w:val="both"/>
        <w:rPr>
          <w:color w:val="auto"/>
        </w:rPr>
      </w:pPr>
    </w:p>
    <w:p w14:paraId="46DD6519" w14:textId="77777777" w:rsidR="000D4DD6" w:rsidRDefault="000D4DD6" w:rsidP="00E83C63">
      <w:pPr>
        <w:spacing w:after="0"/>
        <w:rPr>
          <w:color w:val="auto"/>
        </w:rPr>
      </w:pPr>
    </w:p>
    <w:p w14:paraId="367C58D5" w14:textId="4637D997" w:rsidR="00E83C63" w:rsidRPr="00873A53" w:rsidRDefault="00E83C63" w:rsidP="00873A53">
      <w:pPr>
        <w:pStyle w:val="SingleParagraph"/>
      </w:pPr>
      <w:r w:rsidRPr="00873A53">
        <w:t>JEL Classification Numbers: C23, C55, D22</w:t>
      </w:r>
      <w:r w:rsidR="00873A53" w:rsidRPr="00873A53">
        <w:t>, D24</w:t>
      </w:r>
      <w:r w:rsidRPr="00873A53">
        <w:t xml:space="preserve">, </w:t>
      </w:r>
      <w:r w:rsidR="00BD4483" w:rsidRPr="00873A53">
        <w:t>D40,</w:t>
      </w:r>
      <w:r w:rsidRPr="00873A53">
        <w:t xml:space="preserve"> E24</w:t>
      </w:r>
    </w:p>
    <w:p w14:paraId="5B68BAAB" w14:textId="3E6E92D5" w:rsidR="00E83C63" w:rsidRPr="00873A53" w:rsidRDefault="00E83C63" w:rsidP="00873A53">
      <w:pPr>
        <w:pStyle w:val="SingleParagraph"/>
      </w:pPr>
      <w:r w:rsidRPr="00873A53">
        <w:t xml:space="preserve">Keywords: </w:t>
      </w:r>
      <w:r w:rsidR="00BD4483" w:rsidRPr="00873A53">
        <w:t>competition, productivity</w:t>
      </w:r>
      <w:r w:rsidRPr="00873A53">
        <w:t>, firm</w:t>
      </w:r>
      <w:r w:rsidR="00252C43" w:rsidRPr="00873A53">
        <w:noBreakHyphen/>
      </w:r>
      <w:r w:rsidRPr="00873A53">
        <w:t>level, BLADE</w:t>
      </w:r>
    </w:p>
    <w:p w14:paraId="5BCE2369" w14:textId="77777777" w:rsidR="00F012EA" w:rsidRPr="00873A53" w:rsidRDefault="00F012EA" w:rsidP="00F012EA">
      <w:pPr>
        <w:pStyle w:val="SingleParagraph"/>
      </w:pPr>
    </w:p>
    <w:p w14:paraId="0E316590" w14:textId="5EF84562" w:rsidR="00F012EA" w:rsidRDefault="0095241E" w:rsidP="00F012EA">
      <w:pPr>
        <w:pStyle w:val="SingleParagraph"/>
      </w:pPr>
      <w:r w:rsidRPr="00873A53">
        <w:t>Jonathan Hambur</w:t>
      </w:r>
    </w:p>
    <w:p w14:paraId="181206CD" w14:textId="77777777" w:rsidR="00F012EA" w:rsidRDefault="00EF6F80" w:rsidP="00F012EA">
      <w:pPr>
        <w:pStyle w:val="SingleParagraph"/>
      </w:pPr>
      <w:r>
        <w:t>Macroeconomic</w:t>
      </w:r>
      <w:r w:rsidR="006F7544">
        <w:t xml:space="preserve"> Group</w:t>
      </w:r>
    </w:p>
    <w:p w14:paraId="069BB6E0" w14:textId="77777777" w:rsidR="00F012EA" w:rsidRDefault="00F012EA" w:rsidP="00F012EA">
      <w:pPr>
        <w:pStyle w:val="SingleParagraph"/>
      </w:pPr>
      <w:r>
        <w:t>The Treasury</w:t>
      </w:r>
    </w:p>
    <w:p w14:paraId="1EC35F08" w14:textId="77777777" w:rsidR="00F012EA" w:rsidRDefault="00F012EA" w:rsidP="00F012EA">
      <w:pPr>
        <w:pStyle w:val="SingleParagraph"/>
      </w:pPr>
      <w:r>
        <w:t>Langton Crescent</w:t>
      </w:r>
    </w:p>
    <w:p w14:paraId="48217D76" w14:textId="77777777" w:rsidR="00F012EA" w:rsidRDefault="00F012EA" w:rsidP="00F012EA">
      <w:pPr>
        <w:pStyle w:val="SingleParagraph"/>
      </w:pPr>
      <w:proofErr w:type="gramStart"/>
      <w:r>
        <w:t>Parkes  ACT</w:t>
      </w:r>
      <w:proofErr w:type="gramEnd"/>
      <w:r>
        <w:t xml:space="preserve">  2600</w:t>
      </w:r>
    </w:p>
    <w:p w14:paraId="47D7039D" w14:textId="77777777" w:rsidR="00F012EA" w:rsidRDefault="00F012EA" w:rsidP="00F012EA">
      <w:pPr>
        <w:pStyle w:val="SingleParagraph"/>
      </w:pPr>
    </w:p>
    <w:p w14:paraId="1EB27F85" w14:textId="77777777" w:rsidR="00F012EA" w:rsidRDefault="00F012EA" w:rsidP="00F012EA">
      <w:pPr>
        <w:pStyle w:val="SingleParagraph"/>
      </w:pPr>
    </w:p>
    <w:p w14:paraId="5ADB0087" w14:textId="77777777" w:rsidR="00F012EA" w:rsidRDefault="00F012EA" w:rsidP="00F012EA">
      <w:pPr>
        <w:pStyle w:val="SeriesNumber"/>
        <w:jc w:val="left"/>
        <w:rPr>
          <w:sz w:val="24"/>
          <w:szCs w:val="24"/>
        </w:rPr>
      </w:pPr>
    </w:p>
    <w:p w14:paraId="1EB0133C" w14:textId="77777777" w:rsidR="00F012EA" w:rsidRDefault="00F012EA" w:rsidP="008627B1"/>
    <w:p w14:paraId="63DEB69E" w14:textId="77777777" w:rsidR="00F012EA" w:rsidRDefault="00F012EA" w:rsidP="008627B1"/>
    <w:p w14:paraId="7210B2B9"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05A54F8F" w14:textId="62B392F0" w:rsidR="00F012EA" w:rsidRDefault="00F012EA" w:rsidP="00A57848">
      <w:pPr>
        <w:pStyle w:val="Heading2"/>
      </w:pPr>
      <w:bookmarkStart w:id="0" w:name="_Toc271526783"/>
      <w:bookmarkStart w:id="1" w:name="_Toc320810314"/>
      <w:r w:rsidRPr="00A57848">
        <w:lastRenderedPageBreak/>
        <w:t>Introduction</w:t>
      </w:r>
      <w:bookmarkEnd w:id="0"/>
      <w:bookmarkEnd w:id="1"/>
    </w:p>
    <w:p w14:paraId="78B94D8A" w14:textId="5AA86CC2" w:rsidR="006B4E95" w:rsidRDefault="00217A8C" w:rsidP="006B4E95">
      <w:pPr>
        <w:jc w:val="both"/>
      </w:pPr>
      <w:r>
        <w:t>Recent work has demonstrated that the slowdown in productivity growth in Australia has been underpinned by a decline in economic dynamism. For example, Andrews and Hansell (2019) find that the pace at which labour is reallocated from low</w:t>
      </w:r>
      <w:r w:rsidR="00252C43">
        <w:noBreakHyphen/>
      </w:r>
      <w:r>
        <w:t xml:space="preserve"> to high</w:t>
      </w:r>
      <w:r w:rsidR="00252C43">
        <w:noBreakHyphen/>
      </w:r>
      <w:r>
        <w:t xml:space="preserve">productivity firms slowed since 2012, and that this can account for ¼ of the slowdown in </w:t>
      </w:r>
      <w:r w:rsidR="004D233B">
        <w:t xml:space="preserve">productivity growth from 2012 to </w:t>
      </w:r>
      <w:r w:rsidR="00C75E5B">
        <w:t>2016</w:t>
      </w:r>
      <w:r w:rsidR="004D233B">
        <w:t xml:space="preserve">. At the </w:t>
      </w:r>
      <w:r w:rsidR="00977957">
        <w:t>same</w:t>
      </w:r>
      <w:r w:rsidR="004D233B">
        <w:t xml:space="preserve"> time, other </w:t>
      </w:r>
      <w:r w:rsidR="00977957">
        <w:t>measures</w:t>
      </w:r>
      <w:r w:rsidR="004D233B">
        <w:t xml:space="preserve"> of dynamism, such as job switching rates and firm formation rates, have also declined (</w:t>
      </w:r>
      <w:r w:rsidR="00977957">
        <w:t xml:space="preserve">Quinn 2019). </w:t>
      </w:r>
      <w:r w:rsidR="006B4E95">
        <w:t>Given the important role competition plays in promoting dynamic and efficient markets it is natural to ask, has market power increased in Australia and could this account for declining dynamism, and slower productivity</w:t>
      </w:r>
      <w:r w:rsidR="00CE26ED">
        <w:t xml:space="preserve"> and wage</w:t>
      </w:r>
      <w:r w:rsidR="006B4E95">
        <w:t xml:space="preserve"> growth?</w:t>
      </w:r>
    </w:p>
    <w:p w14:paraId="4F5993F4" w14:textId="4B716750" w:rsidR="00DC012C" w:rsidRDefault="002D0DE5" w:rsidP="00D62E3D">
      <w:pPr>
        <w:jc w:val="both"/>
      </w:pPr>
      <w:r>
        <w:t xml:space="preserve">Australia is not unique in this respect. Similar </w:t>
      </w:r>
      <w:r w:rsidR="00D62E3D">
        <w:t>worrisome macroeconomic trends</w:t>
      </w:r>
      <w:r>
        <w:t xml:space="preserve"> have been documented in </w:t>
      </w:r>
      <w:proofErr w:type="gramStart"/>
      <w:r>
        <w:t>a number of</w:t>
      </w:r>
      <w:proofErr w:type="gramEnd"/>
      <w:r>
        <w:t xml:space="preserve"> other countries</w:t>
      </w:r>
      <w:r w:rsidR="006B4E95">
        <w:t xml:space="preserve">. </w:t>
      </w:r>
      <w:r w:rsidR="00D62E3D">
        <w:t>These include: soft investment growth despite declines in interest rates and funding costs (</w:t>
      </w:r>
      <w:r w:rsidR="00D62E3D" w:rsidRPr="002C29FC">
        <w:t>IMF 2019</w:t>
      </w:r>
      <w:r w:rsidR="00D62E3D">
        <w:t>); slower adoption of world</w:t>
      </w:r>
      <w:r w:rsidR="00252C43">
        <w:noBreakHyphen/>
      </w:r>
      <w:r w:rsidR="00D62E3D">
        <w:t>leading technologies (</w:t>
      </w:r>
      <w:r w:rsidR="00D62E3D" w:rsidRPr="002C29FC">
        <w:t>Andrews et al 201</w:t>
      </w:r>
      <w:r w:rsidR="00CD4492" w:rsidRPr="002C29FC">
        <w:t>9</w:t>
      </w:r>
      <w:r w:rsidR="00D62E3D" w:rsidRPr="002C29FC">
        <w:rPr>
          <w:rStyle w:val="Hyperlink"/>
          <w:color w:val="auto"/>
          <w:u w:val="none"/>
        </w:rPr>
        <w:t xml:space="preserve">; </w:t>
      </w:r>
      <w:proofErr w:type="spellStart"/>
      <w:r w:rsidR="00D62E3D" w:rsidRPr="002C29FC">
        <w:t>Akcigit</w:t>
      </w:r>
      <w:proofErr w:type="spellEnd"/>
      <w:r w:rsidR="00D62E3D" w:rsidRPr="002C29FC">
        <w:t xml:space="preserve"> and </w:t>
      </w:r>
      <w:proofErr w:type="spellStart"/>
      <w:r w:rsidR="00D62E3D" w:rsidRPr="002C29FC">
        <w:t>Ates</w:t>
      </w:r>
      <w:proofErr w:type="spellEnd"/>
      <w:r w:rsidR="00D62E3D" w:rsidRPr="002C29FC">
        <w:t xml:space="preserve"> 2019</w:t>
      </w:r>
      <w:r w:rsidR="00D62E3D">
        <w:t xml:space="preserve">); </w:t>
      </w:r>
      <w:r w:rsidR="00DC012C">
        <w:t>declining firm entry rates (</w:t>
      </w:r>
      <w:r w:rsidR="00E02903">
        <w:t>Gutiérrez and Philippon 2019</w:t>
      </w:r>
      <w:r w:rsidR="00DC012C">
        <w:t xml:space="preserve">) </w:t>
      </w:r>
      <w:r w:rsidR="00D62E3D">
        <w:t xml:space="preserve">and slower efficient reallocation of resources (Decker et al 2017). </w:t>
      </w:r>
    </w:p>
    <w:p w14:paraId="0230CF8A" w14:textId="3C8B754A" w:rsidR="00DC012C" w:rsidRDefault="009F7FD9" w:rsidP="009F7FD9">
      <w:pPr>
        <w:jc w:val="both"/>
      </w:pPr>
      <w:r>
        <w:t>This has led to an explosion of research globally into market power with numerous papers documenting increases in measures of market power such as mark</w:t>
      </w:r>
      <w:r w:rsidR="00252C43">
        <w:noBreakHyphen/>
      </w:r>
      <w:r>
        <w:t>ups, industry concentration and entrenchment of industry leaders. However,</w:t>
      </w:r>
      <w:r w:rsidR="00DC012C">
        <w:t xml:space="preserve"> the evidence for Australia is </w:t>
      </w:r>
      <w:r w:rsidR="00476859">
        <w:t>sparse</w:t>
      </w:r>
      <w:r w:rsidR="00DC012C">
        <w:t>.</w:t>
      </w:r>
      <w:r w:rsidR="00DC012C" w:rsidRPr="00DC012C">
        <w:t xml:space="preserve"> </w:t>
      </w:r>
      <w:r w:rsidR="00DC012C">
        <w:t>In particular, the only paper that documents mark</w:t>
      </w:r>
      <w:r w:rsidR="00252C43">
        <w:noBreakHyphen/>
      </w:r>
      <w:r w:rsidR="00DC012C">
        <w:t xml:space="preserve">ups (my preferred measure of market power) for Australian firms is De </w:t>
      </w:r>
      <w:proofErr w:type="spellStart"/>
      <w:r w:rsidR="00DC012C">
        <w:t>Loecker</w:t>
      </w:r>
      <w:proofErr w:type="spellEnd"/>
      <w:r w:rsidR="00DC012C">
        <w:t xml:space="preserve"> and </w:t>
      </w:r>
      <w:proofErr w:type="spellStart"/>
      <w:r w:rsidR="00DC012C">
        <w:t>Eeckhout</w:t>
      </w:r>
      <w:proofErr w:type="spellEnd"/>
      <w:r w:rsidR="00DC012C">
        <w:t xml:space="preserve"> (</w:t>
      </w:r>
      <w:r w:rsidR="00DC012C" w:rsidRPr="001B7A75">
        <w:t>2018</w:t>
      </w:r>
      <w:r w:rsidR="00DC012C">
        <w:t>)</w:t>
      </w:r>
      <w:r w:rsidR="00CE26ED">
        <w:t>. They find</w:t>
      </w:r>
      <w:r w:rsidR="003F0337">
        <w:t xml:space="preserve"> that </w:t>
      </w:r>
      <w:r w:rsidR="00135001">
        <w:t>mark</w:t>
      </w:r>
      <w:r w:rsidR="00252C43">
        <w:noBreakHyphen/>
      </w:r>
      <w:r w:rsidR="00135001">
        <w:t xml:space="preserve">ups rose by a bit over 10 per cent between the early 2000s and 2016 (and by around 50 per cent </w:t>
      </w:r>
      <w:r w:rsidR="00CE26ED">
        <w:t>between 1980 and 2016</w:t>
      </w:r>
      <w:r w:rsidR="00135001">
        <w:t>)</w:t>
      </w:r>
      <w:r w:rsidR="00874584">
        <w:t xml:space="preserve">. </w:t>
      </w:r>
      <w:r w:rsidR="0033368F">
        <w:t>However</w:t>
      </w:r>
      <w:r w:rsidR="00874584">
        <w:t>, this analysis</w:t>
      </w:r>
      <w:r w:rsidR="00252C43">
        <w:t xml:space="preserve"> — </w:t>
      </w:r>
      <w:r w:rsidR="0033368F">
        <w:t>while seminal</w:t>
      </w:r>
      <w:r w:rsidR="00252C43">
        <w:t xml:space="preserve"> — </w:t>
      </w:r>
      <w:r w:rsidR="00DC012C">
        <w:t xml:space="preserve">uses a </w:t>
      </w:r>
      <w:proofErr w:type="gramStart"/>
      <w:r w:rsidR="007F2E4A">
        <w:t>fairly</w:t>
      </w:r>
      <w:r w:rsidR="00DC012C">
        <w:t xml:space="preserve"> limited</w:t>
      </w:r>
      <w:proofErr w:type="gramEnd"/>
      <w:r w:rsidR="00DC012C">
        <w:t xml:space="preserve"> set of listed firms in its analysis</w:t>
      </w:r>
      <w:r w:rsidR="0033368F">
        <w:t>, so it is difficult to draw economy</w:t>
      </w:r>
      <w:r w:rsidR="00252C43">
        <w:noBreakHyphen/>
      </w:r>
      <w:r w:rsidR="0033368F">
        <w:t>wide conclusions</w:t>
      </w:r>
      <w:r w:rsidR="00DC012C">
        <w:t>.</w:t>
      </w:r>
      <w:r w:rsidR="00DC012C">
        <w:rPr>
          <w:rStyle w:val="FootnoteReference"/>
        </w:rPr>
        <w:footnoteReference w:id="4"/>
      </w:r>
    </w:p>
    <w:p w14:paraId="14B2FA69" w14:textId="7C148295" w:rsidR="00DC012C" w:rsidRDefault="00DC012C" w:rsidP="00DC012C">
      <w:pPr>
        <w:jc w:val="both"/>
      </w:pPr>
      <w:r>
        <w:t>Accordingly, in this paper I provide new evidence on firms</w:t>
      </w:r>
      <w:r w:rsidR="00252C43">
        <w:t>’</w:t>
      </w:r>
      <w:r>
        <w:t xml:space="preserve"> market power</w:t>
      </w:r>
      <w:r w:rsidR="00030464">
        <w:t xml:space="preserve"> in Australia</w:t>
      </w:r>
      <w:r>
        <w:t>, as captured by their mark</w:t>
      </w:r>
      <w:r w:rsidR="00252C43">
        <w:noBreakHyphen/>
      </w:r>
      <w:r>
        <w:t>ups, and how this has changed over time. To do so, I use a comprehensive firm</w:t>
      </w:r>
      <w:r w:rsidR="00252C43">
        <w:noBreakHyphen/>
      </w:r>
      <w:r>
        <w:t>level database from the Business Longitudinal Analysis Data Environment (BLADE). As these data cover almost all firms in Australia, the results are likely to be highly representative, and so provide important insights into the evolution of market power in Australia</w:t>
      </w:r>
      <w:r w:rsidR="00252C43">
        <w:t xml:space="preserve">. </w:t>
      </w:r>
      <w:r w:rsidR="0033368F">
        <w:t>To the best of my knowledge, this is the first such attempt for Australia using highly representative data.</w:t>
      </w:r>
    </w:p>
    <w:p w14:paraId="313D564D" w14:textId="4CF469F9" w:rsidR="00DC012C" w:rsidRDefault="00DC012C" w:rsidP="00DC012C">
      <w:pPr>
        <w:jc w:val="both"/>
      </w:pPr>
      <w:r>
        <w:t>First, I document that firms</w:t>
      </w:r>
      <w:r w:rsidR="00252C43">
        <w:t>’</w:t>
      </w:r>
      <w:r>
        <w:t xml:space="preserve"> mark</w:t>
      </w:r>
      <w:r w:rsidR="00252C43">
        <w:noBreakHyphen/>
      </w:r>
      <w:r>
        <w:t>ups have increased by around 5 per cent on average since the mid</w:t>
      </w:r>
      <w:r w:rsidR="00252C43">
        <w:noBreakHyphen/>
      </w:r>
      <w:r>
        <w:t xml:space="preserve">2000s, reflecting </w:t>
      </w:r>
      <w:proofErr w:type="gramStart"/>
      <w:r>
        <w:t>fairly broad</w:t>
      </w:r>
      <w:proofErr w:type="gramEnd"/>
      <w:r w:rsidR="00252C43">
        <w:noBreakHyphen/>
      </w:r>
      <w:r>
        <w:t>based increase</w:t>
      </w:r>
      <w:r w:rsidR="007F2E4A">
        <w:t>s</w:t>
      </w:r>
      <w:r>
        <w:t xml:space="preserve"> across most firms. The magnitude of </w:t>
      </w:r>
      <w:r w:rsidR="00592ABF">
        <w:t>the</w:t>
      </w:r>
      <w:r>
        <w:t xml:space="preserve"> increase is substantially smaller than that previously documented in De </w:t>
      </w:r>
      <w:proofErr w:type="spellStart"/>
      <w:r>
        <w:t>Loecker</w:t>
      </w:r>
      <w:proofErr w:type="spellEnd"/>
      <w:r>
        <w:t xml:space="preserve"> and </w:t>
      </w:r>
      <w:proofErr w:type="spellStart"/>
      <w:r>
        <w:t>Eeckhout</w:t>
      </w:r>
      <w:proofErr w:type="spellEnd"/>
      <w:r>
        <w:t xml:space="preserve"> (</w:t>
      </w:r>
      <w:r w:rsidRPr="001B7A75">
        <w:t>2018</w:t>
      </w:r>
      <w:r>
        <w:t>). It is also slightly smaller than the average increase documented in other advanced economies (IMF 2019).</w:t>
      </w:r>
      <w:r w:rsidR="00592ABF">
        <w:t xml:space="preserve"> This latter finding could reflect differences in the policy </w:t>
      </w:r>
      <w:proofErr w:type="gramStart"/>
      <w:r w:rsidR="00592ABF">
        <w:t>environment, and</w:t>
      </w:r>
      <w:proofErr w:type="gramEnd"/>
      <w:r w:rsidR="00592ABF">
        <w:t xml:space="preserve"> is somewhat consistent with Australia</w:t>
      </w:r>
      <w:r w:rsidR="00252C43">
        <w:t>’</w:t>
      </w:r>
      <w:r w:rsidR="00592ABF">
        <w:t>s fairly high ranking in OECD measures of product market regulation.</w:t>
      </w:r>
    </w:p>
    <w:p w14:paraId="6F59AFD7" w14:textId="16C4C5AA" w:rsidR="000422BB" w:rsidRDefault="00DC012C" w:rsidP="00DC012C">
      <w:pPr>
        <w:jc w:val="both"/>
      </w:pPr>
      <w:r>
        <w:t xml:space="preserve">I then evaluate </w:t>
      </w:r>
      <w:r w:rsidR="0033368F">
        <w:t>competing</w:t>
      </w:r>
      <w:r>
        <w:t xml:space="preserve"> explanations for the </w:t>
      </w:r>
      <w:r w:rsidR="0033368F">
        <w:t>rise</w:t>
      </w:r>
      <w:r>
        <w:t xml:space="preserve"> in mark</w:t>
      </w:r>
      <w:r w:rsidR="00252C43">
        <w:noBreakHyphen/>
      </w:r>
      <w:r>
        <w:t>ups, w</w:t>
      </w:r>
      <w:r w:rsidR="0033368F">
        <w:t>ith a view to better understand</w:t>
      </w:r>
      <w:r w:rsidR="00592ABF">
        <w:t>ing</w:t>
      </w:r>
      <w:r>
        <w:t xml:space="preserve"> the potential economic implications. </w:t>
      </w:r>
      <w:r w:rsidR="0033368F">
        <w:t>P</w:t>
      </w:r>
      <w:r>
        <w:t xml:space="preserve">art of </w:t>
      </w:r>
      <w:r w:rsidR="00592ABF">
        <w:t>the</w:t>
      </w:r>
      <w:r>
        <w:t xml:space="preserve"> increase </w:t>
      </w:r>
      <w:r w:rsidR="0033368F">
        <w:t xml:space="preserve">appears to </w:t>
      </w:r>
      <w:r>
        <w:t xml:space="preserve">reflect technological factors, such as greater reliance on </w:t>
      </w:r>
      <w:r w:rsidR="00252C43">
        <w:t>‘</w:t>
      </w:r>
      <w:r>
        <w:t>fixed</w:t>
      </w:r>
      <w:r w:rsidR="00252C43">
        <w:t>’</w:t>
      </w:r>
      <w:r>
        <w:t xml:space="preserve"> costs that firms need to recoup</w:t>
      </w:r>
      <w:r w:rsidR="00252C43">
        <w:t xml:space="preserve"> — </w:t>
      </w:r>
      <w:r w:rsidR="00C1298C">
        <w:t>such</w:t>
      </w:r>
      <w:r w:rsidR="00476859">
        <w:t xml:space="preserve"> as investments in branding, </w:t>
      </w:r>
      <w:proofErr w:type="gramStart"/>
      <w:r w:rsidR="00476859">
        <w:t>processes</w:t>
      </w:r>
      <w:proofErr w:type="gramEnd"/>
      <w:r w:rsidR="00476859">
        <w:t xml:space="preserve"> and other </w:t>
      </w:r>
      <w:r w:rsidR="000422BB">
        <w:t>intangibles</w:t>
      </w:r>
      <w:r w:rsidR="00252C43">
        <w:t xml:space="preserve"> — </w:t>
      </w:r>
      <w:r w:rsidR="00B45603">
        <w:t>or other technological changes like outsourcing of certain functions</w:t>
      </w:r>
      <w:r>
        <w:t>.</w:t>
      </w:r>
      <w:r w:rsidR="00647283">
        <w:t xml:space="preserve"> Consistent with this, </w:t>
      </w:r>
      <w:r w:rsidR="00C22E32">
        <w:t>mark</w:t>
      </w:r>
      <w:r w:rsidR="00252C43">
        <w:noBreakHyphen/>
      </w:r>
      <w:r w:rsidR="00C22E32">
        <w:t xml:space="preserve">ups rose by </w:t>
      </w:r>
      <w:r w:rsidR="00D945C8">
        <w:t>more than</w:t>
      </w:r>
      <w:r w:rsidR="00C22E32">
        <w:t xml:space="preserve"> twice as much in the most</w:t>
      </w:r>
      <w:r w:rsidR="0033368F">
        <w:t xml:space="preserve"> </w:t>
      </w:r>
      <w:r w:rsidR="00252C43">
        <w:t>‘</w:t>
      </w:r>
      <w:r w:rsidR="0033368F">
        <w:t>digitally intensive</w:t>
      </w:r>
      <w:r w:rsidR="00252C43">
        <w:t>’</w:t>
      </w:r>
      <w:r w:rsidR="0033368F">
        <w:t xml:space="preserve"> </w:t>
      </w:r>
      <w:r w:rsidR="007866F6">
        <w:t xml:space="preserve">quartile of </w:t>
      </w:r>
      <w:r w:rsidR="00592ABF">
        <w:t>industries</w:t>
      </w:r>
      <w:r w:rsidR="0033368F">
        <w:t xml:space="preserve">, where </w:t>
      </w:r>
      <w:r w:rsidR="00647283">
        <w:t>investments in intangible investment and fixed costs are more important.</w:t>
      </w:r>
      <w:r>
        <w:t xml:space="preserve"> </w:t>
      </w:r>
      <w:r w:rsidR="00C1298C">
        <w:t>However</w:t>
      </w:r>
      <w:r>
        <w:t>, even accounting for such costs</w:t>
      </w:r>
      <w:r w:rsidR="00C22E32">
        <w:t>,</w:t>
      </w:r>
      <w:r>
        <w:t xml:space="preserve"> mark</w:t>
      </w:r>
      <w:r w:rsidR="00252C43">
        <w:noBreakHyphen/>
      </w:r>
      <w:r>
        <w:t xml:space="preserve">ups </w:t>
      </w:r>
      <w:r w:rsidR="00C22E32">
        <w:t>have still</w:t>
      </w:r>
      <w:r>
        <w:t xml:space="preserve"> increased</w:t>
      </w:r>
      <w:r w:rsidR="00C22E32">
        <w:t xml:space="preserve">, and increases have still been evident in sectors that are </w:t>
      </w:r>
      <w:r w:rsidR="000422BB">
        <w:t>les</w:t>
      </w:r>
      <w:r w:rsidR="00CA286C">
        <w:t>s digitally intensive.</w:t>
      </w:r>
      <w:r w:rsidR="000422BB">
        <w:t xml:space="preserve"> </w:t>
      </w:r>
    </w:p>
    <w:p w14:paraId="6C8DA3B0" w14:textId="44970469" w:rsidR="00DC012C" w:rsidRDefault="007866F6" w:rsidP="005974C5">
      <w:pPr>
        <w:jc w:val="both"/>
      </w:pPr>
      <w:r>
        <w:lastRenderedPageBreak/>
        <w:t>H</w:t>
      </w:r>
      <w:r w:rsidR="00DC012C">
        <w:t>igher mark</w:t>
      </w:r>
      <w:r w:rsidR="00252C43">
        <w:noBreakHyphen/>
      </w:r>
      <w:r w:rsidR="00DC012C">
        <w:t>ups</w:t>
      </w:r>
      <w:r>
        <w:t xml:space="preserve"> also appear to be symptomatic of less competitive pressures, as they</w:t>
      </w:r>
      <w:r w:rsidR="00DC012C">
        <w:t xml:space="preserve"> are associated with </w:t>
      </w:r>
      <w:r>
        <w:t>weaker (within</w:t>
      </w:r>
      <w:r w:rsidR="00252C43">
        <w:noBreakHyphen/>
      </w:r>
      <w:r>
        <w:t>industry) productivity</w:t>
      </w:r>
      <w:r w:rsidR="00252C43">
        <w:noBreakHyphen/>
      </w:r>
      <w:r>
        <w:t xml:space="preserve">enhancing labour reallocation. </w:t>
      </w:r>
      <w:r w:rsidR="00CA286C">
        <w:t>This has significant implications for aggregate productivity growth</w:t>
      </w:r>
      <w:r w:rsidR="00B81702">
        <w:t xml:space="preserve">, with </w:t>
      </w:r>
      <w:r w:rsidR="00967F33">
        <w:t xml:space="preserve">a simple counterfactual exercise </w:t>
      </w:r>
      <w:r w:rsidR="00B81702">
        <w:t>suggesting that higher mark</w:t>
      </w:r>
      <w:r w:rsidR="00252C43">
        <w:noBreakHyphen/>
      </w:r>
      <w:r w:rsidR="00B81702">
        <w:t>ups</w:t>
      </w:r>
      <w:r w:rsidR="00967F33">
        <w:t>,</w:t>
      </w:r>
      <w:r w:rsidR="00B81702">
        <w:t xml:space="preserve"> and associated slower reallocation</w:t>
      </w:r>
      <w:r w:rsidR="00967F33">
        <w:t>,</w:t>
      </w:r>
      <w:r w:rsidR="00B81702">
        <w:t xml:space="preserve"> can explain </w:t>
      </w:r>
      <w:r w:rsidR="005974C5">
        <w:t>one fifth</w:t>
      </w:r>
      <w:r w:rsidR="00B81702">
        <w:t xml:space="preserve"> of the slowdown in </w:t>
      </w:r>
      <w:r w:rsidR="005974C5">
        <w:t>non</w:t>
      </w:r>
      <w:r w:rsidR="00252C43">
        <w:noBreakHyphen/>
      </w:r>
      <w:r w:rsidR="005974C5">
        <w:t xml:space="preserve">financial </w:t>
      </w:r>
      <w:r w:rsidR="00B81702">
        <w:t xml:space="preserve">market sector </w:t>
      </w:r>
      <w:r>
        <w:t xml:space="preserve">labour </w:t>
      </w:r>
      <w:r w:rsidR="00B81702">
        <w:t>productivity growth.</w:t>
      </w:r>
      <w:r w:rsidR="00967F33" w:rsidRPr="00967F33">
        <w:t xml:space="preserve"> </w:t>
      </w:r>
      <w:r w:rsidR="005974C5">
        <w:t>Declining competitive pressures are also likely to have weighed on productivity through decreased incentives to innovate, invest and adopt world</w:t>
      </w:r>
      <w:r w:rsidR="00252C43">
        <w:noBreakHyphen/>
      </w:r>
      <w:r w:rsidR="005974C5">
        <w:t xml:space="preserve">leading technologies, which can be explored in future work (Andrews et al </w:t>
      </w:r>
      <w:r w:rsidR="009607BC">
        <w:t>f</w:t>
      </w:r>
      <w:r w:rsidR="005974C5">
        <w:t>orthcoming).</w:t>
      </w:r>
    </w:p>
    <w:p w14:paraId="38322896" w14:textId="7A84574D" w:rsidR="00DC012C" w:rsidRDefault="00DC012C" w:rsidP="00DC012C">
      <w:pPr>
        <w:jc w:val="both"/>
      </w:pPr>
      <w:r>
        <w:t>From a policy perspective, it is important to understand why market power has increased, and therefore whether any policies can and should be used to address the increase.</w:t>
      </w:r>
      <w:r>
        <w:rPr>
          <w:rStyle w:val="FootnoteReference"/>
        </w:rPr>
        <w:footnoteReference w:id="5"/>
      </w:r>
      <w:r>
        <w:t xml:space="preserve"> For example, competitive pressures could decline due</w:t>
      </w:r>
      <w:r w:rsidR="00492218">
        <w:t xml:space="preserve"> to regulatory burdens on entry</w:t>
      </w:r>
      <w:r w:rsidR="00B45603">
        <w:t>,</w:t>
      </w:r>
      <w:r>
        <w:t xml:space="preserve"> or financing frictions that prevent new and innovative firms from entering, growing and challenging incumbents. Competition policy, and </w:t>
      </w:r>
      <w:proofErr w:type="gramStart"/>
      <w:r>
        <w:t>in particular how</w:t>
      </w:r>
      <w:proofErr w:type="gramEnd"/>
      <w:r>
        <w:t xml:space="preserve"> it relates to the growing use of data and digital platforms in business, could also be important. I leave</w:t>
      </w:r>
      <w:r w:rsidR="005974C5">
        <w:t xml:space="preserve"> to future research a</w:t>
      </w:r>
      <w:r>
        <w:t xml:space="preserve"> more detailed analysis of the drivers of the rise in market power, and how these might </w:t>
      </w:r>
      <w:r w:rsidR="00492218">
        <w:t>differ</w:t>
      </w:r>
      <w:r w:rsidR="005974C5">
        <w:t xml:space="preserve"> between sectors</w:t>
      </w:r>
      <w:r>
        <w:t xml:space="preserve">. But this paper nevertheless brings into closer focus hurdles to </w:t>
      </w:r>
      <w:proofErr w:type="gramStart"/>
      <w:r>
        <w:t>competition, and</w:t>
      </w:r>
      <w:proofErr w:type="gramEnd"/>
      <w:r>
        <w:t xml:space="preserve"> highlight</w:t>
      </w:r>
      <w:r w:rsidR="00B52EBF">
        <w:t>s</w:t>
      </w:r>
      <w:r>
        <w:t xml:space="preserve"> the importance of making policy with competition in mind.</w:t>
      </w:r>
    </w:p>
    <w:p w14:paraId="19D0B010" w14:textId="6B621D7B" w:rsidR="003A0A62" w:rsidRDefault="003A0A62" w:rsidP="00DC012C">
      <w:pPr>
        <w:jc w:val="both"/>
      </w:pPr>
      <w:r>
        <w:t xml:space="preserve">This </w:t>
      </w:r>
      <w:r w:rsidR="00B0223B">
        <w:t>focus on competition</w:t>
      </w:r>
      <w:r>
        <w:t xml:space="preserve"> </w:t>
      </w:r>
      <w:r w:rsidR="005974C5">
        <w:t xml:space="preserve">is </w:t>
      </w:r>
      <w:r>
        <w:t xml:space="preserve">likely to become even more relevant as the economy recovers from the </w:t>
      </w:r>
      <w:r w:rsidR="00CB7449">
        <w:t>COVID</w:t>
      </w:r>
      <w:r w:rsidR="00252C43">
        <w:noBreakHyphen/>
      </w:r>
      <w:r w:rsidR="00CB7449">
        <w:t xml:space="preserve">19 </w:t>
      </w:r>
      <w:r>
        <w:t xml:space="preserve">economic </w:t>
      </w:r>
      <w:r w:rsidR="00CB7449">
        <w:t xml:space="preserve">shock. Small young firms are known to be more exposed to shocks, suggesting </w:t>
      </w:r>
      <w:r w:rsidR="005974C5">
        <w:t>that</w:t>
      </w:r>
      <w:r w:rsidR="00CB7449">
        <w:t xml:space="preserve"> large incumbents may gain market share and </w:t>
      </w:r>
      <w:r w:rsidR="00566DF8">
        <w:t>market power</w:t>
      </w:r>
      <w:r w:rsidR="00CB7449">
        <w:t xml:space="preserve"> </w:t>
      </w:r>
      <w:proofErr w:type="gramStart"/>
      <w:r w:rsidR="005974C5">
        <w:t>as a result of</w:t>
      </w:r>
      <w:proofErr w:type="gramEnd"/>
      <w:r w:rsidR="005974C5">
        <w:t xml:space="preserve"> COVID</w:t>
      </w:r>
      <w:r w:rsidR="00252C43">
        <w:noBreakHyphen/>
      </w:r>
      <w:r w:rsidR="005974C5">
        <w:t xml:space="preserve">19 </w:t>
      </w:r>
      <w:r w:rsidR="00CB7449">
        <w:t>(e.g. Fort et al 2017</w:t>
      </w:r>
      <w:r w:rsidR="00566DF8">
        <w:t>; OECD 2020</w:t>
      </w:r>
      <w:r w:rsidR="00CB7449">
        <w:t xml:space="preserve">). </w:t>
      </w:r>
      <w:r w:rsidR="00566DF8">
        <w:t xml:space="preserve">Moreover, having </w:t>
      </w:r>
      <w:r w:rsidR="007A3C6B">
        <w:t xml:space="preserve">structural </w:t>
      </w:r>
      <w:r w:rsidR="00566DF8">
        <w:t>policy setting</w:t>
      </w:r>
      <w:r w:rsidR="00B45603">
        <w:t>s</w:t>
      </w:r>
      <w:r w:rsidR="00566DF8">
        <w:t xml:space="preserve"> that help to </w:t>
      </w:r>
      <w:r w:rsidR="00B45603">
        <w:t>facilitate</w:t>
      </w:r>
      <w:r w:rsidR="00566DF8">
        <w:t xml:space="preserve"> productivity</w:t>
      </w:r>
      <w:r w:rsidR="00B45603">
        <w:t xml:space="preserve"> and</w:t>
      </w:r>
      <w:r w:rsidR="00566DF8">
        <w:t xml:space="preserve"> growth will be crucial in supporting a quick and sustained recovery</w:t>
      </w:r>
      <w:r w:rsidR="00594734">
        <w:t xml:space="preserve"> </w:t>
      </w:r>
      <w:r w:rsidR="00E61DC3">
        <w:t xml:space="preserve">from such a shock </w:t>
      </w:r>
      <w:r w:rsidR="00CA24B5">
        <w:t>(</w:t>
      </w:r>
      <w:r w:rsidR="00E61DC3">
        <w:t>D</w:t>
      </w:r>
      <w:r w:rsidR="0020381D">
        <w:t>ieppe et al</w:t>
      </w:r>
      <w:r w:rsidR="00E61DC3">
        <w:t xml:space="preserve"> 2020)</w:t>
      </w:r>
      <w:r w:rsidR="00566DF8">
        <w:t>.</w:t>
      </w:r>
    </w:p>
    <w:p w14:paraId="774BDF40" w14:textId="4AB46CB8" w:rsidR="00DC012C" w:rsidRDefault="007866F6" w:rsidP="00DC012C">
      <w:pPr>
        <w:jc w:val="both"/>
      </w:pPr>
      <w:r>
        <w:t>Besides</w:t>
      </w:r>
      <w:r w:rsidR="00DC012C">
        <w:t xml:space="preserve"> the Australia</w:t>
      </w:r>
      <w:r w:rsidR="00252C43">
        <w:noBreakHyphen/>
      </w:r>
      <w:r w:rsidR="00DC012C">
        <w:t>specific results, this paper also contributes to the broader literature on mark</w:t>
      </w:r>
      <w:r w:rsidR="00252C43">
        <w:noBreakHyphen/>
      </w:r>
      <w:r w:rsidR="00DC012C">
        <w:t>ups and market power by using a</w:t>
      </w:r>
      <w:r w:rsidR="00492218">
        <w:t xml:space="preserve"> highly representative dataset</w:t>
      </w:r>
      <w:r w:rsidR="005974C5">
        <w:t xml:space="preserve"> that </w:t>
      </w:r>
      <w:r w:rsidR="00DC012C">
        <w:t>allows me to test many of the assumptions used in the estimation of mark</w:t>
      </w:r>
      <w:r w:rsidR="00252C43">
        <w:noBreakHyphen/>
      </w:r>
      <w:r w:rsidR="00DC012C">
        <w:t>ups elsewhere in the literature. These methodological contributions are outlined and discussed in more detail in Appendi</w:t>
      </w:r>
      <w:r w:rsidR="00B0223B">
        <w:t>ces</w:t>
      </w:r>
      <w:r w:rsidR="00DC012C">
        <w:t xml:space="preserve"> A and C</w:t>
      </w:r>
      <w:r w:rsidR="00B0223B">
        <w:t>. B</w:t>
      </w:r>
      <w:r w:rsidR="00DC012C">
        <w:t>ut at a high level, the key takeaway</w:t>
      </w:r>
      <w:r w:rsidR="00C7374A">
        <w:t xml:space="preserve"> is that</w:t>
      </w:r>
      <w:r w:rsidR="001E1FC7">
        <w:t xml:space="preserve"> </w:t>
      </w:r>
      <w:r w:rsidR="00DC012C">
        <w:t>combining labour and other intermediate inputs, as is common in the literature, can have substantial effects on mark</w:t>
      </w:r>
      <w:r w:rsidR="00252C43">
        <w:noBreakHyphen/>
      </w:r>
      <w:r w:rsidR="00DC012C">
        <w:t>up estimates.</w:t>
      </w:r>
    </w:p>
    <w:p w14:paraId="224C3BE4" w14:textId="3E920813" w:rsidR="0095241E" w:rsidRDefault="00DC012C" w:rsidP="00DC012C">
      <w:pPr>
        <w:jc w:val="both"/>
      </w:pPr>
      <w:r>
        <w:t xml:space="preserve">The </w:t>
      </w:r>
      <w:r w:rsidR="007866F6">
        <w:t>remainder</w:t>
      </w:r>
      <w:r>
        <w:t xml:space="preserve"> of the paper is </w:t>
      </w:r>
      <w:r w:rsidR="007866F6">
        <w:t>structured</w:t>
      </w:r>
      <w:r>
        <w:t xml:space="preserve"> as follows. Section 2 </w:t>
      </w:r>
      <w:r w:rsidR="00CF1C63">
        <w:t>provides</w:t>
      </w:r>
      <w:r>
        <w:t xml:space="preserve"> further motivation for examining market power, including a discussion of the overseas literature and the Australian evidence. Section 3 goes on to document mark</w:t>
      </w:r>
      <w:r w:rsidR="00252C43">
        <w:noBreakHyphen/>
      </w:r>
      <w:r>
        <w:t>ups in the Australian economy, while Section 4 examines the implications of rising mark</w:t>
      </w:r>
      <w:r w:rsidR="00252C43">
        <w:noBreakHyphen/>
      </w:r>
      <w:r>
        <w:t>ups for the Australian economy. Section 5 then concludes.</w:t>
      </w:r>
      <w:r w:rsidR="0095241E">
        <w:t xml:space="preserve"> </w:t>
      </w:r>
    </w:p>
    <w:p w14:paraId="687554B1" w14:textId="77777777" w:rsidR="0095241E" w:rsidRDefault="0095241E" w:rsidP="0095241E">
      <w:pPr>
        <w:pStyle w:val="Heading2"/>
      </w:pPr>
      <w:r>
        <w:t>Background and motivation</w:t>
      </w:r>
    </w:p>
    <w:p w14:paraId="24D89A9A" w14:textId="1EF9726A" w:rsidR="0095241E" w:rsidRDefault="0095241E" w:rsidP="006E4F33">
      <w:pPr>
        <w:pStyle w:val="Heading3"/>
      </w:pPr>
      <w:r>
        <w:t>2.1 International literature and evidence</w:t>
      </w:r>
    </w:p>
    <w:p w14:paraId="0DD13D35" w14:textId="2AF092AF" w:rsidR="0095241E" w:rsidRDefault="0095241E" w:rsidP="00492218">
      <w:pPr>
        <w:jc w:val="both"/>
      </w:pPr>
      <w:r>
        <w:t xml:space="preserve">In recent years there has been a growing focus amongst macroeconomists and policymakers on the role of market power in determining macroeconomic outcomes. In particular, numerous papers have documented increases in measures of market power, </w:t>
      </w:r>
      <w:r w:rsidR="00806175">
        <w:t>including</w:t>
      </w:r>
      <w:r>
        <w:t xml:space="preserve"> mark</w:t>
      </w:r>
      <w:r w:rsidR="00252C43">
        <w:noBreakHyphen/>
      </w:r>
      <w:r>
        <w:t xml:space="preserve">ups, industry concentration and industry leader </w:t>
      </w:r>
      <w:r w:rsidR="00DC012C">
        <w:t>entrenchment</w:t>
      </w:r>
      <w:r>
        <w:t xml:space="preserve">. </w:t>
      </w:r>
    </w:p>
    <w:p w14:paraId="2F25C1E4" w14:textId="42974D3E" w:rsidR="0095241E" w:rsidRDefault="00B81702" w:rsidP="00B45603">
      <w:pPr>
        <w:jc w:val="both"/>
      </w:pPr>
      <w:r>
        <w:t xml:space="preserve">For example, De </w:t>
      </w:r>
      <w:proofErr w:type="spellStart"/>
      <w:r>
        <w:t>L</w:t>
      </w:r>
      <w:r w:rsidR="0095241E">
        <w:t>o</w:t>
      </w:r>
      <w:r>
        <w:t>e</w:t>
      </w:r>
      <w:r w:rsidR="0095241E">
        <w:t>cker</w:t>
      </w:r>
      <w:proofErr w:type="spellEnd"/>
      <w:r w:rsidR="0095241E">
        <w:t xml:space="preserve"> et al (2020) finds evidence of a substantial increase in mark</w:t>
      </w:r>
      <w:r w:rsidR="00252C43">
        <w:noBreakHyphen/>
      </w:r>
      <w:r w:rsidR="0095241E">
        <w:t xml:space="preserve">ups in the US since the 1980s, though </w:t>
      </w:r>
      <w:proofErr w:type="spellStart"/>
      <w:r w:rsidR="0095241E">
        <w:t>Traina</w:t>
      </w:r>
      <w:proofErr w:type="spellEnd"/>
      <w:r w:rsidR="0095241E">
        <w:t xml:space="preserve"> (2018) disputes the magnitude of the increase. Meanwhile</w:t>
      </w:r>
      <w:r w:rsidR="00492218">
        <w:t>,</w:t>
      </w:r>
      <w:r w:rsidR="0095241E">
        <w:t xml:space="preserve"> De </w:t>
      </w:r>
      <w:proofErr w:type="spellStart"/>
      <w:r w:rsidR="0095241E">
        <w:t>Loecker</w:t>
      </w:r>
      <w:proofErr w:type="spellEnd"/>
      <w:r w:rsidR="0095241E">
        <w:t xml:space="preserve"> and </w:t>
      </w:r>
      <w:proofErr w:type="spellStart"/>
      <w:r w:rsidR="0095241E">
        <w:t>Eeck</w:t>
      </w:r>
      <w:r w:rsidR="009E7A2D">
        <w:t>h</w:t>
      </w:r>
      <w:r w:rsidR="0095241E">
        <w:t>out</w:t>
      </w:r>
      <w:proofErr w:type="spellEnd"/>
      <w:r w:rsidR="0095241E">
        <w:t xml:space="preserve"> (2018) and Diez et al (2019) document substantial increases </w:t>
      </w:r>
      <w:r w:rsidR="00806175">
        <w:t xml:space="preserve">in </w:t>
      </w:r>
      <w:r w:rsidR="0095241E">
        <w:t>mark</w:t>
      </w:r>
      <w:r w:rsidR="00252C43">
        <w:noBreakHyphen/>
      </w:r>
      <w:r w:rsidR="0095241E">
        <w:t>ups globally over the past three decades. Several papers have also documented increase</w:t>
      </w:r>
      <w:r w:rsidR="00DC012C">
        <w:t>s</w:t>
      </w:r>
      <w:r w:rsidR="0095241E">
        <w:t xml:space="preserve"> in the degree of industry concentration, </w:t>
      </w:r>
      <w:r w:rsidR="0095241E">
        <w:lastRenderedPageBreak/>
        <w:t>including Auto</w:t>
      </w:r>
      <w:r w:rsidR="00492218">
        <w:t>r et al (</w:t>
      </w:r>
      <w:r w:rsidR="00A310EE">
        <w:t>2020</w:t>
      </w:r>
      <w:r w:rsidR="00492218">
        <w:t>)</w:t>
      </w:r>
      <w:r w:rsidR="0095241E">
        <w:t xml:space="preserve"> and </w:t>
      </w:r>
      <w:proofErr w:type="spellStart"/>
      <w:r w:rsidR="0095241E" w:rsidRPr="001B7A75">
        <w:t>Grullon</w:t>
      </w:r>
      <w:proofErr w:type="spellEnd"/>
      <w:r w:rsidR="0095241E" w:rsidRPr="001B7A75">
        <w:t xml:space="preserve"> et al (2019)</w:t>
      </w:r>
      <w:r w:rsidR="0095241E">
        <w:t xml:space="preserve"> for the US, and </w:t>
      </w:r>
      <w:proofErr w:type="spellStart"/>
      <w:r w:rsidR="0095241E" w:rsidRPr="001B7A75">
        <w:t>Bajgar</w:t>
      </w:r>
      <w:proofErr w:type="spellEnd"/>
      <w:r w:rsidR="0095241E" w:rsidRPr="001B7A75">
        <w:t xml:space="preserve"> et al (2019)</w:t>
      </w:r>
      <w:r w:rsidR="0095241E">
        <w:t xml:space="preserve"> for Europe and North America.</w:t>
      </w:r>
    </w:p>
    <w:p w14:paraId="568C250A" w14:textId="77777777" w:rsidR="0095241E" w:rsidRDefault="0095241E" w:rsidP="00492218">
      <w:pPr>
        <w:jc w:val="both"/>
      </w:pPr>
      <w:r>
        <w:t xml:space="preserve">This heightened interest in market power has been prompted by </w:t>
      </w:r>
      <w:proofErr w:type="gramStart"/>
      <w:r>
        <w:t>a number of</w:t>
      </w:r>
      <w:proofErr w:type="gramEnd"/>
      <w:r>
        <w:t xml:space="preserve"> worrisome macroeconomic trends, which can potentially be explained by increasing market power amongst firms (IMF 2019). These trends include: </w:t>
      </w:r>
    </w:p>
    <w:p w14:paraId="5975C8F9" w14:textId="1EF14A3F" w:rsidR="0095241E" w:rsidRDefault="00806175" w:rsidP="0095241E">
      <w:pPr>
        <w:pStyle w:val="Bullet"/>
        <w:keepNext w:val="0"/>
        <w:numPr>
          <w:ilvl w:val="0"/>
          <w:numId w:val="24"/>
        </w:numPr>
        <w:spacing w:after="160" w:line="259" w:lineRule="auto"/>
      </w:pPr>
      <w:r>
        <w:t>D</w:t>
      </w:r>
      <w:r w:rsidR="0095241E">
        <w:t>eclines in the share of income being paid to labour and capital (</w:t>
      </w:r>
      <w:proofErr w:type="spellStart"/>
      <w:r w:rsidR="0095241E">
        <w:t>Karabarbounis</w:t>
      </w:r>
      <w:proofErr w:type="spellEnd"/>
      <w:r w:rsidR="0095241E">
        <w:t xml:space="preserve"> and Neiman 2014; </w:t>
      </w:r>
      <w:proofErr w:type="spellStart"/>
      <w:r w:rsidR="0095241E" w:rsidRPr="00301A33">
        <w:t>Barkai</w:t>
      </w:r>
      <w:proofErr w:type="spellEnd"/>
      <w:r w:rsidR="0095241E" w:rsidRPr="00301A33">
        <w:t xml:space="preserve"> 2019</w:t>
      </w:r>
      <w:proofErr w:type="gramStart"/>
      <w:r w:rsidR="0095241E">
        <w:t>)</w:t>
      </w:r>
      <w:r w:rsidR="00492218">
        <w:t>;</w:t>
      </w:r>
      <w:proofErr w:type="gramEnd"/>
    </w:p>
    <w:p w14:paraId="16ABD838" w14:textId="45BC0C6C" w:rsidR="0095241E" w:rsidRDefault="0095241E" w:rsidP="0095241E">
      <w:pPr>
        <w:pStyle w:val="Bullet"/>
        <w:keepNext w:val="0"/>
        <w:numPr>
          <w:ilvl w:val="0"/>
          <w:numId w:val="24"/>
        </w:numPr>
        <w:spacing w:after="160" w:line="259" w:lineRule="auto"/>
      </w:pPr>
      <w:r>
        <w:t>Low rates of investment despite low capital costs (</w:t>
      </w:r>
      <w:proofErr w:type="gramStart"/>
      <w:r w:rsidR="00E8411C">
        <w:t>Gutiérrez  and</w:t>
      </w:r>
      <w:proofErr w:type="gramEnd"/>
      <w:r w:rsidR="00E8411C">
        <w:t xml:space="preserve"> </w:t>
      </w:r>
      <w:r w:rsidRPr="00E8411C">
        <w:t>Phili</w:t>
      </w:r>
      <w:r w:rsidR="009E7A2D">
        <w:t>p</w:t>
      </w:r>
      <w:r w:rsidRPr="00E8411C">
        <w:t>pon 201</w:t>
      </w:r>
      <w:r w:rsidR="00E8411C">
        <w:t>7</w:t>
      </w:r>
      <w:r>
        <w:t>)</w:t>
      </w:r>
      <w:r w:rsidR="00492218">
        <w:t>;</w:t>
      </w:r>
    </w:p>
    <w:p w14:paraId="59929510" w14:textId="15242A50" w:rsidR="0095241E" w:rsidRDefault="0095241E" w:rsidP="0095241E">
      <w:pPr>
        <w:pStyle w:val="Bullet"/>
        <w:keepNext w:val="0"/>
        <w:numPr>
          <w:ilvl w:val="0"/>
          <w:numId w:val="24"/>
        </w:numPr>
        <w:spacing w:after="160" w:line="259" w:lineRule="auto"/>
      </w:pPr>
      <w:r>
        <w:t>Slower diffusion of technologies (Andrews et al 201</w:t>
      </w:r>
      <w:r w:rsidR="00CD4492">
        <w:t>9</w:t>
      </w:r>
      <w:proofErr w:type="gramStart"/>
      <w:r>
        <w:t>)</w:t>
      </w:r>
      <w:r w:rsidR="00492218">
        <w:t>;</w:t>
      </w:r>
      <w:proofErr w:type="gramEnd"/>
    </w:p>
    <w:p w14:paraId="676D73E8" w14:textId="09DF5092" w:rsidR="0095241E" w:rsidRDefault="0095241E" w:rsidP="0095241E">
      <w:pPr>
        <w:pStyle w:val="Bullet"/>
        <w:keepNext w:val="0"/>
        <w:numPr>
          <w:ilvl w:val="0"/>
          <w:numId w:val="24"/>
        </w:numPr>
        <w:spacing w:after="160" w:line="259" w:lineRule="auto"/>
      </w:pPr>
      <w:r>
        <w:t>Less efficient reallocation of resources to efficient firms (</w:t>
      </w:r>
      <w:r w:rsidRPr="00E8411C">
        <w:t>Decker et al 201</w:t>
      </w:r>
      <w:r w:rsidR="00E8411C">
        <w:t>7</w:t>
      </w:r>
      <w:r>
        <w:t>)</w:t>
      </w:r>
      <w:r w:rsidR="00DC012C">
        <w:t>, and declining labour market dynamism more generally</w:t>
      </w:r>
      <w:r w:rsidR="00492218">
        <w:t>; and</w:t>
      </w:r>
    </w:p>
    <w:p w14:paraId="6D04771A" w14:textId="51E0C382" w:rsidR="0095241E" w:rsidRDefault="0095241E" w:rsidP="0095241E">
      <w:pPr>
        <w:pStyle w:val="Bullet"/>
        <w:keepNext w:val="0"/>
        <w:numPr>
          <w:ilvl w:val="0"/>
          <w:numId w:val="24"/>
        </w:numPr>
        <w:spacing w:after="160" w:line="259" w:lineRule="auto"/>
      </w:pPr>
      <w:r>
        <w:t>Declining firm entry rates (</w:t>
      </w:r>
      <w:r w:rsidR="00C6572C">
        <w:t xml:space="preserve">Gutiérrez and </w:t>
      </w:r>
      <w:r w:rsidR="00C6572C" w:rsidRPr="00E8411C">
        <w:t>Phili</w:t>
      </w:r>
      <w:r w:rsidR="009E7A2D">
        <w:t>p</w:t>
      </w:r>
      <w:r w:rsidR="00C6572C" w:rsidRPr="00E8411C">
        <w:t>pon 201</w:t>
      </w:r>
      <w:r w:rsidR="00C6572C">
        <w:t>9</w:t>
      </w:r>
      <w:r>
        <w:t>)</w:t>
      </w:r>
      <w:r w:rsidR="00492218">
        <w:t>.</w:t>
      </w:r>
    </w:p>
    <w:p w14:paraId="5F5A08E5" w14:textId="2E2CC0D9" w:rsidR="0095241E" w:rsidRDefault="0095241E" w:rsidP="00492218">
      <w:pPr>
        <w:jc w:val="both"/>
      </w:pPr>
      <w:r>
        <w:t xml:space="preserve">Increasing market power has the potential to explain </w:t>
      </w:r>
      <w:proofErr w:type="gramStart"/>
      <w:r>
        <w:t>all of</w:t>
      </w:r>
      <w:proofErr w:type="gramEnd"/>
      <w:r>
        <w:t xml:space="preserve"> these phenomena. As discussed in more detail below, market power allows firms to charge prices that are above their marginal costs of production. As prices are above the cost of production, the firm </w:t>
      </w:r>
      <w:proofErr w:type="gramStart"/>
      <w:r>
        <w:t>is able to</w:t>
      </w:r>
      <w:proofErr w:type="gramEnd"/>
      <w:r>
        <w:t xml:space="preserve"> earn </w:t>
      </w:r>
      <w:r w:rsidR="00252C43">
        <w:t>‘</w:t>
      </w:r>
      <w:r>
        <w:t>excess economic</w:t>
      </w:r>
      <w:r w:rsidR="00252C43">
        <w:t>’</w:t>
      </w:r>
      <w:r>
        <w:t xml:space="preserve"> profits. That is, they make profits beyond what is required to pay labour, </w:t>
      </w:r>
      <w:proofErr w:type="gramStart"/>
      <w:r>
        <w:t>capital</w:t>
      </w:r>
      <w:proofErr w:type="gramEnd"/>
      <w:r>
        <w:t xml:space="preserve"> and other factors of production. Accordingly, these profits are often referred to as the </w:t>
      </w:r>
      <w:r w:rsidR="00252C43">
        <w:t>‘</w:t>
      </w:r>
      <w:r>
        <w:t>profit share</w:t>
      </w:r>
      <w:r w:rsidR="00252C43">
        <w:t>’</w:t>
      </w:r>
      <w:r>
        <w:t xml:space="preserve"> of income, as they are additional income that is not paid to other factors. Mechanically, this lowers the share of income payable to other factors such as labour. </w:t>
      </w:r>
      <w:proofErr w:type="spellStart"/>
      <w:r>
        <w:t>Barkai</w:t>
      </w:r>
      <w:proofErr w:type="spellEnd"/>
      <w:r>
        <w:t xml:space="preserve"> (2019) demonstrates that the profit share in the US has increased, and links this to increasing market power and mark</w:t>
      </w:r>
      <w:r w:rsidR="00252C43">
        <w:noBreakHyphen/>
      </w:r>
      <w:r>
        <w:t>ups</w:t>
      </w:r>
      <w:r w:rsidR="009607BC">
        <w:t xml:space="preserve">. </w:t>
      </w:r>
    </w:p>
    <w:p w14:paraId="1C141B20" w14:textId="242BEDA8" w:rsidR="0095241E" w:rsidRPr="00E8411C" w:rsidRDefault="0095241E" w:rsidP="00492218">
      <w:pPr>
        <w:jc w:val="both"/>
        <w:rPr>
          <w:color w:val="auto"/>
        </w:rPr>
      </w:pPr>
      <w:r>
        <w:t>The relationship between competition,</w:t>
      </w:r>
      <w:r w:rsidR="00492218">
        <w:t xml:space="preserve"> and</w:t>
      </w:r>
      <w:r>
        <w:t xml:space="preserve"> investment, innovation and technology adoption </w:t>
      </w:r>
      <w:proofErr w:type="gramStart"/>
      <w:r>
        <w:t>is</w:t>
      </w:r>
      <w:proofErr w:type="gramEnd"/>
      <w:r>
        <w:t xml:space="preserve"> more complicated. In many models, greater competition can lead to </w:t>
      </w:r>
      <w:proofErr w:type="gramStart"/>
      <w:r>
        <w:t>more or less innovation</w:t>
      </w:r>
      <w:proofErr w:type="gramEnd"/>
      <w:r>
        <w:t xml:space="preserve"> and investment, depending on the exact market </w:t>
      </w:r>
      <w:r w:rsidRPr="00E8411C">
        <w:rPr>
          <w:color w:val="auto"/>
        </w:rPr>
        <w:t xml:space="preserve">structure (e.g. Aghion </w:t>
      </w:r>
      <w:r w:rsidR="009D1003">
        <w:rPr>
          <w:color w:val="auto"/>
        </w:rPr>
        <w:t xml:space="preserve">et al </w:t>
      </w:r>
      <w:r w:rsidRPr="00E8411C">
        <w:rPr>
          <w:color w:val="auto"/>
        </w:rPr>
        <w:t>2005</w:t>
      </w:r>
      <w:r w:rsidRPr="00153BEB">
        <w:rPr>
          <w:rStyle w:val="Hyperlink"/>
          <w:color w:val="auto"/>
          <w:u w:val="none"/>
        </w:rPr>
        <w:t>)</w:t>
      </w:r>
      <w:r w:rsidRPr="00E8411C">
        <w:rPr>
          <w:color w:val="auto"/>
        </w:rPr>
        <w:t xml:space="preserve">. Weak competition can raise the </w:t>
      </w:r>
      <w:r w:rsidR="00FB5FE8">
        <w:rPr>
          <w:color w:val="auto"/>
        </w:rPr>
        <w:t xml:space="preserve">potential profits from </w:t>
      </w:r>
      <w:r w:rsidRPr="00E8411C">
        <w:rPr>
          <w:color w:val="auto"/>
        </w:rPr>
        <w:t>innovation and thus incentivise more innovative activity. But it can also blunt incentives to innovate and adopt, particularly if there is a large gap between the best and worst firms. Relatedly, Perla et al (2019) show the rate of technology adoption tends to increase when there is more competition from overseas.</w:t>
      </w:r>
    </w:p>
    <w:p w14:paraId="4A615D9C" w14:textId="0B994913" w:rsidR="0095241E" w:rsidRDefault="0095241E" w:rsidP="00492218">
      <w:pPr>
        <w:jc w:val="both"/>
      </w:pPr>
      <w:r w:rsidRPr="00E8411C">
        <w:rPr>
          <w:color w:val="auto"/>
        </w:rPr>
        <w:t>While the theoretical predictions are som</w:t>
      </w:r>
      <w:r>
        <w:t xml:space="preserve">ewhat ambiguous, numerous recent papers have found empirical links between competition, and investment, </w:t>
      </w:r>
      <w:proofErr w:type="gramStart"/>
      <w:r>
        <w:t>innovation</w:t>
      </w:r>
      <w:proofErr w:type="gramEnd"/>
      <w:r>
        <w:t xml:space="preserve"> and technology adoption. For example, </w:t>
      </w:r>
      <w:r w:rsidR="00E8411C">
        <w:t xml:space="preserve">Gutiérrez and </w:t>
      </w:r>
      <w:r w:rsidR="00E8411C" w:rsidRPr="00E8411C">
        <w:t>Phili</w:t>
      </w:r>
      <w:r w:rsidR="009E7A2D">
        <w:t>p</w:t>
      </w:r>
      <w:r w:rsidR="00E8411C" w:rsidRPr="00E8411C">
        <w:t xml:space="preserve">pon </w:t>
      </w:r>
      <w:r>
        <w:t>(2017</w:t>
      </w:r>
      <w:r w:rsidRPr="00E8411C">
        <w:t>a</w:t>
      </w:r>
      <w:r>
        <w:t xml:space="preserve">, </w:t>
      </w:r>
      <w:r w:rsidRPr="00E8411C">
        <w:t>b</w:t>
      </w:r>
      <w:r>
        <w:t>) find that investment has been weaker than would be expected in less competitive industries, particularly for larger</w:t>
      </w:r>
      <w:r w:rsidR="00CD4492">
        <w:t xml:space="preserve"> firms. Andrews et al (2019</w:t>
      </w:r>
      <w:r>
        <w:t>) finds that the rate at which laggard firms catch up to the global productivity frontier, an indicator the pace of technology adoption, is slower in industries that have had fewer pro</w:t>
      </w:r>
      <w:r w:rsidR="00252C43">
        <w:noBreakHyphen/>
      </w:r>
      <w:r>
        <w:t>competitive reforms.</w:t>
      </w:r>
    </w:p>
    <w:p w14:paraId="1451125A" w14:textId="376360A0" w:rsidR="0095241E" w:rsidRDefault="0095241E" w:rsidP="004E57F4">
      <w:pPr>
        <w:jc w:val="both"/>
      </w:pPr>
      <w:r>
        <w:t xml:space="preserve">Increased market power can also potentially explain the fact that the pace at which resources are reallocated from less to more productive firms has slowed. For example, in many </w:t>
      </w:r>
      <w:proofErr w:type="gramStart"/>
      <w:r>
        <w:t>models</w:t>
      </w:r>
      <w:proofErr w:type="gramEnd"/>
      <w:r>
        <w:t xml:space="preserve"> higher market power and mark</w:t>
      </w:r>
      <w:r w:rsidR="00252C43">
        <w:noBreakHyphen/>
      </w:r>
      <w:r>
        <w:t xml:space="preserve">ups </w:t>
      </w:r>
      <w:r w:rsidR="004E57F4">
        <w:t>are</w:t>
      </w:r>
      <w:r>
        <w:t xml:space="preserve"> associated with less pass</w:t>
      </w:r>
      <w:r w:rsidR="00252C43">
        <w:noBreakHyphen/>
      </w:r>
      <w:r>
        <w:t>through of chang</w:t>
      </w:r>
      <w:r w:rsidR="004E57F4">
        <w:t>es in costs</w:t>
      </w:r>
      <w:r>
        <w:t xml:space="preserve"> onto prices and quantities (e.g. </w:t>
      </w:r>
      <w:r w:rsidR="00E8411C" w:rsidRPr="00E8411C">
        <w:t xml:space="preserve">De </w:t>
      </w:r>
      <w:proofErr w:type="spellStart"/>
      <w:r w:rsidR="00E8411C" w:rsidRPr="00E8411C">
        <w:t>Loecker</w:t>
      </w:r>
      <w:proofErr w:type="spellEnd"/>
      <w:r w:rsidR="00E8411C" w:rsidRPr="00E8411C">
        <w:t xml:space="preserve"> et al</w:t>
      </w:r>
      <w:r w:rsidRPr="00E8411C">
        <w:t xml:space="preserve"> 20</w:t>
      </w:r>
      <w:r w:rsidR="004A6B19">
        <w:t>21</w:t>
      </w:r>
      <w:r w:rsidR="00E8411C">
        <w:t>)</w:t>
      </w:r>
      <w:r>
        <w:t>. As such, the pass</w:t>
      </w:r>
      <w:r w:rsidR="00252C43">
        <w:noBreakHyphen/>
      </w:r>
      <w:r>
        <w:t>through of productivity shocks to actual production, and therefore to the quantity of inputs, will be lower, meaning less efficient reallocation of resources in response to such shocks. From a more intuitive stand</w:t>
      </w:r>
      <w:r w:rsidR="00252C43">
        <w:noBreakHyphen/>
      </w:r>
      <w:r>
        <w:t>point, if markets are less competitive, there will be less pressure for low productivity firms to shrink and exit the market, freeing up resources for more productive firms (</w:t>
      </w:r>
      <w:r w:rsidR="00A310EE" w:rsidRPr="002C29FC">
        <w:t xml:space="preserve">Covarrubias </w:t>
      </w:r>
      <w:r>
        <w:t>et al 2019).</w:t>
      </w:r>
    </w:p>
    <w:p w14:paraId="0539B0A9" w14:textId="45781E73" w:rsidR="0095241E" w:rsidRDefault="0095241E" w:rsidP="004E57F4">
      <w:pPr>
        <w:jc w:val="both"/>
      </w:pPr>
      <w:r>
        <w:t>Finally, regarding firm entry rates, to the extent that increased market power relates to greater barriers to firm entry, the two will be necessarily linked.</w:t>
      </w:r>
      <w:r w:rsidR="00A310EE">
        <w:t xml:space="preserve"> Gutiérrez and </w:t>
      </w:r>
      <w:r w:rsidR="009E7A2D">
        <w:t>Phil</w:t>
      </w:r>
      <w:r w:rsidR="00A310EE" w:rsidRPr="00E8411C">
        <w:t>ip</w:t>
      </w:r>
      <w:r w:rsidR="009E7A2D">
        <w:t>p</w:t>
      </w:r>
      <w:r w:rsidR="00A310EE" w:rsidRPr="00E8411C">
        <w:t xml:space="preserve">on </w:t>
      </w:r>
      <w:r w:rsidR="00A310EE">
        <w:t>(2019)</w:t>
      </w:r>
      <w:r>
        <w:t xml:space="preserve"> find some evidence that </w:t>
      </w:r>
      <w:r>
        <w:lastRenderedPageBreak/>
        <w:t>such barriers have increased, as firm entry rates appear to have become less responsive to measures of industry profitability.</w:t>
      </w:r>
    </w:p>
    <w:p w14:paraId="113AEC15" w14:textId="6F3FD3D2" w:rsidR="0095241E" w:rsidRDefault="0095241E" w:rsidP="004E57F4">
      <w:pPr>
        <w:jc w:val="both"/>
      </w:pPr>
      <w:r>
        <w:t xml:space="preserve">Nevertheless, it is important to note that numerous papers have argued that the documented increases in measures of market power could reflect other, more benign factors. For example, </w:t>
      </w:r>
      <w:r w:rsidRPr="00A310EE">
        <w:t>Autor et al (2020)</w:t>
      </w:r>
      <w:r>
        <w:t xml:space="preserve"> argue that increases in measures of concentration and mark</w:t>
      </w:r>
      <w:r w:rsidR="00252C43">
        <w:noBreakHyphen/>
      </w:r>
      <w:r>
        <w:t xml:space="preserve">ups reflect an </w:t>
      </w:r>
      <w:r>
        <w:rPr>
          <w:i/>
        </w:rPr>
        <w:t>increase</w:t>
      </w:r>
      <w:r>
        <w:t xml:space="preserve"> in competition, which benefits the most productive firms as it drives out others. This leads to a reallocation of resources towards these productive firms who tend to have higher mark</w:t>
      </w:r>
      <w:r w:rsidR="00252C43">
        <w:noBreakHyphen/>
      </w:r>
      <w:r>
        <w:t>ups, and so raises aggregate mark</w:t>
      </w:r>
      <w:r w:rsidR="00252C43">
        <w:noBreakHyphen/>
      </w:r>
      <w:r>
        <w:t>ups.</w:t>
      </w:r>
      <w:r>
        <w:rPr>
          <w:rStyle w:val="FootnoteReference"/>
        </w:rPr>
        <w:footnoteReference w:id="6"/>
      </w:r>
      <w:r>
        <w:t xml:space="preserve"> </w:t>
      </w:r>
    </w:p>
    <w:p w14:paraId="1C7FAD4F" w14:textId="3BFDB2BB" w:rsidR="0095241E" w:rsidRDefault="0095241E" w:rsidP="004E57F4">
      <w:pPr>
        <w:jc w:val="both"/>
      </w:pPr>
      <w:r>
        <w:t>Other</w:t>
      </w:r>
      <w:r w:rsidR="00483740">
        <w:t>s</w:t>
      </w:r>
      <w:r>
        <w:t xml:space="preserve"> have argued that the documented increases reflect changes in technology, such as the increasing importance of intangible capital and other types of fixed costs, which lead to increasing returns to scale (e.g. </w:t>
      </w:r>
      <w:proofErr w:type="spellStart"/>
      <w:r w:rsidRPr="00A310EE">
        <w:t>Haskel</w:t>
      </w:r>
      <w:proofErr w:type="spellEnd"/>
      <w:r w:rsidRPr="00A310EE">
        <w:t xml:space="preserve"> and Westlake 201</w:t>
      </w:r>
      <w:r w:rsidR="00FF6B62">
        <w:t>7</w:t>
      </w:r>
      <w:r w:rsidRPr="00C9549C">
        <w:t>). These greater</w:t>
      </w:r>
      <w:r>
        <w:t xml:space="preserve"> returns to scale inevitably lead to larger firms, and so could account for greater industry concentration and potentially also higher mark</w:t>
      </w:r>
      <w:r w:rsidR="00252C43">
        <w:noBreakHyphen/>
      </w:r>
      <w:r>
        <w:t>ups</w:t>
      </w:r>
      <w:r w:rsidR="00DC012C">
        <w:t xml:space="preserve">, </w:t>
      </w:r>
      <w:r w:rsidR="004E57F4">
        <w:t>particularly</w:t>
      </w:r>
      <w:r w:rsidR="00DC012C">
        <w:t xml:space="preserve"> if firms need to charge mark</w:t>
      </w:r>
      <w:r w:rsidR="00252C43">
        <w:noBreakHyphen/>
      </w:r>
      <w:r w:rsidR="00DC012C">
        <w:t>ups to cover their fixed outlays</w:t>
      </w:r>
      <w:r>
        <w:t xml:space="preserve">. This explanation for the documented increase in measures of market power is relatively </w:t>
      </w:r>
      <w:proofErr w:type="gramStart"/>
      <w:r>
        <w:t>benign</w:t>
      </w:r>
      <w:r w:rsidR="00DC012C">
        <w:t>, and</w:t>
      </w:r>
      <w:proofErr w:type="gramEnd"/>
      <w:r w:rsidR="00DC012C">
        <w:t xml:space="preserve"> could also account for many of the trends in dynamism that have been documented in the literature.</w:t>
      </w:r>
      <w:r>
        <w:t xml:space="preserve"> However, to the extent that firms raise their mark</w:t>
      </w:r>
      <w:r w:rsidR="00252C43">
        <w:noBreakHyphen/>
      </w:r>
      <w:r>
        <w:t>ups as they grow, which is the case in many models (e.g. Edmond</w:t>
      </w:r>
      <w:r w:rsidR="00A310EE">
        <w:t xml:space="preserve"> et al</w:t>
      </w:r>
      <w:r>
        <w:t xml:space="preserve"> 2019; D</w:t>
      </w:r>
      <w:r w:rsidRPr="001D7DC7">
        <w:t xml:space="preserve">e </w:t>
      </w:r>
      <w:proofErr w:type="spellStart"/>
      <w:r w:rsidRPr="001D7DC7">
        <w:t>Loecker</w:t>
      </w:r>
      <w:proofErr w:type="spellEnd"/>
      <w:r w:rsidRPr="001D7DC7">
        <w:t xml:space="preserve">, </w:t>
      </w:r>
      <w:proofErr w:type="spellStart"/>
      <w:r w:rsidRPr="001D7DC7">
        <w:t>Eeckhout</w:t>
      </w:r>
      <w:proofErr w:type="spellEnd"/>
      <w:r w:rsidRPr="001D7DC7">
        <w:t xml:space="preserve"> and </w:t>
      </w:r>
      <w:proofErr w:type="spellStart"/>
      <w:r w:rsidRPr="001D7DC7">
        <w:t>Mongey</w:t>
      </w:r>
      <w:proofErr w:type="spellEnd"/>
      <w:r w:rsidRPr="001D7DC7">
        <w:t xml:space="preserve"> 2019</w:t>
      </w:r>
      <w:r>
        <w:t>), or can then use their scale to erect barriers to entry in the future, it is not entirely benign.</w:t>
      </w:r>
    </w:p>
    <w:p w14:paraId="28D04704" w14:textId="700294F3" w:rsidR="0095241E" w:rsidRDefault="0095241E" w:rsidP="0095241E">
      <w:pPr>
        <w:pStyle w:val="Heading3"/>
      </w:pPr>
      <w:r>
        <w:t>2.2 Australian evidence</w:t>
      </w:r>
    </w:p>
    <w:p w14:paraId="5AB3EE18" w14:textId="1ACF490D" w:rsidR="0095241E" w:rsidRDefault="0095241E" w:rsidP="004E57F4">
      <w:pPr>
        <w:jc w:val="both"/>
      </w:pPr>
      <w:r>
        <w:t>As noted in the introduction, there is very little work documenting mark</w:t>
      </w:r>
      <w:r w:rsidR="00252C43">
        <w:noBreakHyphen/>
      </w:r>
      <w:r>
        <w:t>ups amongst Australian firms. That said, there is some more indirect evidence that market power in Australia may have increased.</w:t>
      </w:r>
    </w:p>
    <w:p w14:paraId="43C1ECD4" w14:textId="504FC110" w:rsidR="0095241E" w:rsidRDefault="0095241E" w:rsidP="004E57F4">
      <w:pPr>
        <w:jc w:val="both"/>
      </w:pPr>
      <w:r>
        <w:t xml:space="preserve">Some of this evidence relates to the potential </w:t>
      </w:r>
      <w:r w:rsidRPr="002137F7">
        <w:t>macroeconomic effects of increased market power: investment has been weak, despite declines in funding costs (</w:t>
      </w:r>
      <w:r w:rsidR="002137F7" w:rsidRPr="002137F7">
        <w:t>V</w:t>
      </w:r>
      <w:r w:rsidR="00C6572C" w:rsidRPr="002137F7">
        <w:t>an der Merwe et al 2018</w:t>
      </w:r>
      <w:r w:rsidRPr="002137F7">
        <w:t>); the pace at which firms adopt world</w:t>
      </w:r>
      <w:r w:rsidR="00252C43">
        <w:noBreakHyphen/>
      </w:r>
      <w:r w:rsidRPr="002137F7">
        <w:t>leading technologies appears to have slowed (Quinn 2019; Andrews</w:t>
      </w:r>
      <w:r w:rsidR="00A310EE">
        <w:t xml:space="preserve"> et al</w:t>
      </w:r>
      <w:r>
        <w:t xml:space="preserve"> forthcoming); </w:t>
      </w:r>
      <w:r w:rsidR="009745FB">
        <w:t>measures of labour market dynamism have declined (</w:t>
      </w:r>
      <w:r w:rsidR="009745FB">
        <w:fldChar w:fldCharType="begin"/>
      </w:r>
      <w:r w:rsidR="009745FB">
        <w:instrText xml:space="preserve"> REF _Ref42694469 \h  \* MERGEFORMAT </w:instrText>
      </w:r>
      <w:r w:rsidR="009745FB">
        <w:fldChar w:fldCharType="separate"/>
      </w:r>
      <w:r w:rsidR="007D6DAF" w:rsidRPr="007D6DAF">
        <w:t>Figure 1</w:t>
      </w:r>
      <w:r w:rsidR="009745FB">
        <w:fldChar w:fldCharType="end"/>
      </w:r>
      <w:r w:rsidR="009745FB">
        <w:t xml:space="preserve"> Panel A); </w:t>
      </w:r>
      <w:r>
        <w:t>reallocation of resources to more produc</w:t>
      </w:r>
      <w:r w:rsidR="00483740">
        <w:t>tiv</w:t>
      </w:r>
      <w:r>
        <w:t>e firms has slowed (Andrews and Hansell 2019</w:t>
      </w:r>
      <w:r w:rsidR="009745FB">
        <w:t>; Figure 1 Panel B</w:t>
      </w:r>
      <w:r>
        <w:t>);</w:t>
      </w:r>
      <w:r w:rsidR="002137F7">
        <w:t xml:space="preserve"> </w:t>
      </w:r>
      <w:r>
        <w:t>and pass</w:t>
      </w:r>
      <w:r w:rsidR="00252C43">
        <w:noBreakHyphen/>
      </w:r>
      <w:r>
        <w:t>through of firm</w:t>
      </w:r>
      <w:r w:rsidR="00252C43">
        <w:noBreakHyphen/>
      </w:r>
      <w:r>
        <w:t xml:space="preserve">level profitability shocks to worker wages has declined (Andrews et al 2019). As discussed above, </w:t>
      </w:r>
      <w:proofErr w:type="gramStart"/>
      <w:r>
        <w:t>all of</w:t>
      </w:r>
      <w:proofErr w:type="gramEnd"/>
      <w:r>
        <w:t xml:space="preserve"> these trends could potentially reflect increased market power. Moreover, they all have substantive implications for productivity and wages.</w:t>
      </w:r>
    </w:p>
    <w:p w14:paraId="4E3C2FA8" w14:textId="77777777" w:rsidR="006E4F33" w:rsidRDefault="000C47BA" w:rsidP="006E4F33">
      <w:pPr>
        <w:pStyle w:val="ChartMainHeading"/>
      </w:pPr>
      <w:bookmarkStart w:id="2" w:name="_Ref42694469"/>
      <w:r w:rsidRPr="00F27A58">
        <w:lastRenderedPageBreak/>
        <w:t xml:space="preserve">Figure </w:t>
      </w:r>
      <w:fldSimple w:instr=" SEQ Figure \* ARABIC ">
        <w:r w:rsidR="007D6DAF">
          <w:rPr>
            <w:noProof/>
          </w:rPr>
          <w:t>1</w:t>
        </w:r>
      </w:fldSimple>
      <w:bookmarkEnd w:id="2"/>
      <w:r w:rsidRPr="00F27A58">
        <w:t xml:space="preserve">: </w:t>
      </w:r>
      <w:r w:rsidR="00C7374A">
        <w:t>Measures of Firm Dy</w:t>
      </w:r>
      <w:r w:rsidR="00F53BC0">
        <w:t>na</w:t>
      </w:r>
      <w:r w:rsidR="00C7374A">
        <w:t>mism</w:t>
      </w:r>
    </w:p>
    <w:p w14:paraId="30611E22" w14:textId="101EEB07" w:rsidR="000C47BA" w:rsidRDefault="003F3FF2" w:rsidP="006E4F33">
      <w:pPr>
        <w:pStyle w:val="ChartGraphic"/>
      </w:pPr>
      <w:r w:rsidRPr="003F3FF2">
        <w:rPr>
          <w:noProof/>
        </w:rPr>
        <w:drawing>
          <wp:inline distT="0" distB="0" distL="0" distR="0" wp14:anchorId="7BD4603A" wp14:editId="77E8196A">
            <wp:extent cx="5581650" cy="2889250"/>
            <wp:effectExtent l="0" t="0" r="0" b="0"/>
            <wp:docPr id="10" name="Picture 10" descr="The top panel of this chart shows two measures of dynamisms, firm entry and job switching rates, in the early 200s and in the mid-2010s. The rates of both have declined. The bottom panel shows estimated rates of efficient reallocation of resources across time and firm types. The rate has was lower in the mid-2010s than in 2003. In both cases this indicates declining dynam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650" cy="2889250"/>
                    </a:xfrm>
                    <a:prstGeom prst="rect">
                      <a:avLst/>
                    </a:prstGeom>
                    <a:noFill/>
                    <a:ln>
                      <a:noFill/>
                    </a:ln>
                  </pic:spPr>
                </pic:pic>
              </a:graphicData>
            </a:graphic>
          </wp:inline>
        </w:drawing>
      </w:r>
    </w:p>
    <w:p w14:paraId="086FF1C1" w14:textId="081CF0D7" w:rsidR="009745FB" w:rsidRDefault="00BA2867" w:rsidP="006E4F33">
      <w:pPr>
        <w:pStyle w:val="ChartGraphic"/>
        <w:rPr>
          <w:rFonts w:ascii="Arial Bold" w:hAnsi="Arial Bold"/>
          <w:b/>
          <w:i/>
          <w:iCs/>
          <w:sz w:val="22"/>
          <w:szCs w:val="22"/>
        </w:rPr>
      </w:pPr>
      <w:r w:rsidRPr="00BA2867">
        <w:rPr>
          <w:noProof/>
        </w:rPr>
        <w:drawing>
          <wp:inline distT="0" distB="0" distL="0" distR="0" wp14:anchorId="5001F31C" wp14:editId="27634B73">
            <wp:extent cx="5575300" cy="2882900"/>
            <wp:effectExtent l="0" t="0" r="0" b="0"/>
            <wp:docPr id="13" name="Picture 13" descr="The top panel of this chart shows two measures of dynamisms, firm entry and job switching rates, in the early 200s and in the mid-2010s. The rates of both have declined. The bottom panel shows estimated rates of efficient reallocation of resources across time and firm types. The rate has was lower in the mid-2010s than in 2003. In both cases this indicates declining dynam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5300" cy="2882900"/>
                    </a:xfrm>
                    <a:prstGeom prst="rect">
                      <a:avLst/>
                    </a:prstGeom>
                    <a:noFill/>
                    <a:ln>
                      <a:noFill/>
                    </a:ln>
                  </pic:spPr>
                </pic:pic>
              </a:graphicData>
            </a:graphic>
          </wp:inline>
        </w:drawing>
      </w:r>
    </w:p>
    <w:p w14:paraId="18CDD918" w14:textId="5C8DFCCA" w:rsidR="000C47BA" w:rsidRDefault="000C47BA" w:rsidP="00A42BAE">
      <w:pPr>
        <w:pStyle w:val="Chartnote"/>
        <w:keepNext/>
        <w:spacing w:after="240"/>
      </w:pPr>
      <w:r>
        <w:t xml:space="preserve">Note:  </w:t>
      </w:r>
      <w:r w:rsidR="003F3FF2">
        <w:t>In Panel A, e</w:t>
      </w:r>
      <w:r w:rsidR="00680FA4">
        <w:t>arly 2000s refers to 2002/03</w:t>
      </w:r>
      <w:r w:rsidR="00252C43">
        <w:noBreakHyphen/>
      </w:r>
      <w:r w:rsidR="00680FA4">
        <w:t>2004/05. Recent refers to 2013/14</w:t>
      </w:r>
      <w:r w:rsidR="00252C43">
        <w:noBreakHyphen/>
      </w:r>
      <w:r w:rsidR="00680FA4">
        <w:t xml:space="preserve">2015/17. Firm Entry rates are rates of entry for employing firms from </w:t>
      </w:r>
      <w:r w:rsidR="002E1FB5">
        <w:t xml:space="preserve">ABS Cat. No. </w:t>
      </w:r>
      <w:r w:rsidR="002E1FB5" w:rsidRPr="002E1FB5">
        <w:t>8165.0</w:t>
      </w:r>
      <w:r w:rsidR="00252C43">
        <w:t xml:space="preserve"> — </w:t>
      </w:r>
      <w:r w:rsidR="002E1FB5" w:rsidRPr="002E1FB5">
        <w:t>Counts of Australian Businesses, including Entries and Exits</w:t>
      </w:r>
      <w:r>
        <w:t>.</w:t>
      </w:r>
      <w:r w:rsidR="002E1FB5">
        <w:t xml:space="preserve"> Job switching rate is from Deutscher (2019).</w:t>
      </w:r>
      <w:r w:rsidR="00BA2867">
        <w:t xml:space="preserve"> Panel B shows the implied difference in growth and exit rates between high and low productivity firms across time. For more details, see Andrews and Hansell (2019).</w:t>
      </w:r>
    </w:p>
    <w:p w14:paraId="11933060" w14:textId="216B4E1F" w:rsidR="00950CFA" w:rsidRDefault="0095241E" w:rsidP="00A54748">
      <w:pPr>
        <w:jc w:val="both"/>
      </w:pPr>
      <w:r>
        <w:t>Some papers have also found evidence that Australian industries have become more concentrated (Hambur and La Cava 2018; Bakhtia</w:t>
      </w:r>
      <w:r w:rsidR="009E7A2D">
        <w:t>r</w:t>
      </w:r>
      <w:r>
        <w:t>i 2019), which might be indicative of rising market power. This is confirmed in</w:t>
      </w:r>
      <w:r w:rsidR="00A361F4">
        <w:t xml:space="preserve"> </w:t>
      </w:r>
      <w:r w:rsidR="00A361F4">
        <w:fldChar w:fldCharType="begin"/>
      </w:r>
      <w:r w:rsidR="00A361F4">
        <w:instrText xml:space="preserve"> REF _Ref42694488 \h </w:instrText>
      </w:r>
      <w:r w:rsidR="00A361F4">
        <w:fldChar w:fldCharType="separate"/>
      </w:r>
      <w:r w:rsidR="007D6DAF" w:rsidRPr="00F27A58">
        <w:t xml:space="preserve">Figure </w:t>
      </w:r>
      <w:r w:rsidR="007D6DAF">
        <w:rPr>
          <w:noProof/>
        </w:rPr>
        <w:t>2</w:t>
      </w:r>
      <w:r w:rsidR="00A361F4">
        <w:fldChar w:fldCharType="end"/>
      </w:r>
      <w:r>
        <w:t xml:space="preserve">, where I define concentration as the share of sales accruing to the largest </w:t>
      </w:r>
      <w:r w:rsidR="00E87D2A">
        <w:t>4</w:t>
      </w:r>
      <w:r>
        <w:t xml:space="preserve"> firms in an industry</w:t>
      </w:r>
      <w:r w:rsidR="001B38FF">
        <w:t xml:space="preserve"> (4</w:t>
      </w:r>
      <w:r w:rsidR="00252C43">
        <w:noBreakHyphen/>
      </w:r>
      <w:r w:rsidR="001B38FF">
        <w:t>digit ANSZIC industry)</w:t>
      </w:r>
      <w:r>
        <w:t>. Doing so, I find that concentration has increased by around 2 percentage point</w:t>
      </w:r>
      <w:r w:rsidR="00F53BC0">
        <w:t>s</w:t>
      </w:r>
      <w:r>
        <w:t xml:space="preserve"> since the mid</w:t>
      </w:r>
      <w:r w:rsidR="00252C43">
        <w:noBreakHyphen/>
      </w:r>
      <w:r>
        <w:t>2000s</w:t>
      </w:r>
      <w:r w:rsidR="00C7374A">
        <w:t xml:space="preserve"> (Panel </w:t>
      </w:r>
      <w:r w:rsidR="00F8066B">
        <w:t>A</w:t>
      </w:r>
      <w:r w:rsidR="00C7374A">
        <w:t>)</w:t>
      </w:r>
      <w:r>
        <w:t xml:space="preserve">. This is smaller than </w:t>
      </w:r>
      <w:r w:rsidR="00950CFA">
        <w:t xml:space="preserve">the </w:t>
      </w:r>
      <w:r>
        <w:t>increases documented for Europe and North America over this period (</w:t>
      </w:r>
      <w:proofErr w:type="spellStart"/>
      <w:r w:rsidRPr="00E85236">
        <w:t>Bajgar</w:t>
      </w:r>
      <w:proofErr w:type="spellEnd"/>
      <w:r w:rsidRPr="00E85236">
        <w:t xml:space="preserve"> et al 2019</w:t>
      </w:r>
      <w:r>
        <w:t>)</w:t>
      </w:r>
      <w:r w:rsidR="00DC012C">
        <w:t>.</w:t>
      </w:r>
      <w:r w:rsidR="00F8066B">
        <w:t xml:space="preserve"> There is also some evidence that </w:t>
      </w:r>
      <w:r w:rsidR="00950CFA">
        <w:t>concentration</w:t>
      </w:r>
      <w:r w:rsidR="00F8066B">
        <w:t xml:space="preserve"> is lower when measured using employment, and has potentially displayed a smaller increase, which is indicative of increasing mark</w:t>
      </w:r>
      <w:r w:rsidR="00252C43">
        <w:noBreakHyphen/>
      </w:r>
      <w:r w:rsidR="00F8066B">
        <w:t>ups (Edmond et al 2019</w:t>
      </w:r>
      <w:r w:rsidR="00950CFA">
        <w:t>; see Appendix D</w:t>
      </w:r>
      <w:r w:rsidR="00F8066B">
        <w:t>)</w:t>
      </w:r>
      <w:r w:rsidR="00231FD3">
        <w:t xml:space="preserve">. </w:t>
      </w:r>
    </w:p>
    <w:p w14:paraId="7C8C0260" w14:textId="0E81F957" w:rsidR="00A42BAE" w:rsidRDefault="00950CFA" w:rsidP="00950CFA">
      <w:pPr>
        <w:jc w:val="both"/>
      </w:pPr>
      <w:r>
        <w:t xml:space="preserve">Australian industries are also generally more concentrated than those in the US (Panel B). </w:t>
      </w:r>
      <w:r w:rsidR="00DC012C">
        <w:t>Though as I discuss below, this does not necessarily mean that firms have greater market power, given measures of concentration can have some drawbacks.</w:t>
      </w:r>
    </w:p>
    <w:p w14:paraId="2512D294" w14:textId="77777777" w:rsidR="006E4F33" w:rsidRDefault="00664776" w:rsidP="006E4F33">
      <w:pPr>
        <w:pStyle w:val="ChartMainHeading"/>
      </w:pPr>
      <w:bookmarkStart w:id="3" w:name="_Ref42694488"/>
      <w:r w:rsidRPr="00F27A58">
        <w:lastRenderedPageBreak/>
        <w:t xml:space="preserve">Figure </w:t>
      </w:r>
      <w:fldSimple w:instr=" SEQ Figure \* ARABIC ">
        <w:r w:rsidR="007D6DAF">
          <w:rPr>
            <w:noProof/>
          </w:rPr>
          <w:t>2</w:t>
        </w:r>
      </w:fldSimple>
      <w:bookmarkEnd w:id="3"/>
      <w:r w:rsidRPr="00F27A58">
        <w:t xml:space="preserve">: </w:t>
      </w:r>
      <w:r>
        <w:t>Share of Sales in Industries Made by Largest 4 Firms</w:t>
      </w:r>
    </w:p>
    <w:p w14:paraId="7E5C2E20" w14:textId="77777777" w:rsidR="006E4F33" w:rsidRDefault="00664776" w:rsidP="006E4F33">
      <w:pPr>
        <w:pStyle w:val="ChartGraphic"/>
      </w:pPr>
      <w:r w:rsidRPr="00E9695E">
        <w:t xml:space="preserve">Panel </w:t>
      </w:r>
      <w:r w:rsidR="00F8066B">
        <w:t>A</w:t>
      </w:r>
      <w:r w:rsidRPr="00E9695E">
        <w:t xml:space="preserve">: </w:t>
      </w:r>
      <w:r>
        <w:t>Average cumulative change in shares of largest 4 firms in an industry</w:t>
      </w:r>
      <w:r w:rsidRPr="00664776">
        <w:rPr>
          <w:noProof/>
        </w:rPr>
        <w:drawing>
          <wp:inline distT="0" distB="0" distL="0" distR="0" wp14:anchorId="00408232" wp14:editId="0F565186">
            <wp:extent cx="5575300" cy="2879725"/>
            <wp:effectExtent l="0" t="0" r="0" b="0"/>
            <wp:docPr id="38" name="Picture 38" descr="Panel A shows the average share of individual industries’ sales taken up by the four largest firms over time. Over time, the share has increased, indicating industries have on average become more concent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5300" cy="2879725"/>
                    </a:xfrm>
                    <a:prstGeom prst="rect">
                      <a:avLst/>
                    </a:prstGeom>
                    <a:noFill/>
                    <a:ln>
                      <a:noFill/>
                    </a:ln>
                  </pic:spPr>
                </pic:pic>
              </a:graphicData>
            </a:graphic>
          </wp:inline>
        </w:drawing>
      </w:r>
    </w:p>
    <w:p w14:paraId="1E9FD83C" w14:textId="77777777" w:rsidR="006E4F33" w:rsidRDefault="00F8066B" w:rsidP="006E4F33">
      <w:pPr>
        <w:pStyle w:val="ChartSecondHeading"/>
      </w:pPr>
      <w:r w:rsidRPr="00E9695E">
        <w:t xml:space="preserve">Panel </w:t>
      </w:r>
      <w:r w:rsidR="00E87D2A">
        <w:t>B</w:t>
      </w:r>
      <w:r w:rsidRPr="00E9695E">
        <w:t xml:space="preserve">: </w:t>
      </w:r>
      <w:r>
        <w:t>Sales</w:t>
      </w:r>
      <w:r w:rsidR="00252C43">
        <w:noBreakHyphen/>
      </w:r>
      <w:r>
        <w:t xml:space="preserve">weighted levels, by sector, 2012 </w:t>
      </w:r>
    </w:p>
    <w:p w14:paraId="39023E52" w14:textId="69989BDA" w:rsidR="00664776" w:rsidRDefault="00F8066B" w:rsidP="006E4F33">
      <w:pPr>
        <w:pStyle w:val="ChartGraphic"/>
      </w:pPr>
      <w:r w:rsidRPr="00664776">
        <w:rPr>
          <w:noProof/>
        </w:rPr>
        <w:drawing>
          <wp:inline distT="0" distB="0" distL="0" distR="0" wp14:anchorId="3679E192" wp14:editId="473DD9B4">
            <wp:extent cx="5575300" cy="2865755"/>
            <wp:effectExtent l="0" t="0" r="0" b="0"/>
            <wp:docPr id="39" name="Picture 39" descr="Panel B shows the average level of concentration in a number of sectors for Australia and the USA. Most sectors are more concentrated in Australia. Retail in an ex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5300" cy="2865755"/>
                    </a:xfrm>
                    <a:prstGeom prst="rect">
                      <a:avLst/>
                    </a:prstGeom>
                    <a:noFill/>
                    <a:ln>
                      <a:noFill/>
                    </a:ln>
                  </pic:spPr>
                </pic:pic>
              </a:graphicData>
            </a:graphic>
          </wp:inline>
        </w:drawing>
      </w:r>
    </w:p>
    <w:p w14:paraId="18CFA9BA" w14:textId="7DA98207" w:rsidR="00664776" w:rsidRDefault="00664776" w:rsidP="00A42BAE">
      <w:pPr>
        <w:pStyle w:val="Chartnote"/>
        <w:keepNext/>
        <w:spacing w:after="240"/>
      </w:pPr>
      <w:r>
        <w:t xml:space="preserve">Note:  </w:t>
      </w:r>
      <w:r w:rsidR="00680FB4">
        <w:t xml:space="preserve">Panel </w:t>
      </w:r>
      <w:r w:rsidR="00F8066B">
        <w:t>A</w:t>
      </w:r>
      <w:r w:rsidR="00680FB4">
        <w:t xml:space="preserve"> </w:t>
      </w:r>
      <w:r w:rsidR="00110636">
        <w:t xml:space="preserve">takes the yearly changes in the share of sales accruing to the largest 4 firms in an industry and aggregates </w:t>
      </w:r>
      <w:r w:rsidR="00E87D2A">
        <w:t>it</w:t>
      </w:r>
      <w:r w:rsidR="00110636">
        <w:t xml:space="preserve"> using either an unweighted average, or the size of the industry in sales. These changes are cumulated over time. </w:t>
      </w:r>
      <w:r w:rsidR="00F8066B">
        <w:t xml:space="preserve">Panel B takes the share of sales accruing to the largest 4 firms in an </w:t>
      </w:r>
      <w:proofErr w:type="gramStart"/>
      <w:r w:rsidR="00F8066B">
        <w:t>industry, and</w:t>
      </w:r>
      <w:proofErr w:type="gramEnd"/>
      <w:r w:rsidR="00F8066B">
        <w:t xml:space="preserve"> creates a sales</w:t>
      </w:r>
      <w:r w:rsidR="00252C43">
        <w:noBreakHyphen/>
      </w:r>
      <w:r w:rsidR="00F8066B">
        <w:t xml:space="preserve">weighted average of these metrics for each sector. Data for Australia come from ABS BLADE based on Treasury calculations. Services includes industries in the following ANZSIC divisions: Accommodation &amp; Food Services; Information, Media &amp; Technology; Rental Hiring and Real Estate; Professional, Scientific and Technical Services; Administrative Services, </w:t>
      </w:r>
      <w:proofErr w:type="gramStart"/>
      <w:r w:rsidR="00F8066B">
        <w:t>Art</w:t>
      </w:r>
      <w:proofErr w:type="gramEnd"/>
      <w:r w:rsidR="00F8066B">
        <w:t xml:space="preserve"> and Recreation Services; and Other Services. US data from US Census Bureau.</w:t>
      </w:r>
    </w:p>
    <w:p w14:paraId="5BA3896F" w14:textId="3CEF3DE8" w:rsidR="00DC012C" w:rsidRDefault="0095241E" w:rsidP="00A54748">
      <w:pPr>
        <w:jc w:val="both"/>
      </w:pPr>
      <w:r>
        <w:t>Moreover, not only do the largest firms account for an increasingly large share of industry sales, these firms have become more secure in their place at the top of the pile</w:t>
      </w:r>
      <w:r w:rsidR="00DC012C">
        <w:t xml:space="preserve">. To demonstrate this, I look at each industry in Australia and ask, of the top </w:t>
      </w:r>
      <w:r w:rsidR="00A54748">
        <w:t>4</w:t>
      </w:r>
      <w:r w:rsidR="00DC012C">
        <w:t xml:space="preserve"> largest firms in the industry, how many drop out in </w:t>
      </w:r>
      <w:proofErr w:type="gramStart"/>
      <w:r w:rsidR="00DC012C">
        <w:t xml:space="preserve">3 or 5 </w:t>
      </w:r>
      <w:r w:rsidR="00E87D2A">
        <w:t>years</w:t>
      </w:r>
      <w:r w:rsidR="00252C43">
        <w:t>’</w:t>
      </w:r>
      <w:proofErr w:type="gramEnd"/>
      <w:r w:rsidR="00E87D2A">
        <w:t xml:space="preserve"> time</w:t>
      </w:r>
      <w:r w:rsidR="00DC012C">
        <w:t>? This is relevant</w:t>
      </w:r>
      <w:r w:rsidR="00E87D2A">
        <w:t xml:space="preserve"> </w:t>
      </w:r>
      <w:r w:rsidR="00DC012C">
        <w:t xml:space="preserve">as a highly concentrated industry could still be quite competitive if there was a lot of churn amongst the leaders, with new firms growing and displacing the incumbents. </w:t>
      </w:r>
      <w:r w:rsidR="00E87D2A">
        <w:t xml:space="preserve">However, it may be more concerning </w:t>
      </w:r>
      <w:r w:rsidR="00DC012C">
        <w:t>if the industry is concentrated and stagnant.</w:t>
      </w:r>
      <w:r w:rsidR="00E87D2A">
        <w:t xml:space="preserve"> </w:t>
      </w:r>
    </w:p>
    <w:p w14:paraId="448159F4" w14:textId="4F511F69" w:rsidR="0095241E" w:rsidRDefault="00DC012C" w:rsidP="00E85236">
      <w:pPr>
        <w:jc w:val="both"/>
      </w:pPr>
      <w:r>
        <w:t xml:space="preserve">On average across industries, </w:t>
      </w:r>
      <w:r w:rsidR="0095241E">
        <w:t xml:space="preserve">the probability of a top firm being displaced within 3 or 5 years </w:t>
      </w:r>
      <w:r>
        <w:t>has declined</w:t>
      </w:r>
      <w:r w:rsidR="0095241E">
        <w:t xml:space="preserve"> by around 5 percentage points</w:t>
      </w:r>
      <w:r w:rsidR="00A32C91">
        <w:t>, with this decline being statistically significant</w:t>
      </w:r>
      <w:r w:rsidR="0095241E">
        <w:t xml:space="preserve"> (</w:t>
      </w:r>
      <w:r w:rsidR="00A361F4">
        <w:fldChar w:fldCharType="begin"/>
      </w:r>
      <w:r w:rsidR="00A361F4">
        <w:instrText xml:space="preserve"> REF _Ref42694500 \h </w:instrText>
      </w:r>
      <w:r w:rsidR="001B38FF">
        <w:instrText xml:space="preserve"> \* MERGEFORMAT </w:instrText>
      </w:r>
      <w:r w:rsidR="00A361F4">
        <w:fldChar w:fldCharType="separate"/>
      </w:r>
      <w:r w:rsidR="007D6DAF" w:rsidRPr="007D6DAF">
        <w:t>Figure 3</w:t>
      </w:r>
      <w:r w:rsidR="00A361F4">
        <w:fldChar w:fldCharType="end"/>
      </w:r>
      <w:r w:rsidR="0095241E">
        <w:t>).</w:t>
      </w:r>
      <w:r>
        <w:t xml:space="preserve"> </w:t>
      </w:r>
      <w:proofErr w:type="gramStart"/>
      <w:r>
        <w:t>So</w:t>
      </w:r>
      <w:proofErr w:type="gramEnd"/>
      <w:r>
        <w:t xml:space="preserve"> if I was a top </w:t>
      </w:r>
      <w:r>
        <w:lastRenderedPageBreak/>
        <w:t>firm in 2003, there was about a 60 per cent chan</w:t>
      </w:r>
      <w:r w:rsidR="007676E5">
        <w:t>c</w:t>
      </w:r>
      <w:r>
        <w:t>e I would still be at the top in 2008. But if I was a top firm in 2010, there was a 65 per cent chance I was still at the top in 2015.</w:t>
      </w:r>
      <w:r w:rsidR="007676E5">
        <w:t xml:space="preserve"> This increased entrenchment has been </w:t>
      </w:r>
      <w:proofErr w:type="gramStart"/>
      <w:r w:rsidR="007676E5">
        <w:t xml:space="preserve">fairly </w:t>
      </w:r>
      <w:r w:rsidR="00A54748">
        <w:t>broad</w:t>
      </w:r>
      <w:proofErr w:type="gramEnd"/>
      <w:r w:rsidR="00252C43">
        <w:noBreakHyphen/>
      </w:r>
      <w:r w:rsidR="007676E5">
        <w:t>based across d</w:t>
      </w:r>
      <w:r w:rsidR="00A32C91">
        <w:t>ifferent sectors of the economy</w:t>
      </w:r>
      <w:r w:rsidR="00BA3A27">
        <w:t xml:space="preserve">. </w:t>
      </w:r>
    </w:p>
    <w:p w14:paraId="1E30A62D" w14:textId="77777777" w:rsidR="006E4F33" w:rsidRDefault="00110636" w:rsidP="006E4F33">
      <w:pPr>
        <w:pStyle w:val="ChartMainHeading"/>
      </w:pPr>
      <w:bookmarkStart w:id="4" w:name="_Ref42694500"/>
      <w:r w:rsidRPr="00A42BAE">
        <w:t xml:space="preserve">Figure </w:t>
      </w:r>
      <w:fldSimple w:instr=" SEQ Figure \* ARABIC ">
        <w:r w:rsidR="007D6DAF">
          <w:rPr>
            <w:noProof/>
          </w:rPr>
          <w:t>3</w:t>
        </w:r>
      </w:fldSimple>
      <w:bookmarkEnd w:id="4"/>
      <w:r w:rsidRPr="00A42BAE">
        <w:t xml:space="preserve">: </w:t>
      </w:r>
      <w:r w:rsidR="00FE45C4" w:rsidRPr="00A42BAE">
        <w:t>Share of Largest 4 Firms in an Industry not in the Top 4 X Years later</w:t>
      </w:r>
    </w:p>
    <w:p w14:paraId="46EB04AF" w14:textId="75DB4F2F" w:rsidR="00A42BAE" w:rsidRDefault="00110636" w:rsidP="006E4F33">
      <w:pPr>
        <w:pStyle w:val="ChartGraphic"/>
        <w:rPr>
          <w:rFonts w:cstheme="majorHAnsi"/>
        </w:rPr>
      </w:pPr>
      <w:r w:rsidRPr="00110636">
        <w:rPr>
          <w:noProof/>
        </w:rPr>
        <w:drawing>
          <wp:inline distT="0" distB="0" distL="0" distR="0" wp14:anchorId="56466A3C" wp14:editId="46D063E0">
            <wp:extent cx="5575300" cy="2865755"/>
            <wp:effectExtent l="0" t="0" r="0" b="0"/>
            <wp:docPr id="44" name="Picture 44" descr="This charts a measure of the proportion of the largest firms in an industry that are not one of the largest a number of years later. It displays this on average across industries over time. The share of firms that are no longer one of the largest 3 or 5 years later has declined over time, indicating leaders in industries have become more entren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5300" cy="2865755"/>
                    </a:xfrm>
                    <a:prstGeom prst="rect">
                      <a:avLst/>
                    </a:prstGeom>
                    <a:noFill/>
                    <a:ln>
                      <a:noFill/>
                    </a:ln>
                  </pic:spPr>
                </pic:pic>
              </a:graphicData>
            </a:graphic>
          </wp:inline>
        </w:drawing>
      </w:r>
    </w:p>
    <w:p w14:paraId="4D8EB70F" w14:textId="065D214D" w:rsidR="00A42BAE" w:rsidRDefault="00A42BAE" w:rsidP="00A42BAE">
      <w:pPr>
        <w:pStyle w:val="Chartnote"/>
        <w:spacing w:after="240"/>
      </w:pPr>
      <w:r>
        <w:t xml:space="preserve">Note:  For each industry, the largest 4 firms are identified. The proportion of these no longer amongst the largest 4 in </w:t>
      </w:r>
      <w:proofErr w:type="gramStart"/>
      <w:r>
        <w:t>3 or 5 years</w:t>
      </w:r>
      <w:r w:rsidR="00252C43">
        <w:t>’</w:t>
      </w:r>
      <w:proofErr w:type="gramEnd"/>
      <w:r>
        <w:t xml:space="preserve"> time is calculated. An </w:t>
      </w:r>
      <w:r w:rsidR="001B38FF">
        <w:t xml:space="preserve">unweighted </w:t>
      </w:r>
      <w:r>
        <w:t xml:space="preserve">average is then taken across the industry metrics. Treasury calculations based on ABS BLADE. </w:t>
      </w:r>
    </w:p>
    <w:p w14:paraId="7F59672A" w14:textId="7EDC867E" w:rsidR="0095241E" w:rsidRDefault="0095241E" w:rsidP="00DE25C6">
      <w:pPr>
        <w:jc w:val="both"/>
      </w:pPr>
      <w:r>
        <w:t xml:space="preserve">Nevertheless, as discussed in detail in </w:t>
      </w:r>
      <w:proofErr w:type="spellStart"/>
      <w:r w:rsidRPr="00E85236">
        <w:t>Syverson</w:t>
      </w:r>
      <w:proofErr w:type="spellEnd"/>
      <w:r w:rsidRPr="00E85236">
        <w:t xml:space="preserve"> (2019)</w:t>
      </w:r>
      <w:r>
        <w:t xml:space="preserve"> and </w:t>
      </w:r>
      <w:r w:rsidRPr="00E85236">
        <w:t>OECD (2018)</w:t>
      </w:r>
      <w:r>
        <w:t xml:space="preserve">, industry concentration is an imperfect proxy for market power. For example, in thinking about market power the relevant concentration metric is concentration in the market for a particular product. Equating industries and markets abstract from the fact that </w:t>
      </w:r>
      <w:r w:rsidR="00743BA0">
        <w:t xml:space="preserve">firms can produce multiple different goods, and </w:t>
      </w:r>
      <w:r>
        <w:t>markets might have a geographic dimension, especially for less tradeable goods</w:t>
      </w:r>
      <w:r w:rsidR="00743BA0">
        <w:t xml:space="preserve"> where people </w:t>
      </w:r>
      <w:proofErr w:type="gramStart"/>
      <w:r w:rsidR="00743BA0">
        <w:t>have to</w:t>
      </w:r>
      <w:proofErr w:type="gramEnd"/>
      <w:r w:rsidR="00743BA0">
        <w:t xml:space="preserve"> procure the good or service locally. In fact, some recent research has found that industry concentration in the US has been decreasing when geographic aspects are accounted for, </w:t>
      </w:r>
      <w:proofErr w:type="gramStart"/>
      <w:r w:rsidR="00743BA0">
        <w:t>at the same time that</w:t>
      </w:r>
      <w:proofErr w:type="gramEnd"/>
      <w:r w:rsidR="00743BA0">
        <w:t xml:space="preserve"> concentration has been increasing at a national level. The authors argue that this</w:t>
      </w:r>
      <w:r w:rsidR="00743BA0" w:rsidRPr="00743BA0">
        <w:t xml:space="preserve"> </w:t>
      </w:r>
      <w:r w:rsidR="00743BA0">
        <w:t xml:space="preserve">reflects the rise of large chain stores that raise concentration at the national level, but actually lower it at a local level by entering new markets and competing with </w:t>
      </w:r>
      <w:r w:rsidR="00A44FD2">
        <w:t xml:space="preserve">local </w:t>
      </w:r>
      <w:r w:rsidR="00743BA0">
        <w:t>incumbent firms (Rossi</w:t>
      </w:r>
      <w:r w:rsidR="00252C43">
        <w:noBreakHyphen/>
      </w:r>
      <w:proofErr w:type="spellStart"/>
      <w:r w:rsidR="00743BA0">
        <w:t>Hansberg</w:t>
      </w:r>
      <w:proofErr w:type="spellEnd"/>
      <w:r w:rsidR="00743BA0">
        <w:t xml:space="preserve"> </w:t>
      </w:r>
      <w:r w:rsidR="00E85236">
        <w:t xml:space="preserve">et al </w:t>
      </w:r>
      <w:r w:rsidR="00743BA0">
        <w:t>2019)</w:t>
      </w:r>
      <w:r>
        <w:t xml:space="preserve">. </w:t>
      </w:r>
      <w:r w:rsidR="00A44FD2">
        <w:t>Similar</w:t>
      </w:r>
      <w:r w:rsidR="00743BA0">
        <w:t xml:space="preserve"> dynamics could potentially be at play in Australia.</w:t>
      </w:r>
      <w:r w:rsidR="00A32C91">
        <w:t xml:space="preserve"> </w:t>
      </w:r>
      <w:r>
        <w:t>Moreover, even abstracting from the definition of a market, concentration is only a relevant measure of market power under certain competitive structures</w:t>
      </w:r>
      <w:r w:rsidR="00743BA0">
        <w:t>.</w:t>
      </w:r>
      <w:r w:rsidR="00DE25C6">
        <w:rPr>
          <w:rStyle w:val="FootnoteReference"/>
        </w:rPr>
        <w:footnoteReference w:id="7"/>
      </w:r>
      <w:r w:rsidR="00743BA0">
        <w:t xml:space="preserve"> </w:t>
      </w:r>
    </w:p>
    <w:p w14:paraId="23D7C54C" w14:textId="11D662E3" w:rsidR="0095241E" w:rsidRDefault="0095241E" w:rsidP="00A44FD2">
      <w:pPr>
        <w:jc w:val="both"/>
      </w:pPr>
      <w:r>
        <w:t>Given these potential issues, I take the evidence on concentration as instructive, but focus on measures of mark</w:t>
      </w:r>
      <w:r w:rsidR="00252C43">
        <w:noBreakHyphen/>
      </w:r>
      <w:r>
        <w:t xml:space="preserve">ups for the remainder of this paper. That said, similar analysis to that performed in Section </w:t>
      </w:r>
      <w:r w:rsidR="00A32C91">
        <w:t>5</w:t>
      </w:r>
      <w:r>
        <w:t xml:space="preserve"> suggests that the concentration metrics are a reasonable proxy for competition, at least in certain industries (Appendix</w:t>
      </w:r>
      <w:r w:rsidR="00A44FD2">
        <w:t xml:space="preserve"> D</w:t>
      </w:r>
      <w:r>
        <w:t>).</w:t>
      </w:r>
    </w:p>
    <w:p w14:paraId="36DA050F" w14:textId="2C795061" w:rsidR="00783BAD" w:rsidRPr="006E4F33" w:rsidRDefault="0095241E" w:rsidP="006E4F33">
      <w:pPr>
        <w:pStyle w:val="Heading2"/>
      </w:pPr>
      <w:r w:rsidRPr="006E4F33">
        <w:t>Measuring M</w:t>
      </w:r>
      <w:r w:rsidR="00743BA0" w:rsidRPr="006E4F33">
        <w:t>a</w:t>
      </w:r>
      <w:r w:rsidRPr="006E4F33">
        <w:t>rket P</w:t>
      </w:r>
      <w:r w:rsidR="00743BA0" w:rsidRPr="006E4F33">
        <w:t>o</w:t>
      </w:r>
      <w:r w:rsidRPr="006E4F33">
        <w:t>wer</w:t>
      </w:r>
    </w:p>
    <w:p w14:paraId="57428FCF" w14:textId="6A5C6C1F" w:rsidR="0095241E" w:rsidRDefault="0095241E" w:rsidP="00A44FD2">
      <w:pPr>
        <w:autoSpaceDE w:val="0"/>
        <w:autoSpaceDN w:val="0"/>
        <w:adjustRightInd w:val="0"/>
        <w:spacing w:after="160" w:line="259" w:lineRule="auto"/>
        <w:jc w:val="both"/>
      </w:pPr>
      <w:r>
        <w:t xml:space="preserve">Product market power is defined as the ability of a firm to influence the price at which it sells its product (e.g. </w:t>
      </w:r>
      <w:proofErr w:type="spellStart"/>
      <w:r w:rsidRPr="00E85236">
        <w:t>Pindyck</w:t>
      </w:r>
      <w:proofErr w:type="spellEnd"/>
      <w:r w:rsidRPr="00E85236">
        <w:t xml:space="preserve"> and </w:t>
      </w:r>
      <w:proofErr w:type="spellStart"/>
      <w:r w:rsidRPr="00E85236">
        <w:t>Rubinfeld</w:t>
      </w:r>
      <w:proofErr w:type="spellEnd"/>
      <w:r w:rsidRPr="00E85236">
        <w:t xml:space="preserve"> 2012</w:t>
      </w:r>
      <w:r>
        <w:t>;</w:t>
      </w:r>
      <w:r>
        <w:rPr>
          <w:rFonts w:ascii="NewBaskervilleStd-Roman" w:hAnsi="NewBaskervilleStd-Roman" w:cs="NewBaskervilleStd-Roman"/>
          <w:sz w:val="20"/>
          <w:szCs w:val="20"/>
        </w:rPr>
        <w:t xml:space="preserve"> </w:t>
      </w:r>
      <w:proofErr w:type="spellStart"/>
      <w:r w:rsidRPr="00E85236">
        <w:rPr>
          <w:color w:val="auto"/>
        </w:rPr>
        <w:t>Syverson</w:t>
      </w:r>
      <w:proofErr w:type="spellEnd"/>
      <w:r w:rsidRPr="00E85236">
        <w:rPr>
          <w:rStyle w:val="Hyperlink"/>
          <w:color w:val="auto"/>
          <w:u w:val="none"/>
        </w:rPr>
        <w:t xml:space="preserve"> 2019</w:t>
      </w:r>
      <w:r w:rsidRPr="00E85236">
        <w:rPr>
          <w:color w:val="auto"/>
        </w:rPr>
        <w:t xml:space="preserve">). It </w:t>
      </w:r>
      <w:r>
        <w:t>is therefore directly related to the elasticity of a firm</w:t>
      </w:r>
      <w:r w:rsidR="00252C43">
        <w:t>’</w:t>
      </w:r>
      <w:r>
        <w:t xml:space="preserve">s </w:t>
      </w:r>
      <w:r w:rsidR="00743BA0">
        <w:t>(</w:t>
      </w:r>
      <w:r>
        <w:t>residual</w:t>
      </w:r>
      <w:r w:rsidR="00743BA0">
        <w:t>)</w:t>
      </w:r>
      <w:r>
        <w:t xml:space="preserve"> demand curve. If the demand curve is very elastic, the firm has little ability to influence </w:t>
      </w:r>
      <w:r>
        <w:lastRenderedPageBreak/>
        <w:t xml:space="preserve">prices (without very large changes in quantities), and so has little market power. On the other hand, if </w:t>
      </w:r>
      <w:r w:rsidR="00BA3A27">
        <w:t xml:space="preserve">the </w:t>
      </w:r>
      <w:r>
        <w:t>firm has a very inelastic demand curve</w:t>
      </w:r>
      <w:r w:rsidR="00BA3A27">
        <w:t>,</w:t>
      </w:r>
      <w:r>
        <w:t xml:space="preserve"> it has more power to change prices, and therefore more market power.</w:t>
      </w:r>
    </w:p>
    <w:p w14:paraId="2F93DE41" w14:textId="6EDFA861" w:rsidR="0095241E" w:rsidRDefault="0095241E" w:rsidP="00A44FD2">
      <w:pPr>
        <w:jc w:val="both"/>
      </w:pPr>
      <w:r>
        <w:t>Unfortunately, the elasticity of a firm</w:t>
      </w:r>
      <w:r w:rsidR="00252C43">
        <w:t>’</w:t>
      </w:r>
      <w:r>
        <w:t>s demand curve is not observable. As such, economists use proxies to try to measure market power. One proxy that is increasingly popular in the literature is the firm</w:t>
      </w:r>
      <w:r w:rsidR="00252C43">
        <w:t>’</w:t>
      </w:r>
      <w:r>
        <w:t>s mark</w:t>
      </w:r>
      <w:r w:rsidR="00252C43">
        <w:noBreakHyphen/>
      </w:r>
      <w:r>
        <w:t>up, or the ratio of its price to its marginal cost of production. I focus on this proxy for the remainder of this paper.</w:t>
      </w:r>
    </w:p>
    <w:p w14:paraId="56C22639" w14:textId="34A68B77" w:rsidR="0095241E" w:rsidRDefault="0095241E" w:rsidP="00A44FD2">
      <w:pPr>
        <w:jc w:val="both"/>
      </w:pPr>
      <w:r>
        <w:t>Mark</w:t>
      </w:r>
      <w:r w:rsidR="00252C43">
        <w:noBreakHyphen/>
      </w:r>
      <w:r>
        <w:t xml:space="preserve">ups have </w:t>
      </w:r>
      <w:proofErr w:type="gramStart"/>
      <w:r>
        <w:t>a number of</w:t>
      </w:r>
      <w:proofErr w:type="gramEnd"/>
      <w:r>
        <w:t xml:space="preserve"> advantages over other proxies, such as measures of market or industry concentration:</w:t>
      </w:r>
    </w:p>
    <w:p w14:paraId="714144E7" w14:textId="01E7CD5B" w:rsidR="0095241E" w:rsidRDefault="00A32C91" w:rsidP="00A44FD2">
      <w:pPr>
        <w:pStyle w:val="Bullet"/>
        <w:keepNext w:val="0"/>
        <w:numPr>
          <w:ilvl w:val="0"/>
          <w:numId w:val="24"/>
        </w:numPr>
        <w:spacing w:after="160" w:line="259" w:lineRule="auto"/>
        <w:jc w:val="both"/>
      </w:pPr>
      <w:r>
        <w:t>In measuring mark</w:t>
      </w:r>
      <w:r w:rsidR="00252C43">
        <w:noBreakHyphen/>
      </w:r>
      <w:r>
        <w:t>ups</w:t>
      </w:r>
      <w:r w:rsidR="0095241E">
        <w:t xml:space="preserve"> we do not need to define a market. Rather, we can focus directly on the behaviour of the firm itself.</w:t>
      </w:r>
    </w:p>
    <w:p w14:paraId="6FFD36D8" w14:textId="702E93AF" w:rsidR="0095241E" w:rsidRDefault="0095241E" w:rsidP="00A44FD2">
      <w:pPr>
        <w:pStyle w:val="Bullet"/>
        <w:keepNext w:val="0"/>
        <w:numPr>
          <w:ilvl w:val="0"/>
          <w:numId w:val="24"/>
        </w:numPr>
        <w:spacing w:after="160" w:line="259" w:lineRule="auto"/>
        <w:jc w:val="both"/>
      </w:pPr>
      <w:r>
        <w:t>Mark</w:t>
      </w:r>
      <w:r w:rsidR="00252C43">
        <w:noBreakHyphen/>
      </w:r>
      <w:r>
        <w:t xml:space="preserve">ups are directly related to the elasticity of the demand </w:t>
      </w:r>
      <w:proofErr w:type="gramStart"/>
      <w:r>
        <w:t>function, and</w:t>
      </w:r>
      <w:proofErr w:type="gramEnd"/>
      <w:r>
        <w:t xml:space="preserve"> are therefore a more theoretically sound measure of market power.</w:t>
      </w:r>
    </w:p>
    <w:p w14:paraId="602DF015" w14:textId="6CB13E37" w:rsidR="0095241E" w:rsidRDefault="0095241E" w:rsidP="00A44FD2">
      <w:pPr>
        <w:pStyle w:val="Bullet"/>
        <w:keepNext w:val="0"/>
        <w:numPr>
          <w:ilvl w:val="0"/>
          <w:numId w:val="24"/>
        </w:numPr>
        <w:spacing w:after="160" w:line="259" w:lineRule="auto"/>
        <w:jc w:val="both"/>
      </w:pPr>
      <w:r>
        <w:t>Unlike measures of economic or excess profits, in measuring mark</w:t>
      </w:r>
      <w:r w:rsidR="00252C43">
        <w:noBreakHyphen/>
      </w:r>
      <w:r>
        <w:t>ups we do not have to estimate returns to capital, which can be difficult and subject to many assumptions.</w:t>
      </w:r>
    </w:p>
    <w:p w14:paraId="5D6039F5" w14:textId="455AC915" w:rsidR="0095241E" w:rsidRDefault="0095241E" w:rsidP="00A44FD2">
      <w:pPr>
        <w:pStyle w:val="Bullet"/>
        <w:numPr>
          <w:ilvl w:val="0"/>
          <w:numId w:val="0"/>
        </w:numPr>
        <w:jc w:val="both"/>
      </w:pPr>
      <w:r>
        <w:t>Nevertheless, there are some downsides to using mark</w:t>
      </w:r>
      <w:r w:rsidR="00252C43">
        <w:noBreakHyphen/>
      </w:r>
      <w:r>
        <w:t xml:space="preserve">ups. </w:t>
      </w:r>
      <w:proofErr w:type="gramStart"/>
      <w:r>
        <w:t>In particular, they</w:t>
      </w:r>
      <w:proofErr w:type="gramEnd"/>
      <w:r>
        <w:t xml:space="preserve"> are difficult to measure. It is rare, even in firm</w:t>
      </w:r>
      <w:r w:rsidR="00252C43">
        <w:noBreakHyphen/>
      </w:r>
      <w:r>
        <w:t>level data sets, to observe firm</w:t>
      </w:r>
      <w:r w:rsidR="00252C43">
        <w:noBreakHyphen/>
      </w:r>
      <w:r>
        <w:t>level prices. And it is even rarer to observe firm</w:t>
      </w:r>
      <w:r w:rsidR="00252C43">
        <w:noBreakHyphen/>
      </w:r>
      <w:r>
        <w:t>level marginal costs of production. As such, mark</w:t>
      </w:r>
      <w:r w:rsidR="00252C43">
        <w:noBreakHyphen/>
      </w:r>
      <w:r>
        <w:t>ups need to be estimated, rather than directly measured.</w:t>
      </w:r>
    </w:p>
    <w:p w14:paraId="4F9C4E29" w14:textId="7B00D39E" w:rsidR="0095241E" w:rsidRDefault="0095241E" w:rsidP="00A44FD2">
      <w:pPr>
        <w:pStyle w:val="Bullet"/>
        <w:numPr>
          <w:ilvl w:val="0"/>
          <w:numId w:val="0"/>
        </w:numPr>
        <w:jc w:val="both"/>
      </w:pPr>
      <w:r>
        <w:t>To estimate mark</w:t>
      </w:r>
      <w:r w:rsidR="00252C43">
        <w:noBreakHyphen/>
      </w:r>
      <w:r>
        <w:t xml:space="preserve">ups, I follow the approach proposed by De </w:t>
      </w:r>
      <w:proofErr w:type="spellStart"/>
      <w:r>
        <w:t>Loecker</w:t>
      </w:r>
      <w:proofErr w:type="spellEnd"/>
      <w:r>
        <w:t xml:space="preserve"> and </w:t>
      </w:r>
      <w:proofErr w:type="spellStart"/>
      <w:r>
        <w:t>Warzynski</w:t>
      </w:r>
      <w:proofErr w:type="spellEnd"/>
      <w:r>
        <w:t xml:space="preserve"> (2012)</w:t>
      </w:r>
      <w:r w:rsidR="00252C43">
        <w:t xml:space="preserve">. </w:t>
      </w:r>
      <w:r>
        <w:t xml:space="preserve">This approach relies on the observation that, under fairly mild assumptions, firm </w:t>
      </w:r>
      <w:proofErr w:type="spellStart"/>
      <w:r>
        <w:rPr>
          <w:i/>
        </w:rPr>
        <w:t>i</w:t>
      </w:r>
      <w:proofErr w:type="spellEnd"/>
      <w:r>
        <w:t xml:space="preserve"> will optimally set its mark</w:t>
      </w:r>
      <w:r w:rsidR="00252C43">
        <w:noBreakHyphen/>
      </w:r>
      <w:r>
        <w:t xml:space="preserve">up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t xml:space="preserve"> to be </w:t>
      </w:r>
      <w:r w:rsidR="007D588C">
        <w:t>proportional</w:t>
      </w:r>
      <w:r>
        <w:t xml:space="preserve"> to: its output elasticity with respect to a flexible input </w:t>
      </w:r>
      <w:r>
        <w:rPr>
          <w:i/>
        </w:rPr>
        <w:t xml:space="preserve">m </w:t>
      </w:r>
      <w:r>
        <w:t>(</w:t>
      </w:r>
      <w:r>
        <w:rPr>
          <w:rFonts w:cstheme="minorHAnsi"/>
        </w:rPr>
        <w:t>α</w:t>
      </w:r>
      <w:proofErr w:type="spellStart"/>
      <w:r>
        <w:rPr>
          <w:vertAlign w:val="subscript"/>
        </w:rPr>
        <w:t>i,m</w:t>
      </w:r>
      <w:proofErr w:type="spellEnd"/>
      <w:r>
        <w:t>); and the expenditure on that input (</w:t>
      </w:r>
      <w:proofErr w:type="spellStart"/>
      <w:r>
        <w:t>P</w:t>
      </w:r>
      <w:r>
        <w:rPr>
          <w:vertAlign w:val="subscript"/>
        </w:rPr>
        <w:t>m</w:t>
      </w:r>
      <w:r>
        <w:t>M</w:t>
      </w:r>
      <w:r>
        <w:rPr>
          <w:vertAlign w:val="subscript"/>
        </w:rPr>
        <w:t>i</w:t>
      </w:r>
      <w:proofErr w:type="spellEnd"/>
      <w:r>
        <w:t>), as a share of sales income (</w:t>
      </w:r>
      <w:proofErr w:type="spellStart"/>
      <w:r>
        <w:t>P</w:t>
      </w:r>
      <w:r>
        <w:rPr>
          <w:vertAlign w:val="subscript"/>
        </w:rPr>
        <w:t>i</w:t>
      </w:r>
      <w:r>
        <w:t>Y</w:t>
      </w:r>
      <w:r>
        <w:rPr>
          <w:vertAlign w:val="subscript"/>
        </w:rPr>
        <w:t>i</w:t>
      </w:r>
      <w:proofErr w:type="spellEnd"/>
      <w:r>
        <w:t>). So:</w:t>
      </w:r>
    </w:p>
    <w:p w14:paraId="3A6F52C9" w14:textId="77777777" w:rsidR="0095241E" w:rsidRDefault="00247E5F" w:rsidP="0095241E">
      <w:pPr>
        <w:pStyle w:val="Bullet"/>
        <w:numPr>
          <w:ilvl w:val="0"/>
          <w:numId w:val="0"/>
        </w:numPr>
      </w:pPr>
      <m:oMathPara>
        <m:oMath>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i,m</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Y</m:t>
                      </m:r>
                    </m:e>
                    <m:sub>
                      <m:r>
                        <w:rPr>
                          <w:rFonts w:ascii="Cambria Math" w:hAnsi="Cambria Math"/>
                        </w:rPr>
                        <m:t>i</m:t>
                      </m:r>
                    </m:sub>
                  </m:sSub>
                </m:den>
              </m:f>
            </m:den>
          </m:f>
        </m:oMath>
      </m:oMathPara>
    </w:p>
    <w:p w14:paraId="5BC7C554" w14:textId="64C71168" w:rsidR="0095241E" w:rsidRDefault="0095241E" w:rsidP="00A44FD2">
      <w:pPr>
        <w:jc w:val="both"/>
        <w:rPr>
          <w:shd w:val="clear" w:color="auto" w:fill="FFFFFF"/>
        </w:rPr>
      </w:pPr>
      <w:r>
        <w:rPr>
          <w:shd w:val="clear" w:color="auto" w:fill="FFFFFF"/>
        </w:rPr>
        <w:t>The intuition behind the result is as follows. In theory, a firm in a perfectly competitive ma</w:t>
      </w:r>
      <w:r w:rsidR="00DE25C6">
        <w:rPr>
          <w:shd w:val="clear" w:color="auto" w:fill="FFFFFF"/>
        </w:rPr>
        <w:t>rket sets its price equal to</w:t>
      </w:r>
      <w:r>
        <w:rPr>
          <w:shd w:val="clear" w:color="auto" w:fill="FFFFFF"/>
        </w:rPr>
        <w:t xml:space="preserve"> </w:t>
      </w:r>
      <w:r w:rsidR="00A32C91">
        <w:rPr>
          <w:shd w:val="clear" w:color="auto" w:fill="FFFFFF"/>
        </w:rPr>
        <w:t xml:space="preserve">the </w:t>
      </w:r>
      <w:r>
        <w:rPr>
          <w:shd w:val="clear" w:color="auto" w:fill="FFFFFF"/>
        </w:rPr>
        <w:t>marginal cost</w:t>
      </w:r>
      <w:r w:rsidR="00DE25C6">
        <w:rPr>
          <w:shd w:val="clear" w:color="auto" w:fill="FFFFFF"/>
        </w:rPr>
        <w:t xml:space="preserve"> of producing one more unit. </w:t>
      </w:r>
      <w:r>
        <w:rPr>
          <w:shd w:val="clear" w:color="auto" w:fill="FFFFFF"/>
        </w:rPr>
        <w:t>This implies that the share of revenue that the firm spends on each input is equal to the elasticity of output with respect to that input (i.e. how much additional output is produced if the firm employs an extra unit of the input). In contrast, a firm with market power</w:t>
      </w:r>
      <w:r w:rsidR="000A0892">
        <w:rPr>
          <w:shd w:val="clear" w:color="auto" w:fill="FFFFFF"/>
        </w:rPr>
        <w:t xml:space="preserve"> will tend to set its price at a higher level</w:t>
      </w:r>
      <w:r>
        <w:rPr>
          <w:shd w:val="clear" w:color="auto" w:fill="FFFFFF"/>
        </w:rPr>
        <w:t>, which includes a mark</w:t>
      </w:r>
      <w:r w:rsidR="00252C43">
        <w:rPr>
          <w:shd w:val="clear" w:color="auto" w:fill="FFFFFF"/>
        </w:rPr>
        <w:noBreakHyphen/>
      </w:r>
      <w:r>
        <w:rPr>
          <w:shd w:val="clear" w:color="auto" w:fill="FFFFFF"/>
        </w:rPr>
        <w:t>up over the marginal cost</w:t>
      </w:r>
      <w:r w:rsidR="000A0892">
        <w:rPr>
          <w:shd w:val="clear" w:color="auto" w:fill="FFFFFF"/>
        </w:rPr>
        <w:t xml:space="preserve"> of producing another </w:t>
      </w:r>
      <w:r w:rsidR="00A32C91">
        <w:rPr>
          <w:shd w:val="clear" w:color="auto" w:fill="FFFFFF"/>
        </w:rPr>
        <w:t>unit</w:t>
      </w:r>
      <w:r w:rsidR="000A0892">
        <w:rPr>
          <w:shd w:val="clear" w:color="auto" w:fill="FFFFFF"/>
        </w:rPr>
        <w:t>, to make a larger profit</w:t>
      </w:r>
      <w:r>
        <w:rPr>
          <w:shd w:val="clear" w:color="auto" w:fill="FFFFFF"/>
        </w:rPr>
        <w:t xml:space="preserve">. As they set a higher price, the firm will tend to produce and sell fewer goods, and so will employ less of the input. The combination of a higher price and </w:t>
      </w:r>
      <w:r w:rsidR="00167ADB">
        <w:rPr>
          <w:shd w:val="clear" w:color="auto" w:fill="FFFFFF"/>
        </w:rPr>
        <w:t>fewer inputs</w:t>
      </w:r>
      <w:r>
        <w:rPr>
          <w:shd w:val="clear" w:color="auto" w:fill="FFFFFF"/>
        </w:rPr>
        <w:t xml:space="preserve"> means that the amount spent on the input declines as a share of revenue. </w:t>
      </w:r>
      <w:r w:rsidR="000A0892">
        <w:rPr>
          <w:shd w:val="clear" w:color="auto" w:fill="FFFFFF"/>
        </w:rPr>
        <w:t>As such, as mark</w:t>
      </w:r>
      <w:r w:rsidR="00252C43">
        <w:rPr>
          <w:shd w:val="clear" w:color="auto" w:fill="FFFFFF"/>
        </w:rPr>
        <w:noBreakHyphen/>
      </w:r>
      <w:r w:rsidR="000A0892">
        <w:rPr>
          <w:shd w:val="clear" w:color="auto" w:fill="FFFFFF"/>
        </w:rPr>
        <w:t>ups rise, the amount spent on the good as a share of revenue will decline.</w:t>
      </w:r>
    </w:p>
    <w:p w14:paraId="19EA1F54" w14:textId="792773BE" w:rsidR="0095241E" w:rsidRPr="00F72A7B" w:rsidRDefault="0095241E" w:rsidP="00A44FD2">
      <w:pPr>
        <w:jc w:val="both"/>
        <w:rPr>
          <w:rFonts w:cstheme="minorHAnsi"/>
          <w:shd w:val="clear" w:color="auto" w:fill="FFFFFF"/>
        </w:rPr>
      </w:pPr>
      <w:r>
        <w:rPr>
          <w:shd w:val="clear" w:color="auto" w:fill="FFFFFF"/>
        </w:rPr>
        <w:t>Firm sales can generally be observed in firm</w:t>
      </w:r>
      <w:r w:rsidR="00252C43">
        <w:rPr>
          <w:shd w:val="clear" w:color="auto" w:fill="FFFFFF"/>
        </w:rPr>
        <w:noBreakHyphen/>
      </w:r>
      <w:r>
        <w:rPr>
          <w:shd w:val="clear" w:color="auto" w:fill="FFFFFF"/>
        </w:rPr>
        <w:t>level datasets, as can their expenditure on different inp</w:t>
      </w:r>
      <w:r w:rsidRPr="00F72A7B">
        <w:rPr>
          <w:rFonts w:cstheme="minorHAnsi"/>
          <w:shd w:val="clear" w:color="auto" w:fill="FFFFFF"/>
        </w:rPr>
        <w:t xml:space="preserve">uts. However, their output elasticity cannot be observed. De </w:t>
      </w:r>
      <w:proofErr w:type="spellStart"/>
      <w:r w:rsidRPr="00F72A7B">
        <w:rPr>
          <w:rFonts w:cstheme="minorHAnsi"/>
          <w:color w:val="000000"/>
          <w:shd w:val="clear" w:color="auto" w:fill="FFFFFF"/>
        </w:rPr>
        <w:t>Loecker</w:t>
      </w:r>
      <w:proofErr w:type="spellEnd"/>
      <w:r w:rsidRPr="00F72A7B">
        <w:rPr>
          <w:rFonts w:cstheme="minorHAnsi"/>
          <w:color w:val="000000"/>
          <w:shd w:val="clear" w:color="auto" w:fill="FFFFFF"/>
        </w:rPr>
        <w:t xml:space="preserve"> and </w:t>
      </w:r>
      <w:proofErr w:type="spellStart"/>
      <w:r w:rsidRPr="00F72A7B">
        <w:rPr>
          <w:rFonts w:cstheme="minorHAnsi"/>
          <w:color w:val="000000"/>
          <w:shd w:val="clear" w:color="auto" w:fill="FFFFFF"/>
        </w:rPr>
        <w:t>Warzynski</w:t>
      </w:r>
      <w:proofErr w:type="spellEnd"/>
      <w:r w:rsidRPr="00F72A7B">
        <w:rPr>
          <w:rFonts w:cstheme="minorHAnsi"/>
          <w:color w:val="000000"/>
          <w:shd w:val="clear" w:color="auto" w:fill="FFFFFF"/>
        </w:rPr>
        <w:t xml:space="preserve"> (2012) suggest taking these elasticities from production functions, which can be estimated using various methods proposed in the literature.</w:t>
      </w:r>
    </w:p>
    <w:p w14:paraId="45C09E00" w14:textId="2C89F394" w:rsidR="0095241E" w:rsidRDefault="0095241E" w:rsidP="00A44FD2">
      <w:pPr>
        <w:jc w:val="both"/>
        <w:rPr>
          <w:rFonts w:eastAsiaTheme="minorEastAsia" w:cstheme="minorHAnsi"/>
        </w:rPr>
      </w:pPr>
      <w:r>
        <w:rPr>
          <w:rFonts w:eastAsiaTheme="minorEastAsia" w:cstheme="minorHAnsi"/>
        </w:rPr>
        <w:t xml:space="preserve">In doing so, I need to make </w:t>
      </w:r>
      <w:proofErr w:type="gramStart"/>
      <w:r>
        <w:rPr>
          <w:rFonts w:eastAsiaTheme="minorEastAsia" w:cstheme="minorHAnsi"/>
        </w:rPr>
        <w:t>a number of</w:t>
      </w:r>
      <w:proofErr w:type="gramEnd"/>
      <w:r>
        <w:rPr>
          <w:rFonts w:eastAsiaTheme="minorEastAsia" w:cstheme="minorHAnsi"/>
        </w:rPr>
        <w:t xml:space="preserve"> decisions including the estimation technique and the functional form of the production function</w:t>
      </w:r>
      <w:r w:rsidR="00743BA0">
        <w:rPr>
          <w:rFonts w:eastAsiaTheme="minorEastAsia" w:cstheme="minorHAnsi"/>
        </w:rPr>
        <w:t xml:space="preserve"> (see Box A for a brief overview, and Appendix A for a detailed discussion). I</w:t>
      </w:r>
      <w:r>
        <w:rPr>
          <w:rFonts w:eastAsiaTheme="minorEastAsia" w:cstheme="minorHAnsi"/>
        </w:rPr>
        <w:t xml:space="preserve">n Appendix </w:t>
      </w:r>
      <w:r w:rsidR="003245CC">
        <w:rPr>
          <w:rFonts w:eastAsiaTheme="minorEastAsia" w:cstheme="minorHAnsi"/>
        </w:rPr>
        <w:t>C</w:t>
      </w:r>
      <w:r>
        <w:rPr>
          <w:rFonts w:eastAsiaTheme="minorEastAsia" w:cstheme="minorHAnsi"/>
        </w:rPr>
        <w:t xml:space="preserve"> I show that the key finding that mark</w:t>
      </w:r>
      <w:r w:rsidR="00252C43">
        <w:rPr>
          <w:rFonts w:eastAsiaTheme="minorEastAsia" w:cstheme="minorHAnsi"/>
        </w:rPr>
        <w:noBreakHyphen/>
      </w:r>
      <w:r>
        <w:rPr>
          <w:rFonts w:eastAsiaTheme="minorEastAsia" w:cstheme="minorHAnsi"/>
        </w:rPr>
        <w:t xml:space="preserve">ups have increased is robust to such choices. </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743BA0" w14:paraId="240260E3" w14:textId="77777777" w:rsidTr="006E4F33">
        <w:tc>
          <w:tcPr>
            <w:tcW w:w="9288" w:type="dxa"/>
            <w:shd w:val="clear" w:color="auto" w:fill="F2F2F2" w:themeFill="background1" w:themeFillShade="F2"/>
          </w:tcPr>
          <w:p w14:paraId="1EFB9A7B" w14:textId="4315163A" w:rsidR="00743BA0" w:rsidRDefault="00743BA0" w:rsidP="006E4F33">
            <w:pPr>
              <w:pStyle w:val="BoxHeading"/>
              <w:rPr>
                <w:rFonts w:eastAsiaTheme="minorEastAsia"/>
              </w:rPr>
            </w:pPr>
            <w:r>
              <w:rPr>
                <w:rFonts w:eastAsiaTheme="minorEastAsia"/>
              </w:rPr>
              <w:lastRenderedPageBreak/>
              <w:t>Box A: Mark</w:t>
            </w:r>
            <w:r w:rsidR="00252C43">
              <w:rPr>
                <w:rFonts w:eastAsiaTheme="minorEastAsia"/>
              </w:rPr>
              <w:noBreakHyphen/>
            </w:r>
            <w:r>
              <w:rPr>
                <w:rFonts w:eastAsiaTheme="minorEastAsia"/>
              </w:rPr>
              <w:t>up Estimation</w:t>
            </w:r>
          </w:p>
          <w:p w14:paraId="56D8E89B" w14:textId="0A65E3DC" w:rsidR="00743BA0" w:rsidRDefault="00743BA0" w:rsidP="00743BA0">
            <w:pPr>
              <w:rPr>
                <w:rFonts w:eastAsiaTheme="minorEastAsia"/>
              </w:rPr>
            </w:pPr>
            <w:r>
              <w:rPr>
                <w:rFonts w:eastAsiaTheme="minorEastAsia"/>
              </w:rPr>
              <w:t>In estimating mark</w:t>
            </w:r>
            <w:r w:rsidR="00252C43">
              <w:rPr>
                <w:rFonts w:eastAsiaTheme="minorEastAsia"/>
              </w:rPr>
              <w:noBreakHyphen/>
            </w:r>
            <w:r>
              <w:rPr>
                <w:rFonts w:eastAsiaTheme="minorEastAsia"/>
              </w:rPr>
              <w:t xml:space="preserve">ups, I need to make </w:t>
            </w:r>
            <w:proofErr w:type="gramStart"/>
            <w:r>
              <w:rPr>
                <w:rFonts w:eastAsiaTheme="minorEastAsia"/>
              </w:rPr>
              <w:t>a number of</w:t>
            </w:r>
            <w:proofErr w:type="gramEnd"/>
            <w:r>
              <w:rPr>
                <w:rFonts w:eastAsiaTheme="minorEastAsia"/>
              </w:rPr>
              <w:t xml:space="preserve"> different decisions relating to the choice of variable input, the production function</w:t>
            </w:r>
            <w:r w:rsidR="00252C43">
              <w:rPr>
                <w:rFonts w:eastAsiaTheme="minorEastAsia"/>
              </w:rPr>
              <w:t>’</w:t>
            </w:r>
            <w:r w:rsidR="00A44FD2">
              <w:rPr>
                <w:rFonts w:eastAsiaTheme="minorEastAsia"/>
              </w:rPr>
              <w:t>s</w:t>
            </w:r>
            <w:r>
              <w:rPr>
                <w:rFonts w:eastAsiaTheme="minorEastAsia"/>
              </w:rPr>
              <w:t xml:space="preserve"> functional form and estimation methodology, and the definitions of different </w:t>
            </w:r>
            <w:r w:rsidR="00B077FC">
              <w:rPr>
                <w:rFonts w:eastAsiaTheme="minorEastAsia"/>
              </w:rPr>
              <w:t>variables</w:t>
            </w:r>
            <w:r>
              <w:rPr>
                <w:rFonts w:eastAsiaTheme="minorEastAsia"/>
              </w:rPr>
              <w:t>. I leave a detailed discussion of these choices to Appendix A.</w:t>
            </w:r>
          </w:p>
          <w:p w14:paraId="3A6FB894" w14:textId="77777777" w:rsidR="00743BA0" w:rsidRDefault="00743BA0" w:rsidP="00743BA0">
            <w:pPr>
              <w:rPr>
                <w:rFonts w:eastAsiaTheme="minorEastAsia" w:cstheme="minorHAnsi"/>
              </w:rPr>
            </w:pPr>
            <w:r>
              <w:rPr>
                <w:rFonts w:eastAsiaTheme="minorEastAsia" w:cstheme="minorHAnsi"/>
              </w:rPr>
              <w:t>Nevertheless, I briefly list a few of the relevant choices upfront for transparency:</w:t>
            </w:r>
          </w:p>
          <w:p w14:paraId="6B08E526" w14:textId="77777777" w:rsidR="00743BA0" w:rsidRDefault="00743BA0" w:rsidP="00743BA0">
            <w:pPr>
              <w:pStyle w:val="Bullet"/>
              <w:keepNext w:val="0"/>
              <w:numPr>
                <w:ilvl w:val="0"/>
                <w:numId w:val="24"/>
              </w:numPr>
              <w:spacing w:after="160" w:line="259" w:lineRule="auto"/>
            </w:pPr>
            <w:r w:rsidRPr="00F72A7B">
              <w:rPr>
                <w:b/>
              </w:rPr>
              <w:t>Estimation technique</w:t>
            </w:r>
            <w:r>
              <w:t xml:space="preserve">: I follow the approach proposed by </w:t>
            </w:r>
            <w:proofErr w:type="spellStart"/>
            <w:r>
              <w:t>Ackerberg</w:t>
            </w:r>
            <w:proofErr w:type="spellEnd"/>
            <w:r>
              <w:t>, Caves and Fraser (2015).</w:t>
            </w:r>
          </w:p>
          <w:p w14:paraId="4F4BC569" w14:textId="77777777" w:rsidR="00743BA0" w:rsidRDefault="00743BA0" w:rsidP="00B077FC">
            <w:pPr>
              <w:pStyle w:val="Bullet"/>
              <w:keepNext w:val="0"/>
              <w:numPr>
                <w:ilvl w:val="0"/>
                <w:numId w:val="24"/>
              </w:numPr>
              <w:spacing w:after="160" w:line="259" w:lineRule="auto"/>
              <w:jc w:val="both"/>
            </w:pPr>
            <w:r w:rsidRPr="009D5176">
              <w:rPr>
                <w:b/>
              </w:rPr>
              <w:t>Functional form</w:t>
            </w:r>
            <w:r>
              <w:t xml:space="preserve">: I assume a </w:t>
            </w:r>
            <w:proofErr w:type="spellStart"/>
            <w:r>
              <w:t>translog</w:t>
            </w:r>
            <w:proofErr w:type="spellEnd"/>
            <w:r>
              <w:t xml:space="preserve"> production function, which allows for the possibility that small and large firms have different production technologies. This appears to be important, given the extreme heterogeneity in firm sizes present in the data.</w:t>
            </w:r>
          </w:p>
          <w:p w14:paraId="28E1287C" w14:textId="71B5902F" w:rsidR="00743BA0" w:rsidRPr="009D5176" w:rsidRDefault="00743BA0" w:rsidP="00B077FC">
            <w:pPr>
              <w:pStyle w:val="Bullet"/>
              <w:keepNext w:val="0"/>
              <w:numPr>
                <w:ilvl w:val="0"/>
                <w:numId w:val="24"/>
              </w:numPr>
              <w:spacing w:after="160" w:line="259" w:lineRule="auto"/>
              <w:jc w:val="both"/>
              <w:rPr>
                <w:b/>
              </w:rPr>
            </w:pPr>
            <w:r w:rsidRPr="009D5176">
              <w:rPr>
                <w:b/>
              </w:rPr>
              <w:t>Flexible input:</w:t>
            </w:r>
            <w:r>
              <w:rPr>
                <w:b/>
              </w:rPr>
              <w:t xml:space="preserve"> </w:t>
            </w:r>
            <w:r>
              <w:t>I use intermediate inputs as my flexible input for mark</w:t>
            </w:r>
            <w:r w:rsidR="00252C43">
              <w:noBreakHyphen/>
            </w:r>
            <w:r>
              <w:t>up estimation. I use these in place of labour, as they are likely to be more flexible. I define intermediate inputs to be all</w:t>
            </w:r>
            <w:r w:rsidR="00252C43">
              <w:noBreakHyphen/>
            </w:r>
            <w:r>
              <w:t xml:space="preserve">non labour expenses, other than those defined as fixed (see below). This is different to De </w:t>
            </w:r>
            <w:proofErr w:type="spellStart"/>
            <w:r>
              <w:t>Loecker</w:t>
            </w:r>
            <w:proofErr w:type="spellEnd"/>
            <w:r>
              <w:t xml:space="preserve"> and </w:t>
            </w:r>
            <w:proofErr w:type="spellStart"/>
            <w:r>
              <w:t>Eeckhout</w:t>
            </w:r>
            <w:proofErr w:type="spellEnd"/>
            <w:r>
              <w:t xml:space="preserve"> (2018) who use a composite of intermediate and labour inputs as their flexible input due to data constraints.</w:t>
            </w:r>
          </w:p>
          <w:p w14:paraId="03711369" w14:textId="671BAF11" w:rsidR="00743BA0" w:rsidRDefault="00743BA0" w:rsidP="00071D76">
            <w:pPr>
              <w:pStyle w:val="Bullet"/>
              <w:keepNext w:val="0"/>
              <w:numPr>
                <w:ilvl w:val="0"/>
                <w:numId w:val="24"/>
              </w:numPr>
              <w:spacing w:after="160" w:line="259" w:lineRule="auto"/>
              <w:jc w:val="both"/>
              <w:rPr>
                <w:rFonts w:eastAsiaTheme="minorEastAsia"/>
              </w:rPr>
            </w:pPr>
            <w:r w:rsidRPr="009D5176">
              <w:rPr>
                <w:b/>
              </w:rPr>
              <w:t>Fixed costs:</w:t>
            </w:r>
            <w:r>
              <w:rPr>
                <w:b/>
              </w:rPr>
              <w:t xml:space="preserve"> </w:t>
            </w:r>
            <w:r w:rsidRPr="009D5176">
              <w:t>Consistent wit</w:t>
            </w:r>
            <w:r>
              <w:t>h</w:t>
            </w:r>
            <w:r>
              <w:rPr>
                <w:b/>
              </w:rPr>
              <w:t xml:space="preserve"> </w:t>
            </w:r>
            <w:r>
              <w:t xml:space="preserve">De </w:t>
            </w:r>
            <w:proofErr w:type="spellStart"/>
            <w:r>
              <w:t>Loecker</w:t>
            </w:r>
            <w:proofErr w:type="spellEnd"/>
            <w:r>
              <w:t xml:space="preserve"> and </w:t>
            </w:r>
            <w:proofErr w:type="spellStart"/>
            <w:r>
              <w:t>Eeckhout</w:t>
            </w:r>
            <w:proofErr w:type="spellEnd"/>
            <w:r>
              <w:t xml:space="preserve"> (2018), I define some expenses as </w:t>
            </w:r>
            <w:r w:rsidR="00252C43">
              <w:t>‘</w:t>
            </w:r>
            <w:r>
              <w:t>fixed costs</w:t>
            </w:r>
            <w:r w:rsidR="00252C43">
              <w:t>’</w:t>
            </w:r>
            <w:r>
              <w:t xml:space="preserve"> and exclude these from the production function estimation. In doing so, I have tried to align my definition of fixed costs to the </w:t>
            </w:r>
            <w:r w:rsidR="00252C43">
              <w:t>‘</w:t>
            </w:r>
            <w:r>
              <w:t>Selling and General Administrative</w:t>
            </w:r>
            <w:r w:rsidR="00252C43">
              <w:t>’</w:t>
            </w:r>
            <w:r>
              <w:t xml:space="preserve"> expenses used in that paper</w:t>
            </w:r>
            <w:r w:rsidR="00071D76">
              <w:t xml:space="preserve"> as closely as possible. </w:t>
            </w:r>
            <w:proofErr w:type="gramStart"/>
            <w:r w:rsidR="00071D76">
              <w:t>However</w:t>
            </w:r>
            <w:proofErr w:type="gramEnd"/>
            <w:r w:rsidR="00071D76">
              <w:t xml:space="preserve"> there will be definitional differences</w:t>
            </w:r>
            <w:r>
              <w:t>.</w:t>
            </w:r>
            <w:r w:rsidR="00071D76">
              <w:t xml:space="preserve"> For details see Appendix B.</w:t>
            </w:r>
          </w:p>
        </w:tc>
      </w:tr>
    </w:tbl>
    <w:p w14:paraId="29FF3579" w14:textId="220F526F" w:rsidR="002F6F65" w:rsidRPr="006E4F33" w:rsidRDefault="0095241E" w:rsidP="006E4F33">
      <w:pPr>
        <w:pStyle w:val="Heading2"/>
      </w:pPr>
      <w:r w:rsidRPr="006E4F33">
        <w:t>Data</w:t>
      </w:r>
    </w:p>
    <w:p w14:paraId="61892BE9" w14:textId="346D1E6E" w:rsidR="0095241E" w:rsidRDefault="0095241E" w:rsidP="00B077FC">
      <w:pPr>
        <w:jc w:val="both"/>
      </w:pPr>
      <w:r>
        <w:t>The data I use for this paper come from the ABS</w:t>
      </w:r>
      <w:r w:rsidR="00252C43">
        <w:t>’</w:t>
      </w:r>
      <w:r>
        <w:t>s Business Longitudinal Analysis Data Environment (BLADE). This is a longitudinal data set of administrative tax data matched to ABS surveys for (almost) the entire population of firms in Australia.</w:t>
      </w:r>
    </w:p>
    <w:p w14:paraId="666680A1" w14:textId="3A11322E" w:rsidR="0095241E" w:rsidRDefault="0095241E" w:rsidP="00B077FC">
      <w:pPr>
        <w:jc w:val="both"/>
      </w:pPr>
      <w:r>
        <w:t xml:space="preserve">The </w:t>
      </w:r>
      <w:proofErr w:type="gramStart"/>
      <w:r>
        <w:t>particular data</w:t>
      </w:r>
      <w:proofErr w:type="gramEnd"/>
      <w:r>
        <w:t xml:space="preserve"> I use come from firms</w:t>
      </w:r>
      <w:r w:rsidR="00252C43">
        <w:t>’</w:t>
      </w:r>
      <w:r>
        <w:t xml:space="preserve"> Business Income Tax </w:t>
      </w:r>
      <w:r w:rsidR="007417D1">
        <w:t xml:space="preserve">(BIT) </w:t>
      </w:r>
      <w:r>
        <w:t>forms and Pay</w:t>
      </w:r>
      <w:r w:rsidR="00252C43">
        <w:noBreakHyphen/>
      </w:r>
      <w:r>
        <w:t>As</w:t>
      </w:r>
      <w:r w:rsidR="00252C43">
        <w:noBreakHyphen/>
      </w:r>
      <w:r>
        <w:t>You</w:t>
      </w:r>
      <w:r w:rsidR="00252C43">
        <w:noBreakHyphen/>
      </w:r>
      <w:r>
        <w:t>Go (PAYG) employment forms. The former contain data on firms</w:t>
      </w:r>
      <w:r w:rsidR="00252C43">
        <w:t>’</w:t>
      </w:r>
      <w:r>
        <w:t xml:space="preserve"> sales, </w:t>
      </w:r>
      <w:proofErr w:type="gramStart"/>
      <w:r>
        <w:t>income</w:t>
      </w:r>
      <w:proofErr w:type="gramEnd"/>
      <w:r>
        <w:t xml:space="preserve"> and expenses, as well as on their balance sheet. These are used to construct measures of firm output, intermediate inputs, labour and fixed costs, and capital</w:t>
      </w:r>
      <w:r w:rsidR="00661810">
        <w:t xml:space="preserve"> (see Appendix B)</w:t>
      </w:r>
      <w:r>
        <w:t>. The PAYG statements are used to derive a measure of full</w:t>
      </w:r>
      <w:r w:rsidR="00252C43">
        <w:noBreakHyphen/>
      </w:r>
      <w:r>
        <w:t>time equivalent (FTE) employment (Hansell</w:t>
      </w:r>
      <w:r w:rsidR="00FF6B62">
        <w:t xml:space="preserve"> et al</w:t>
      </w:r>
      <w:r>
        <w:t xml:space="preserve"> 2015), which I use as the labour input.</w:t>
      </w:r>
    </w:p>
    <w:p w14:paraId="16242CBD" w14:textId="51B6B22F" w:rsidR="00C92EB8" w:rsidRDefault="0095241E" w:rsidP="00C92EB8">
      <w:pPr>
        <w:jc w:val="both"/>
      </w:pPr>
      <w:r>
        <w:t>In place of firm</w:t>
      </w:r>
      <w:r w:rsidR="00252C43">
        <w:noBreakHyphen/>
      </w:r>
      <w:r>
        <w:t>level input an</w:t>
      </w:r>
      <w:r w:rsidR="00743BA0">
        <w:t>d output prices, I use division</w:t>
      </w:r>
      <w:r w:rsidR="00252C43">
        <w:noBreakHyphen/>
      </w:r>
      <w:r>
        <w:t xml:space="preserve">level </w:t>
      </w:r>
      <w:r w:rsidR="00071D76">
        <w:t>prices</w:t>
      </w:r>
      <w:r>
        <w:t xml:space="preserve">. A discussed in </w:t>
      </w:r>
      <w:proofErr w:type="gramStart"/>
      <w:r>
        <w:t>a number of</w:t>
      </w:r>
      <w:proofErr w:type="gramEnd"/>
      <w:r>
        <w:t xml:space="preserve"> papers, the use of industry deflators can lead to</w:t>
      </w:r>
      <w:r w:rsidR="00743BA0">
        <w:t xml:space="preserve"> downward</w:t>
      </w:r>
      <w:r>
        <w:t xml:space="preserve"> biases in the estimated output elasticities (e.g. </w:t>
      </w:r>
      <w:proofErr w:type="spellStart"/>
      <w:r>
        <w:t>Klette</w:t>
      </w:r>
      <w:proofErr w:type="spellEnd"/>
      <w:r>
        <w:t xml:space="preserve"> and </w:t>
      </w:r>
      <w:proofErr w:type="spellStart"/>
      <w:r>
        <w:t>Griliches</w:t>
      </w:r>
      <w:proofErr w:type="spellEnd"/>
      <w:r>
        <w:t xml:space="preserve"> 1996; De </w:t>
      </w:r>
      <w:proofErr w:type="spellStart"/>
      <w:r>
        <w:t>Loecker</w:t>
      </w:r>
      <w:proofErr w:type="spellEnd"/>
      <w:r>
        <w:t xml:space="preserve"> 2011; </w:t>
      </w:r>
      <w:r w:rsidRPr="00E85236">
        <w:t xml:space="preserve">De </w:t>
      </w:r>
      <w:proofErr w:type="spellStart"/>
      <w:r w:rsidRPr="00E85236">
        <w:t>Loeck</w:t>
      </w:r>
      <w:r w:rsidR="000C282E">
        <w:t>er</w:t>
      </w:r>
      <w:proofErr w:type="spellEnd"/>
      <w:r w:rsidR="000C282E">
        <w:t xml:space="preserve"> et al 2016</w:t>
      </w:r>
      <w:r w:rsidRPr="00E85236">
        <w:t xml:space="preserve">; </w:t>
      </w:r>
      <w:proofErr w:type="spellStart"/>
      <w:r w:rsidRPr="00E85236">
        <w:t>Grieco</w:t>
      </w:r>
      <w:proofErr w:type="spellEnd"/>
      <w:r w:rsidRPr="00E85236">
        <w:t xml:space="preserve"> 2016</w:t>
      </w:r>
      <w:r>
        <w:t xml:space="preserve">). This will potentially </w:t>
      </w:r>
      <w:r w:rsidR="00743BA0">
        <w:t>bias down</w:t>
      </w:r>
      <w:r>
        <w:t xml:space="preserve"> the estimated level of the mark</w:t>
      </w:r>
      <w:r w:rsidR="00252C43">
        <w:noBreakHyphen/>
      </w:r>
      <w:r>
        <w:t>ups</w:t>
      </w:r>
      <w:r w:rsidR="00743BA0">
        <w:t xml:space="preserve"> by lowering the numerator in the mark</w:t>
      </w:r>
      <w:r w:rsidR="00252C43">
        <w:noBreakHyphen/>
      </w:r>
      <w:r w:rsidR="00743BA0">
        <w:t>up equation.</w:t>
      </w:r>
      <w:r w:rsidR="00C92EB8" w:rsidRPr="00C92EB8">
        <w:t xml:space="preserve"> </w:t>
      </w:r>
      <w:r w:rsidR="00C92EB8">
        <w:t>A more recent paper has argued more strongly that without observing firm</w:t>
      </w:r>
      <w:r w:rsidR="00252C43">
        <w:noBreakHyphen/>
      </w:r>
      <w:r w:rsidR="00C92EB8">
        <w:t>level prices we cannot infer anything about the level of mark</w:t>
      </w:r>
      <w:r w:rsidR="00252C43">
        <w:noBreakHyphen/>
      </w:r>
      <w:r w:rsidR="00C92EB8">
        <w:t>ups (Bond et al 2020). This is because we essentially replace the output elasticity with the revenue elasticity, which cancels out the information on the mark</w:t>
      </w:r>
      <w:r w:rsidR="00252C43">
        <w:noBreakHyphen/>
      </w:r>
      <w:r w:rsidR="00C92EB8">
        <w:t>up.</w:t>
      </w:r>
    </w:p>
    <w:p w14:paraId="05618B6A" w14:textId="545C2E74" w:rsidR="0095241E" w:rsidRDefault="00C92EB8" w:rsidP="00B077FC">
      <w:pPr>
        <w:jc w:val="both"/>
      </w:pPr>
      <w:r>
        <w:t xml:space="preserve">For these reasons, the estimates of the </w:t>
      </w:r>
      <w:r w:rsidR="00743BA0">
        <w:t>level of the mark</w:t>
      </w:r>
      <w:r w:rsidR="00252C43">
        <w:noBreakHyphen/>
      </w:r>
      <w:r w:rsidR="00743BA0">
        <w:t xml:space="preserve">ups </w:t>
      </w:r>
      <w:r w:rsidR="0095241E">
        <w:t xml:space="preserve">should be interpreted with </w:t>
      </w:r>
      <w:r>
        <w:t>a good deal of</w:t>
      </w:r>
      <w:r w:rsidR="0095241E">
        <w:t xml:space="preserve"> caution. </w:t>
      </w:r>
      <w:r w:rsidR="00743BA0">
        <w:t xml:space="preserve">That said, while the levels might be affected, the changes are unlikely to be </w:t>
      </w:r>
      <w:r>
        <w:t>overly</w:t>
      </w:r>
      <w:r w:rsidR="00743BA0">
        <w:t xml:space="preserve"> affected. If the </w:t>
      </w:r>
      <w:r w:rsidR="0095241E">
        <w:t>production function</w:t>
      </w:r>
      <w:r w:rsidR="007417D1">
        <w:t xml:space="preserve"> </w:t>
      </w:r>
      <w:r>
        <w:t>and its estimates</w:t>
      </w:r>
      <w:r w:rsidR="0095241E">
        <w:t xml:space="preserve"> remain broadly constant over time</w:t>
      </w:r>
      <w:r w:rsidR="007417D1">
        <w:t>,</w:t>
      </w:r>
      <w:r w:rsidR="00743BA0">
        <w:t xml:space="preserve"> the elasticity will be off by a constant factor, and so percentage changes in</w:t>
      </w:r>
      <w:r>
        <w:t xml:space="preserve"> the</w:t>
      </w:r>
      <w:r w:rsidR="00743BA0">
        <w:t xml:space="preserve"> mark</w:t>
      </w:r>
      <w:r w:rsidR="00252C43">
        <w:noBreakHyphen/>
      </w:r>
      <w:r w:rsidR="00743BA0">
        <w:t>ups will be largely unaffected</w:t>
      </w:r>
      <w:r w:rsidR="0095241E">
        <w:t xml:space="preserve"> (De </w:t>
      </w:r>
      <w:proofErr w:type="spellStart"/>
      <w:r w:rsidR="0095241E">
        <w:t>Loecker</w:t>
      </w:r>
      <w:proofErr w:type="spellEnd"/>
      <w:r w:rsidR="0095241E">
        <w:t xml:space="preserve"> and </w:t>
      </w:r>
      <w:proofErr w:type="spellStart"/>
      <w:r w:rsidR="0095241E">
        <w:t>Warzynski</w:t>
      </w:r>
      <w:proofErr w:type="spellEnd"/>
      <w:r w:rsidR="0095241E">
        <w:t xml:space="preserve"> 2012</w:t>
      </w:r>
      <w:r w:rsidR="00661810">
        <w:t>; Appendix A</w:t>
      </w:r>
      <w:r w:rsidR="0095241E">
        <w:t xml:space="preserve">). </w:t>
      </w:r>
      <w:r w:rsidR="00743BA0">
        <w:t>As such, the lack of firm</w:t>
      </w:r>
      <w:r w:rsidR="00252C43">
        <w:noBreakHyphen/>
      </w:r>
      <w:r w:rsidR="00743BA0">
        <w:t xml:space="preserve">level prices </w:t>
      </w:r>
      <w:proofErr w:type="gramStart"/>
      <w:r w:rsidR="00743BA0">
        <w:t>is</w:t>
      </w:r>
      <w:proofErr w:type="gramEnd"/>
      <w:r w:rsidR="00743BA0">
        <w:t xml:space="preserve"> unlikely to substantially affect the results</w:t>
      </w:r>
      <w:r>
        <w:t xml:space="preserve"> on changes in the mark</w:t>
      </w:r>
      <w:r w:rsidR="00252C43">
        <w:noBreakHyphen/>
      </w:r>
      <w:r>
        <w:t>ups</w:t>
      </w:r>
      <w:r w:rsidR="00743BA0">
        <w:t>.</w:t>
      </w:r>
    </w:p>
    <w:p w14:paraId="0A2E1CB4" w14:textId="3E8AAD16" w:rsidR="0095241E" w:rsidRDefault="0095241E" w:rsidP="00B077FC">
      <w:pPr>
        <w:jc w:val="both"/>
      </w:pPr>
      <w:r>
        <w:lastRenderedPageBreak/>
        <w:t>Regarding mark</w:t>
      </w:r>
      <w:r w:rsidR="00252C43">
        <w:noBreakHyphen/>
      </w:r>
      <w:r>
        <w:t>ups, I take a relatively light</w:t>
      </w:r>
      <w:r w:rsidR="00252C43">
        <w:noBreakHyphen/>
      </w:r>
      <w:r>
        <w:t>touch approach to trimming by removing only those in the top and bottom percentile of the mark</w:t>
      </w:r>
      <w:r w:rsidR="00252C43">
        <w:noBreakHyphen/>
      </w:r>
      <w:r>
        <w:t>up distribution. The results are quite robust to more stringent rules, such as dropping firms with large changes, or removing for the full sample any firms that enter the top and bottom percentile at some point in the sample (see Appendix C).</w:t>
      </w:r>
    </w:p>
    <w:p w14:paraId="260FEBE6" w14:textId="4804C6B1" w:rsidR="0095241E" w:rsidRDefault="0095241E" w:rsidP="00B077FC">
      <w:pPr>
        <w:jc w:val="both"/>
      </w:pPr>
      <w:r>
        <w:t xml:space="preserve">While BLADE has data on the (near) universe of Australian firms, I </w:t>
      </w:r>
      <w:proofErr w:type="gramStart"/>
      <w:r>
        <w:t>have to</w:t>
      </w:r>
      <w:proofErr w:type="gramEnd"/>
      <w:r>
        <w:t xml:space="preserve"> make some exclusions. I focus on em</w:t>
      </w:r>
      <w:r w:rsidR="00743BA0">
        <w:t>ploying firms in the non</w:t>
      </w:r>
      <w:r w:rsidR="00252C43">
        <w:noBreakHyphen/>
      </w:r>
      <w:r w:rsidR="00743BA0">
        <w:t>financial market sector</w:t>
      </w:r>
      <w:r>
        <w:t>. Even with these exclusions</w:t>
      </w:r>
      <w:r w:rsidRPr="00315BAC">
        <w:t xml:space="preserve"> </w:t>
      </w:r>
      <w:r>
        <w:t>I capture a very large proportion of the non</w:t>
      </w:r>
      <w:r w:rsidR="00252C43">
        <w:noBreakHyphen/>
      </w:r>
      <w:r>
        <w:t>mining</w:t>
      </w:r>
      <w:r w:rsidR="007417D1">
        <w:t>,</w:t>
      </w:r>
      <w:r>
        <w:t xml:space="preserve"> non</w:t>
      </w:r>
      <w:r w:rsidR="00252C43">
        <w:noBreakHyphen/>
      </w:r>
      <w:r>
        <w:t>finance market sector</w:t>
      </w:r>
      <w:r w:rsidR="00F02A01">
        <w:t xml:space="preserve">, capturing on average about </w:t>
      </w:r>
      <w:r w:rsidR="00B077FC" w:rsidRPr="00F02A01">
        <w:t>60</w:t>
      </w:r>
      <w:r w:rsidRPr="00F02A01">
        <w:t xml:space="preserve"> per cent</w:t>
      </w:r>
      <w:r>
        <w:t xml:space="preserve"> </w:t>
      </w:r>
      <w:r w:rsidR="00F02A01">
        <w:t xml:space="preserve">of the sales in each constituent industry division </w:t>
      </w:r>
      <w:r>
        <w:t>(Appendix B). This is substantially larger than is common in the literature, and so my results should be highly representative.</w:t>
      </w:r>
    </w:p>
    <w:p w14:paraId="0A0B07B0" w14:textId="1C626EB1" w:rsidR="00246743" w:rsidRPr="006E4F33" w:rsidRDefault="0095241E" w:rsidP="006E4F33">
      <w:pPr>
        <w:pStyle w:val="Heading2"/>
      </w:pPr>
      <w:r w:rsidRPr="006E4F33">
        <w:t>Documenting Mark</w:t>
      </w:r>
      <w:r w:rsidR="00252C43" w:rsidRPr="006E4F33">
        <w:noBreakHyphen/>
      </w:r>
      <w:r w:rsidRPr="006E4F33">
        <w:t>ups in Australia</w:t>
      </w:r>
    </w:p>
    <w:p w14:paraId="662AB451" w14:textId="52537B25" w:rsidR="0095241E" w:rsidRDefault="00A361F4" w:rsidP="00B077FC">
      <w:pPr>
        <w:jc w:val="both"/>
      </w:pPr>
      <w:r>
        <w:fldChar w:fldCharType="begin"/>
      </w:r>
      <w:r>
        <w:instrText xml:space="preserve"> REF _Ref42694515 \h  \* MERGEFORMAT </w:instrText>
      </w:r>
      <w:r>
        <w:fldChar w:fldCharType="separate"/>
      </w:r>
      <w:r w:rsidR="007D6DAF" w:rsidRPr="007D6DAF">
        <w:t>Figure 4</w:t>
      </w:r>
      <w:r>
        <w:fldChar w:fldCharType="end"/>
      </w:r>
      <w:r w:rsidR="0095241E">
        <w:t xml:space="preserve"> documents the average </w:t>
      </w:r>
      <w:r w:rsidR="00743BA0">
        <w:t>firm</w:t>
      </w:r>
      <w:r w:rsidR="00252C43">
        <w:noBreakHyphen/>
      </w:r>
      <w:r w:rsidR="00743BA0">
        <w:t xml:space="preserve">level </w:t>
      </w:r>
      <w:r w:rsidR="0095241E">
        <w:t>mark</w:t>
      </w:r>
      <w:r w:rsidR="00252C43">
        <w:noBreakHyphen/>
      </w:r>
      <w:r w:rsidR="0095241E">
        <w:t>up in the sample</w:t>
      </w:r>
      <w:r w:rsidR="00743BA0">
        <w:t xml:space="preserve"> based on three aggregation methods: (</w:t>
      </w:r>
      <w:proofErr w:type="spellStart"/>
      <w:r w:rsidR="00743BA0" w:rsidRPr="00743BA0">
        <w:t>i</w:t>
      </w:r>
      <w:proofErr w:type="spellEnd"/>
      <w:r w:rsidR="00743BA0">
        <w:t xml:space="preserve">) an </w:t>
      </w:r>
      <w:r w:rsidR="0095241E">
        <w:t>unweighted average</w:t>
      </w:r>
      <w:r w:rsidR="00743BA0">
        <w:t>; (ii) a sales</w:t>
      </w:r>
      <w:r w:rsidR="00252C43">
        <w:noBreakHyphen/>
      </w:r>
      <w:r w:rsidR="0095241E">
        <w:t xml:space="preserve">weighted </w:t>
      </w:r>
      <w:r w:rsidR="00743BA0">
        <w:t xml:space="preserve">average, as is </w:t>
      </w:r>
      <w:r w:rsidR="0095241E">
        <w:t>common in the literature</w:t>
      </w:r>
      <w:r w:rsidR="00743BA0">
        <w:t>; and (iii)</w:t>
      </w:r>
      <w:r w:rsidR="0095241E">
        <w:t xml:space="preserve"> </w:t>
      </w:r>
      <w:r w:rsidR="00743BA0">
        <w:t>an</w:t>
      </w:r>
      <w:r w:rsidR="0095241E">
        <w:t xml:space="preserve"> </w:t>
      </w:r>
      <w:r w:rsidR="00B077FC">
        <w:t>input</w:t>
      </w:r>
      <w:r w:rsidR="00252C43">
        <w:noBreakHyphen/>
      </w:r>
      <w:r w:rsidR="00743BA0">
        <w:t xml:space="preserve">weighted average, which is </w:t>
      </w:r>
      <w:r w:rsidR="0095241E">
        <w:t>potentially more reflective of the effect of mark</w:t>
      </w:r>
      <w:r w:rsidR="00252C43">
        <w:noBreakHyphen/>
      </w:r>
      <w:r w:rsidR="0095241E">
        <w:t>ups</w:t>
      </w:r>
      <w:r w:rsidR="00743BA0">
        <w:t xml:space="preserve"> than sales weights</w:t>
      </w:r>
      <w:r w:rsidR="001E12A5">
        <w:t>,</w:t>
      </w:r>
      <w:r w:rsidR="00743BA0">
        <w:t xml:space="preserve"> as it does not inflate the importance of high</w:t>
      </w:r>
      <w:r w:rsidR="00252C43">
        <w:noBreakHyphen/>
      </w:r>
      <w:r w:rsidR="00743BA0">
        <w:t>mark</w:t>
      </w:r>
      <w:r w:rsidR="00252C43">
        <w:noBreakHyphen/>
      </w:r>
      <w:r w:rsidR="00743BA0">
        <w:t>up firms by incorporating their mark</w:t>
      </w:r>
      <w:r w:rsidR="00252C43">
        <w:noBreakHyphen/>
      </w:r>
      <w:r w:rsidR="00743BA0">
        <w:t>ups into their weights (</w:t>
      </w:r>
      <w:r w:rsidR="0095241E">
        <w:t>Edmond</w:t>
      </w:r>
      <w:r w:rsidR="000C282E">
        <w:t xml:space="preserve"> et al</w:t>
      </w:r>
      <w:r w:rsidR="0095241E">
        <w:t xml:space="preserve"> 2019). In all cases, mark</w:t>
      </w:r>
      <w:r w:rsidR="00252C43">
        <w:noBreakHyphen/>
      </w:r>
      <w:r w:rsidR="0095241E">
        <w:t>ups have increased by around 5 per cent since the mid</w:t>
      </w:r>
      <w:r w:rsidR="00252C43">
        <w:noBreakHyphen/>
      </w:r>
      <w:r w:rsidR="0095241E">
        <w:t xml:space="preserve">2000s, suggesting that market power might have increased over the period. </w:t>
      </w:r>
    </w:p>
    <w:p w14:paraId="2D3322ED" w14:textId="77777777" w:rsidR="006E4F33" w:rsidRDefault="00F27A58" w:rsidP="006E4F33">
      <w:pPr>
        <w:pStyle w:val="ChartMainHeading"/>
        <w:rPr>
          <w:rFonts w:ascii="Arial Bold" w:hAnsi="Arial Bold"/>
          <w:i/>
          <w:iCs/>
          <w:sz w:val="22"/>
          <w:szCs w:val="22"/>
        </w:rPr>
      </w:pPr>
      <w:bookmarkStart w:id="5" w:name="_Ref42694515"/>
      <w:r w:rsidRPr="00F27A58">
        <w:t xml:space="preserve">Figure </w:t>
      </w:r>
      <w:fldSimple w:instr=" SEQ Figure \* ARABIC ">
        <w:r w:rsidR="007D6DAF">
          <w:rPr>
            <w:noProof/>
          </w:rPr>
          <w:t>4</w:t>
        </w:r>
      </w:fldSimple>
      <w:bookmarkEnd w:id="5"/>
      <w:r w:rsidRPr="00F27A58">
        <w:t>: Average Firm</w:t>
      </w:r>
      <w:r w:rsidR="00252C43">
        <w:noBreakHyphen/>
      </w:r>
      <w:r w:rsidRPr="00F27A58">
        <w:t>level Mark</w:t>
      </w:r>
      <w:r w:rsidR="00252C43">
        <w:noBreakHyphen/>
      </w:r>
      <w:r w:rsidRPr="00F27A58">
        <w:t>ups</w:t>
      </w:r>
    </w:p>
    <w:p w14:paraId="1AC4EA17" w14:textId="7CB0FEFD" w:rsidR="00F27A58" w:rsidRDefault="000A0892" w:rsidP="006E4F33">
      <w:pPr>
        <w:pStyle w:val="ChartGraphic"/>
        <w:rPr>
          <w:rFonts w:ascii="Arial Bold" w:hAnsi="Arial Bold"/>
          <w:b/>
          <w:i/>
          <w:iCs/>
          <w:sz w:val="22"/>
          <w:szCs w:val="22"/>
        </w:rPr>
      </w:pPr>
      <w:r w:rsidRPr="000A0892">
        <w:rPr>
          <w:noProof/>
        </w:rPr>
        <w:drawing>
          <wp:inline distT="0" distB="0" distL="0" distR="0" wp14:anchorId="1DA51665" wp14:editId="4180511A">
            <wp:extent cx="5581650" cy="2514600"/>
            <wp:effectExtent l="0" t="0" r="0" b="0"/>
            <wp:docPr id="15" name="Picture 15" descr="This chart shows average mark-ups across firms over time, using sales weights, inputs weight, and no weights. In all cases, mark=ups have increase fairly consistently from 2004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1650" cy="2514600"/>
                    </a:xfrm>
                    <a:prstGeom prst="rect">
                      <a:avLst/>
                    </a:prstGeom>
                    <a:noFill/>
                    <a:ln>
                      <a:noFill/>
                    </a:ln>
                  </pic:spPr>
                </pic:pic>
              </a:graphicData>
            </a:graphic>
          </wp:inline>
        </w:drawing>
      </w:r>
    </w:p>
    <w:p w14:paraId="66B84166" w14:textId="68C86EB4" w:rsidR="00F27A58" w:rsidRDefault="00F27A58" w:rsidP="00A42BAE">
      <w:pPr>
        <w:pStyle w:val="Chartnote"/>
        <w:spacing w:after="240"/>
      </w:pPr>
      <w:r>
        <w:t xml:space="preserve">Note:  </w:t>
      </w:r>
      <w:r w:rsidR="005108DE">
        <w:t>Input</w:t>
      </w:r>
      <w:r w:rsidR="00252C43">
        <w:noBreakHyphen/>
      </w:r>
      <w:r w:rsidR="005108DE">
        <w:t>weighted measures uses intermediate input measure used in constructing mark</w:t>
      </w:r>
      <w:r w:rsidR="00252C43">
        <w:noBreakHyphen/>
      </w:r>
      <w:r w:rsidR="005108DE">
        <w:t>up estimates</w:t>
      </w:r>
      <w:r>
        <w:t>.</w:t>
      </w:r>
      <w:r w:rsidR="00FE45C4" w:rsidRPr="00FE45C4">
        <w:t xml:space="preserve"> </w:t>
      </w:r>
      <w:r w:rsidR="00FE45C4">
        <w:t xml:space="preserve">Treasury </w:t>
      </w:r>
      <w:r w:rsidR="00F14548">
        <w:t>calculations based on ABS BLADE.</w:t>
      </w:r>
    </w:p>
    <w:p w14:paraId="3671595B" w14:textId="351FA492" w:rsidR="0095241E" w:rsidRDefault="0095241E" w:rsidP="001E12A5">
      <w:pPr>
        <w:jc w:val="both"/>
      </w:pPr>
      <w:r>
        <w:t>The sales</w:t>
      </w:r>
      <w:r w:rsidR="00252C43">
        <w:noBreakHyphen/>
      </w:r>
      <w:r>
        <w:t xml:space="preserve"> and input</w:t>
      </w:r>
      <w:r w:rsidR="00252C43">
        <w:noBreakHyphen/>
      </w:r>
      <w:r>
        <w:t>weighted mark</w:t>
      </w:r>
      <w:r w:rsidR="00252C43">
        <w:noBreakHyphen/>
      </w:r>
      <w:r>
        <w:t>ups are higher than the unweighted measure. This suggests that larger firms tend to have higher mark</w:t>
      </w:r>
      <w:r w:rsidR="00252C43">
        <w:noBreakHyphen/>
      </w:r>
      <w:r>
        <w:t>ups, which is consistent with many models of competition</w:t>
      </w:r>
      <w:r w:rsidR="00A361F4">
        <w:t>, though, as noted above, care should be taken in interpreting the levels of mark</w:t>
      </w:r>
      <w:r w:rsidR="00252C43">
        <w:noBreakHyphen/>
      </w:r>
      <w:r w:rsidR="00A361F4">
        <w:t>ups</w:t>
      </w:r>
      <w:r>
        <w:t>. I return to this below. It is also worth noting that the sales</w:t>
      </w:r>
      <w:r w:rsidR="00252C43">
        <w:noBreakHyphen/>
      </w:r>
      <w:r>
        <w:t xml:space="preserve"> and input</w:t>
      </w:r>
      <w:r w:rsidR="00252C43">
        <w:noBreakHyphen/>
      </w:r>
      <w:r>
        <w:t xml:space="preserve">weighted averages have similar trends, in contrast to some other studies. </w:t>
      </w:r>
      <w:r w:rsidR="00743BA0">
        <w:t>Given this, and for ease of comparison with other studies, I focus on the sales</w:t>
      </w:r>
      <w:r w:rsidR="00252C43">
        <w:noBreakHyphen/>
      </w:r>
      <w:r w:rsidR="00743BA0">
        <w:t>weighted measure for the rest of the paper, instead of the (more theoretically sound) input</w:t>
      </w:r>
      <w:r w:rsidR="00252C43">
        <w:noBreakHyphen/>
      </w:r>
      <w:r w:rsidR="00743BA0">
        <w:t>weighted measure</w:t>
      </w:r>
      <w:r>
        <w:t>.</w:t>
      </w:r>
    </w:p>
    <w:p w14:paraId="6B04C301" w14:textId="493EE7A6" w:rsidR="00743BA0" w:rsidRDefault="00743BA0" w:rsidP="001E12A5">
      <w:pPr>
        <w:pStyle w:val="Dash"/>
        <w:numPr>
          <w:ilvl w:val="0"/>
          <w:numId w:val="0"/>
        </w:numPr>
        <w:jc w:val="both"/>
      </w:pPr>
      <w:r>
        <w:t xml:space="preserve">To better understand these </w:t>
      </w:r>
      <w:proofErr w:type="gramStart"/>
      <w:r>
        <w:t>changes</w:t>
      </w:r>
      <w:proofErr w:type="gramEnd"/>
      <w:r>
        <w:t xml:space="preserve"> I decompose the sales</w:t>
      </w:r>
      <w:r w:rsidR="00252C43">
        <w:noBreakHyphen/>
      </w:r>
      <w:r>
        <w:t>weighted mark</w:t>
      </w:r>
      <w:r w:rsidR="00252C43">
        <w:noBreakHyphen/>
      </w:r>
      <w:r>
        <w:t xml:space="preserve">up using </w:t>
      </w:r>
      <w:r w:rsidRPr="001E12A5">
        <w:t xml:space="preserve">the </w:t>
      </w:r>
      <w:r w:rsidRPr="000C282E">
        <w:rPr>
          <w:iCs/>
        </w:rPr>
        <w:t>Bennet</w:t>
      </w:r>
      <w:r w:rsidRPr="000C282E">
        <w:rPr>
          <w:i/>
          <w:iCs/>
        </w:rPr>
        <w:t xml:space="preserve"> </w:t>
      </w:r>
      <w:r w:rsidRPr="000C282E">
        <w:t>(1920)</w:t>
      </w:r>
      <w:r>
        <w:rPr>
          <w:sz w:val="23"/>
          <w:szCs w:val="23"/>
        </w:rPr>
        <w:t xml:space="preserve"> </w:t>
      </w:r>
      <w:r w:rsidRPr="00315BAC">
        <w:rPr>
          <w:iCs/>
          <w:sz w:val="23"/>
          <w:szCs w:val="23"/>
        </w:rPr>
        <w:t>type</w:t>
      </w:r>
      <w:r>
        <w:rPr>
          <w:i/>
          <w:iCs/>
          <w:sz w:val="23"/>
          <w:szCs w:val="23"/>
        </w:rPr>
        <w:t xml:space="preserve"> </w:t>
      </w:r>
      <w:r>
        <w:t xml:space="preserve">decomposition suggested by </w:t>
      </w:r>
      <w:proofErr w:type="spellStart"/>
      <w:r>
        <w:t>Diewert</w:t>
      </w:r>
      <w:proofErr w:type="spellEnd"/>
      <w:r>
        <w:t xml:space="preserve"> and Fox (2010) (see Box B for more details</w:t>
      </w:r>
      <w:r w:rsidR="001E12A5">
        <w:t>)</w:t>
      </w:r>
      <w:r>
        <w:t xml:space="preserve">. This allows me to understand </w:t>
      </w:r>
      <w:r w:rsidR="007676E5">
        <w:t>whether</w:t>
      </w:r>
      <w:r>
        <w:t xml:space="preserve"> the increase reflected: higher mark</w:t>
      </w:r>
      <w:r w:rsidR="00252C43">
        <w:noBreakHyphen/>
      </w:r>
      <w:r>
        <w:t>ups for firms themselves (</w:t>
      </w:r>
      <w:r w:rsidR="00252C43">
        <w:t>‘</w:t>
      </w:r>
      <w:r>
        <w:t>Within changes</w:t>
      </w:r>
      <w:r w:rsidR="00252C43">
        <w:t>’</w:t>
      </w:r>
      <w:r>
        <w:t>); firms with high mark</w:t>
      </w:r>
      <w:r w:rsidR="00252C43">
        <w:noBreakHyphen/>
      </w:r>
      <w:r>
        <w:t>ups taking up an increasingly large share of the economy (</w:t>
      </w:r>
      <w:r w:rsidR="00252C43">
        <w:t>‘</w:t>
      </w:r>
      <w:r>
        <w:t>Reallocation</w:t>
      </w:r>
      <w:r w:rsidR="00252C43">
        <w:t>’</w:t>
      </w:r>
      <w:r>
        <w:t xml:space="preserve">); or a combination of the two. </w:t>
      </w:r>
    </w:p>
    <w:tbl>
      <w:tblPr>
        <w:tblStyle w:val="TableGrid"/>
        <w:tblW w:w="0" w:type="auto"/>
        <w:shd w:val="clear" w:color="auto" w:fill="BFBFBF" w:themeFill="background1" w:themeFillShade="BF"/>
        <w:tblLook w:val="04A0" w:firstRow="1" w:lastRow="0" w:firstColumn="1" w:lastColumn="0" w:noHBand="0" w:noVBand="1"/>
      </w:tblPr>
      <w:tblGrid>
        <w:gridCol w:w="9288"/>
      </w:tblGrid>
      <w:tr w:rsidR="00743BA0" w14:paraId="4149FE9C" w14:textId="77777777" w:rsidTr="006E4F33">
        <w:tc>
          <w:tcPr>
            <w:tcW w:w="9288" w:type="dxa"/>
            <w:shd w:val="clear" w:color="auto" w:fill="F2F2F2" w:themeFill="background1" w:themeFillShade="F2"/>
          </w:tcPr>
          <w:p w14:paraId="67DDC694" w14:textId="7596CAB3" w:rsidR="00743BA0" w:rsidRDefault="00743BA0" w:rsidP="006E4F33">
            <w:pPr>
              <w:pStyle w:val="BoxHeading"/>
              <w:rPr>
                <w:rFonts w:eastAsiaTheme="minorEastAsia"/>
              </w:rPr>
            </w:pPr>
            <w:r>
              <w:rPr>
                <w:rFonts w:eastAsiaTheme="minorEastAsia"/>
              </w:rPr>
              <w:lastRenderedPageBreak/>
              <w:t>Box B: Decomposing the Sales</w:t>
            </w:r>
            <w:r w:rsidR="00252C43">
              <w:rPr>
                <w:rFonts w:eastAsiaTheme="minorEastAsia"/>
              </w:rPr>
              <w:noBreakHyphen/>
            </w:r>
            <w:r>
              <w:rPr>
                <w:rFonts w:eastAsiaTheme="minorEastAsia"/>
              </w:rPr>
              <w:t>weighted Mark</w:t>
            </w:r>
            <w:r w:rsidR="00252C43">
              <w:rPr>
                <w:rFonts w:eastAsiaTheme="minorEastAsia"/>
              </w:rPr>
              <w:noBreakHyphen/>
            </w:r>
            <w:r>
              <w:rPr>
                <w:rFonts w:eastAsiaTheme="minorEastAsia"/>
              </w:rPr>
              <w:t>up</w:t>
            </w:r>
          </w:p>
          <w:p w14:paraId="403EDBB9" w14:textId="08713DAD" w:rsidR="00743BA0" w:rsidRPr="00743BA0" w:rsidRDefault="00743BA0" w:rsidP="001E12A5">
            <w:pPr>
              <w:jc w:val="both"/>
              <w:rPr>
                <w:sz w:val="22"/>
                <w:szCs w:val="22"/>
              </w:rPr>
            </w:pPr>
            <w:r w:rsidRPr="00743BA0">
              <w:rPr>
                <w:sz w:val="22"/>
                <w:szCs w:val="22"/>
              </w:rPr>
              <w:t>To better understand what is behind the increase, I decompose the sales</w:t>
            </w:r>
            <w:r w:rsidR="00252C43">
              <w:rPr>
                <w:sz w:val="22"/>
                <w:szCs w:val="22"/>
              </w:rPr>
              <w:noBreakHyphen/>
            </w:r>
            <w:r w:rsidRPr="00743BA0">
              <w:rPr>
                <w:sz w:val="22"/>
                <w:szCs w:val="22"/>
              </w:rPr>
              <w:t>weighted mark</w:t>
            </w:r>
            <w:r w:rsidR="00252C43">
              <w:rPr>
                <w:sz w:val="22"/>
                <w:szCs w:val="22"/>
              </w:rPr>
              <w:noBreakHyphen/>
            </w:r>
            <w:r w:rsidRPr="00743BA0">
              <w:rPr>
                <w:sz w:val="22"/>
                <w:szCs w:val="22"/>
              </w:rPr>
              <w:t xml:space="preserve">up using the </w:t>
            </w:r>
            <w:r w:rsidRPr="00FF6B62">
              <w:rPr>
                <w:iCs/>
                <w:sz w:val="22"/>
                <w:szCs w:val="22"/>
              </w:rPr>
              <w:t>Bennet</w:t>
            </w:r>
            <w:r w:rsidRPr="00FF6B62">
              <w:rPr>
                <w:i/>
                <w:iCs/>
                <w:sz w:val="22"/>
                <w:szCs w:val="22"/>
              </w:rPr>
              <w:t xml:space="preserve"> </w:t>
            </w:r>
            <w:r w:rsidRPr="00FF6B62">
              <w:rPr>
                <w:sz w:val="22"/>
                <w:szCs w:val="22"/>
              </w:rPr>
              <w:t>(1920)</w:t>
            </w:r>
            <w:r w:rsidRPr="00743BA0">
              <w:rPr>
                <w:sz w:val="22"/>
                <w:szCs w:val="22"/>
              </w:rPr>
              <w:t xml:space="preserve"> </w:t>
            </w:r>
            <w:r w:rsidRPr="00743BA0">
              <w:rPr>
                <w:iCs/>
                <w:sz w:val="22"/>
                <w:szCs w:val="22"/>
              </w:rPr>
              <w:t>type</w:t>
            </w:r>
            <w:r w:rsidRPr="00743BA0">
              <w:rPr>
                <w:i/>
                <w:iCs/>
                <w:sz w:val="22"/>
                <w:szCs w:val="22"/>
              </w:rPr>
              <w:t xml:space="preserve"> </w:t>
            </w:r>
            <w:r w:rsidRPr="00743BA0">
              <w:rPr>
                <w:sz w:val="22"/>
                <w:szCs w:val="22"/>
              </w:rPr>
              <w:t xml:space="preserve">decomposition suggested by </w:t>
            </w:r>
            <w:proofErr w:type="spellStart"/>
            <w:r w:rsidRPr="00743BA0">
              <w:rPr>
                <w:sz w:val="22"/>
                <w:szCs w:val="22"/>
              </w:rPr>
              <w:t>Diewert</w:t>
            </w:r>
            <w:proofErr w:type="spellEnd"/>
            <w:r w:rsidRPr="00743BA0">
              <w:rPr>
                <w:sz w:val="22"/>
                <w:szCs w:val="22"/>
              </w:rPr>
              <w:t xml:space="preserve"> and Fox (2010). This decomposition splits the change in the sales</w:t>
            </w:r>
            <w:r w:rsidR="00252C43">
              <w:rPr>
                <w:sz w:val="22"/>
                <w:szCs w:val="22"/>
              </w:rPr>
              <w:noBreakHyphen/>
            </w:r>
            <w:r w:rsidRPr="00743BA0">
              <w:rPr>
                <w:sz w:val="22"/>
                <w:szCs w:val="22"/>
              </w:rPr>
              <w:t>weighted mark</w:t>
            </w:r>
            <w:r w:rsidR="00252C43">
              <w:rPr>
                <w:sz w:val="22"/>
                <w:szCs w:val="22"/>
              </w:rPr>
              <w:noBreakHyphen/>
            </w:r>
            <w:r w:rsidRPr="00743BA0">
              <w:rPr>
                <w:sz w:val="22"/>
                <w:szCs w:val="22"/>
              </w:rPr>
              <w:t xml:space="preserve">up into the </w:t>
            </w:r>
            <w:r w:rsidR="00252C43">
              <w:rPr>
                <w:sz w:val="22"/>
                <w:szCs w:val="22"/>
              </w:rPr>
              <w:t>‘</w:t>
            </w:r>
            <w:r w:rsidRPr="00743BA0">
              <w:rPr>
                <w:sz w:val="22"/>
                <w:szCs w:val="22"/>
              </w:rPr>
              <w:t>within</w:t>
            </w:r>
            <w:r w:rsidR="00252C43">
              <w:rPr>
                <w:sz w:val="22"/>
                <w:szCs w:val="22"/>
              </w:rPr>
              <w:noBreakHyphen/>
            </w:r>
            <w:r w:rsidRPr="00743BA0">
              <w:rPr>
                <w:sz w:val="22"/>
                <w:szCs w:val="22"/>
              </w:rPr>
              <w:t>firm</w:t>
            </w:r>
            <w:r w:rsidR="00252C43">
              <w:rPr>
                <w:sz w:val="22"/>
                <w:szCs w:val="22"/>
              </w:rPr>
              <w:t>’</w:t>
            </w:r>
            <w:r w:rsidRPr="00743BA0">
              <w:rPr>
                <w:sz w:val="22"/>
                <w:szCs w:val="22"/>
              </w:rPr>
              <w:t xml:space="preserve"> changes, and the compositional shifts or </w:t>
            </w:r>
            <w:r w:rsidR="00252C43">
              <w:rPr>
                <w:sz w:val="22"/>
                <w:szCs w:val="22"/>
              </w:rPr>
              <w:t>‘</w:t>
            </w:r>
            <w:r w:rsidRPr="00743BA0">
              <w:rPr>
                <w:sz w:val="22"/>
                <w:szCs w:val="22"/>
              </w:rPr>
              <w:t>reallocation effects</w:t>
            </w:r>
            <w:r w:rsidR="00252C43">
              <w:rPr>
                <w:sz w:val="22"/>
                <w:szCs w:val="22"/>
              </w:rPr>
              <w:t>’</w:t>
            </w:r>
            <w:r w:rsidRPr="00743BA0">
              <w:rPr>
                <w:sz w:val="22"/>
                <w:szCs w:val="22"/>
              </w:rPr>
              <w:t>:</w:t>
            </w:r>
          </w:p>
          <w:p w14:paraId="46803095" w14:textId="4BA6D580" w:rsidR="00743BA0" w:rsidRPr="0016607F" w:rsidRDefault="00743BA0" w:rsidP="00743BA0">
            <w:pPr>
              <w:pStyle w:val="Dash"/>
              <w:numPr>
                <w:ilvl w:val="0"/>
                <w:numId w:val="0"/>
              </w:numPr>
              <w:rPr>
                <w:rFonts w:eastAsiaTheme="minorEastAsia"/>
              </w:rPr>
            </w:pPr>
            <m:oMathPara>
              <m:oMath>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i,t</m:t>
                        </m:r>
                      </m:sub>
                    </m:sSub>
                    <m:sSub>
                      <m:sSubPr>
                        <m:ctrlPr>
                          <w:rPr>
                            <w:rFonts w:ascii="Cambria Math" w:hAnsi="Cambria Math"/>
                            <w:i/>
                          </w:rPr>
                        </m:ctrlPr>
                      </m:sSubPr>
                      <m:e>
                        <m:r>
                          <w:rPr>
                            <w:rFonts w:ascii="Cambria Math" w:hAnsi="Cambria Math"/>
                          </w:rPr>
                          <m:t>μ</m:t>
                        </m:r>
                      </m:e>
                      <m:sub>
                        <m:r>
                          <w:rPr>
                            <w:rFonts w:ascii="Cambria Math" w:hAnsi="Cambria Math"/>
                          </w:rPr>
                          <m:t>i,t</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iϵsurvivors</m:t>
                    </m:r>
                  </m:sub>
                  <m:sup/>
                  <m:e>
                    <m:sSub>
                      <m:sSubPr>
                        <m:ctrlPr>
                          <w:rPr>
                            <w:rFonts w:ascii="Cambria Math" w:hAnsi="Cambria Math"/>
                            <w:i/>
                          </w:rPr>
                        </m:ctrlPr>
                      </m:sSubPr>
                      <m:e>
                        <m:r>
                          <w:rPr>
                            <w:rFonts w:ascii="Cambria Math" w:hAnsi="Cambria Math"/>
                          </w:rPr>
                          <m:t>∆w</m:t>
                        </m:r>
                      </m:e>
                      <m:sub>
                        <m:r>
                          <w:rPr>
                            <w:rFonts w:ascii="Cambria Math" w:hAnsi="Cambria Math"/>
                          </w:rPr>
                          <m:t>i,t</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μ</m:t>
                            </m:r>
                          </m:e>
                          <m:sub>
                            <m:r>
                              <w:rPr>
                                <w:rFonts w:ascii="Cambria Math" w:hAnsi="Cambria Math"/>
                              </w:rPr>
                              <m:t>i,t</m:t>
                            </m:r>
                          </m:sub>
                        </m:sSub>
                      </m:e>
                    </m:acc>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iϵsurvivors</m:t>
                    </m:r>
                  </m:sub>
                  <m:sup/>
                  <m:e>
                    <m:acc>
                      <m:accPr>
                        <m:chr m:val="̅"/>
                        <m:ctrlPr>
                          <w:rPr>
                            <w:rFonts w:ascii="Cambria Math" w:hAnsi="Cambria Math"/>
                            <w:i/>
                          </w:rPr>
                        </m:ctrlPr>
                      </m:accPr>
                      <m:e>
                        <m:sSub>
                          <m:sSubPr>
                            <m:ctrlPr>
                              <w:rPr>
                                <w:rFonts w:ascii="Cambria Math" w:hAnsi="Cambria Math"/>
                                <w:i/>
                              </w:rPr>
                            </m:ctrlPr>
                          </m:sSubPr>
                          <m:e>
                            <m:r>
                              <w:rPr>
                                <w:rFonts w:ascii="Cambria Math" w:hAnsi="Cambria Math"/>
                              </w:rPr>
                              <m:t>w</m:t>
                            </m:r>
                          </m:e>
                          <m:sub>
                            <m:r>
                              <w:rPr>
                                <w:rFonts w:ascii="Cambria Math" w:hAnsi="Cambria Math"/>
                              </w:rPr>
                              <m:t>i,t</m:t>
                            </m:r>
                          </m:sub>
                        </m:sSub>
                      </m:e>
                    </m:acc>
                    <m:sSub>
                      <m:sSubPr>
                        <m:ctrlPr>
                          <w:rPr>
                            <w:rFonts w:ascii="Cambria Math" w:hAnsi="Cambria Math"/>
                            <w:i/>
                          </w:rPr>
                        </m:ctrlPr>
                      </m:sSubPr>
                      <m:e>
                        <m:r>
                          <w:rPr>
                            <w:rFonts w:ascii="Cambria Math" w:hAnsi="Cambria Math"/>
                          </w:rPr>
                          <m:t>∆μ</m:t>
                        </m:r>
                      </m:e>
                      <m:sub>
                        <m:r>
                          <w:rPr>
                            <w:rFonts w:ascii="Cambria Math" w:hAnsi="Cambria Math"/>
                          </w:rPr>
                          <m:t>i,y</m:t>
                        </m:r>
                      </m:sub>
                    </m:sSub>
                  </m:e>
                </m:nary>
                <m:r>
                  <w:rPr>
                    <w:rFonts w:ascii="Cambria Math" w:hAnsi="Cambria Math"/>
                  </w:rPr>
                  <m:t>+</m:t>
                </m:r>
                <m:sSub>
                  <m:sSubPr>
                    <m:ctrlPr>
                      <w:rPr>
                        <w:rFonts w:ascii="Cambria Math" w:hAnsi="Cambria Math"/>
                        <w:i/>
                      </w:rPr>
                    </m:ctrlPr>
                  </m:sSubPr>
                  <m:e>
                    <m:r>
                      <w:rPr>
                        <w:rFonts w:ascii="Cambria Math" w:hAnsi="Cambria Math"/>
                      </w:rPr>
                      <m:t>Net Enxtry</m:t>
                    </m:r>
                  </m:e>
                  <m:sub>
                    <m:r>
                      <w:rPr>
                        <w:rFonts w:ascii="Cambria Math" w:hAnsi="Cambria Math"/>
                      </w:rPr>
                      <m:t>t</m:t>
                    </m:r>
                  </m:sub>
                </m:sSub>
              </m:oMath>
            </m:oMathPara>
          </w:p>
          <w:p w14:paraId="3ED49EF1" w14:textId="738B1309" w:rsidR="00743BA0" w:rsidRDefault="00743BA0" w:rsidP="001E12A5">
            <w:pPr>
              <w:pStyle w:val="Dash"/>
              <w:numPr>
                <w:ilvl w:val="0"/>
                <w:numId w:val="0"/>
              </w:numPr>
              <w:jc w:val="both"/>
              <w:rPr>
                <w:rFonts w:eastAsiaTheme="minorEastAsia"/>
              </w:rPr>
            </w:pPr>
            <w:r>
              <w:rPr>
                <w:rFonts w:eastAsiaTheme="minorEastAsia"/>
              </w:rPr>
              <w:t xml:space="preserve">Where </w:t>
            </w:r>
            <m:oMath>
              <m:sSub>
                <m:sSubPr>
                  <m:ctrlPr>
                    <w:rPr>
                      <w:rFonts w:ascii="Cambria Math" w:hAnsi="Cambria Math"/>
                      <w:i/>
                    </w:rPr>
                  </m:ctrlPr>
                </m:sSubPr>
                <m:e>
                  <m:r>
                    <w:rPr>
                      <w:rFonts w:ascii="Cambria Math" w:hAnsi="Cambria Math"/>
                    </w:rPr>
                    <m:t>w</m:t>
                  </m:r>
                </m:e>
                <m:sub>
                  <m:r>
                    <w:rPr>
                      <w:rFonts w:ascii="Cambria Math" w:hAnsi="Cambria Math"/>
                    </w:rPr>
                    <m:t>i,t</m:t>
                  </m:r>
                </m:sub>
              </m:sSub>
            </m:oMath>
            <w:r>
              <w:rPr>
                <w:rFonts w:eastAsiaTheme="minorEastAsia"/>
              </w:rPr>
              <w:t xml:space="preserve"> and </w:t>
            </w:r>
            <m:oMath>
              <m:sSub>
                <m:sSubPr>
                  <m:ctrlPr>
                    <w:rPr>
                      <w:rFonts w:ascii="Cambria Math" w:hAnsi="Cambria Math"/>
                      <w:i/>
                    </w:rPr>
                  </m:ctrlPr>
                </m:sSubPr>
                <m:e>
                  <m:r>
                    <w:rPr>
                      <w:rFonts w:ascii="Cambria Math" w:hAnsi="Cambria Math"/>
                    </w:rPr>
                    <m:t>μ</m:t>
                  </m:r>
                </m:e>
                <m:sub>
                  <m:r>
                    <w:rPr>
                      <w:rFonts w:ascii="Cambria Math" w:hAnsi="Cambria Math"/>
                    </w:rPr>
                    <m:t>i,t</m:t>
                  </m:r>
                </m:sub>
              </m:sSub>
            </m:oMath>
            <w:r>
              <w:rPr>
                <w:rFonts w:eastAsiaTheme="minorEastAsia"/>
              </w:rPr>
              <w:t xml:space="preserve"> are firm i</w:t>
            </w:r>
            <w:r w:rsidR="00252C43">
              <w:rPr>
                <w:rFonts w:eastAsiaTheme="minorEastAsia"/>
              </w:rPr>
              <w:t>’</w:t>
            </w:r>
            <w:r>
              <w:rPr>
                <w:rFonts w:eastAsiaTheme="minorEastAsia"/>
              </w:rPr>
              <w:t>s sales weight and mark</w:t>
            </w:r>
            <w:r w:rsidR="00252C43">
              <w:rPr>
                <w:rFonts w:eastAsiaTheme="minorEastAsia"/>
              </w:rPr>
              <w:noBreakHyphen/>
            </w:r>
            <w:r>
              <w:rPr>
                <w:rFonts w:eastAsiaTheme="minorEastAsia"/>
              </w:rPr>
              <w:t xml:space="preserve">up at time </w:t>
            </w:r>
            <w:r>
              <w:rPr>
                <w:rFonts w:eastAsiaTheme="minorEastAsia"/>
                <w:i/>
              </w:rPr>
              <w:t>t</w:t>
            </w:r>
            <w:r>
              <w:rPr>
                <w:rFonts w:eastAsiaTheme="minorEastAsia"/>
              </w:rPr>
              <w:t xml:space="preserve">, respectively, and the bar indicates the average over the current and previous period. </w:t>
            </w:r>
          </w:p>
          <w:p w14:paraId="7DE26315" w14:textId="2034D131" w:rsidR="00743BA0" w:rsidRDefault="00743BA0" w:rsidP="001E12A5">
            <w:pPr>
              <w:pStyle w:val="Dash"/>
              <w:numPr>
                <w:ilvl w:val="0"/>
                <w:numId w:val="0"/>
              </w:numPr>
              <w:jc w:val="both"/>
              <w:rPr>
                <w:rFonts w:eastAsiaTheme="minorEastAsia"/>
              </w:rPr>
            </w:pPr>
            <w:r>
              <w:rPr>
                <w:rFonts w:eastAsiaTheme="minorEastAsia"/>
              </w:rPr>
              <w:t>The first term is the reallocation component. It captures whether a firm has gained or lost market share, and how this affects the weighted</w:t>
            </w:r>
            <w:r w:rsidR="00252C43">
              <w:rPr>
                <w:rFonts w:eastAsiaTheme="minorEastAsia"/>
              </w:rPr>
              <w:noBreakHyphen/>
            </w:r>
            <w:r>
              <w:rPr>
                <w:rFonts w:eastAsiaTheme="minorEastAsia"/>
              </w:rPr>
              <w:t>average given the level of the firm</w:t>
            </w:r>
            <w:r w:rsidR="00252C43">
              <w:rPr>
                <w:rFonts w:eastAsiaTheme="minorEastAsia"/>
              </w:rPr>
              <w:t>’</w:t>
            </w:r>
            <w:r>
              <w:rPr>
                <w:rFonts w:eastAsiaTheme="minorEastAsia"/>
              </w:rPr>
              <w:t>s mark</w:t>
            </w:r>
            <w:r w:rsidR="00252C43">
              <w:rPr>
                <w:rFonts w:eastAsiaTheme="minorEastAsia"/>
              </w:rPr>
              <w:noBreakHyphen/>
            </w:r>
            <w:r>
              <w:rPr>
                <w:rFonts w:eastAsiaTheme="minorEastAsia"/>
              </w:rPr>
              <w:t xml:space="preserve">up (i.e. whether it is above or below </w:t>
            </w:r>
            <w:r w:rsidR="001E12A5">
              <w:rPr>
                <w:rFonts w:eastAsiaTheme="minorEastAsia"/>
              </w:rPr>
              <w:t xml:space="preserve">the </w:t>
            </w:r>
            <w:r>
              <w:rPr>
                <w:rFonts w:eastAsiaTheme="minorEastAsia"/>
              </w:rPr>
              <w:t>firm</w:t>
            </w:r>
            <w:r w:rsidR="00252C43">
              <w:rPr>
                <w:rFonts w:eastAsiaTheme="minorEastAsia"/>
              </w:rPr>
              <w:noBreakHyphen/>
            </w:r>
            <w:r>
              <w:rPr>
                <w:rFonts w:eastAsiaTheme="minorEastAsia"/>
              </w:rPr>
              <w:t>level average). The second term is the within component. It captures increases in mark</w:t>
            </w:r>
            <w:r w:rsidR="00252C43">
              <w:rPr>
                <w:rFonts w:eastAsiaTheme="minorEastAsia"/>
              </w:rPr>
              <w:noBreakHyphen/>
            </w:r>
            <w:r>
              <w:rPr>
                <w:rFonts w:eastAsiaTheme="minorEastAsia"/>
              </w:rPr>
              <w:t xml:space="preserve">ups for firms themselves, weighting them according to their share of aggregate sales. </w:t>
            </w:r>
          </w:p>
          <w:p w14:paraId="4E85AFE2" w14:textId="7AA816CB" w:rsidR="00743BA0" w:rsidRDefault="00743BA0" w:rsidP="001E12A5">
            <w:pPr>
              <w:pStyle w:val="Dash"/>
              <w:numPr>
                <w:ilvl w:val="0"/>
                <w:numId w:val="0"/>
              </w:numPr>
              <w:jc w:val="both"/>
            </w:pPr>
            <w:r w:rsidRPr="00915BB1">
              <w:t xml:space="preserve">This </w:t>
            </w:r>
            <w:r w:rsidR="001E12A5">
              <w:t>decomposition is different</w:t>
            </w:r>
            <w:r w:rsidRPr="00915BB1">
              <w:t xml:space="preserve"> to the dynamic </w:t>
            </w:r>
            <w:proofErr w:type="spellStart"/>
            <w:r w:rsidRPr="00915BB1">
              <w:t>Olley</w:t>
            </w:r>
            <w:r w:rsidR="00252C43">
              <w:noBreakHyphen/>
            </w:r>
            <w:r w:rsidRPr="00915BB1">
              <w:t>Pakes</w:t>
            </w:r>
            <w:proofErr w:type="spellEnd"/>
            <w:r w:rsidR="001E12A5">
              <w:t xml:space="preserve"> (DOP)</w:t>
            </w:r>
            <w:r w:rsidRPr="00915BB1">
              <w:t xml:space="preserve"> decomposition p</w:t>
            </w:r>
            <w:r>
              <w:t xml:space="preserve">roposed by Melitz and </w:t>
            </w:r>
            <w:proofErr w:type="spellStart"/>
            <w:r>
              <w:t>Polanec</w:t>
            </w:r>
            <w:proofErr w:type="spellEnd"/>
            <w:r>
              <w:t xml:space="preserve"> (2012). </w:t>
            </w:r>
            <w:r w:rsidR="001E12A5">
              <w:t>The DOP</w:t>
            </w:r>
            <w:r>
              <w:t xml:space="preserve"> decomposes using the unweighted firm</w:t>
            </w:r>
            <w:r w:rsidR="00252C43">
              <w:noBreakHyphen/>
            </w:r>
            <w:r>
              <w:t>level changes, and the change in the covariance of size and mark</w:t>
            </w:r>
            <w:r w:rsidR="00252C43">
              <w:noBreakHyphen/>
            </w:r>
            <w:r>
              <w:t xml:space="preserve">ups. As such, in the </w:t>
            </w:r>
            <w:r w:rsidR="001E12A5">
              <w:t>DOP</w:t>
            </w:r>
            <w:r>
              <w:t xml:space="preserve"> if mark</w:t>
            </w:r>
            <w:r w:rsidR="00252C43">
              <w:noBreakHyphen/>
            </w:r>
            <w:r>
              <w:t xml:space="preserve">ups rise for large firms, the reallocation term will rise. This is </w:t>
            </w:r>
            <w:r w:rsidRPr="00915BB1">
              <w:t>not ideal</w:t>
            </w:r>
            <w:r>
              <w:t xml:space="preserve"> in this </w:t>
            </w:r>
            <w:proofErr w:type="gramStart"/>
            <w:r>
              <w:t>case, and</w:t>
            </w:r>
            <w:proofErr w:type="gramEnd"/>
            <w:r>
              <w:t xml:space="preserve"> doesn</w:t>
            </w:r>
            <w:r w:rsidR="00252C43">
              <w:t>’</w:t>
            </w:r>
            <w:r>
              <w:t xml:space="preserve">t align </w:t>
            </w:r>
            <w:r w:rsidRPr="00915BB1">
              <w:t xml:space="preserve">with the decomposition used in De </w:t>
            </w:r>
            <w:proofErr w:type="spellStart"/>
            <w:r w:rsidRPr="00915BB1">
              <w:t>Loecker</w:t>
            </w:r>
            <w:proofErr w:type="spellEnd"/>
            <w:r w:rsidRPr="00915BB1">
              <w:t xml:space="preserve"> et al (</w:t>
            </w:r>
            <w:r>
              <w:t>20</w:t>
            </w:r>
            <w:r w:rsidR="004A6B19">
              <w:t>21</w:t>
            </w:r>
            <w:r w:rsidRPr="00915BB1">
              <w:t>).</w:t>
            </w:r>
          </w:p>
          <w:p w14:paraId="7BFA02CA" w14:textId="50161CCB" w:rsidR="00743BA0" w:rsidRDefault="00743BA0" w:rsidP="001E12A5">
            <w:pPr>
              <w:pStyle w:val="Caption1"/>
              <w:spacing w:after="220"/>
              <w:jc w:val="both"/>
            </w:pPr>
            <w:r>
              <w:rPr>
                <w:rFonts w:ascii="Calibri" w:eastAsiaTheme="minorEastAsia" w:hAnsi="Calibri"/>
                <w:color w:val="000000" w:themeColor="text1"/>
                <w:sz w:val="20"/>
                <w:szCs w:val="20"/>
              </w:rPr>
              <w:t>The final term accounts for the fact</w:t>
            </w:r>
            <w:r w:rsidR="001E12A5">
              <w:rPr>
                <w:rFonts w:ascii="Calibri" w:eastAsiaTheme="minorEastAsia" w:hAnsi="Calibri"/>
                <w:color w:val="000000" w:themeColor="text1"/>
                <w:sz w:val="20"/>
                <w:szCs w:val="20"/>
              </w:rPr>
              <w:t xml:space="preserve"> that the</w:t>
            </w:r>
            <w:r>
              <w:rPr>
                <w:rFonts w:ascii="Calibri" w:eastAsiaTheme="minorEastAsia" w:hAnsi="Calibri"/>
                <w:color w:val="000000" w:themeColor="text1"/>
                <w:sz w:val="20"/>
                <w:szCs w:val="20"/>
              </w:rPr>
              <w:t xml:space="preserve"> </w:t>
            </w:r>
            <w:r w:rsidRPr="00743BA0">
              <w:rPr>
                <w:rFonts w:ascii="Calibri" w:eastAsiaTheme="minorEastAsia" w:hAnsi="Calibri"/>
                <w:color w:val="000000" w:themeColor="text1"/>
                <w:sz w:val="20"/>
                <w:szCs w:val="20"/>
              </w:rPr>
              <w:t>entry and exit of firms will affect the weighted</w:t>
            </w:r>
            <w:r w:rsidR="00252C43">
              <w:rPr>
                <w:rFonts w:ascii="Calibri" w:eastAsiaTheme="minorEastAsia" w:hAnsi="Calibri"/>
                <w:color w:val="000000" w:themeColor="text1"/>
                <w:sz w:val="20"/>
                <w:szCs w:val="20"/>
              </w:rPr>
              <w:noBreakHyphen/>
            </w:r>
            <w:r w:rsidRPr="00743BA0">
              <w:rPr>
                <w:rFonts w:ascii="Calibri" w:eastAsiaTheme="minorEastAsia" w:hAnsi="Calibri"/>
                <w:color w:val="000000" w:themeColor="text1"/>
                <w:sz w:val="20"/>
                <w:szCs w:val="20"/>
              </w:rPr>
              <w:t>average mark</w:t>
            </w:r>
            <w:r w:rsidR="00252C43">
              <w:rPr>
                <w:rFonts w:ascii="Calibri" w:eastAsiaTheme="minorEastAsia" w:hAnsi="Calibri"/>
                <w:color w:val="000000" w:themeColor="text1"/>
                <w:sz w:val="20"/>
                <w:szCs w:val="20"/>
              </w:rPr>
              <w:noBreakHyphen/>
            </w:r>
            <w:proofErr w:type="gramStart"/>
            <w:r w:rsidRPr="00743BA0">
              <w:rPr>
                <w:rFonts w:ascii="Calibri" w:eastAsiaTheme="minorEastAsia" w:hAnsi="Calibri"/>
                <w:color w:val="000000" w:themeColor="text1"/>
                <w:sz w:val="20"/>
                <w:szCs w:val="20"/>
              </w:rPr>
              <w:t>up</w:t>
            </w:r>
            <w:r>
              <w:rPr>
                <w:rFonts w:ascii="Calibri" w:eastAsiaTheme="minorEastAsia" w:hAnsi="Calibri"/>
                <w:color w:val="000000" w:themeColor="text1"/>
                <w:sz w:val="20"/>
                <w:szCs w:val="20"/>
              </w:rPr>
              <w:t>, if</w:t>
            </w:r>
            <w:proofErr w:type="gramEnd"/>
            <w:r>
              <w:rPr>
                <w:rFonts w:ascii="Calibri" w:eastAsiaTheme="minorEastAsia" w:hAnsi="Calibri"/>
                <w:color w:val="000000" w:themeColor="text1"/>
                <w:sz w:val="20"/>
                <w:szCs w:val="20"/>
              </w:rPr>
              <w:t xml:space="preserve"> their mark</w:t>
            </w:r>
            <w:r w:rsidR="00252C43">
              <w:rPr>
                <w:rFonts w:ascii="Calibri" w:eastAsiaTheme="minorEastAsia" w:hAnsi="Calibri"/>
                <w:color w:val="000000" w:themeColor="text1"/>
                <w:sz w:val="20"/>
                <w:szCs w:val="20"/>
              </w:rPr>
              <w:noBreakHyphen/>
            </w:r>
            <w:r>
              <w:rPr>
                <w:rFonts w:ascii="Calibri" w:eastAsiaTheme="minorEastAsia" w:hAnsi="Calibri"/>
                <w:color w:val="000000" w:themeColor="text1"/>
                <w:sz w:val="20"/>
                <w:szCs w:val="20"/>
              </w:rPr>
              <w:t>ups differ from those of other firms.</w:t>
            </w:r>
            <w:r w:rsidRPr="00743BA0">
              <w:rPr>
                <w:rFonts w:ascii="Calibri" w:eastAsiaTheme="minorEastAsia" w:hAnsi="Calibri"/>
                <w:color w:val="000000" w:themeColor="text1"/>
                <w:sz w:val="20"/>
                <w:szCs w:val="20"/>
              </w:rPr>
              <w:t xml:space="preserve"> I abstract from this component in the analysis as its effect on the mark</w:t>
            </w:r>
            <w:r w:rsidR="00252C43">
              <w:rPr>
                <w:rFonts w:ascii="Calibri" w:eastAsiaTheme="minorEastAsia" w:hAnsi="Calibri"/>
                <w:color w:val="000000" w:themeColor="text1"/>
                <w:sz w:val="20"/>
                <w:szCs w:val="20"/>
              </w:rPr>
              <w:noBreakHyphen/>
            </w:r>
            <w:r w:rsidRPr="00743BA0">
              <w:rPr>
                <w:rFonts w:ascii="Calibri" w:eastAsiaTheme="minorEastAsia" w:hAnsi="Calibri"/>
                <w:color w:val="000000" w:themeColor="text1"/>
                <w:sz w:val="20"/>
                <w:szCs w:val="20"/>
              </w:rPr>
              <w:t>up is small.</w:t>
            </w:r>
          </w:p>
        </w:tc>
      </w:tr>
    </w:tbl>
    <w:p w14:paraId="3B50C23F" w14:textId="2F29C1BA" w:rsidR="001E12A5" w:rsidRDefault="00A361F4" w:rsidP="00A42BAE">
      <w:pPr>
        <w:pStyle w:val="Dash"/>
        <w:numPr>
          <w:ilvl w:val="0"/>
          <w:numId w:val="0"/>
        </w:numPr>
        <w:spacing w:before="120"/>
        <w:jc w:val="both"/>
        <w:rPr>
          <w:rFonts w:eastAsiaTheme="minorEastAsia"/>
        </w:rPr>
      </w:pPr>
      <w:r>
        <w:rPr>
          <w:rFonts w:eastAsiaTheme="minorEastAsia"/>
        </w:rPr>
        <w:fldChar w:fldCharType="begin"/>
      </w:r>
      <w:r>
        <w:rPr>
          <w:rFonts w:eastAsiaTheme="minorEastAsia"/>
        </w:rPr>
        <w:instrText xml:space="preserve"> REF _Ref42694537 \h  \* MERGEFORMAT </w:instrText>
      </w:r>
      <w:r>
        <w:rPr>
          <w:rFonts w:eastAsiaTheme="minorEastAsia"/>
        </w:rPr>
      </w:r>
      <w:r>
        <w:rPr>
          <w:rFonts w:eastAsiaTheme="minorEastAsia"/>
        </w:rPr>
        <w:fldChar w:fldCharType="separate"/>
      </w:r>
      <w:r w:rsidR="007D6DAF" w:rsidRPr="007D6DAF">
        <w:rPr>
          <w:rFonts w:eastAsiaTheme="minorEastAsia"/>
        </w:rPr>
        <w:t>Figure 5</w:t>
      </w:r>
      <w:r>
        <w:rPr>
          <w:rFonts w:eastAsiaTheme="minorEastAsia"/>
        </w:rPr>
        <w:fldChar w:fldCharType="end"/>
      </w:r>
      <w:r w:rsidR="00743BA0">
        <w:rPr>
          <w:rFonts w:eastAsiaTheme="minorEastAsia"/>
        </w:rPr>
        <w:t xml:space="preserve"> shows the results of this decomposition. Over the sample, the increase in the sales</w:t>
      </w:r>
      <w:r w:rsidR="00252C43">
        <w:rPr>
          <w:rFonts w:eastAsiaTheme="minorEastAsia"/>
        </w:rPr>
        <w:noBreakHyphen/>
      </w:r>
      <w:r w:rsidR="00743BA0">
        <w:rPr>
          <w:rFonts w:eastAsiaTheme="minorEastAsia"/>
        </w:rPr>
        <w:t>weighed mark</w:t>
      </w:r>
      <w:r w:rsidR="00252C43">
        <w:rPr>
          <w:rFonts w:eastAsiaTheme="minorEastAsia"/>
        </w:rPr>
        <w:noBreakHyphen/>
      </w:r>
      <w:r w:rsidR="00743BA0">
        <w:rPr>
          <w:rFonts w:eastAsiaTheme="minorEastAsia"/>
        </w:rPr>
        <w:t>up reflected increases in firms</w:t>
      </w:r>
      <w:r w:rsidR="00252C43">
        <w:rPr>
          <w:rFonts w:eastAsiaTheme="minorEastAsia"/>
        </w:rPr>
        <w:t>’</w:t>
      </w:r>
      <w:r w:rsidR="00743BA0">
        <w:rPr>
          <w:rFonts w:eastAsiaTheme="minorEastAsia"/>
        </w:rPr>
        <w:t xml:space="preserve"> mark</w:t>
      </w:r>
      <w:r w:rsidR="00252C43">
        <w:rPr>
          <w:rFonts w:eastAsiaTheme="minorEastAsia"/>
        </w:rPr>
        <w:noBreakHyphen/>
      </w:r>
      <w:r w:rsidR="00743BA0">
        <w:rPr>
          <w:rFonts w:eastAsiaTheme="minorEastAsia"/>
        </w:rPr>
        <w:t>ups, particularly over the mid</w:t>
      </w:r>
      <w:r w:rsidR="00252C43">
        <w:rPr>
          <w:rFonts w:eastAsiaTheme="minorEastAsia"/>
        </w:rPr>
        <w:noBreakHyphen/>
      </w:r>
      <w:r w:rsidR="00743BA0">
        <w:rPr>
          <w:rFonts w:eastAsiaTheme="minorEastAsia"/>
        </w:rPr>
        <w:t>2000s. Moreover, if anything, there was some reallocation away from higher mark</w:t>
      </w:r>
      <w:r w:rsidR="00252C43">
        <w:rPr>
          <w:rFonts w:eastAsiaTheme="minorEastAsia"/>
        </w:rPr>
        <w:noBreakHyphen/>
      </w:r>
      <w:r w:rsidR="00743BA0">
        <w:rPr>
          <w:rFonts w:eastAsiaTheme="minorEastAsia"/>
        </w:rPr>
        <w:t>up firms and towards lower mark</w:t>
      </w:r>
      <w:r w:rsidR="00252C43">
        <w:rPr>
          <w:rFonts w:eastAsiaTheme="minorEastAsia"/>
        </w:rPr>
        <w:noBreakHyphen/>
      </w:r>
      <w:r w:rsidR="00743BA0">
        <w:rPr>
          <w:rFonts w:eastAsiaTheme="minorEastAsia"/>
        </w:rPr>
        <w:t>up firms. While part of this might reflect reallocation between sectors</w:t>
      </w:r>
      <w:r w:rsidR="001E12A5">
        <w:rPr>
          <w:rFonts w:eastAsiaTheme="minorEastAsia"/>
        </w:rPr>
        <w:t>, it still suggests that reallocation has not played a large role in the increase</w:t>
      </w:r>
      <w:r w:rsidR="00743BA0">
        <w:rPr>
          <w:rFonts w:eastAsiaTheme="minorEastAsia"/>
        </w:rPr>
        <w:t xml:space="preserve">. </w:t>
      </w:r>
      <w:r>
        <w:rPr>
          <w:rFonts w:eastAsiaTheme="minorEastAsia"/>
        </w:rPr>
        <w:t>This finding is particularly relevant in the context of concerns about the interpretation of the levels of the mark</w:t>
      </w:r>
      <w:r w:rsidR="00252C43">
        <w:rPr>
          <w:rFonts w:eastAsiaTheme="minorEastAsia"/>
        </w:rPr>
        <w:noBreakHyphen/>
      </w:r>
      <w:r>
        <w:rPr>
          <w:rFonts w:eastAsiaTheme="minorEastAsia"/>
        </w:rPr>
        <w:t>up estimates.</w:t>
      </w:r>
    </w:p>
    <w:p w14:paraId="000CEF6E" w14:textId="5A54CEE7" w:rsidR="005108DE" w:rsidRDefault="005108DE" w:rsidP="006E4F33">
      <w:pPr>
        <w:pStyle w:val="ChartMainHeading"/>
        <w:rPr>
          <w:rFonts w:eastAsiaTheme="minorEastAsia"/>
        </w:rPr>
      </w:pPr>
      <w:bookmarkStart w:id="6" w:name="_Ref42694537"/>
      <w:r w:rsidRPr="00F27A58">
        <w:t xml:space="preserve">Figure </w:t>
      </w:r>
      <w:fldSimple w:instr=" SEQ Figure \* ARABIC ">
        <w:r w:rsidR="007D6DAF">
          <w:rPr>
            <w:noProof/>
          </w:rPr>
          <w:t>5</w:t>
        </w:r>
      </w:fldSimple>
      <w:bookmarkEnd w:id="6"/>
      <w:r w:rsidRPr="00F27A58">
        <w:t xml:space="preserve">: </w:t>
      </w:r>
      <w:r>
        <w:t>Decomposition of Sales</w:t>
      </w:r>
      <w:r w:rsidR="00252C43">
        <w:noBreakHyphen/>
      </w:r>
      <w:r>
        <w:t>weighted Average of Firm</w:t>
      </w:r>
      <w:r w:rsidR="00252C43">
        <w:noBreakHyphen/>
      </w:r>
      <w:r>
        <w:t>level Mark</w:t>
      </w:r>
      <w:r w:rsidR="00252C43">
        <w:noBreakHyphen/>
      </w:r>
      <w:r>
        <w:t>ups</w:t>
      </w:r>
    </w:p>
    <w:p w14:paraId="4B8DAC14" w14:textId="5E0C98BE" w:rsidR="00743BA0" w:rsidRDefault="00743BA0" w:rsidP="006E4F33">
      <w:pPr>
        <w:pStyle w:val="ChartGraphic"/>
      </w:pPr>
      <w:r w:rsidRPr="00740BCD">
        <w:rPr>
          <w:noProof/>
        </w:rPr>
        <w:t xml:space="preserve"> </w:t>
      </w:r>
      <w:r w:rsidR="005108DE" w:rsidRPr="005108DE">
        <w:rPr>
          <w:noProof/>
        </w:rPr>
        <w:drawing>
          <wp:inline distT="0" distB="0" distL="0" distR="0" wp14:anchorId="50B6631C" wp14:editId="04B2E456">
            <wp:extent cx="5575300" cy="2517775"/>
            <wp:effectExtent l="0" t="0" r="0" b="0"/>
            <wp:docPr id="11" name="Picture 11" descr="This chart shows a decomposition of changes in the sales-weighted average of firm mark-ups into two components. These are the increase due to increases in firms own individual mark-ups, and increases due to the higher-mark-up firms getting larger. The within changes have driven all of the increase in sales-weighted mark-ups over the sample 2004 to 2017. The reallocation component has actually weighed on the sales-weighted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5300" cy="2517775"/>
                    </a:xfrm>
                    <a:prstGeom prst="rect">
                      <a:avLst/>
                    </a:prstGeom>
                    <a:noFill/>
                    <a:ln>
                      <a:noFill/>
                    </a:ln>
                  </pic:spPr>
                </pic:pic>
              </a:graphicData>
            </a:graphic>
          </wp:inline>
        </w:drawing>
      </w:r>
    </w:p>
    <w:p w14:paraId="118ED90F" w14:textId="4483DD34" w:rsidR="005108DE" w:rsidRDefault="005108DE" w:rsidP="00A42BAE">
      <w:pPr>
        <w:pStyle w:val="Chartnote"/>
        <w:spacing w:after="240"/>
      </w:pPr>
      <w:r>
        <w:t>Note:  Decomposition done using Bennet</w:t>
      </w:r>
      <w:r w:rsidR="00252C43">
        <w:noBreakHyphen/>
      </w:r>
      <w:r>
        <w:t xml:space="preserve">style decomposition suggested by </w:t>
      </w:r>
      <w:proofErr w:type="spellStart"/>
      <w:r>
        <w:t>Diewert</w:t>
      </w:r>
      <w:proofErr w:type="spellEnd"/>
      <w:r>
        <w:t xml:space="preserve"> and Fox (2010). </w:t>
      </w:r>
      <w:r w:rsidR="00737D66">
        <w:t>Contribution of net entry is not charted</w:t>
      </w:r>
      <w:r>
        <w:t>.</w:t>
      </w:r>
      <w:r w:rsidR="00FE45C4">
        <w:t xml:space="preserve"> Treasury calculations based on ABS BLADE</w:t>
      </w:r>
      <w:r w:rsidR="000D7AE5">
        <w:t xml:space="preserve">. </w:t>
      </w:r>
    </w:p>
    <w:p w14:paraId="357DBB1F" w14:textId="5B89F4FD" w:rsidR="0095241E" w:rsidRDefault="001E12A5" w:rsidP="001E12A5">
      <w:pPr>
        <w:jc w:val="both"/>
      </w:pPr>
      <w:r>
        <w:lastRenderedPageBreak/>
        <w:t>Focusing on the cross</w:t>
      </w:r>
      <w:r w:rsidR="00252C43">
        <w:noBreakHyphen/>
      </w:r>
      <w:r>
        <w:t>section, t</w:t>
      </w:r>
      <w:r w:rsidR="0095241E">
        <w:t>here is a large degree of heterogeneity across firms, consistent with findings in other papers</w:t>
      </w:r>
      <w:r w:rsidR="004F5261">
        <w:t>, though some caution should be taken in interpreting the levels</w:t>
      </w:r>
      <w:r w:rsidR="00B000DA">
        <w:t xml:space="preserve"> (</w:t>
      </w:r>
      <w:r w:rsidR="00B000DA">
        <w:fldChar w:fldCharType="begin"/>
      </w:r>
      <w:r w:rsidR="00B000DA">
        <w:instrText xml:space="preserve"> REF _Ref42694706 \h </w:instrText>
      </w:r>
      <w:r w:rsidR="00B000DA">
        <w:fldChar w:fldCharType="separate"/>
      </w:r>
      <w:r w:rsidR="007D6DAF" w:rsidRPr="00F27A58">
        <w:t xml:space="preserve">Figure </w:t>
      </w:r>
      <w:r w:rsidR="007D6DAF">
        <w:rPr>
          <w:noProof/>
        </w:rPr>
        <w:t>6</w:t>
      </w:r>
      <w:r w:rsidR="00B000DA">
        <w:fldChar w:fldCharType="end"/>
      </w:r>
      <w:r w:rsidR="0095241E">
        <w:t>). Interestingly, the increase in mark</w:t>
      </w:r>
      <w:r w:rsidR="00252C43">
        <w:noBreakHyphen/>
      </w:r>
      <w:r w:rsidR="0095241E">
        <w:t>ups has been driven by firms in the upper part of the mark</w:t>
      </w:r>
      <w:r w:rsidR="00252C43">
        <w:noBreakHyphen/>
      </w:r>
      <w:r w:rsidR="0095241E">
        <w:t xml:space="preserve">up distribution, </w:t>
      </w:r>
      <w:proofErr w:type="gramStart"/>
      <w:r w:rsidR="0095241E">
        <w:t>in particular those</w:t>
      </w:r>
      <w:proofErr w:type="gramEnd"/>
      <w:r w:rsidR="0095241E">
        <w:t xml:space="preserve"> above the median. That said, a number of other papers have found the rise in mark</w:t>
      </w:r>
      <w:r w:rsidR="00252C43">
        <w:noBreakHyphen/>
      </w:r>
      <w:r w:rsidR="0095241E">
        <w:t>ups to be almost entirely attributable to firms at the very top of the distribution (e.g. IMF 2019), whereas the increase appears more widespread in this analysis.</w:t>
      </w:r>
      <w:r w:rsidR="00743BA0">
        <w:rPr>
          <w:rStyle w:val="FootnoteReference"/>
        </w:rPr>
        <w:footnoteReference w:id="8"/>
      </w:r>
      <w:r w:rsidR="00743BA0">
        <w:t xml:space="preserve"> </w:t>
      </w:r>
    </w:p>
    <w:p w14:paraId="131A153A" w14:textId="77777777" w:rsidR="006E4F33" w:rsidRDefault="00F95AB2" w:rsidP="006E4F33">
      <w:pPr>
        <w:pStyle w:val="ChartMainHeading"/>
      </w:pPr>
      <w:bookmarkStart w:id="7" w:name="_Ref42694706"/>
      <w:r w:rsidRPr="00F27A58">
        <w:t xml:space="preserve">Figure </w:t>
      </w:r>
      <w:fldSimple w:instr=" SEQ Figure \* ARABIC ">
        <w:r w:rsidR="007D6DAF">
          <w:rPr>
            <w:noProof/>
          </w:rPr>
          <w:t>6</w:t>
        </w:r>
      </w:fldSimple>
      <w:bookmarkEnd w:id="7"/>
      <w:r w:rsidRPr="00F27A58">
        <w:t xml:space="preserve">: </w:t>
      </w:r>
      <w:r>
        <w:t>Unweighted Distribution of Firm</w:t>
      </w:r>
      <w:r w:rsidR="00252C43">
        <w:noBreakHyphen/>
      </w:r>
      <w:r>
        <w:t>level Mark</w:t>
      </w:r>
      <w:r w:rsidR="00252C43">
        <w:noBreakHyphen/>
      </w:r>
      <w:r>
        <w:t>ups</w:t>
      </w:r>
    </w:p>
    <w:p w14:paraId="26846510" w14:textId="77777777" w:rsidR="006E4F33" w:rsidRDefault="00F95AB2" w:rsidP="006E4F33">
      <w:pPr>
        <w:pStyle w:val="ChartSecondHeading"/>
      </w:pPr>
      <w:r w:rsidRPr="00E9695E">
        <w:t xml:space="preserve">Panel A: </w:t>
      </w:r>
      <w:r>
        <w:t>Levels</w:t>
      </w:r>
    </w:p>
    <w:p w14:paraId="266CDC02" w14:textId="6E056450" w:rsidR="006E4F33" w:rsidRDefault="003D431C" w:rsidP="006E4F33">
      <w:pPr>
        <w:pStyle w:val="ChartGraphic"/>
        <w:rPr>
          <w:rFonts w:cstheme="majorHAnsi"/>
        </w:rPr>
      </w:pPr>
      <w:r w:rsidRPr="003D431C">
        <w:rPr>
          <w:noProof/>
        </w:rPr>
        <w:drawing>
          <wp:inline distT="0" distB="0" distL="0" distR="0" wp14:anchorId="38F73EBD" wp14:editId="46365273">
            <wp:extent cx="5581650" cy="2882900"/>
            <wp:effectExtent l="0" t="0" r="0" b="0"/>
            <wp:docPr id="1" name="Picture 1" descr="This chart plots the moments of the distribution of the firm mark-up distribution over the period 2004 to 2017. The top panel express these in levels, whereas the bottom panel express them in an index, with 2004 being 100. The chart shows that there are a wide range of mark-ups, with the 10th percentile being a bit below zero, and the 90th percentile being around 1.6. The median is around 1.2. Over the sample, mark-ups have increased across the distributions, with increases being larger for the 75th and 90th perce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1650" cy="2882900"/>
                    </a:xfrm>
                    <a:prstGeom prst="rect">
                      <a:avLst/>
                    </a:prstGeom>
                    <a:noFill/>
                    <a:ln>
                      <a:noFill/>
                    </a:ln>
                  </pic:spPr>
                </pic:pic>
              </a:graphicData>
            </a:graphic>
          </wp:inline>
        </w:drawing>
      </w:r>
    </w:p>
    <w:p w14:paraId="0A90A2A9" w14:textId="77777777" w:rsidR="006E4F33" w:rsidRDefault="00F95AB2" w:rsidP="006E4F33">
      <w:pPr>
        <w:pStyle w:val="ChartSecondHeading"/>
      </w:pPr>
      <w:r w:rsidRPr="00E9695E">
        <w:t xml:space="preserve">Panel </w:t>
      </w:r>
      <w:r>
        <w:t>B</w:t>
      </w:r>
      <w:r w:rsidRPr="00E9695E">
        <w:t xml:space="preserve">: </w:t>
      </w:r>
      <w:r>
        <w:t>Index 2004=100</w:t>
      </w:r>
    </w:p>
    <w:p w14:paraId="1019F67D" w14:textId="339C3456" w:rsidR="00FE45C4" w:rsidRDefault="00F91FA0" w:rsidP="006E4F33">
      <w:pPr>
        <w:pStyle w:val="ChartGraphic"/>
        <w:rPr>
          <w:rFonts w:cstheme="majorHAnsi"/>
        </w:rPr>
      </w:pPr>
      <w:r w:rsidRPr="00F91FA0">
        <w:rPr>
          <w:noProof/>
        </w:rPr>
        <w:drawing>
          <wp:inline distT="0" distB="0" distL="0" distR="0" wp14:anchorId="30768B8D" wp14:editId="20AB779A">
            <wp:extent cx="5575300" cy="2882900"/>
            <wp:effectExtent l="0" t="0" r="0" b="0"/>
            <wp:docPr id="17" name="Picture 17" descr="This chart plots the moments of the distribution of the firm mark-up distribution over the period 2004 to 2017. The top panel express these in levels, whereas the bottom panel express them in an index, with 2004 being 100. The chart shows that there are a wide range of mark-ups, with the 10th percentile being a bit below zero, and the 90th percentile being around 1.6. The median is around 1.2. Over the sample, mark-ups have increased across the distributions, with increases being larger for the 75th and 90th perce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75300" cy="2882900"/>
                    </a:xfrm>
                    <a:prstGeom prst="rect">
                      <a:avLst/>
                    </a:prstGeom>
                    <a:noFill/>
                    <a:ln>
                      <a:noFill/>
                    </a:ln>
                  </pic:spPr>
                </pic:pic>
              </a:graphicData>
            </a:graphic>
          </wp:inline>
        </w:drawing>
      </w:r>
    </w:p>
    <w:p w14:paraId="0B80BAC1" w14:textId="75FA665F" w:rsidR="00F95AB2" w:rsidRDefault="00FE45C4" w:rsidP="00094624">
      <w:pPr>
        <w:pStyle w:val="Chartheading"/>
        <w:spacing w:after="240"/>
        <w:rPr>
          <w:rFonts w:asciiTheme="majorHAnsi" w:hAnsiTheme="majorHAnsi" w:cstheme="majorHAnsi"/>
          <w:sz w:val="20"/>
        </w:rPr>
      </w:pPr>
      <w:r>
        <w:rPr>
          <w:rFonts w:ascii="Calibri" w:hAnsi="Calibri"/>
          <w:color w:val="auto"/>
          <w:sz w:val="18"/>
        </w:rPr>
        <w:t xml:space="preserve">Note: </w:t>
      </w:r>
      <w:r w:rsidRPr="00FE45C4">
        <w:rPr>
          <w:rFonts w:ascii="Calibri" w:hAnsi="Calibri"/>
          <w:color w:val="auto"/>
          <w:sz w:val="18"/>
        </w:rPr>
        <w:t>Treasury calculations based on ABS BLA</w:t>
      </w:r>
      <w:r>
        <w:rPr>
          <w:rFonts w:ascii="Calibri" w:hAnsi="Calibri"/>
          <w:color w:val="auto"/>
          <w:sz w:val="18"/>
        </w:rPr>
        <w:t>DE</w:t>
      </w:r>
      <w:r w:rsidR="000D7AE5">
        <w:rPr>
          <w:rFonts w:ascii="Calibri" w:hAnsi="Calibri"/>
          <w:color w:val="auto"/>
          <w:sz w:val="18"/>
        </w:rPr>
        <w:t xml:space="preserve">. </w:t>
      </w:r>
    </w:p>
    <w:p w14:paraId="5E9169B2" w14:textId="78C0832A" w:rsidR="0095241E" w:rsidRDefault="0095241E" w:rsidP="00274138">
      <w:pPr>
        <w:jc w:val="both"/>
      </w:pPr>
      <w:r>
        <w:t>At least part of the heterogeneity reflects differences across sectors, though</w:t>
      </w:r>
      <w:r w:rsidR="00B000DA">
        <w:t xml:space="preserve"> again</w:t>
      </w:r>
      <w:r>
        <w:t>, care must be taken in comparing levels (</w:t>
      </w:r>
      <w:r w:rsidR="00B000DA">
        <w:fldChar w:fldCharType="begin"/>
      </w:r>
      <w:r w:rsidR="00B000DA">
        <w:instrText xml:space="preserve"> REF _Ref42694763 \h </w:instrText>
      </w:r>
      <w:r w:rsidR="00B155C9">
        <w:instrText xml:space="preserve"> \* MERGEFORMAT </w:instrText>
      </w:r>
      <w:r w:rsidR="00B000DA">
        <w:fldChar w:fldCharType="separate"/>
      </w:r>
      <w:r w:rsidR="007D6DAF" w:rsidRPr="007D6DAF">
        <w:t>Figure 7</w:t>
      </w:r>
      <w:r w:rsidR="00B000DA">
        <w:fldChar w:fldCharType="end"/>
      </w:r>
      <w:r w:rsidR="00B155C9">
        <w:t xml:space="preserve"> Panel A</w:t>
      </w:r>
      <w:r>
        <w:t>). For example, mark</w:t>
      </w:r>
      <w:r w:rsidR="00252C43">
        <w:noBreakHyphen/>
      </w:r>
      <w:r>
        <w:t xml:space="preserve">ups are estimated to be relatively high in the </w:t>
      </w:r>
      <w:r w:rsidR="00BA6B8A">
        <w:t>Information</w:t>
      </w:r>
      <w:r>
        <w:t xml:space="preserve">, </w:t>
      </w:r>
      <w:r w:rsidR="00BA6B8A">
        <w:t>Media &amp; Technology</w:t>
      </w:r>
      <w:r>
        <w:t xml:space="preserve"> division, and lower in the </w:t>
      </w:r>
      <w:r w:rsidR="00BA6B8A">
        <w:t>Retail T</w:t>
      </w:r>
      <w:r>
        <w:t xml:space="preserve">rade division. There is also a moderate </w:t>
      </w:r>
      <w:r>
        <w:lastRenderedPageBreak/>
        <w:t>amount of variation in the evolution of mark</w:t>
      </w:r>
      <w:r w:rsidR="00252C43">
        <w:noBreakHyphen/>
      </w:r>
      <w:r>
        <w:t>ups across divisions, though it does appear that mark</w:t>
      </w:r>
      <w:r w:rsidR="00252C43">
        <w:noBreakHyphen/>
      </w:r>
      <w:r>
        <w:t xml:space="preserve">ups have increased for firms in most parts of the economy </w:t>
      </w:r>
      <w:r w:rsidR="00AF1151">
        <w:t>(</w:t>
      </w:r>
      <w:r w:rsidR="00B155C9">
        <w:fldChar w:fldCharType="begin"/>
      </w:r>
      <w:r w:rsidR="00B155C9">
        <w:instrText xml:space="preserve"> REF _Ref42694763 \h  \* MERGEFORMAT </w:instrText>
      </w:r>
      <w:r w:rsidR="00B155C9">
        <w:fldChar w:fldCharType="separate"/>
      </w:r>
      <w:r w:rsidR="007D6DAF" w:rsidRPr="007D6DAF">
        <w:t>Figure 7</w:t>
      </w:r>
      <w:r w:rsidR="00B155C9">
        <w:fldChar w:fldCharType="end"/>
      </w:r>
      <w:r w:rsidR="00B155C9">
        <w:t xml:space="preserve"> Panel B)</w:t>
      </w:r>
      <w:r>
        <w:t>.</w:t>
      </w:r>
    </w:p>
    <w:p w14:paraId="4A13F061" w14:textId="55A2E808" w:rsidR="00E91F3C" w:rsidRDefault="00E91F3C" w:rsidP="006E4F33">
      <w:pPr>
        <w:pStyle w:val="ChartMainHeading"/>
      </w:pPr>
      <w:bookmarkStart w:id="8" w:name="_Ref42694763"/>
      <w:r w:rsidRPr="00E91F3C">
        <w:t xml:space="preserve">Figure </w:t>
      </w:r>
      <w:fldSimple w:instr=" SEQ Figure \* ARABIC ">
        <w:r w:rsidR="007D6DAF">
          <w:rPr>
            <w:noProof/>
          </w:rPr>
          <w:t>7</w:t>
        </w:r>
      </w:fldSimple>
      <w:bookmarkEnd w:id="8"/>
      <w:r w:rsidRPr="00E91F3C">
        <w:t xml:space="preserve">: </w:t>
      </w:r>
      <w:r>
        <w:t>Sales</w:t>
      </w:r>
      <w:r w:rsidR="00252C43">
        <w:noBreakHyphen/>
      </w:r>
      <w:r>
        <w:t>weighted Average of Firm</w:t>
      </w:r>
      <w:r w:rsidR="00252C43">
        <w:noBreakHyphen/>
      </w:r>
      <w:r>
        <w:t>level Mark</w:t>
      </w:r>
      <w:r w:rsidR="00252C43">
        <w:noBreakHyphen/>
      </w:r>
      <w:r>
        <w:t>ups by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E91F3C" w14:paraId="35469109" w14:textId="77777777" w:rsidTr="007B7F7F">
        <w:tc>
          <w:tcPr>
            <w:tcW w:w="4649" w:type="dxa"/>
          </w:tcPr>
          <w:p w14:paraId="7D908D1E" w14:textId="77777777" w:rsidR="006E4F33" w:rsidRDefault="00E91F3C" w:rsidP="006E4F33">
            <w:pPr>
              <w:pStyle w:val="ChartSecondHeading"/>
            </w:pPr>
            <w:r w:rsidRPr="00E9695E">
              <w:t xml:space="preserve">Panel A: </w:t>
            </w:r>
            <w:r>
              <w:t>Average 2003/04 to 2016/17</w:t>
            </w:r>
          </w:p>
          <w:p w14:paraId="2D9D016B" w14:textId="7EAAE7EE" w:rsidR="00E91F3C" w:rsidRDefault="007B7F7F" w:rsidP="006E4F33">
            <w:pPr>
              <w:pStyle w:val="ChartGraphic"/>
            </w:pPr>
            <w:r w:rsidRPr="007B7F7F">
              <w:rPr>
                <w:noProof/>
              </w:rPr>
              <w:drawing>
                <wp:inline distT="0" distB="0" distL="0" distR="0" wp14:anchorId="2E05669C" wp14:editId="79DBCA6B">
                  <wp:extent cx="2865755" cy="2865755"/>
                  <wp:effectExtent l="0" t="0" r="0" b="0"/>
                  <wp:docPr id="18" name="Picture 18" descr="Panel A in this chart show the sales-weighted average levels of mark-ups by division, on average from 2004 to 2017. There is a sizeable degree of variation. Sectors such as retail and construction have low mark-ups, around 1.0, while mining and Information and media have higher mark-ups, around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5755" cy="2865755"/>
                          </a:xfrm>
                          <a:prstGeom prst="rect">
                            <a:avLst/>
                          </a:prstGeom>
                          <a:noFill/>
                          <a:ln>
                            <a:noFill/>
                          </a:ln>
                        </pic:spPr>
                      </pic:pic>
                    </a:graphicData>
                  </a:graphic>
                </wp:inline>
              </w:drawing>
            </w:r>
          </w:p>
        </w:tc>
        <w:tc>
          <w:tcPr>
            <w:tcW w:w="4649" w:type="dxa"/>
          </w:tcPr>
          <w:p w14:paraId="5DBA0247" w14:textId="77777777" w:rsidR="006E4F33" w:rsidRDefault="00E91F3C" w:rsidP="006E4F33">
            <w:pPr>
              <w:pStyle w:val="ChartSecondHeading"/>
            </w:pPr>
            <w:r w:rsidRPr="00E9695E">
              <w:t xml:space="preserve">Panel </w:t>
            </w:r>
            <w:r>
              <w:t>B</w:t>
            </w:r>
            <w:r w:rsidRPr="00E9695E">
              <w:t xml:space="preserve">: </w:t>
            </w:r>
            <w:r>
              <w:t>Change 2003/04 to 2016/17</w:t>
            </w:r>
          </w:p>
          <w:p w14:paraId="7B4C32D2" w14:textId="6C1E33E6" w:rsidR="00E91F3C" w:rsidRDefault="007B7F7F" w:rsidP="006E4F33">
            <w:pPr>
              <w:pStyle w:val="ChartGraphic"/>
            </w:pPr>
            <w:r w:rsidRPr="007B7F7F">
              <w:rPr>
                <w:noProof/>
              </w:rPr>
              <w:drawing>
                <wp:inline distT="0" distB="0" distL="0" distR="0" wp14:anchorId="04D970F7" wp14:editId="66956553">
                  <wp:extent cx="2865755" cy="2865755"/>
                  <wp:effectExtent l="0" t="0" r="0" b="0"/>
                  <wp:docPr id="16" name="Picture 16" descr="Panel B shows changes in these measures over time. Mark-ups increased in all sectors apart from utilities. Increases were particular large in the Arts and Administrative Services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5755" cy="2865755"/>
                          </a:xfrm>
                          <a:prstGeom prst="rect">
                            <a:avLst/>
                          </a:prstGeom>
                          <a:noFill/>
                          <a:ln>
                            <a:noFill/>
                          </a:ln>
                        </pic:spPr>
                      </pic:pic>
                    </a:graphicData>
                  </a:graphic>
                </wp:inline>
              </w:drawing>
            </w:r>
          </w:p>
        </w:tc>
      </w:tr>
    </w:tbl>
    <w:p w14:paraId="25EE39B1" w14:textId="40BEA6BD" w:rsidR="007B7F7F" w:rsidRDefault="007B7F7F" w:rsidP="00094624">
      <w:pPr>
        <w:pStyle w:val="Chartnote"/>
        <w:spacing w:after="240"/>
      </w:pPr>
      <w:r>
        <w:t>Note: Panel A shows the sales</w:t>
      </w:r>
      <w:r w:rsidR="00252C43">
        <w:noBreakHyphen/>
      </w:r>
      <w:r>
        <w:t>weighted average of the firm</w:t>
      </w:r>
      <w:r w:rsidR="00252C43">
        <w:noBreakHyphen/>
      </w:r>
      <w:r>
        <w:t>level mark</w:t>
      </w:r>
      <w:r w:rsidR="00252C43">
        <w:noBreakHyphen/>
      </w:r>
      <w:r>
        <w:t>ups for firms in ANZSIC divisions</w:t>
      </w:r>
      <w:r w:rsidR="00B627D8">
        <w:t>. Level differences across divisions should be interpreted with caution</w:t>
      </w:r>
      <w:r>
        <w:t xml:space="preserve">. Panel B </w:t>
      </w:r>
      <w:r w:rsidR="0019064B">
        <w:t>shows the sales</w:t>
      </w:r>
      <w:r w:rsidR="00252C43">
        <w:noBreakHyphen/>
      </w:r>
      <w:r w:rsidR="0019064B">
        <w:t>weighted sum of the firm</w:t>
      </w:r>
      <w:r w:rsidR="00252C43">
        <w:noBreakHyphen/>
      </w:r>
      <w:r w:rsidR="0019064B">
        <w:t xml:space="preserve">level changes, accumulated over the sample period. This is </w:t>
      </w:r>
      <w:proofErr w:type="gramStart"/>
      <w:r w:rsidR="0019064B">
        <w:t>similar to</w:t>
      </w:r>
      <w:proofErr w:type="gramEnd"/>
      <w:r w:rsidR="0019064B">
        <w:t xml:space="preserve"> the </w:t>
      </w:r>
      <w:r w:rsidR="00252C43">
        <w:t>‘</w:t>
      </w:r>
      <w:r w:rsidR="0019064B">
        <w:t>Within</w:t>
      </w:r>
      <w:r w:rsidR="00252C43">
        <w:t>’</w:t>
      </w:r>
      <w:r w:rsidR="0019064B">
        <w:t xml:space="preserve"> Series in Figure 2.</w:t>
      </w:r>
      <w:r w:rsidR="00FE45C4">
        <w:t xml:space="preserve"> </w:t>
      </w:r>
      <w:r w:rsidR="00FE45C4" w:rsidRPr="00FE45C4">
        <w:t>Treasury calculations based on ABS BLA</w:t>
      </w:r>
      <w:r w:rsidR="00FE45C4">
        <w:t>DE</w:t>
      </w:r>
      <w:r w:rsidR="00AF1151">
        <w:t xml:space="preserve">. </w:t>
      </w:r>
    </w:p>
    <w:p w14:paraId="4C40754C" w14:textId="60C56F93" w:rsidR="0095241E" w:rsidRDefault="0095241E" w:rsidP="00274138">
      <w:pPr>
        <w:jc w:val="both"/>
      </w:pPr>
      <w:r>
        <w:t>Heterogeneity in mark</w:t>
      </w:r>
      <w:r w:rsidR="00252C43">
        <w:noBreakHyphen/>
      </w:r>
      <w:r>
        <w:t>ups may also be related to other observables, such as firm size, as evident in</w:t>
      </w:r>
      <w:r w:rsidR="00D605BC">
        <w:t xml:space="preserve"> </w:t>
      </w:r>
      <w:r w:rsidR="00D605BC">
        <w:fldChar w:fldCharType="begin"/>
      </w:r>
      <w:r w:rsidR="00D605BC">
        <w:instrText xml:space="preserve"> REF _Ref42695764 \h  \* MERGEFORMAT </w:instrText>
      </w:r>
      <w:r w:rsidR="00D605BC">
        <w:fldChar w:fldCharType="separate"/>
      </w:r>
      <w:r w:rsidR="007D6DAF" w:rsidRPr="007D6DAF">
        <w:t>Figure 8</w:t>
      </w:r>
      <w:r w:rsidR="00D605BC">
        <w:fldChar w:fldCharType="end"/>
      </w:r>
      <w:r>
        <w:t>. Firms with high mark</w:t>
      </w:r>
      <w:r w:rsidR="00252C43">
        <w:noBreakHyphen/>
      </w:r>
      <w:r>
        <w:t xml:space="preserve">ups, relative to other firms in their industries, appear to account for a disproportionate share of output, suggesting that they are larger. This is consistent with models of Cournot </w:t>
      </w:r>
      <w:r w:rsidR="00274138">
        <w:t>oligopoly</w:t>
      </w:r>
      <w:r>
        <w:t>, where mark</w:t>
      </w:r>
      <w:r w:rsidR="00252C43">
        <w:noBreakHyphen/>
      </w:r>
      <w:r>
        <w:t>ups are directly related to the share of the market held by the firm.</w:t>
      </w:r>
      <w:r w:rsidR="00743BA0">
        <w:t xml:space="preserve"> Regression analysis confirms this finding, with higher</w:t>
      </w:r>
      <w:r w:rsidR="00D605BC">
        <w:t>, or increasing,</w:t>
      </w:r>
      <w:r w:rsidR="00743BA0">
        <w:t xml:space="preserve"> market shares for firms tending to be associated with higher</w:t>
      </w:r>
      <w:r w:rsidR="00D605BC">
        <w:t xml:space="preserve">, or increasing </w:t>
      </w:r>
      <w:r w:rsidR="00743BA0">
        <w:t>mark</w:t>
      </w:r>
      <w:r w:rsidR="00252C43">
        <w:noBreakHyphen/>
      </w:r>
      <w:r w:rsidR="00743BA0">
        <w:t>ups</w:t>
      </w:r>
      <w:r w:rsidR="00071D76">
        <w:t>, and decreasing shares spent on intermediate inputs</w:t>
      </w:r>
      <w:r w:rsidR="00743BA0">
        <w:t xml:space="preserve"> (see Appendix C).</w:t>
      </w:r>
      <w:r w:rsidR="00B155C9">
        <w:t xml:space="preserve"> </w:t>
      </w:r>
      <w:r w:rsidR="00DD495D">
        <w:t>This is the case even when controlling for firm productivity, which should help to explain the relative size of each firm</w:t>
      </w:r>
      <w:r w:rsidR="00AF1151">
        <w:t xml:space="preserve">. </w:t>
      </w:r>
    </w:p>
    <w:p w14:paraId="2C5318F8" w14:textId="77777777" w:rsidR="006E4F33" w:rsidRDefault="0019064B" w:rsidP="006E4F33">
      <w:pPr>
        <w:pStyle w:val="ChartMainHeading"/>
      </w:pPr>
      <w:bookmarkStart w:id="9" w:name="_Ref42695764"/>
      <w:r w:rsidRPr="00E91F3C">
        <w:lastRenderedPageBreak/>
        <w:t xml:space="preserve">Figure </w:t>
      </w:r>
      <w:fldSimple w:instr=" SEQ Figure \* ARABIC ">
        <w:r w:rsidR="007D6DAF">
          <w:rPr>
            <w:noProof/>
          </w:rPr>
          <w:t>8</w:t>
        </w:r>
      </w:fldSimple>
      <w:bookmarkEnd w:id="9"/>
      <w:r w:rsidRPr="00E91F3C">
        <w:t xml:space="preserve">: </w:t>
      </w:r>
      <w:r>
        <w:t>Market Share of Firms by Decile in Mark</w:t>
      </w:r>
      <w:r w:rsidR="00252C43">
        <w:noBreakHyphen/>
      </w:r>
      <w:r>
        <w:t>up Distribution</w:t>
      </w:r>
    </w:p>
    <w:p w14:paraId="119F711C" w14:textId="77777777" w:rsidR="006E4F33" w:rsidRDefault="0019064B" w:rsidP="006E4F33">
      <w:pPr>
        <w:pStyle w:val="ChartSecondHeading"/>
      </w:pPr>
      <w:r>
        <w:t>Mark</w:t>
      </w:r>
      <w:r w:rsidR="00252C43">
        <w:noBreakHyphen/>
      </w:r>
      <w:r>
        <w:t>ups deciles defined within industries</w:t>
      </w:r>
    </w:p>
    <w:p w14:paraId="738F3909" w14:textId="2008EE01" w:rsidR="0019064B" w:rsidRDefault="0019064B" w:rsidP="006E4F33">
      <w:pPr>
        <w:pStyle w:val="ChartGraphic"/>
      </w:pPr>
      <w:r w:rsidRPr="0019064B">
        <w:rPr>
          <w:noProof/>
        </w:rPr>
        <w:drawing>
          <wp:inline distT="0" distB="0" distL="0" distR="0" wp14:anchorId="5C7088C9" wp14:editId="760F89E4">
            <wp:extent cx="5575300" cy="2517775"/>
            <wp:effectExtent l="0" t="0" r="0" b="0"/>
            <wp:docPr id="20" name="Picture 20" descr="This chart shows the share of sales accruing to firms that were in various deciles of the distribution of mark-ups. The share of sales accruing to firms in the upper deciles, who have higher mark-ups, is much larger than the share for firms in lower deciles. This indicates that larger firms tend to have higher-mark-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75300" cy="2517775"/>
                    </a:xfrm>
                    <a:prstGeom prst="rect">
                      <a:avLst/>
                    </a:prstGeom>
                    <a:noFill/>
                    <a:ln>
                      <a:noFill/>
                    </a:ln>
                  </pic:spPr>
                </pic:pic>
              </a:graphicData>
            </a:graphic>
          </wp:inline>
        </w:drawing>
      </w:r>
    </w:p>
    <w:p w14:paraId="56CD0FAB" w14:textId="238A86A7" w:rsidR="0019064B" w:rsidRPr="00796DA7" w:rsidRDefault="0019064B" w:rsidP="00274138">
      <w:pPr>
        <w:jc w:val="both"/>
        <w:rPr>
          <w:sz w:val="18"/>
        </w:rPr>
      </w:pPr>
      <w:r w:rsidRPr="00796DA7">
        <w:rPr>
          <w:sz w:val="18"/>
        </w:rPr>
        <w:t xml:space="preserve">Note: Firms are allocated to a </w:t>
      </w:r>
      <w:r w:rsidR="00796DA7" w:rsidRPr="00796DA7">
        <w:rPr>
          <w:sz w:val="18"/>
        </w:rPr>
        <w:t>decile of the mark</w:t>
      </w:r>
      <w:r w:rsidR="00252C43">
        <w:rPr>
          <w:sz w:val="18"/>
        </w:rPr>
        <w:noBreakHyphen/>
      </w:r>
      <w:r w:rsidR="00796DA7" w:rsidRPr="00796DA7">
        <w:rPr>
          <w:sz w:val="18"/>
        </w:rPr>
        <w:t xml:space="preserve">up distribution within their own industry in each year. The sales of the firms are then </w:t>
      </w:r>
      <w:proofErr w:type="gramStart"/>
      <w:r w:rsidR="00796DA7" w:rsidRPr="00796DA7">
        <w:rPr>
          <w:sz w:val="18"/>
        </w:rPr>
        <w:t>summed, and</w:t>
      </w:r>
      <w:proofErr w:type="gramEnd"/>
      <w:r w:rsidR="00796DA7" w:rsidRPr="00796DA7">
        <w:rPr>
          <w:sz w:val="18"/>
        </w:rPr>
        <w:t xml:space="preserve"> expressed relative to total sales in that year to calculate yearly shares. Yearly shares are then averaged across 2003/04</w:t>
      </w:r>
      <w:r w:rsidR="00252C43">
        <w:rPr>
          <w:sz w:val="18"/>
        </w:rPr>
        <w:noBreakHyphen/>
      </w:r>
      <w:r w:rsidR="00796DA7" w:rsidRPr="00796DA7">
        <w:rPr>
          <w:sz w:val="18"/>
        </w:rPr>
        <w:t>2016/17.</w:t>
      </w:r>
      <w:r w:rsidR="00FE45C4">
        <w:rPr>
          <w:color w:val="auto"/>
          <w:sz w:val="18"/>
        </w:rPr>
        <w:t xml:space="preserve"> </w:t>
      </w:r>
      <w:r w:rsidR="00FE45C4" w:rsidRPr="00FE45C4">
        <w:rPr>
          <w:color w:val="auto"/>
          <w:sz w:val="18"/>
        </w:rPr>
        <w:t>Treasury calculations based on ABS BLA</w:t>
      </w:r>
      <w:r w:rsidR="00FE45C4">
        <w:rPr>
          <w:color w:val="auto"/>
          <w:sz w:val="18"/>
        </w:rPr>
        <w:t>DE</w:t>
      </w:r>
      <w:r w:rsidR="00AF1151">
        <w:rPr>
          <w:color w:val="auto"/>
          <w:sz w:val="18"/>
        </w:rPr>
        <w:t xml:space="preserve">. </w:t>
      </w:r>
    </w:p>
    <w:p w14:paraId="432891F2" w14:textId="15619A0B" w:rsidR="0095241E" w:rsidRDefault="00743BA0" w:rsidP="00274138">
      <w:pPr>
        <w:jc w:val="both"/>
      </w:pPr>
      <w:r>
        <w:t xml:space="preserve">The regressions also show that </w:t>
      </w:r>
      <w:r w:rsidR="0095241E">
        <w:t>higher fixed costs are associated with higher mark</w:t>
      </w:r>
      <w:r w:rsidR="00252C43">
        <w:noBreakHyphen/>
      </w:r>
      <w:r w:rsidR="0095241E">
        <w:t>ups. As noted above, fixed costs are excluded from mark</w:t>
      </w:r>
      <w:r w:rsidR="00252C43">
        <w:noBreakHyphen/>
      </w:r>
      <w:r w:rsidR="0095241E">
        <w:t>up calculation</w:t>
      </w:r>
      <w:r w:rsidR="00C66EB6">
        <w:t>s</w:t>
      </w:r>
      <w:r w:rsidR="0095241E">
        <w:t>. All else equal, if firms spend a greater share on fixed inputs</w:t>
      </w:r>
      <w:r w:rsidR="00252C43">
        <w:t xml:space="preserve"> — </w:t>
      </w:r>
      <w:r w:rsidR="004F5261">
        <w:t>such as</w:t>
      </w:r>
      <w:r w:rsidR="00A61B14">
        <w:t xml:space="preserve"> rental and leasing costs, or</w:t>
      </w:r>
      <w:r w:rsidR="004F5261">
        <w:t xml:space="preserve"> advertising, processes</w:t>
      </w:r>
      <w:r w:rsidR="005A0C05">
        <w:t xml:space="preserve"> </w:t>
      </w:r>
      <w:r w:rsidR="00C66EB6">
        <w:t>and</w:t>
      </w:r>
      <w:r w:rsidR="004F5261">
        <w:t xml:space="preserve"> other intangibles</w:t>
      </w:r>
      <w:r w:rsidR="00252C43">
        <w:t xml:space="preserve"> — </w:t>
      </w:r>
      <w:r w:rsidR="0095241E">
        <w:t>this would lead to an i</w:t>
      </w:r>
      <w:r>
        <w:t>ncrease in the measured mark</w:t>
      </w:r>
      <w:r w:rsidR="00252C43">
        <w:noBreakHyphen/>
      </w:r>
      <w:r>
        <w:t>up</w:t>
      </w:r>
      <w:r w:rsidR="0095241E">
        <w:t xml:space="preserve"> as the share spent on intermediate inputs will necessarily decline. </w:t>
      </w:r>
      <w:r>
        <w:t>This is confirmed in regression analys</w:t>
      </w:r>
      <w:r w:rsidR="00C66EB6">
        <w:t>e</w:t>
      </w:r>
      <w:r>
        <w:t xml:space="preserve">s, where I find that increases in </w:t>
      </w:r>
      <w:r w:rsidR="0095241E">
        <w:t>mark</w:t>
      </w:r>
      <w:r w:rsidR="00252C43">
        <w:noBreakHyphen/>
      </w:r>
      <w:r w:rsidR="0095241E">
        <w:t>ups that are associated with increased fixed costs do no</w:t>
      </w:r>
      <w:r w:rsidR="003F0F93">
        <w:t>t</w:t>
      </w:r>
      <w:r w:rsidR="0095241E">
        <w:t xml:space="preserve"> lead to an increase in profits</w:t>
      </w:r>
      <w:r w:rsidR="00252C43">
        <w:t xml:space="preserve"> — </w:t>
      </w:r>
      <w:r w:rsidR="0095241E">
        <w:t>they just recoup the fixed cost</w:t>
      </w:r>
      <w:r>
        <w:t xml:space="preserve"> (Appendix C)</w:t>
      </w:r>
      <w:r w:rsidR="0095241E">
        <w:t xml:space="preserve">. </w:t>
      </w:r>
    </w:p>
    <w:p w14:paraId="0494E2D2" w14:textId="58750227" w:rsidR="0095241E" w:rsidRDefault="0095241E" w:rsidP="00274138">
      <w:pPr>
        <w:jc w:val="both"/>
      </w:pPr>
      <w:r>
        <w:t>This result suggests that the increase in mark</w:t>
      </w:r>
      <w:r w:rsidR="00252C43">
        <w:noBreakHyphen/>
      </w:r>
      <w:r>
        <w:t>ups could potentially reflect changing technology</w:t>
      </w:r>
      <w:r w:rsidR="00C66EB6">
        <w:t xml:space="preserve"> rather than a rise in market power</w:t>
      </w:r>
      <w:r>
        <w:t>, with fixed costs becoming more important. More generally, this highlights that it is important to understand the drivers of mark</w:t>
      </w:r>
      <w:r w:rsidR="00252C43">
        <w:noBreakHyphen/>
      </w:r>
      <w:r>
        <w:t>ups in trying to interpret them, as mark</w:t>
      </w:r>
      <w:r w:rsidR="00252C43">
        <w:noBreakHyphen/>
      </w:r>
      <w:r>
        <w:t xml:space="preserve">ups could increase for </w:t>
      </w:r>
      <w:proofErr w:type="gramStart"/>
      <w:r>
        <w:t>more or less benign</w:t>
      </w:r>
      <w:proofErr w:type="gramEnd"/>
      <w:r>
        <w:t xml:space="preserve"> reasons. I turn to this in the next section.</w:t>
      </w:r>
    </w:p>
    <w:p w14:paraId="1338FDCF" w14:textId="0EBE5652" w:rsidR="0095241E" w:rsidRPr="006E4F33" w:rsidRDefault="0095241E" w:rsidP="006E4F33">
      <w:pPr>
        <w:pStyle w:val="Heading2"/>
      </w:pPr>
      <w:r w:rsidRPr="006E4F33">
        <w:t>Understanding the rise of mark</w:t>
      </w:r>
      <w:r w:rsidR="00252C43" w:rsidRPr="006E4F33">
        <w:noBreakHyphen/>
      </w:r>
      <w:r w:rsidRPr="006E4F33">
        <w:t>ups, and its economic implications</w:t>
      </w:r>
    </w:p>
    <w:p w14:paraId="3DF2C15B" w14:textId="4E4055E7" w:rsidR="0095241E" w:rsidRDefault="0095241E" w:rsidP="00274138">
      <w:pPr>
        <w:jc w:val="both"/>
      </w:pPr>
      <w:r>
        <w:t>Mark</w:t>
      </w:r>
      <w:r w:rsidR="00252C43">
        <w:noBreakHyphen/>
      </w:r>
      <w:r>
        <w:t>ups appear to have increased in Australia over the past decade. But, as discussed above, this could reflect relatively benign factors, or it could reflect a less benign increase in market power. In broad terms, the overseas literature has put forward three potential explanations for increases in mark</w:t>
      </w:r>
      <w:r w:rsidR="00252C43">
        <w:noBreakHyphen/>
      </w:r>
      <w:r>
        <w:t>ups.</w:t>
      </w:r>
      <w:r w:rsidR="00274138">
        <w:rPr>
          <w:rStyle w:val="FootnoteReference"/>
        </w:rPr>
        <w:footnoteReference w:id="9"/>
      </w:r>
      <w:r>
        <w:t xml:space="preserve"> These are:</w:t>
      </w:r>
    </w:p>
    <w:p w14:paraId="24F09507" w14:textId="624FF0E5" w:rsidR="0095241E" w:rsidRDefault="0095241E" w:rsidP="00274138">
      <w:pPr>
        <w:pStyle w:val="OutlineNumbered1"/>
        <w:numPr>
          <w:ilvl w:val="0"/>
          <w:numId w:val="25"/>
        </w:numPr>
        <w:spacing w:after="160" w:line="259" w:lineRule="auto"/>
        <w:jc w:val="both"/>
      </w:pPr>
      <w:r w:rsidRPr="0085504C">
        <w:rPr>
          <w:b/>
        </w:rPr>
        <w:lastRenderedPageBreak/>
        <w:t>Superstar hypothesis:</w:t>
      </w:r>
      <w:r>
        <w:t xml:space="preserve"> Increased competition has benefited the most productive firms at the expense of other firms. As a result</w:t>
      </w:r>
      <w:r w:rsidR="007811DC">
        <w:t xml:space="preserve">, </w:t>
      </w:r>
      <w:r>
        <w:t>Superstar firms have become increasingly dominant leading to increases in measures of concentration and mark</w:t>
      </w:r>
      <w:r w:rsidR="00252C43">
        <w:noBreakHyphen/>
      </w:r>
      <w:r>
        <w:t xml:space="preserve">ups (e.g. Autor et al </w:t>
      </w:r>
      <w:r w:rsidR="00FF6B62">
        <w:t>2020</w:t>
      </w:r>
      <w:r>
        <w:t>)</w:t>
      </w:r>
      <w:r w:rsidR="007811DC">
        <w:t xml:space="preserve">. </w:t>
      </w:r>
    </w:p>
    <w:p w14:paraId="3C9206A2" w14:textId="4437C908" w:rsidR="0095241E" w:rsidRDefault="0095241E" w:rsidP="00274138">
      <w:pPr>
        <w:pStyle w:val="OutlineNumbered1"/>
        <w:numPr>
          <w:ilvl w:val="0"/>
          <w:numId w:val="25"/>
        </w:numPr>
        <w:spacing w:after="160" w:line="259" w:lineRule="auto"/>
        <w:jc w:val="both"/>
      </w:pPr>
      <w:r w:rsidRPr="0085504C">
        <w:rPr>
          <w:b/>
        </w:rPr>
        <w:t xml:space="preserve">Changing </w:t>
      </w:r>
      <w:r>
        <w:rPr>
          <w:b/>
        </w:rPr>
        <w:t>technology</w:t>
      </w:r>
      <w:r w:rsidRPr="0085504C">
        <w:rPr>
          <w:b/>
        </w:rPr>
        <w:t>:</w:t>
      </w:r>
      <w:r>
        <w:t xml:space="preserve"> Firms are increasingly focusing on intangibles, software and other technologies that have returns to scale (or function like fixed costs). These increasing returns to scale mean that firms tend to be larger and may have to charge </w:t>
      </w:r>
      <w:r w:rsidR="009E7A2D">
        <w:t>higher</w:t>
      </w:r>
      <w:r w:rsidR="00BA6B8A">
        <w:t xml:space="preserve"> </w:t>
      </w:r>
      <w:r>
        <w:t>mark</w:t>
      </w:r>
      <w:r w:rsidR="00252C43">
        <w:noBreakHyphen/>
      </w:r>
      <w:r>
        <w:t xml:space="preserve">ups to recoup the fixed costs (e.g. </w:t>
      </w:r>
      <w:proofErr w:type="spellStart"/>
      <w:r>
        <w:t>Traina</w:t>
      </w:r>
      <w:proofErr w:type="spellEnd"/>
      <w:r>
        <w:t xml:space="preserve"> 2018; </w:t>
      </w:r>
      <w:proofErr w:type="spellStart"/>
      <w:r>
        <w:t>Crouzet</w:t>
      </w:r>
      <w:proofErr w:type="spellEnd"/>
      <w:r>
        <w:t xml:space="preserve"> and Eberly 2019; Haske</w:t>
      </w:r>
      <w:r w:rsidR="009E7A2D">
        <w:t>l</w:t>
      </w:r>
      <w:r>
        <w:t xml:space="preserve">l and Westlake 2017). </w:t>
      </w:r>
    </w:p>
    <w:p w14:paraId="49154D91" w14:textId="39355578" w:rsidR="0095241E" w:rsidRDefault="0095241E" w:rsidP="00274138">
      <w:pPr>
        <w:pStyle w:val="OutlineNumbered1"/>
        <w:numPr>
          <w:ilvl w:val="0"/>
          <w:numId w:val="25"/>
        </w:numPr>
        <w:spacing w:after="160" w:line="259" w:lineRule="auto"/>
        <w:jc w:val="both"/>
      </w:pPr>
      <w:r>
        <w:rPr>
          <w:b/>
        </w:rPr>
        <w:t>Less</w:t>
      </w:r>
      <w:r w:rsidRPr="0003637D">
        <w:rPr>
          <w:b/>
        </w:rPr>
        <w:t xml:space="preserve"> competition</w:t>
      </w:r>
      <w:r>
        <w:t xml:space="preserve">: </w:t>
      </w:r>
      <w:r w:rsidRPr="0003637D">
        <w:t xml:space="preserve">Competitive pressures have declined, </w:t>
      </w:r>
      <w:r>
        <w:t>for example due to increasing barriers to entry or growth for</w:t>
      </w:r>
      <w:r w:rsidR="00743BA0">
        <w:t xml:space="preserve"> </w:t>
      </w:r>
      <w:r w:rsidR="00C31A55">
        <w:t>young</w:t>
      </w:r>
      <w:r>
        <w:t xml:space="preserve"> small firms, or more permissive merger policies. As such, firms have become bigger and/or raised their mark</w:t>
      </w:r>
      <w:r w:rsidR="00252C43">
        <w:noBreakHyphen/>
      </w:r>
      <w:r>
        <w:t xml:space="preserve">ups (e.g. </w:t>
      </w:r>
      <w:r w:rsidR="00FF6B62">
        <w:t xml:space="preserve">Covarrubias </w:t>
      </w:r>
      <w:r>
        <w:t>et al 2019).</w:t>
      </w:r>
    </w:p>
    <w:p w14:paraId="514D8FE9" w14:textId="2C55D68A" w:rsidR="0095241E" w:rsidRDefault="0095241E" w:rsidP="00274138">
      <w:pPr>
        <w:jc w:val="both"/>
      </w:pPr>
      <w:proofErr w:type="gramStart"/>
      <w:r>
        <w:t>In order to</w:t>
      </w:r>
      <w:proofErr w:type="gramEnd"/>
      <w:r>
        <w:t xml:space="preserve"> differentiate between these potential explanations, I apply a theoretical framework that provides a number of testable hypotheses for each. Specifically, I adopt the model outlined in </w:t>
      </w:r>
      <w:r w:rsidRPr="00FF6B62">
        <w:t xml:space="preserve">De </w:t>
      </w:r>
      <w:proofErr w:type="spellStart"/>
      <w:r w:rsidRPr="00FF6B62">
        <w:t>Loecker</w:t>
      </w:r>
      <w:proofErr w:type="spellEnd"/>
      <w:r w:rsidR="00FF6B62">
        <w:t xml:space="preserve"> et al</w:t>
      </w:r>
      <w:r w:rsidRPr="00FF6B62">
        <w:t xml:space="preserve"> (20</w:t>
      </w:r>
      <w:r w:rsidR="004A6B19">
        <w:t>2</w:t>
      </w:r>
      <w:r w:rsidRPr="00FF6B62">
        <w:t>)</w:t>
      </w:r>
      <w:r w:rsidR="00252C43">
        <w:t xml:space="preserve">. </w:t>
      </w:r>
    </w:p>
    <w:p w14:paraId="2796CE7D" w14:textId="4A45D4E3" w:rsidR="0095241E" w:rsidRDefault="0095241E" w:rsidP="00274138">
      <w:pPr>
        <w:jc w:val="both"/>
      </w:pPr>
      <w:r>
        <w:t xml:space="preserve">This model has </w:t>
      </w:r>
      <w:proofErr w:type="gramStart"/>
      <w:r>
        <w:t>a number of</w:t>
      </w:r>
      <w:proofErr w:type="gramEnd"/>
      <w:r>
        <w:t xml:space="preserve"> appealing properties. </w:t>
      </w:r>
      <w:proofErr w:type="gramStart"/>
      <w:r>
        <w:t>In particular, it</w:t>
      </w:r>
      <w:proofErr w:type="gramEnd"/>
      <w:r>
        <w:t xml:space="preserve"> has endogenous mark</w:t>
      </w:r>
      <w:r w:rsidR="00252C43">
        <w:noBreakHyphen/>
      </w:r>
      <w:r>
        <w:t>ups that are determined assuming Cournot oligopoly. As such, in the model</w:t>
      </w:r>
      <w:r w:rsidR="007811DC">
        <w:t>,</w:t>
      </w:r>
      <w:r>
        <w:t xml:space="preserve"> mark</w:t>
      </w:r>
      <w:r w:rsidR="00252C43">
        <w:noBreakHyphen/>
      </w:r>
      <w:r>
        <w:t>ups are positively related to</w:t>
      </w:r>
      <w:r w:rsidR="00C31A55">
        <w:t xml:space="preserve"> firm</w:t>
      </w:r>
      <w:r>
        <w:t xml:space="preserve"> market share, consistent with the Australian data. The model also incorporates business dynamism via firm entry and exit decisions. </w:t>
      </w:r>
      <w:r w:rsidR="007811DC">
        <w:t>It also</w:t>
      </w:r>
      <w:r>
        <w:t xml:space="preserve"> has parameters that align reasonably closely with the proposed drivers of mark</w:t>
      </w:r>
      <w:r w:rsidR="00252C43">
        <w:noBreakHyphen/>
      </w:r>
      <w:r>
        <w:t>ups discussed above. The comparative statics for each parameter provide testable hypotheses that can be used to identify the drivers of mark</w:t>
      </w:r>
      <w:r w:rsidR="00252C43">
        <w:noBreakHyphen/>
      </w:r>
      <w:r>
        <w:t xml:space="preserve">ups. </w:t>
      </w:r>
    </w:p>
    <w:p w14:paraId="5F7C5A04" w14:textId="77777777" w:rsidR="0095241E" w:rsidRDefault="0095241E" w:rsidP="0095241E">
      <w:r>
        <w:t>These parameters are:</w:t>
      </w:r>
    </w:p>
    <w:p w14:paraId="409625AB" w14:textId="6E403C25" w:rsidR="0095241E" w:rsidRDefault="0095241E" w:rsidP="00C31A55">
      <w:pPr>
        <w:pStyle w:val="OutlineNumbered1"/>
        <w:numPr>
          <w:ilvl w:val="0"/>
          <w:numId w:val="26"/>
        </w:numPr>
        <w:spacing w:after="160" w:line="259" w:lineRule="auto"/>
        <w:jc w:val="both"/>
      </w:pPr>
      <w:r w:rsidRPr="0003637D">
        <w:rPr>
          <w:b/>
        </w:rPr>
        <w:t>The variance of productivity sh</w:t>
      </w:r>
      <w:r w:rsidRPr="005E046C">
        <w:rPr>
          <w:b/>
        </w:rPr>
        <w:t xml:space="preserve">ocks: </w:t>
      </w:r>
      <w:r w:rsidRPr="005E046C">
        <w:t>As the variance of productivity shocks increases, the gap between the best and worst firms grows. As such, this</w:t>
      </w:r>
      <w:r>
        <w:t xml:space="preserve"> parameter lines up reasonably well with the </w:t>
      </w:r>
      <w:r w:rsidR="00252C43">
        <w:t>‘</w:t>
      </w:r>
      <w:r>
        <w:t>Superstar firm</w:t>
      </w:r>
      <w:r w:rsidR="00252C43">
        <w:t>’</w:t>
      </w:r>
      <w:r>
        <w:t xml:space="preserve"> explanation (though not perfectly). </w:t>
      </w:r>
    </w:p>
    <w:p w14:paraId="5B2FDF45" w14:textId="4FA91177" w:rsidR="0095241E" w:rsidRDefault="0095241E" w:rsidP="00C31A55">
      <w:pPr>
        <w:pStyle w:val="OutlineNumbered1"/>
        <w:numPr>
          <w:ilvl w:val="0"/>
          <w:numId w:val="25"/>
        </w:numPr>
        <w:spacing w:after="160" w:line="259" w:lineRule="auto"/>
        <w:jc w:val="both"/>
      </w:pPr>
      <w:r>
        <w:rPr>
          <w:b/>
        </w:rPr>
        <w:t>The share of fixed costs:</w:t>
      </w:r>
      <w:r>
        <w:t xml:space="preserve"> </w:t>
      </w:r>
      <w:r w:rsidR="00AF0DD0">
        <w:t>As fixed costs increase as a share of total costs</w:t>
      </w:r>
      <w:r w:rsidR="007811DC">
        <w:t>,</w:t>
      </w:r>
      <w:r w:rsidR="00AF0DD0">
        <w:t xml:space="preserve"> there will be </w:t>
      </w:r>
      <w:r w:rsidR="00CD02DE">
        <w:t>greater returns to scale</w:t>
      </w:r>
      <w:r>
        <w:t>. As such, this parameter li</w:t>
      </w:r>
      <w:r w:rsidR="00743BA0">
        <w:t xml:space="preserve">nes up well with the </w:t>
      </w:r>
      <w:r w:rsidR="00252C43">
        <w:t>‘</w:t>
      </w:r>
      <w:r w:rsidR="00743BA0">
        <w:t>technological</w:t>
      </w:r>
      <w:r>
        <w:t xml:space="preserve"> change</w:t>
      </w:r>
      <w:r w:rsidR="00252C43">
        <w:t>’</w:t>
      </w:r>
      <w:r>
        <w:t xml:space="preserve"> explanation.</w:t>
      </w:r>
    </w:p>
    <w:p w14:paraId="56954536" w14:textId="07A53E05" w:rsidR="0095241E" w:rsidRDefault="0095241E" w:rsidP="00C31A55">
      <w:pPr>
        <w:pStyle w:val="OutlineNumbered1"/>
        <w:numPr>
          <w:ilvl w:val="0"/>
          <w:numId w:val="25"/>
        </w:numPr>
        <w:spacing w:after="160" w:line="259" w:lineRule="auto"/>
        <w:jc w:val="both"/>
      </w:pPr>
      <w:r w:rsidRPr="0003637D">
        <w:rPr>
          <w:b/>
        </w:rPr>
        <w:t>The number of potential competitors yet to enter the market</w:t>
      </w:r>
      <w:r>
        <w:t xml:space="preserve">: When the number of potential competitors declines, the amount of competition facing the remaining firms declines. As such, this parameter lines up well with the </w:t>
      </w:r>
      <w:r w:rsidR="00252C43">
        <w:t>‘</w:t>
      </w:r>
      <w:r>
        <w:t>less competition</w:t>
      </w:r>
      <w:r w:rsidR="00252C43">
        <w:t>’</w:t>
      </w:r>
      <w:r>
        <w:t xml:space="preserve"> explanation.</w:t>
      </w:r>
    </w:p>
    <w:p w14:paraId="378D1F14" w14:textId="2CCDBD3E" w:rsidR="0095241E" w:rsidRDefault="0095241E" w:rsidP="00C31A55">
      <w:pPr>
        <w:jc w:val="both"/>
      </w:pPr>
      <w:r>
        <w:t xml:space="preserve">The comparative statics for each of the explanations are summarised in Table </w:t>
      </w:r>
      <w:r w:rsidR="009C366A">
        <w:t>1</w:t>
      </w:r>
      <w:r w:rsidR="00743BA0">
        <w:t>. They relate to the models predictions for: the distribution of mark</w:t>
      </w:r>
      <w:r w:rsidR="00252C43">
        <w:noBreakHyphen/>
      </w:r>
      <w:r w:rsidR="00743BA0">
        <w:t>ups; whether sales</w:t>
      </w:r>
      <w:r w:rsidR="00252C43">
        <w:noBreakHyphen/>
      </w:r>
      <w:r w:rsidR="00743BA0">
        <w:t>weighed mark</w:t>
      </w:r>
      <w:r w:rsidR="00252C43">
        <w:noBreakHyphen/>
      </w:r>
      <w:r w:rsidR="00743BA0">
        <w:t>ups are driven by with firm changes or between firm reallocation (decomposition of sales</w:t>
      </w:r>
      <w:r w:rsidR="00252C43">
        <w:noBreakHyphen/>
      </w:r>
      <w:r w:rsidR="00743BA0">
        <w:t>weighted mark</w:t>
      </w:r>
      <w:r w:rsidR="00252C43">
        <w:noBreakHyphen/>
      </w:r>
      <w:r w:rsidR="00743BA0">
        <w:t>up); and whether low</w:t>
      </w:r>
      <w:r w:rsidR="00252C43">
        <w:noBreakHyphen/>
      </w:r>
      <w:r w:rsidR="00743BA0">
        <w:t>productivity firms are more or less likely to be able to survive (selection effects)</w:t>
      </w:r>
      <w:r>
        <w:t>.</w:t>
      </w:r>
      <w:r w:rsidR="00743BA0">
        <w:rPr>
          <w:rStyle w:val="FootnoteReference"/>
        </w:rPr>
        <w:footnoteReference w:id="10"/>
      </w:r>
      <w:r w:rsidRPr="001633A8">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2254"/>
        <w:gridCol w:w="2254"/>
        <w:gridCol w:w="2254"/>
      </w:tblGrid>
      <w:tr w:rsidR="0095241E" w14:paraId="39B8DDF9" w14:textId="77777777" w:rsidTr="007F2E4A">
        <w:tc>
          <w:tcPr>
            <w:tcW w:w="9016" w:type="dxa"/>
            <w:gridSpan w:val="4"/>
          </w:tcPr>
          <w:p w14:paraId="3BEE22C6" w14:textId="5A1BE8BB" w:rsidR="0095241E" w:rsidRPr="00FB64AB" w:rsidRDefault="0095241E" w:rsidP="00A22163">
            <w:pPr>
              <w:pStyle w:val="TableMainHeading"/>
            </w:pPr>
            <w:r w:rsidRPr="00FB64AB">
              <w:t xml:space="preserve">Table </w:t>
            </w:r>
            <w:r w:rsidR="009C366A">
              <w:t>1</w:t>
            </w:r>
            <w:r w:rsidRPr="00FB64AB">
              <w:t xml:space="preserve">: </w:t>
            </w:r>
            <w:r>
              <w:t>Testable Predictions</w:t>
            </w:r>
          </w:p>
        </w:tc>
      </w:tr>
      <w:tr w:rsidR="0095241E" w14:paraId="15E52C2C" w14:textId="77777777" w:rsidTr="007F2E4A">
        <w:tc>
          <w:tcPr>
            <w:tcW w:w="2254" w:type="dxa"/>
          </w:tcPr>
          <w:p w14:paraId="04285D59" w14:textId="77777777" w:rsidR="0095241E" w:rsidRDefault="0095241E" w:rsidP="007F2E4A"/>
        </w:tc>
        <w:tc>
          <w:tcPr>
            <w:tcW w:w="2254" w:type="dxa"/>
          </w:tcPr>
          <w:p w14:paraId="1B91C22D" w14:textId="77777777" w:rsidR="0095241E" w:rsidRDefault="0095241E" w:rsidP="007F2E4A">
            <w:pPr>
              <w:jc w:val="center"/>
            </w:pPr>
            <w:r>
              <w:t>Superstar firm</w:t>
            </w:r>
          </w:p>
          <w:p w14:paraId="41D2FD95" w14:textId="77777777" w:rsidR="0095241E" w:rsidRDefault="0095241E" w:rsidP="007F2E4A">
            <w:pPr>
              <w:jc w:val="center"/>
            </w:pPr>
            <w:r>
              <w:t>(1)</w:t>
            </w:r>
          </w:p>
        </w:tc>
        <w:tc>
          <w:tcPr>
            <w:tcW w:w="2254" w:type="dxa"/>
          </w:tcPr>
          <w:p w14:paraId="565710AC" w14:textId="77777777" w:rsidR="0095241E" w:rsidRDefault="0095241E" w:rsidP="007F2E4A">
            <w:pPr>
              <w:jc w:val="center"/>
            </w:pPr>
            <w:r>
              <w:t>Changing technology</w:t>
            </w:r>
          </w:p>
          <w:p w14:paraId="652784A1" w14:textId="77777777" w:rsidR="0095241E" w:rsidRDefault="0095241E" w:rsidP="007F2E4A">
            <w:pPr>
              <w:jc w:val="center"/>
            </w:pPr>
            <w:r>
              <w:t>(2)</w:t>
            </w:r>
          </w:p>
        </w:tc>
        <w:tc>
          <w:tcPr>
            <w:tcW w:w="2254" w:type="dxa"/>
          </w:tcPr>
          <w:p w14:paraId="3817EEC7" w14:textId="77777777" w:rsidR="0095241E" w:rsidRDefault="0095241E" w:rsidP="007F2E4A">
            <w:pPr>
              <w:jc w:val="center"/>
            </w:pPr>
            <w:r>
              <w:t>Less competition</w:t>
            </w:r>
          </w:p>
          <w:p w14:paraId="09301D6A" w14:textId="77777777" w:rsidR="0095241E" w:rsidRDefault="0095241E" w:rsidP="007F2E4A">
            <w:pPr>
              <w:jc w:val="center"/>
            </w:pPr>
            <w:r>
              <w:t>(3)</w:t>
            </w:r>
          </w:p>
        </w:tc>
      </w:tr>
      <w:tr w:rsidR="0095241E" w14:paraId="36D0B3D6" w14:textId="77777777" w:rsidTr="007F2E4A">
        <w:tc>
          <w:tcPr>
            <w:tcW w:w="2254" w:type="dxa"/>
          </w:tcPr>
          <w:p w14:paraId="13DC6476" w14:textId="4EEF6D35" w:rsidR="0095241E" w:rsidRDefault="0095241E" w:rsidP="007F2E4A">
            <w:r>
              <w:t>Distribution of mark</w:t>
            </w:r>
            <w:r w:rsidR="00252C43">
              <w:noBreakHyphen/>
            </w:r>
            <w:r>
              <w:t>ups</w:t>
            </w:r>
          </w:p>
        </w:tc>
        <w:tc>
          <w:tcPr>
            <w:tcW w:w="2254" w:type="dxa"/>
          </w:tcPr>
          <w:p w14:paraId="0906B97E" w14:textId="77777777" w:rsidR="0095241E" w:rsidRDefault="0095241E" w:rsidP="007F2E4A">
            <w:pPr>
              <w:jc w:val="center"/>
            </w:pPr>
            <w:r>
              <w:t>Increase at top of distribution</w:t>
            </w:r>
          </w:p>
        </w:tc>
        <w:tc>
          <w:tcPr>
            <w:tcW w:w="2254" w:type="dxa"/>
          </w:tcPr>
          <w:p w14:paraId="6206DA35" w14:textId="1B7758E3" w:rsidR="0095241E" w:rsidRDefault="0095241E" w:rsidP="007F2E4A">
            <w:pPr>
              <w:jc w:val="center"/>
            </w:pPr>
            <w:r>
              <w:t>Broad</w:t>
            </w:r>
            <w:r w:rsidR="00252C43">
              <w:noBreakHyphen/>
            </w:r>
            <w:r>
              <w:t>based increase</w:t>
            </w:r>
          </w:p>
        </w:tc>
        <w:tc>
          <w:tcPr>
            <w:tcW w:w="2254" w:type="dxa"/>
          </w:tcPr>
          <w:p w14:paraId="3BEE0F60" w14:textId="43CDCADF" w:rsidR="0095241E" w:rsidRDefault="0095241E" w:rsidP="007F2E4A">
            <w:pPr>
              <w:jc w:val="center"/>
            </w:pPr>
            <w:r>
              <w:t>Broad</w:t>
            </w:r>
            <w:r w:rsidR="00252C43">
              <w:noBreakHyphen/>
            </w:r>
            <w:r>
              <w:t>based increase</w:t>
            </w:r>
          </w:p>
        </w:tc>
      </w:tr>
      <w:tr w:rsidR="0095241E" w14:paraId="50F36547" w14:textId="77777777" w:rsidTr="007F2E4A">
        <w:tc>
          <w:tcPr>
            <w:tcW w:w="2254" w:type="dxa"/>
          </w:tcPr>
          <w:p w14:paraId="7F8FEA09" w14:textId="769EAF12" w:rsidR="0095241E" w:rsidRDefault="0095241E" w:rsidP="007F2E4A">
            <w:r>
              <w:lastRenderedPageBreak/>
              <w:t>Decomposition of sales</w:t>
            </w:r>
            <w:r w:rsidR="00252C43">
              <w:noBreakHyphen/>
            </w:r>
            <w:r>
              <w:t>weighted mark</w:t>
            </w:r>
            <w:r w:rsidR="00252C43">
              <w:noBreakHyphen/>
            </w:r>
            <w:r>
              <w:t>up</w:t>
            </w:r>
          </w:p>
        </w:tc>
        <w:tc>
          <w:tcPr>
            <w:tcW w:w="2254" w:type="dxa"/>
          </w:tcPr>
          <w:p w14:paraId="4F125E8B" w14:textId="77777777" w:rsidR="0095241E" w:rsidRDefault="0095241E" w:rsidP="007F2E4A">
            <w:pPr>
              <w:jc w:val="center"/>
            </w:pPr>
            <w:r>
              <w:t xml:space="preserve">Reallocation </w:t>
            </w:r>
          </w:p>
        </w:tc>
        <w:tc>
          <w:tcPr>
            <w:tcW w:w="2254" w:type="dxa"/>
          </w:tcPr>
          <w:p w14:paraId="0EC1DD54" w14:textId="1F8C1657" w:rsidR="0095241E" w:rsidRDefault="0095241E" w:rsidP="007F2E4A">
            <w:pPr>
              <w:jc w:val="center"/>
            </w:pPr>
            <w:r>
              <w:t>Reallocation and within</w:t>
            </w:r>
            <w:r w:rsidR="00252C43">
              <w:noBreakHyphen/>
            </w:r>
            <w:r>
              <w:t>firm increases (driven by fixed costs)</w:t>
            </w:r>
          </w:p>
        </w:tc>
        <w:tc>
          <w:tcPr>
            <w:tcW w:w="2254" w:type="dxa"/>
          </w:tcPr>
          <w:p w14:paraId="3E54A965" w14:textId="647B9AB7" w:rsidR="0095241E" w:rsidRDefault="0095241E" w:rsidP="007F2E4A">
            <w:pPr>
              <w:jc w:val="center"/>
            </w:pPr>
            <w:r>
              <w:t>Within</w:t>
            </w:r>
            <w:r w:rsidR="00252C43">
              <w:noBreakHyphen/>
            </w:r>
            <w:r>
              <w:t>firm increases</w:t>
            </w:r>
          </w:p>
        </w:tc>
      </w:tr>
      <w:tr w:rsidR="0095241E" w14:paraId="00B63150" w14:textId="77777777" w:rsidTr="007F2E4A">
        <w:tc>
          <w:tcPr>
            <w:tcW w:w="2254" w:type="dxa"/>
          </w:tcPr>
          <w:p w14:paraId="2481299D" w14:textId="77777777" w:rsidR="0095241E" w:rsidRDefault="0095241E" w:rsidP="007F2E4A">
            <w:r>
              <w:t>Selection effects</w:t>
            </w:r>
          </w:p>
        </w:tc>
        <w:tc>
          <w:tcPr>
            <w:tcW w:w="2254" w:type="dxa"/>
          </w:tcPr>
          <w:p w14:paraId="0A263731" w14:textId="6FA0A8B1" w:rsidR="0095241E" w:rsidRDefault="007676E5" w:rsidP="007F2E4A">
            <w:pPr>
              <w:jc w:val="center"/>
            </w:pPr>
            <w:r>
              <w:t>Stronger</w:t>
            </w:r>
          </w:p>
        </w:tc>
        <w:tc>
          <w:tcPr>
            <w:tcW w:w="2254" w:type="dxa"/>
          </w:tcPr>
          <w:p w14:paraId="77200D64" w14:textId="0C3B7B60" w:rsidR="0095241E" w:rsidRDefault="007676E5" w:rsidP="007F2E4A">
            <w:pPr>
              <w:jc w:val="center"/>
            </w:pPr>
            <w:r>
              <w:t>Stronger</w:t>
            </w:r>
          </w:p>
        </w:tc>
        <w:tc>
          <w:tcPr>
            <w:tcW w:w="2254" w:type="dxa"/>
          </w:tcPr>
          <w:p w14:paraId="23AEB72E" w14:textId="4A1EB81F" w:rsidR="0095241E" w:rsidRDefault="007676E5" w:rsidP="007F2E4A">
            <w:pPr>
              <w:jc w:val="center"/>
            </w:pPr>
            <w:r>
              <w:t>Weaker</w:t>
            </w:r>
          </w:p>
        </w:tc>
      </w:tr>
    </w:tbl>
    <w:p w14:paraId="601BF958" w14:textId="77777777" w:rsidR="00A22163" w:rsidRDefault="00A22163" w:rsidP="00A22163">
      <w:pPr>
        <w:pStyle w:val="SingleParagraph"/>
      </w:pPr>
    </w:p>
    <w:p w14:paraId="688E761E" w14:textId="202FAD67" w:rsidR="0095241E" w:rsidRDefault="0095241E" w:rsidP="0095241E">
      <w:r>
        <w:t>Below I lay out the intuition for these results:</w:t>
      </w:r>
    </w:p>
    <w:p w14:paraId="3C56559C" w14:textId="22946E40" w:rsidR="0095241E" w:rsidRDefault="0095241E" w:rsidP="00C31A55">
      <w:pPr>
        <w:pStyle w:val="Bullet"/>
        <w:keepNext w:val="0"/>
        <w:numPr>
          <w:ilvl w:val="0"/>
          <w:numId w:val="24"/>
        </w:numPr>
        <w:spacing w:after="160" w:line="259" w:lineRule="auto"/>
        <w:jc w:val="both"/>
      </w:pPr>
      <w:r w:rsidRPr="001633A8">
        <w:rPr>
          <w:b/>
        </w:rPr>
        <w:t>Distribution of mark</w:t>
      </w:r>
      <w:r w:rsidR="00252C43">
        <w:rPr>
          <w:b/>
        </w:rPr>
        <w:noBreakHyphen/>
      </w:r>
      <w:r w:rsidRPr="001633A8">
        <w:rPr>
          <w:b/>
        </w:rPr>
        <w:t xml:space="preserve">ups: </w:t>
      </w:r>
      <w:r>
        <w:t>Under explanations 2 and 3, the increase in mark</w:t>
      </w:r>
      <w:r w:rsidR="00252C43">
        <w:noBreakHyphen/>
      </w:r>
      <w:r>
        <w:t>ups should be relatively broad</w:t>
      </w:r>
      <w:r w:rsidR="00252C43">
        <w:noBreakHyphen/>
      </w:r>
      <w:r>
        <w:t>based for most firms across the mark</w:t>
      </w:r>
      <w:r w:rsidR="00252C43">
        <w:noBreakHyphen/>
      </w:r>
      <w:r>
        <w:t>up distribution. This is because most surviving firms become bigger and so can charge higher mark</w:t>
      </w:r>
      <w:r w:rsidR="00252C43">
        <w:noBreakHyphen/>
      </w:r>
      <w:r>
        <w:t>ups. In contrast, under explanation 1 mark</w:t>
      </w:r>
      <w:r w:rsidR="00252C43">
        <w:noBreakHyphen/>
      </w:r>
      <w:r>
        <w:t>ups should mainly increase for firms at the top of the distribution, as the large, high mark</w:t>
      </w:r>
      <w:r w:rsidR="00252C43">
        <w:noBreakHyphen/>
      </w:r>
      <w:r>
        <w:t>up firms get even larger, and accordingly can raise their mark</w:t>
      </w:r>
      <w:r w:rsidR="00252C43">
        <w:noBreakHyphen/>
      </w:r>
      <w:r>
        <w:t>ups further.</w:t>
      </w:r>
    </w:p>
    <w:p w14:paraId="571F1883" w14:textId="30511B41" w:rsidR="0095241E" w:rsidRPr="001633A8" w:rsidRDefault="0095241E" w:rsidP="00C31A55">
      <w:pPr>
        <w:pStyle w:val="Bullet"/>
        <w:keepNext w:val="0"/>
        <w:numPr>
          <w:ilvl w:val="0"/>
          <w:numId w:val="24"/>
        </w:numPr>
        <w:spacing w:after="160" w:line="259" w:lineRule="auto"/>
        <w:jc w:val="both"/>
        <w:rPr>
          <w:b/>
        </w:rPr>
      </w:pPr>
      <w:r w:rsidRPr="001633A8">
        <w:rPr>
          <w:b/>
        </w:rPr>
        <w:t>Decomposition of sales</w:t>
      </w:r>
      <w:r w:rsidR="00252C43">
        <w:rPr>
          <w:b/>
        </w:rPr>
        <w:noBreakHyphen/>
      </w:r>
      <w:r w:rsidRPr="001633A8">
        <w:rPr>
          <w:b/>
        </w:rPr>
        <w:t>weighted mark</w:t>
      </w:r>
      <w:r w:rsidR="00252C43">
        <w:rPr>
          <w:b/>
        </w:rPr>
        <w:noBreakHyphen/>
      </w:r>
      <w:r w:rsidRPr="001633A8">
        <w:rPr>
          <w:b/>
        </w:rPr>
        <w:t>up</w:t>
      </w:r>
      <w:r>
        <w:rPr>
          <w:b/>
        </w:rPr>
        <w:t>:</w:t>
      </w:r>
      <w:r w:rsidRPr="001633A8">
        <w:t xml:space="preserve"> Under explanation </w:t>
      </w:r>
      <w:r>
        <w:t>1</w:t>
      </w:r>
      <w:r w:rsidRPr="001633A8">
        <w:t xml:space="preserve">, </w:t>
      </w:r>
      <w:r w:rsidR="00CD02DE">
        <w:t>increases</w:t>
      </w:r>
      <w:r w:rsidRPr="001633A8">
        <w:t xml:space="preserve"> in </w:t>
      </w:r>
      <w:r>
        <w:t xml:space="preserve">the </w:t>
      </w:r>
      <w:r w:rsidRPr="001633A8">
        <w:t>sales</w:t>
      </w:r>
      <w:r w:rsidR="00252C43">
        <w:noBreakHyphen/>
      </w:r>
      <w:r w:rsidRPr="001633A8">
        <w:t>weighted mark</w:t>
      </w:r>
      <w:r w:rsidR="00252C43">
        <w:noBreakHyphen/>
      </w:r>
      <w:r w:rsidRPr="001633A8">
        <w:t>up should be driven by a reallocation of resources to high mark</w:t>
      </w:r>
      <w:r w:rsidR="00252C43">
        <w:noBreakHyphen/>
      </w:r>
      <w:r w:rsidRPr="001633A8">
        <w:t>up firms, as these more productive firms grow at the expense of other</w:t>
      </w:r>
      <w:r w:rsidR="009D2BF7">
        <w:t>s</w:t>
      </w:r>
      <w:r w:rsidRPr="001633A8">
        <w:t>.</w:t>
      </w:r>
      <w:r>
        <w:t xml:space="preserve"> Under 3, the increase should be driven by increases </w:t>
      </w:r>
      <w:r w:rsidR="00AC7576">
        <w:t xml:space="preserve">in </w:t>
      </w:r>
      <w:r>
        <w:t>constituent firms</w:t>
      </w:r>
      <w:r w:rsidR="00252C43">
        <w:t>’</w:t>
      </w:r>
      <w:r>
        <w:t xml:space="preserve"> mark</w:t>
      </w:r>
      <w:r w:rsidR="00252C43">
        <w:noBreakHyphen/>
      </w:r>
      <w:r>
        <w:t>ups, as most firms grow and raise their mark</w:t>
      </w:r>
      <w:r w:rsidR="00252C43">
        <w:noBreakHyphen/>
      </w:r>
      <w:r>
        <w:t xml:space="preserve">ups. Under 2, we would </w:t>
      </w:r>
      <w:r w:rsidRPr="005E046C">
        <w:t>expect to see both, with firms growing on average, but the most productive firms tending to grow more.</w:t>
      </w:r>
    </w:p>
    <w:p w14:paraId="5EFC476F" w14:textId="6E34C114" w:rsidR="0095241E" w:rsidRPr="001633A8" w:rsidRDefault="0095241E" w:rsidP="009D2BF7">
      <w:pPr>
        <w:pStyle w:val="Bullet"/>
        <w:keepNext w:val="0"/>
        <w:numPr>
          <w:ilvl w:val="0"/>
          <w:numId w:val="24"/>
        </w:numPr>
        <w:spacing w:after="160" w:line="259" w:lineRule="auto"/>
        <w:jc w:val="both"/>
        <w:rPr>
          <w:b/>
        </w:rPr>
      </w:pPr>
      <w:r w:rsidRPr="001633A8">
        <w:rPr>
          <w:b/>
        </w:rPr>
        <w:t>Selection effects:</w:t>
      </w:r>
      <w:r>
        <w:t xml:space="preserve"> Under 1 and 2, low productivity firms are more likely to </w:t>
      </w:r>
      <w:r w:rsidR="00743BA0">
        <w:t>exit</w:t>
      </w:r>
      <w:r>
        <w:t>.</w:t>
      </w:r>
      <w:r w:rsidR="00743BA0">
        <w:rPr>
          <w:rStyle w:val="FootnoteReference"/>
        </w:rPr>
        <w:footnoteReference w:id="11"/>
      </w:r>
      <w:r>
        <w:t xml:space="preserve"> In the former case, this reflects the fact that the profits available for small firms decline as large firms grow and dominate. In the latter case, this is due to the higher fixed outlay that firms need to make </w:t>
      </w:r>
      <w:proofErr w:type="gramStart"/>
      <w:r>
        <w:t>in order to</w:t>
      </w:r>
      <w:proofErr w:type="gramEnd"/>
      <w:r>
        <w:t xml:space="preserve"> produce, which smaller lower productivity firms struggle to recoup. In contrast, under explanation 3 there are fewer firms that can enter to compete away profits for low productivity firms, making it easier for them to survive.</w:t>
      </w:r>
    </w:p>
    <w:p w14:paraId="0F4D521B" w14:textId="4126AFA7" w:rsidR="0095241E" w:rsidRDefault="0095241E" w:rsidP="009D2BF7">
      <w:pPr>
        <w:jc w:val="both"/>
      </w:pPr>
      <w:r>
        <w:t>As shown above</w:t>
      </w:r>
      <w:r w:rsidR="00CE62C6">
        <w:t xml:space="preserve"> in Figure 5</w:t>
      </w:r>
      <w:r>
        <w:t>, the increase in mark</w:t>
      </w:r>
      <w:r w:rsidR="00252C43">
        <w:noBreakHyphen/>
      </w:r>
      <w:r>
        <w:t>ups is relatively broad</w:t>
      </w:r>
      <w:r w:rsidR="00252C43">
        <w:noBreakHyphen/>
      </w:r>
      <w:r>
        <w:t xml:space="preserve">based across the </w:t>
      </w:r>
      <w:proofErr w:type="gramStart"/>
      <w:r>
        <w:t>distribution</w:t>
      </w:r>
      <w:r w:rsidR="00743BA0">
        <w:t>, and</w:t>
      </w:r>
      <w:proofErr w:type="gramEnd"/>
      <w:r w:rsidR="00743BA0">
        <w:t xml:space="preserve"> is driven by within</w:t>
      </w:r>
      <w:r w:rsidR="00252C43">
        <w:noBreakHyphen/>
      </w:r>
      <w:proofErr w:type="spellStart"/>
      <w:r w:rsidR="00743BA0">
        <w:t>frim</w:t>
      </w:r>
      <w:proofErr w:type="spellEnd"/>
      <w:r w:rsidR="00743BA0">
        <w:t xml:space="preserve"> increases in mark</w:t>
      </w:r>
      <w:r w:rsidR="00252C43">
        <w:noBreakHyphen/>
      </w:r>
      <w:r w:rsidR="00743BA0">
        <w:t>ups, rather than real</w:t>
      </w:r>
      <w:r w:rsidR="009D2BF7">
        <w:t>location towards high mark</w:t>
      </w:r>
      <w:r w:rsidR="00252C43">
        <w:noBreakHyphen/>
      </w:r>
      <w:r w:rsidR="009D2BF7">
        <w:t>up fi</w:t>
      </w:r>
      <w:r w:rsidR="00743BA0">
        <w:t>rms</w:t>
      </w:r>
      <w:r>
        <w:t xml:space="preserve">. This </w:t>
      </w:r>
      <w:r w:rsidR="00743BA0">
        <w:t>would appear to rule out the Superstar Hypothesis, leaving technology changes and deceasing competition as the relevant hypotheses to explore</w:t>
      </w:r>
      <w:r>
        <w:t>.</w:t>
      </w:r>
      <w:r w:rsidR="009C366A">
        <w:rPr>
          <w:rStyle w:val="FootnoteReference"/>
        </w:rPr>
        <w:footnoteReference w:id="12"/>
      </w:r>
      <w:r w:rsidR="00217476">
        <w:t xml:space="preserve"> The fact that there is little evidence of reallocation driving the increase also suggests that the technology change and increasing returns to scale are not the key driver, though we can</w:t>
      </w:r>
      <w:r w:rsidR="00252C43">
        <w:t>’</w:t>
      </w:r>
      <w:r w:rsidR="00217476">
        <w:t>t rule out that they accounted for some of the rise.</w:t>
      </w:r>
    </w:p>
    <w:p w14:paraId="2453950D" w14:textId="6CF7982C" w:rsidR="0095241E" w:rsidRDefault="0095241E" w:rsidP="009D2BF7">
      <w:pPr>
        <w:jc w:val="both"/>
      </w:pPr>
      <w:r>
        <w:t>One explanation that I do not consider here is that the increase in mark</w:t>
      </w:r>
      <w:r w:rsidR="00252C43">
        <w:noBreakHyphen/>
      </w:r>
      <w:r>
        <w:t>ups could reflect declining competition in input markets including labour markets, rather than in product markets. The approach assumes that firms are price takers in input markets, and any increase in monopsony power could raise measures of mark</w:t>
      </w:r>
      <w:r w:rsidR="00252C43">
        <w:noBreakHyphen/>
      </w:r>
      <w:r>
        <w:t>ups. This will be explored in future work (Hambur forthcoming).</w:t>
      </w:r>
    </w:p>
    <w:p w14:paraId="20B5BE67" w14:textId="15F40851" w:rsidR="00DD495D" w:rsidRDefault="00DD495D" w:rsidP="00DD495D">
      <w:pPr>
        <w:pStyle w:val="Heading3"/>
      </w:pPr>
      <w:r>
        <w:t>6.</w:t>
      </w:r>
      <w:r w:rsidR="00CD02DE">
        <w:t>1</w:t>
      </w:r>
      <w:r w:rsidRPr="0095241E">
        <w:t xml:space="preserve"> </w:t>
      </w:r>
      <w:r>
        <w:t>Understanding the role of fixed costs and technology change</w:t>
      </w:r>
    </w:p>
    <w:p w14:paraId="2269A9C6" w14:textId="22DB1400" w:rsidR="00710ED3" w:rsidRDefault="003C44BF" w:rsidP="00DD495D">
      <w:pPr>
        <w:pStyle w:val="Dash"/>
        <w:numPr>
          <w:ilvl w:val="0"/>
          <w:numId w:val="0"/>
        </w:numPr>
        <w:jc w:val="both"/>
        <w:rPr>
          <w:rFonts w:eastAsiaTheme="minorEastAsia"/>
        </w:rPr>
      </w:pPr>
      <w:r>
        <w:rPr>
          <w:rFonts w:eastAsiaTheme="minorEastAsia"/>
        </w:rPr>
        <w:t xml:space="preserve">To consider the role of fixed costs and technology change I take a few different approaches. </w:t>
      </w:r>
      <w:r w:rsidR="00710ED3">
        <w:rPr>
          <w:rFonts w:eastAsiaTheme="minorEastAsia"/>
        </w:rPr>
        <w:t xml:space="preserve">Before this though, it is worth highlighting that the definition of fixed costs used in this paper is somewhat narrower than in other work owing to data constraints. </w:t>
      </w:r>
      <w:proofErr w:type="gramStart"/>
      <w:r w:rsidR="00710ED3">
        <w:rPr>
          <w:rFonts w:eastAsiaTheme="minorEastAsia"/>
        </w:rPr>
        <w:t>In particular, some</w:t>
      </w:r>
      <w:proofErr w:type="gramEnd"/>
      <w:r w:rsidR="00710ED3">
        <w:rPr>
          <w:rFonts w:eastAsiaTheme="minorEastAsia"/>
        </w:rPr>
        <w:t xml:space="preserve"> expenses that would often be </w:t>
      </w:r>
      <w:r w:rsidR="00710ED3">
        <w:rPr>
          <w:rFonts w:eastAsiaTheme="minorEastAsia"/>
        </w:rPr>
        <w:lastRenderedPageBreak/>
        <w:t xml:space="preserve">considered fixed, and might be relevant for the technology change story, are captured in my measure of </w:t>
      </w:r>
      <w:r w:rsidR="0043705A">
        <w:rPr>
          <w:rFonts w:eastAsiaTheme="minorEastAsia"/>
        </w:rPr>
        <w:t xml:space="preserve">variable cost. As such the headline numbers might already have abstracted from some of the technology change story. </w:t>
      </w:r>
      <w:r w:rsidR="00B40626">
        <w:rPr>
          <w:rFonts w:eastAsiaTheme="minorEastAsia"/>
        </w:rPr>
        <w:t xml:space="preserve">That said, using a narrower variable cost measure (that has some other drawbacks), leads to similar results to the headline numbers (Appendix B and C). </w:t>
      </w:r>
    </w:p>
    <w:p w14:paraId="43FAB65B" w14:textId="2EC41A27" w:rsidR="00DD495D" w:rsidRDefault="00DD495D" w:rsidP="00DD495D">
      <w:pPr>
        <w:pStyle w:val="Dash"/>
        <w:numPr>
          <w:ilvl w:val="0"/>
          <w:numId w:val="0"/>
        </w:numPr>
        <w:jc w:val="both"/>
      </w:pPr>
      <w:r>
        <w:t>I first adopt the approach suggested in De Locker et al (2020) and calculate an excess mark</w:t>
      </w:r>
      <w:r w:rsidR="00252C43">
        <w:noBreakHyphen/>
      </w:r>
      <w:r>
        <w:t>up. This is the difference between the observed mark</w:t>
      </w:r>
      <w:r w:rsidR="00252C43">
        <w:noBreakHyphen/>
      </w:r>
      <w:r>
        <w:t>up, and the mark</w:t>
      </w:r>
      <w:r w:rsidR="00252C43">
        <w:noBreakHyphen/>
      </w:r>
      <w:r>
        <w:t>up that would be required to recoup firms</w:t>
      </w:r>
      <w:r w:rsidR="00252C43">
        <w:t>’</w:t>
      </w:r>
      <w:r>
        <w:t xml:space="preserve"> fixed costs and ensure that they earn zero </w:t>
      </w:r>
      <w:r w:rsidR="00252C43">
        <w:t>‘</w:t>
      </w:r>
      <w:r>
        <w:t>excess</w:t>
      </w:r>
      <w:r w:rsidR="00252C43">
        <w:t>’</w:t>
      </w:r>
      <w:r>
        <w:t xml:space="preserve"> profits (see Box 3 for details). The approach is quite </w:t>
      </w:r>
      <w:proofErr w:type="gramStart"/>
      <w:r>
        <w:t>similar to</w:t>
      </w:r>
      <w:proofErr w:type="gramEnd"/>
      <w:r>
        <w:t xml:space="preserve"> estimating excess economic profits, as in </w:t>
      </w:r>
      <w:proofErr w:type="spellStart"/>
      <w:r>
        <w:t>Barkai</w:t>
      </w:r>
      <w:proofErr w:type="spellEnd"/>
      <w:r>
        <w:t xml:space="preserve"> (2019)</w:t>
      </w:r>
      <w:r w:rsidR="002649CA">
        <w:t xml:space="preserve">. </w:t>
      </w:r>
      <w:r w:rsidR="005D55FD">
        <w:t xml:space="preserve">In this sense, it should be </w:t>
      </w:r>
      <w:proofErr w:type="gramStart"/>
      <w:r w:rsidR="005D55FD">
        <w:t>fairly robust</w:t>
      </w:r>
      <w:proofErr w:type="gramEnd"/>
      <w:r w:rsidR="005D55FD">
        <w:t xml:space="preserve"> to differences in the definition of fixed and variable costs between this and other work, and uncertainty about what expenses to include as fixed more generally.</w:t>
      </w:r>
      <w:r w:rsidR="00710ED3">
        <w:t xml:space="preserve"> It also allows for the possibility that other technological changes could be driving the result, such as a general shift towards the use of capital (tangible or intangible).</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DD495D" w14:paraId="3607E243" w14:textId="77777777" w:rsidTr="00A22163">
        <w:tc>
          <w:tcPr>
            <w:tcW w:w="9288" w:type="dxa"/>
            <w:shd w:val="clear" w:color="auto" w:fill="F2F2F2" w:themeFill="background1" w:themeFillShade="F2"/>
          </w:tcPr>
          <w:p w14:paraId="0432A94A" w14:textId="1149DFAD" w:rsidR="00DD495D" w:rsidRDefault="00DD495D" w:rsidP="00A22163">
            <w:pPr>
              <w:pStyle w:val="BoxHeading"/>
            </w:pPr>
            <w:r>
              <w:t>Box 3: Excess Mark</w:t>
            </w:r>
            <w:r w:rsidR="00252C43">
              <w:noBreakHyphen/>
            </w:r>
            <w:r>
              <w:t>ups</w:t>
            </w:r>
          </w:p>
          <w:p w14:paraId="26952266" w14:textId="31313394" w:rsidR="00DD495D" w:rsidRDefault="00DD495D" w:rsidP="008334E4">
            <w:r>
              <w:t>Excess mark</w:t>
            </w:r>
            <w:r w:rsidR="00252C43">
              <w:noBreakHyphen/>
            </w:r>
            <w:r>
              <w:t>ups are defined as follows:</w:t>
            </w:r>
          </w:p>
          <w:p w14:paraId="42556478" w14:textId="77777777" w:rsidR="00DD495D" w:rsidRPr="00EE3167" w:rsidRDefault="00247E5F" w:rsidP="008334E4">
            <w:pPr>
              <w:rPr>
                <w:rFonts w:eastAsiaTheme="minorEastAsia"/>
              </w:rPr>
            </w:pPr>
            <m:oMathPara>
              <m:oMath>
                <m:sSubSup>
                  <m:sSubSupPr>
                    <m:ctrlPr>
                      <w:rPr>
                        <w:rFonts w:ascii="Cambria Math" w:hAnsi="Cambria Math"/>
                        <w:i/>
                      </w:rPr>
                    </m:ctrlPr>
                  </m:sSubSupPr>
                  <m:e>
                    <m:r>
                      <w:rPr>
                        <w:rFonts w:ascii="Cambria Math" w:hAnsi="Cambria Math"/>
                      </w:rPr>
                      <m:t>μ</m:t>
                    </m:r>
                  </m:e>
                  <m:sub>
                    <m:r>
                      <w:rPr>
                        <w:rFonts w:ascii="Cambria Math" w:hAnsi="Cambria Math"/>
                      </w:rPr>
                      <m:t>i,t</m:t>
                    </m:r>
                  </m:sub>
                  <m:sup>
                    <m:r>
                      <w:rPr>
                        <w:rFonts w:ascii="Cambria Math" w:hAnsi="Cambria Math"/>
                      </w:rPr>
                      <m:t>excess</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i,t</m:t>
                    </m:r>
                  </m:sub>
                  <m:sup>
                    <m:r>
                      <w:rPr>
                        <w:rFonts w:ascii="Cambria Math" w:hAnsi="Cambria Math"/>
                      </w:rPr>
                      <m:t>observed</m:t>
                    </m:r>
                  </m:sup>
                </m:sSubSup>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i,t</m:t>
                    </m:r>
                  </m:sub>
                  <m:sup>
                    <m:r>
                      <w:rPr>
                        <w:rFonts w:ascii="Cambria Math" w:hAnsi="Cambria Math"/>
                      </w:rPr>
                      <m:t>required</m:t>
                    </m:r>
                  </m:sup>
                </m:sSubSup>
              </m:oMath>
            </m:oMathPara>
          </w:p>
          <w:p w14:paraId="60FC1906" w14:textId="77777777" w:rsidR="00DD495D" w:rsidRDefault="00247E5F" w:rsidP="008334E4">
            <m:oMathPara>
              <m:oMath>
                <m:sSubSup>
                  <m:sSubSupPr>
                    <m:ctrlPr>
                      <w:rPr>
                        <w:rFonts w:ascii="Cambria Math" w:hAnsi="Cambria Math"/>
                        <w:i/>
                      </w:rPr>
                    </m:ctrlPr>
                  </m:sSubSupPr>
                  <m:e>
                    <m:r>
                      <w:rPr>
                        <w:rFonts w:ascii="Cambria Math" w:hAnsi="Cambria Math"/>
                      </w:rPr>
                      <m:t>μ</m:t>
                    </m:r>
                  </m:e>
                  <m:sub>
                    <m:r>
                      <w:rPr>
                        <w:rFonts w:ascii="Cambria Math" w:hAnsi="Cambria Math"/>
                      </w:rPr>
                      <m:t>i,t</m:t>
                    </m:r>
                  </m:sub>
                  <m:sup>
                    <m:r>
                      <w:rPr>
                        <w:rFonts w:ascii="Cambria Math" w:hAnsi="Cambria Math"/>
                      </w:rPr>
                      <m:t>required</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i,m</m:t>
                        </m:r>
                      </m:sub>
                    </m:sSub>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k,j,t</m:t>
                            </m:r>
                          </m:sub>
                        </m:sSub>
                        <m:sSub>
                          <m:sSubPr>
                            <m:ctrlPr>
                              <w:rPr>
                                <w:rFonts w:ascii="Cambria Math" w:hAnsi="Cambria Math"/>
                                <w:i/>
                              </w:rPr>
                            </m:ctrlPr>
                          </m:sSubPr>
                          <m:e>
                            <m:r>
                              <w:rPr>
                                <w:rFonts w:ascii="Cambria Math" w:hAnsi="Cambria Math"/>
                              </w:rPr>
                              <m:t>P</m:t>
                            </m:r>
                          </m:e>
                          <m:sub>
                            <m:r>
                              <w:rPr>
                                <w:rFonts w:ascii="Cambria Math" w:hAnsi="Cambria Math"/>
                              </w:rPr>
                              <m:t>k,t</m:t>
                            </m:r>
                          </m:sub>
                        </m:sSub>
                        <m:sSub>
                          <m:sSubPr>
                            <m:ctrlPr>
                              <w:rPr>
                                <w:rFonts w:ascii="Cambria Math" w:hAnsi="Cambria Math"/>
                                <w:i/>
                              </w:rPr>
                            </m:ctrlPr>
                          </m:sSubPr>
                          <m:e>
                            <m:r>
                              <w:rPr>
                                <w:rFonts w:ascii="Cambria Math" w:hAnsi="Cambria Math"/>
                              </w:rPr>
                              <m:t>K</m:t>
                            </m:r>
                          </m:e>
                          <m:sub>
                            <m:r>
                              <w:rPr>
                                <w:rFonts w:ascii="Cambria Math" w:hAnsi="Cambria Math"/>
                              </w:rPr>
                              <m:t>i,t</m:t>
                            </m:r>
                          </m:sub>
                        </m:sSub>
                      </m:num>
                      <m:den>
                        <m:sSub>
                          <m:sSubPr>
                            <m:ctrlPr>
                              <w:rPr>
                                <w:rFonts w:ascii="Cambria Math" w:hAnsi="Cambria Math"/>
                                <w:i/>
                              </w:rPr>
                            </m:ctrlPr>
                          </m:sSubPr>
                          <m:e>
                            <m:r>
                              <w:rPr>
                                <w:rFonts w:ascii="Cambria Math" w:hAnsi="Cambria Math"/>
                              </w:rPr>
                              <m:t>P</m:t>
                            </m:r>
                          </m:e>
                          <m:sub>
                            <m:r>
                              <w:rPr>
                                <w:rFonts w:ascii="Cambria Math" w:hAnsi="Cambria Math"/>
                              </w:rPr>
                              <m:t>y,t</m:t>
                            </m:r>
                          </m:sub>
                        </m:sSub>
                        <m:sSub>
                          <m:sSubPr>
                            <m:ctrlPr>
                              <w:rPr>
                                <w:rFonts w:ascii="Cambria Math" w:hAnsi="Cambria Math"/>
                                <w:i/>
                              </w:rPr>
                            </m:ctrlPr>
                          </m:sSubPr>
                          <m:e>
                            <m:r>
                              <w:rPr>
                                <w:rFonts w:ascii="Cambria Math" w:hAnsi="Cambria Math"/>
                              </w:rPr>
                              <m:t>Y</m:t>
                            </m:r>
                          </m:e>
                          <m:sub>
                            <m:r>
                              <w:rPr>
                                <w:rFonts w:ascii="Cambria Math" w:hAnsi="Cambria Math"/>
                              </w:rPr>
                              <m:t>i,t</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i,t</m:t>
                            </m:r>
                          </m:sub>
                        </m:sSub>
                        <m:sSub>
                          <m:sSubPr>
                            <m:ctrlPr>
                              <w:rPr>
                                <w:rFonts w:ascii="Cambria Math" w:hAnsi="Cambria Math"/>
                                <w:i/>
                              </w:rPr>
                            </m:ctrlPr>
                          </m:sSubPr>
                          <m:e>
                            <m:r>
                              <w:rPr>
                                <w:rFonts w:ascii="Cambria Math" w:hAnsi="Cambria Math"/>
                              </w:rPr>
                              <m:t>L</m:t>
                            </m:r>
                          </m:e>
                          <m:sub>
                            <m:r>
                              <w:rPr>
                                <w:rFonts w:ascii="Cambria Math" w:hAnsi="Cambria Math"/>
                              </w:rPr>
                              <m:t>i,t</m:t>
                            </m:r>
                          </m:sub>
                        </m:sSub>
                      </m:num>
                      <m:den>
                        <m:sSub>
                          <m:sSubPr>
                            <m:ctrlPr>
                              <w:rPr>
                                <w:rFonts w:ascii="Cambria Math" w:hAnsi="Cambria Math"/>
                                <w:i/>
                              </w:rPr>
                            </m:ctrlPr>
                          </m:sSubPr>
                          <m:e>
                            <m:r>
                              <w:rPr>
                                <w:rFonts w:ascii="Cambria Math" w:hAnsi="Cambria Math"/>
                              </w:rPr>
                              <m:t>P</m:t>
                            </m:r>
                          </m:e>
                          <m:sub>
                            <m:r>
                              <w:rPr>
                                <w:rFonts w:ascii="Cambria Math" w:hAnsi="Cambria Math"/>
                              </w:rPr>
                              <m:t>y,t</m:t>
                            </m:r>
                          </m:sub>
                        </m:sSub>
                        <m:sSub>
                          <m:sSubPr>
                            <m:ctrlPr>
                              <w:rPr>
                                <w:rFonts w:ascii="Cambria Math" w:hAnsi="Cambria Math"/>
                                <w:i/>
                              </w:rPr>
                            </m:ctrlPr>
                          </m:sSubPr>
                          <m:e>
                            <m:r>
                              <w:rPr>
                                <w:rFonts w:ascii="Cambria Math" w:hAnsi="Cambria Math"/>
                              </w:rPr>
                              <m:t>Y</m:t>
                            </m:r>
                          </m:e>
                          <m:sub>
                            <m:r>
                              <w:rPr>
                                <w:rFonts w:ascii="Cambria Math" w:hAnsi="Cambria Math"/>
                              </w:rPr>
                              <m:t>i,t</m:t>
                            </m:r>
                          </m:sub>
                        </m:sSub>
                      </m:den>
                    </m:f>
                  </m:den>
                </m:f>
              </m:oMath>
            </m:oMathPara>
          </w:p>
          <w:p w14:paraId="4258D552" w14:textId="286C2AC7" w:rsidR="00DD495D" w:rsidRDefault="00DD495D" w:rsidP="008334E4">
            <w:pPr>
              <w:jc w:val="both"/>
              <w:rPr>
                <w:rFonts w:eastAsiaTheme="minorEastAsia"/>
              </w:rPr>
            </w:pPr>
            <w:r>
              <w:rPr>
                <w:rFonts w:eastAsiaTheme="minorEastAsia"/>
              </w:rPr>
              <w:t>The inputs into the calculation are the same as those used in estimating the mark</w:t>
            </w:r>
            <w:r w:rsidR="00252C43">
              <w:rPr>
                <w:rFonts w:eastAsiaTheme="minorEastAsia"/>
              </w:rPr>
              <w:noBreakHyphen/>
            </w:r>
            <w:r>
              <w:rPr>
                <w:rFonts w:eastAsiaTheme="minorEastAsia"/>
              </w:rPr>
              <w:t xml:space="preserve">ups. The only additional term is </w:t>
            </w:r>
            <m:oMath>
              <m:sSub>
                <m:sSubPr>
                  <m:ctrlPr>
                    <w:rPr>
                      <w:rFonts w:ascii="Cambria Math" w:hAnsi="Cambria Math"/>
                      <w:i/>
                    </w:rPr>
                  </m:ctrlPr>
                </m:sSubPr>
                <m:e>
                  <m:r>
                    <w:rPr>
                      <w:rFonts w:ascii="Cambria Math" w:hAnsi="Cambria Math"/>
                    </w:rPr>
                    <m:t>r</m:t>
                  </m:r>
                </m:e>
                <m:sub>
                  <m:r>
                    <w:rPr>
                      <w:rFonts w:ascii="Cambria Math" w:hAnsi="Cambria Math"/>
                    </w:rPr>
                    <m:t>k,j,t</m:t>
                  </m:r>
                </m:sub>
              </m:sSub>
            </m:oMath>
            <w:r>
              <w:rPr>
                <w:rFonts w:eastAsiaTheme="minorEastAsia"/>
              </w:rPr>
              <w:t xml:space="preserve">, the required rental return on capital in industry </w:t>
            </w:r>
            <w:r>
              <w:rPr>
                <w:rFonts w:eastAsiaTheme="minorEastAsia"/>
                <w:i/>
              </w:rPr>
              <w:t>j</w:t>
            </w:r>
            <w:r>
              <w:rPr>
                <w:rFonts w:eastAsiaTheme="minorEastAsia"/>
              </w:rPr>
              <w:t>.</w:t>
            </w:r>
          </w:p>
          <w:p w14:paraId="64FC71F8" w14:textId="77777777" w:rsidR="00DD495D" w:rsidRDefault="00DD495D" w:rsidP="008334E4">
            <w:r>
              <w:t xml:space="preserve">The required rate of return on capital, </w:t>
            </w:r>
            <m:oMath>
              <m:sSub>
                <m:sSubPr>
                  <m:ctrlPr>
                    <w:rPr>
                      <w:rFonts w:ascii="Cambria Math" w:hAnsi="Cambria Math"/>
                      <w:i/>
                    </w:rPr>
                  </m:ctrlPr>
                </m:sSubPr>
                <m:e>
                  <m:r>
                    <w:rPr>
                      <w:rFonts w:ascii="Cambria Math" w:hAnsi="Cambria Math"/>
                    </w:rPr>
                    <m:t>r</m:t>
                  </m:r>
                </m:e>
                <m:sub>
                  <m:r>
                    <w:rPr>
                      <w:rFonts w:ascii="Cambria Math" w:hAnsi="Cambria Math"/>
                    </w:rPr>
                    <m:t>k,j,t</m:t>
                  </m:r>
                </m:sub>
              </m:sSub>
            </m:oMath>
            <w:r>
              <w:rPr>
                <w:rFonts w:eastAsiaTheme="minorEastAsia"/>
              </w:rPr>
              <w:t>,</w:t>
            </w:r>
            <w:r>
              <w:t xml:space="preserve"> is defined as:</w:t>
            </w:r>
          </w:p>
          <w:p w14:paraId="43AD265D" w14:textId="77777777" w:rsidR="00DD495D" w:rsidRDefault="00247E5F" w:rsidP="008334E4">
            <m:oMathPara>
              <m:oMath>
                <m:sSub>
                  <m:sSubPr>
                    <m:ctrlPr>
                      <w:rPr>
                        <w:rFonts w:ascii="Cambria Math" w:hAnsi="Cambria Math"/>
                        <w:i/>
                      </w:rPr>
                    </m:ctrlPr>
                  </m:sSubPr>
                  <m:e>
                    <m:r>
                      <w:rPr>
                        <w:rFonts w:ascii="Cambria Math" w:hAnsi="Cambria Math"/>
                      </w:rPr>
                      <m:t>r</m:t>
                    </m:r>
                  </m:e>
                  <m:sub>
                    <m:r>
                      <w:rPr>
                        <w:rFonts w:ascii="Cambria Math" w:hAnsi="Cambria Math"/>
                      </w:rPr>
                      <m:t>k,j,t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d,s,t</m:t>
                    </m:r>
                  </m:sub>
                </m:sSub>
                <m:r>
                  <w:rPr>
                    <w:rFonts w:ascii="Cambria Math" w:hAnsi="Cambria Math"/>
                  </w:rPr>
                  <m:t>-</m:t>
                </m:r>
                <m:sSub>
                  <m:sSubPr>
                    <m:ctrlPr>
                      <w:rPr>
                        <w:rFonts w:ascii="Cambria Math" w:hAnsi="Cambria Math"/>
                        <w:i/>
                        <w:color w:val="auto"/>
                      </w:rPr>
                    </m:ctrlPr>
                  </m:sSubPr>
                  <m:e>
                    <m:r>
                      <w:rPr>
                        <w:rFonts w:ascii="Cambria Math" w:hAnsi="Cambria Math"/>
                      </w:rPr>
                      <m:t>π</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color w:val="auto"/>
                          </w:rPr>
                        </m:ctrlPr>
                      </m:sSubPr>
                      <m:e>
                        <m:r>
                          <w:rPr>
                            <w:rFonts w:ascii="Cambria Math" w:hAnsi="Cambria Math"/>
                          </w:rPr>
                          <m:t>π</m:t>
                        </m:r>
                      </m:e>
                      <m:sub>
                        <m:r>
                          <w:rPr>
                            <w:rFonts w:ascii="Cambria Math" w:hAnsi="Cambria Math"/>
                          </w:rPr>
                          <m:t>t</m:t>
                        </m:r>
                      </m:sub>
                    </m:sSub>
                    <m:ctrlPr>
                      <w:rPr>
                        <w:rFonts w:ascii="Cambria Math" w:eastAsiaTheme="minorEastAsia" w:hAnsi="Cambria Math"/>
                        <w:i/>
                      </w:rPr>
                    </m:ctrlPr>
                  </m:e>
                </m:d>
                <m:r>
                  <w:rPr>
                    <w:rFonts w:ascii="Cambria Math" w:eastAsiaTheme="minorEastAsia" w:hAnsi="Cambria Math"/>
                  </w:rPr>
                  <m:t>*</m:t>
                </m:r>
                <m:sSub>
                  <m:sSubPr>
                    <m:ctrlPr>
                      <w:rPr>
                        <w:rFonts w:ascii="Cambria Math" w:eastAsiaTheme="minorEastAsia" w:hAnsi="Cambria Math"/>
                        <w:i/>
                        <w:color w:val="auto"/>
                      </w:rPr>
                    </m:ctrlPr>
                  </m:sSubPr>
                  <m:e>
                    <m:r>
                      <w:rPr>
                        <w:rFonts w:ascii="Cambria Math" w:eastAsiaTheme="minorEastAsia" w:hAnsi="Cambria Math"/>
                      </w:rPr>
                      <m:t>δ</m:t>
                    </m:r>
                  </m:e>
                  <m:sub>
                    <m:r>
                      <w:rPr>
                        <w:rFonts w:ascii="Cambria Math" w:eastAsiaTheme="minorEastAsia" w:hAnsi="Cambria Math"/>
                      </w:rPr>
                      <m:t>j,t</m:t>
                    </m:r>
                  </m:sub>
                </m:sSub>
                <m:r>
                  <w:rPr>
                    <w:rFonts w:ascii="Cambria Math" w:eastAsiaTheme="minorEastAsia" w:hAnsi="Cambria Math"/>
                  </w:rPr>
                  <m:t>)</m:t>
                </m:r>
              </m:oMath>
            </m:oMathPara>
          </w:p>
          <w:p w14:paraId="64A58D82" w14:textId="38F8CED7" w:rsidR="00DD495D" w:rsidRPr="00C9549C" w:rsidRDefault="00DD495D" w:rsidP="008334E4">
            <w:pPr>
              <w:jc w:val="both"/>
            </w:pPr>
            <w:r>
              <w:t xml:space="preserve">The first term is the cost of debt. This is taken to be the small or large business indicator lending rate, as published in Table F5 of the RBA Statistics. Firms are considered large if their sales are </w:t>
            </w:r>
            <w:r w:rsidRPr="006416E1">
              <w:t>above $2 million</w:t>
            </w:r>
            <w:r>
              <w:t xml:space="preserve">. Inflation, </w:t>
            </w:r>
            <m:oMath>
              <m:sSub>
                <m:sSubPr>
                  <m:ctrlPr>
                    <w:rPr>
                      <w:rFonts w:ascii="Cambria Math" w:hAnsi="Cambria Math"/>
                      <w:i/>
                      <w:color w:val="auto"/>
                    </w:rPr>
                  </m:ctrlPr>
                </m:sSubPr>
                <m:e>
                  <m:r>
                    <w:rPr>
                      <w:rFonts w:ascii="Cambria Math" w:hAnsi="Cambria Math"/>
                    </w:rPr>
                    <m:t>π</m:t>
                  </m:r>
                </m:e>
                <m:sub>
                  <m:r>
                    <w:rPr>
                      <w:rFonts w:ascii="Cambria Math" w:hAnsi="Cambria Math"/>
                    </w:rPr>
                    <m:t>t</m:t>
                  </m:r>
                </m:sub>
              </m:sSub>
            </m:oMath>
            <w:r>
              <w:rPr>
                <w:rFonts w:eastAsiaTheme="minorEastAsia"/>
              </w:rPr>
              <w:t>, is the trimmed</w:t>
            </w:r>
            <w:r w:rsidR="00252C43">
              <w:rPr>
                <w:rFonts w:eastAsiaTheme="minorEastAsia"/>
              </w:rPr>
              <w:noBreakHyphen/>
            </w:r>
            <w:r>
              <w:rPr>
                <w:rFonts w:eastAsiaTheme="minorEastAsia"/>
              </w:rPr>
              <w:t xml:space="preserve">mean inflation rate, while </w:t>
            </w:r>
            <m:oMath>
              <m:sSub>
                <m:sSubPr>
                  <m:ctrlPr>
                    <w:rPr>
                      <w:rFonts w:ascii="Cambria Math" w:eastAsiaTheme="minorEastAsia" w:hAnsi="Cambria Math"/>
                      <w:i/>
                      <w:color w:val="auto"/>
                    </w:rPr>
                  </m:ctrlPr>
                </m:sSubPr>
                <m:e>
                  <m:r>
                    <w:rPr>
                      <w:rFonts w:ascii="Cambria Math" w:eastAsiaTheme="minorEastAsia" w:hAnsi="Cambria Math"/>
                    </w:rPr>
                    <m:t>δ</m:t>
                  </m:r>
                </m:e>
                <m:sub>
                  <m:r>
                    <w:rPr>
                      <w:rFonts w:ascii="Cambria Math" w:eastAsiaTheme="minorEastAsia" w:hAnsi="Cambria Math"/>
                    </w:rPr>
                    <m:t>j,t</m:t>
                  </m:r>
                </m:sub>
              </m:sSub>
            </m:oMath>
            <w:r w:rsidR="00AC7576">
              <w:rPr>
                <w:rFonts w:eastAsiaTheme="minorEastAsia"/>
                <w:color w:val="auto"/>
              </w:rPr>
              <w:t xml:space="preserve"> </w:t>
            </w:r>
            <w:r>
              <w:rPr>
                <w:rFonts w:eastAsiaTheme="minorEastAsia"/>
              </w:rPr>
              <w:t xml:space="preserve">is the real depreciation rate for industry </w:t>
            </w:r>
            <w:r>
              <w:rPr>
                <w:rFonts w:eastAsiaTheme="minorEastAsia"/>
                <w:i/>
              </w:rPr>
              <w:t xml:space="preserve">j, </w:t>
            </w:r>
            <w:r>
              <w:rPr>
                <w:rFonts w:eastAsiaTheme="minorEastAsia"/>
              </w:rPr>
              <w:t>taken from the ABS Annual National Accounts.</w:t>
            </w:r>
          </w:p>
          <w:p w14:paraId="3E329842" w14:textId="47CE08DD" w:rsidR="00DD495D" w:rsidRDefault="00DD495D" w:rsidP="008334E4">
            <w:pPr>
              <w:jc w:val="both"/>
            </w:pPr>
            <w:r>
              <w:t xml:space="preserve">I exclude the Agriculture, </w:t>
            </w:r>
            <w:r w:rsidR="00AC7576">
              <w:t>M</w:t>
            </w:r>
            <w:r>
              <w:t xml:space="preserve">ining and </w:t>
            </w:r>
            <w:r w:rsidR="00AC7576">
              <w:t>U</w:t>
            </w:r>
            <w:r>
              <w:t>tilities divisions fr</w:t>
            </w:r>
            <w:r w:rsidR="00AC7576">
              <w:t>o</w:t>
            </w:r>
            <w:r>
              <w:t>m this analysis. The excess mark</w:t>
            </w:r>
            <w:r w:rsidR="00252C43">
              <w:noBreakHyphen/>
            </w:r>
            <w:r>
              <w:t>ups for these sectors are very volatile, potentially reflecting difficulty in measuring payments to capital associated with land.</w:t>
            </w:r>
          </w:p>
        </w:tc>
      </w:tr>
    </w:tbl>
    <w:p w14:paraId="677FE659" w14:textId="4177C65A" w:rsidR="00DD495D" w:rsidRDefault="00DD495D" w:rsidP="003C44BF">
      <w:pPr>
        <w:spacing w:before="120"/>
        <w:jc w:val="both"/>
        <w:rPr>
          <w:rFonts w:eastAsiaTheme="minorEastAsia"/>
        </w:rPr>
      </w:pPr>
      <w:r>
        <w:rPr>
          <w:rFonts w:eastAsiaTheme="minorEastAsia"/>
        </w:rPr>
        <w:t>While the excess mark</w:t>
      </w:r>
      <w:r w:rsidR="00252C43">
        <w:rPr>
          <w:rFonts w:eastAsiaTheme="minorEastAsia"/>
        </w:rPr>
        <w:noBreakHyphen/>
      </w:r>
      <w:r>
        <w:rPr>
          <w:rFonts w:eastAsiaTheme="minorEastAsia"/>
        </w:rPr>
        <w:t xml:space="preserve">up approach has intuitive appeal, the results are very dependent on the required rate of return on capital used in the calculation. Constructing these rates of returns requires </w:t>
      </w:r>
      <w:proofErr w:type="gramStart"/>
      <w:r>
        <w:rPr>
          <w:rFonts w:eastAsiaTheme="minorEastAsia"/>
        </w:rPr>
        <w:t>a large number of</w:t>
      </w:r>
      <w:proofErr w:type="gramEnd"/>
      <w:r>
        <w:rPr>
          <w:rFonts w:eastAsiaTheme="minorEastAsia"/>
        </w:rPr>
        <w:t xml:space="preserve"> assumptions, for example regarding expected future capital price inflation and risk premia. Standard approaches also tend to </w:t>
      </w:r>
      <w:r w:rsidR="005D55FD">
        <w:rPr>
          <w:rFonts w:eastAsiaTheme="minorEastAsia"/>
        </w:rPr>
        <w:t>impose</w:t>
      </w:r>
      <w:r>
        <w:rPr>
          <w:rFonts w:eastAsiaTheme="minorEastAsia"/>
        </w:rPr>
        <w:t xml:space="preserve"> a large degree of homogeneity on the rates of return, which may not be reasonable.</w:t>
      </w:r>
    </w:p>
    <w:p w14:paraId="30B4E582" w14:textId="548AA72E" w:rsidR="00DD495D" w:rsidRPr="005E046C" w:rsidRDefault="00DD495D" w:rsidP="00DD495D">
      <w:pPr>
        <w:jc w:val="both"/>
        <w:rPr>
          <w:rFonts w:eastAsiaTheme="minorEastAsia"/>
          <w:vertAlign w:val="superscript"/>
        </w:rPr>
      </w:pPr>
      <w:r>
        <w:rPr>
          <w:rFonts w:eastAsiaTheme="minorEastAsia"/>
        </w:rPr>
        <w:t>As such, as an alternative way to consider the role of fixed costs I (fully) re</w:t>
      </w:r>
      <w:r w:rsidR="00252C43">
        <w:rPr>
          <w:rFonts w:eastAsiaTheme="minorEastAsia"/>
        </w:rPr>
        <w:noBreakHyphen/>
      </w:r>
      <w:r>
        <w:rPr>
          <w:rFonts w:eastAsiaTheme="minorEastAsia"/>
        </w:rPr>
        <w:t>estimate mark</w:t>
      </w:r>
      <w:r w:rsidR="00252C43">
        <w:rPr>
          <w:rFonts w:eastAsiaTheme="minorEastAsia"/>
        </w:rPr>
        <w:noBreakHyphen/>
      </w:r>
      <w:proofErr w:type="gramStart"/>
      <w:r>
        <w:rPr>
          <w:rFonts w:eastAsiaTheme="minorEastAsia"/>
        </w:rPr>
        <w:t>ups, but</w:t>
      </w:r>
      <w:proofErr w:type="gramEnd"/>
      <w:r>
        <w:rPr>
          <w:rFonts w:eastAsiaTheme="minorEastAsia"/>
        </w:rPr>
        <w:t xml:space="preserve"> include the fixed costs as an intermediate input. This approach is similar to that proposed in </w:t>
      </w:r>
      <w:proofErr w:type="spellStart"/>
      <w:r>
        <w:rPr>
          <w:rFonts w:eastAsiaTheme="minorEastAsia"/>
        </w:rPr>
        <w:t>Traina</w:t>
      </w:r>
      <w:proofErr w:type="spellEnd"/>
      <w:r>
        <w:rPr>
          <w:rFonts w:eastAsiaTheme="minorEastAsia"/>
        </w:rPr>
        <w:t xml:space="preserve"> (2018</w:t>
      </w:r>
      <w:proofErr w:type="gramStart"/>
      <w:r>
        <w:rPr>
          <w:rFonts w:eastAsiaTheme="minorEastAsia"/>
        </w:rPr>
        <w:t>), and</w:t>
      </w:r>
      <w:proofErr w:type="gramEnd"/>
      <w:r>
        <w:rPr>
          <w:rFonts w:eastAsiaTheme="minorEastAsia"/>
        </w:rPr>
        <w:t xml:space="preserve"> will be </w:t>
      </w:r>
      <w:r w:rsidR="005D55FD">
        <w:rPr>
          <w:rFonts w:eastAsiaTheme="minorEastAsia"/>
        </w:rPr>
        <w:t>again be useful</w:t>
      </w:r>
      <w:r>
        <w:rPr>
          <w:rFonts w:eastAsiaTheme="minorEastAsia"/>
        </w:rPr>
        <w:t xml:space="preserve"> if we are uncertain about exactly which expenses should be treated as fixed. Finally, I also take the approach suggested by De </w:t>
      </w:r>
      <w:proofErr w:type="spellStart"/>
      <w:r>
        <w:rPr>
          <w:rFonts w:eastAsiaTheme="minorEastAsia"/>
        </w:rPr>
        <w:t>Loecker</w:t>
      </w:r>
      <w:proofErr w:type="spellEnd"/>
      <w:r>
        <w:rPr>
          <w:rFonts w:eastAsiaTheme="minorEastAsia"/>
        </w:rPr>
        <w:t xml:space="preserve"> et al (2020), and estimate the model treating the fixed costs as another fixed input in the production function.</w:t>
      </w:r>
      <w:r>
        <w:rPr>
          <w:rStyle w:val="FootnoteReference"/>
          <w:rFonts w:eastAsiaTheme="minorEastAsia"/>
        </w:rPr>
        <w:footnoteReference w:id="13"/>
      </w:r>
      <w:r w:rsidRPr="005E046C">
        <w:rPr>
          <w:rFonts w:eastAsiaTheme="minorEastAsia"/>
          <w:vertAlign w:val="superscript"/>
        </w:rPr>
        <w:t xml:space="preserve"> </w:t>
      </w:r>
    </w:p>
    <w:p w14:paraId="35982C9A" w14:textId="7BB3DBC3" w:rsidR="003C44BF" w:rsidRDefault="00DD495D" w:rsidP="00DD495D">
      <w:pPr>
        <w:pStyle w:val="Dash"/>
        <w:numPr>
          <w:ilvl w:val="0"/>
          <w:numId w:val="0"/>
        </w:numPr>
        <w:jc w:val="both"/>
        <w:rPr>
          <w:rFonts w:eastAsiaTheme="minorEastAsia"/>
        </w:rPr>
      </w:pPr>
      <w:r>
        <w:rPr>
          <w:rFonts w:eastAsiaTheme="minorEastAsia"/>
        </w:rPr>
        <w:lastRenderedPageBreak/>
        <w:t xml:space="preserve">Table </w:t>
      </w:r>
      <w:r w:rsidR="007D5D87">
        <w:rPr>
          <w:rFonts w:eastAsiaTheme="minorEastAsia"/>
        </w:rPr>
        <w:t>C</w:t>
      </w:r>
      <w:r>
        <w:rPr>
          <w:rFonts w:eastAsiaTheme="minorEastAsia"/>
        </w:rPr>
        <w:t>3</w:t>
      </w:r>
      <w:r w:rsidR="007D5D87">
        <w:rPr>
          <w:rFonts w:eastAsiaTheme="minorEastAsia"/>
        </w:rPr>
        <w:t xml:space="preserve"> n Appendix C</w:t>
      </w:r>
      <w:r>
        <w:rPr>
          <w:rFonts w:eastAsiaTheme="minorEastAsia"/>
        </w:rPr>
        <w:t xml:space="preserve"> summarises the results from these robustness tests. Using most approaches, the increase in mark</w:t>
      </w:r>
      <w:r w:rsidR="00252C43">
        <w:rPr>
          <w:rFonts w:eastAsiaTheme="minorEastAsia"/>
        </w:rPr>
        <w:noBreakHyphen/>
      </w:r>
      <w:r>
        <w:rPr>
          <w:rFonts w:eastAsiaTheme="minorEastAsia"/>
        </w:rPr>
        <w:t>ups is broadly around half of what was documented using the headline mark</w:t>
      </w:r>
      <w:r w:rsidR="00252C43">
        <w:rPr>
          <w:rFonts w:eastAsiaTheme="minorEastAsia"/>
        </w:rPr>
        <w:noBreakHyphen/>
      </w:r>
      <w:r>
        <w:rPr>
          <w:rFonts w:eastAsiaTheme="minorEastAsia"/>
        </w:rPr>
        <w:t>ups measures. This suggests that fixed costs and changing technology have played some role in rising mark</w:t>
      </w:r>
      <w:r w:rsidR="00252C43">
        <w:rPr>
          <w:rFonts w:eastAsiaTheme="minorEastAsia"/>
        </w:rPr>
        <w:noBreakHyphen/>
      </w:r>
      <w:r>
        <w:rPr>
          <w:rFonts w:eastAsiaTheme="minorEastAsia"/>
        </w:rPr>
        <w:t>ups</w:t>
      </w:r>
      <w:r w:rsidR="00477A4A">
        <w:rPr>
          <w:rFonts w:eastAsiaTheme="minorEastAsia"/>
        </w:rPr>
        <w:t xml:space="preserve"> (though as noted some of these might already be capture</w:t>
      </w:r>
      <w:r w:rsidR="00621AD9">
        <w:rPr>
          <w:rFonts w:eastAsiaTheme="minorEastAsia"/>
        </w:rPr>
        <w:t>d in the headline measure)</w:t>
      </w:r>
      <w:r>
        <w:rPr>
          <w:rFonts w:eastAsiaTheme="minorEastAsia"/>
        </w:rPr>
        <w:t xml:space="preserve">. </w:t>
      </w:r>
    </w:p>
    <w:p w14:paraId="00BCCE2A" w14:textId="0DA40A05" w:rsidR="00DD495D" w:rsidRDefault="00DD495D" w:rsidP="00DD495D">
      <w:pPr>
        <w:jc w:val="both"/>
      </w:pPr>
      <w:r>
        <w:t xml:space="preserve">Still, </w:t>
      </w:r>
      <w:r w:rsidR="00621AD9">
        <w:t>none</w:t>
      </w:r>
      <w:r>
        <w:t xml:space="preserve"> of these approaches is perfect. For example, firms might incur a large amount of fixed costs in R&amp;D and advertising in previous years that are not capitalised</w:t>
      </w:r>
      <w:r w:rsidR="00621AD9">
        <w:t>, but which need to be recouped</w:t>
      </w:r>
      <w:r>
        <w:t>. This temporal shift might make it difficult to consider the role of fixed costs in influencing mark</w:t>
      </w:r>
      <w:r w:rsidR="00252C43">
        <w:noBreakHyphen/>
      </w:r>
      <w:r>
        <w:t>ups</w:t>
      </w:r>
      <w:r w:rsidR="00252C43">
        <w:t xml:space="preserve">. </w:t>
      </w:r>
    </w:p>
    <w:p w14:paraId="663DD974" w14:textId="51C4368B" w:rsidR="00DD495D" w:rsidRDefault="00DD495D" w:rsidP="00DD495D">
      <w:pPr>
        <w:pStyle w:val="Bullet"/>
        <w:numPr>
          <w:ilvl w:val="0"/>
          <w:numId w:val="0"/>
        </w:numPr>
        <w:jc w:val="both"/>
      </w:pPr>
      <w:r>
        <w:t>As a final way of considering the role of fixed costs, I examine mark</w:t>
      </w:r>
      <w:r w:rsidR="00252C43">
        <w:noBreakHyphen/>
      </w:r>
      <w:r>
        <w:t>ups for more and less digitally</w:t>
      </w:r>
      <w:r w:rsidR="00252C43">
        <w:noBreakHyphen/>
      </w:r>
      <w:r>
        <w:t xml:space="preserve">intensive industries. As discussed in </w:t>
      </w:r>
      <w:proofErr w:type="spellStart"/>
      <w:r w:rsidRPr="00164999">
        <w:t>Calligaris</w:t>
      </w:r>
      <w:proofErr w:type="spellEnd"/>
      <w:r w:rsidRPr="00164999">
        <w:t xml:space="preserve"> et al (2018)</w:t>
      </w:r>
      <w:r>
        <w:t xml:space="preserve">, digitally intensive industries may invest more heavily in intangibles assets, which can have network effects and tend to be more </w:t>
      </w:r>
      <w:r w:rsidR="00FA4A44">
        <w:t>scalable</w:t>
      </w:r>
      <w:r>
        <w:t>. As such, if the increase in mark</w:t>
      </w:r>
      <w:r w:rsidR="00252C43">
        <w:noBreakHyphen/>
      </w:r>
      <w:r>
        <w:t xml:space="preserve">ups reflects changing technology and increasing returns to scale, we might expect the increase to occur mainly in these industries. </w:t>
      </w:r>
    </w:p>
    <w:p w14:paraId="6DCC19D2" w14:textId="24CB513B" w:rsidR="00DD495D" w:rsidRDefault="00DD495D" w:rsidP="00DD495D">
      <w:pPr>
        <w:jc w:val="both"/>
      </w:pPr>
      <w:r>
        <w:fldChar w:fldCharType="begin"/>
      </w:r>
      <w:r>
        <w:instrText xml:space="preserve"> REF _Ref42766564 \h  \* MERGEFORMAT </w:instrText>
      </w:r>
      <w:r>
        <w:fldChar w:fldCharType="separate"/>
      </w:r>
      <w:r w:rsidR="007D6DAF" w:rsidRPr="007D6DAF">
        <w:t>Figure 9</w:t>
      </w:r>
      <w:r>
        <w:fldChar w:fldCharType="end"/>
      </w:r>
      <w:r>
        <w:t xml:space="preserve"> show</w:t>
      </w:r>
      <w:r w:rsidR="00483740">
        <w:t>s</w:t>
      </w:r>
      <w:r>
        <w:t xml:space="preserve"> the results. The key takeaway is that mark</w:t>
      </w:r>
      <w:r w:rsidR="00252C43">
        <w:noBreakHyphen/>
      </w:r>
      <w:r>
        <w:t xml:space="preserve">ups have increased </w:t>
      </w:r>
      <w:r w:rsidR="00C22E32">
        <w:t xml:space="preserve">by </w:t>
      </w:r>
      <w:r w:rsidR="00D945C8">
        <w:t>more than</w:t>
      </w:r>
      <w:r w:rsidR="00C22E32">
        <w:t xml:space="preserve"> twice as much for firms in the </w:t>
      </w:r>
      <w:r>
        <w:t xml:space="preserve">digitally intensive </w:t>
      </w:r>
      <w:r w:rsidR="00C22E32">
        <w:t>quartile</w:t>
      </w:r>
      <w:r w:rsidR="00856170">
        <w:t xml:space="preserve">, consistent with </w:t>
      </w:r>
      <w:proofErr w:type="spellStart"/>
      <w:r w:rsidR="00856170" w:rsidRPr="00164999">
        <w:t>Calligaris</w:t>
      </w:r>
      <w:proofErr w:type="spellEnd"/>
      <w:r w:rsidR="00856170" w:rsidRPr="00164999">
        <w:t xml:space="preserve"> et al (2018)</w:t>
      </w:r>
      <w:r>
        <w:t xml:space="preserve">, suggesting some role for changing technologies. </w:t>
      </w:r>
      <w:r w:rsidR="00814CD1">
        <w:t xml:space="preserve">However, </w:t>
      </w:r>
      <w:r>
        <w:t>mark</w:t>
      </w:r>
      <w:r w:rsidR="00252C43">
        <w:noBreakHyphen/>
      </w:r>
      <w:r>
        <w:t>ups have also increased for firms in the other quartiles, suggesting other dynamics, like an increase in market power, are also important.</w:t>
      </w:r>
      <w:r>
        <w:rPr>
          <w:rStyle w:val="FootnoteReference"/>
        </w:rPr>
        <w:footnoteReference w:id="14"/>
      </w:r>
    </w:p>
    <w:p w14:paraId="2861750F" w14:textId="77777777" w:rsidR="00A22163" w:rsidRDefault="00DD495D" w:rsidP="00A22163">
      <w:pPr>
        <w:pStyle w:val="ChartMainHeading"/>
      </w:pPr>
      <w:bookmarkStart w:id="10" w:name="_Ref42766564"/>
      <w:r w:rsidRPr="00E91F3C">
        <w:t xml:space="preserve">Figure </w:t>
      </w:r>
      <w:fldSimple w:instr=" SEQ Figure \* ARABIC ">
        <w:r w:rsidR="007D6DAF">
          <w:rPr>
            <w:noProof/>
          </w:rPr>
          <w:t>9</w:t>
        </w:r>
      </w:fldSimple>
      <w:bookmarkEnd w:id="10"/>
      <w:r w:rsidRPr="00E91F3C">
        <w:t xml:space="preserve">: </w:t>
      </w:r>
      <w:r>
        <w:t>Mark</w:t>
      </w:r>
      <w:r w:rsidR="00252C43">
        <w:noBreakHyphen/>
      </w:r>
      <w:r>
        <w:t>ups by Digital Intensity of Industry</w:t>
      </w:r>
    </w:p>
    <w:p w14:paraId="4A077B0F" w14:textId="74CF6640" w:rsidR="00DD495D" w:rsidRDefault="003C2FD2" w:rsidP="00A22163">
      <w:pPr>
        <w:pStyle w:val="ChartGraphic"/>
        <w:rPr>
          <w:rFonts w:ascii="Rockwell" w:hAnsi="Rockwell"/>
          <w:color w:val="1F497D" w:themeColor="text2"/>
          <w:sz w:val="24"/>
        </w:rPr>
      </w:pPr>
      <w:r w:rsidRPr="003C2FD2">
        <w:rPr>
          <w:noProof/>
        </w:rPr>
        <w:drawing>
          <wp:inline distT="0" distB="0" distL="0" distR="0" wp14:anchorId="47257F98" wp14:editId="39932DFA">
            <wp:extent cx="5581650" cy="2882900"/>
            <wp:effectExtent l="0" t="0" r="0" b="0"/>
            <wp:docPr id="8" name="Picture 8" descr="This chart shows the average level of mark-ups for firms in industries with different digital intensities. Both were around 1.2 at the start of the sample in 2004. Mark-ups for the most digitally intensive sectors increased to around 1.35 by 2017. For other sectors mark-ups also increased, but by less, reach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1650" cy="2882900"/>
                    </a:xfrm>
                    <a:prstGeom prst="rect">
                      <a:avLst/>
                    </a:prstGeom>
                    <a:noFill/>
                    <a:ln>
                      <a:noFill/>
                    </a:ln>
                  </pic:spPr>
                </pic:pic>
              </a:graphicData>
            </a:graphic>
          </wp:inline>
        </w:drawing>
      </w:r>
    </w:p>
    <w:p w14:paraId="1C08CC56" w14:textId="7799B48B" w:rsidR="00DD495D" w:rsidRPr="00743BA0" w:rsidRDefault="00DD495D" w:rsidP="00DD495D">
      <w:pPr>
        <w:spacing w:after="240"/>
        <w:rPr>
          <w:sz w:val="18"/>
        </w:rPr>
      </w:pPr>
      <w:r w:rsidRPr="00743BA0">
        <w:rPr>
          <w:sz w:val="18"/>
        </w:rPr>
        <w:t xml:space="preserve">Notes: Industries assigned a digital intensity based on the taxonomy outlined in Table 3 of </w:t>
      </w:r>
      <w:r w:rsidRPr="00164999">
        <w:rPr>
          <w:sz w:val="18"/>
        </w:rPr>
        <w:t>Calvino et al (2018)</w:t>
      </w:r>
      <w:r w:rsidRPr="00743BA0">
        <w:rPr>
          <w:sz w:val="18"/>
        </w:rPr>
        <w:t>. Requires mapping of ISIC classifications used in that paper, to the ANZSIC classifications used in BLADE</w:t>
      </w:r>
      <w:r w:rsidR="00252C43">
        <w:rPr>
          <w:sz w:val="18"/>
        </w:rPr>
        <w:t xml:space="preserve">. </w:t>
      </w:r>
      <w:r>
        <w:rPr>
          <w:sz w:val="18"/>
        </w:rPr>
        <w:t>Firm</w:t>
      </w:r>
      <w:r w:rsidR="00252C43">
        <w:rPr>
          <w:sz w:val="18"/>
        </w:rPr>
        <w:noBreakHyphen/>
      </w:r>
      <w:r>
        <w:rPr>
          <w:sz w:val="18"/>
        </w:rPr>
        <w:t xml:space="preserve">weighted averages then taken </w:t>
      </w:r>
      <w:r w:rsidR="00D945C8">
        <w:rPr>
          <w:sz w:val="18"/>
        </w:rPr>
        <w:t xml:space="preserve">for each quartile of industries. Most digitally intensive sectors </w:t>
      </w:r>
      <w:proofErr w:type="gramStart"/>
      <w:r w:rsidR="00D945C8">
        <w:rPr>
          <w:sz w:val="18"/>
        </w:rPr>
        <w:t>is</w:t>
      </w:r>
      <w:proofErr w:type="gramEnd"/>
      <w:r w:rsidR="00D945C8">
        <w:rPr>
          <w:sz w:val="18"/>
        </w:rPr>
        <w:t xml:space="preserve"> top quartile. All other sectors </w:t>
      </w:r>
      <w:proofErr w:type="gramStart"/>
      <w:r w:rsidR="00D945C8">
        <w:rPr>
          <w:sz w:val="18"/>
        </w:rPr>
        <w:t>is</w:t>
      </w:r>
      <w:proofErr w:type="gramEnd"/>
      <w:r w:rsidR="00D945C8">
        <w:rPr>
          <w:sz w:val="18"/>
        </w:rPr>
        <w:t xml:space="preserve"> an unweighted average of the series for the other three quartiles</w:t>
      </w:r>
      <w:r w:rsidRPr="00743BA0">
        <w:rPr>
          <w:sz w:val="18"/>
        </w:rPr>
        <w:t>.</w:t>
      </w:r>
      <w:r>
        <w:rPr>
          <w:color w:val="auto"/>
          <w:sz w:val="18"/>
        </w:rPr>
        <w:t xml:space="preserve"> </w:t>
      </w:r>
      <w:r w:rsidRPr="00FE45C4">
        <w:rPr>
          <w:color w:val="auto"/>
          <w:sz w:val="18"/>
        </w:rPr>
        <w:t>Treasury calculations based on ABS BLA</w:t>
      </w:r>
      <w:r>
        <w:rPr>
          <w:color w:val="auto"/>
          <w:sz w:val="18"/>
        </w:rPr>
        <w:t>DE</w:t>
      </w:r>
      <w:r w:rsidR="003F3173">
        <w:rPr>
          <w:color w:val="auto"/>
          <w:sz w:val="18"/>
        </w:rPr>
        <w:t>.</w:t>
      </w:r>
    </w:p>
    <w:p w14:paraId="061F572D" w14:textId="2155ED31" w:rsidR="00DD495D" w:rsidRDefault="00DD495D" w:rsidP="00DD495D">
      <w:pPr>
        <w:jc w:val="both"/>
      </w:pPr>
      <w:r>
        <w:t>Overall, taken together these results suggest that</w:t>
      </w:r>
      <w:r w:rsidR="00621AD9">
        <w:t xml:space="preserve"> fixed costs,</w:t>
      </w:r>
      <w:r>
        <w:t xml:space="preserve"> increasing returns to scale</w:t>
      </w:r>
      <w:r w:rsidR="007D5D87">
        <w:t>, intangibles</w:t>
      </w:r>
      <w:r>
        <w:t xml:space="preserve"> and changing technologies can account for some of the increase in mark</w:t>
      </w:r>
      <w:r w:rsidR="00252C43">
        <w:noBreakHyphen/>
      </w:r>
      <w:r>
        <w:t>ups. While it is difficult to put a number on it, the results suggest that changing technologies could account for maybe half of the increase in mark</w:t>
      </w:r>
      <w:r w:rsidR="00252C43">
        <w:noBreakHyphen/>
      </w:r>
      <w:r>
        <w:t>ups.</w:t>
      </w:r>
      <w:r w:rsidR="007D5D87">
        <w:t xml:space="preserve"> However, this still leaves a substantial role for declining competition, which we explore next.</w:t>
      </w:r>
    </w:p>
    <w:p w14:paraId="70754ABC" w14:textId="41F04496" w:rsidR="00743BA0" w:rsidRDefault="00743BA0" w:rsidP="00743BA0">
      <w:pPr>
        <w:pStyle w:val="Heading3"/>
      </w:pPr>
      <w:r>
        <w:lastRenderedPageBreak/>
        <w:t>6.</w:t>
      </w:r>
      <w:r w:rsidR="00CD02DE">
        <w:t>2</w:t>
      </w:r>
      <w:r>
        <w:t xml:space="preserve"> Selection effects</w:t>
      </w:r>
    </w:p>
    <w:p w14:paraId="5EC0F1CD" w14:textId="36F9FB64" w:rsidR="00743BA0" w:rsidRPr="0048023D" w:rsidRDefault="00743BA0" w:rsidP="009D2BF7">
      <w:pPr>
        <w:jc w:val="both"/>
      </w:pPr>
      <w:r>
        <w:t>As discussed above, selection effects can be used to differentiate between the two remaining explanations for rising mark</w:t>
      </w:r>
      <w:r w:rsidR="00252C43">
        <w:noBreakHyphen/>
      </w:r>
      <w:r>
        <w:t>ups: technology change and decreasing competition. Previous work for Australia has shown that such selection effects have tended to weaken over time, alongside the increase in mark</w:t>
      </w:r>
      <w:r w:rsidR="00252C43">
        <w:noBreakHyphen/>
      </w:r>
      <w:r>
        <w:t>ups (Andrews and Hansell 2019)</w:t>
      </w:r>
      <w:r w:rsidR="009D2BF7">
        <w:t xml:space="preserve">, which provides </w:t>
      </w:r>
      <w:r w:rsidR="009D2BF7">
        <w:rPr>
          <w:i/>
        </w:rPr>
        <w:t xml:space="preserve">a priori </w:t>
      </w:r>
      <w:r w:rsidR="009D2BF7">
        <w:t>evidence for decreasing competition</w:t>
      </w:r>
      <w:r>
        <w:t>. However, to look at this more directly, I examine whether this weakening has been more pronounced in industries with increasing mark</w:t>
      </w:r>
      <w:r w:rsidR="00252C43">
        <w:noBreakHyphen/>
      </w:r>
      <w:r>
        <w:t>ups.</w:t>
      </w:r>
    </w:p>
    <w:p w14:paraId="2B0927B5" w14:textId="0E506A7D" w:rsidR="00743BA0" w:rsidRDefault="00743BA0" w:rsidP="009D2BF7">
      <w:pPr>
        <w:jc w:val="both"/>
      </w:pPr>
      <w:r>
        <w:t xml:space="preserve">To do so I adopt the approach used in Decker </w:t>
      </w:r>
      <w:r w:rsidR="00FA4A44">
        <w:t>e</w:t>
      </w:r>
      <w:r>
        <w:t>t al (201</w:t>
      </w:r>
      <w:r w:rsidR="00164999">
        <w:t>7</w:t>
      </w:r>
      <w:proofErr w:type="gramStart"/>
      <w:r>
        <w:t>), and</w:t>
      </w:r>
      <w:proofErr w:type="gramEnd"/>
      <w:r>
        <w:t xml:space="preserve"> applied to Australian data in Andrews and Hansell (2019). The approach involves examining the relationship between firm exit and productivity. More specifically, it involves running a regression of the form:</w:t>
      </w:r>
    </w:p>
    <w:p w14:paraId="19450341" w14:textId="77777777" w:rsidR="00743BA0" w:rsidRDefault="00247E5F" w:rsidP="00743BA0">
      <m:oMathPara>
        <m:oMath>
          <m:sSub>
            <m:sSubPr>
              <m:ctrlPr>
                <w:rPr>
                  <w:rFonts w:ascii="Cambria Math" w:hAnsi="Cambria Math"/>
                  <w:i/>
                </w:rPr>
              </m:ctrlPr>
            </m:sSubPr>
            <m:e>
              <m:r>
                <w:rPr>
                  <w:rFonts w:ascii="Cambria Math" w:hAnsi="Cambria Math"/>
                </w:rPr>
                <m:t>Exit</m:t>
              </m:r>
            </m:e>
            <m:sub>
              <m:r>
                <w:rPr>
                  <w:rFonts w:ascii="Cambria Math"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Prod</m:t>
              </m:r>
            </m:e>
            <m:sub>
              <m:r>
                <w:rPr>
                  <w:rFonts w:ascii="Cambria Math" w:eastAsiaTheme="minorEastAsia" w:hAnsi="Cambria Math"/>
                </w:rPr>
                <m:t>i,t</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i,t</m:t>
              </m:r>
            </m:sub>
            <m:sup>
              <m:r>
                <w:rPr>
                  <w:rFonts w:ascii="Cambria Math" w:eastAsiaTheme="minorEastAsia" w:hAnsi="Cambria Math"/>
                </w:rPr>
                <m:t>'</m:t>
              </m:r>
            </m:sup>
          </m:sSubSup>
          <m:r>
            <w:rPr>
              <w:rFonts w:ascii="Cambria Math" w:eastAsiaTheme="minorEastAsia" w:hAnsi="Cambria Math"/>
            </w:rPr>
            <m:t>θ+</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i,t+1</m:t>
              </m:r>
            </m:sub>
          </m:sSub>
        </m:oMath>
      </m:oMathPara>
    </w:p>
    <w:p w14:paraId="079A8672" w14:textId="2C55078C" w:rsidR="00743BA0" w:rsidRDefault="00743BA0" w:rsidP="009D2BF7">
      <w:pPr>
        <w:jc w:val="both"/>
        <w:rPr>
          <w:rFonts w:eastAsiaTheme="minorEastAsia"/>
        </w:rPr>
      </w:pPr>
      <w:r>
        <w:t xml:space="preserve">where the probability firm </w:t>
      </w:r>
      <w:proofErr w:type="spellStart"/>
      <w:r>
        <w:rPr>
          <w:i/>
        </w:rPr>
        <w:t>i</w:t>
      </w:r>
      <w:proofErr w:type="spellEnd"/>
      <w:r>
        <w:t xml:space="preserve"> exits next period is a function of its (log) productivity at time </w:t>
      </w:r>
      <w:r w:rsidRPr="0048023D">
        <w:rPr>
          <w:i/>
        </w:rPr>
        <w:t>t</w:t>
      </w:r>
      <w:r w:rsidR="00252C43">
        <w:t xml:space="preserve"> — </w:t>
      </w:r>
      <w:r>
        <w:t>expressed relative to the industry average</w:t>
      </w:r>
      <w:r w:rsidR="00252C43">
        <w:t xml:space="preserve"> — </w:t>
      </w:r>
      <w:r>
        <w:t xml:space="preserve">and some controls. If less productive firms tend to exit, we would expect </w:t>
      </w:r>
      <m:oMath>
        <m:r>
          <w:rPr>
            <w:rFonts w:ascii="Cambria Math" w:eastAsiaTheme="minorEastAsia" w:hAnsi="Cambria Math"/>
          </w:rPr>
          <m:t>β</m:t>
        </m:r>
      </m:oMath>
      <w:r>
        <w:rPr>
          <w:rFonts w:eastAsiaTheme="minorEastAsia"/>
        </w:rPr>
        <w:t xml:space="preserve"> to be negative.</w:t>
      </w:r>
      <w:r>
        <w:rPr>
          <w:rStyle w:val="FootnoteReference"/>
          <w:rFonts w:eastAsiaTheme="minorEastAsia"/>
        </w:rPr>
        <w:footnoteReference w:id="15"/>
      </w:r>
    </w:p>
    <w:p w14:paraId="4E246EDF" w14:textId="0F175ED8" w:rsidR="00743BA0" w:rsidRDefault="00743BA0" w:rsidP="009D2BF7">
      <w:pPr>
        <w:jc w:val="both"/>
        <w:rPr>
          <w:rFonts w:eastAsiaTheme="minorEastAsia"/>
        </w:rPr>
      </w:pPr>
      <w:r>
        <w:rPr>
          <w:rFonts w:eastAsiaTheme="minorEastAsia"/>
        </w:rPr>
        <w:t xml:space="preserve">In this case, I am interested in whether the selection effects </w:t>
      </w:r>
      <w:r w:rsidR="00F31045">
        <w:rPr>
          <w:rFonts w:eastAsiaTheme="minorEastAsia"/>
        </w:rPr>
        <w:t>become</w:t>
      </w:r>
      <w:r>
        <w:rPr>
          <w:rFonts w:eastAsiaTheme="minorEastAsia"/>
        </w:rPr>
        <w:t xml:space="preserve"> weaker in industries with increasing mark</w:t>
      </w:r>
      <w:r w:rsidR="00252C43">
        <w:rPr>
          <w:rFonts w:eastAsiaTheme="minorEastAsia"/>
        </w:rPr>
        <w:noBreakHyphen/>
      </w:r>
      <w:r>
        <w:rPr>
          <w:rFonts w:eastAsiaTheme="minorEastAsia"/>
        </w:rPr>
        <w:t>ups. To examine this, I extend the model to include an interaction between industry mark</w:t>
      </w:r>
      <w:r w:rsidR="00252C43">
        <w:rPr>
          <w:rFonts w:eastAsiaTheme="minorEastAsia"/>
        </w:rPr>
        <w:noBreakHyphen/>
      </w:r>
      <w:r>
        <w:rPr>
          <w:rFonts w:eastAsiaTheme="minorEastAsia"/>
        </w:rPr>
        <w:t xml:space="preserve">ups,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m,t</m:t>
            </m:r>
          </m:sub>
        </m:sSub>
      </m:oMath>
      <w:r>
        <w:rPr>
          <w:rFonts w:eastAsiaTheme="minorEastAsia"/>
        </w:rPr>
        <w:t>, and productivity:</w:t>
      </w:r>
    </w:p>
    <w:p w14:paraId="66BE4856" w14:textId="374285E9" w:rsidR="00743BA0" w:rsidRDefault="00247E5F" w:rsidP="00743BA0">
      <m:oMathPara>
        <m:oMath>
          <m:sSub>
            <m:sSubPr>
              <m:ctrlPr>
                <w:rPr>
                  <w:rFonts w:ascii="Cambria Math" w:hAnsi="Cambria Math"/>
                  <w:i/>
                </w:rPr>
              </m:ctrlPr>
            </m:sSubPr>
            <m:e>
              <m:r>
                <w:rPr>
                  <w:rFonts w:ascii="Cambria Math" w:hAnsi="Cambria Math"/>
                </w:rPr>
                <m:t>Exit</m:t>
              </m:r>
            </m:e>
            <m:sub>
              <m:r>
                <w:rPr>
                  <w:rFonts w:ascii="Cambria Math"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0</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Prod</m:t>
              </m:r>
            </m:e>
            <m:sub>
              <m:r>
                <w:rPr>
                  <w:rFonts w:ascii="Cambria Math" w:eastAsiaTheme="minorEastAsia" w:hAnsi="Cambria Math"/>
                </w:rPr>
                <m:t>i,t</m:t>
              </m:r>
            </m:sub>
          </m:sSub>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Prod</m:t>
              </m:r>
            </m:e>
            <m:sub>
              <m:r>
                <w:rPr>
                  <w:rFonts w:ascii="Cambria Math" w:eastAsiaTheme="minorEastAsia" w:hAnsi="Cambria Math"/>
                </w:rPr>
                <m:t>i,t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m,t</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i,t</m:t>
              </m:r>
            </m:sub>
            <m:sup>
              <m:r>
                <w:rPr>
                  <w:rFonts w:ascii="Cambria Math" w:eastAsiaTheme="minorEastAsia" w:hAnsi="Cambria Math"/>
                </w:rPr>
                <m:t>'</m:t>
              </m:r>
            </m:sup>
          </m:sSubSup>
          <m:r>
            <w:rPr>
              <w:rFonts w:ascii="Cambria Math" w:eastAsiaTheme="minorEastAsia" w:hAnsi="Cambria Math"/>
            </w:rPr>
            <m:t>θ+</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i,t+1</m:t>
              </m:r>
            </m:sub>
          </m:sSub>
        </m:oMath>
      </m:oMathPara>
    </w:p>
    <w:p w14:paraId="2CE9F797" w14:textId="6839808C" w:rsidR="00743BA0" w:rsidRDefault="00743BA0" w:rsidP="009D2BF7">
      <w:pPr>
        <w:jc w:val="both"/>
        <w:rPr>
          <w:rFonts w:eastAsiaTheme="minorEastAsia"/>
        </w:rPr>
      </w:pPr>
      <w:r>
        <w:t>If the selection effects are weaker when mark</w:t>
      </w:r>
      <w:r w:rsidR="00252C43">
        <w:noBreakHyphen/>
      </w:r>
      <w:r>
        <w:t xml:space="preserve">ups increase, we would expect the coefficient </w:t>
      </w:r>
      <m:oMath>
        <m:r>
          <w:rPr>
            <w:rFonts w:ascii="Cambria Math" w:eastAsiaTheme="minorEastAsia" w:hAnsi="Cambria Math"/>
          </w:rPr>
          <m:t>γ</m:t>
        </m:r>
      </m:oMath>
      <w:r>
        <w:rPr>
          <w:rFonts w:eastAsiaTheme="minorEastAsia"/>
        </w:rPr>
        <w:t xml:space="preserve"> to be positive.</w:t>
      </w:r>
    </w:p>
    <w:p w14:paraId="26CC285C" w14:textId="22A04C61" w:rsidR="00743BA0" w:rsidRDefault="00743BA0" w:rsidP="009D2BF7">
      <w:pPr>
        <w:jc w:val="both"/>
        <w:rPr>
          <w:rFonts w:eastAsiaTheme="minorEastAsia"/>
        </w:rPr>
      </w:pPr>
      <w:r>
        <w:rPr>
          <w:rFonts w:eastAsiaTheme="minorEastAsia"/>
        </w:rPr>
        <w:t xml:space="preserve">In running these </w:t>
      </w:r>
      <w:proofErr w:type="gramStart"/>
      <w:r>
        <w:rPr>
          <w:rFonts w:eastAsiaTheme="minorEastAsia"/>
        </w:rPr>
        <w:t>regressions</w:t>
      </w:r>
      <w:proofErr w:type="gramEnd"/>
      <w:r>
        <w:rPr>
          <w:rFonts w:eastAsiaTheme="minorEastAsia"/>
        </w:rPr>
        <w:t xml:space="preserve"> I include a number of controls. These include controls for firm size, as well as industry</w:t>
      </w:r>
      <w:r w:rsidR="00252C43">
        <w:rPr>
          <w:rFonts w:eastAsiaTheme="minorEastAsia"/>
        </w:rPr>
        <w:noBreakHyphen/>
      </w:r>
      <w:r>
        <w:rPr>
          <w:rFonts w:eastAsiaTheme="minorEastAsia"/>
        </w:rPr>
        <w:t>by</w:t>
      </w:r>
      <w:r w:rsidR="00252C43">
        <w:rPr>
          <w:rFonts w:eastAsiaTheme="minorEastAsia"/>
        </w:rPr>
        <w:noBreakHyphen/>
      </w:r>
      <w:r>
        <w:rPr>
          <w:rFonts w:eastAsiaTheme="minorEastAsia"/>
        </w:rPr>
        <w:t>year fixed effects, which capture time</w:t>
      </w:r>
      <w:r w:rsidR="00252C43">
        <w:rPr>
          <w:rFonts w:eastAsiaTheme="minorEastAsia"/>
        </w:rPr>
        <w:noBreakHyphen/>
      </w:r>
      <w:r>
        <w:rPr>
          <w:rFonts w:eastAsiaTheme="minorEastAsia"/>
        </w:rPr>
        <w:t>varying industry specific shocks (and capture the direct effect of the industry level mark</w:t>
      </w:r>
      <w:r w:rsidR="00252C43">
        <w:rPr>
          <w:rFonts w:eastAsiaTheme="minorEastAsia"/>
        </w:rPr>
        <w:noBreakHyphen/>
      </w:r>
      <w:r>
        <w:rPr>
          <w:rFonts w:eastAsiaTheme="minorEastAsia"/>
        </w:rPr>
        <w:t>up) as well as national shocks. I also include productivity interacted with an industry dummy. This controls for the possibility that there may be some third factor that affects both the industry</w:t>
      </w:r>
      <w:r w:rsidRPr="00915BB1">
        <w:rPr>
          <w:rFonts w:eastAsiaTheme="minorEastAsia"/>
        </w:rPr>
        <w:t xml:space="preserve"> </w:t>
      </w:r>
      <w:r>
        <w:rPr>
          <w:rFonts w:eastAsiaTheme="minorEastAsia"/>
        </w:rPr>
        <w:t>mark</w:t>
      </w:r>
      <w:r w:rsidR="00252C43">
        <w:rPr>
          <w:rFonts w:eastAsiaTheme="minorEastAsia"/>
        </w:rPr>
        <w:noBreakHyphen/>
      </w:r>
      <w:r>
        <w:rPr>
          <w:rFonts w:eastAsiaTheme="minorEastAsia"/>
        </w:rPr>
        <w:t>ups, and the strength of the selection effects. By including these controls, I am focusing on the effect of changes in mark</w:t>
      </w:r>
      <w:r w:rsidR="00252C43">
        <w:rPr>
          <w:rFonts w:eastAsiaTheme="minorEastAsia"/>
        </w:rPr>
        <w:noBreakHyphen/>
      </w:r>
      <w:r>
        <w:rPr>
          <w:rFonts w:eastAsiaTheme="minorEastAsia"/>
        </w:rPr>
        <w:t>ups on selection</w:t>
      </w:r>
      <w:r w:rsidR="00F31045">
        <w:rPr>
          <w:rFonts w:eastAsiaTheme="minorEastAsia"/>
        </w:rPr>
        <w:t>, limiting concerns about issues in identifying the levels of mark</w:t>
      </w:r>
      <w:r w:rsidR="00252C43">
        <w:rPr>
          <w:rFonts w:eastAsiaTheme="minorEastAsia"/>
        </w:rPr>
        <w:noBreakHyphen/>
      </w:r>
      <w:r w:rsidR="00F31045">
        <w:rPr>
          <w:rFonts w:eastAsiaTheme="minorEastAsia"/>
        </w:rPr>
        <w:t>ups</w:t>
      </w:r>
      <w:r>
        <w:rPr>
          <w:rFonts w:eastAsiaTheme="minorEastAsia"/>
        </w:rPr>
        <w:t>.</w:t>
      </w:r>
      <w:r>
        <w:rPr>
          <w:rStyle w:val="FootnoteReference"/>
          <w:rFonts w:eastAsiaTheme="minorEastAsia"/>
        </w:rPr>
        <w:footnoteReference w:id="16"/>
      </w:r>
    </w:p>
    <w:p w14:paraId="0135165C" w14:textId="76559425" w:rsidR="00743BA0" w:rsidRDefault="00743BA0" w:rsidP="009D2BF7">
      <w:pPr>
        <w:jc w:val="both"/>
        <w:rPr>
          <w:rFonts w:eastAsiaTheme="minorEastAsia"/>
        </w:rPr>
      </w:pPr>
      <w:r>
        <w:rPr>
          <w:rFonts w:eastAsiaTheme="minorEastAsia"/>
        </w:rPr>
        <w:t xml:space="preserve">I run the models using </w:t>
      </w:r>
      <w:r w:rsidR="009D2BF7">
        <w:rPr>
          <w:rFonts w:eastAsiaTheme="minorEastAsia"/>
        </w:rPr>
        <w:t>two</w:t>
      </w:r>
      <w:r>
        <w:rPr>
          <w:rFonts w:eastAsiaTheme="minorEastAsia"/>
        </w:rPr>
        <w:t xml:space="preserve"> different industry mark</w:t>
      </w:r>
      <w:r w:rsidR="00252C43">
        <w:rPr>
          <w:rFonts w:eastAsiaTheme="minorEastAsia"/>
        </w:rPr>
        <w:noBreakHyphen/>
      </w:r>
      <w:r>
        <w:rPr>
          <w:rFonts w:eastAsiaTheme="minorEastAsia"/>
        </w:rPr>
        <w:t>up measures: unweighted mark</w:t>
      </w:r>
      <w:r w:rsidR="00252C43">
        <w:rPr>
          <w:rFonts w:eastAsiaTheme="minorEastAsia"/>
        </w:rPr>
        <w:noBreakHyphen/>
      </w:r>
      <w:r>
        <w:rPr>
          <w:rFonts w:eastAsiaTheme="minorEastAsia"/>
        </w:rPr>
        <w:t>ups</w:t>
      </w:r>
      <w:r w:rsidR="009D2BF7">
        <w:rPr>
          <w:rFonts w:eastAsiaTheme="minorEastAsia"/>
        </w:rPr>
        <w:t xml:space="preserve"> and</w:t>
      </w:r>
      <w:r>
        <w:rPr>
          <w:rFonts w:eastAsiaTheme="minorEastAsia"/>
        </w:rPr>
        <w:t xml:space="preserve"> </w:t>
      </w:r>
      <w:r>
        <w:t>sales</w:t>
      </w:r>
      <w:r w:rsidR="00252C43">
        <w:noBreakHyphen/>
      </w:r>
      <w:r>
        <w:t>weighted mark</w:t>
      </w:r>
      <w:r w:rsidR="00252C43">
        <w:noBreakHyphen/>
      </w:r>
      <w:r>
        <w:rPr>
          <w:rFonts w:eastAsiaTheme="minorEastAsia"/>
        </w:rPr>
        <w:t>ups. I also consider two different measures of productivity. One is firm</w:t>
      </w:r>
      <w:r w:rsidR="00252C43">
        <w:rPr>
          <w:rFonts w:eastAsiaTheme="minorEastAsia"/>
        </w:rPr>
        <w:noBreakHyphen/>
      </w:r>
      <w:r>
        <w:rPr>
          <w:rFonts w:eastAsiaTheme="minorEastAsia"/>
        </w:rPr>
        <w:t>level multi</w:t>
      </w:r>
      <w:r w:rsidR="00252C43">
        <w:rPr>
          <w:rFonts w:eastAsiaTheme="minorEastAsia"/>
        </w:rPr>
        <w:noBreakHyphen/>
      </w:r>
      <w:r>
        <w:rPr>
          <w:rFonts w:eastAsiaTheme="minorEastAsia"/>
        </w:rPr>
        <w:t xml:space="preserve">factor productivity (MFP), taken from the production function estimation. This is the relevant productivity metric in most </w:t>
      </w:r>
      <w:proofErr w:type="gramStart"/>
      <w:r>
        <w:rPr>
          <w:rFonts w:eastAsiaTheme="minorEastAsia"/>
        </w:rPr>
        <w:t>models, and</w:t>
      </w:r>
      <w:proofErr w:type="gramEnd"/>
      <w:r>
        <w:rPr>
          <w:rFonts w:eastAsiaTheme="minorEastAsia"/>
        </w:rPr>
        <w:t xml:space="preserve"> allows me to abstract from the role of capital deepening/shallowing. The second is labour productivity (ratio of value</w:t>
      </w:r>
      <w:r w:rsidR="00252C43">
        <w:rPr>
          <w:rFonts w:eastAsiaTheme="minorEastAsia"/>
        </w:rPr>
        <w:noBreakHyphen/>
      </w:r>
      <w:r>
        <w:rPr>
          <w:rFonts w:eastAsiaTheme="minorEastAsia"/>
        </w:rPr>
        <w:t>added to FTE). This metric is theoretically less appealing. However, it is available for all employing firms, not just firms for whom I can estimate mark</w:t>
      </w:r>
      <w:r w:rsidR="00252C43">
        <w:rPr>
          <w:rFonts w:eastAsiaTheme="minorEastAsia"/>
        </w:rPr>
        <w:noBreakHyphen/>
      </w:r>
      <w:r>
        <w:rPr>
          <w:rFonts w:eastAsiaTheme="minorEastAsia"/>
        </w:rPr>
        <w:t>ups. As such, it allows me to estimate the model over a broader sample.</w:t>
      </w:r>
      <w:r>
        <w:rPr>
          <w:rStyle w:val="FootnoteReference"/>
          <w:rFonts w:eastAsiaTheme="minorEastAsia"/>
        </w:rPr>
        <w:footnoteReference w:id="17"/>
      </w:r>
    </w:p>
    <w:p w14:paraId="5E020CDA" w14:textId="46229260" w:rsidR="00743BA0" w:rsidRDefault="00743BA0" w:rsidP="00017A19">
      <w:pPr>
        <w:jc w:val="both"/>
        <w:rPr>
          <w:rFonts w:eastAsiaTheme="minorEastAsia"/>
        </w:rPr>
      </w:pPr>
      <w:r>
        <w:rPr>
          <w:rFonts w:eastAsiaTheme="minorEastAsia"/>
        </w:rPr>
        <w:t>As an extension, I also examine the relationship between mark</w:t>
      </w:r>
      <w:r w:rsidR="00252C43">
        <w:rPr>
          <w:rFonts w:eastAsiaTheme="minorEastAsia"/>
        </w:rPr>
        <w:noBreakHyphen/>
      </w:r>
      <w:r>
        <w:rPr>
          <w:rFonts w:eastAsiaTheme="minorEastAsia"/>
        </w:rPr>
        <w:t>ups and the rate at which labour flows from less to more productive firms</w:t>
      </w:r>
      <w:r w:rsidR="00252C43">
        <w:rPr>
          <w:rFonts w:eastAsiaTheme="minorEastAsia"/>
        </w:rPr>
        <w:t xml:space="preserve"> — </w:t>
      </w:r>
      <w:r>
        <w:rPr>
          <w:rFonts w:eastAsiaTheme="minorEastAsia"/>
        </w:rPr>
        <w:t>dynamic reallocation. This allows me to consider whether increasing mark</w:t>
      </w:r>
      <w:r w:rsidR="00252C43">
        <w:rPr>
          <w:rFonts w:eastAsiaTheme="minorEastAsia"/>
        </w:rPr>
        <w:noBreakHyphen/>
      </w:r>
      <w:r>
        <w:rPr>
          <w:rFonts w:eastAsiaTheme="minorEastAsia"/>
        </w:rPr>
        <w:t xml:space="preserve">ups could explain the slowing rate of dynamic reallocation in the Australian economy that is documented in Andrews and Hansell (2019). Theory states that this might be the case, as </w:t>
      </w:r>
      <w:r>
        <w:rPr>
          <w:rFonts w:eastAsiaTheme="minorEastAsia"/>
        </w:rPr>
        <w:lastRenderedPageBreak/>
        <w:t>production tends to be less responsive to productivity shocks when mark</w:t>
      </w:r>
      <w:r w:rsidR="00252C43">
        <w:rPr>
          <w:rFonts w:eastAsiaTheme="minorEastAsia"/>
        </w:rPr>
        <w:noBreakHyphen/>
      </w:r>
      <w:r>
        <w:rPr>
          <w:rFonts w:eastAsiaTheme="minorEastAsia"/>
        </w:rPr>
        <w:t>ups and market power are higher.</w:t>
      </w:r>
    </w:p>
    <w:p w14:paraId="7AD4867D" w14:textId="1815C473" w:rsidR="00743BA0" w:rsidRDefault="00743BA0" w:rsidP="00017A19">
      <w:pPr>
        <w:jc w:val="both"/>
        <w:rPr>
          <w:rFonts w:eastAsiaTheme="minorEastAsia"/>
        </w:rPr>
      </w:pPr>
      <w:r>
        <w:rPr>
          <w:rFonts w:eastAsiaTheme="minorEastAsia"/>
        </w:rPr>
        <w:t xml:space="preserve">To do this I replace </w:t>
      </w:r>
      <m:oMath>
        <m:sSub>
          <m:sSubPr>
            <m:ctrlPr>
              <w:rPr>
                <w:rFonts w:ascii="Cambria Math" w:hAnsi="Cambria Math"/>
                <w:i/>
              </w:rPr>
            </m:ctrlPr>
          </m:sSubPr>
          <m:e>
            <m:r>
              <w:rPr>
                <w:rFonts w:ascii="Cambria Math" w:hAnsi="Cambria Math"/>
              </w:rPr>
              <m:t>Exit</m:t>
            </m:r>
          </m:e>
          <m:sub>
            <m:r>
              <w:rPr>
                <w:rFonts w:ascii="Cambria Math" w:hAnsi="Cambria Math"/>
              </w:rPr>
              <m:t>i,t+1</m:t>
            </m:r>
          </m:sub>
        </m:sSub>
      </m:oMath>
      <w:r>
        <w:rPr>
          <w:rFonts w:eastAsiaTheme="minorEastAsia"/>
        </w:rPr>
        <w:t>with the growth in the firm</w:t>
      </w:r>
      <w:r w:rsidR="00252C43">
        <w:rPr>
          <w:rFonts w:eastAsiaTheme="minorEastAsia"/>
        </w:rPr>
        <w:t>’</w:t>
      </w:r>
      <w:r>
        <w:rPr>
          <w:rFonts w:eastAsiaTheme="minorEastAsia"/>
        </w:rPr>
        <w:t>s labour input, defined as:</w:t>
      </w:r>
    </w:p>
    <w:p w14:paraId="463853E2" w14:textId="77777777" w:rsidR="00743BA0" w:rsidRDefault="00247E5F" w:rsidP="00743BA0">
      <w:pPr>
        <w:rPr>
          <w:rFonts w:eastAsiaTheme="minorEastAsia"/>
        </w:rPr>
      </w:pPr>
      <m:oMathPara>
        <m:oMath>
          <m:sSubSup>
            <m:sSubSupPr>
              <m:ctrlPr>
                <w:rPr>
                  <w:rFonts w:ascii="Cambria Math" w:hAnsi="Cambria Math"/>
                  <w:i/>
                </w:rPr>
              </m:ctrlPr>
            </m:sSubSupPr>
            <m:e>
              <m:r>
                <w:rPr>
                  <w:rFonts w:ascii="Cambria Math" w:hAnsi="Cambria Math"/>
                </w:rPr>
                <m:t>g</m:t>
              </m:r>
            </m:e>
            <m:sub>
              <m:r>
                <w:rPr>
                  <w:rFonts w:ascii="Cambria Math" w:hAnsi="Cambria Math"/>
                </w:rPr>
                <m:t>i,t+1</m:t>
              </m:r>
            </m:sub>
            <m:sup>
              <m:r>
                <w:rPr>
                  <w:rFonts w:ascii="Cambria Math" w:hAnsi="Cambria Math"/>
                </w:rPr>
                <m:t>L</m:t>
              </m:r>
            </m:sup>
          </m:sSubSup>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i,t</m:t>
                  </m:r>
                </m:sub>
              </m:sSub>
            </m:num>
            <m:den>
              <m: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i,t</m:t>
                  </m:r>
                </m:sub>
              </m:sSub>
              <m:r>
                <w:rPr>
                  <w:rFonts w:ascii="Cambria Math" w:eastAsiaTheme="minorEastAsia" w:hAnsi="Cambria Math"/>
                </w:rPr>
                <m:t>)</m:t>
              </m:r>
            </m:den>
          </m:f>
        </m:oMath>
      </m:oMathPara>
    </w:p>
    <w:p w14:paraId="79F6E349" w14:textId="195BC604" w:rsidR="00743BA0" w:rsidRDefault="00743BA0" w:rsidP="00017A19">
      <w:pPr>
        <w:jc w:val="both"/>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i,t</m:t>
            </m:r>
          </m:sub>
        </m:sSub>
        <m:r>
          <w:rPr>
            <w:rFonts w:ascii="Cambria Math" w:eastAsiaTheme="minorEastAsia" w:hAnsi="Cambria Math"/>
          </w:rPr>
          <m:t xml:space="preserve"> </m:t>
        </m:r>
      </m:oMath>
      <w:r>
        <w:rPr>
          <w:rFonts w:eastAsiaTheme="minorEastAsia"/>
        </w:rPr>
        <w:t xml:space="preserve">is employment in period </w:t>
      </w:r>
      <w:r>
        <w:rPr>
          <w:rFonts w:eastAsiaTheme="minorEastAsia"/>
          <w:i/>
        </w:rPr>
        <w:t>t</w:t>
      </w:r>
      <w:r>
        <w:rPr>
          <w:rFonts w:eastAsiaTheme="minorEastAsia"/>
        </w:rPr>
        <w:t>. This approximates the log changes, can accommodate entry (2) and exit (</w:t>
      </w:r>
      <w:r w:rsidR="00252C43">
        <w:rPr>
          <w:rFonts w:eastAsiaTheme="minorEastAsia"/>
        </w:rPr>
        <w:noBreakHyphen/>
      </w:r>
      <w:r>
        <w:rPr>
          <w:rFonts w:eastAsiaTheme="minorEastAsia"/>
        </w:rPr>
        <w:t>2)</w:t>
      </w:r>
      <w:r w:rsidR="00252C43">
        <w:rPr>
          <w:rFonts w:eastAsiaTheme="minorEastAsia"/>
        </w:rPr>
        <w:t xml:space="preserve">. </w:t>
      </w:r>
    </w:p>
    <w:p w14:paraId="606D9682" w14:textId="5BC19C46" w:rsidR="00743BA0" w:rsidRDefault="00743BA0" w:rsidP="00017A19">
      <w:pPr>
        <w:jc w:val="both"/>
        <w:rPr>
          <w:rFonts w:eastAsiaTheme="minorEastAsia"/>
        </w:rPr>
      </w:pPr>
      <w:r>
        <w:rPr>
          <w:rFonts w:eastAsiaTheme="minorEastAsia"/>
        </w:rPr>
        <w:t xml:space="preserve">Table </w:t>
      </w:r>
      <w:r w:rsidR="00F31045">
        <w:rPr>
          <w:rFonts w:eastAsiaTheme="minorEastAsia"/>
        </w:rPr>
        <w:t>2</w:t>
      </w:r>
      <w:r>
        <w:rPr>
          <w:rFonts w:eastAsiaTheme="minorEastAsia"/>
        </w:rPr>
        <w:t xml:space="preserve"> summarises the coefficients on the coefficients of interest, </w:t>
      </w:r>
      <m:oMath>
        <m:r>
          <w:rPr>
            <w:rFonts w:ascii="Cambria Math" w:eastAsiaTheme="minorEastAsia" w:hAnsi="Cambria Math"/>
          </w:rPr>
          <m:t>β</m:t>
        </m:r>
      </m:oMath>
      <w:r>
        <w:rPr>
          <w:rFonts w:eastAsiaTheme="minorEastAsia"/>
        </w:rPr>
        <w:t xml:space="preserve"> and </w:t>
      </w:r>
      <m:oMath>
        <m:r>
          <w:rPr>
            <w:rFonts w:ascii="Cambria Math" w:eastAsiaTheme="minorEastAsia" w:hAnsi="Cambria Math"/>
          </w:rPr>
          <m:t>γ</m:t>
        </m:r>
      </m:oMath>
      <w:r>
        <w:rPr>
          <w:rFonts w:eastAsiaTheme="minorEastAsia"/>
        </w:rPr>
        <w:t xml:space="preserve">, across the different models. First focusing on exit, we can see that more productive firms are less likely to exit, as captured by the positive and significant coefficients on </w:t>
      </w:r>
      <m:oMath>
        <m:r>
          <w:rPr>
            <w:rFonts w:ascii="Cambria Math" w:eastAsiaTheme="minorEastAsia" w:hAnsi="Cambria Math"/>
          </w:rPr>
          <m:t>β</m:t>
        </m:r>
      </m:oMath>
      <w:r>
        <w:rPr>
          <w:rFonts w:eastAsiaTheme="minorEastAsia"/>
        </w:rPr>
        <w:t>. But, the coefficient</w:t>
      </w:r>
      <m:oMath>
        <m:r>
          <w:rPr>
            <w:rFonts w:ascii="Cambria Math" w:eastAsiaTheme="minorEastAsia" w:hAnsi="Cambria Math"/>
          </w:rPr>
          <m:t xml:space="preserve"> γ</m:t>
        </m:r>
      </m:oMath>
      <w:r>
        <w:rPr>
          <w:rFonts w:eastAsiaTheme="minorEastAsia"/>
        </w:rPr>
        <w:t xml:space="preserve"> is positive and significant, indicating that selection effects are weaker in industries with increasing mark</w:t>
      </w:r>
      <w:r w:rsidR="00252C43">
        <w:rPr>
          <w:rFonts w:eastAsiaTheme="minorEastAsia"/>
        </w:rPr>
        <w:noBreakHyphen/>
      </w:r>
      <w:r>
        <w:rPr>
          <w:rFonts w:eastAsiaTheme="minorEastAsia"/>
        </w:rPr>
        <w:t>ups. This provides further evidence that increasing mark</w:t>
      </w:r>
      <w:r w:rsidR="00252C43">
        <w:rPr>
          <w:rFonts w:eastAsiaTheme="minorEastAsia"/>
        </w:rPr>
        <w:noBreakHyphen/>
      </w:r>
      <w:r>
        <w:rPr>
          <w:rFonts w:eastAsiaTheme="minorEastAsia"/>
        </w:rPr>
        <w:t>ups have been associated with increasing market power.</w:t>
      </w:r>
    </w:p>
    <w:tbl>
      <w:tblPr>
        <w:tblStyle w:val="TableGrid"/>
        <w:tblW w:w="0" w:type="auto"/>
        <w:tblLook w:val="04A0" w:firstRow="1" w:lastRow="0" w:firstColumn="1" w:lastColumn="0" w:noHBand="0" w:noVBand="1"/>
      </w:tblPr>
      <w:tblGrid>
        <w:gridCol w:w="886"/>
        <w:gridCol w:w="2116"/>
        <w:gridCol w:w="2096"/>
        <w:gridCol w:w="2043"/>
        <w:gridCol w:w="1875"/>
      </w:tblGrid>
      <w:tr w:rsidR="00743BA0" w14:paraId="1A110EE1" w14:textId="77777777" w:rsidTr="00970BD3">
        <w:tc>
          <w:tcPr>
            <w:tcW w:w="9016" w:type="dxa"/>
            <w:gridSpan w:val="5"/>
            <w:tcBorders>
              <w:top w:val="nil"/>
              <w:left w:val="nil"/>
              <w:bottom w:val="single" w:sz="4" w:space="0" w:color="auto"/>
              <w:right w:val="nil"/>
            </w:tcBorders>
          </w:tcPr>
          <w:p w14:paraId="70C393FC" w14:textId="203D0ED6" w:rsidR="00743BA0" w:rsidRPr="00B60CB0" w:rsidRDefault="00743BA0" w:rsidP="00A22163">
            <w:pPr>
              <w:pStyle w:val="TableMainHeading"/>
              <w:rPr>
                <w:rFonts w:eastAsiaTheme="minorEastAsia"/>
              </w:rPr>
            </w:pPr>
            <w:r w:rsidRPr="00B60CB0">
              <w:rPr>
                <w:rFonts w:eastAsiaTheme="minorEastAsia"/>
              </w:rPr>
              <w:t xml:space="preserve">Table </w:t>
            </w:r>
            <w:r w:rsidR="00F31045">
              <w:rPr>
                <w:rFonts w:eastAsiaTheme="minorEastAsia"/>
              </w:rPr>
              <w:t>2</w:t>
            </w:r>
            <w:r w:rsidRPr="00B60CB0">
              <w:rPr>
                <w:rFonts w:eastAsiaTheme="minorEastAsia"/>
              </w:rPr>
              <w:t xml:space="preserve">: Results from </w:t>
            </w:r>
            <w:r>
              <w:rPr>
                <w:rFonts w:eastAsiaTheme="minorEastAsia"/>
              </w:rPr>
              <w:t>Selection and Reallocation Regressions</w:t>
            </w:r>
          </w:p>
        </w:tc>
      </w:tr>
      <w:tr w:rsidR="00970BD3" w14:paraId="59A15411" w14:textId="77777777" w:rsidTr="00970BD3">
        <w:tc>
          <w:tcPr>
            <w:tcW w:w="9016" w:type="dxa"/>
            <w:gridSpan w:val="5"/>
            <w:tcBorders>
              <w:left w:val="nil"/>
              <w:right w:val="nil"/>
            </w:tcBorders>
          </w:tcPr>
          <w:p w14:paraId="68B3ED3E" w14:textId="4B09910D" w:rsidR="00970BD3" w:rsidRPr="00970BD3" w:rsidRDefault="00970BD3" w:rsidP="007F2E4A">
            <w:pPr>
              <w:jc w:val="center"/>
              <w:rPr>
                <w:rFonts w:eastAsiaTheme="minorEastAsia"/>
                <w:b/>
                <w:i/>
              </w:rPr>
            </w:pPr>
            <w:r w:rsidRPr="00970BD3">
              <w:rPr>
                <w:rFonts w:eastAsiaTheme="minorEastAsia"/>
                <w:b/>
                <w:i/>
              </w:rPr>
              <w:t xml:space="preserve">Dependent variable: </w:t>
            </w:r>
            <m:oMath>
              <m:sSub>
                <m:sSubPr>
                  <m:ctrlPr>
                    <w:rPr>
                      <w:rFonts w:ascii="Cambria Math" w:hAnsi="Cambria Math"/>
                      <w:b/>
                      <w:i/>
                    </w:rPr>
                  </m:ctrlPr>
                </m:sSubPr>
                <m:e>
                  <m:r>
                    <m:rPr>
                      <m:sty m:val="bi"/>
                    </m:rPr>
                    <w:rPr>
                      <w:rFonts w:ascii="Cambria Math" w:hAnsi="Cambria Math"/>
                    </w:rPr>
                    <m:t>Exit</m:t>
                  </m:r>
                </m:e>
                <m:sub>
                  <m:r>
                    <m:rPr>
                      <m:sty m:val="bi"/>
                    </m:rPr>
                    <w:rPr>
                      <w:rFonts w:ascii="Cambria Math" w:hAnsi="Cambria Math"/>
                    </w:rPr>
                    <m:t>i,t+1</m:t>
                  </m:r>
                </m:sub>
              </m:sSub>
            </m:oMath>
          </w:p>
        </w:tc>
      </w:tr>
      <w:tr w:rsidR="00743BA0" w14:paraId="6A1ED062" w14:textId="77777777" w:rsidTr="004D1C5A">
        <w:tc>
          <w:tcPr>
            <w:tcW w:w="886" w:type="dxa"/>
            <w:tcBorders>
              <w:left w:val="nil"/>
            </w:tcBorders>
          </w:tcPr>
          <w:p w14:paraId="1B74899C" w14:textId="77777777" w:rsidR="00743BA0" w:rsidRDefault="00743BA0" w:rsidP="007F2E4A">
            <w:pPr>
              <w:rPr>
                <w:rFonts w:eastAsiaTheme="minorEastAsia"/>
              </w:rPr>
            </w:pPr>
          </w:p>
        </w:tc>
        <w:tc>
          <w:tcPr>
            <w:tcW w:w="4212" w:type="dxa"/>
            <w:gridSpan w:val="2"/>
          </w:tcPr>
          <w:p w14:paraId="60CFDE2B" w14:textId="77777777" w:rsidR="00743BA0" w:rsidRPr="00970BD3" w:rsidRDefault="00743BA0" w:rsidP="007F2E4A">
            <w:pPr>
              <w:jc w:val="center"/>
              <w:rPr>
                <w:rFonts w:eastAsiaTheme="minorEastAsia"/>
                <w:i/>
              </w:rPr>
            </w:pPr>
            <w:r w:rsidRPr="00970BD3">
              <w:rPr>
                <w:rFonts w:eastAsiaTheme="minorEastAsia"/>
                <w:i/>
              </w:rPr>
              <w:t>MFP regressions</w:t>
            </w:r>
          </w:p>
        </w:tc>
        <w:tc>
          <w:tcPr>
            <w:tcW w:w="3918" w:type="dxa"/>
            <w:gridSpan w:val="2"/>
            <w:tcBorders>
              <w:right w:val="nil"/>
            </w:tcBorders>
          </w:tcPr>
          <w:p w14:paraId="218AEFD0" w14:textId="77777777" w:rsidR="00743BA0" w:rsidRPr="00970BD3" w:rsidRDefault="00743BA0" w:rsidP="007F2E4A">
            <w:pPr>
              <w:jc w:val="center"/>
              <w:rPr>
                <w:rFonts w:eastAsiaTheme="minorEastAsia"/>
                <w:i/>
              </w:rPr>
            </w:pPr>
            <w:r w:rsidRPr="00970BD3">
              <w:rPr>
                <w:rFonts w:eastAsiaTheme="minorEastAsia"/>
                <w:i/>
              </w:rPr>
              <w:t>Labour productivity regressions</w:t>
            </w:r>
          </w:p>
        </w:tc>
      </w:tr>
      <w:tr w:rsidR="004D1C5A" w14:paraId="288089C7" w14:textId="77777777" w:rsidTr="004D1C5A">
        <w:tc>
          <w:tcPr>
            <w:tcW w:w="886" w:type="dxa"/>
            <w:tcBorders>
              <w:left w:val="nil"/>
            </w:tcBorders>
          </w:tcPr>
          <w:p w14:paraId="3B2D26EE" w14:textId="77777777" w:rsidR="004D1C5A" w:rsidRDefault="004D1C5A" w:rsidP="004D1C5A">
            <w:pPr>
              <w:rPr>
                <w:rFonts w:eastAsiaTheme="minorEastAsia"/>
              </w:rPr>
            </w:pPr>
          </w:p>
        </w:tc>
        <w:tc>
          <w:tcPr>
            <w:tcW w:w="2116" w:type="dxa"/>
          </w:tcPr>
          <w:p w14:paraId="4E3B3E72" w14:textId="4C995279" w:rsidR="004D1C5A" w:rsidRDefault="004D1C5A" w:rsidP="004D1C5A">
            <w:pPr>
              <w:jc w:val="center"/>
              <w:rPr>
                <w:rFonts w:eastAsiaTheme="minorEastAsia"/>
              </w:rPr>
            </w:pPr>
            <w:r>
              <w:rPr>
                <w:rFonts w:eastAsiaTheme="minorEastAsia"/>
              </w:rPr>
              <w:t>Unweighted mark</w:t>
            </w:r>
            <w:r w:rsidR="00252C43">
              <w:rPr>
                <w:rFonts w:eastAsiaTheme="minorEastAsia"/>
              </w:rPr>
              <w:noBreakHyphen/>
            </w:r>
            <w:r>
              <w:rPr>
                <w:rFonts w:eastAsiaTheme="minorEastAsia"/>
              </w:rPr>
              <w:t>up</w:t>
            </w:r>
          </w:p>
        </w:tc>
        <w:tc>
          <w:tcPr>
            <w:tcW w:w="2096" w:type="dxa"/>
          </w:tcPr>
          <w:p w14:paraId="51D767EA" w14:textId="386C2123" w:rsidR="004D1C5A" w:rsidRPr="00A36EF8" w:rsidRDefault="004D1C5A" w:rsidP="004D1C5A">
            <w:pPr>
              <w:jc w:val="center"/>
              <w:rPr>
                <w:rFonts w:eastAsiaTheme="minorEastAsia"/>
                <w:vertAlign w:val="superscript"/>
              </w:rPr>
            </w:pPr>
            <w:r>
              <w:rPr>
                <w:rFonts w:eastAsiaTheme="minorEastAsia"/>
              </w:rPr>
              <w:t>Sales</w:t>
            </w:r>
            <w:r w:rsidR="00252C43">
              <w:rPr>
                <w:rFonts w:eastAsiaTheme="minorEastAsia"/>
              </w:rPr>
              <w:noBreakHyphen/>
            </w:r>
            <w:r>
              <w:rPr>
                <w:rFonts w:eastAsiaTheme="minorEastAsia"/>
              </w:rPr>
              <w:t xml:space="preserve">weighted </w:t>
            </w:r>
            <w:r>
              <w:rPr>
                <w:rFonts w:eastAsiaTheme="minorEastAsia"/>
              </w:rPr>
              <w:br/>
              <w:t>mark</w:t>
            </w:r>
            <w:r w:rsidR="00252C43">
              <w:rPr>
                <w:rFonts w:eastAsiaTheme="minorEastAsia"/>
              </w:rPr>
              <w:noBreakHyphen/>
            </w:r>
            <w:r>
              <w:rPr>
                <w:rFonts w:eastAsiaTheme="minorEastAsia"/>
              </w:rPr>
              <w:t>up</w:t>
            </w:r>
          </w:p>
        </w:tc>
        <w:tc>
          <w:tcPr>
            <w:tcW w:w="2043" w:type="dxa"/>
          </w:tcPr>
          <w:p w14:paraId="4FBA674E" w14:textId="621A2827" w:rsidR="004D1C5A" w:rsidRDefault="004D1C5A" w:rsidP="004D1C5A">
            <w:pPr>
              <w:jc w:val="center"/>
              <w:rPr>
                <w:rFonts w:eastAsiaTheme="minorEastAsia"/>
              </w:rPr>
            </w:pPr>
            <w:r>
              <w:rPr>
                <w:rFonts w:eastAsiaTheme="minorEastAsia"/>
              </w:rPr>
              <w:t>Unweighted mark</w:t>
            </w:r>
            <w:r w:rsidR="00252C43">
              <w:rPr>
                <w:rFonts w:eastAsiaTheme="minorEastAsia"/>
              </w:rPr>
              <w:noBreakHyphen/>
            </w:r>
            <w:r>
              <w:rPr>
                <w:rFonts w:eastAsiaTheme="minorEastAsia"/>
              </w:rPr>
              <w:t>up</w:t>
            </w:r>
          </w:p>
        </w:tc>
        <w:tc>
          <w:tcPr>
            <w:tcW w:w="1875" w:type="dxa"/>
            <w:tcBorders>
              <w:right w:val="nil"/>
            </w:tcBorders>
          </w:tcPr>
          <w:p w14:paraId="3D19F95F" w14:textId="0FF4C85F" w:rsidR="004D1C5A" w:rsidRDefault="004D1C5A" w:rsidP="004D1C5A">
            <w:pPr>
              <w:jc w:val="center"/>
              <w:rPr>
                <w:rFonts w:eastAsiaTheme="minorEastAsia"/>
              </w:rPr>
            </w:pPr>
            <w:r>
              <w:rPr>
                <w:rFonts w:eastAsiaTheme="minorEastAsia"/>
              </w:rPr>
              <w:t>Sales</w:t>
            </w:r>
            <w:r w:rsidR="00252C43">
              <w:rPr>
                <w:rFonts w:eastAsiaTheme="minorEastAsia"/>
              </w:rPr>
              <w:noBreakHyphen/>
            </w:r>
            <w:r>
              <w:rPr>
                <w:rFonts w:eastAsiaTheme="minorEastAsia"/>
              </w:rPr>
              <w:t xml:space="preserve">weighted </w:t>
            </w:r>
            <w:r>
              <w:rPr>
                <w:rFonts w:eastAsiaTheme="minorEastAsia"/>
              </w:rPr>
              <w:br/>
              <w:t>mark</w:t>
            </w:r>
            <w:r w:rsidR="00252C43">
              <w:rPr>
                <w:rFonts w:eastAsiaTheme="minorEastAsia"/>
              </w:rPr>
              <w:noBreakHyphen/>
            </w:r>
            <w:r>
              <w:rPr>
                <w:rFonts w:eastAsiaTheme="minorEastAsia"/>
              </w:rPr>
              <w:t>up</w:t>
            </w:r>
          </w:p>
        </w:tc>
      </w:tr>
      <w:tr w:rsidR="00743BA0" w14:paraId="16A800CB" w14:textId="77777777" w:rsidTr="004D1C5A">
        <w:tc>
          <w:tcPr>
            <w:tcW w:w="886" w:type="dxa"/>
            <w:tcBorders>
              <w:left w:val="nil"/>
            </w:tcBorders>
          </w:tcPr>
          <w:p w14:paraId="66327015" w14:textId="0663B281" w:rsidR="00743BA0" w:rsidRDefault="00C700EF" w:rsidP="007F2E4A">
            <w:pPr>
              <w:rPr>
                <w:rFonts w:eastAsiaTheme="minorEastAsia"/>
              </w:rPr>
            </w:pPr>
            <w:r>
              <w:rPr>
                <w:rFonts w:eastAsiaTheme="minorEastAsia"/>
              </w:rPr>
              <w:t>Β</w:t>
            </w:r>
          </w:p>
        </w:tc>
        <w:tc>
          <w:tcPr>
            <w:tcW w:w="2116" w:type="dxa"/>
          </w:tcPr>
          <w:p w14:paraId="3802B8D6" w14:textId="6A6B5549" w:rsidR="00743BA0" w:rsidRDefault="00252C43" w:rsidP="007F2E4A">
            <w:pPr>
              <w:jc w:val="center"/>
              <w:rPr>
                <w:rFonts w:eastAsiaTheme="minorEastAsia"/>
              </w:rPr>
            </w:pPr>
            <w:r>
              <w:rPr>
                <w:rFonts w:eastAsiaTheme="minorEastAsia"/>
              </w:rPr>
              <w:noBreakHyphen/>
            </w:r>
            <w:r w:rsidR="00743BA0">
              <w:rPr>
                <w:rFonts w:eastAsiaTheme="minorEastAsia"/>
              </w:rPr>
              <w:t>0.283***</w:t>
            </w:r>
          </w:p>
        </w:tc>
        <w:tc>
          <w:tcPr>
            <w:tcW w:w="2096" w:type="dxa"/>
          </w:tcPr>
          <w:p w14:paraId="5B79B019" w14:textId="3702FD92" w:rsidR="00743BA0" w:rsidRDefault="00252C43" w:rsidP="007F2E4A">
            <w:pPr>
              <w:jc w:val="center"/>
              <w:rPr>
                <w:rFonts w:eastAsiaTheme="minorEastAsia"/>
              </w:rPr>
            </w:pPr>
            <w:r>
              <w:rPr>
                <w:rFonts w:eastAsiaTheme="minorEastAsia"/>
              </w:rPr>
              <w:noBreakHyphen/>
            </w:r>
            <w:r w:rsidR="00743BA0">
              <w:rPr>
                <w:rFonts w:eastAsiaTheme="minorEastAsia"/>
              </w:rPr>
              <w:t>0.156***</w:t>
            </w:r>
          </w:p>
        </w:tc>
        <w:tc>
          <w:tcPr>
            <w:tcW w:w="2043" w:type="dxa"/>
          </w:tcPr>
          <w:p w14:paraId="66659E6C" w14:textId="45E6134B" w:rsidR="00743BA0" w:rsidRDefault="00252C43" w:rsidP="007F2E4A">
            <w:pPr>
              <w:jc w:val="center"/>
              <w:rPr>
                <w:rFonts w:eastAsiaTheme="minorEastAsia"/>
              </w:rPr>
            </w:pPr>
            <w:r>
              <w:rPr>
                <w:rFonts w:eastAsiaTheme="minorEastAsia"/>
              </w:rPr>
              <w:noBreakHyphen/>
            </w:r>
            <w:r w:rsidR="00743BA0">
              <w:rPr>
                <w:rFonts w:eastAsiaTheme="minorEastAsia"/>
              </w:rPr>
              <w:t>0.031***</w:t>
            </w:r>
          </w:p>
        </w:tc>
        <w:tc>
          <w:tcPr>
            <w:tcW w:w="1875" w:type="dxa"/>
            <w:tcBorders>
              <w:right w:val="nil"/>
            </w:tcBorders>
          </w:tcPr>
          <w:p w14:paraId="637B924A" w14:textId="6F037963" w:rsidR="00743BA0" w:rsidRDefault="00252C43" w:rsidP="007F2E4A">
            <w:pPr>
              <w:jc w:val="center"/>
              <w:rPr>
                <w:rFonts w:eastAsiaTheme="minorEastAsia"/>
              </w:rPr>
            </w:pPr>
            <w:r>
              <w:rPr>
                <w:rFonts w:eastAsiaTheme="minorEastAsia"/>
              </w:rPr>
              <w:noBreakHyphen/>
            </w:r>
            <w:r w:rsidR="00743BA0">
              <w:rPr>
                <w:rFonts w:eastAsiaTheme="minorEastAsia"/>
              </w:rPr>
              <w:t>0.013***</w:t>
            </w:r>
          </w:p>
        </w:tc>
      </w:tr>
      <w:tr w:rsidR="00743BA0" w14:paraId="7D9EA0D2" w14:textId="77777777" w:rsidTr="004D1C5A">
        <w:tc>
          <w:tcPr>
            <w:tcW w:w="886" w:type="dxa"/>
            <w:tcBorders>
              <w:left w:val="nil"/>
            </w:tcBorders>
          </w:tcPr>
          <w:p w14:paraId="46333267" w14:textId="77777777" w:rsidR="00743BA0" w:rsidRDefault="00743BA0" w:rsidP="007F2E4A">
            <w:pPr>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2116" w:type="dxa"/>
          </w:tcPr>
          <w:p w14:paraId="35217E46" w14:textId="77777777" w:rsidR="00743BA0" w:rsidRDefault="00743BA0" w:rsidP="007F2E4A">
            <w:pPr>
              <w:jc w:val="center"/>
              <w:rPr>
                <w:rFonts w:eastAsiaTheme="minorEastAsia"/>
              </w:rPr>
            </w:pPr>
            <w:r>
              <w:rPr>
                <w:rFonts w:eastAsiaTheme="minorEastAsia"/>
              </w:rPr>
              <w:t>(0.054)</w:t>
            </w:r>
          </w:p>
        </w:tc>
        <w:tc>
          <w:tcPr>
            <w:tcW w:w="2096" w:type="dxa"/>
          </w:tcPr>
          <w:p w14:paraId="60F609A3" w14:textId="77777777" w:rsidR="00743BA0" w:rsidRDefault="00743BA0" w:rsidP="007F2E4A">
            <w:pPr>
              <w:jc w:val="center"/>
              <w:rPr>
                <w:rFonts w:eastAsiaTheme="minorEastAsia"/>
              </w:rPr>
            </w:pPr>
            <w:r>
              <w:rPr>
                <w:rFonts w:eastAsiaTheme="minorEastAsia"/>
              </w:rPr>
              <w:t>(0.026)</w:t>
            </w:r>
          </w:p>
        </w:tc>
        <w:tc>
          <w:tcPr>
            <w:tcW w:w="2043" w:type="dxa"/>
          </w:tcPr>
          <w:p w14:paraId="59DC939F" w14:textId="77777777" w:rsidR="00743BA0" w:rsidRDefault="00743BA0" w:rsidP="007F2E4A">
            <w:pPr>
              <w:jc w:val="center"/>
              <w:rPr>
                <w:rFonts w:eastAsiaTheme="minorEastAsia"/>
              </w:rPr>
            </w:pPr>
            <w:r>
              <w:rPr>
                <w:rFonts w:eastAsiaTheme="minorEastAsia"/>
              </w:rPr>
              <w:t>(0.007)</w:t>
            </w:r>
          </w:p>
        </w:tc>
        <w:tc>
          <w:tcPr>
            <w:tcW w:w="1875" w:type="dxa"/>
            <w:tcBorders>
              <w:right w:val="nil"/>
            </w:tcBorders>
          </w:tcPr>
          <w:p w14:paraId="7E1819B1" w14:textId="77777777" w:rsidR="00743BA0" w:rsidRDefault="00743BA0" w:rsidP="007F2E4A">
            <w:pPr>
              <w:jc w:val="center"/>
              <w:rPr>
                <w:rFonts w:eastAsiaTheme="minorEastAsia"/>
              </w:rPr>
            </w:pPr>
            <w:r>
              <w:rPr>
                <w:rFonts w:eastAsiaTheme="minorEastAsia"/>
              </w:rPr>
              <w:t>(0.003)</w:t>
            </w:r>
          </w:p>
        </w:tc>
      </w:tr>
      <w:tr w:rsidR="00743BA0" w14:paraId="1EDCAFFE" w14:textId="77777777" w:rsidTr="004D1C5A">
        <w:tc>
          <w:tcPr>
            <w:tcW w:w="886" w:type="dxa"/>
            <w:tcBorders>
              <w:left w:val="nil"/>
            </w:tcBorders>
          </w:tcPr>
          <w:p w14:paraId="498C8C81" w14:textId="77777777" w:rsidR="00743BA0" w:rsidRPr="00B60CB0" w:rsidRDefault="00743BA0" w:rsidP="007F2E4A">
            <w:pPr>
              <w:rPr>
                <w:rFonts w:eastAsiaTheme="minorEastAsia"/>
              </w:rPr>
            </w:pPr>
            <m:oMathPara>
              <m:oMathParaPr>
                <m:jc m:val="left"/>
              </m:oMathParaPr>
              <m:oMath>
                <m:r>
                  <w:rPr>
                    <w:rFonts w:ascii="Cambria Math" w:eastAsiaTheme="minorEastAsia" w:hAnsi="Cambria Math"/>
                  </w:rPr>
                  <m:t>γ</m:t>
                </m:r>
              </m:oMath>
            </m:oMathPara>
          </w:p>
        </w:tc>
        <w:tc>
          <w:tcPr>
            <w:tcW w:w="2116" w:type="dxa"/>
          </w:tcPr>
          <w:p w14:paraId="2FF70037" w14:textId="77777777" w:rsidR="00743BA0" w:rsidRDefault="00743BA0" w:rsidP="007F2E4A">
            <w:pPr>
              <w:jc w:val="center"/>
              <w:rPr>
                <w:rFonts w:eastAsiaTheme="minorEastAsia"/>
              </w:rPr>
            </w:pPr>
            <w:r>
              <w:rPr>
                <w:rFonts w:eastAsiaTheme="minorEastAsia"/>
              </w:rPr>
              <w:t>0.104**</w:t>
            </w:r>
          </w:p>
        </w:tc>
        <w:tc>
          <w:tcPr>
            <w:tcW w:w="2096" w:type="dxa"/>
          </w:tcPr>
          <w:p w14:paraId="31CFFF2B" w14:textId="77777777" w:rsidR="00743BA0" w:rsidRDefault="00743BA0" w:rsidP="007F2E4A">
            <w:pPr>
              <w:jc w:val="center"/>
              <w:rPr>
                <w:rFonts w:eastAsiaTheme="minorEastAsia"/>
              </w:rPr>
            </w:pPr>
            <w:r>
              <w:rPr>
                <w:rFonts w:eastAsiaTheme="minorEastAsia"/>
              </w:rPr>
              <w:t>0.0106</w:t>
            </w:r>
          </w:p>
        </w:tc>
        <w:tc>
          <w:tcPr>
            <w:tcW w:w="2043" w:type="dxa"/>
          </w:tcPr>
          <w:p w14:paraId="137CEF83" w14:textId="77777777" w:rsidR="00743BA0" w:rsidRDefault="00743BA0" w:rsidP="007F2E4A">
            <w:pPr>
              <w:jc w:val="center"/>
              <w:rPr>
                <w:rFonts w:eastAsiaTheme="minorEastAsia"/>
              </w:rPr>
            </w:pPr>
            <w:r>
              <w:rPr>
                <w:rFonts w:eastAsiaTheme="minorEastAsia"/>
              </w:rPr>
              <w:t>0.018***</w:t>
            </w:r>
          </w:p>
        </w:tc>
        <w:tc>
          <w:tcPr>
            <w:tcW w:w="1875" w:type="dxa"/>
            <w:tcBorders>
              <w:right w:val="nil"/>
            </w:tcBorders>
          </w:tcPr>
          <w:p w14:paraId="3AFD34BB" w14:textId="77777777" w:rsidR="00743BA0" w:rsidRDefault="00743BA0" w:rsidP="007F2E4A">
            <w:pPr>
              <w:jc w:val="center"/>
              <w:rPr>
                <w:rFonts w:eastAsiaTheme="minorEastAsia"/>
              </w:rPr>
            </w:pPr>
            <w:r>
              <w:rPr>
                <w:rFonts w:eastAsiaTheme="minorEastAsia"/>
              </w:rPr>
              <w:t>0.005**</w:t>
            </w:r>
          </w:p>
        </w:tc>
      </w:tr>
      <w:tr w:rsidR="00743BA0" w14:paraId="1EEADDCF" w14:textId="77777777" w:rsidTr="004D1C5A">
        <w:tc>
          <w:tcPr>
            <w:tcW w:w="886" w:type="dxa"/>
            <w:tcBorders>
              <w:left w:val="nil"/>
              <w:bottom w:val="single" w:sz="4" w:space="0" w:color="auto"/>
            </w:tcBorders>
          </w:tcPr>
          <w:p w14:paraId="135876BF" w14:textId="77777777" w:rsidR="00743BA0" w:rsidRDefault="00743BA0" w:rsidP="009D1003">
            <w:pPr>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2116" w:type="dxa"/>
            <w:tcBorders>
              <w:bottom w:val="single" w:sz="4" w:space="0" w:color="auto"/>
            </w:tcBorders>
          </w:tcPr>
          <w:p w14:paraId="43D03E33" w14:textId="77777777" w:rsidR="00743BA0" w:rsidRDefault="00743BA0" w:rsidP="007F2E4A">
            <w:pPr>
              <w:jc w:val="center"/>
              <w:rPr>
                <w:rFonts w:eastAsiaTheme="minorEastAsia"/>
              </w:rPr>
            </w:pPr>
            <w:r>
              <w:rPr>
                <w:rFonts w:eastAsiaTheme="minorEastAsia"/>
              </w:rPr>
              <w:t>(0.040)</w:t>
            </w:r>
          </w:p>
        </w:tc>
        <w:tc>
          <w:tcPr>
            <w:tcW w:w="2096" w:type="dxa"/>
            <w:tcBorders>
              <w:bottom w:val="single" w:sz="4" w:space="0" w:color="auto"/>
            </w:tcBorders>
          </w:tcPr>
          <w:p w14:paraId="26EF08F0" w14:textId="77777777" w:rsidR="00743BA0" w:rsidRDefault="00743BA0" w:rsidP="007F2E4A">
            <w:pPr>
              <w:jc w:val="center"/>
              <w:rPr>
                <w:rFonts w:eastAsiaTheme="minorEastAsia"/>
              </w:rPr>
            </w:pPr>
            <w:r>
              <w:rPr>
                <w:rFonts w:eastAsiaTheme="minorEastAsia"/>
              </w:rPr>
              <w:t>(0.021)</w:t>
            </w:r>
          </w:p>
        </w:tc>
        <w:tc>
          <w:tcPr>
            <w:tcW w:w="2043" w:type="dxa"/>
            <w:tcBorders>
              <w:bottom w:val="single" w:sz="4" w:space="0" w:color="auto"/>
            </w:tcBorders>
          </w:tcPr>
          <w:p w14:paraId="3B36B3EF" w14:textId="77777777" w:rsidR="00743BA0" w:rsidRDefault="00743BA0" w:rsidP="007F2E4A">
            <w:pPr>
              <w:jc w:val="center"/>
              <w:rPr>
                <w:rFonts w:eastAsiaTheme="minorEastAsia"/>
              </w:rPr>
            </w:pPr>
            <w:r>
              <w:rPr>
                <w:rFonts w:eastAsiaTheme="minorEastAsia"/>
              </w:rPr>
              <w:t>(0.005)</w:t>
            </w:r>
          </w:p>
        </w:tc>
        <w:tc>
          <w:tcPr>
            <w:tcW w:w="1875" w:type="dxa"/>
            <w:tcBorders>
              <w:bottom w:val="single" w:sz="4" w:space="0" w:color="auto"/>
              <w:right w:val="nil"/>
            </w:tcBorders>
          </w:tcPr>
          <w:p w14:paraId="3CA19C02" w14:textId="77777777" w:rsidR="00743BA0" w:rsidRDefault="00743BA0" w:rsidP="007F2E4A">
            <w:pPr>
              <w:jc w:val="center"/>
              <w:rPr>
                <w:rFonts w:eastAsiaTheme="minorEastAsia"/>
              </w:rPr>
            </w:pPr>
            <w:r>
              <w:rPr>
                <w:rFonts w:eastAsiaTheme="minorEastAsia"/>
              </w:rPr>
              <w:t>(0.002)</w:t>
            </w:r>
          </w:p>
        </w:tc>
      </w:tr>
      <w:tr w:rsidR="00970BD3" w14:paraId="0B54FF94" w14:textId="77777777" w:rsidTr="004D1C5A">
        <w:tc>
          <w:tcPr>
            <w:tcW w:w="9016" w:type="dxa"/>
            <w:gridSpan w:val="5"/>
            <w:tcBorders>
              <w:left w:val="nil"/>
              <w:right w:val="nil"/>
            </w:tcBorders>
          </w:tcPr>
          <w:p w14:paraId="4ADC9535" w14:textId="7FDED45D" w:rsidR="00970BD3" w:rsidRPr="00970BD3" w:rsidRDefault="00970BD3" w:rsidP="007F2E4A">
            <w:pPr>
              <w:jc w:val="center"/>
              <w:rPr>
                <w:rFonts w:eastAsiaTheme="minorEastAsia"/>
                <w:b/>
                <w:i/>
              </w:rPr>
            </w:pPr>
            <w:r w:rsidRPr="00970BD3">
              <w:rPr>
                <w:rFonts w:eastAsiaTheme="minorEastAsia"/>
                <w:b/>
                <w:i/>
              </w:rPr>
              <w:t xml:space="preserve">Dependent Variable: </w:t>
            </w:r>
            <m:oMath>
              <m:sSubSup>
                <m:sSubSupPr>
                  <m:ctrlPr>
                    <w:rPr>
                      <w:rFonts w:ascii="Cambria Math" w:hAnsi="Cambria Math"/>
                      <w:b/>
                      <w:i/>
                    </w:rPr>
                  </m:ctrlPr>
                </m:sSubSupPr>
                <m:e>
                  <m:r>
                    <m:rPr>
                      <m:sty m:val="bi"/>
                    </m:rPr>
                    <w:rPr>
                      <w:rFonts w:ascii="Cambria Math" w:hAnsi="Cambria Math"/>
                    </w:rPr>
                    <m:t>g</m:t>
                  </m:r>
                </m:e>
                <m:sub>
                  <m:r>
                    <m:rPr>
                      <m:sty m:val="bi"/>
                    </m:rPr>
                    <w:rPr>
                      <w:rFonts w:ascii="Cambria Math" w:hAnsi="Cambria Math"/>
                    </w:rPr>
                    <m:t>i,t+1</m:t>
                  </m:r>
                </m:sub>
                <m:sup>
                  <m:r>
                    <m:rPr>
                      <m:sty m:val="bi"/>
                    </m:rPr>
                    <w:rPr>
                      <w:rFonts w:ascii="Cambria Math" w:hAnsi="Cambria Math"/>
                    </w:rPr>
                    <m:t>L</m:t>
                  </m:r>
                </m:sup>
              </m:sSubSup>
            </m:oMath>
          </w:p>
        </w:tc>
      </w:tr>
      <w:tr w:rsidR="00970BD3" w14:paraId="53B8E361" w14:textId="77777777" w:rsidTr="004D1C5A">
        <w:tc>
          <w:tcPr>
            <w:tcW w:w="886" w:type="dxa"/>
            <w:tcBorders>
              <w:left w:val="nil"/>
            </w:tcBorders>
          </w:tcPr>
          <w:p w14:paraId="3608FF37" w14:textId="72C78E9E" w:rsidR="00970BD3" w:rsidRDefault="00970BD3" w:rsidP="00970BD3">
            <w:pPr>
              <w:rPr>
                <w:rFonts w:eastAsiaTheme="minorEastAsia"/>
              </w:rPr>
            </w:pPr>
          </w:p>
        </w:tc>
        <w:tc>
          <w:tcPr>
            <w:tcW w:w="4212" w:type="dxa"/>
            <w:gridSpan w:val="2"/>
          </w:tcPr>
          <w:p w14:paraId="62234388" w14:textId="7E3B3B7F" w:rsidR="00970BD3" w:rsidRDefault="00970BD3" w:rsidP="00970BD3">
            <w:pPr>
              <w:jc w:val="center"/>
              <w:rPr>
                <w:rFonts w:eastAsiaTheme="minorEastAsia"/>
              </w:rPr>
            </w:pPr>
            <w:r w:rsidRPr="00970BD3">
              <w:rPr>
                <w:rFonts w:eastAsiaTheme="minorEastAsia"/>
                <w:i/>
              </w:rPr>
              <w:t>MFP regressions</w:t>
            </w:r>
          </w:p>
        </w:tc>
        <w:tc>
          <w:tcPr>
            <w:tcW w:w="3918" w:type="dxa"/>
            <w:gridSpan w:val="2"/>
            <w:tcBorders>
              <w:right w:val="nil"/>
            </w:tcBorders>
          </w:tcPr>
          <w:p w14:paraId="7D0213A7" w14:textId="05ADACB7" w:rsidR="00970BD3" w:rsidRDefault="00970BD3" w:rsidP="00970BD3">
            <w:pPr>
              <w:jc w:val="center"/>
              <w:rPr>
                <w:rFonts w:eastAsiaTheme="minorEastAsia"/>
              </w:rPr>
            </w:pPr>
            <w:r w:rsidRPr="00970BD3">
              <w:rPr>
                <w:rFonts w:eastAsiaTheme="minorEastAsia"/>
                <w:i/>
              </w:rPr>
              <w:t>Labour productivity regressions</w:t>
            </w:r>
          </w:p>
        </w:tc>
      </w:tr>
      <w:tr w:rsidR="004D1C5A" w14:paraId="799C2E2A" w14:textId="77777777" w:rsidTr="004D1C5A">
        <w:tc>
          <w:tcPr>
            <w:tcW w:w="886" w:type="dxa"/>
            <w:tcBorders>
              <w:left w:val="nil"/>
            </w:tcBorders>
          </w:tcPr>
          <w:p w14:paraId="19C71E44" w14:textId="77777777" w:rsidR="004D1C5A" w:rsidRDefault="004D1C5A" w:rsidP="004D1C5A">
            <w:pPr>
              <w:rPr>
                <w:rFonts w:eastAsiaTheme="minorEastAsia"/>
              </w:rPr>
            </w:pPr>
          </w:p>
        </w:tc>
        <w:tc>
          <w:tcPr>
            <w:tcW w:w="2116" w:type="dxa"/>
          </w:tcPr>
          <w:p w14:paraId="01021A66" w14:textId="1736C00B" w:rsidR="004D1C5A" w:rsidRDefault="004D1C5A" w:rsidP="004D1C5A">
            <w:pPr>
              <w:jc w:val="center"/>
              <w:rPr>
                <w:rFonts w:eastAsiaTheme="minorEastAsia"/>
              </w:rPr>
            </w:pPr>
            <w:r>
              <w:rPr>
                <w:rFonts w:eastAsiaTheme="minorEastAsia"/>
              </w:rPr>
              <w:t>Unweighted mark</w:t>
            </w:r>
            <w:r w:rsidR="00252C43">
              <w:rPr>
                <w:rFonts w:eastAsiaTheme="minorEastAsia"/>
              </w:rPr>
              <w:noBreakHyphen/>
            </w:r>
            <w:r>
              <w:rPr>
                <w:rFonts w:eastAsiaTheme="minorEastAsia"/>
              </w:rPr>
              <w:t>up</w:t>
            </w:r>
          </w:p>
        </w:tc>
        <w:tc>
          <w:tcPr>
            <w:tcW w:w="2096" w:type="dxa"/>
          </w:tcPr>
          <w:p w14:paraId="48BB5B6C" w14:textId="0B677BC8" w:rsidR="004D1C5A" w:rsidRDefault="004D1C5A" w:rsidP="004D1C5A">
            <w:pPr>
              <w:jc w:val="center"/>
              <w:rPr>
                <w:rFonts w:eastAsiaTheme="minorEastAsia"/>
              </w:rPr>
            </w:pPr>
            <w:r>
              <w:rPr>
                <w:rFonts w:eastAsiaTheme="minorEastAsia"/>
              </w:rPr>
              <w:t>Sales</w:t>
            </w:r>
            <w:r w:rsidR="00252C43">
              <w:rPr>
                <w:rFonts w:eastAsiaTheme="minorEastAsia"/>
              </w:rPr>
              <w:noBreakHyphen/>
            </w:r>
            <w:r>
              <w:rPr>
                <w:rFonts w:eastAsiaTheme="minorEastAsia"/>
              </w:rPr>
              <w:t xml:space="preserve">weighted </w:t>
            </w:r>
            <w:r>
              <w:rPr>
                <w:rFonts w:eastAsiaTheme="minorEastAsia"/>
              </w:rPr>
              <w:br/>
              <w:t>mark</w:t>
            </w:r>
            <w:r w:rsidR="00252C43">
              <w:rPr>
                <w:rFonts w:eastAsiaTheme="minorEastAsia"/>
              </w:rPr>
              <w:noBreakHyphen/>
            </w:r>
            <w:r>
              <w:rPr>
                <w:rFonts w:eastAsiaTheme="minorEastAsia"/>
              </w:rPr>
              <w:t>up</w:t>
            </w:r>
          </w:p>
        </w:tc>
        <w:tc>
          <w:tcPr>
            <w:tcW w:w="2043" w:type="dxa"/>
          </w:tcPr>
          <w:p w14:paraId="56AF2A0E" w14:textId="6BF2B280" w:rsidR="004D1C5A" w:rsidRDefault="004D1C5A" w:rsidP="004D1C5A">
            <w:pPr>
              <w:jc w:val="center"/>
              <w:rPr>
                <w:rFonts w:eastAsiaTheme="minorEastAsia"/>
              </w:rPr>
            </w:pPr>
            <w:r>
              <w:rPr>
                <w:rFonts w:eastAsiaTheme="minorEastAsia"/>
              </w:rPr>
              <w:t>Unweighted mark</w:t>
            </w:r>
            <w:r w:rsidR="00252C43">
              <w:rPr>
                <w:rFonts w:eastAsiaTheme="minorEastAsia"/>
              </w:rPr>
              <w:noBreakHyphen/>
            </w:r>
            <w:r>
              <w:rPr>
                <w:rFonts w:eastAsiaTheme="minorEastAsia"/>
              </w:rPr>
              <w:t>up</w:t>
            </w:r>
          </w:p>
        </w:tc>
        <w:tc>
          <w:tcPr>
            <w:tcW w:w="1875" w:type="dxa"/>
            <w:tcBorders>
              <w:right w:val="nil"/>
            </w:tcBorders>
          </w:tcPr>
          <w:p w14:paraId="06E0D01A" w14:textId="5CBBCF10" w:rsidR="004D1C5A" w:rsidRDefault="004D1C5A" w:rsidP="004D1C5A">
            <w:pPr>
              <w:jc w:val="center"/>
              <w:rPr>
                <w:rFonts w:eastAsiaTheme="minorEastAsia"/>
              </w:rPr>
            </w:pPr>
            <w:r>
              <w:rPr>
                <w:rFonts w:eastAsiaTheme="minorEastAsia"/>
              </w:rPr>
              <w:t>Sales</w:t>
            </w:r>
            <w:r w:rsidR="00252C43">
              <w:rPr>
                <w:rFonts w:eastAsiaTheme="minorEastAsia"/>
              </w:rPr>
              <w:noBreakHyphen/>
            </w:r>
            <w:r>
              <w:rPr>
                <w:rFonts w:eastAsiaTheme="minorEastAsia"/>
              </w:rPr>
              <w:t xml:space="preserve">weighted </w:t>
            </w:r>
            <w:r>
              <w:rPr>
                <w:rFonts w:eastAsiaTheme="minorEastAsia"/>
              </w:rPr>
              <w:br/>
              <w:t>mark</w:t>
            </w:r>
            <w:r w:rsidR="00252C43">
              <w:rPr>
                <w:rFonts w:eastAsiaTheme="minorEastAsia"/>
              </w:rPr>
              <w:noBreakHyphen/>
            </w:r>
            <w:r>
              <w:rPr>
                <w:rFonts w:eastAsiaTheme="minorEastAsia"/>
              </w:rPr>
              <w:t>up</w:t>
            </w:r>
          </w:p>
        </w:tc>
      </w:tr>
      <w:tr w:rsidR="00743BA0" w14:paraId="7A80DF42" w14:textId="77777777" w:rsidTr="004D1C5A">
        <w:tc>
          <w:tcPr>
            <w:tcW w:w="886" w:type="dxa"/>
            <w:tcBorders>
              <w:left w:val="nil"/>
            </w:tcBorders>
          </w:tcPr>
          <w:p w14:paraId="7C48DC6C" w14:textId="3EDDA9E6" w:rsidR="00743BA0" w:rsidRDefault="00743BA0" w:rsidP="00743BA0">
            <w:pPr>
              <w:rPr>
                <w:rFonts w:eastAsiaTheme="minorEastAsia"/>
              </w:rPr>
            </w:pPr>
            <w:r>
              <w:rPr>
                <w:rFonts w:eastAsiaTheme="minorEastAsia"/>
              </w:rPr>
              <w:t>β</w:t>
            </w:r>
          </w:p>
        </w:tc>
        <w:tc>
          <w:tcPr>
            <w:tcW w:w="2116" w:type="dxa"/>
          </w:tcPr>
          <w:p w14:paraId="123D0376" w14:textId="58CBB7D1" w:rsidR="00743BA0" w:rsidRDefault="00743BA0" w:rsidP="00743BA0">
            <w:pPr>
              <w:jc w:val="center"/>
              <w:rPr>
                <w:rFonts w:eastAsiaTheme="minorEastAsia"/>
              </w:rPr>
            </w:pPr>
            <w:r>
              <w:rPr>
                <w:rFonts w:eastAsiaTheme="minorEastAsia"/>
              </w:rPr>
              <w:t>1.059***</w:t>
            </w:r>
          </w:p>
        </w:tc>
        <w:tc>
          <w:tcPr>
            <w:tcW w:w="2096" w:type="dxa"/>
          </w:tcPr>
          <w:p w14:paraId="49BA92D1" w14:textId="1A57AFE9" w:rsidR="00743BA0" w:rsidRDefault="00743BA0" w:rsidP="00743BA0">
            <w:pPr>
              <w:jc w:val="center"/>
              <w:rPr>
                <w:rFonts w:eastAsiaTheme="minorEastAsia"/>
              </w:rPr>
            </w:pPr>
            <w:r>
              <w:rPr>
                <w:rFonts w:eastAsiaTheme="minorEastAsia"/>
              </w:rPr>
              <w:t>0.392***</w:t>
            </w:r>
          </w:p>
        </w:tc>
        <w:tc>
          <w:tcPr>
            <w:tcW w:w="2043" w:type="dxa"/>
          </w:tcPr>
          <w:p w14:paraId="159F4AAC" w14:textId="31042F19" w:rsidR="00743BA0" w:rsidRDefault="00743BA0" w:rsidP="00743BA0">
            <w:pPr>
              <w:jc w:val="center"/>
              <w:rPr>
                <w:rFonts w:eastAsiaTheme="minorEastAsia"/>
              </w:rPr>
            </w:pPr>
            <w:r>
              <w:rPr>
                <w:rFonts w:eastAsiaTheme="minorEastAsia"/>
              </w:rPr>
              <w:t>0.176***</w:t>
            </w:r>
          </w:p>
        </w:tc>
        <w:tc>
          <w:tcPr>
            <w:tcW w:w="1875" w:type="dxa"/>
            <w:tcBorders>
              <w:right w:val="nil"/>
            </w:tcBorders>
          </w:tcPr>
          <w:p w14:paraId="1B006DCC" w14:textId="088FA76E" w:rsidR="00743BA0" w:rsidRDefault="00743BA0" w:rsidP="00743BA0">
            <w:pPr>
              <w:jc w:val="center"/>
              <w:rPr>
                <w:rFonts w:eastAsiaTheme="minorEastAsia"/>
              </w:rPr>
            </w:pPr>
            <w:r>
              <w:rPr>
                <w:rFonts w:eastAsiaTheme="minorEastAsia"/>
              </w:rPr>
              <w:t>0.0119***</w:t>
            </w:r>
          </w:p>
        </w:tc>
      </w:tr>
      <w:tr w:rsidR="00743BA0" w14:paraId="0991D9BB" w14:textId="77777777" w:rsidTr="004D1C5A">
        <w:tc>
          <w:tcPr>
            <w:tcW w:w="886" w:type="dxa"/>
            <w:tcBorders>
              <w:left w:val="nil"/>
            </w:tcBorders>
          </w:tcPr>
          <w:p w14:paraId="34DA5AEB" w14:textId="0A16D62B" w:rsidR="00743BA0" w:rsidRDefault="00743BA0" w:rsidP="00743BA0">
            <w:pPr>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2116" w:type="dxa"/>
          </w:tcPr>
          <w:p w14:paraId="37DEBF2A" w14:textId="2922F3BC" w:rsidR="00743BA0" w:rsidRDefault="00743BA0" w:rsidP="00743BA0">
            <w:pPr>
              <w:jc w:val="center"/>
              <w:rPr>
                <w:rFonts w:eastAsiaTheme="minorEastAsia"/>
              </w:rPr>
            </w:pPr>
            <w:r>
              <w:rPr>
                <w:rFonts w:eastAsiaTheme="minorEastAsia"/>
              </w:rPr>
              <w:t>(0.011)</w:t>
            </w:r>
          </w:p>
        </w:tc>
        <w:tc>
          <w:tcPr>
            <w:tcW w:w="2096" w:type="dxa"/>
          </w:tcPr>
          <w:p w14:paraId="77588745" w14:textId="3CED2B0B" w:rsidR="00743BA0" w:rsidRDefault="00743BA0" w:rsidP="00743BA0">
            <w:pPr>
              <w:jc w:val="center"/>
              <w:rPr>
                <w:rFonts w:eastAsiaTheme="minorEastAsia"/>
              </w:rPr>
            </w:pPr>
            <w:r>
              <w:rPr>
                <w:rFonts w:eastAsiaTheme="minorEastAsia"/>
              </w:rPr>
              <w:t>(0.051)</w:t>
            </w:r>
          </w:p>
        </w:tc>
        <w:tc>
          <w:tcPr>
            <w:tcW w:w="2043" w:type="dxa"/>
          </w:tcPr>
          <w:p w14:paraId="1A4A5A2E" w14:textId="7199243A" w:rsidR="00743BA0" w:rsidRDefault="00743BA0" w:rsidP="00743BA0">
            <w:pPr>
              <w:jc w:val="center"/>
              <w:rPr>
                <w:rFonts w:eastAsiaTheme="minorEastAsia"/>
              </w:rPr>
            </w:pPr>
            <w:r>
              <w:rPr>
                <w:rFonts w:eastAsiaTheme="minorEastAsia"/>
              </w:rPr>
              <w:t>(0.020)</w:t>
            </w:r>
          </w:p>
        </w:tc>
        <w:tc>
          <w:tcPr>
            <w:tcW w:w="1875" w:type="dxa"/>
            <w:tcBorders>
              <w:right w:val="nil"/>
            </w:tcBorders>
          </w:tcPr>
          <w:p w14:paraId="317250C8" w14:textId="1B0FC01B" w:rsidR="00743BA0" w:rsidRDefault="00743BA0" w:rsidP="00743BA0">
            <w:pPr>
              <w:jc w:val="center"/>
              <w:rPr>
                <w:rFonts w:eastAsiaTheme="minorEastAsia"/>
              </w:rPr>
            </w:pPr>
            <w:r>
              <w:rPr>
                <w:rFonts w:eastAsiaTheme="minorEastAsia"/>
              </w:rPr>
              <w:t>(0.009)</w:t>
            </w:r>
          </w:p>
        </w:tc>
      </w:tr>
      <w:tr w:rsidR="00743BA0" w14:paraId="17E45F70" w14:textId="77777777" w:rsidTr="004D1C5A">
        <w:tc>
          <w:tcPr>
            <w:tcW w:w="886" w:type="dxa"/>
            <w:tcBorders>
              <w:left w:val="nil"/>
            </w:tcBorders>
          </w:tcPr>
          <w:p w14:paraId="018362F9" w14:textId="4649892D" w:rsidR="00743BA0" w:rsidRPr="00C700EF" w:rsidRDefault="00743BA0" w:rsidP="00743BA0">
            <w:pPr>
              <w:rPr>
                <w:rFonts w:eastAsiaTheme="minorEastAsia"/>
              </w:rPr>
            </w:pPr>
            <m:oMathPara>
              <m:oMathParaPr>
                <m:jc m:val="left"/>
              </m:oMathParaPr>
              <m:oMath>
                <m:r>
                  <w:rPr>
                    <w:rFonts w:ascii="Cambria Math" w:eastAsiaTheme="minorEastAsia" w:hAnsi="Cambria Math"/>
                  </w:rPr>
                  <m:t>γ</m:t>
                </m:r>
              </m:oMath>
            </m:oMathPara>
          </w:p>
        </w:tc>
        <w:tc>
          <w:tcPr>
            <w:tcW w:w="2116" w:type="dxa"/>
          </w:tcPr>
          <w:p w14:paraId="28789445" w14:textId="1AE7E721" w:rsidR="00743BA0" w:rsidRDefault="00252C43" w:rsidP="00743BA0">
            <w:pPr>
              <w:jc w:val="center"/>
              <w:rPr>
                <w:rFonts w:eastAsiaTheme="minorEastAsia"/>
              </w:rPr>
            </w:pPr>
            <w:r>
              <w:rPr>
                <w:rFonts w:eastAsiaTheme="minorEastAsia"/>
              </w:rPr>
              <w:noBreakHyphen/>
            </w:r>
            <w:r w:rsidR="00743BA0">
              <w:rPr>
                <w:rFonts w:eastAsiaTheme="minorEastAsia"/>
              </w:rPr>
              <w:t>0.666***</w:t>
            </w:r>
          </w:p>
        </w:tc>
        <w:tc>
          <w:tcPr>
            <w:tcW w:w="2096" w:type="dxa"/>
          </w:tcPr>
          <w:p w14:paraId="34DCDC2E" w14:textId="3D6E595C" w:rsidR="00743BA0" w:rsidRDefault="00252C43" w:rsidP="00743BA0">
            <w:pPr>
              <w:jc w:val="center"/>
              <w:rPr>
                <w:rFonts w:eastAsiaTheme="minorEastAsia"/>
              </w:rPr>
            </w:pPr>
            <w:r>
              <w:rPr>
                <w:rFonts w:eastAsiaTheme="minorEastAsia"/>
              </w:rPr>
              <w:noBreakHyphen/>
            </w:r>
            <w:r w:rsidR="00743BA0">
              <w:rPr>
                <w:rFonts w:eastAsiaTheme="minorEastAsia"/>
              </w:rPr>
              <w:t>0.187***</w:t>
            </w:r>
          </w:p>
        </w:tc>
        <w:tc>
          <w:tcPr>
            <w:tcW w:w="2043" w:type="dxa"/>
          </w:tcPr>
          <w:p w14:paraId="17F7B023" w14:textId="027A1213" w:rsidR="00743BA0" w:rsidRDefault="00252C43" w:rsidP="00743BA0">
            <w:pPr>
              <w:jc w:val="center"/>
              <w:rPr>
                <w:rFonts w:eastAsiaTheme="minorEastAsia"/>
              </w:rPr>
            </w:pPr>
            <w:r>
              <w:rPr>
                <w:rFonts w:eastAsiaTheme="minorEastAsia"/>
              </w:rPr>
              <w:noBreakHyphen/>
            </w:r>
            <w:r w:rsidR="00743BA0">
              <w:rPr>
                <w:rFonts w:eastAsiaTheme="minorEastAsia"/>
              </w:rPr>
              <w:t>0.069***</w:t>
            </w:r>
          </w:p>
        </w:tc>
        <w:tc>
          <w:tcPr>
            <w:tcW w:w="1875" w:type="dxa"/>
            <w:tcBorders>
              <w:right w:val="nil"/>
            </w:tcBorders>
          </w:tcPr>
          <w:p w14:paraId="142CDB43" w14:textId="3FD61FF4" w:rsidR="00743BA0" w:rsidRDefault="00252C43" w:rsidP="00743BA0">
            <w:pPr>
              <w:jc w:val="center"/>
              <w:rPr>
                <w:rFonts w:eastAsiaTheme="minorEastAsia"/>
              </w:rPr>
            </w:pPr>
            <w:r>
              <w:rPr>
                <w:rFonts w:eastAsiaTheme="minorEastAsia"/>
              </w:rPr>
              <w:noBreakHyphen/>
            </w:r>
            <w:r w:rsidR="00743BA0">
              <w:rPr>
                <w:rFonts w:eastAsiaTheme="minorEastAsia"/>
              </w:rPr>
              <w:t>0.029***</w:t>
            </w:r>
          </w:p>
        </w:tc>
      </w:tr>
      <w:tr w:rsidR="00743BA0" w14:paraId="10FD6FD6" w14:textId="77777777" w:rsidTr="004D1C5A">
        <w:tc>
          <w:tcPr>
            <w:tcW w:w="886" w:type="dxa"/>
            <w:tcBorders>
              <w:left w:val="nil"/>
            </w:tcBorders>
          </w:tcPr>
          <w:p w14:paraId="3418FFF9" w14:textId="4A38E73D" w:rsidR="00743BA0" w:rsidRDefault="00743BA0" w:rsidP="00743BA0">
            <w:pPr>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2116" w:type="dxa"/>
          </w:tcPr>
          <w:p w14:paraId="3E20C222" w14:textId="040BDAC4" w:rsidR="00743BA0" w:rsidRDefault="00743BA0" w:rsidP="00743BA0">
            <w:pPr>
              <w:jc w:val="center"/>
              <w:rPr>
                <w:rFonts w:eastAsiaTheme="minorEastAsia"/>
              </w:rPr>
            </w:pPr>
            <w:r>
              <w:rPr>
                <w:rFonts w:eastAsiaTheme="minorEastAsia"/>
              </w:rPr>
              <w:t>(0.084)</w:t>
            </w:r>
          </w:p>
        </w:tc>
        <w:tc>
          <w:tcPr>
            <w:tcW w:w="2096" w:type="dxa"/>
          </w:tcPr>
          <w:p w14:paraId="09C46D0E" w14:textId="55D44F3E" w:rsidR="00743BA0" w:rsidRDefault="00743BA0" w:rsidP="00743BA0">
            <w:pPr>
              <w:jc w:val="center"/>
              <w:rPr>
                <w:rFonts w:eastAsiaTheme="minorEastAsia"/>
              </w:rPr>
            </w:pPr>
            <w:r>
              <w:rPr>
                <w:rFonts w:eastAsiaTheme="minorEastAsia"/>
              </w:rPr>
              <w:t>(0.042)</w:t>
            </w:r>
          </w:p>
        </w:tc>
        <w:tc>
          <w:tcPr>
            <w:tcW w:w="2043" w:type="dxa"/>
          </w:tcPr>
          <w:p w14:paraId="4F987406" w14:textId="4CF0E6A6" w:rsidR="00743BA0" w:rsidRDefault="00743BA0" w:rsidP="00743BA0">
            <w:pPr>
              <w:jc w:val="center"/>
              <w:rPr>
                <w:rFonts w:eastAsiaTheme="minorEastAsia"/>
              </w:rPr>
            </w:pPr>
            <w:r>
              <w:rPr>
                <w:rFonts w:eastAsiaTheme="minorEastAsia"/>
              </w:rPr>
              <w:t>(0.015)</w:t>
            </w:r>
          </w:p>
        </w:tc>
        <w:tc>
          <w:tcPr>
            <w:tcW w:w="1875" w:type="dxa"/>
            <w:tcBorders>
              <w:right w:val="nil"/>
            </w:tcBorders>
          </w:tcPr>
          <w:p w14:paraId="26A7DE07" w14:textId="50CD4213" w:rsidR="00743BA0" w:rsidRDefault="00743BA0" w:rsidP="00743BA0">
            <w:pPr>
              <w:jc w:val="center"/>
              <w:rPr>
                <w:rFonts w:eastAsiaTheme="minorEastAsia"/>
              </w:rPr>
            </w:pPr>
            <w:r>
              <w:rPr>
                <w:rFonts w:eastAsiaTheme="minorEastAsia"/>
              </w:rPr>
              <w:t>(0.008)</w:t>
            </w:r>
          </w:p>
        </w:tc>
      </w:tr>
      <w:tr w:rsidR="00743BA0" w14:paraId="2F909425" w14:textId="77777777" w:rsidTr="004D1C5A">
        <w:tc>
          <w:tcPr>
            <w:tcW w:w="886" w:type="dxa"/>
            <w:tcBorders>
              <w:left w:val="nil"/>
            </w:tcBorders>
          </w:tcPr>
          <w:p w14:paraId="7C52292C" w14:textId="14F80DF2" w:rsidR="00743BA0" w:rsidRDefault="00743BA0" w:rsidP="00743BA0">
            <w:pPr>
              <w:rPr>
                <w:rFonts w:eastAsiaTheme="minorEastAsia"/>
              </w:rPr>
            </w:pPr>
            <w:proofErr w:type="spellStart"/>
            <w:r>
              <w:rPr>
                <w:rFonts w:eastAsiaTheme="minorEastAsia"/>
              </w:rPr>
              <w:t>Obs</w:t>
            </w:r>
            <w:proofErr w:type="spellEnd"/>
            <w:r>
              <w:rPr>
                <w:rFonts w:eastAsiaTheme="minorEastAsia"/>
              </w:rPr>
              <w:t xml:space="preserve"> </w:t>
            </w:r>
          </w:p>
        </w:tc>
        <w:tc>
          <w:tcPr>
            <w:tcW w:w="2116" w:type="dxa"/>
          </w:tcPr>
          <w:p w14:paraId="77027F35" w14:textId="75CB323F" w:rsidR="00743BA0" w:rsidRDefault="00743BA0" w:rsidP="00743BA0">
            <w:pPr>
              <w:jc w:val="center"/>
              <w:rPr>
                <w:rFonts w:eastAsiaTheme="minorEastAsia"/>
              </w:rPr>
            </w:pPr>
            <w:r>
              <w:rPr>
                <w:rFonts w:eastAsiaTheme="minorEastAsia"/>
              </w:rPr>
              <w:t>~1.6 million</w:t>
            </w:r>
          </w:p>
        </w:tc>
        <w:tc>
          <w:tcPr>
            <w:tcW w:w="2096" w:type="dxa"/>
          </w:tcPr>
          <w:p w14:paraId="35D708C5" w14:textId="3A5F8FA8" w:rsidR="00743BA0" w:rsidRDefault="00743BA0" w:rsidP="00743BA0">
            <w:pPr>
              <w:jc w:val="center"/>
              <w:rPr>
                <w:rFonts w:eastAsiaTheme="minorEastAsia"/>
              </w:rPr>
            </w:pPr>
            <w:r>
              <w:rPr>
                <w:rFonts w:eastAsiaTheme="minorEastAsia"/>
              </w:rPr>
              <w:t>~1.6 million</w:t>
            </w:r>
          </w:p>
        </w:tc>
        <w:tc>
          <w:tcPr>
            <w:tcW w:w="2043" w:type="dxa"/>
          </w:tcPr>
          <w:p w14:paraId="1578326E" w14:textId="19BC3D16" w:rsidR="00743BA0" w:rsidRDefault="00743BA0" w:rsidP="00743BA0">
            <w:pPr>
              <w:jc w:val="center"/>
              <w:rPr>
                <w:rFonts w:eastAsiaTheme="minorEastAsia"/>
              </w:rPr>
            </w:pPr>
            <w:r>
              <w:rPr>
                <w:rFonts w:eastAsiaTheme="minorEastAsia"/>
              </w:rPr>
              <w:t>~3.5 million</w:t>
            </w:r>
          </w:p>
        </w:tc>
        <w:tc>
          <w:tcPr>
            <w:tcW w:w="1875" w:type="dxa"/>
            <w:tcBorders>
              <w:right w:val="nil"/>
            </w:tcBorders>
          </w:tcPr>
          <w:p w14:paraId="3F3356AA" w14:textId="63DE6203" w:rsidR="00743BA0" w:rsidRDefault="00743BA0" w:rsidP="00743BA0">
            <w:pPr>
              <w:jc w:val="center"/>
              <w:rPr>
                <w:rFonts w:eastAsiaTheme="minorEastAsia"/>
              </w:rPr>
            </w:pPr>
            <w:r>
              <w:rPr>
                <w:rFonts w:eastAsiaTheme="minorEastAsia"/>
              </w:rPr>
              <w:t>~3.5 million</w:t>
            </w:r>
          </w:p>
        </w:tc>
      </w:tr>
    </w:tbl>
    <w:p w14:paraId="56DD84C4" w14:textId="27D77C9D" w:rsidR="00743BA0" w:rsidRDefault="00743BA0" w:rsidP="00743BA0">
      <w:pPr>
        <w:rPr>
          <w:sz w:val="18"/>
        </w:rPr>
      </w:pPr>
      <w:r>
        <w:rPr>
          <w:sz w:val="18"/>
        </w:rPr>
        <w:t>Notes: *** p&lt;0.01, ** p&lt;0.05, *p&lt;0.</w:t>
      </w:r>
      <w:r w:rsidRPr="00C9549C">
        <w:rPr>
          <w:sz w:val="18"/>
        </w:rPr>
        <w:t xml:space="preserve">1. All specifications have </w:t>
      </w:r>
      <w:r>
        <w:rPr>
          <w:sz w:val="18"/>
        </w:rPr>
        <w:t xml:space="preserve">industry*year </w:t>
      </w:r>
      <w:r w:rsidRPr="00C9549C">
        <w:rPr>
          <w:sz w:val="18"/>
        </w:rPr>
        <w:t>fixed effects</w:t>
      </w:r>
      <w:r>
        <w:rPr>
          <w:sz w:val="18"/>
        </w:rPr>
        <w:t>, controls for size and past sales growth, and industry*productivity. Top and bottom percentile of productivity distribution drop trimmed</w:t>
      </w:r>
      <w:r w:rsidRPr="00C9549C">
        <w:rPr>
          <w:sz w:val="18"/>
        </w:rPr>
        <w:t xml:space="preserve">. Errors </w:t>
      </w:r>
      <w:r>
        <w:rPr>
          <w:sz w:val="18"/>
        </w:rPr>
        <w:t>clustered at the industry level.</w:t>
      </w:r>
    </w:p>
    <w:p w14:paraId="107F9E9F" w14:textId="30EE8800" w:rsidR="00743BA0" w:rsidRDefault="00743BA0" w:rsidP="00017A19">
      <w:pPr>
        <w:jc w:val="both"/>
        <w:rPr>
          <w:rFonts w:eastAsiaTheme="minorEastAsia"/>
        </w:rPr>
      </w:pPr>
      <w:r>
        <w:rPr>
          <w:rFonts w:eastAsiaTheme="minorEastAsia"/>
        </w:rPr>
        <w:t xml:space="preserve">Focusing on reallocation, as in Andrews and Hansell (2019) the coefficient </w:t>
      </w:r>
      <m:oMath>
        <m:r>
          <w:rPr>
            <w:rFonts w:ascii="Cambria Math" w:eastAsiaTheme="minorEastAsia" w:hAnsi="Cambria Math"/>
          </w:rPr>
          <m:t>β</m:t>
        </m:r>
      </m:oMath>
      <w:r>
        <w:rPr>
          <w:rFonts w:eastAsiaTheme="minorEastAsia"/>
        </w:rPr>
        <w:t xml:space="preserve"> is positive and significant, meaning less productive firms are more likely to shrink at the expense of more productive firms. However, as </w:t>
      </w:r>
      <m:oMath>
        <m:r>
          <w:rPr>
            <w:rFonts w:ascii="Cambria Math" w:eastAsiaTheme="minorEastAsia" w:hAnsi="Cambria Math"/>
          </w:rPr>
          <m:t>γ</m:t>
        </m:r>
      </m:oMath>
      <w:r>
        <w:rPr>
          <w:rFonts w:eastAsiaTheme="minorEastAsia"/>
        </w:rPr>
        <w:t xml:space="preserve"> is negative the pace of reallocation is weaker in industries with increasing mark</w:t>
      </w:r>
      <w:r w:rsidR="00252C43">
        <w:rPr>
          <w:rFonts w:eastAsiaTheme="minorEastAsia"/>
        </w:rPr>
        <w:noBreakHyphen/>
      </w:r>
      <w:r>
        <w:rPr>
          <w:rFonts w:eastAsiaTheme="minorEastAsia"/>
        </w:rPr>
        <w:t xml:space="preserve">ups. This </w:t>
      </w:r>
      <w:r>
        <w:rPr>
          <w:rFonts w:eastAsiaTheme="minorEastAsia"/>
        </w:rPr>
        <w:lastRenderedPageBreak/>
        <w:t>suggests that the results in Andrews and Hansell (2019) could reflect increasing mark</w:t>
      </w:r>
      <w:r w:rsidR="00252C43">
        <w:rPr>
          <w:rFonts w:eastAsiaTheme="minorEastAsia"/>
        </w:rPr>
        <w:noBreakHyphen/>
      </w:r>
      <w:r>
        <w:rPr>
          <w:rFonts w:eastAsiaTheme="minorEastAsia"/>
        </w:rPr>
        <w:t xml:space="preserve">ups and market power. </w:t>
      </w:r>
    </w:p>
    <w:p w14:paraId="382777A8" w14:textId="29A36130" w:rsidR="0095241E" w:rsidRDefault="00743BA0" w:rsidP="00017A19">
      <w:pPr>
        <w:jc w:val="both"/>
      </w:pPr>
      <w:proofErr w:type="gramStart"/>
      <w:r>
        <w:rPr>
          <w:rFonts w:eastAsiaTheme="minorEastAsia"/>
        </w:rPr>
        <w:t>Overall</w:t>
      </w:r>
      <w:proofErr w:type="gramEnd"/>
      <w:r>
        <w:rPr>
          <w:rFonts w:eastAsiaTheme="minorEastAsia"/>
        </w:rPr>
        <w:t xml:space="preserve"> then, the results suggest that selection and dynamic reallocation are weaker in industries with increasing mark</w:t>
      </w:r>
      <w:r w:rsidR="00252C43">
        <w:rPr>
          <w:rFonts w:eastAsiaTheme="minorEastAsia"/>
        </w:rPr>
        <w:noBreakHyphen/>
      </w:r>
      <w:r>
        <w:rPr>
          <w:rFonts w:eastAsiaTheme="minorEastAsia"/>
        </w:rPr>
        <w:t>ups. This provides further evidence that increasing mark</w:t>
      </w:r>
      <w:r w:rsidR="00252C43">
        <w:rPr>
          <w:rFonts w:eastAsiaTheme="minorEastAsia"/>
        </w:rPr>
        <w:noBreakHyphen/>
      </w:r>
      <w:r>
        <w:rPr>
          <w:rFonts w:eastAsiaTheme="minorEastAsia"/>
        </w:rPr>
        <w:t>ups have reflected greater market power and decreasing competitive pressures.</w:t>
      </w:r>
      <w:r w:rsidR="0022740B">
        <w:rPr>
          <w:rStyle w:val="FootnoteReference"/>
          <w:rFonts w:eastAsiaTheme="minorEastAsia"/>
        </w:rPr>
        <w:footnoteReference w:id="18"/>
      </w:r>
      <w:r w:rsidR="003245CC">
        <w:rPr>
          <w:rFonts w:eastAsiaTheme="minorEastAsia"/>
        </w:rPr>
        <w:t xml:space="preserve"> Similar analysis using measures of industry concentration in Appendix D further supports this conclusion.</w:t>
      </w:r>
      <w:r w:rsidR="0095241E">
        <w:t xml:space="preserve"> </w:t>
      </w:r>
    </w:p>
    <w:p w14:paraId="6A52DA27" w14:textId="33153114" w:rsidR="0095241E" w:rsidRDefault="0095241E" w:rsidP="0095241E">
      <w:pPr>
        <w:pStyle w:val="Heading2"/>
        <w:rPr>
          <w:lang w:val="en-US" w:eastAsia="en-AU"/>
        </w:rPr>
      </w:pPr>
      <w:r>
        <w:rPr>
          <w:lang w:val="en-US" w:eastAsia="en-AU"/>
        </w:rPr>
        <w:t>Aggregate implications</w:t>
      </w:r>
    </w:p>
    <w:p w14:paraId="329589FD" w14:textId="007A55A8" w:rsidR="0095241E" w:rsidRDefault="00743BA0" w:rsidP="00017A19">
      <w:pPr>
        <w:jc w:val="both"/>
      </w:pPr>
      <w:r>
        <w:t>The above results indicate that market power has increased in Australia, and that this has led to increased mark</w:t>
      </w:r>
      <w:r w:rsidR="00252C43">
        <w:noBreakHyphen/>
      </w:r>
      <w:r>
        <w:t>ups. Numerous papers have documented that increasing market power can have negative implications for the economy, through less efficient allocation of resources, slower technology adoption, and decreased incentives to invest. All of these are likely to contribute to slower productivity growth, and</w:t>
      </w:r>
      <w:r w:rsidR="009D1003">
        <w:t>,</w:t>
      </w:r>
      <w:r>
        <w:t xml:space="preserve"> as such</w:t>
      </w:r>
      <w:r w:rsidR="00C700EF">
        <w:t>,</w:t>
      </w:r>
      <w:r w:rsidR="0095241E">
        <w:t xml:space="preserve"> the increase in mark</w:t>
      </w:r>
      <w:r w:rsidR="00252C43">
        <w:noBreakHyphen/>
      </w:r>
      <w:r w:rsidR="0095241E">
        <w:t>ups and market power may explain some of the slowdown in productivity growth evident in Australia over the past decade. The question is how much?</w:t>
      </w:r>
    </w:p>
    <w:p w14:paraId="2DDB6F20" w14:textId="6B5D4B13" w:rsidR="0095241E" w:rsidRDefault="0095241E" w:rsidP="00017A19">
      <w:pPr>
        <w:jc w:val="both"/>
      </w:pPr>
      <w:r>
        <w:t>To answer this question, I</w:t>
      </w:r>
      <w:r w:rsidR="00743BA0">
        <w:t xml:space="preserve"> look at one of the mechanisms by which increased market power could contribute to slower productivity growth: slower efficient re</w:t>
      </w:r>
      <w:r w:rsidR="00CE62C6">
        <w:t>al</w:t>
      </w:r>
      <w:r w:rsidR="00743BA0">
        <w:t>location of resources</w:t>
      </w:r>
      <w:r>
        <w:t>.</w:t>
      </w:r>
      <w:r w:rsidR="00743BA0">
        <w:t xml:space="preserve"> To do so, I </w:t>
      </w:r>
      <w:r w:rsidR="00483740">
        <w:t>perform</w:t>
      </w:r>
      <w:r w:rsidR="00743BA0">
        <w:t xml:space="preserve"> a simple exercise that </w:t>
      </w:r>
      <w:r>
        <w:t>build</w:t>
      </w:r>
      <w:r w:rsidR="00743BA0">
        <w:t>s</w:t>
      </w:r>
      <w:r w:rsidR="00483740">
        <w:t xml:space="preserve"> off the results fro</w:t>
      </w:r>
      <w:r>
        <w:t>m Andrews and Hansell (2019)</w:t>
      </w:r>
      <w:r w:rsidR="00017A19">
        <w:t>,</w:t>
      </w:r>
      <w:r w:rsidR="00743BA0">
        <w:t xml:space="preserve"> which finds</w:t>
      </w:r>
      <w:r>
        <w:t xml:space="preserve"> that slowing dynamic reallocation has lowered productivity growth by around 0.15 percentage points each year, on average, since 2012</w:t>
      </w:r>
      <w:r w:rsidR="00CE62C6">
        <w:t xml:space="preserve">, </w:t>
      </w:r>
      <w:r w:rsidR="00C42051">
        <w:t>or</w:t>
      </w:r>
      <w:r w:rsidR="00CE62C6">
        <w:t xml:space="preserve"> around ¼ of the observed slowdown in market sector productivity</w:t>
      </w:r>
      <w:r>
        <w:t xml:space="preserve">. The exercises attempt to quantify what portion of </w:t>
      </w:r>
      <w:r w:rsidR="00743BA0">
        <w:t>this</w:t>
      </w:r>
      <w:r>
        <w:t xml:space="preserve"> could reflect higher mark</w:t>
      </w:r>
      <w:r w:rsidR="00252C43">
        <w:noBreakHyphen/>
      </w:r>
      <w:r>
        <w:t>ups</w:t>
      </w:r>
      <w:r w:rsidR="00743BA0">
        <w:t>, based on my reallocation regression results from section 6.</w:t>
      </w:r>
      <w:r w:rsidR="00C42051">
        <w:t>2</w:t>
      </w:r>
      <w:r>
        <w:t>.</w:t>
      </w:r>
    </w:p>
    <w:p w14:paraId="5642EBA6" w14:textId="46BB9758" w:rsidR="0095241E" w:rsidRDefault="00743BA0" w:rsidP="00017A19">
      <w:pPr>
        <w:jc w:val="both"/>
      </w:pPr>
      <w:r>
        <w:t xml:space="preserve">This is a relatively simple </w:t>
      </w:r>
      <w:r w:rsidR="00017A19">
        <w:t>exercise</w:t>
      </w:r>
      <w:r>
        <w:t xml:space="preserve"> that only looks at one channel through which mark</w:t>
      </w:r>
      <w:r w:rsidR="00252C43">
        <w:noBreakHyphen/>
      </w:r>
      <w:r>
        <w:t>ups could affect aggregate productivity growth</w:t>
      </w:r>
      <w:r w:rsidR="0095241E">
        <w:t xml:space="preserve">. Future work could look </w:t>
      </w:r>
      <w:r>
        <w:t>at other channels, such as firm</w:t>
      </w:r>
      <w:r w:rsidR="00252C43">
        <w:noBreakHyphen/>
      </w:r>
      <w:r>
        <w:t xml:space="preserve">level productivity growth (see Andrews et al forthcoming), or could look </w:t>
      </w:r>
      <w:r w:rsidR="0095241E">
        <w:t>to quantify the aggregate implications of mark</w:t>
      </w:r>
      <w:r w:rsidR="00252C43">
        <w:noBreakHyphen/>
      </w:r>
      <w:r w:rsidR="0095241E">
        <w:t>ups more fo</w:t>
      </w:r>
      <w:r>
        <w:t xml:space="preserve">rmally using </w:t>
      </w:r>
      <w:r w:rsidR="00C700EF">
        <w:t xml:space="preserve">either </w:t>
      </w:r>
      <w:r>
        <w:t>a structural model</w:t>
      </w:r>
      <w:r w:rsidR="00C700EF">
        <w:t xml:space="preserve"> </w:t>
      </w:r>
      <w:r w:rsidR="0095241E">
        <w:t>or the non</w:t>
      </w:r>
      <w:r w:rsidR="00252C43">
        <w:noBreakHyphen/>
      </w:r>
      <w:r w:rsidR="0095241E">
        <w:t xml:space="preserve">parametric approach of </w:t>
      </w:r>
      <w:proofErr w:type="spellStart"/>
      <w:r w:rsidR="0095241E">
        <w:t>Baqaee</w:t>
      </w:r>
      <w:proofErr w:type="spellEnd"/>
      <w:r w:rsidR="0095241E">
        <w:t xml:space="preserve"> and </w:t>
      </w:r>
      <w:proofErr w:type="spellStart"/>
      <w:r w:rsidR="0095241E">
        <w:t>Fahri</w:t>
      </w:r>
      <w:proofErr w:type="spellEnd"/>
      <w:r w:rsidR="0095241E">
        <w:t xml:space="preserve"> (2019). </w:t>
      </w:r>
    </w:p>
    <w:p w14:paraId="31602E4C" w14:textId="77777777" w:rsidR="0095241E" w:rsidRDefault="0095241E" w:rsidP="0095241E">
      <w:pPr>
        <w:pStyle w:val="Heading3"/>
      </w:pPr>
      <w:r>
        <w:t>7.1 Dynamic reallocation</w:t>
      </w:r>
    </w:p>
    <w:p w14:paraId="29A9A9B2" w14:textId="1FE1B488" w:rsidR="0095241E" w:rsidRDefault="0095241E" w:rsidP="00017A19">
      <w:pPr>
        <w:jc w:val="both"/>
      </w:pPr>
      <w:r>
        <w:t xml:space="preserve">As in Andrews and Hansell (2019), I use the approach suggested by Decker </w:t>
      </w:r>
      <w:r w:rsidR="00C700EF">
        <w:t>e</w:t>
      </w:r>
      <w:r>
        <w:t>t al (201</w:t>
      </w:r>
      <w:r w:rsidR="00164999">
        <w:t>7</w:t>
      </w:r>
      <w:r>
        <w:t>) to quantify the implications of decreased reallocation for aggregate productivity growth. This involves creating</w:t>
      </w:r>
      <w:r w:rsidRPr="005D5112">
        <w:t xml:space="preserve"> </w:t>
      </w:r>
      <w:r>
        <w:t xml:space="preserve">indexes </w:t>
      </w:r>
      <w:r w:rsidRPr="005D5112">
        <w:t>of aggregate</w:t>
      </w:r>
      <w:r>
        <w:t xml:space="preserve"> labour</w:t>
      </w:r>
      <w:r w:rsidRPr="005D5112">
        <w:t xml:space="preserve"> productivity </w:t>
      </w:r>
      <w:r>
        <w:t>that combine actual realisations of firm</w:t>
      </w:r>
      <w:r w:rsidR="00252C43">
        <w:noBreakHyphen/>
      </w:r>
      <w:r>
        <w:t>level labour productivity with employment shares predicted from an estimated model.</w:t>
      </w:r>
      <w:r>
        <w:rPr>
          <w:rStyle w:val="FootnoteReference"/>
        </w:rPr>
        <w:footnoteReference w:id="19"/>
      </w:r>
      <w:r>
        <w:t xml:space="preserve"> The idea is that by varying the model, we can construct counterfactual productivity indices that allow us to understand how aggregate productivity would have evolved had mark</w:t>
      </w:r>
      <w:r w:rsidR="00252C43">
        <w:noBreakHyphen/>
      </w:r>
      <w:r>
        <w:t>ups not increased, and therefore reallocation not slowed.</w:t>
      </w:r>
    </w:p>
    <w:p w14:paraId="6CDFD6D2" w14:textId="7BE91160" w:rsidR="0095241E" w:rsidRDefault="0095241E" w:rsidP="00017A19">
      <w:pPr>
        <w:jc w:val="both"/>
      </w:pPr>
      <w:r>
        <w:t xml:space="preserve">I consider two different models: </w:t>
      </w:r>
      <w:proofErr w:type="spellStart"/>
      <w:r w:rsidRPr="00761976">
        <w:rPr>
          <w:i/>
        </w:rPr>
        <w:t>i</w:t>
      </w:r>
      <w:proofErr w:type="spellEnd"/>
      <w:r>
        <w:t>) where the responsiveness of employment growth to (lagged) productivity is allowed to vary alongside variation in mark</w:t>
      </w:r>
      <w:r w:rsidR="00252C43">
        <w:noBreakHyphen/>
      </w:r>
      <w:r>
        <w:t xml:space="preserve">ups; and </w:t>
      </w:r>
      <w:r w:rsidRPr="00761976">
        <w:rPr>
          <w:i/>
        </w:rPr>
        <w:t>ii</w:t>
      </w:r>
      <w:r>
        <w:t>) where the mark</w:t>
      </w:r>
      <w:r w:rsidR="00252C43">
        <w:noBreakHyphen/>
      </w:r>
      <w:r>
        <w:t>ups, and therefore the responsiveness,  are held constant at the level evident at the start of the sample</w:t>
      </w:r>
      <w:r w:rsidRPr="005D5112">
        <w:t>.</w:t>
      </w:r>
      <w:r>
        <w:t xml:space="preserve"> These models give predictions for employment growth. I can then combine these predictions with the (initial) level of </w:t>
      </w:r>
      <w:r>
        <w:lastRenderedPageBreak/>
        <w:t xml:space="preserve">employment for the firm in </w:t>
      </w:r>
      <w:r w:rsidRPr="00761976">
        <w:rPr>
          <w:i/>
        </w:rPr>
        <w:t>t</w:t>
      </w:r>
      <w:r>
        <w:rPr>
          <w:i/>
        </w:rPr>
        <w:t xml:space="preserve"> </w:t>
      </w:r>
      <w:r>
        <w:t>to get predicted employment shares, which I can use to construct productivity indices.</w:t>
      </w:r>
    </w:p>
    <w:p w14:paraId="6241293A" w14:textId="2D1ECF19" w:rsidR="0095241E" w:rsidRPr="005D5112" w:rsidRDefault="0095241E" w:rsidP="00017A19">
      <w:pPr>
        <w:jc w:val="both"/>
      </w:pPr>
      <w:r>
        <w:t xml:space="preserve">With these predictions in hand, I can construct 3 different productivity indices: one using observed employment shares in the previous year (1); one using the </w:t>
      </w:r>
      <w:r w:rsidRPr="005D5112">
        <w:t xml:space="preserve">using the shares from the model </w:t>
      </w:r>
      <w:r>
        <w:t>where mark</w:t>
      </w:r>
      <w:r w:rsidR="00252C43">
        <w:noBreakHyphen/>
      </w:r>
      <w:r>
        <w:t>ups are allowed to vary</w:t>
      </w:r>
      <w:r w:rsidRPr="005D5112">
        <w:t xml:space="preserve"> (</w:t>
      </w:r>
      <w:r>
        <w:t>2</w:t>
      </w:r>
      <w:r w:rsidRPr="005D5112">
        <w:t>)</w:t>
      </w:r>
      <w:r>
        <w:t>;</w:t>
      </w:r>
      <w:r w:rsidRPr="005D5112">
        <w:t xml:space="preserve"> </w:t>
      </w:r>
      <w:r>
        <w:t>and one using the share from the model where mark</w:t>
      </w:r>
      <w:r w:rsidR="00252C43">
        <w:noBreakHyphen/>
      </w:r>
      <w:r>
        <w:t>ups are held steady, leaving</w:t>
      </w:r>
      <w:r w:rsidRPr="005D5112">
        <w:t xml:space="preserve"> the productivity</w:t>
      </w:r>
      <w:r w:rsidR="00252C43">
        <w:noBreakHyphen/>
      </w:r>
      <w:r w:rsidR="00CE62C6">
        <w:t>employment</w:t>
      </w:r>
      <w:r w:rsidR="00252C43">
        <w:noBreakHyphen/>
      </w:r>
      <w:r w:rsidRPr="005D5112">
        <w:t>growth relationship at the level present at the beginning of the sample (</w:t>
      </w:r>
      <w:r w:rsidR="00BA0C79">
        <w:t>3</w:t>
      </w:r>
      <w:r w:rsidRPr="005D5112">
        <w:t>)</w:t>
      </w:r>
      <w:r>
        <w:t>. More formally:</w:t>
      </w:r>
    </w:p>
    <w:p w14:paraId="78D7887C" w14:textId="77777777" w:rsidR="0095241E" w:rsidRPr="005D5112" w:rsidRDefault="00247E5F" w:rsidP="0095241E">
      <w:pPr>
        <w:ind w:left="720"/>
        <w:jc w:val="center"/>
        <w:rPr>
          <w:rFonts w:eastAsiaTheme="minorEastAsia"/>
          <w:iCs/>
        </w:rPr>
      </w:pPr>
      <m:oMathPara>
        <m:oMath>
          <m:sSub>
            <m:sSubPr>
              <m:ctrlPr>
                <w:rPr>
                  <w:rFonts w:ascii="Cambria Math" w:hAnsi="Cambria Math"/>
                  <w:i/>
                  <w:iCs/>
                </w:rPr>
              </m:ctrlPr>
            </m:sSubPr>
            <m:e>
              <m:r>
                <w:rPr>
                  <w:rFonts w:ascii="Cambria Math" w:hAnsi="Cambria Math"/>
                </w:rPr>
                <m:t>P</m:t>
              </m:r>
            </m:e>
            <m:sub>
              <m:r>
                <w:rPr>
                  <w:rFonts w:ascii="Cambria Math" w:hAnsi="Cambria Math"/>
                </w:rPr>
                <m:t>t</m:t>
              </m:r>
            </m:sub>
          </m:sSub>
          <m:r>
            <w:rPr>
              <w:rFonts w:ascii="Cambria Math" w:hAnsi="Cambria Math"/>
            </w:rPr>
            <m:t>=</m:t>
          </m:r>
          <m:nary>
            <m:naryPr>
              <m:chr m:val="∑"/>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s</m:t>
                  </m:r>
                </m:e>
                <m:sub>
                  <m:r>
                    <w:rPr>
                      <w:rFonts w:ascii="Cambria Math" w:hAnsi="Cambria Math"/>
                    </w:rPr>
                    <m:t>it</m:t>
                  </m:r>
                </m:sub>
              </m:sSub>
              <m:sSub>
                <m:sSubPr>
                  <m:ctrlPr>
                    <w:rPr>
                      <w:rFonts w:ascii="Cambria Math" w:hAnsi="Cambria Math"/>
                      <w:i/>
                      <w:iCs/>
                    </w:rPr>
                  </m:ctrlPr>
                </m:sSubPr>
                <m:e>
                  <m:r>
                    <w:rPr>
                      <w:rFonts w:ascii="Cambria Math" w:hAnsi="Cambria Math"/>
                    </w:rPr>
                    <m:t>p</m:t>
                  </m:r>
                </m:e>
                <m:sub>
                  <m:r>
                    <w:rPr>
                      <w:rFonts w:ascii="Cambria Math" w:hAnsi="Cambria Math"/>
                    </w:rPr>
                    <m:t>it</m:t>
                  </m:r>
                </m:sub>
              </m:sSub>
            </m:e>
          </m:nary>
          <m:r>
            <w:rPr>
              <w:rFonts w:ascii="Cambria Math" w:hAnsi="Cambria Math"/>
            </w:rPr>
            <m:t xml:space="preserve">                               (1)</m:t>
          </m:r>
        </m:oMath>
      </m:oMathPara>
    </w:p>
    <w:p w14:paraId="7F9BE4E5" w14:textId="77777777" w:rsidR="0095241E" w:rsidRPr="00FF3B6C" w:rsidRDefault="00247E5F" w:rsidP="0095241E">
      <w:pPr>
        <w:ind w:left="720"/>
        <w:jc w:val="center"/>
        <w:rPr>
          <w:rFonts w:eastAsiaTheme="minorEastAsia"/>
          <w:iCs/>
        </w:rPr>
      </w:pPr>
      <m:oMathPara>
        <m:oMathParaPr>
          <m:jc m:val="center"/>
        </m:oMathParaPr>
        <m:oMath>
          <m:sSubSup>
            <m:sSubSupPr>
              <m:ctrlPr>
                <w:rPr>
                  <w:rFonts w:ascii="Cambria Math" w:hAnsi="Cambria Math"/>
                  <w:i/>
                  <w:iCs/>
                </w:rPr>
              </m:ctrlPr>
            </m:sSubSupPr>
            <m:e>
              <m:r>
                <w:rPr>
                  <w:rFonts w:ascii="Cambria Math" w:hAnsi="Cambria Math"/>
                </w:rPr>
                <m:t>P</m:t>
              </m:r>
            </m:e>
            <m:sub>
              <m:r>
                <w:rPr>
                  <w:rFonts w:ascii="Cambria Math" w:hAnsi="Cambria Math"/>
                </w:rPr>
                <m:t>t+1</m:t>
              </m:r>
            </m:sub>
            <m:sup>
              <m:r>
                <w:rPr>
                  <w:rFonts w:ascii="Cambria Math" w:hAnsi="Cambria Math"/>
                </w:rPr>
                <m:t>∆μ</m:t>
              </m:r>
            </m:sup>
          </m:sSubSup>
          <m:r>
            <w:rPr>
              <w:rFonts w:ascii="Cambria Math" w:hAnsi="Cambria Math"/>
            </w:rPr>
            <m:t>=</m:t>
          </m:r>
          <m:nary>
            <m:naryPr>
              <m:chr m:val="∑"/>
              <m:subHide m:val="1"/>
              <m:supHide m:val="1"/>
              <m:ctrlPr>
                <w:rPr>
                  <w:rFonts w:ascii="Cambria Math" w:hAnsi="Cambria Math"/>
                  <w:i/>
                  <w:iCs/>
                </w:rPr>
              </m:ctrlPr>
            </m:naryPr>
            <m:sub/>
            <m:sup/>
            <m:e>
              <m:sSub>
                <m:sSubPr>
                  <m:ctrlPr>
                    <w:rPr>
                      <w:rFonts w:ascii="Cambria Math" w:hAnsi="Cambria Math"/>
                      <w:i/>
                      <w:iCs/>
                    </w:rPr>
                  </m:ctrlPr>
                </m:sSubPr>
                <m:e>
                  <m:sSubSup>
                    <m:sSubSupPr>
                      <m:ctrlPr>
                        <w:rPr>
                          <w:rFonts w:ascii="Cambria Math" w:hAnsi="Cambria Math"/>
                          <w:i/>
                          <w:iCs/>
                        </w:rPr>
                      </m:ctrlPr>
                    </m:sSubSupPr>
                    <m:e>
                      <m:r>
                        <w:rPr>
                          <w:rFonts w:ascii="Cambria Math" w:hAnsi="Cambria Math"/>
                        </w:rPr>
                        <m:t>s</m:t>
                      </m:r>
                    </m:e>
                    <m:sub>
                      <m:r>
                        <w:rPr>
                          <w:rFonts w:ascii="Cambria Math" w:hAnsi="Cambria Math"/>
                        </w:rPr>
                        <m:t>i,t+1</m:t>
                      </m:r>
                    </m:sub>
                    <m:sup>
                      <m:r>
                        <w:rPr>
                          <w:rFonts w:ascii="Cambria Math" w:hAnsi="Cambria Math"/>
                        </w:rPr>
                        <m:t>∆μ</m:t>
                      </m:r>
                    </m:sup>
                  </m:sSubSup>
                  <m:r>
                    <w:rPr>
                      <w:rFonts w:ascii="Cambria Math" w:hAnsi="Cambria Math"/>
                    </w:rPr>
                    <m:t>p</m:t>
                  </m:r>
                </m:e>
                <m:sub>
                  <m:r>
                    <w:rPr>
                      <w:rFonts w:ascii="Cambria Math" w:hAnsi="Cambria Math"/>
                    </w:rPr>
                    <m:t>it</m:t>
                  </m:r>
                </m:sub>
              </m:sSub>
            </m:e>
          </m:nary>
          <m:r>
            <w:rPr>
              <w:rFonts w:ascii="Cambria Math" w:hAnsi="Cambria Math"/>
            </w:rPr>
            <m:t xml:space="preserve">             (2)</m:t>
          </m:r>
        </m:oMath>
      </m:oMathPara>
    </w:p>
    <w:p w14:paraId="1AA91C1B" w14:textId="77777777" w:rsidR="0095241E" w:rsidRPr="00FF3B6C" w:rsidRDefault="00247E5F" w:rsidP="0095241E">
      <w:pPr>
        <w:ind w:left="720"/>
        <w:jc w:val="center"/>
        <w:rPr>
          <w:rFonts w:eastAsiaTheme="minorEastAsia"/>
        </w:rPr>
      </w:pPr>
      <m:oMathPara>
        <m:oMathParaPr>
          <m:jc m:val="center"/>
        </m:oMathParaPr>
        <m:oMath>
          <m:sSubSup>
            <m:sSubSupPr>
              <m:ctrlPr>
                <w:rPr>
                  <w:rFonts w:ascii="Cambria Math" w:hAnsi="Cambria Math"/>
                  <w:i/>
                  <w:iCs/>
                </w:rPr>
              </m:ctrlPr>
            </m:sSubSupPr>
            <m:e>
              <m:r>
                <w:rPr>
                  <w:rFonts w:ascii="Cambria Math" w:hAnsi="Cambria Math"/>
                </w:rPr>
                <m:t>P</m:t>
              </m:r>
            </m:e>
            <m:sub>
              <m:r>
                <w:rPr>
                  <w:rFonts w:ascii="Cambria Math" w:hAnsi="Cambria Math"/>
                </w:rPr>
                <m:t>t+1</m:t>
              </m:r>
            </m:sub>
            <m:sup>
              <m:r>
                <w:rPr>
                  <w:rFonts w:ascii="Cambria Math" w:hAnsi="Cambria Math"/>
                </w:rPr>
                <m:t>Cons μ</m:t>
              </m:r>
            </m:sup>
          </m:sSubSup>
          <m:r>
            <w:rPr>
              <w:rFonts w:ascii="Cambria Math" w:hAnsi="Cambria Math"/>
            </w:rPr>
            <m:t>=</m:t>
          </m:r>
          <m:nary>
            <m:naryPr>
              <m:chr m:val="∑"/>
              <m:subHide m:val="1"/>
              <m:supHide m:val="1"/>
              <m:ctrlPr>
                <w:rPr>
                  <w:rFonts w:ascii="Cambria Math" w:hAnsi="Cambria Math"/>
                  <w:i/>
                  <w:iCs/>
                </w:rPr>
              </m:ctrlPr>
            </m:naryPr>
            <m:sub/>
            <m:sup/>
            <m:e>
              <m:sSubSup>
                <m:sSubSupPr>
                  <m:ctrlPr>
                    <w:rPr>
                      <w:rFonts w:ascii="Cambria Math" w:hAnsi="Cambria Math"/>
                      <w:i/>
                      <w:iCs/>
                    </w:rPr>
                  </m:ctrlPr>
                </m:sSubSupPr>
                <m:e>
                  <m:r>
                    <w:rPr>
                      <w:rFonts w:ascii="Cambria Math" w:hAnsi="Cambria Math"/>
                    </w:rPr>
                    <m:t>s</m:t>
                  </m:r>
                </m:e>
                <m:sub>
                  <m:r>
                    <w:rPr>
                      <w:rFonts w:ascii="Cambria Math" w:hAnsi="Cambria Math"/>
                    </w:rPr>
                    <m:t>i,t+1</m:t>
                  </m:r>
                </m:sub>
                <m:sup>
                  <m:r>
                    <w:rPr>
                      <w:rFonts w:ascii="Cambria Math" w:hAnsi="Cambria Math"/>
                    </w:rPr>
                    <m:t>Cons μ</m:t>
                  </m:r>
                </m:sup>
              </m:sSubSup>
              <m:sSub>
                <m:sSubPr>
                  <m:ctrlPr>
                    <w:rPr>
                      <w:rFonts w:ascii="Cambria Math" w:hAnsi="Cambria Math"/>
                      <w:i/>
                      <w:iCs/>
                    </w:rPr>
                  </m:ctrlPr>
                </m:sSubPr>
                <m:e>
                  <m:r>
                    <w:rPr>
                      <w:rFonts w:ascii="Cambria Math" w:hAnsi="Cambria Math"/>
                    </w:rPr>
                    <m:t>p</m:t>
                  </m:r>
                </m:e>
                <m:sub>
                  <m:r>
                    <w:rPr>
                      <w:rFonts w:ascii="Cambria Math" w:hAnsi="Cambria Math"/>
                    </w:rPr>
                    <m:t>it</m:t>
                  </m:r>
                </m:sub>
              </m:sSub>
            </m:e>
          </m:nary>
          <m:r>
            <w:rPr>
              <w:rFonts w:ascii="Cambria Math" w:hAnsi="Cambria Math"/>
            </w:rPr>
            <m:t xml:space="preserve">  (3)</m:t>
          </m:r>
        </m:oMath>
      </m:oMathPara>
    </w:p>
    <w:p w14:paraId="64A7F579" w14:textId="7F756053" w:rsidR="0095241E" w:rsidRDefault="0095241E" w:rsidP="0095241E">
      <w:pPr>
        <w:jc w:val="both"/>
      </w:pPr>
      <w:r>
        <w:t>The difference between the base index and either of the other indices shows the predicted productivity growth due to reallocation. For example, the predicted gains in productivity based on the model with varying mark</w:t>
      </w:r>
      <w:r w:rsidR="00252C43">
        <w:noBreakHyphen/>
      </w:r>
      <w:r>
        <w:t>ups is:</w:t>
      </w:r>
    </w:p>
    <w:p w14:paraId="1A810F9B" w14:textId="77777777" w:rsidR="0095241E" w:rsidRDefault="00247E5F" w:rsidP="0095241E">
      <w:pPr>
        <w:jc w:val="both"/>
      </w:pPr>
      <m:oMathPara>
        <m:oMath>
          <m:sSubSup>
            <m:sSubSupPr>
              <m:ctrlPr>
                <w:rPr>
                  <w:rFonts w:ascii="Cambria Math" w:hAnsi="Cambria Math"/>
                  <w:i/>
                  <w:iCs/>
                </w:rPr>
              </m:ctrlPr>
            </m:sSubSupPr>
            <m:e>
              <m:r>
                <w:rPr>
                  <w:rFonts w:ascii="Cambria Math" w:hAnsi="Cambria Math"/>
                </w:rPr>
                <m:t>(P</m:t>
              </m:r>
            </m:e>
            <m:sub>
              <m:r>
                <w:rPr>
                  <w:rFonts w:ascii="Cambria Math" w:hAnsi="Cambria Math"/>
                </w:rPr>
                <m:t>t+1</m:t>
              </m:r>
            </m:sub>
            <m:sup>
              <m:r>
                <w:rPr>
                  <w:rFonts w:ascii="Cambria Math" w:hAnsi="Cambria Math"/>
                </w:rPr>
                <m:t>∆μ</m:t>
              </m:r>
            </m:sup>
          </m:sSubSup>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t</m:t>
              </m:r>
            </m:sub>
          </m:sSub>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i</m:t>
              </m:r>
            </m:sub>
            <m:sup/>
            <m:e>
              <m:d>
                <m:dPr>
                  <m:ctrlPr>
                    <w:rPr>
                      <w:rFonts w:ascii="Cambria Math" w:hAnsi="Cambria Math"/>
                      <w:i/>
                      <w:iCs/>
                    </w:rPr>
                  </m:ctrlPr>
                </m:dPr>
                <m:e>
                  <m:sSubSup>
                    <m:sSubSupPr>
                      <m:ctrlPr>
                        <w:rPr>
                          <w:rFonts w:ascii="Cambria Math" w:hAnsi="Cambria Math"/>
                          <w:i/>
                          <w:iCs/>
                        </w:rPr>
                      </m:ctrlPr>
                    </m:sSubSupPr>
                    <m:e>
                      <m:r>
                        <w:rPr>
                          <w:rFonts w:ascii="Cambria Math" w:hAnsi="Cambria Math"/>
                        </w:rPr>
                        <m:t>s</m:t>
                      </m:r>
                    </m:e>
                    <m:sub>
                      <m:r>
                        <w:rPr>
                          <w:rFonts w:ascii="Cambria Math" w:hAnsi="Cambria Math"/>
                        </w:rPr>
                        <m:t>i,t+1</m:t>
                      </m:r>
                    </m:sub>
                    <m:sup>
                      <m:r>
                        <w:rPr>
                          <w:rFonts w:ascii="Cambria Math" w:hAnsi="Cambria Math"/>
                        </w:rPr>
                        <m:t>∆μ</m:t>
                      </m:r>
                    </m:sup>
                  </m:sSubSup>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it</m:t>
                      </m:r>
                    </m:sub>
                  </m:sSub>
                </m:e>
              </m:d>
              <m:sSub>
                <m:sSubPr>
                  <m:ctrlPr>
                    <w:rPr>
                      <w:rFonts w:ascii="Cambria Math" w:hAnsi="Cambria Math"/>
                      <w:i/>
                      <w:iCs/>
                    </w:rPr>
                  </m:ctrlPr>
                </m:sSubPr>
                <m:e>
                  <m:r>
                    <w:rPr>
                      <w:rFonts w:ascii="Cambria Math" w:hAnsi="Cambria Math"/>
                    </w:rPr>
                    <m:t>p</m:t>
                  </m:r>
                </m:e>
                <m:sub>
                  <m:r>
                    <w:rPr>
                      <w:rFonts w:ascii="Cambria Math" w:hAnsi="Cambria Math"/>
                    </w:rPr>
                    <m:t>it</m:t>
                  </m:r>
                </m:sub>
              </m:sSub>
              <m:r>
                <w:rPr>
                  <w:rFonts w:ascii="Cambria Math" w:hAnsi="Cambria Math"/>
                </w:rPr>
                <m:t xml:space="preserve">  </m:t>
              </m:r>
            </m:e>
          </m:nary>
        </m:oMath>
      </m:oMathPara>
    </w:p>
    <w:p w14:paraId="64406F52" w14:textId="595C7B2A" w:rsidR="0095241E" w:rsidRDefault="0095241E" w:rsidP="0095241E">
      <w:pPr>
        <w:jc w:val="both"/>
      </w:pPr>
      <w:r>
        <w:t xml:space="preserve">The difference in these differences then captures how much slower </w:t>
      </w:r>
      <w:r w:rsidR="00743BA0">
        <w:t xml:space="preserve">aggregate </w:t>
      </w:r>
      <w:r>
        <w:t>productivity growth will be due to slower reallocation:</w:t>
      </w:r>
    </w:p>
    <w:p w14:paraId="16FB779B" w14:textId="77777777" w:rsidR="0095241E" w:rsidRPr="00AF5024" w:rsidRDefault="00247E5F" w:rsidP="0095241E">
      <w:pPr>
        <w:jc w:val="both"/>
        <w:rPr>
          <w:rFonts w:eastAsiaTheme="minorEastAsia"/>
          <w:iCs/>
        </w:rPr>
      </w:pPr>
      <m:oMathPara>
        <m:oMath>
          <m:sSubSup>
            <m:sSubSupPr>
              <m:ctrlPr>
                <w:rPr>
                  <w:rFonts w:ascii="Cambria Math" w:hAnsi="Cambria Math"/>
                  <w:i/>
                  <w:iCs/>
                </w:rPr>
              </m:ctrlPr>
            </m:sSubSupPr>
            <m:e>
              <m:r>
                <w:rPr>
                  <w:rFonts w:ascii="Cambria Math" w:hAnsi="Cambria Math"/>
                </w:rPr>
                <m:t>(P</m:t>
              </m:r>
            </m:e>
            <m:sub>
              <m:r>
                <w:rPr>
                  <w:rFonts w:ascii="Cambria Math" w:hAnsi="Cambria Math"/>
                </w:rPr>
                <m:t>t+1</m:t>
              </m:r>
            </m:sub>
            <m:sup>
              <m:r>
                <w:rPr>
                  <w:rFonts w:ascii="Cambria Math" w:hAnsi="Cambria Math"/>
                </w:rPr>
                <m:t>∆μ</m:t>
              </m:r>
            </m:sup>
          </m:sSubSup>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t</m:t>
              </m:r>
            </m:sub>
          </m:sSub>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t+1</m:t>
              </m:r>
            </m:sub>
            <m:sup>
              <m:r>
                <w:rPr>
                  <w:rFonts w:ascii="Cambria Math" w:hAnsi="Cambria Math"/>
                </w:rPr>
                <m:t>Cons μ</m:t>
              </m:r>
            </m:sup>
          </m:sSubSup>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t</m:t>
              </m:r>
            </m:sub>
          </m:sSub>
          <m:r>
            <w:rPr>
              <w:rFonts w:ascii="Cambria Math" w:hAnsi="Cambria Math"/>
            </w:rPr>
            <m:t>)=</m:t>
          </m:r>
          <m:nary>
            <m:naryPr>
              <m:chr m:val="∑"/>
              <m:subHide m:val="1"/>
              <m:supHide m:val="1"/>
              <m:ctrlPr>
                <w:rPr>
                  <w:rFonts w:ascii="Cambria Math" w:hAnsi="Cambria Math"/>
                  <w:i/>
                  <w:iCs/>
                </w:rPr>
              </m:ctrlPr>
            </m:naryPr>
            <m:sub/>
            <m:sup/>
            <m:e>
              <m:r>
                <w:rPr>
                  <w:rFonts w:ascii="Cambria Math" w:hAnsi="Cambria Math"/>
                </w:rPr>
                <m:t>(</m:t>
              </m:r>
              <m:sSubSup>
                <m:sSubSupPr>
                  <m:ctrlPr>
                    <w:rPr>
                      <w:rFonts w:ascii="Cambria Math" w:hAnsi="Cambria Math"/>
                      <w:i/>
                      <w:iCs/>
                    </w:rPr>
                  </m:ctrlPr>
                </m:sSubSupPr>
                <m:e>
                  <m:r>
                    <w:rPr>
                      <w:rFonts w:ascii="Cambria Math" w:hAnsi="Cambria Math"/>
                    </w:rPr>
                    <m:t>s</m:t>
                  </m:r>
                </m:e>
                <m:sub>
                  <m:r>
                    <w:rPr>
                      <w:rFonts w:ascii="Cambria Math" w:hAnsi="Cambria Math"/>
                    </w:rPr>
                    <m:t>i,t+1</m:t>
                  </m:r>
                </m:sub>
                <m:sup>
                  <m:r>
                    <w:rPr>
                      <w:rFonts w:ascii="Cambria Math" w:hAnsi="Cambria Math"/>
                    </w:rPr>
                    <m:t>∆μ</m:t>
                  </m:r>
                </m:sup>
              </m:sSubSup>
              <m:r>
                <w:rPr>
                  <w:rFonts w:ascii="Cambria Math" w:hAnsi="Cambria Math"/>
                </w:rPr>
                <m:t>-</m:t>
              </m:r>
              <m:sSubSup>
                <m:sSubSupPr>
                  <m:ctrlPr>
                    <w:rPr>
                      <w:rFonts w:ascii="Cambria Math" w:hAnsi="Cambria Math"/>
                      <w:i/>
                      <w:iCs/>
                    </w:rPr>
                  </m:ctrlPr>
                </m:sSubSupPr>
                <m:e>
                  <m:r>
                    <w:rPr>
                      <w:rFonts w:ascii="Cambria Math" w:hAnsi="Cambria Math"/>
                    </w:rPr>
                    <m:t>s</m:t>
                  </m:r>
                </m:e>
                <m:sub>
                  <m:r>
                    <w:rPr>
                      <w:rFonts w:ascii="Cambria Math" w:hAnsi="Cambria Math"/>
                    </w:rPr>
                    <m:t>i,t+1</m:t>
                  </m:r>
                </m:sub>
                <m:sup>
                  <m:r>
                    <w:rPr>
                      <w:rFonts w:ascii="Cambria Math" w:hAnsi="Cambria Math"/>
                    </w:rPr>
                    <m:t>Cons μ</m:t>
                  </m:r>
                </m:sup>
              </m:sSubSup>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it</m:t>
                  </m:r>
                </m:sub>
              </m:sSub>
            </m:e>
          </m:nary>
        </m:oMath>
      </m:oMathPara>
    </w:p>
    <w:p w14:paraId="48282E7B" w14:textId="37B6967F" w:rsidR="0095241E" w:rsidRDefault="0095241E" w:rsidP="0095241E">
      <w:pPr>
        <w:jc w:val="both"/>
        <w:rPr>
          <w:rFonts w:eastAsiaTheme="minorEastAsia"/>
          <w:iCs/>
        </w:rPr>
      </w:pPr>
      <w:r>
        <w:rPr>
          <w:rFonts w:eastAsiaTheme="minorEastAsia"/>
          <w:iCs/>
        </w:rPr>
        <w:fldChar w:fldCharType="begin"/>
      </w:r>
      <w:r>
        <w:rPr>
          <w:rFonts w:eastAsiaTheme="minorEastAsia"/>
          <w:iCs/>
        </w:rPr>
        <w:instrText xml:space="preserve"> REF _Ref31989625 \h  \* MERGEFORMAT </w:instrText>
      </w:r>
      <w:r>
        <w:rPr>
          <w:rFonts w:eastAsiaTheme="minorEastAsia"/>
          <w:iCs/>
        </w:rPr>
      </w:r>
      <w:r>
        <w:rPr>
          <w:rFonts w:eastAsiaTheme="minorEastAsia"/>
          <w:iCs/>
        </w:rPr>
        <w:fldChar w:fldCharType="separate"/>
      </w:r>
      <w:r w:rsidR="007D6DAF" w:rsidRPr="007D6DAF">
        <w:rPr>
          <w:rFonts w:eastAsiaTheme="minorEastAsia"/>
          <w:iCs/>
        </w:rPr>
        <w:t>Figure 10</w:t>
      </w:r>
      <w:r>
        <w:rPr>
          <w:rFonts w:eastAsiaTheme="minorEastAsia"/>
          <w:iCs/>
        </w:rPr>
        <w:fldChar w:fldCharType="end"/>
      </w:r>
      <w:r>
        <w:rPr>
          <w:rFonts w:eastAsiaTheme="minorEastAsia"/>
          <w:iCs/>
        </w:rPr>
        <w:t xml:space="preserve"> (Panel A) illustrates the results for this exercise using the unweighted average mark</w:t>
      </w:r>
      <w:r w:rsidR="00252C43">
        <w:rPr>
          <w:rFonts w:eastAsiaTheme="minorEastAsia"/>
          <w:iCs/>
        </w:rPr>
        <w:noBreakHyphen/>
      </w:r>
      <w:r>
        <w:rPr>
          <w:rFonts w:eastAsiaTheme="minorEastAsia"/>
          <w:iCs/>
        </w:rPr>
        <w:t>up. It indicates that the drag on productivity growth associated with increase mark</w:t>
      </w:r>
      <w:r w:rsidR="00252C43">
        <w:rPr>
          <w:rFonts w:eastAsiaTheme="minorEastAsia"/>
          <w:iCs/>
        </w:rPr>
        <w:noBreakHyphen/>
      </w:r>
      <w:r>
        <w:rPr>
          <w:rFonts w:eastAsiaTheme="minorEastAsia"/>
          <w:iCs/>
        </w:rPr>
        <w:t xml:space="preserve">ups was around </w:t>
      </w:r>
      <w:r w:rsidR="00743BA0">
        <w:rPr>
          <w:rFonts w:eastAsiaTheme="minorEastAsia"/>
          <w:iCs/>
        </w:rPr>
        <w:t>between 0.10 and 0.13</w:t>
      </w:r>
      <w:r>
        <w:rPr>
          <w:rFonts w:eastAsiaTheme="minorEastAsia"/>
          <w:iCs/>
        </w:rPr>
        <w:t xml:space="preserve"> percentage points per annum, on average since 2011/12. This accounts for around ¾ of the slowdown documented in AH, and around </w:t>
      </w:r>
      <w:r w:rsidR="00CE62C6">
        <w:rPr>
          <w:rFonts w:eastAsiaTheme="minorEastAsia" w:cs="Calibri"/>
          <w:iCs/>
        </w:rPr>
        <w:t>⅕</w:t>
      </w:r>
      <w:r>
        <w:rPr>
          <w:rFonts w:eastAsiaTheme="minorEastAsia"/>
          <w:iCs/>
        </w:rPr>
        <w:t xml:space="preserve"> of the slowdown in</w:t>
      </w:r>
      <w:r w:rsidR="00743BA0">
        <w:rPr>
          <w:rFonts w:eastAsiaTheme="minorEastAsia"/>
          <w:iCs/>
        </w:rPr>
        <w:t xml:space="preserve"> overall aggregate</w:t>
      </w:r>
      <w:r>
        <w:rPr>
          <w:rFonts w:eastAsiaTheme="minorEastAsia"/>
          <w:iCs/>
        </w:rPr>
        <w:t xml:space="preserve"> productivity growth observed in recent years. </w:t>
      </w:r>
    </w:p>
    <w:p w14:paraId="488BEEDD" w14:textId="3C971F94" w:rsidR="0095241E" w:rsidRPr="00094624" w:rsidRDefault="0095241E" w:rsidP="00A22163">
      <w:pPr>
        <w:pStyle w:val="ChartMainHeading"/>
      </w:pPr>
      <w:bookmarkStart w:id="11" w:name="_Ref31989625"/>
      <w:bookmarkStart w:id="12" w:name="_Ref31989613"/>
      <w:r w:rsidRPr="00094624">
        <w:lastRenderedPageBreak/>
        <w:t xml:space="preserve">Figure </w:t>
      </w:r>
      <w:fldSimple w:instr=" SEQ Figure \* ARABIC ">
        <w:r w:rsidR="007D6DAF">
          <w:rPr>
            <w:noProof/>
          </w:rPr>
          <w:t>10</w:t>
        </w:r>
      </w:fldSimple>
      <w:bookmarkEnd w:id="11"/>
      <w:r w:rsidRPr="00094624">
        <w:t xml:space="preserve">: The </w:t>
      </w:r>
      <w:r w:rsidR="00932D67">
        <w:t>C</w:t>
      </w:r>
      <w:r w:rsidRPr="00094624">
        <w:t xml:space="preserve">hanging </w:t>
      </w:r>
      <w:r w:rsidR="00932D67">
        <w:t>C</w:t>
      </w:r>
      <w:r w:rsidRPr="00094624">
        <w:t xml:space="preserve">ontribution of </w:t>
      </w:r>
      <w:r w:rsidR="00932D67">
        <w:t>R</w:t>
      </w:r>
      <w:r w:rsidRPr="00094624">
        <w:t xml:space="preserve">eallocation to </w:t>
      </w:r>
      <w:r w:rsidR="00932D67">
        <w:t>A</w:t>
      </w:r>
      <w:r w:rsidRPr="00094624">
        <w:t xml:space="preserve">ggregate </w:t>
      </w:r>
      <w:r w:rsidR="00932D67">
        <w:t>L</w:t>
      </w:r>
      <w:r w:rsidRPr="00094624">
        <w:t xml:space="preserve">abour </w:t>
      </w:r>
      <w:r w:rsidR="00932D67">
        <w:t>P</w:t>
      </w:r>
      <w:r w:rsidRPr="00094624">
        <w:t xml:space="preserve">roductivity </w:t>
      </w:r>
      <w:r w:rsidR="00932D67">
        <w:t>G</w:t>
      </w:r>
      <w:r w:rsidRPr="00094624">
        <w:t>rowth</w:t>
      </w:r>
      <w:bookmarkEnd w:id="12"/>
    </w:p>
    <w:p w14:paraId="3B576762" w14:textId="2283D6D2" w:rsidR="0095241E" w:rsidRPr="004262E6" w:rsidRDefault="0095241E" w:rsidP="00A22163">
      <w:pPr>
        <w:pStyle w:val="ChartSecondHeading"/>
      </w:pPr>
      <w:r>
        <w:t xml:space="preserve">Panel A: Differential annual </w:t>
      </w:r>
      <w:r w:rsidRPr="004262E6">
        <w:t>labour productivity</w:t>
      </w:r>
      <w:r>
        <w:t xml:space="preserve"> growth with unweighted average mark</w:t>
      </w:r>
      <w:r w:rsidR="00252C43">
        <w:noBreakHyphen/>
      </w:r>
      <w:r>
        <w:t xml:space="preserve">up at 2004 level </w:t>
      </w:r>
    </w:p>
    <w:p w14:paraId="2325DEF0" w14:textId="500BE108" w:rsidR="0095241E" w:rsidRPr="00560D98" w:rsidRDefault="00980AEC" w:rsidP="00373491">
      <w:pPr>
        <w:pStyle w:val="Figuregraphic"/>
        <w:keepNext/>
        <w:rPr>
          <w:color w:val="auto"/>
        </w:rPr>
      </w:pPr>
      <w:r w:rsidRPr="00980AEC">
        <w:rPr>
          <w:noProof/>
          <w:lang w:eastAsia="en-AU"/>
        </w:rPr>
        <w:drawing>
          <wp:inline distT="0" distB="0" distL="0" distR="0" wp14:anchorId="6BEBCF0B" wp14:editId="1A8DC4E8">
            <wp:extent cx="5575300" cy="2438400"/>
            <wp:effectExtent l="0" t="0" r="6350" b="0"/>
            <wp:docPr id="21" name="Picture 21" descr="Panel A on this chart shows estimates of the effect of increasing mark-ups on annual labour productivity growth for the non-financial private sector over time by slowing efficient reallocation. After some variability from 2005 to 2010, the estimates were consistently negative, at around -0.10 from 2011 to 2017. This indicates that had mark-ups been unchanged, it is estimated that productivity growth would have been somewhat higher from 2011 onw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75300" cy="2438400"/>
                    </a:xfrm>
                    <a:prstGeom prst="rect">
                      <a:avLst/>
                    </a:prstGeom>
                    <a:noFill/>
                    <a:ln>
                      <a:noFill/>
                    </a:ln>
                  </pic:spPr>
                </pic:pic>
              </a:graphicData>
            </a:graphic>
          </wp:inline>
        </w:drawing>
      </w:r>
    </w:p>
    <w:p w14:paraId="7EE669D6" w14:textId="77777777" w:rsidR="0095241E" w:rsidRPr="00FA66A8" w:rsidRDefault="0095241E" w:rsidP="00373491">
      <w:pPr>
        <w:pStyle w:val="FigureSecondHeading"/>
      </w:pPr>
      <w:r>
        <w:t>Panel B: A</w:t>
      </w:r>
      <w:r w:rsidRPr="00FA66A8">
        <w:t xml:space="preserve">verage annual growth in </w:t>
      </w:r>
      <w:r>
        <w:t>aggregate</w:t>
      </w:r>
      <w:r w:rsidRPr="00FA66A8">
        <w:t xml:space="preserve"> labour productivity</w:t>
      </w:r>
    </w:p>
    <w:p w14:paraId="68772FF9" w14:textId="774EA4B6" w:rsidR="0095241E" w:rsidRDefault="0033060D" w:rsidP="00373491">
      <w:pPr>
        <w:pStyle w:val="FigureHeading"/>
        <w:rPr>
          <w:color w:val="auto"/>
        </w:rPr>
      </w:pPr>
      <w:r w:rsidRPr="0033060D">
        <w:rPr>
          <w:noProof/>
        </w:rPr>
        <w:drawing>
          <wp:inline distT="0" distB="0" distL="0" distR="0" wp14:anchorId="23BD5ED9" wp14:editId="3E46E329">
            <wp:extent cx="5581650" cy="2882900"/>
            <wp:effectExtent l="0" t="0" r="0" b="0"/>
            <wp:docPr id="19" name="Picture 19" descr="Panel B summarises this. It shows that productivity growth in the early 2000s was around 1.6, but fell to a bit below 1.0 per cent from 2012. Had reallocation not slowed due to higher mark-ups, labour productivity growth would have been 0.1 percentage points higher, per the estimates in this paper. Had reallocation not slowed at all, productivity growth would have been 0.15 percentage points higher, per the estimates in Andrews and Hansel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1650" cy="2882900"/>
                    </a:xfrm>
                    <a:prstGeom prst="rect">
                      <a:avLst/>
                    </a:prstGeom>
                    <a:noFill/>
                    <a:ln>
                      <a:noFill/>
                    </a:ln>
                  </pic:spPr>
                </pic:pic>
              </a:graphicData>
            </a:graphic>
          </wp:inline>
        </w:drawing>
      </w:r>
    </w:p>
    <w:p w14:paraId="0DD4D3F3" w14:textId="3E2A07BA" w:rsidR="00FE45C4" w:rsidRPr="00221067" w:rsidRDefault="00FE45C4" w:rsidP="00373491">
      <w:pPr>
        <w:pStyle w:val="Figuregraphic"/>
        <w:keepNext/>
        <w:jc w:val="left"/>
        <w:rPr>
          <w:sz w:val="18"/>
          <w:szCs w:val="18"/>
          <w:lang w:eastAsia="en-AU"/>
        </w:rPr>
      </w:pPr>
      <w:r w:rsidRPr="00221067">
        <w:rPr>
          <w:color w:val="auto"/>
          <w:sz w:val="18"/>
          <w:szCs w:val="18"/>
        </w:rPr>
        <w:t xml:space="preserve">Note: </w:t>
      </w:r>
      <w:r w:rsidR="0033060D" w:rsidRPr="00221067">
        <w:rPr>
          <w:sz w:val="18"/>
          <w:szCs w:val="18"/>
        </w:rPr>
        <w:t xml:space="preserve">Panel A depicts annual movements in the counterfactual index, which shows how much slower productivity growth was than predicted by this counterfactual exercise were mark-ups remained unchanged. Panel B shows </w:t>
      </w:r>
      <w:r w:rsidR="00221067" w:rsidRPr="00221067">
        <w:rPr>
          <w:sz w:val="18"/>
          <w:szCs w:val="18"/>
        </w:rPr>
        <w:t xml:space="preserve">how </w:t>
      </w:r>
      <w:r w:rsidR="0033060D" w:rsidRPr="00221067">
        <w:rPr>
          <w:sz w:val="18"/>
          <w:szCs w:val="18"/>
        </w:rPr>
        <w:t>much higher aggregate labour productivity growth would have been over 2012-2016 had the efficiency of labour reallocation not declined</w:t>
      </w:r>
      <w:r w:rsidR="00221067" w:rsidRPr="00221067">
        <w:rPr>
          <w:sz w:val="18"/>
          <w:szCs w:val="18"/>
        </w:rPr>
        <w:t xml:space="preserve"> (Counterfactual – AH), and the portion that can be accounted for by mark-ups rising (Counterfactual – Mark-up)</w:t>
      </w:r>
      <w:r w:rsidR="0033060D" w:rsidRPr="00221067">
        <w:rPr>
          <w:sz w:val="18"/>
          <w:szCs w:val="18"/>
        </w:rPr>
        <w:t>, based on the estimates in Panel A</w:t>
      </w:r>
      <w:r w:rsidR="00221067" w:rsidRPr="00221067">
        <w:rPr>
          <w:sz w:val="18"/>
          <w:szCs w:val="18"/>
        </w:rPr>
        <w:t xml:space="preserve"> and Andrews and Hansell (2019)</w:t>
      </w:r>
      <w:r w:rsidR="0033060D" w:rsidRPr="00221067">
        <w:rPr>
          <w:sz w:val="18"/>
          <w:szCs w:val="18"/>
        </w:rPr>
        <w:t xml:space="preserve">. </w:t>
      </w:r>
      <w:r w:rsidRPr="00221067">
        <w:rPr>
          <w:color w:val="auto"/>
          <w:sz w:val="18"/>
          <w:szCs w:val="18"/>
        </w:rPr>
        <w:t>Treasury calculations based on ABS BLADE</w:t>
      </w:r>
      <w:r w:rsidR="00932D67" w:rsidRPr="00221067">
        <w:rPr>
          <w:color w:val="auto"/>
          <w:sz w:val="18"/>
          <w:szCs w:val="18"/>
        </w:rPr>
        <w:t>.</w:t>
      </w:r>
    </w:p>
    <w:p w14:paraId="265D24CC" w14:textId="42FD8736" w:rsidR="00D319EE" w:rsidRPr="00A22163" w:rsidRDefault="003B3B59" w:rsidP="00A22163">
      <w:pPr>
        <w:pStyle w:val="Heading2"/>
      </w:pPr>
      <w:r w:rsidRPr="00A22163">
        <w:t>Concl</w:t>
      </w:r>
      <w:r w:rsidR="00C95442" w:rsidRPr="00A22163">
        <w:t>u</w:t>
      </w:r>
      <w:r w:rsidR="00C92ABC" w:rsidRPr="00A22163">
        <w:t>sion</w:t>
      </w:r>
    </w:p>
    <w:p w14:paraId="1F6097A7" w14:textId="414A05D6" w:rsidR="008E33F7" w:rsidRDefault="00135001" w:rsidP="00BA0C79">
      <w:pPr>
        <w:jc w:val="both"/>
      </w:pPr>
      <w:r>
        <w:t>Like many other countries, Australia has experienced a slowdown in productivity growth underpinned by declining dynamism</w:t>
      </w:r>
      <w:r w:rsidR="006645EF">
        <w:t>. This has very real implications for wages, government balances, and economic growth and welfare more generally, and so it is crucial to better understand the underlying causes.</w:t>
      </w:r>
      <w:r w:rsidR="00DD3ECA">
        <w:t xml:space="preserve"> </w:t>
      </w:r>
    </w:p>
    <w:p w14:paraId="566521AC" w14:textId="1D6F9E11" w:rsidR="0016400B" w:rsidRDefault="0095241E" w:rsidP="004D0C98">
      <w:pPr>
        <w:jc w:val="both"/>
      </w:pPr>
      <w:r>
        <w:t xml:space="preserve">This paper </w:t>
      </w:r>
      <w:r w:rsidR="002A5C5F">
        <w:t>demonstrates</w:t>
      </w:r>
      <w:r>
        <w:t xml:space="preserve"> that firms</w:t>
      </w:r>
      <w:r w:rsidR="00252C43">
        <w:t>’</w:t>
      </w:r>
      <w:r>
        <w:t xml:space="preserve"> mark</w:t>
      </w:r>
      <w:r w:rsidR="00252C43">
        <w:noBreakHyphen/>
      </w:r>
      <w:r>
        <w:t xml:space="preserve">ups </w:t>
      </w:r>
      <w:r w:rsidR="00FD0D36">
        <w:t xml:space="preserve">and market power </w:t>
      </w:r>
      <w:r>
        <w:t>have increased in Australia i</w:t>
      </w:r>
      <w:r w:rsidR="002C1C18">
        <w:t>n the non</w:t>
      </w:r>
      <w:r w:rsidR="00252C43">
        <w:noBreakHyphen/>
      </w:r>
      <w:r w:rsidR="002C1C18">
        <w:t>finance market sector</w:t>
      </w:r>
      <w:r w:rsidR="00F01140">
        <w:t xml:space="preserve"> since the mid</w:t>
      </w:r>
      <w:r w:rsidR="00252C43">
        <w:noBreakHyphen/>
      </w:r>
      <w:r w:rsidR="00F01140">
        <w:t>2000s</w:t>
      </w:r>
      <w:r w:rsidR="00F53299">
        <w:t xml:space="preserve">, </w:t>
      </w:r>
      <w:r w:rsidR="00FD0D36">
        <w:t xml:space="preserve">and that this has weighed on dynamism and </w:t>
      </w:r>
      <w:r w:rsidR="00E25F05">
        <w:t xml:space="preserve">labour </w:t>
      </w:r>
      <w:r w:rsidR="00FD0D36">
        <w:t>productivity growth</w:t>
      </w:r>
      <w:r w:rsidR="00F53299">
        <w:t>.</w:t>
      </w:r>
      <w:r w:rsidR="00FD0D36">
        <w:t xml:space="preserve"> </w:t>
      </w:r>
      <w:proofErr w:type="gramStart"/>
      <w:r w:rsidR="00FD0D36">
        <w:t>In particular, rising</w:t>
      </w:r>
      <w:proofErr w:type="gramEnd"/>
      <w:r w:rsidR="00FD0D36">
        <w:t xml:space="preserve"> </w:t>
      </w:r>
      <w:r w:rsidR="008E33F7">
        <w:t xml:space="preserve">market power </w:t>
      </w:r>
      <w:r w:rsidR="00C002BA">
        <w:t xml:space="preserve">has reduced </w:t>
      </w:r>
      <w:r w:rsidR="008E33F7">
        <w:t xml:space="preserve">the rate of </w:t>
      </w:r>
      <w:r w:rsidR="00FD0D36">
        <w:t>(within</w:t>
      </w:r>
      <w:r w:rsidR="00252C43">
        <w:noBreakHyphen/>
      </w:r>
      <w:r w:rsidR="00FD0D36">
        <w:t xml:space="preserve">industry) </w:t>
      </w:r>
      <w:r w:rsidR="008E33F7">
        <w:lastRenderedPageBreak/>
        <w:t>productivity</w:t>
      </w:r>
      <w:r w:rsidR="00252C43">
        <w:noBreakHyphen/>
      </w:r>
      <w:r w:rsidR="008E33F7">
        <w:t>enhancing labour reallocation</w:t>
      </w:r>
      <w:r w:rsidR="00C002BA">
        <w:t xml:space="preserve">, </w:t>
      </w:r>
      <w:r w:rsidR="00341C34">
        <w:t xml:space="preserve">which has in turn lowered </w:t>
      </w:r>
      <w:r w:rsidR="00E25F05">
        <w:t>annual labour productivity</w:t>
      </w:r>
      <w:r w:rsidR="00341C34">
        <w:t xml:space="preserve"> growth</w:t>
      </w:r>
      <w:r w:rsidR="00F01140">
        <w:t xml:space="preserve"> by 0.1 percentage points since </w:t>
      </w:r>
      <w:r w:rsidR="00E25F05">
        <w:t>(about one fifth of the observed slowdown</w:t>
      </w:r>
      <w:r w:rsidR="00F01140">
        <w:t xml:space="preserve"> since 2012</w:t>
      </w:r>
      <w:r w:rsidR="00E25F05">
        <w:t xml:space="preserve">). This helps to explain the findings of </w:t>
      </w:r>
      <w:r w:rsidR="004D0C98">
        <w:t>Andrews and Hansell (2019)</w:t>
      </w:r>
      <w:r w:rsidR="00E25F05">
        <w:t xml:space="preserve">, who document slowing labour reallocation </w:t>
      </w:r>
      <w:r w:rsidR="00C002BA">
        <w:t>as a</w:t>
      </w:r>
      <w:r w:rsidR="004D0C98">
        <w:t xml:space="preserve"> key micro</w:t>
      </w:r>
      <w:r w:rsidR="00252C43">
        <w:noBreakHyphen/>
      </w:r>
      <w:r w:rsidR="004D0C98">
        <w:t>driver of Australia</w:t>
      </w:r>
      <w:r w:rsidR="00252C43">
        <w:t>’</w:t>
      </w:r>
      <w:r w:rsidR="004D0C98">
        <w:t xml:space="preserve">s productivity slowdown. </w:t>
      </w:r>
      <w:r w:rsidR="009D1003">
        <w:t>Moreover, this</w:t>
      </w:r>
      <w:r w:rsidR="004D0C98">
        <w:t xml:space="preserve"> estimate abstracts from</w:t>
      </w:r>
      <w:r w:rsidR="0016400B">
        <w:t xml:space="preserve"> </w:t>
      </w:r>
      <w:r w:rsidR="002C1C18">
        <w:t xml:space="preserve">other potential negative effects of increased market power, such as decreased incentives for innovation and </w:t>
      </w:r>
      <w:r w:rsidR="0016400B">
        <w:t>within</w:t>
      </w:r>
      <w:r w:rsidR="00252C43">
        <w:noBreakHyphen/>
      </w:r>
      <w:r w:rsidR="0016400B">
        <w:t>firm productivity growth</w:t>
      </w:r>
      <w:r w:rsidR="00F01140">
        <w:t>, suggesting that the true effects are larger.</w:t>
      </w:r>
    </w:p>
    <w:p w14:paraId="0D8E7FE3" w14:textId="0E91CC8C" w:rsidR="0095241E" w:rsidRDefault="000B4E42" w:rsidP="00BA0C79">
      <w:pPr>
        <w:jc w:val="both"/>
      </w:pPr>
      <w:r>
        <w:t>Nevertheless, it is significant that the estimated</w:t>
      </w:r>
      <w:r w:rsidR="0095241E">
        <w:t xml:space="preserve"> increase in mark</w:t>
      </w:r>
      <w:r w:rsidR="00252C43">
        <w:noBreakHyphen/>
      </w:r>
      <w:r w:rsidR="0095241E">
        <w:t>ups is smaller than previously documented for Australia</w:t>
      </w:r>
      <w:r w:rsidR="00932D67">
        <w:t xml:space="preserve"> </w:t>
      </w:r>
      <w:r w:rsidR="0095241E">
        <w:t xml:space="preserve">in De </w:t>
      </w:r>
      <w:proofErr w:type="spellStart"/>
      <w:r w:rsidR="0095241E">
        <w:t>Loecker</w:t>
      </w:r>
      <w:proofErr w:type="spellEnd"/>
      <w:r w:rsidR="0095241E">
        <w:t xml:space="preserve"> and </w:t>
      </w:r>
      <w:proofErr w:type="spellStart"/>
      <w:r w:rsidR="0095241E">
        <w:t>Eeckhout</w:t>
      </w:r>
      <w:proofErr w:type="spellEnd"/>
      <w:r w:rsidR="0095241E">
        <w:t xml:space="preserve"> (2019), and </w:t>
      </w:r>
      <w:r w:rsidR="002C1C18">
        <w:t>slightly smaller than the average increase observed for other advanced economies</w:t>
      </w:r>
      <w:r w:rsidR="0095241E">
        <w:t>. In part, this might reflect the larger and more representative dat</w:t>
      </w:r>
      <w:r w:rsidR="0016400B">
        <w:t>aset used in this study</w:t>
      </w:r>
      <w:r w:rsidR="0095241E">
        <w:t>. But</w:t>
      </w:r>
      <w:r>
        <w:t xml:space="preserve"> there is also a real possibility </w:t>
      </w:r>
      <w:r w:rsidR="0095241E">
        <w:t>that the increase in market power in Australia</w:t>
      </w:r>
      <w:r w:rsidR="00F01140">
        <w:t xml:space="preserve"> over this period</w:t>
      </w:r>
      <w:r w:rsidR="0095241E">
        <w:t xml:space="preserve"> has been smaller than in other advanced economies</w:t>
      </w:r>
      <w:r>
        <w:t xml:space="preserve">, which could reflect differences in the policy environment. Indeed, this finding is </w:t>
      </w:r>
      <w:r w:rsidR="00F01140">
        <w:t xml:space="preserve">somewhat consistent with the fact that </w:t>
      </w:r>
      <w:r>
        <w:t xml:space="preserve">Australia performs well </w:t>
      </w:r>
      <w:r w:rsidR="0025776B">
        <w:t xml:space="preserve">in </w:t>
      </w:r>
      <w:r>
        <w:t xml:space="preserve">the OECD </w:t>
      </w:r>
      <w:r w:rsidR="0025776B">
        <w:t>product</w:t>
      </w:r>
      <w:r>
        <w:t xml:space="preserve"> market regulation </w:t>
      </w:r>
      <w:r w:rsidR="0025776B">
        <w:t>rankings, consistently ranking in the top one</w:t>
      </w:r>
      <w:r w:rsidR="00252C43">
        <w:noBreakHyphen/>
      </w:r>
      <w:r w:rsidR="0025776B">
        <w:t>third of countries during the sample period</w:t>
      </w:r>
      <w:r>
        <w:t>.</w:t>
      </w:r>
    </w:p>
    <w:p w14:paraId="51FE0B37" w14:textId="526079EA" w:rsidR="000007E6" w:rsidRDefault="000007E6" w:rsidP="00BA0C79">
      <w:pPr>
        <w:jc w:val="both"/>
      </w:pPr>
      <w:r>
        <w:t xml:space="preserve">The paper also highlights the potentially important role for technology change, </w:t>
      </w:r>
      <w:proofErr w:type="gramStart"/>
      <w:r>
        <w:t>intangibles</w:t>
      </w:r>
      <w:proofErr w:type="gramEnd"/>
      <w:r>
        <w:t xml:space="preserve"> and fixed </w:t>
      </w:r>
      <w:r w:rsidR="0025776B">
        <w:t>costs in explaining higher mark</w:t>
      </w:r>
      <w:r w:rsidR="00252C43">
        <w:noBreakHyphen/>
      </w:r>
      <w:r w:rsidR="0025776B">
        <w:t>ups</w:t>
      </w:r>
      <w:r>
        <w:t xml:space="preserve">. </w:t>
      </w:r>
      <w:r w:rsidR="0025776B">
        <w:t>Indeed,</w:t>
      </w:r>
      <w:r>
        <w:t xml:space="preserve"> mark</w:t>
      </w:r>
      <w:r w:rsidR="00252C43">
        <w:noBreakHyphen/>
      </w:r>
      <w:r>
        <w:t xml:space="preserve">ups increased </w:t>
      </w:r>
      <w:r w:rsidR="0025776B">
        <w:t xml:space="preserve">by </w:t>
      </w:r>
      <w:r w:rsidR="00D945C8">
        <w:t xml:space="preserve">more than </w:t>
      </w:r>
      <w:r w:rsidR="0025776B">
        <w:t>twice as much</w:t>
      </w:r>
      <w:r>
        <w:t xml:space="preserve"> in</w:t>
      </w:r>
      <w:r w:rsidR="000571E4">
        <w:t xml:space="preserve"> more digitally intensive sectors tha</w:t>
      </w:r>
      <w:r w:rsidR="008E5629">
        <w:t>t</w:t>
      </w:r>
      <w:r w:rsidR="000571E4">
        <w:t xml:space="preserve"> may rely more heavily on intangible investments, such as R&amp;D, or on platform or network effects</w:t>
      </w:r>
      <w:r w:rsidR="008E5629">
        <w:t>. This highlights the important and complex competition</w:t>
      </w:r>
      <w:r w:rsidR="00252C43">
        <w:noBreakHyphen/>
      </w:r>
      <w:r w:rsidR="008E5629">
        <w:t>related issues associated with such technologies, which are beyond the scope of this paper.</w:t>
      </w:r>
    </w:p>
    <w:p w14:paraId="51256716" w14:textId="32B571C6" w:rsidR="0026361A" w:rsidRDefault="00C94939" w:rsidP="00C94939">
      <w:pPr>
        <w:jc w:val="both"/>
      </w:pPr>
      <w:r>
        <w:t>Future research could look to</w:t>
      </w:r>
      <w:r w:rsidR="0095241E">
        <w:t xml:space="preserve"> quantify the impacts of increasing market power and mark</w:t>
      </w:r>
      <w:r w:rsidR="00252C43">
        <w:noBreakHyphen/>
      </w:r>
      <w:r w:rsidR="0095241E">
        <w:t>ups on the Australian economy</w:t>
      </w:r>
      <w:r>
        <w:t xml:space="preserve"> using other approaches, such as </w:t>
      </w:r>
      <w:r w:rsidR="0095241E">
        <w:t xml:space="preserve">structural models (e.g. Edmond et al 2109; De </w:t>
      </w:r>
      <w:proofErr w:type="spellStart"/>
      <w:r w:rsidR="0095241E">
        <w:t>Loecker</w:t>
      </w:r>
      <w:proofErr w:type="spellEnd"/>
      <w:r w:rsidR="0095241E">
        <w:t xml:space="preserve"> et al 20</w:t>
      </w:r>
      <w:r w:rsidR="004A6B19">
        <w:t>21</w:t>
      </w:r>
      <w:r w:rsidR="0095241E">
        <w:t>) or the non</w:t>
      </w:r>
      <w:r w:rsidR="00252C43">
        <w:noBreakHyphen/>
      </w:r>
      <w:r w:rsidR="0095241E">
        <w:t xml:space="preserve">parametric approach of </w:t>
      </w:r>
      <w:proofErr w:type="spellStart"/>
      <w:r w:rsidR="0095241E">
        <w:t>Baqaee</w:t>
      </w:r>
      <w:proofErr w:type="spellEnd"/>
      <w:r w:rsidR="0095241E">
        <w:t xml:space="preserve"> and </w:t>
      </w:r>
      <w:proofErr w:type="spellStart"/>
      <w:r w:rsidR="0095241E">
        <w:t>Fahri</w:t>
      </w:r>
      <w:proofErr w:type="spellEnd"/>
      <w:r w:rsidR="0095241E">
        <w:t xml:space="preserve"> (2019).</w:t>
      </w:r>
      <w:r>
        <w:t xml:space="preserve"> It could also explore whether</w:t>
      </w:r>
      <w:r w:rsidR="0026361A">
        <w:t xml:space="preserve"> market power has </w:t>
      </w:r>
      <w:r>
        <w:t>affected</w:t>
      </w:r>
      <w:r w:rsidR="0026361A">
        <w:t xml:space="preserve"> productivity growth through</w:t>
      </w:r>
      <w:r>
        <w:t xml:space="preserve"> within</w:t>
      </w:r>
      <w:r w:rsidR="00252C43">
        <w:noBreakHyphen/>
      </w:r>
      <w:r>
        <w:t>firm channels, such as by weighing on</w:t>
      </w:r>
      <w:r w:rsidR="00DB7A00">
        <w:t xml:space="preserve"> incentives to innovate</w:t>
      </w:r>
      <w:r w:rsidR="0026361A">
        <w:t xml:space="preserve"> or adopt </w:t>
      </w:r>
      <w:r w:rsidR="00B52EBF">
        <w:t>world</w:t>
      </w:r>
      <w:r w:rsidR="0026361A">
        <w:t xml:space="preserve"> leading technologies (Andrews et al </w:t>
      </w:r>
      <w:r w:rsidR="00372655">
        <w:t>f</w:t>
      </w:r>
      <w:r w:rsidR="0026361A">
        <w:t>orthcoming)</w:t>
      </w:r>
      <w:r w:rsidR="00B52EBF">
        <w:t>.</w:t>
      </w:r>
    </w:p>
    <w:p w14:paraId="231357D7" w14:textId="4E5DC0F4" w:rsidR="00B52EBF" w:rsidRDefault="00C94939" w:rsidP="000007E6">
      <w:pPr>
        <w:jc w:val="both"/>
      </w:pPr>
      <w:r>
        <w:t xml:space="preserve">Finally, </w:t>
      </w:r>
      <w:r w:rsidR="0026361A">
        <w:t>f</w:t>
      </w:r>
      <w:r w:rsidR="0095241E">
        <w:t xml:space="preserve">uture work could </w:t>
      </w:r>
      <w:r>
        <w:t xml:space="preserve">try </w:t>
      </w:r>
      <w:r w:rsidR="0095241E">
        <w:t>to better understand the cause</w:t>
      </w:r>
      <w:r w:rsidR="00DB7A00">
        <w:t>s</w:t>
      </w:r>
      <w:r w:rsidR="0095241E">
        <w:t xml:space="preserve"> of declin</w:t>
      </w:r>
      <w:r w:rsidR="00DB7A00">
        <w:t>ing</w:t>
      </w:r>
      <w:r w:rsidR="0095241E">
        <w:t xml:space="preserve"> competition</w:t>
      </w:r>
      <w:r w:rsidR="00B52EBF">
        <w:t xml:space="preserve"> to inform potential policy response</w:t>
      </w:r>
      <w:r w:rsidR="00DB7A00">
        <w:t>s</w:t>
      </w:r>
      <w:r w:rsidR="00B52EBF">
        <w:t xml:space="preserve"> and thereby increase productivity growth. This </w:t>
      </w:r>
      <w:r>
        <w:t>may become even</w:t>
      </w:r>
      <w:r w:rsidR="00B52EBF">
        <w:t xml:space="preserve"> more </w:t>
      </w:r>
      <w:r>
        <w:t>vital</w:t>
      </w:r>
      <w:r w:rsidR="00B52EBF">
        <w:t xml:space="preserve"> </w:t>
      </w:r>
      <w:r w:rsidR="000007E6">
        <w:t>i</w:t>
      </w:r>
      <w:r w:rsidR="00B52EBF">
        <w:t>n the post COVID</w:t>
      </w:r>
      <w:r w:rsidR="00252C43">
        <w:noBreakHyphen/>
      </w:r>
      <w:r w:rsidR="00B52EBF">
        <w:t>19 world given its likely implication</w:t>
      </w:r>
      <w:r w:rsidR="000007E6">
        <w:t>s</w:t>
      </w:r>
      <w:r w:rsidR="00B52EBF">
        <w:t xml:space="preserve"> for competition, and </w:t>
      </w:r>
      <w:r w:rsidR="000007E6">
        <w:t>the need to have</w:t>
      </w:r>
      <w:r w:rsidR="003339B0">
        <w:t xml:space="preserve"> structural</w:t>
      </w:r>
      <w:r w:rsidR="000007E6">
        <w:t xml:space="preserve"> </w:t>
      </w:r>
      <w:r w:rsidR="00B52EBF">
        <w:t xml:space="preserve">policy settings </w:t>
      </w:r>
      <w:r w:rsidR="00E57417">
        <w:t>that accommodate the</w:t>
      </w:r>
      <w:r w:rsidR="007F7674">
        <w:t xml:space="preserve"> innovation, dynamism and</w:t>
      </w:r>
      <w:r w:rsidR="00B52EBF">
        <w:t xml:space="preserve"> productivity</w:t>
      </w:r>
      <w:r w:rsidR="00E57417">
        <w:t xml:space="preserve"> growth</w:t>
      </w:r>
      <w:r w:rsidR="00B52EBF">
        <w:t xml:space="preserve"> </w:t>
      </w:r>
      <w:r w:rsidR="00E57417">
        <w:t>required</w:t>
      </w:r>
      <w:r w:rsidR="000007E6">
        <w:t xml:space="preserve"> to </w:t>
      </w:r>
      <w:r w:rsidR="007F7674">
        <w:t>drive</w:t>
      </w:r>
      <w:r w:rsidR="000007E6">
        <w:t xml:space="preserve"> </w:t>
      </w:r>
      <w:r w:rsidR="00B52EBF">
        <w:t>a quick and sustained recovery</w:t>
      </w:r>
      <w:r w:rsidR="00E61DC3">
        <w:t xml:space="preserve"> </w:t>
      </w:r>
      <w:r w:rsidR="00CA24B5">
        <w:t>(</w:t>
      </w:r>
      <w:r w:rsidR="00E61DC3">
        <w:t>D</w:t>
      </w:r>
      <w:r w:rsidR="0020381D">
        <w:t>ieppe et al</w:t>
      </w:r>
      <w:r w:rsidR="00E61DC3">
        <w:t xml:space="preserve"> 2020)</w:t>
      </w:r>
      <w:r w:rsidR="00B52EBF">
        <w:t>.</w:t>
      </w:r>
    </w:p>
    <w:p w14:paraId="60058FA5" w14:textId="77777777" w:rsidR="00B52EBF" w:rsidRDefault="00B52EBF" w:rsidP="00BA0C79">
      <w:pPr>
        <w:jc w:val="both"/>
      </w:pPr>
    </w:p>
    <w:p w14:paraId="2CD4FFE4" w14:textId="14EE04A7" w:rsidR="0026361A" w:rsidRDefault="0026361A" w:rsidP="008E5629">
      <w:pPr>
        <w:jc w:val="both"/>
      </w:pPr>
    </w:p>
    <w:p w14:paraId="783A06C1" w14:textId="77777777" w:rsidR="0026361A" w:rsidRDefault="0026361A" w:rsidP="00BA0C79">
      <w:pPr>
        <w:jc w:val="both"/>
      </w:pPr>
    </w:p>
    <w:p w14:paraId="2690B555" w14:textId="5BFB803A" w:rsidR="00C9356D" w:rsidRDefault="00C9356D" w:rsidP="00CE61A3">
      <w:pPr>
        <w:jc w:val="both"/>
        <w:rPr>
          <w:color w:val="auto"/>
        </w:rPr>
      </w:pPr>
      <w:r>
        <w:rPr>
          <w:color w:val="auto"/>
        </w:rPr>
        <w:br w:type="page"/>
      </w:r>
    </w:p>
    <w:p w14:paraId="188937A7" w14:textId="77777777" w:rsidR="00275F6A" w:rsidRDefault="00275F6A" w:rsidP="00275F6A">
      <w:pPr>
        <w:pStyle w:val="AppendixHeadingLevel2NotNumbered"/>
      </w:pPr>
      <w:r>
        <w:lastRenderedPageBreak/>
        <w:t>References</w:t>
      </w:r>
    </w:p>
    <w:p w14:paraId="0FB1D33B" w14:textId="275CFDAC" w:rsidR="00BE16B2" w:rsidRDefault="00BE16B2">
      <w:pPr>
        <w:spacing w:after="200" w:line="276" w:lineRule="auto"/>
      </w:pPr>
      <w:proofErr w:type="spellStart"/>
      <w:r>
        <w:t>Ackerberg</w:t>
      </w:r>
      <w:proofErr w:type="spellEnd"/>
      <w:r>
        <w:t xml:space="preserve"> DA, K Caves and G Frazer (2015), </w:t>
      </w:r>
      <w:r w:rsidR="00252C43">
        <w:t>‘</w:t>
      </w:r>
      <w:r>
        <w:t>Identification Properties of Recent Production Function Estimators</w:t>
      </w:r>
      <w:r w:rsidR="00252C43">
        <w:t>’</w:t>
      </w:r>
      <w:r>
        <w:t xml:space="preserve">, </w:t>
      </w:r>
      <w:proofErr w:type="spellStart"/>
      <w:r w:rsidRPr="006D5036">
        <w:rPr>
          <w:i/>
        </w:rPr>
        <w:t>Econometrica</w:t>
      </w:r>
      <w:proofErr w:type="spellEnd"/>
      <w:r>
        <w:t>, 83(6), pp 2411</w:t>
      </w:r>
      <w:r w:rsidR="00252C43">
        <w:noBreakHyphen/>
      </w:r>
      <w:r>
        <w:t>2451.</w:t>
      </w:r>
    </w:p>
    <w:p w14:paraId="22F7BAE6" w14:textId="11D798CE" w:rsidR="00FA14ED" w:rsidRPr="00FA14ED" w:rsidRDefault="00BE16B2">
      <w:pPr>
        <w:spacing w:after="200" w:line="276" w:lineRule="auto"/>
      </w:pPr>
      <w:r>
        <w:t>Aghion P</w:t>
      </w:r>
      <w:r w:rsidR="00FA14ED">
        <w:t xml:space="preserve">, N Bloom, R Blundell, R </w:t>
      </w:r>
      <w:proofErr w:type="gramStart"/>
      <w:r w:rsidR="00FA14ED">
        <w:t>Griffith</w:t>
      </w:r>
      <w:proofErr w:type="gramEnd"/>
      <w:r w:rsidR="00FA14ED">
        <w:t xml:space="preserve"> and P Howitt</w:t>
      </w:r>
      <w:r w:rsidR="00372655">
        <w:t xml:space="preserve"> </w:t>
      </w:r>
      <w:r w:rsidR="009D1003">
        <w:t>2005</w:t>
      </w:r>
      <w:r w:rsidR="00FA14ED">
        <w:t xml:space="preserve">, </w:t>
      </w:r>
      <w:r w:rsidR="00252C43">
        <w:t>‘</w:t>
      </w:r>
      <w:r w:rsidR="00FA14ED">
        <w:t>Competition and Innovation: An Inverted</w:t>
      </w:r>
      <w:r w:rsidR="00252C43">
        <w:noBreakHyphen/>
      </w:r>
      <w:r w:rsidR="00FA14ED">
        <w:t xml:space="preserve">U </w:t>
      </w:r>
      <w:r w:rsidR="005E5DB8">
        <w:t>Relationship</w:t>
      </w:r>
      <w:r w:rsidR="00252C43">
        <w:t>’</w:t>
      </w:r>
      <w:r w:rsidR="00FA14ED">
        <w:t xml:space="preserve">, </w:t>
      </w:r>
      <w:r w:rsidR="00FA14ED">
        <w:rPr>
          <w:i/>
        </w:rPr>
        <w:t>The Quarterly Journal of Economics</w:t>
      </w:r>
      <w:r w:rsidR="00FA14ED">
        <w:t>, 120(2), pp. 701</w:t>
      </w:r>
      <w:r w:rsidR="00252C43">
        <w:noBreakHyphen/>
      </w:r>
      <w:r w:rsidR="00FA14ED">
        <w:t>728.</w:t>
      </w:r>
    </w:p>
    <w:p w14:paraId="70CCFCF4" w14:textId="4AA31A26" w:rsidR="00CD4492" w:rsidRDefault="00BE16B2">
      <w:pPr>
        <w:spacing w:after="200" w:line="276" w:lineRule="auto"/>
      </w:pPr>
      <w:r>
        <w:t>Andrews D</w:t>
      </w:r>
      <w:r w:rsidR="00CD4492">
        <w:t xml:space="preserve">, C </w:t>
      </w:r>
      <w:proofErr w:type="spellStart"/>
      <w:r w:rsidR="00CD4492">
        <w:t>Criscuolo</w:t>
      </w:r>
      <w:proofErr w:type="spellEnd"/>
      <w:r w:rsidR="00CD4492">
        <w:t xml:space="preserve"> and P</w:t>
      </w:r>
      <w:r>
        <w:t>N</w:t>
      </w:r>
      <w:r w:rsidR="00CD4492">
        <w:t xml:space="preserve"> Gal (2019), </w:t>
      </w:r>
      <w:r w:rsidR="00252C43">
        <w:t>‘</w:t>
      </w:r>
      <w:r w:rsidR="00CD4492">
        <w:t>The Best Versus the Rest: Divergence Across Firms During the Global Productivity Slowdown</w:t>
      </w:r>
      <w:r w:rsidR="00252C43">
        <w:t>’</w:t>
      </w:r>
      <w:r w:rsidR="00CD4492">
        <w:t>, CEP Discussion Paper No. 1645</w:t>
      </w:r>
      <w:r w:rsidR="00372655">
        <w:t>.</w:t>
      </w:r>
    </w:p>
    <w:p w14:paraId="796E60AA" w14:textId="20816969" w:rsidR="00A310EE" w:rsidRDefault="00A310EE">
      <w:pPr>
        <w:spacing w:after="200" w:line="276" w:lineRule="auto"/>
      </w:pPr>
      <w:r>
        <w:t xml:space="preserve">Andrews D, N Deutscher, J Hambur and D Hansell (2019), </w:t>
      </w:r>
      <w:r w:rsidR="00252C43">
        <w:t>‘</w:t>
      </w:r>
      <w:r>
        <w:t>Wage Growth in Australia: Lessons from Longitudinal Microdata</w:t>
      </w:r>
      <w:r w:rsidR="00252C43">
        <w:t>’</w:t>
      </w:r>
      <w:r>
        <w:t>, Australian Treasury Working Paper No. 2019</w:t>
      </w:r>
      <w:r w:rsidR="00252C43">
        <w:noBreakHyphen/>
      </w:r>
      <w:r>
        <w:t>04.</w:t>
      </w:r>
    </w:p>
    <w:p w14:paraId="02662765" w14:textId="01C0DDFE" w:rsidR="000A62AA" w:rsidRDefault="000A62AA">
      <w:pPr>
        <w:spacing w:after="200" w:line="276" w:lineRule="auto"/>
      </w:pPr>
      <w:r>
        <w:t xml:space="preserve">Andrews D, J Hambur, D Hansell and A Wheeler, </w:t>
      </w:r>
      <w:r w:rsidR="00252C43">
        <w:t>‘</w:t>
      </w:r>
      <w:r>
        <w:t>Reaching for the Starts: Australian Firms and the Global Productivity Frontier</w:t>
      </w:r>
      <w:r w:rsidR="00252C43">
        <w:t>’</w:t>
      </w:r>
      <w:r>
        <w:t xml:space="preserve">, Forthcoming Treasury </w:t>
      </w:r>
      <w:r w:rsidR="00372655">
        <w:t>W</w:t>
      </w:r>
      <w:r>
        <w:t>orking Paper.</w:t>
      </w:r>
    </w:p>
    <w:p w14:paraId="5049465A" w14:textId="4B4C705E" w:rsidR="00780D95" w:rsidRDefault="00780D95">
      <w:pPr>
        <w:spacing w:after="200" w:line="276" w:lineRule="auto"/>
      </w:pPr>
      <w:r>
        <w:t xml:space="preserve">Andrews D and </w:t>
      </w:r>
      <w:r w:rsidR="00A310EE">
        <w:t xml:space="preserve">D </w:t>
      </w:r>
      <w:r>
        <w:t xml:space="preserve">Hansell (2019), </w:t>
      </w:r>
      <w:r w:rsidR="00252C43">
        <w:t>‘</w:t>
      </w:r>
      <w:r>
        <w:t>Productivity</w:t>
      </w:r>
      <w:r w:rsidR="00252C43">
        <w:noBreakHyphen/>
      </w:r>
      <w:r>
        <w:t>enhancing Labour Reallocation in Australia</w:t>
      </w:r>
      <w:r w:rsidR="00252C43">
        <w:t>’</w:t>
      </w:r>
      <w:r>
        <w:t>, Australian Treasury Working Paper No. 2019</w:t>
      </w:r>
      <w:r w:rsidR="00252C43">
        <w:noBreakHyphen/>
      </w:r>
      <w:r>
        <w:t>06.</w:t>
      </w:r>
    </w:p>
    <w:p w14:paraId="5AFBEDC8" w14:textId="57402CD0" w:rsidR="00AD27A2" w:rsidRDefault="00AD27A2" w:rsidP="00AD27A2">
      <w:pPr>
        <w:spacing w:after="200" w:line="276" w:lineRule="auto"/>
      </w:pPr>
      <w:proofErr w:type="spellStart"/>
      <w:r>
        <w:t>A</w:t>
      </w:r>
      <w:r w:rsidR="00BE16B2">
        <w:t>kcigit</w:t>
      </w:r>
      <w:proofErr w:type="spellEnd"/>
      <w:r w:rsidR="00BE16B2">
        <w:t xml:space="preserve"> U</w:t>
      </w:r>
      <w:r>
        <w:t xml:space="preserve"> and ST </w:t>
      </w:r>
      <w:proofErr w:type="spellStart"/>
      <w:r>
        <w:t>Ates</w:t>
      </w:r>
      <w:proofErr w:type="spellEnd"/>
      <w:r>
        <w:t xml:space="preserve"> (2019), </w:t>
      </w:r>
      <w:r w:rsidR="00252C43">
        <w:t>‘</w:t>
      </w:r>
      <w:r>
        <w:t>Ten Facts on Declining Business Dynamism and Lessons from Endogenous Growth Theory</w:t>
      </w:r>
      <w:r w:rsidR="00252C43">
        <w:t>’</w:t>
      </w:r>
      <w:r>
        <w:t>, NBER Working Paper No. 25755.</w:t>
      </w:r>
    </w:p>
    <w:p w14:paraId="5A9B02C3" w14:textId="2F955BD9" w:rsidR="00AD27A2" w:rsidRPr="00D61555" w:rsidRDefault="00D61555">
      <w:pPr>
        <w:spacing w:after="200" w:line="276" w:lineRule="auto"/>
      </w:pPr>
      <w:r>
        <w:t>Autor D</w:t>
      </w:r>
      <w:r w:rsidR="00BE16B2">
        <w:t>, D Dorn, L</w:t>
      </w:r>
      <w:r>
        <w:t xml:space="preserve">F Katz, C Patterson and J Van Reenen (2020), </w:t>
      </w:r>
      <w:r w:rsidR="00252C43">
        <w:t>‘</w:t>
      </w:r>
      <w:r>
        <w:t>The Fall of the Labour Share and the Rise of Superstar Firms</w:t>
      </w:r>
      <w:r w:rsidR="00252C43">
        <w:t>’</w:t>
      </w:r>
      <w:r>
        <w:t xml:space="preserve">, </w:t>
      </w:r>
      <w:r>
        <w:rPr>
          <w:i/>
        </w:rPr>
        <w:t xml:space="preserve">The Quarterly Journal of </w:t>
      </w:r>
      <w:proofErr w:type="gramStart"/>
      <w:r>
        <w:rPr>
          <w:i/>
        </w:rPr>
        <w:t>Economics</w:t>
      </w:r>
      <w:r>
        <w:t>,  Digitally</w:t>
      </w:r>
      <w:proofErr w:type="gramEnd"/>
      <w:r>
        <w:t xml:space="preserve"> published 3 February 2020.</w:t>
      </w:r>
    </w:p>
    <w:p w14:paraId="406C7338" w14:textId="1CB3CE86" w:rsidR="00FA14ED" w:rsidRDefault="00FA14ED">
      <w:pPr>
        <w:spacing w:after="200" w:line="276" w:lineRule="auto"/>
      </w:pPr>
      <w:proofErr w:type="spellStart"/>
      <w:r>
        <w:t>Bajgar</w:t>
      </w:r>
      <w:proofErr w:type="spellEnd"/>
      <w:r>
        <w:t xml:space="preserve"> M, G. </w:t>
      </w:r>
      <w:proofErr w:type="spellStart"/>
      <w:r>
        <w:t>Berlingieri</w:t>
      </w:r>
      <w:proofErr w:type="spellEnd"/>
      <w:r>
        <w:t>, S</w:t>
      </w:r>
      <w:r w:rsidR="00BE16B2">
        <w:t xml:space="preserve"> </w:t>
      </w:r>
      <w:proofErr w:type="spellStart"/>
      <w:r w:rsidR="00BE16B2">
        <w:t>Calligaris</w:t>
      </w:r>
      <w:proofErr w:type="spellEnd"/>
      <w:r w:rsidR="00BE16B2">
        <w:t xml:space="preserve">, C </w:t>
      </w:r>
      <w:proofErr w:type="spellStart"/>
      <w:r w:rsidR="00BE16B2">
        <w:t>Criscuolo</w:t>
      </w:r>
      <w:proofErr w:type="spellEnd"/>
      <w:r w:rsidR="00BE16B2">
        <w:t xml:space="preserve"> and J</w:t>
      </w:r>
      <w:r>
        <w:t xml:space="preserve"> Timms (2019), </w:t>
      </w:r>
      <w:r w:rsidR="00252C43">
        <w:t>‘</w:t>
      </w:r>
      <w:r>
        <w:t>Industry Concentration in Europe and North America</w:t>
      </w:r>
      <w:r w:rsidR="00252C43">
        <w:t>’</w:t>
      </w:r>
      <w:r>
        <w:t>, OECD Productivity Working Papers No. 18</w:t>
      </w:r>
      <w:r w:rsidR="00372655">
        <w:t xml:space="preserve">. </w:t>
      </w:r>
    </w:p>
    <w:p w14:paraId="46DB1A0E" w14:textId="54522921" w:rsidR="00911B52" w:rsidRDefault="00911B52">
      <w:pPr>
        <w:spacing w:after="200" w:line="276" w:lineRule="auto"/>
      </w:pPr>
      <w:r>
        <w:t xml:space="preserve">Bakhtiari S (2019), </w:t>
      </w:r>
      <w:r w:rsidR="00252C43">
        <w:t>‘</w:t>
      </w:r>
      <w:r>
        <w:t xml:space="preserve">Trends in the Market Concentration of </w:t>
      </w:r>
      <w:r w:rsidR="00780D95">
        <w:t>Australian</w:t>
      </w:r>
      <w:r>
        <w:t xml:space="preserve"> Industries</w:t>
      </w:r>
      <w:r w:rsidR="00252C43">
        <w:t>’</w:t>
      </w:r>
      <w:r>
        <w:t xml:space="preserve">, </w:t>
      </w:r>
      <w:r w:rsidR="00780D95">
        <w:t>Department of Industry Research Paper 8/2019.</w:t>
      </w:r>
    </w:p>
    <w:p w14:paraId="7E0A748C" w14:textId="38D1DFED" w:rsidR="00911B52" w:rsidRDefault="00911B52">
      <w:pPr>
        <w:spacing w:after="200" w:line="276" w:lineRule="auto"/>
      </w:pPr>
      <w:proofErr w:type="spellStart"/>
      <w:r>
        <w:t>Baqaee</w:t>
      </w:r>
      <w:proofErr w:type="spellEnd"/>
      <w:r>
        <w:t xml:space="preserve"> DR and E </w:t>
      </w:r>
      <w:proofErr w:type="spellStart"/>
      <w:r>
        <w:t>Fahri</w:t>
      </w:r>
      <w:proofErr w:type="spellEnd"/>
      <w:r>
        <w:t xml:space="preserve"> (2020), </w:t>
      </w:r>
      <w:r w:rsidR="00252C43">
        <w:t>‘</w:t>
      </w:r>
      <w:r w:rsidR="00780D95">
        <w:t>Productivity</w:t>
      </w:r>
      <w:r>
        <w:t xml:space="preserve"> and Misallocation in General </w:t>
      </w:r>
      <w:r w:rsidR="00780D95">
        <w:t>Equilibrium</w:t>
      </w:r>
      <w:r w:rsidR="00252C43">
        <w:t>’</w:t>
      </w:r>
      <w:r>
        <w:t xml:space="preserve">, </w:t>
      </w:r>
      <w:r>
        <w:rPr>
          <w:i/>
        </w:rPr>
        <w:t>The Quarterly Journal of Economics</w:t>
      </w:r>
      <w:r>
        <w:t>, 135(1), pp. 105</w:t>
      </w:r>
      <w:r w:rsidR="00252C43">
        <w:noBreakHyphen/>
      </w:r>
      <w:r>
        <w:t>163.</w:t>
      </w:r>
    </w:p>
    <w:p w14:paraId="430A034F" w14:textId="31620B33" w:rsidR="00237621" w:rsidRDefault="00237621" w:rsidP="00237621">
      <w:pPr>
        <w:spacing w:after="200" w:line="276" w:lineRule="auto"/>
        <w:rPr>
          <w:rFonts w:ascii="Times New Roman" w:hAnsi="Times New Roman"/>
          <w:color w:val="auto"/>
          <w:lang w:val="en"/>
        </w:rPr>
      </w:pPr>
      <w:proofErr w:type="spellStart"/>
      <w:r>
        <w:t>Barkai</w:t>
      </w:r>
      <w:proofErr w:type="spellEnd"/>
      <w:r>
        <w:t xml:space="preserve"> S (2019), </w:t>
      </w:r>
      <w:r w:rsidR="00252C43">
        <w:t>‘</w:t>
      </w:r>
      <w:r>
        <w:t xml:space="preserve">Declining </w:t>
      </w:r>
      <w:proofErr w:type="spellStart"/>
      <w:r>
        <w:t>Labor</w:t>
      </w:r>
      <w:proofErr w:type="spellEnd"/>
      <w:r>
        <w:t xml:space="preserve"> and Capital Shares</w:t>
      </w:r>
      <w:r w:rsidR="00252C43">
        <w:t>’</w:t>
      </w:r>
      <w:r>
        <w:t xml:space="preserve">, Available at SSRN: </w:t>
      </w:r>
      <w:hyperlink r:id="rId42" w:tgtFrame="_blank" w:history="1">
        <w:r>
          <w:rPr>
            <w:rStyle w:val="Hyperlink"/>
            <w:lang w:val="en"/>
          </w:rPr>
          <w:t>https://ssrn.com/abstract=3489965</w:t>
        </w:r>
      </w:hyperlink>
      <w:r>
        <w:rPr>
          <w:lang w:val="en"/>
        </w:rPr>
        <w:t xml:space="preserve">. </w:t>
      </w:r>
    </w:p>
    <w:p w14:paraId="4A3ED8BA" w14:textId="42ABF117" w:rsidR="00673562" w:rsidRDefault="00673562">
      <w:pPr>
        <w:spacing w:after="200" w:line="276" w:lineRule="auto"/>
      </w:pPr>
      <w:r>
        <w:t xml:space="preserve">Bennet TL (1920), </w:t>
      </w:r>
      <w:r w:rsidR="00252C43">
        <w:t>‘</w:t>
      </w:r>
      <w:r>
        <w:t>The Theory of Measurement of Changes in Cost of Living</w:t>
      </w:r>
      <w:r w:rsidR="00252C43">
        <w:t>’</w:t>
      </w:r>
      <w:r>
        <w:t xml:space="preserve">, </w:t>
      </w:r>
      <w:r>
        <w:rPr>
          <w:i/>
        </w:rPr>
        <w:t>Journal of the Royal Statistical Society</w:t>
      </w:r>
      <w:r>
        <w:t>, 83(2), pp. 455</w:t>
      </w:r>
      <w:r w:rsidR="00252C43">
        <w:noBreakHyphen/>
      </w:r>
      <w:r>
        <w:t>462.</w:t>
      </w:r>
    </w:p>
    <w:p w14:paraId="48843A78" w14:textId="37309D1E" w:rsidR="00A41777" w:rsidRDefault="00A41777">
      <w:pPr>
        <w:spacing w:after="200" w:line="276" w:lineRule="auto"/>
      </w:pPr>
      <w:r>
        <w:t xml:space="preserve">Bond S, Hashemi A, Kaplan G and </w:t>
      </w:r>
      <w:proofErr w:type="spellStart"/>
      <w:r>
        <w:t>Zoch</w:t>
      </w:r>
      <w:proofErr w:type="spellEnd"/>
      <w:r>
        <w:t xml:space="preserve"> P (2020), </w:t>
      </w:r>
      <w:r w:rsidR="00252C43">
        <w:t>‘</w:t>
      </w:r>
      <w:r>
        <w:t xml:space="preserve">Some Unpleasant </w:t>
      </w:r>
      <w:proofErr w:type="spellStart"/>
      <w:r>
        <w:t>Markup</w:t>
      </w:r>
      <w:proofErr w:type="spellEnd"/>
      <w:r>
        <w:t xml:space="preserve"> Arithmetic: Production Function Elasticities and their Estimation from Production Data</w:t>
      </w:r>
      <w:r w:rsidR="00252C43">
        <w:t>’</w:t>
      </w:r>
      <w:r>
        <w:t>, NBER Working Paper No. 27002.</w:t>
      </w:r>
    </w:p>
    <w:p w14:paraId="683059E1" w14:textId="2BC61C7F" w:rsidR="006261D6" w:rsidRDefault="006261D6">
      <w:pPr>
        <w:spacing w:after="200" w:line="276" w:lineRule="auto"/>
      </w:pPr>
      <w:proofErr w:type="spellStart"/>
      <w:r>
        <w:t>Brassil</w:t>
      </w:r>
      <w:proofErr w:type="spellEnd"/>
      <w:r>
        <w:t xml:space="preserve"> A (Forthcoming), </w:t>
      </w:r>
      <w:r w:rsidR="00252C43">
        <w:t>‘</w:t>
      </w:r>
      <w:r>
        <w:t xml:space="preserve">Explaining the </w:t>
      </w:r>
      <w:r w:rsidR="00FA4A44">
        <w:t>F</w:t>
      </w:r>
      <w:r>
        <w:t>all in the Financial Sector Labour Share</w:t>
      </w:r>
      <w:r w:rsidR="00252C43">
        <w:t>’</w:t>
      </w:r>
      <w:r>
        <w:t xml:space="preserve">, RBA </w:t>
      </w:r>
      <w:r w:rsidR="00FA4A44">
        <w:t>Research</w:t>
      </w:r>
      <w:r>
        <w:t xml:space="preserve"> Discussion Paper.</w:t>
      </w:r>
    </w:p>
    <w:p w14:paraId="7F8035AB" w14:textId="2A5931D6" w:rsidR="006379F7" w:rsidRDefault="00673562">
      <w:pPr>
        <w:spacing w:after="200" w:line="276" w:lineRule="auto"/>
      </w:pPr>
      <w:proofErr w:type="spellStart"/>
      <w:r>
        <w:t>Cal</w:t>
      </w:r>
      <w:r w:rsidR="009E7A2D">
        <w:t>l</w:t>
      </w:r>
      <w:r>
        <w:t>ig</w:t>
      </w:r>
      <w:r w:rsidR="006379F7">
        <w:t>aris</w:t>
      </w:r>
      <w:proofErr w:type="spellEnd"/>
      <w:r w:rsidR="006379F7">
        <w:t xml:space="preserve"> S, </w:t>
      </w:r>
      <w:r>
        <w:t xml:space="preserve">C </w:t>
      </w:r>
      <w:proofErr w:type="spellStart"/>
      <w:r>
        <w:t>Criscuolo</w:t>
      </w:r>
      <w:proofErr w:type="spellEnd"/>
      <w:r>
        <w:t xml:space="preserve"> and L </w:t>
      </w:r>
      <w:proofErr w:type="spellStart"/>
      <w:r>
        <w:t>Marcolin</w:t>
      </w:r>
      <w:proofErr w:type="spellEnd"/>
      <w:r w:rsidR="002246CA">
        <w:t xml:space="preserve"> 2018</w:t>
      </w:r>
      <w:r w:rsidR="00372655">
        <w:t xml:space="preserve">, </w:t>
      </w:r>
      <w:r w:rsidR="00252C43">
        <w:t>‘</w:t>
      </w:r>
      <w:r>
        <w:t>Mark</w:t>
      </w:r>
      <w:r w:rsidR="00252C43">
        <w:noBreakHyphen/>
      </w:r>
      <w:r>
        <w:t>ups in the Digital Era</w:t>
      </w:r>
      <w:r w:rsidR="00252C43">
        <w:t>’</w:t>
      </w:r>
      <w:r>
        <w:t xml:space="preserve">, OECD Science, </w:t>
      </w:r>
      <w:proofErr w:type="gramStart"/>
      <w:r>
        <w:t>Technology</w:t>
      </w:r>
      <w:proofErr w:type="gramEnd"/>
      <w:r>
        <w:t xml:space="preserve"> and Industry Working Papers No. 2018/10.</w:t>
      </w:r>
    </w:p>
    <w:p w14:paraId="4152BCA0" w14:textId="751DBBFB" w:rsidR="006379F7" w:rsidRPr="00911B52" w:rsidRDefault="006379F7">
      <w:pPr>
        <w:spacing w:after="200" w:line="276" w:lineRule="auto"/>
      </w:pPr>
      <w:r>
        <w:lastRenderedPageBreak/>
        <w:t xml:space="preserve">Calvino F, C </w:t>
      </w:r>
      <w:proofErr w:type="spellStart"/>
      <w:r>
        <w:t>Criscuolo</w:t>
      </w:r>
      <w:proofErr w:type="spellEnd"/>
      <w:r>
        <w:t xml:space="preserve">, L </w:t>
      </w:r>
      <w:proofErr w:type="spellStart"/>
      <w:r>
        <w:t>Marcolin</w:t>
      </w:r>
      <w:proofErr w:type="spellEnd"/>
      <w:r>
        <w:t xml:space="preserve"> and M </w:t>
      </w:r>
      <w:proofErr w:type="spellStart"/>
      <w:r>
        <w:t>Squicciarini</w:t>
      </w:r>
      <w:proofErr w:type="spellEnd"/>
      <w:r>
        <w:t xml:space="preserve"> (2018), </w:t>
      </w:r>
      <w:r w:rsidR="00252C43">
        <w:t>‘</w:t>
      </w:r>
      <w:r>
        <w:t>A Taxonomy of Digital Intensive Sectors</w:t>
      </w:r>
      <w:r w:rsidR="00252C43">
        <w:t>’</w:t>
      </w:r>
      <w:r>
        <w:t>, OECD Science, Technology and Industry Working Papers No. 2018</w:t>
      </w:r>
      <w:r w:rsidR="00252C43">
        <w:noBreakHyphen/>
      </w:r>
      <w:r>
        <w:t>14.</w:t>
      </w:r>
    </w:p>
    <w:p w14:paraId="123EAAFD" w14:textId="2F566114" w:rsidR="00AD27A2" w:rsidRDefault="00AD27A2">
      <w:pPr>
        <w:spacing w:after="200" w:line="276" w:lineRule="auto"/>
      </w:pPr>
      <w:r>
        <w:t xml:space="preserve">Covarrubias M, G </w:t>
      </w:r>
      <w:r w:rsidR="005C22D5">
        <w:t xml:space="preserve">Gutiérrez </w:t>
      </w:r>
      <w:r>
        <w:t xml:space="preserve">and T Philippon (2019), </w:t>
      </w:r>
      <w:r w:rsidR="00252C43">
        <w:t>‘</w:t>
      </w:r>
      <w:r>
        <w:t>From Good to Bad Concentration? U.S. Industries Over the Pat 30 Years</w:t>
      </w:r>
      <w:r w:rsidR="00252C43">
        <w:t>’</w:t>
      </w:r>
      <w:r>
        <w:t>, NBER Working Paper No. 25983.</w:t>
      </w:r>
    </w:p>
    <w:p w14:paraId="6769DD12" w14:textId="2CB5E67F" w:rsidR="00C04619" w:rsidRPr="00C04619" w:rsidRDefault="00C04619">
      <w:pPr>
        <w:spacing w:after="200" w:line="276" w:lineRule="auto"/>
      </w:pPr>
      <w:r>
        <w:t xml:space="preserve">De </w:t>
      </w:r>
      <w:proofErr w:type="spellStart"/>
      <w:r>
        <w:t>Loecker</w:t>
      </w:r>
      <w:proofErr w:type="spellEnd"/>
      <w:r>
        <w:t xml:space="preserve"> J (2011), </w:t>
      </w:r>
      <w:r w:rsidR="00252C43">
        <w:t>‘</w:t>
      </w:r>
      <w:r>
        <w:t>Product Differentiation, Multiproduct Firms, and Estimating the Impact of Trade Liberalization on Productivity</w:t>
      </w:r>
      <w:r w:rsidR="00252C43">
        <w:t>’</w:t>
      </w:r>
      <w:r>
        <w:t xml:space="preserve">, </w:t>
      </w:r>
      <w:proofErr w:type="spellStart"/>
      <w:r>
        <w:rPr>
          <w:i/>
        </w:rPr>
        <w:t>Econometrica</w:t>
      </w:r>
      <w:proofErr w:type="spellEnd"/>
      <w:r>
        <w:t>, 79(5), pp. 1407</w:t>
      </w:r>
      <w:r w:rsidR="00252C43">
        <w:noBreakHyphen/>
      </w:r>
      <w:r>
        <w:t>1451.</w:t>
      </w:r>
    </w:p>
    <w:p w14:paraId="2F2F7D45" w14:textId="5C5CAE81" w:rsidR="009018A9" w:rsidRDefault="00AD27A2">
      <w:pPr>
        <w:spacing w:after="200" w:line="276" w:lineRule="auto"/>
      </w:pPr>
      <w:r>
        <w:t xml:space="preserve">De </w:t>
      </w:r>
      <w:proofErr w:type="spellStart"/>
      <w:r>
        <w:t>Loecker</w:t>
      </w:r>
      <w:proofErr w:type="spellEnd"/>
      <w:r>
        <w:t xml:space="preserve"> J and </w:t>
      </w:r>
      <w:r w:rsidR="00BE16B2">
        <w:t>J</w:t>
      </w:r>
      <w:r>
        <w:t xml:space="preserve"> </w:t>
      </w:r>
      <w:proofErr w:type="spellStart"/>
      <w:r>
        <w:t>Eeckhout</w:t>
      </w:r>
      <w:proofErr w:type="spellEnd"/>
      <w:r>
        <w:t xml:space="preserve"> (2018), </w:t>
      </w:r>
      <w:r w:rsidR="00252C43">
        <w:t>‘</w:t>
      </w:r>
      <w:r>
        <w:t>Global Market Power</w:t>
      </w:r>
      <w:r w:rsidR="00252C43">
        <w:t>’</w:t>
      </w:r>
      <w:r>
        <w:t>, NBER Working Paper No. 24768.</w:t>
      </w:r>
    </w:p>
    <w:p w14:paraId="7C859E94" w14:textId="50A41FC8" w:rsidR="00301A33" w:rsidRDefault="00301A33">
      <w:pPr>
        <w:spacing w:after="200" w:line="276" w:lineRule="auto"/>
      </w:pPr>
      <w:r>
        <w:t xml:space="preserve">De </w:t>
      </w:r>
      <w:proofErr w:type="spellStart"/>
      <w:r>
        <w:t>Loecker</w:t>
      </w:r>
      <w:proofErr w:type="spellEnd"/>
      <w:r>
        <w:t xml:space="preserve"> J, J </w:t>
      </w:r>
      <w:proofErr w:type="spellStart"/>
      <w:r>
        <w:t>Eeckhout</w:t>
      </w:r>
      <w:proofErr w:type="spellEnd"/>
      <w:r>
        <w:t xml:space="preserve"> and S </w:t>
      </w:r>
      <w:proofErr w:type="spellStart"/>
      <w:r>
        <w:t>Mongey</w:t>
      </w:r>
      <w:proofErr w:type="spellEnd"/>
      <w:r w:rsidR="00DD5B10">
        <w:t xml:space="preserve"> (20</w:t>
      </w:r>
      <w:r w:rsidR="004A6B19">
        <w:t>21</w:t>
      </w:r>
      <w:r w:rsidR="00DD5B10">
        <w:t>)</w:t>
      </w:r>
      <w:r>
        <w:t xml:space="preserve">, </w:t>
      </w:r>
      <w:r w:rsidR="00252C43">
        <w:t>‘</w:t>
      </w:r>
      <w:r>
        <w:t>Quantifying Market Power and Business Dynamism</w:t>
      </w:r>
      <w:r w:rsidR="004A6B19">
        <w:t xml:space="preserve"> in the Macroeconomy</w:t>
      </w:r>
      <w:r w:rsidR="00252C43">
        <w:t>’</w:t>
      </w:r>
      <w:r>
        <w:t xml:space="preserve">, </w:t>
      </w:r>
      <w:r w:rsidR="004A6B19">
        <w:t>NBER Working Paper No. 28761</w:t>
      </w:r>
      <w:r w:rsidR="00372655">
        <w:t xml:space="preserve">. </w:t>
      </w:r>
    </w:p>
    <w:p w14:paraId="7126232A" w14:textId="2786CA6E" w:rsidR="005C22D5" w:rsidRDefault="005C22D5">
      <w:pPr>
        <w:spacing w:after="200" w:line="276" w:lineRule="auto"/>
      </w:pPr>
      <w:r>
        <w:t xml:space="preserve">De </w:t>
      </w:r>
      <w:proofErr w:type="spellStart"/>
      <w:r>
        <w:t>Loecker</w:t>
      </w:r>
      <w:proofErr w:type="spellEnd"/>
      <w:r>
        <w:t xml:space="preserve"> J, J </w:t>
      </w:r>
      <w:proofErr w:type="spellStart"/>
      <w:r>
        <w:t>Eeckhout</w:t>
      </w:r>
      <w:proofErr w:type="spellEnd"/>
      <w:r>
        <w:t xml:space="preserve"> and G Unger (2020), </w:t>
      </w:r>
      <w:r w:rsidR="00252C43">
        <w:t>‘</w:t>
      </w:r>
      <w:r>
        <w:t xml:space="preserve">The Rise of Market Power and the </w:t>
      </w:r>
      <w:r w:rsidR="00372655">
        <w:t>Macroeconomic</w:t>
      </w:r>
      <w:r>
        <w:t xml:space="preserve"> Implications</w:t>
      </w:r>
      <w:r w:rsidR="00252C43">
        <w:t>’</w:t>
      </w:r>
      <w:r>
        <w:t xml:space="preserve">, </w:t>
      </w:r>
      <w:r>
        <w:rPr>
          <w:i/>
        </w:rPr>
        <w:t>The Quarterly Journal of Economics</w:t>
      </w:r>
      <w:r w:rsidR="00D42FEC">
        <w:t xml:space="preserve">, </w:t>
      </w:r>
      <w:proofErr w:type="gramStart"/>
      <w:r>
        <w:t>Digitally</w:t>
      </w:r>
      <w:proofErr w:type="gramEnd"/>
      <w:r>
        <w:t xml:space="preserve"> published 23 January 2020.</w:t>
      </w:r>
    </w:p>
    <w:p w14:paraId="536042B9" w14:textId="58B1531E" w:rsidR="000C282E" w:rsidRDefault="000C282E">
      <w:pPr>
        <w:spacing w:after="200" w:line="276" w:lineRule="auto"/>
      </w:pPr>
      <w:r>
        <w:t xml:space="preserve">De </w:t>
      </w:r>
      <w:proofErr w:type="spellStart"/>
      <w:r>
        <w:t>Loecker</w:t>
      </w:r>
      <w:proofErr w:type="spellEnd"/>
      <w:r>
        <w:t xml:space="preserve"> J, Goldberg PK, Khandelwal AK and </w:t>
      </w:r>
      <w:proofErr w:type="spellStart"/>
      <w:r>
        <w:t>Pavcnik</w:t>
      </w:r>
      <w:proofErr w:type="spellEnd"/>
      <w:r>
        <w:t xml:space="preserve"> N (2016), </w:t>
      </w:r>
      <w:r w:rsidR="00252C43">
        <w:t>‘</w:t>
      </w:r>
      <w:r>
        <w:t xml:space="preserve">Prices, </w:t>
      </w:r>
      <w:proofErr w:type="spellStart"/>
      <w:r>
        <w:t>Markups</w:t>
      </w:r>
      <w:proofErr w:type="spellEnd"/>
      <w:r>
        <w:t xml:space="preserve"> and Trade Reform</w:t>
      </w:r>
      <w:r w:rsidR="00252C43">
        <w:t>’</w:t>
      </w:r>
      <w:r>
        <w:t xml:space="preserve">, </w:t>
      </w:r>
      <w:proofErr w:type="spellStart"/>
      <w:r>
        <w:rPr>
          <w:i/>
        </w:rPr>
        <w:t>Econometrica</w:t>
      </w:r>
      <w:proofErr w:type="spellEnd"/>
      <w:r>
        <w:t>, 84(2), pp.445</w:t>
      </w:r>
      <w:r w:rsidR="00252C43">
        <w:noBreakHyphen/>
      </w:r>
      <w:r>
        <w:t>510</w:t>
      </w:r>
      <w:r w:rsidR="00372655">
        <w:t xml:space="preserve">. </w:t>
      </w:r>
    </w:p>
    <w:p w14:paraId="26CA8410" w14:textId="69365F1F" w:rsidR="008D561E" w:rsidRPr="00815859" w:rsidRDefault="008D561E">
      <w:pPr>
        <w:spacing w:after="200" w:line="276" w:lineRule="auto"/>
        <w:rPr>
          <w:rFonts w:cs="Calibri"/>
          <w:color w:val="auto"/>
        </w:rPr>
      </w:pPr>
      <w:r w:rsidRPr="00815859">
        <w:rPr>
          <w:rFonts w:cs="Calibri"/>
          <w:color w:val="auto"/>
          <w:shd w:val="clear" w:color="auto" w:fill="FFFFFF"/>
        </w:rPr>
        <w:t xml:space="preserve">De </w:t>
      </w:r>
      <w:proofErr w:type="spellStart"/>
      <w:r w:rsidRPr="00815859">
        <w:rPr>
          <w:rFonts w:cs="Calibri"/>
          <w:color w:val="auto"/>
          <w:shd w:val="clear" w:color="auto" w:fill="FFFFFF"/>
        </w:rPr>
        <w:t>Loecker</w:t>
      </w:r>
      <w:proofErr w:type="spellEnd"/>
      <w:r w:rsidRPr="00815859">
        <w:rPr>
          <w:rFonts w:cs="Calibri"/>
          <w:color w:val="auto"/>
          <w:shd w:val="clear" w:color="auto" w:fill="FFFFFF"/>
        </w:rPr>
        <w:t xml:space="preserve"> J and P Scott (2017), </w:t>
      </w:r>
      <w:r w:rsidR="00252C43">
        <w:rPr>
          <w:rFonts w:cs="Calibri"/>
          <w:color w:val="auto"/>
          <w:shd w:val="clear" w:color="auto" w:fill="FFFFFF"/>
        </w:rPr>
        <w:t>‘</w:t>
      </w:r>
      <w:r w:rsidRPr="00815859">
        <w:rPr>
          <w:rFonts w:cs="Calibri"/>
          <w:color w:val="auto"/>
          <w:shd w:val="clear" w:color="auto" w:fill="FFFFFF"/>
        </w:rPr>
        <w:t>Estimating Market Power: Evidence from the US Brewing Industry</w:t>
      </w:r>
      <w:r w:rsidR="00252C43">
        <w:rPr>
          <w:rFonts w:cs="Calibri"/>
          <w:color w:val="auto"/>
          <w:shd w:val="clear" w:color="auto" w:fill="FFFFFF"/>
        </w:rPr>
        <w:t>’</w:t>
      </w:r>
      <w:r w:rsidRPr="00815859">
        <w:rPr>
          <w:rFonts w:cs="Calibri"/>
          <w:color w:val="auto"/>
          <w:shd w:val="clear" w:color="auto" w:fill="FFFFFF"/>
        </w:rPr>
        <w:t xml:space="preserve">, US Census Bureau </w:t>
      </w:r>
      <w:proofErr w:type="spellStart"/>
      <w:r w:rsidRPr="00815859">
        <w:rPr>
          <w:rFonts w:cs="Calibri"/>
          <w:color w:val="auto"/>
          <w:shd w:val="clear" w:color="auto" w:fill="FFFFFF"/>
        </w:rPr>
        <w:t>Center</w:t>
      </w:r>
      <w:proofErr w:type="spellEnd"/>
      <w:r w:rsidRPr="00815859">
        <w:rPr>
          <w:rFonts w:cs="Calibri"/>
          <w:color w:val="auto"/>
          <w:shd w:val="clear" w:color="auto" w:fill="FFFFFF"/>
        </w:rPr>
        <w:t xml:space="preserve"> for Economic Studies Paper No. CES</w:t>
      </w:r>
      <w:r w:rsidR="00252C43">
        <w:rPr>
          <w:rFonts w:cs="Calibri"/>
          <w:color w:val="auto"/>
          <w:shd w:val="clear" w:color="auto" w:fill="FFFFFF"/>
        </w:rPr>
        <w:noBreakHyphen/>
      </w:r>
      <w:r w:rsidRPr="00815859">
        <w:rPr>
          <w:rFonts w:cs="Calibri"/>
          <w:color w:val="auto"/>
          <w:shd w:val="clear" w:color="auto" w:fill="FFFFFF"/>
        </w:rPr>
        <w:t>WP</w:t>
      </w:r>
      <w:r w:rsidR="00252C43">
        <w:rPr>
          <w:rFonts w:cs="Calibri"/>
          <w:color w:val="auto"/>
          <w:shd w:val="clear" w:color="auto" w:fill="FFFFFF"/>
        </w:rPr>
        <w:noBreakHyphen/>
      </w:r>
      <w:r w:rsidRPr="00815859">
        <w:rPr>
          <w:rFonts w:cs="Calibri"/>
          <w:color w:val="auto"/>
          <w:shd w:val="clear" w:color="auto" w:fill="FFFFFF"/>
        </w:rPr>
        <w:t>17</w:t>
      </w:r>
      <w:r w:rsidR="00252C43">
        <w:rPr>
          <w:rFonts w:cs="Calibri"/>
          <w:color w:val="auto"/>
          <w:shd w:val="clear" w:color="auto" w:fill="FFFFFF"/>
        </w:rPr>
        <w:noBreakHyphen/>
      </w:r>
      <w:r w:rsidRPr="00815859">
        <w:rPr>
          <w:rFonts w:cs="Calibri"/>
          <w:color w:val="auto"/>
          <w:shd w:val="clear" w:color="auto" w:fill="FFFFFF"/>
        </w:rPr>
        <w:t xml:space="preserve">06. </w:t>
      </w:r>
    </w:p>
    <w:p w14:paraId="60341053" w14:textId="388FEBE9" w:rsidR="005C22D5" w:rsidRDefault="005C22D5">
      <w:pPr>
        <w:spacing w:after="200" w:line="276" w:lineRule="auto"/>
      </w:pPr>
      <w:r>
        <w:t xml:space="preserve">De </w:t>
      </w:r>
      <w:proofErr w:type="spellStart"/>
      <w:r>
        <w:t>Loecker</w:t>
      </w:r>
      <w:proofErr w:type="spellEnd"/>
      <w:r>
        <w:t xml:space="preserve"> J and F </w:t>
      </w:r>
      <w:proofErr w:type="spellStart"/>
      <w:r>
        <w:t>Warzynski</w:t>
      </w:r>
      <w:proofErr w:type="spellEnd"/>
      <w:r>
        <w:t xml:space="preserve"> (2012), </w:t>
      </w:r>
      <w:r w:rsidR="00252C43">
        <w:t>‘</w:t>
      </w:r>
      <w:proofErr w:type="spellStart"/>
      <w:r>
        <w:t>Markups</w:t>
      </w:r>
      <w:proofErr w:type="spellEnd"/>
      <w:r>
        <w:t xml:space="preserve"> and Firm</w:t>
      </w:r>
      <w:r w:rsidR="00252C43">
        <w:noBreakHyphen/>
      </w:r>
      <w:r>
        <w:t>level Export Status</w:t>
      </w:r>
      <w:r w:rsidR="00252C43">
        <w:t>’</w:t>
      </w:r>
      <w:r>
        <w:t xml:space="preserve">, </w:t>
      </w:r>
      <w:r w:rsidRPr="002246CA">
        <w:rPr>
          <w:i/>
        </w:rPr>
        <w:t>American Economic Review</w:t>
      </w:r>
      <w:r>
        <w:t>, 102(6), pp 2437</w:t>
      </w:r>
      <w:r w:rsidR="00252C43">
        <w:noBreakHyphen/>
      </w:r>
      <w:r>
        <w:t>2471.</w:t>
      </w:r>
    </w:p>
    <w:p w14:paraId="0066EDA0" w14:textId="54535B9F" w:rsidR="00E61DC3" w:rsidRPr="0020381D" w:rsidRDefault="00E61DC3">
      <w:pPr>
        <w:spacing w:after="200" w:line="276" w:lineRule="auto"/>
      </w:pPr>
      <w:r>
        <w:t>Dieppe A</w:t>
      </w:r>
      <w:r w:rsidR="0020381D">
        <w:t xml:space="preserve">, SK </w:t>
      </w:r>
      <w:proofErr w:type="spellStart"/>
      <w:r w:rsidR="0020381D">
        <w:t>Celik</w:t>
      </w:r>
      <w:proofErr w:type="spellEnd"/>
      <w:r w:rsidR="0020381D">
        <w:t xml:space="preserve"> and C </w:t>
      </w:r>
      <w:proofErr w:type="spellStart"/>
      <w:r w:rsidR="0020381D">
        <w:t>Okou</w:t>
      </w:r>
      <w:proofErr w:type="spellEnd"/>
      <w:r>
        <w:t xml:space="preserve"> (2020), </w:t>
      </w:r>
      <w:r w:rsidR="00252C43">
        <w:t>‘</w:t>
      </w:r>
      <w:r>
        <w:t xml:space="preserve">What Happens to </w:t>
      </w:r>
      <w:r w:rsidR="0020381D">
        <w:t>Productivity</w:t>
      </w:r>
      <w:r>
        <w:t xml:space="preserve"> During Major Adverse Events</w:t>
      </w:r>
      <w:r w:rsidR="00252C43">
        <w:t>’</w:t>
      </w:r>
      <w:r w:rsidR="0020381D">
        <w:t xml:space="preserve">, In A Dieppe (eds.), </w:t>
      </w:r>
      <w:r w:rsidR="0020381D">
        <w:rPr>
          <w:i/>
        </w:rPr>
        <w:t xml:space="preserve">Global </w:t>
      </w:r>
      <w:r w:rsidR="00372655">
        <w:rPr>
          <w:i/>
        </w:rPr>
        <w:t>Productivity</w:t>
      </w:r>
      <w:r w:rsidR="007D1DFE">
        <w:rPr>
          <w:i/>
        </w:rPr>
        <w:t>:</w:t>
      </w:r>
      <w:r w:rsidR="0020381D">
        <w:rPr>
          <w:i/>
        </w:rPr>
        <w:t xml:space="preserve"> Trends, Drivers and Policies, </w:t>
      </w:r>
      <w:r w:rsidR="0020381D">
        <w:t>pp. 97</w:t>
      </w:r>
      <w:r w:rsidR="00252C43">
        <w:noBreakHyphen/>
      </w:r>
      <w:r w:rsidR="0020381D">
        <w:t>152, World Bank.</w:t>
      </w:r>
    </w:p>
    <w:p w14:paraId="07A976FD" w14:textId="3CB0FD0B" w:rsidR="00BE16B2" w:rsidRDefault="00BE16B2">
      <w:pPr>
        <w:spacing w:after="200" w:line="276" w:lineRule="auto"/>
      </w:pPr>
      <w:r>
        <w:t>Diez FJ, J Fan, C Villegas</w:t>
      </w:r>
      <w:r w:rsidR="00252C43">
        <w:noBreakHyphen/>
      </w:r>
      <w:r>
        <w:t xml:space="preserve">Sanchez (2019), </w:t>
      </w:r>
      <w:r w:rsidR="00252C43">
        <w:t>‘</w:t>
      </w:r>
      <w:r>
        <w:t>Global Declining Competition</w:t>
      </w:r>
      <w:r w:rsidR="00252C43">
        <w:t>’</w:t>
      </w:r>
      <w:r>
        <w:t>, IMF Working Paper No. 19/82</w:t>
      </w:r>
      <w:r w:rsidR="003E2103">
        <w:t xml:space="preserve">. </w:t>
      </w:r>
    </w:p>
    <w:p w14:paraId="1592AF29" w14:textId="617B06DB" w:rsidR="00E02903" w:rsidRDefault="00E02903" w:rsidP="00E02903">
      <w:pPr>
        <w:spacing w:after="200" w:line="276" w:lineRule="auto"/>
      </w:pPr>
      <w:r>
        <w:t xml:space="preserve">Decker RA, </w:t>
      </w:r>
      <w:proofErr w:type="spellStart"/>
      <w:r>
        <w:t>Haltiwanger</w:t>
      </w:r>
      <w:proofErr w:type="spellEnd"/>
      <w:r>
        <w:t xml:space="preserve"> J, </w:t>
      </w:r>
      <w:proofErr w:type="spellStart"/>
      <w:r>
        <w:t>Jarmin</w:t>
      </w:r>
      <w:proofErr w:type="spellEnd"/>
      <w:r>
        <w:t xml:space="preserve"> RS and Miranda J. (2016), </w:t>
      </w:r>
      <w:r w:rsidR="00252C43">
        <w:t>‘</w:t>
      </w:r>
      <w:r>
        <w:t xml:space="preserve">Declining </w:t>
      </w:r>
      <w:r w:rsidR="003E2103">
        <w:t>Business</w:t>
      </w:r>
      <w:r>
        <w:t xml:space="preserve"> Dynamism: What we Know and the Way Forward</w:t>
      </w:r>
      <w:r w:rsidR="00252C43">
        <w:t>’</w:t>
      </w:r>
      <w:r>
        <w:t xml:space="preserve">, </w:t>
      </w:r>
      <w:r>
        <w:rPr>
          <w:i/>
        </w:rPr>
        <w:t>American Economic Review</w:t>
      </w:r>
      <w:r>
        <w:t>, 106(5), pp. 203</w:t>
      </w:r>
      <w:r w:rsidR="00252C43">
        <w:noBreakHyphen/>
      </w:r>
      <w:r>
        <w:t>207.</w:t>
      </w:r>
    </w:p>
    <w:p w14:paraId="172C09B1" w14:textId="6B0DD9A2" w:rsidR="00CD4492" w:rsidRDefault="00BE16B2">
      <w:pPr>
        <w:spacing w:after="200" w:line="276" w:lineRule="auto"/>
      </w:pPr>
      <w:r>
        <w:t>Decker R</w:t>
      </w:r>
      <w:r w:rsidR="00CD4492">
        <w:t xml:space="preserve">A, </w:t>
      </w:r>
      <w:proofErr w:type="spellStart"/>
      <w:r w:rsidR="00CD4492">
        <w:t>Haltiwanger</w:t>
      </w:r>
      <w:proofErr w:type="spellEnd"/>
      <w:r w:rsidR="00CD4492">
        <w:t xml:space="preserve"> J, </w:t>
      </w:r>
      <w:proofErr w:type="spellStart"/>
      <w:r w:rsidR="00CD4492">
        <w:t>Jarmin</w:t>
      </w:r>
      <w:proofErr w:type="spellEnd"/>
      <w:r w:rsidR="00CD4492">
        <w:t xml:space="preserve"> RS and Miranda J. (2017), </w:t>
      </w:r>
      <w:r w:rsidR="00252C43">
        <w:t>‘</w:t>
      </w:r>
      <w:r w:rsidR="005C1E60">
        <w:t>Changing Business Dynamism and Productivity: Shocks vs. Responsiveness</w:t>
      </w:r>
      <w:r w:rsidR="00252C43">
        <w:t>’</w:t>
      </w:r>
      <w:r w:rsidR="005C1E60">
        <w:t xml:space="preserve">, </w:t>
      </w:r>
      <w:r w:rsidR="005C1E60" w:rsidRPr="005C1E60">
        <w:t>NBER Working Paper No. 24236</w:t>
      </w:r>
      <w:r w:rsidR="005C1E60">
        <w:t>.</w:t>
      </w:r>
    </w:p>
    <w:p w14:paraId="7EEDA901" w14:textId="5B7D9CD3" w:rsidR="002E1FB5" w:rsidRDefault="002E1FB5">
      <w:pPr>
        <w:spacing w:after="200" w:line="276" w:lineRule="auto"/>
      </w:pPr>
      <w:r>
        <w:t xml:space="preserve">Deutscher N (2019), </w:t>
      </w:r>
      <w:r w:rsidR="00252C43">
        <w:t>‘</w:t>
      </w:r>
      <w:r>
        <w:t>Job</w:t>
      </w:r>
      <w:r w:rsidR="00252C43">
        <w:noBreakHyphen/>
      </w:r>
      <w:r>
        <w:t>to</w:t>
      </w:r>
      <w:r w:rsidR="00252C43">
        <w:noBreakHyphen/>
      </w:r>
      <w:r>
        <w:t>job Transitions and the Wages of Australian Workers</w:t>
      </w:r>
      <w:r w:rsidR="00252C43">
        <w:t>’</w:t>
      </w:r>
      <w:r>
        <w:t>, Treasury Working Paper No. 2019</w:t>
      </w:r>
      <w:r w:rsidR="00252C43">
        <w:noBreakHyphen/>
      </w:r>
      <w:r>
        <w:t>07.</w:t>
      </w:r>
    </w:p>
    <w:p w14:paraId="636C4496" w14:textId="17FFC2BA" w:rsidR="000C282E" w:rsidRPr="00FF6B62" w:rsidRDefault="000C282E">
      <w:pPr>
        <w:spacing w:after="200" w:line="276" w:lineRule="auto"/>
      </w:pPr>
      <w:proofErr w:type="spellStart"/>
      <w:r>
        <w:t>Diewert</w:t>
      </w:r>
      <w:proofErr w:type="spellEnd"/>
      <w:r>
        <w:t xml:space="preserve"> </w:t>
      </w:r>
      <w:r w:rsidR="00FF6B62">
        <w:t>WE</w:t>
      </w:r>
      <w:r>
        <w:t xml:space="preserve"> and KJ Fox (2010), </w:t>
      </w:r>
      <w:r w:rsidR="00252C43">
        <w:t>‘</w:t>
      </w:r>
      <w:r>
        <w:t xml:space="preserve">On Measuring the Contribution of Entering and Exiting Firms to </w:t>
      </w:r>
      <w:r w:rsidR="00FF6B62">
        <w:t>Aggregate</w:t>
      </w:r>
      <w:r>
        <w:t xml:space="preserve"> </w:t>
      </w:r>
      <w:r w:rsidR="00FF6B62">
        <w:t>Productivity</w:t>
      </w:r>
      <w:r>
        <w:t xml:space="preserve"> Growth</w:t>
      </w:r>
      <w:r w:rsidR="00252C43">
        <w:t>’</w:t>
      </w:r>
      <w:r>
        <w:t xml:space="preserve">, </w:t>
      </w:r>
      <w:r w:rsidR="00FF6B62">
        <w:t xml:space="preserve">In WE </w:t>
      </w:r>
      <w:proofErr w:type="spellStart"/>
      <w:r w:rsidR="00FF6B62">
        <w:t>Diewert</w:t>
      </w:r>
      <w:proofErr w:type="spellEnd"/>
      <w:r w:rsidR="00FF6B62">
        <w:t xml:space="preserve">, BM Balk, D </w:t>
      </w:r>
      <w:proofErr w:type="spellStart"/>
      <w:r w:rsidR="00FF6B62">
        <w:t>Fixler</w:t>
      </w:r>
      <w:proofErr w:type="spellEnd"/>
      <w:r w:rsidR="00FF6B62">
        <w:t xml:space="preserve">, KJ Fox and AO Nakamura (eds.) </w:t>
      </w:r>
      <w:r w:rsidR="00FF6B62">
        <w:rPr>
          <w:i/>
        </w:rPr>
        <w:t>Price and Productivity Measurement: Volume 6</w:t>
      </w:r>
      <w:r w:rsidR="00252C43">
        <w:rPr>
          <w:i/>
        </w:rPr>
        <w:t xml:space="preserve"> — </w:t>
      </w:r>
      <w:r w:rsidR="00FF6B62">
        <w:rPr>
          <w:i/>
        </w:rPr>
        <w:t>Index Number Theory</w:t>
      </w:r>
      <w:r w:rsidR="00FF6B62">
        <w:t>, pp. 41</w:t>
      </w:r>
      <w:r w:rsidR="00252C43">
        <w:noBreakHyphen/>
      </w:r>
      <w:r w:rsidR="00FF6B62">
        <w:t>66, Trafford Press, Vancouver, Canada</w:t>
      </w:r>
      <w:r w:rsidR="003E2103">
        <w:t xml:space="preserve">. </w:t>
      </w:r>
    </w:p>
    <w:p w14:paraId="5E890FCC" w14:textId="4732A76A" w:rsidR="00D61555" w:rsidRDefault="00BE16B2">
      <w:pPr>
        <w:spacing w:after="200" w:line="276" w:lineRule="auto"/>
      </w:pPr>
      <w:r>
        <w:t>Edmond C</w:t>
      </w:r>
      <w:r w:rsidR="00D61555">
        <w:t xml:space="preserve">, V </w:t>
      </w:r>
      <w:proofErr w:type="spellStart"/>
      <w:r w:rsidR="00D61555">
        <w:t>Midrigan</w:t>
      </w:r>
      <w:proofErr w:type="spellEnd"/>
      <w:r w:rsidR="00D61555">
        <w:t xml:space="preserve"> and DY Xu (2019), </w:t>
      </w:r>
      <w:r w:rsidR="00252C43">
        <w:t>‘</w:t>
      </w:r>
      <w:r w:rsidR="00D61555">
        <w:t xml:space="preserve">How Costly are </w:t>
      </w:r>
      <w:proofErr w:type="spellStart"/>
      <w:r w:rsidR="00D61555">
        <w:t>Markups</w:t>
      </w:r>
      <w:proofErr w:type="spellEnd"/>
      <w:r w:rsidR="00D61555">
        <w:t>?</w:t>
      </w:r>
      <w:r w:rsidR="00252C43">
        <w:t>’</w:t>
      </w:r>
      <w:r w:rsidR="00D61555">
        <w:t>, NBER Working Paper No. 24800</w:t>
      </w:r>
      <w:r w:rsidR="00FA14ED">
        <w:t>.</w:t>
      </w:r>
    </w:p>
    <w:p w14:paraId="0D08B593" w14:textId="7409CD3D" w:rsidR="00CB7449" w:rsidRDefault="00CB7449">
      <w:pPr>
        <w:spacing w:after="200" w:line="276" w:lineRule="auto"/>
      </w:pPr>
      <w:r>
        <w:t xml:space="preserve">Fort TC, J </w:t>
      </w:r>
      <w:proofErr w:type="spellStart"/>
      <w:r>
        <w:t>Haltiwanger</w:t>
      </w:r>
      <w:proofErr w:type="spellEnd"/>
      <w:r>
        <w:t xml:space="preserve">, RS </w:t>
      </w:r>
      <w:proofErr w:type="spellStart"/>
      <w:r>
        <w:t>Jarmin</w:t>
      </w:r>
      <w:proofErr w:type="spellEnd"/>
      <w:r>
        <w:t xml:space="preserve"> and J Miranda (2013), </w:t>
      </w:r>
      <w:r w:rsidR="00252C43">
        <w:t>‘</w:t>
      </w:r>
      <w:r>
        <w:t xml:space="preserve">How Firms Respond to Business Cycles: The </w:t>
      </w:r>
      <w:r w:rsidR="003E2103">
        <w:t>R</w:t>
      </w:r>
      <w:r>
        <w:t>ole of Firm Age and Size</w:t>
      </w:r>
      <w:r w:rsidR="00252C43">
        <w:t>’</w:t>
      </w:r>
      <w:r w:rsidR="002246CA">
        <w:t xml:space="preserve">, </w:t>
      </w:r>
      <w:r w:rsidR="002246CA">
        <w:rPr>
          <w:i/>
        </w:rPr>
        <w:t xml:space="preserve">IMF Economic Review, </w:t>
      </w:r>
      <w:r w:rsidR="002246CA">
        <w:t>61(3), pp. 520</w:t>
      </w:r>
      <w:r w:rsidR="00252C43">
        <w:noBreakHyphen/>
      </w:r>
      <w:r w:rsidR="002246CA">
        <w:t>559.</w:t>
      </w:r>
    </w:p>
    <w:p w14:paraId="755CD998" w14:textId="3D19789A" w:rsidR="008D561E" w:rsidRDefault="008D561E">
      <w:pPr>
        <w:spacing w:after="200" w:line="276" w:lineRule="auto"/>
      </w:pPr>
      <w:r>
        <w:lastRenderedPageBreak/>
        <w:t xml:space="preserve">Gandhi A, S Navarro and DA Rivers (2020), </w:t>
      </w:r>
      <w:r w:rsidR="00252C43">
        <w:t>‘</w:t>
      </w:r>
      <w:r>
        <w:t>On the Identification of Gr</w:t>
      </w:r>
      <w:r w:rsidR="00673562">
        <w:t>o</w:t>
      </w:r>
      <w:r>
        <w:t xml:space="preserve">ss Output </w:t>
      </w:r>
      <w:r w:rsidR="00673562">
        <w:t>Production</w:t>
      </w:r>
      <w:r>
        <w:t xml:space="preserve"> Functions</w:t>
      </w:r>
      <w:r w:rsidR="00252C43">
        <w:t>’</w:t>
      </w:r>
      <w:r>
        <w:t xml:space="preserve">, </w:t>
      </w:r>
      <w:r>
        <w:rPr>
          <w:i/>
        </w:rPr>
        <w:t>Journal of Political Economy</w:t>
      </w:r>
      <w:r>
        <w:t xml:space="preserve">, Digitally published December </w:t>
      </w:r>
      <w:proofErr w:type="gramStart"/>
      <w:r>
        <w:t>16</w:t>
      </w:r>
      <w:proofErr w:type="gramEnd"/>
      <w:r>
        <w:t xml:space="preserve"> 2019.</w:t>
      </w:r>
    </w:p>
    <w:p w14:paraId="21ACE292" w14:textId="565CDE1C" w:rsidR="00673562" w:rsidRDefault="00673562">
      <w:pPr>
        <w:spacing w:after="200" w:line="276" w:lineRule="auto"/>
      </w:pPr>
      <w:proofErr w:type="spellStart"/>
      <w:r>
        <w:t>Grieco</w:t>
      </w:r>
      <w:proofErr w:type="spellEnd"/>
      <w:r>
        <w:t xml:space="preserve"> PLE and S Li (2016), </w:t>
      </w:r>
      <w:r w:rsidR="00252C43">
        <w:t>‘</w:t>
      </w:r>
      <w:r>
        <w:t>Production Function Estimation with Unobserved Input Price Dispersion</w:t>
      </w:r>
      <w:r w:rsidR="00252C43">
        <w:t>’</w:t>
      </w:r>
      <w:r>
        <w:t xml:space="preserve">, </w:t>
      </w:r>
      <w:r>
        <w:rPr>
          <w:i/>
        </w:rPr>
        <w:t>International Economic Review</w:t>
      </w:r>
      <w:r>
        <w:t>, 57(2), pp. 665</w:t>
      </w:r>
      <w:r w:rsidR="00252C43">
        <w:noBreakHyphen/>
      </w:r>
      <w:r>
        <w:t>690.</w:t>
      </w:r>
    </w:p>
    <w:p w14:paraId="17596E61" w14:textId="07226FBF" w:rsidR="00FA14ED" w:rsidRDefault="00FA14ED">
      <w:pPr>
        <w:spacing w:after="200" w:line="276" w:lineRule="auto"/>
      </w:pPr>
      <w:proofErr w:type="spellStart"/>
      <w:r>
        <w:t>Grullon</w:t>
      </w:r>
      <w:proofErr w:type="spellEnd"/>
      <w:r>
        <w:t xml:space="preserve"> G, Y </w:t>
      </w:r>
      <w:proofErr w:type="gramStart"/>
      <w:r>
        <w:t>Larkin</w:t>
      </w:r>
      <w:proofErr w:type="gramEnd"/>
      <w:r>
        <w:t xml:space="preserve"> and R </w:t>
      </w:r>
      <w:proofErr w:type="spellStart"/>
      <w:r>
        <w:t>Michaely</w:t>
      </w:r>
      <w:proofErr w:type="spellEnd"/>
      <w:r>
        <w:t xml:space="preserve"> (2019), </w:t>
      </w:r>
      <w:r w:rsidR="00252C43">
        <w:t>‘</w:t>
      </w:r>
      <w:r>
        <w:t>Are US Industries Becoming More Concentrated?</w:t>
      </w:r>
      <w:r w:rsidR="00252C43">
        <w:t>’</w:t>
      </w:r>
      <w:r>
        <w:t xml:space="preserve">, </w:t>
      </w:r>
      <w:r>
        <w:rPr>
          <w:i/>
        </w:rPr>
        <w:t>Review of Finance</w:t>
      </w:r>
      <w:r>
        <w:t>, 23(4), pp. 697</w:t>
      </w:r>
      <w:r w:rsidR="00252C43">
        <w:noBreakHyphen/>
      </w:r>
      <w:r>
        <w:t>743.</w:t>
      </w:r>
    </w:p>
    <w:p w14:paraId="72A84F65" w14:textId="17628CA9" w:rsidR="00566566" w:rsidRDefault="00566566" w:rsidP="00566566">
      <w:pPr>
        <w:spacing w:after="200" w:line="276" w:lineRule="auto"/>
      </w:pPr>
      <w:r>
        <w:t>Gutiérrez G and T Philippon (201</w:t>
      </w:r>
      <w:r w:rsidR="00E8411C">
        <w:t>7a</w:t>
      </w:r>
      <w:r>
        <w:t xml:space="preserve">), </w:t>
      </w:r>
      <w:r w:rsidR="00252C43">
        <w:t>‘</w:t>
      </w:r>
      <w:r>
        <w:t>Investment</w:t>
      </w:r>
      <w:r w:rsidR="00252C43">
        <w:noBreakHyphen/>
      </w:r>
      <w:r>
        <w:t>less Growth: An Empirical Investigation</w:t>
      </w:r>
      <w:r w:rsidR="00252C43">
        <w:t>’</w:t>
      </w:r>
      <w:r>
        <w:t xml:space="preserve">, NBER </w:t>
      </w:r>
      <w:r w:rsidR="003E2103">
        <w:t xml:space="preserve">Working Paper No. </w:t>
      </w:r>
      <w:r>
        <w:t>22897.</w:t>
      </w:r>
    </w:p>
    <w:p w14:paraId="053C2FA1" w14:textId="216CCC27" w:rsidR="005C22D5" w:rsidRDefault="005C22D5">
      <w:pPr>
        <w:spacing w:after="200" w:line="276" w:lineRule="auto"/>
      </w:pPr>
      <w:r>
        <w:t>Gutiérrez G and T Philippon (2017</w:t>
      </w:r>
      <w:r w:rsidR="00E8411C">
        <w:t>b</w:t>
      </w:r>
      <w:r>
        <w:t xml:space="preserve">), </w:t>
      </w:r>
      <w:r w:rsidR="00252C43">
        <w:t>‘</w:t>
      </w:r>
      <w:r>
        <w:t>Declining Competition and Investment in the U.S.</w:t>
      </w:r>
      <w:r w:rsidR="00252C43">
        <w:t>’</w:t>
      </w:r>
      <w:r>
        <w:t xml:space="preserve">, NBER </w:t>
      </w:r>
      <w:r w:rsidR="003E2103">
        <w:t xml:space="preserve">Working Paper No. </w:t>
      </w:r>
      <w:r>
        <w:t>23583.</w:t>
      </w:r>
    </w:p>
    <w:p w14:paraId="6981C86F" w14:textId="245A77A2" w:rsidR="00EB26D4" w:rsidRDefault="00EB26D4" w:rsidP="00EB26D4">
      <w:pPr>
        <w:spacing w:after="200" w:line="276" w:lineRule="auto"/>
      </w:pPr>
      <w:r>
        <w:t xml:space="preserve">Gutiérrez G and T Philippon (2019), </w:t>
      </w:r>
      <w:r w:rsidR="00252C43">
        <w:t>‘</w:t>
      </w:r>
      <w:r>
        <w:t xml:space="preserve">The </w:t>
      </w:r>
      <w:r w:rsidR="00566566">
        <w:t>Failure</w:t>
      </w:r>
      <w:r>
        <w:t xml:space="preserve"> of Free Entry</w:t>
      </w:r>
      <w:r w:rsidR="00252C43">
        <w:t>’</w:t>
      </w:r>
      <w:r>
        <w:t xml:space="preserve">, NBER </w:t>
      </w:r>
      <w:r w:rsidR="003E2103">
        <w:t xml:space="preserve">Working Paper No. </w:t>
      </w:r>
      <w:r>
        <w:t>26001.</w:t>
      </w:r>
    </w:p>
    <w:p w14:paraId="3C7FBE1A" w14:textId="629A24A3" w:rsidR="005C22D5" w:rsidRDefault="005C22D5">
      <w:pPr>
        <w:spacing w:after="200" w:line="276" w:lineRule="auto"/>
      </w:pPr>
      <w:r>
        <w:t xml:space="preserve">Hambur J and G La Cava (2018), </w:t>
      </w:r>
      <w:r w:rsidR="00252C43">
        <w:t>‘</w:t>
      </w:r>
      <w:r>
        <w:t>Business Concentration and Mark</w:t>
      </w:r>
      <w:r w:rsidR="00252C43">
        <w:noBreakHyphen/>
      </w:r>
      <w:r>
        <w:t>ups in the Retail Trade Sector</w:t>
      </w:r>
      <w:r w:rsidR="00252C43">
        <w:t>’</w:t>
      </w:r>
      <w:r>
        <w:t>, RBA Bulletin, December</w:t>
      </w:r>
      <w:r w:rsidR="003E2103">
        <w:t xml:space="preserve"> 2018</w:t>
      </w:r>
      <w:r>
        <w:t>.</w:t>
      </w:r>
    </w:p>
    <w:p w14:paraId="0FB0477A" w14:textId="7CDE6ED5" w:rsidR="00CF42C0" w:rsidRDefault="00CF42C0">
      <w:pPr>
        <w:spacing w:after="200" w:line="276" w:lineRule="auto"/>
      </w:pPr>
      <w:r>
        <w:t xml:space="preserve">Hambur J (Forthcoming), </w:t>
      </w:r>
      <w:r w:rsidR="00252C43">
        <w:t>‘</w:t>
      </w:r>
      <w:r w:rsidR="00302F3D">
        <w:t>Local Labour Market Concentration in Australia: Evidence and Implications</w:t>
      </w:r>
      <w:r w:rsidR="00252C43">
        <w:t>’</w:t>
      </w:r>
      <w:r w:rsidR="00302F3D">
        <w:t>, Treasury Working Paper.</w:t>
      </w:r>
    </w:p>
    <w:p w14:paraId="48A5886E" w14:textId="186985BF" w:rsidR="00FF6B62" w:rsidRDefault="00FF6B62">
      <w:pPr>
        <w:spacing w:after="200" w:line="276" w:lineRule="auto"/>
      </w:pPr>
      <w:r>
        <w:t xml:space="preserve">Hansell D, T </w:t>
      </w:r>
      <w:proofErr w:type="gramStart"/>
      <w:r>
        <w:t>Nguyen</w:t>
      </w:r>
      <w:proofErr w:type="gramEnd"/>
      <w:r>
        <w:t xml:space="preserve"> and F Soriano (2015), </w:t>
      </w:r>
      <w:r w:rsidR="00252C43">
        <w:t>‘</w:t>
      </w:r>
      <w:r>
        <w:t>Can we Improve on the Headcount: Estimating Unobserved Labour Input with Individual Wage Data</w:t>
      </w:r>
      <w:r w:rsidR="00252C43">
        <w:t>’</w:t>
      </w:r>
      <w:r>
        <w:t>, Paper presented at Australian Labour Market Research Workshop, Adelaide, 3 December 2015.</w:t>
      </w:r>
    </w:p>
    <w:p w14:paraId="5941C594" w14:textId="5C823EAD" w:rsidR="00F931E8" w:rsidRDefault="00FA4A44">
      <w:pPr>
        <w:spacing w:after="200" w:line="276" w:lineRule="auto"/>
      </w:pPr>
      <w:r>
        <w:t>Haskell</w:t>
      </w:r>
      <w:r w:rsidR="00F931E8">
        <w:t xml:space="preserve"> J and S Westlake (2017), </w:t>
      </w:r>
      <w:r w:rsidR="00252C43">
        <w:t>‘</w:t>
      </w:r>
      <w:r w:rsidR="00F931E8">
        <w:t>Capitalism without Capital: The Rise of Intangibles</w:t>
      </w:r>
      <w:r w:rsidR="00252C43">
        <w:t>’</w:t>
      </w:r>
      <w:r w:rsidR="00F931E8">
        <w:t xml:space="preserve">, </w:t>
      </w:r>
      <w:r w:rsidR="00057595">
        <w:t xml:space="preserve">Princeton </w:t>
      </w:r>
      <w:r w:rsidR="003E2103">
        <w:t>University</w:t>
      </w:r>
      <w:r w:rsidR="00057595">
        <w:t xml:space="preserve"> Press, Princeton, New Jersey, United States.</w:t>
      </w:r>
    </w:p>
    <w:p w14:paraId="1DE4150B" w14:textId="69D19363" w:rsidR="00C04619" w:rsidRPr="00C04619" w:rsidRDefault="00C04619">
      <w:pPr>
        <w:spacing w:after="200" w:line="276" w:lineRule="auto"/>
      </w:pPr>
      <w:proofErr w:type="spellStart"/>
      <w:r>
        <w:t>Hopenhayn</w:t>
      </w:r>
      <w:proofErr w:type="spellEnd"/>
      <w:r>
        <w:t xml:space="preserve"> HA (1992), </w:t>
      </w:r>
      <w:r w:rsidR="00252C43">
        <w:t>‘</w:t>
      </w:r>
      <w:r>
        <w:t xml:space="preserve">Entry, it and Firm Dynamics in Long Run </w:t>
      </w:r>
      <w:r w:rsidR="00237621">
        <w:t>Equilibrium</w:t>
      </w:r>
      <w:r w:rsidR="00252C43">
        <w:t>’</w:t>
      </w:r>
      <w:r>
        <w:t xml:space="preserve">, </w:t>
      </w:r>
      <w:proofErr w:type="spellStart"/>
      <w:r>
        <w:rPr>
          <w:i/>
        </w:rPr>
        <w:t>Econometrica</w:t>
      </w:r>
      <w:proofErr w:type="spellEnd"/>
      <w:r>
        <w:rPr>
          <w:i/>
        </w:rPr>
        <w:t>,</w:t>
      </w:r>
      <w:r>
        <w:t xml:space="preserve"> 60(5), pp. 1127</w:t>
      </w:r>
      <w:r w:rsidR="00252C43">
        <w:noBreakHyphen/>
      </w:r>
      <w:r>
        <w:t>1150.</w:t>
      </w:r>
    </w:p>
    <w:p w14:paraId="2410FA57" w14:textId="0CD7338B" w:rsidR="00AD27A2" w:rsidRDefault="00CD4492">
      <w:pPr>
        <w:spacing w:after="200" w:line="276" w:lineRule="auto"/>
      </w:pPr>
      <w:r>
        <w:t xml:space="preserve">IMF (2019), </w:t>
      </w:r>
      <w:r w:rsidR="00252C43">
        <w:t>‘</w:t>
      </w:r>
      <w:r>
        <w:t>The Rise of Corporate Market Power and Its Macroeconomic Implications</w:t>
      </w:r>
      <w:r w:rsidR="00252C43">
        <w:t>’</w:t>
      </w:r>
      <w:r>
        <w:t xml:space="preserve">, </w:t>
      </w:r>
      <w:r>
        <w:rPr>
          <w:i/>
        </w:rPr>
        <w:t>World Economic Outlo</w:t>
      </w:r>
      <w:r w:rsidRPr="00CD4492">
        <w:rPr>
          <w:i/>
        </w:rPr>
        <w:t>ok April 2019</w:t>
      </w:r>
      <w:r>
        <w:t>, Chapter 2.</w:t>
      </w:r>
    </w:p>
    <w:p w14:paraId="3DA416F8" w14:textId="53BEEEEC" w:rsidR="006D5036" w:rsidRDefault="006D5036">
      <w:pPr>
        <w:spacing w:after="200" w:line="276" w:lineRule="auto"/>
      </w:pPr>
      <w:proofErr w:type="spellStart"/>
      <w:r>
        <w:t>Karabarbounis</w:t>
      </w:r>
      <w:proofErr w:type="spellEnd"/>
      <w:r>
        <w:t xml:space="preserve"> L and Neiman B (201</w:t>
      </w:r>
      <w:r w:rsidR="00301A33">
        <w:t>4</w:t>
      </w:r>
      <w:r>
        <w:t xml:space="preserve">), </w:t>
      </w:r>
      <w:r w:rsidR="00252C43">
        <w:t>‘</w:t>
      </w:r>
      <w:r>
        <w:t xml:space="preserve">The Global Decline in the </w:t>
      </w:r>
      <w:proofErr w:type="spellStart"/>
      <w:r>
        <w:t>Labor</w:t>
      </w:r>
      <w:proofErr w:type="spellEnd"/>
      <w:r>
        <w:t xml:space="preserve"> Share</w:t>
      </w:r>
      <w:r w:rsidR="00252C43">
        <w:t>’</w:t>
      </w:r>
      <w:r>
        <w:t xml:space="preserve">, </w:t>
      </w:r>
      <w:r>
        <w:rPr>
          <w:i/>
        </w:rPr>
        <w:t xml:space="preserve">The Quarterly Journal of </w:t>
      </w:r>
      <w:r w:rsidR="00FA4A44">
        <w:rPr>
          <w:i/>
        </w:rPr>
        <w:t>Economics</w:t>
      </w:r>
      <w:r>
        <w:t>, 129(1), pp. 61</w:t>
      </w:r>
      <w:r w:rsidR="00252C43">
        <w:noBreakHyphen/>
      </w:r>
      <w:r>
        <w:t>103.</w:t>
      </w:r>
    </w:p>
    <w:p w14:paraId="70B37306" w14:textId="3F27AF74" w:rsidR="00C04619" w:rsidRDefault="00C04619">
      <w:pPr>
        <w:spacing w:after="200" w:line="276" w:lineRule="auto"/>
      </w:pPr>
      <w:proofErr w:type="spellStart"/>
      <w:r>
        <w:t>Klette</w:t>
      </w:r>
      <w:proofErr w:type="spellEnd"/>
      <w:r>
        <w:t xml:space="preserve"> TJ and </w:t>
      </w:r>
      <w:proofErr w:type="spellStart"/>
      <w:r>
        <w:t>Griliches</w:t>
      </w:r>
      <w:proofErr w:type="spellEnd"/>
      <w:r>
        <w:t xml:space="preserve"> Z (1996), </w:t>
      </w:r>
      <w:r w:rsidR="00252C43">
        <w:t>‘</w:t>
      </w:r>
      <w:r>
        <w:t xml:space="preserve">The </w:t>
      </w:r>
      <w:r w:rsidR="004F2B3B">
        <w:t>Inconsistency</w:t>
      </w:r>
      <w:r>
        <w:t xml:space="preserve"> of Common Scale </w:t>
      </w:r>
      <w:r w:rsidR="002C29FC">
        <w:t>Estimators</w:t>
      </w:r>
      <w:r>
        <w:t xml:space="preserve"> when Output Prices are Unobserved and Endogenous</w:t>
      </w:r>
      <w:r w:rsidR="00252C43">
        <w:t>’</w:t>
      </w:r>
      <w:r>
        <w:t xml:space="preserve">, </w:t>
      </w:r>
      <w:r>
        <w:rPr>
          <w:i/>
        </w:rPr>
        <w:t>Journal of Applied Econometrics,</w:t>
      </w:r>
      <w:r>
        <w:t xml:space="preserve"> 11(4), pp. 343</w:t>
      </w:r>
      <w:r w:rsidR="00252C43">
        <w:noBreakHyphen/>
      </w:r>
      <w:r>
        <w:t>361.</w:t>
      </w:r>
    </w:p>
    <w:p w14:paraId="6643A7AB" w14:textId="667DA31C" w:rsidR="006261D6" w:rsidRPr="00C04619" w:rsidRDefault="006261D6">
      <w:pPr>
        <w:spacing w:after="200" w:line="276" w:lineRule="auto"/>
      </w:pPr>
      <w:r>
        <w:t xml:space="preserve">La Cava G (2019), </w:t>
      </w:r>
      <w:r w:rsidR="00252C43">
        <w:t>‘</w:t>
      </w:r>
      <w:r>
        <w:t xml:space="preserve">The Labour and </w:t>
      </w:r>
      <w:r w:rsidR="004F2B3B">
        <w:t>Capital</w:t>
      </w:r>
      <w:r>
        <w:t xml:space="preserve"> Shares of Income in Australia</w:t>
      </w:r>
      <w:r w:rsidR="00252C43">
        <w:t>’</w:t>
      </w:r>
      <w:r>
        <w:t xml:space="preserve">, </w:t>
      </w:r>
      <w:r w:rsidRPr="002246CA">
        <w:t>RBA Bulletin</w:t>
      </w:r>
      <w:r>
        <w:t>, March 2019.</w:t>
      </w:r>
    </w:p>
    <w:p w14:paraId="4C50061A" w14:textId="3D4F58F7" w:rsidR="005C22D5" w:rsidRDefault="005C22D5">
      <w:pPr>
        <w:spacing w:after="200" w:line="276" w:lineRule="auto"/>
      </w:pPr>
      <w:r>
        <w:t xml:space="preserve">Leigh A and A </w:t>
      </w:r>
      <w:proofErr w:type="spellStart"/>
      <w:r>
        <w:t>Triggs</w:t>
      </w:r>
      <w:proofErr w:type="spellEnd"/>
      <w:r>
        <w:t xml:space="preserve"> (2016), </w:t>
      </w:r>
      <w:r w:rsidR="00252C43">
        <w:t>‘</w:t>
      </w:r>
      <w:r>
        <w:t>Markets, Monopolies and Moguls: The Relationship between Inequality and Competition</w:t>
      </w:r>
      <w:r w:rsidR="00252C43">
        <w:t>’</w:t>
      </w:r>
      <w:r>
        <w:t xml:space="preserve">, </w:t>
      </w:r>
      <w:r w:rsidRPr="002246CA">
        <w:rPr>
          <w:i/>
        </w:rPr>
        <w:t>The Australian Economic Review</w:t>
      </w:r>
      <w:r>
        <w:t>, 49(4), pp 389</w:t>
      </w:r>
      <w:r w:rsidR="00252C43">
        <w:noBreakHyphen/>
      </w:r>
      <w:r>
        <w:t>412.</w:t>
      </w:r>
    </w:p>
    <w:p w14:paraId="11CC53FD" w14:textId="33D2E732" w:rsidR="005C22D5" w:rsidRDefault="005C22D5">
      <w:pPr>
        <w:spacing w:after="200" w:line="276" w:lineRule="auto"/>
      </w:pPr>
      <w:r>
        <w:t xml:space="preserve">Melitz MJ and S </w:t>
      </w:r>
      <w:proofErr w:type="spellStart"/>
      <w:r>
        <w:t>Polanec</w:t>
      </w:r>
      <w:proofErr w:type="spellEnd"/>
      <w:r>
        <w:t xml:space="preserve"> (2015), </w:t>
      </w:r>
      <w:r w:rsidR="00252C43">
        <w:t>‘</w:t>
      </w:r>
      <w:r>
        <w:t xml:space="preserve">Dynamic </w:t>
      </w:r>
      <w:proofErr w:type="spellStart"/>
      <w:r>
        <w:t>Olley</w:t>
      </w:r>
      <w:r w:rsidR="00252C43">
        <w:noBreakHyphen/>
      </w:r>
      <w:r>
        <w:t>Pakes</w:t>
      </w:r>
      <w:proofErr w:type="spellEnd"/>
      <w:r>
        <w:t xml:space="preserve"> Productivity Decomposition with Entry and Exit</w:t>
      </w:r>
      <w:r w:rsidR="00252C43">
        <w:t>’</w:t>
      </w:r>
      <w:r>
        <w:t xml:space="preserve">, </w:t>
      </w:r>
      <w:r w:rsidRPr="002246CA">
        <w:rPr>
          <w:i/>
        </w:rPr>
        <w:t>The RAND Journal of Economics</w:t>
      </w:r>
      <w:r>
        <w:t>, 46(2), pp 326</w:t>
      </w:r>
      <w:r w:rsidR="00252C43">
        <w:noBreakHyphen/>
      </w:r>
      <w:r>
        <w:t>375.</w:t>
      </w:r>
    </w:p>
    <w:p w14:paraId="26334B4C" w14:textId="73FAFCAE" w:rsidR="00F931E8" w:rsidRDefault="00F931E8">
      <w:pPr>
        <w:spacing w:after="200" w:line="276" w:lineRule="auto"/>
      </w:pPr>
      <w:r>
        <w:lastRenderedPageBreak/>
        <w:t xml:space="preserve">OECD (2018), </w:t>
      </w:r>
      <w:r w:rsidR="00252C43">
        <w:t>‘</w:t>
      </w:r>
      <w:r>
        <w:t>Market Concentration</w:t>
      </w:r>
      <w:r w:rsidR="00252C43">
        <w:t>’</w:t>
      </w:r>
      <w:r>
        <w:t>, Issues Paper by the Secretariat for 19</w:t>
      </w:r>
      <w:r w:rsidRPr="00F931E8">
        <w:rPr>
          <w:vertAlign w:val="superscript"/>
        </w:rPr>
        <w:t>th</w:t>
      </w:r>
      <w:r>
        <w:t xml:space="preserve"> meeting of the OECD Competition Committee, on 6</w:t>
      </w:r>
      <w:r w:rsidR="00252C43">
        <w:noBreakHyphen/>
      </w:r>
      <w:r>
        <w:t xml:space="preserve">8 June 2018. </w:t>
      </w:r>
    </w:p>
    <w:p w14:paraId="3C772514" w14:textId="4CCE97B4" w:rsidR="004F2B3B" w:rsidRDefault="004F2B3B">
      <w:pPr>
        <w:spacing w:after="200" w:line="276" w:lineRule="auto"/>
      </w:pPr>
      <w:r>
        <w:t xml:space="preserve">OECD (2020), </w:t>
      </w:r>
      <w:r w:rsidR="00252C43">
        <w:t>‘</w:t>
      </w:r>
      <w:r>
        <w:t>Start</w:t>
      </w:r>
      <w:r w:rsidR="00252C43">
        <w:noBreakHyphen/>
      </w:r>
      <w:r>
        <w:t>ups in the Time of COVID</w:t>
      </w:r>
      <w:r w:rsidR="00252C43">
        <w:noBreakHyphen/>
      </w:r>
      <w:r>
        <w:t>19: Facing the Challenges, Seizing the Opportunities</w:t>
      </w:r>
      <w:r w:rsidR="00252C43">
        <w:t>’</w:t>
      </w:r>
      <w:r>
        <w:t>, Key Policy Responses from the OECD Series. 13 May 2020,</w:t>
      </w:r>
      <w:r w:rsidR="00F9068A">
        <w:t xml:space="preserve"> </w:t>
      </w:r>
      <w:r w:rsidR="00F9068A" w:rsidRPr="004F2B3B">
        <w:rPr>
          <w:rFonts w:cs="Calibri"/>
          <w:color w:val="auto"/>
          <w:shd w:val="clear" w:color="auto" w:fill="FFFFFF"/>
        </w:rPr>
        <w:t>Available at</w:t>
      </w:r>
      <w:r w:rsidR="00F9068A">
        <w:rPr>
          <w:rFonts w:cs="Calibri"/>
          <w:color w:val="auto"/>
          <w:shd w:val="clear" w:color="auto" w:fill="FFFFFF"/>
        </w:rPr>
        <w:t xml:space="preserve">: </w:t>
      </w:r>
      <w:hyperlink r:id="rId43" w:history="1">
        <w:r w:rsidRPr="00BE4AFA">
          <w:rPr>
            <w:rStyle w:val="Hyperlink"/>
          </w:rPr>
          <w:t>http://www.oecd.org/coronavirus/policy</w:t>
        </w:r>
        <w:r w:rsidR="00252C43">
          <w:rPr>
            <w:rStyle w:val="Hyperlink"/>
          </w:rPr>
          <w:noBreakHyphen/>
        </w:r>
        <w:r w:rsidRPr="00BE4AFA">
          <w:rPr>
            <w:rStyle w:val="Hyperlink"/>
          </w:rPr>
          <w:t>responses/start</w:t>
        </w:r>
        <w:r w:rsidR="00252C43">
          <w:rPr>
            <w:rStyle w:val="Hyperlink"/>
          </w:rPr>
          <w:noBreakHyphen/>
        </w:r>
        <w:r w:rsidRPr="00BE4AFA">
          <w:rPr>
            <w:rStyle w:val="Hyperlink"/>
          </w:rPr>
          <w:t>ups</w:t>
        </w:r>
        <w:r w:rsidR="00252C43">
          <w:rPr>
            <w:rStyle w:val="Hyperlink"/>
          </w:rPr>
          <w:noBreakHyphen/>
        </w:r>
        <w:r w:rsidRPr="00BE4AFA">
          <w:rPr>
            <w:rStyle w:val="Hyperlink"/>
          </w:rPr>
          <w:t>in</w:t>
        </w:r>
        <w:r w:rsidR="00252C43">
          <w:rPr>
            <w:rStyle w:val="Hyperlink"/>
          </w:rPr>
          <w:noBreakHyphen/>
        </w:r>
        <w:r w:rsidRPr="00BE4AFA">
          <w:rPr>
            <w:rStyle w:val="Hyperlink"/>
          </w:rPr>
          <w:t>the</w:t>
        </w:r>
        <w:r w:rsidR="00252C43">
          <w:rPr>
            <w:rStyle w:val="Hyperlink"/>
          </w:rPr>
          <w:noBreakHyphen/>
        </w:r>
        <w:r w:rsidRPr="00BE4AFA">
          <w:rPr>
            <w:rStyle w:val="Hyperlink"/>
          </w:rPr>
          <w:t>time</w:t>
        </w:r>
        <w:r w:rsidR="00252C43">
          <w:rPr>
            <w:rStyle w:val="Hyperlink"/>
          </w:rPr>
          <w:noBreakHyphen/>
        </w:r>
        <w:r w:rsidRPr="00BE4AFA">
          <w:rPr>
            <w:rStyle w:val="Hyperlink"/>
          </w:rPr>
          <w:t>of</w:t>
        </w:r>
        <w:r w:rsidR="00252C43">
          <w:rPr>
            <w:rStyle w:val="Hyperlink"/>
          </w:rPr>
          <w:noBreakHyphen/>
        </w:r>
        <w:r w:rsidRPr="00BE4AFA">
          <w:rPr>
            <w:rStyle w:val="Hyperlink"/>
          </w:rPr>
          <w:t>covid</w:t>
        </w:r>
        <w:r w:rsidR="00252C43">
          <w:rPr>
            <w:rStyle w:val="Hyperlink"/>
          </w:rPr>
          <w:noBreakHyphen/>
        </w:r>
        <w:r w:rsidRPr="00BE4AFA">
          <w:rPr>
            <w:rStyle w:val="Hyperlink"/>
          </w:rPr>
          <w:t>19</w:t>
        </w:r>
        <w:r w:rsidR="00252C43">
          <w:rPr>
            <w:rStyle w:val="Hyperlink"/>
          </w:rPr>
          <w:noBreakHyphen/>
        </w:r>
        <w:r w:rsidRPr="00BE4AFA">
          <w:rPr>
            <w:rStyle w:val="Hyperlink"/>
          </w:rPr>
          <w:t>facing</w:t>
        </w:r>
        <w:r w:rsidR="00252C43">
          <w:rPr>
            <w:rStyle w:val="Hyperlink"/>
          </w:rPr>
          <w:noBreakHyphen/>
        </w:r>
        <w:r w:rsidRPr="00BE4AFA">
          <w:rPr>
            <w:rStyle w:val="Hyperlink"/>
          </w:rPr>
          <w:t>the</w:t>
        </w:r>
        <w:r w:rsidR="00252C43">
          <w:rPr>
            <w:rStyle w:val="Hyperlink"/>
          </w:rPr>
          <w:noBreakHyphen/>
        </w:r>
        <w:r w:rsidRPr="00BE4AFA">
          <w:rPr>
            <w:rStyle w:val="Hyperlink"/>
          </w:rPr>
          <w:t>challenges</w:t>
        </w:r>
        <w:r w:rsidR="00252C43">
          <w:rPr>
            <w:rStyle w:val="Hyperlink"/>
          </w:rPr>
          <w:noBreakHyphen/>
        </w:r>
        <w:r w:rsidRPr="00BE4AFA">
          <w:rPr>
            <w:rStyle w:val="Hyperlink"/>
          </w:rPr>
          <w:t>seizing</w:t>
        </w:r>
        <w:r w:rsidR="00252C43">
          <w:rPr>
            <w:rStyle w:val="Hyperlink"/>
          </w:rPr>
          <w:noBreakHyphen/>
        </w:r>
        <w:r w:rsidRPr="00BE4AFA">
          <w:rPr>
            <w:rStyle w:val="Hyperlink"/>
          </w:rPr>
          <w:t>the</w:t>
        </w:r>
        <w:r w:rsidR="00252C43">
          <w:rPr>
            <w:rStyle w:val="Hyperlink"/>
          </w:rPr>
          <w:noBreakHyphen/>
        </w:r>
        <w:r w:rsidRPr="00BE4AFA">
          <w:rPr>
            <w:rStyle w:val="Hyperlink"/>
          </w:rPr>
          <w:t>opportunities</w:t>
        </w:r>
        <w:r w:rsidR="00252C43">
          <w:rPr>
            <w:rStyle w:val="Hyperlink"/>
          </w:rPr>
          <w:noBreakHyphen/>
        </w:r>
        <w:r w:rsidRPr="00BE4AFA">
          <w:rPr>
            <w:rStyle w:val="Hyperlink"/>
          </w:rPr>
          <w:t>87219267/</w:t>
        </w:r>
      </w:hyperlink>
      <w:r w:rsidR="00F9068A" w:rsidRPr="004F2B3B">
        <w:rPr>
          <w:rFonts w:cs="Calibri"/>
          <w:color w:val="auto"/>
          <w:shd w:val="clear" w:color="auto" w:fill="FFFFFF"/>
        </w:rPr>
        <w:t>.</w:t>
      </w:r>
    </w:p>
    <w:p w14:paraId="3C0C89BE" w14:textId="06AD8A2B" w:rsidR="00C04619" w:rsidRDefault="00C04619" w:rsidP="00C04619">
      <w:pPr>
        <w:spacing w:after="200" w:line="276" w:lineRule="auto"/>
      </w:pPr>
      <w:proofErr w:type="spellStart"/>
      <w:r>
        <w:t>Olley</w:t>
      </w:r>
      <w:proofErr w:type="spellEnd"/>
      <w:r>
        <w:t xml:space="preserve"> SG and A </w:t>
      </w:r>
      <w:proofErr w:type="spellStart"/>
      <w:r>
        <w:t>Pakes</w:t>
      </w:r>
      <w:proofErr w:type="spellEnd"/>
      <w:r>
        <w:t xml:space="preserve"> (1996), </w:t>
      </w:r>
      <w:r w:rsidR="00252C43">
        <w:t>‘</w:t>
      </w:r>
      <w:r>
        <w:t>The Dynamics of Productivity in the Telecommunications Equipment Industry</w:t>
      </w:r>
      <w:r w:rsidR="00252C43">
        <w:t>’</w:t>
      </w:r>
      <w:r>
        <w:t xml:space="preserve">, </w:t>
      </w:r>
      <w:proofErr w:type="spellStart"/>
      <w:r w:rsidRPr="002246CA">
        <w:rPr>
          <w:i/>
        </w:rPr>
        <w:t>Econometrica</w:t>
      </w:r>
      <w:proofErr w:type="spellEnd"/>
      <w:r>
        <w:t>, 64(5), pp 1263</w:t>
      </w:r>
      <w:r w:rsidR="00252C43">
        <w:noBreakHyphen/>
      </w:r>
      <w:r>
        <w:t>1297.</w:t>
      </w:r>
    </w:p>
    <w:p w14:paraId="1A8428A8" w14:textId="53E00367" w:rsidR="00237621" w:rsidRDefault="00237621" w:rsidP="00C04619">
      <w:pPr>
        <w:spacing w:after="200" w:line="276" w:lineRule="auto"/>
      </w:pPr>
      <w:r>
        <w:t xml:space="preserve">Perla J, C </w:t>
      </w:r>
      <w:proofErr w:type="spellStart"/>
      <w:r>
        <w:t>Tonetti</w:t>
      </w:r>
      <w:proofErr w:type="spellEnd"/>
      <w:r>
        <w:t xml:space="preserve"> and ME Waugh (2019), </w:t>
      </w:r>
      <w:r w:rsidR="00252C43">
        <w:t>‘</w:t>
      </w:r>
      <w:r w:rsidR="002C29FC">
        <w:t>Equilibrium</w:t>
      </w:r>
      <w:r>
        <w:t xml:space="preserve"> Technology Diffusion, Trade, and Growth</w:t>
      </w:r>
      <w:r w:rsidR="00252C43">
        <w:t>’</w:t>
      </w:r>
      <w:r>
        <w:t>, NBER Working Paper No. 20881.</w:t>
      </w:r>
    </w:p>
    <w:p w14:paraId="6CAC488D" w14:textId="0741D6FF" w:rsidR="00073CD4" w:rsidRDefault="00073CD4" w:rsidP="00C04619">
      <w:pPr>
        <w:spacing w:after="200" w:line="276" w:lineRule="auto"/>
      </w:pPr>
      <w:proofErr w:type="spellStart"/>
      <w:r>
        <w:t>Pindyck</w:t>
      </w:r>
      <w:proofErr w:type="spellEnd"/>
      <w:r>
        <w:t xml:space="preserve"> R and D </w:t>
      </w:r>
      <w:proofErr w:type="spellStart"/>
      <w:r>
        <w:t>Rubinfeld</w:t>
      </w:r>
      <w:proofErr w:type="spellEnd"/>
      <w:r>
        <w:t xml:space="preserve"> (2012), </w:t>
      </w:r>
      <w:r w:rsidR="00252C43">
        <w:t>‘</w:t>
      </w:r>
      <w:r>
        <w:t>Microeconomics</w:t>
      </w:r>
      <w:r w:rsidR="00252C43">
        <w:t>’</w:t>
      </w:r>
      <w:r>
        <w:t>, 8</w:t>
      </w:r>
      <w:r w:rsidRPr="00073CD4">
        <w:rPr>
          <w:vertAlign w:val="superscript"/>
        </w:rPr>
        <w:t>th</w:t>
      </w:r>
      <w:r>
        <w:t xml:space="preserve"> eds. Pearson Education, Boston MA, United States.</w:t>
      </w:r>
    </w:p>
    <w:p w14:paraId="41A4619E" w14:textId="23AA7D21" w:rsidR="009018A9" w:rsidRDefault="009018A9">
      <w:pPr>
        <w:spacing w:after="200" w:line="276" w:lineRule="auto"/>
      </w:pPr>
      <w:r>
        <w:t>Quinn</w:t>
      </w:r>
      <w:r w:rsidR="00BE16B2">
        <w:t xml:space="preserve"> M</w:t>
      </w:r>
      <w:r>
        <w:t xml:space="preserve"> (2019), </w:t>
      </w:r>
      <w:r w:rsidR="00252C43">
        <w:t>‘</w:t>
      </w:r>
      <w:r>
        <w:t>Keeping Pace with Technological Change: The Role of Capabilities and Dynamism</w:t>
      </w:r>
      <w:r w:rsidR="00252C43">
        <w:t>’</w:t>
      </w:r>
      <w:r>
        <w:t>, Speech at OECD Global Forum on Productivity, Sydney 20 June 2019.</w:t>
      </w:r>
    </w:p>
    <w:p w14:paraId="1DA1D811" w14:textId="323C0EB4" w:rsidR="008D561E" w:rsidRPr="004F2B3B" w:rsidRDefault="008D561E">
      <w:pPr>
        <w:spacing w:after="200" w:line="276" w:lineRule="auto"/>
        <w:rPr>
          <w:rFonts w:cs="Calibri"/>
          <w:color w:val="auto"/>
        </w:rPr>
      </w:pPr>
      <w:proofErr w:type="spellStart"/>
      <w:r w:rsidRPr="004F2B3B">
        <w:rPr>
          <w:rFonts w:cs="Calibri"/>
          <w:color w:val="auto"/>
          <w:shd w:val="clear" w:color="auto" w:fill="FFFFFF"/>
        </w:rPr>
        <w:t>Raval</w:t>
      </w:r>
      <w:proofErr w:type="spellEnd"/>
      <w:r w:rsidRPr="004F2B3B">
        <w:rPr>
          <w:rFonts w:cs="Calibri"/>
          <w:color w:val="auto"/>
          <w:shd w:val="clear" w:color="auto" w:fill="FFFFFF"/>
        </w:rPr>
        <w:t xml:space="preserve"> D (2019), </w:t>
      </w:r>
      <w:r w:rsidR="00252C43">
        <w:rPr>
          <w:rFonts w:cs="Calibri"/>
          <w:color w:val="auto"/>
          <w:shd w:val="clear" w:color="auto" w:fill="FFFFFF"/>
        </w:rPr>
        <w:t>‘</w:t>
      </w:r>
      <w:r w:rsidRPr="004F2B3B">
        <w:rPr>
          <w:rFonts w:cs="Calibri"/>
          <w:color w:val="auto"/>
          <w:shd w:val="clear" w:color="auto" w:fill="FFFFFF"/>
        </w:rPr>
        <w:t xml:space="preserve">Testing the Production Approach to </w:t>
      </w:r>
      <w:proofErr w:type="spellStart"/>
      <w:r w:rsidRPr="004F2B3B">
        <w:rPr>
          <w:rFonts w:cs="Calibri"/>
          <w:color w:val="auto"/>
          <w:shd w:val="clear" w:color="auto" w:fill="FFFFFF"/>
        </w:rPr>
        <w:t>Markup</w:t>
      </w:r>
      <w:proofErr w:type="spellEnd"/>
      <w:r w:rsidRPr="004F2B3B">
        <w:rPr>
          <w:rFonts w:cs="Calibri"/>
          <w:color w:val="auto"/>
          <w:shd w:val="clear" w:color="auto" w:fill="FFFFFF"/>
        </w:rPr>
        <w:t xml:space="preserve"> Estimation</w:t>
      </w:r>
      <w:r w:rsidR="00252C43">
        <w:rPr>
          <w:rFonts w:cs="Calibri"/>
          <w:color w:val="auto"/>
          <w:shd w:val="clear" w:color="auto" w:fill="FFFFFF"/>
        </w:rPr>
        <w:t>’</w:t>
      </w:r>
      <w:r w:rsidR="006379F7" w:rsidRPr="004F2B3B">
        <w:rPr>
          <w:rFonts w:cs="Calibri"/>
          <w:color w:val="auto"/>
          <w:shd w:val="clear" w:color="auto" w:fill="FFFFFF"/>
        </w:rPr>
        <w:t>,</w:t>
      </w:r>
      <w:r w:rsidRPr="004F2B3B">
        <w:rPr>
          <w:rFonts w:cs="Calibri"/>
          <w:color w:val="auto"/>
          <w:shd w:val="clear" w:color="auto" w:fill="FFFFFF"/>
        </w:rPr>
        <w:t xml:space="preserve"> February 14, 2019</w:t>
      </w:r>
      <w:r w:rsidR="006379F7" w:rsidRPr="004F2B3B">
        <w:rPr>
          <w:rFonts w:cs="Calibri"/>
          <w:color w:val="auto"/>
          <w:shd w:val="clear" w:color="auto" w:fill="FFFFFF"/>
        </w:rPr>
        <w:t>,</w:t>
      </w:r>
      <w:r w:rsidRPr="004F2B3B">
        <w:rPr>
          <w:rFonts w:cs="Calibri"/>
          <w:color w:val="auto"/>
          <w:shd w:val="clear" w:color="auto" w:fill="FFFFFF"/>
        </w:rPr>
        <w:t xml:space="preserve"> Available at SSRN: </w:t>
      </w:r>
      <w:hyperlink r:id="rId44" w:tgtFrame="_blank" w:history="1">
        <w:r w:rsidRPr="002246CA">
          <w:rPr>
            <w:rStyle w:val="Hyperlink"/>
          </w:rPr>
          <w:t>https://ssrn.com/abstract=3324849</w:t>
        </w:r>
      </w:hyperlink>
      <w:r w:rsidR="006379F7" w:rsidRPr="004F2B3B">
        <w:rPr>
          <w:rFonts w:cs="Calibri"/>
          <w:color w:val="auto"/>
          <w:shd w:val="clear" w:color="auto" w:fill="FFFFFF"/>
        </w:rPr>
        <w:t>.</w:t>
      </w:r>
    </w:p>
    <w:p w14:paraId="4716665C" w14:textId="46B08A3B" w:rsidR="00C04619" w:rsidRDefault="00C04619">
      <w:pPr>
        <w:spacing w:after="200" w:line="276" w:lineRule="auto"/>
      </w:pPr>
      <w:r>
        <w:t>Rossi</w:t>
      </w:r>
      <w:r w:rsidR="00252C43">
        <w:noBreakHyphen/>
      </w:r>
      <w:proofErr w:type="spellStart"/>
      <w:r>
        <w:t>Hansberg</w:t>
      </w:r>
      <w:proofErr w:type="spellEnd"/>
      <w:r>
        <w:t xml:space="preserve"> E, PD </w:t>
      </w:r>
      <w:proofErr w:type="spellStart"/>
      <w:r>
        <w:t>Sarte</w:t>
      </w:r>
      <w:proofErr w:type="spellEnd"/>
      <w:r>
        <w:t xml:space="preserve"> and N </w:t>
      </w:r>
      <w:proofErr w:type="spellStart"/>
      <w:r>
        <w:t>Trachter</w:t>
      </w:r>
      <w:proofErr w:type="spellEnd"/>
      <w:r>
        <w:t xml:space="preserve"> (2018), </w:t>
      </w:r>
      <w:r w:rsidR="00252C43">
        <w:t>‘</w:t>
      </w:r>
      <w:r>
        <w:t>Diverging Trends in National and Local Concentration</w:t>
      </w:r>
      <w:r w:rsidR="00252C43">
        <w:t>’</w:t>
      </w:r>
      <w:r>
        <w:t>, NBER Working Paper No. 25066.</w:t>
      </w:r>
    </w:p>
    <w:p w14:paraId="1934F540" w14:textId="0D63E8FC" w:rsidR="00BE16B2" w:rsidRDefault="00BE16B2">
      <w:pPr>
        <w:spacing w:after="200" w:line="276" w:lineRule="auto"/>
      </w:pPr>
      <w:proofErr w:type="spellStart"/>
      <w:r>
        <w:t>Traina</w:t>
      </w:r>
      <w:proofErr w:type="spellEnd"/>
      <w:r>
        <w:t xml:space="preserve"> J (2018), </w:t>
      </w:r>
      <w:r w:rsidR="00252C43">
        <w:t>‘</w:t>
      </w:r>
      <w:r>
        <w:t>Is Aggregate Market Power Increasing? Production Trends Using Financial Statements</w:t>
      </w:r>
      <w:r w:rsidR="00252C43">
        <w:t>’</w:t>
      </w:r>
      <w:r>
        <w:t xml:space="preserve">, Stigler </w:t>
      </w:r>
      <w:proofErr w:type="spellStart"/>
      <w:r>
        <w:t>Center</w:t>
      </w:r>
      <w:proofErr w:type="spellEnd"/>
      <w:r>
        <w:t xml:space="preserve"> New Working Paper Series No. 17</w:t>
      </w:r>
      <w:r w:rsidR="00F9068A">
        <w:t xml:space="preserve">. </w:t>
      </w:r>
    </w:p>
    <w:p w14:paraId="5150CBD1" w14:textId="5121BE42" w:rsidR="00E02903" w:rsidRDefault="00F931E8">
      <w:pPr>
        <w:spacing w:after="200" w:line="276" w:lineRule="auto"/>
      </w:pPr>
      <w:proofErr w:type="spellStart"/>
      <w:r>
        <w:t>S</w:t>
      </w:r>
      <w:r w:rsidR="00D42FEC">
        <w:t>y</w:t>
      </w:r>
      <w:r>
        <w:t>verson</w:t>
      </w:r>
      <w:proofErr w:type="spellEnd"/>
      <w:r>
        <w:t xml:space="preserve"> C (2019), </w:t>
      </w:r>
      <w:r w:rsidR="00252C43">
        <w:t>‘</w:t>
      </w:r>
      <w:r>
        <w:t>Macroeco</w:t>
      </w:r>
      <w:r w:rsidR="00F9068A">
        <w:t>no</w:t>
      </w:r>
      <w:r>
        <w:t>mics and Market Power: Context, Implication, and Open Questions</w:t>
      </w:r>
      <w:r w:rsidR="00252C43">
        <w:t>’</w:t>
      </w:r>
      <w:r>
        <w:t xml:space="preserve">, </w:t>
      </w:r>
      <w:r>
        <w:rPr>
          <w:i/>
        </w:rPr>
        <w:t xml:space="preserve">Journal of </w:t>
      </w:r>
      <w:r w:rsidR="00D42FEC">
        <w:rPr>
          <w:i/>
        </w:rPr>
        <w:t>Political</w:t>
      </w:r>
      <w:r>
        <w:rPr>
          <w:i/>
        </w:rPr>
        <w:t xml:space="preserve"> Perspectives</w:t>
      </w:r>
      <w:r>
        <w:t>, 33(3), pp.23</w:t>
      </w:r>
      <w:r w:rsidR="00252C43">
        <w:noBreakHyphen/>
      </w:r>
      <w:r>
        <w:t>43</w:t>
      </w:r>
      <w:r w:rsidR="00F9068A">
        <w:t xml:space="preserve">. </w:t>
      </w:r>
    </w:p>
    <w:p w14:paraId="3E3131DF" w14:textId="2D546AE8" w:rsidR="00373491" w:rsidRDefault="00E02903">
      <w:pPr>
        <w:spacing w:after="200" w:line="276" w:lineRule="auto"/>
      </w:pPr>
      <w:r>
        <w:t xml:space="preserve">Van der Merwe M, L </w:t>
      </w:r>
      <w:proofErr w:type="spellStart"/>
      <w:r>
        <w:t>Cockerell</w:t>
      </w:r>
      <w:proofErr w:type="spellEnd"/>
      <w:r>
        <w:t>, M Cha</w:t>
      </w:r>
      <w:r w:rsidR="00712186">
        <w:t>m</w:t>
      </w:r>
      <w:r>
        <w:t xml:space="preserve">bers and </w:t>
      </w:r>
      <w:r w:rsidRPr="00153BEB">
        <w:t xml:space="preserve">J </w:t>
      </w:r>
      <w:proofErr w:type="spellStart"/>
      <w:r w:rsidR="00C6572C" w:rsidRPr="002246CA">
        <w:t>Jääskelä</w:t>
      </w:r>
      <w:proofErr w:type="spellEnd"/>
      <w:r w:rsidR="00C6572C">
        <w:t xml:space="preserve"> (2018), </w:t>
      </w:r>
      <w:r w:rsidR="00252C43">
        <w:t>‘</w:t>
      </w:r>
      <w:r w:rsidR="00C6572C">
        <w:t>Private Non</w:t>
      </w:r>
      <w:r w:rsidR="00252C43">
        <w:noBreakHyphen/>
      </w:r>
      <w:r w:rsidR="00C6572C">
        <w:t>mining Investment in Australia</w:t>
      </w:r>
      <w:r w:rsidR="00252C43">
        <w:t>’</w:t>
      </w:r>
      <w:r w:rsidR="00C6572C">
        <w:t>, RBA Bulletin, June</w:t>
      </w:r>
      <w:r w:rsidR="00F9068A">
        <w:t xml:space="preserve"> 2018. </w:t>
      </w:r>
    </w:p>
    <w:p w14:paraId="539055CD" w14:textId="77777777" w:rsidR="00373491" w:rsidRDefault="00373491">
      <w:pPr>
        <w:spacing w:after="200" w:line="276" w:lineRule="auto"/>
      </w:pPr>
      <w:r>
        <w:br w:type="page"/>
      </w:r>
    </w:p>
    <w:p w14:paraId="1F82CC8C" w14:textId="352C2305" w:rsidR="0095241E" w:rsidRDefault="0095241E" w:rsidP="0095241E">
      <w:pPr>
        <w:pStyle w:val="Heading2"/>
        <w:numPr>
          <w:ilvl w:val="0"/>
          <w:numId w:val="0"/>
        </w:numPr>
      </w:pPr>
      <w:r>
        <w:lastRenderedPageBreak/>
        <w:t>Appendix A: Mark</w:t>
      </w:r>
      <w:r w:rsidR="00252C43">
        <w:noBreakHyphen/>
      </w:r>
      <w:r>
        <w:t>up Methodology</w:t>
      </w:r>
    </w:p>
    <w:p w14:paraId="77EDE515" w14:textId="063EBE68" w:rsidR="0095241E" w:rsidRDefault="0095241E" w:rsidP="00455678">
      <w:pPr>
        <w:pStyle w:val="Bullet"/>
        <w:numPr>
          <w:ilvl w:val="0"/>
          <w:numId w:val="0"/>
        </w:numPr>
        <w:jc w:val="both"/>
      </w:pPr>
      <w:r>
        <w:t>To estimate mark</w:t>
      </w:r>
      <w:r w:rsidR="00252C43">
        <w:noBreakHyphen/>
      </w:r>
      <w:r>
        <w:t xml:space="preserve">ups, I follow the approach proposed by De </w:t>
      </w:r>
      <w:proofErr w:type="spellStart"/>
      <w:r>
        <w:t>Loecker</w:t>
      </w:r>
      <w:proofErr w:type="spellEnd"/>
      <w:r>
        <w:t xml:space="preserve"> and </w:t>
      </w:r>
      <w:proofErr w:type="spellStart"/>
      <w:r>
        <w:t>Warzynski</w:t>
      </w:r>
      <w:proofErr w:type="spellEnd"/>
      <w:r>
        <w:t xml:space="preserve"> (2012).They show that, under fairly mild assumptions, firm </w:t>
      </w:r>
      <w:proofErr w:type="spellStart"/>
      <w:r>
        <w:rPr>
          <w:i/>
        </w:rPr>
        <w:t>i</w:t>
      </w:r>
      <w:proofErr w:type="spellEnd"/>
      <w:r>
        <w:t xml:space="preserve"> will optimally set its mark</w:t>
      </w:r>
      <w:r w:rsidR="00252C43">
        <w:noBreakHyphen/>
      </w:r>
      <w:r>
        <w:t xml:space="preserve">up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t xml:space="preserve"> to be promotional to:  its output elasticity with respect to a flexible input </w:t>
      </w:r>
      <w:r>
        <w:rPr>
          <w:i/>
        </w:rPr>
        <w:t xml:space="preserve">m </w:t>
      </w:r>
      <w:r>
        <w:t>(</w:t>
      </w:r>
      <w:r>
        <w:rPr>
          <w:rFonts w:cstheme="minorHAnsi"/>
        </w:rPr>
        <w:t>α</w:t>
      </w:r>
      <w:proofErr w:type="spellStart"/>
      <w:r>
        <w:rPr>
          <w:vertAlign w:val="subscript"/>
        </w:rPr>
        <w:t>i,m</w:t>
      </w:r>
      <w:proofErr w:type="spellEnd"/>
      <w:r>
        <w:t>); and the expenditure on that input (</w:t>
      </w:r>
      <w:proofErr w:type="spellStart"/>
      <w:r>
        <w:t>P</w:t>
      </w:r>
      <w:r>
        <w:rPr>
          <w:vertAlign w:val="subscript"/>
        </w:rPr>
        <w:t>m</w:t>
      </w:r>
      <w:r>
        <w:t>M</w:t>
      </w:r>
      <w:r>
        <w:rPr>
          <w:vertAlign w:val="subscript"/>
        </w:rPr>
        <w:t>i</w:t>
      </w:r>
      <w:proofErr w:type="spellEnd"/>
      <w:r>
        <w:t>), as a share of sales income (</w:t>
      </w:r>
      <w:proofErr w:type="spellStart"/>
      <w:r>
        <w:t>P</w:t>
      </w:r>
      <w:r>
        <w:rPr>
          <w:vertAlign w:val="subscript"/>
        </w:rPr>
        <w:t>i</w:t>
      </w:r>
      <w:r>
        <w:t>Y</w:t>
      </w:r>
      <w:r>
        <w:rPr>
          <w:vertAlign w:val="subscript"/>
        </w:rPr>
        <w:t>i</w:t>
      </w:r>
      <w:proofErr w:type="spellEnd"/>
      <w:r>
        <w:t>). So:</w:t>
      </w:r>
    </w:p>
    <w:p w14:paraId="7C7A48BE" w14:textId="77777777" w:rsidR="0095241E" w:rsidRDefault="00247E5F" w:rsidP="0095241E">
      <w:pPr>
        <w:pStyle w:val="Bullet"/>
        <w:numPr>
          <w:ilvl w:val="0"/>
          <w:numId w:val="0"/>
        </w:numPr>
      </w:pPr>
      <m:oMathPara>
        <m:oMath>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i,m</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Y</m:t>
                      </m:r>
                    </m:e>
                    <m:sub>
                      <m:r>
                        <w:rPr>
                          <w:rFonts w:ascii="Cambria Math" w:hAnsi="Cambria Math"/>
                        </w:rPr>
                        <m:t>i</m:t>
                      </m:r>
                    </m:sub>
                  </m:sSub>
                </m:den>
              </m:f>
            </m:den>
          </m:f>
        </m:oMath>
      </m:oMathPara>
    </w:p>
    <w:p w14:paraId="7A459370" w14:textId="5A063215" w:rsidR="0095241E" w:rsidRPr="00F72A7B" w:rsidRDefault="0095241E" w:rsidP="00455678">
      <w:pPr>
        <w:jc w:val="both"/>
        <w:rPr>
          <w:rFonts w:cstheme="minorHAnsi"/>
          <w:shd w:val="clear" w:color="auto" w:fill="FFFFFF"/>
        </w:rPr>
      </w:pPr>
      <w:r w:rsidRPr="00F72A7B">
        <w:rPr>
          <w:rFonts w:cstheme="minorHAnsi"/>
          <w:color w:val="000000"/>
          <w:shd w:val="clear" w:color="auto" w:fill="FFFFFF"/>
        </w:rPr>
        <w:t>This is a general result that holds for various different competitive structures and price</w:t>
      </w:r>
      <w:r w:rsidR="00252C43">
        <w:rPr>
          <w:rFonts w:cstheme="minorHAnsi"/>
          <w:color w:val="000000"/>
          <w:shd w:val="clear" w:color="auto" w:fill="FFFFFF"/>
        </w:rPr>
        <w:noBreakHyphen/>
      </w:r>
      <w:r w:rsidRPr="00F72A7B">
        <w:rPr>
          <w:rFonts w:cstheme="minorHAnsi"/>
          <w:color w:val="000000"/>
          <w:shd w:val="clear" w:color="auto" w:fill="FFFFFF"/>
        </w:rPr>
        <w:t>setting mechanisms</w:t>
      </w:r>
      <w:r>
        <w:rPr>
          <w:rFonts w:cstheme="minorHAnsi"/>
          <w:color w:val="000000"/>
          <w:shd w:val="clear" w:color="auto" w:fill="FFFFFF"/>
        </w:rPr>
        <w:t xml:space="preserve"> </w:t>
      </w:r>
      <w:r w:rsidRPr="00F72A7B">
        <w:rPr>
          <w:rFonts w:cstheme="minorHAnsi"/>
          <w:color w:val="000000"/>
          <w:shd w:val="clear" w:color="auto" w:fill="FFFFFF"/>
        </w:rPr>
        <w:t>(see Online </w:t>
      </w:r>
      <w:r w:rsidRPr="002E5930">
        <w:rPr>
          <w:rFonts w:cstheme="minorHAnsi"/>
          <w:bdr w:val="none" w:sz="0" w:space="0" w:color="auto" w:frame="1"/>
          <w:shd w:val="clear" w:color="auto" w:fill="FFFFFF"/>
        </w:rPr>
        <w:t>Appendix</w:t>
      </w:r>
      <w:r w:rsidRPr="00F72A7B">
        <w:rPr>
          <w:rFonts w:cstheme="minorHAnsi"/>
          <w:color w:val="000000"/>
          <w:shd w:val="clear" w:color="auto" w:fill="FFFFFF"/>
        </w:rPr>
        <w:t xml:space="preserve"> to De </w:t>
      </w:r>
      <w:proofErr w:type="spellStart"/>
      <w:r w:rsidRPr="00F72A7B">
        <w:rPr>
          <w:rFonts w:cstheme="minorHAnsi"/>
          <w:color w:val="000000"/>
          <w:shd w:val="clear" w:color="auto" w:fill="FFFFFF"/>
        </w:rPr>
        <w:t>Loecker</w:t>
      </w:r>
      <w:proofErr w:type="spellEnd"/>
      <w:r w:rsidRPr="00F72A7B">
        <w:rPr>
          <w:rFonts w:cstheme="minorHAnsi"/>
          <w:color w:val="000000"/>
          <w:shd w:val="clear" w:color="auto" w:fill="FFFFFF"/>
        </w:rPr>
        <w:t xml:space="preserve"> and </w:t>
      </w:r>
      <w:proofErr w:type="spellStart"/>
      <w:r w:rsidRPr="00F72A7B">
        <w:rPr>
          <w:rFonts w:cstheme="minorHAnsi"/>
          <w:color w:val="000000"/>
          <w:shd w:val="clear" w:color="auto" w:fill="FFFFFF"/>
        </w:rPr>
        <w:t>Warzynski</w:t>
      </w:r>
      <w:proofErr w:type="spellEnd"/>
      <w:r w:rsidRPr="00F72A7B">
        <w:rPr>
          <w:rFonts w:cstheme="minorHAnsi"/>
          <w:color w:val="000000"/>
          <w:shd w:val="clear" w:color="auto" w:fill="FFFFFF"/>
        </w:rPr>
        <w:t xml:space="preserve"> (2012)).</w:t>
      </w:r>
      <w:r>
        <w:rPr>
          <w:rStyle w:val="FootnoteReference"/>
          <w:rFonts w:cstheme="minorHAnsi"/>
          <w:color w:val="000000"/>
          <w:shd w:val="clear" w:color="auto" w:fill="FFFFFF"/>
        </w:rPr>
        <w:footnoteReference w:id="20"/>
      </w:r>
      <w:r>
        <w:rPr>
          <w:rFonts w:cstheme="minorHAnsi"/>
          <w:color w:val="000000"/>
          <w:shd w:val="clear" w:color="auto" w:fill="FFFFFF"/>
        </w:rPr>
        <w:t xml:space="preserve"> However, the result only holds for an input that can be varied without any frictions or costs</w:t>
      </w:r>
      <w:r w:rsidR="00252C43">
        <w:rPr>
          <w:rFonts w:cstheme="minorHAnsi"/>
          <w:color w:val="000000"/>
          <w:shd w:val="clear" w:color="auto" w:fill="FFFFFF"/>
        </w:rPr>
        <w:t xml:space="preserve"> — </w:t>
      </w:r>
      <w:r>
        <w:rPr>
          <w:rFonts w:cstheme="minorHAnsi"/>
          <w:color w:val="000000"/>
          <w:shd w:val="clear" w:color="auto" w:fill="FFFFFF"/>
        </w:rPr>
        <w:t>such as hiring and firing costs, or costs in changing the capital stock</w:t>
      </w:r>
      <w:r w:rsidR="00252C43">
        <w:rPr>
          <w:rFonts w:cstheme="minorHAnsi"/>
          <w:color w:val="000000"/>
          <w:shd w:val="clear" w:color="auto" w:fill="FFFFFF"/>
        </w:rPr>
        <w:t xml:space="preserve"> — </w:t>
      </w:r>
      <w:r>
        <w:rPr>
          <w:rFonts w:cstheme="minorHAnsi"/>
          <w:color w:val="000000"/>
          <w:shd w:val="clear" w:color="auto" w:fill="FFFFFF"/>
        </w:rPr>
        <w:t xml:space="preserve">as these frictions might prevent the firm from using the </w:t>
      </w:r>
      <w:r w:rsidR="00252C43">
        <w:rPr>
          <w:rFonts w:cstheme="minorHAnsi"/>
          <w:color w:val="000000"/>
          <w:shd w:val="clear" w:color="auto" w:fill="FFFFFF"/>
        </w:rPr>
        <w:t>‘</w:t>
      </w:r>
      <w:r>
        <w:rPr>
          <w:rFonts w:cstheme="minorHAnsi"/>
          <w:color w:val="000000"/>
          <w:shd w:val="clear" w:color="auto" w:fill="FFFFFF"/>
        </w:rPr>
        <w:t>optimal</w:t>
      </w:r>
      <w:r w:rsidR="00252C43">
        <w:rPr>
          <w:rFonts w:cstheme="minorHAnsi"/>
          <w:color w:val="000000"/>
          <w:shd w:val="clear" w:color="auto" w:fill="FFFFFF"/>
        </w:rPr>
        <w:t>’</w:t>
      </w:r>
      <w:r>
        <w:rPr>
          <w:rFonts w:cstheme="minorHAnsi"/>
          <w:color w:val="000000"/>
          <w:shd w:val="clear" w:color="auto" w:fill="FFFFFF"/>
        </w:rPr>
        <w:t xml:space="preserve"> amount of the input.</w:t>
      </w:r>
    </w:p>
    <w:p w14:paraId="6834B979" w14:textId="7C41BF8E" w:rsidR="0095241E" w:rsidRDefault="0095241E" w:rsidP="00455678">
      <w:pPr>
        <w:jc w:val="both"/>
        <w:rPr>
          <w:rFonts w:ascii="Tahoma" w:hAnsi="Tahoma" w:cs="Tahoma"/>
          <w:color w:val="000000"/>
          <w:sz w:val="23"/>
          <w:szCs w:val="23"/>
          <w:shd w:val="clear" w:color="auto" w:fill="FFFFFF"/>
        </w:rPr>
      </w:pPr>
      <w:r>
        <w:rPr>
          <w:shd w:val="clear" w:color="auto" w:fill="FFFFFF"/>
        </w:rPr>
        <w:t>Firm sales can generally be observed in firm</w:t>
      </w:r>
      <w:r w:rsidR="00252C43">
        <w:rPr>
          <w:shd w:val="clear" w:color="auto" w:fill="FFFFFF"/>
        </w:rPr>
        <w:noBreakHyphen/>
      </w:r>
      <w:r>
        <w:rPr>
          <w:shd w:val="clear" w:color="auto" w:fill="FFFFFF"/>
        </w:rPr>
        <w:t>level datasets, as can their expenditure on different inp</w:t>
      </w:r>
      <w:r w:rsidRPr="00F72A7B">
        <w:rPr>
          <w:rFonts w:cstheme="minorHAnsi"/>
          <w:shd w:val="clear" w:color="auto" w:fill="FFFFFF"/>
        </w:rPr>
        <w:t xml:space="preserve">uts. However, their output elasticity cannot be observed. De </w:t>
      </w:r>
      <w:proofErr w:type="spellStart"/>
      <w:r w:rsidRPr="00F72A7B">
        <w:rPr>
          <w:rFonts w:cstheme="minorHAnsi"/>
          <w:color w:val="000000"/>
          <w:shd w:val="clear" w:color="auto" w:fill="FFFFFF"/>
        </w:rPr>
        <w:t>Loecker</w:t>
      </w:r>
      <w:proofErr w:type="spellEnd"/>
      <w:r w:rsidRPr="00F72A7B">
        <w:rPr>
          <w:rFonts w:cstheme="minorHAnsi"/>
          <w:color w:val="000000"/>
          <w:shd w:val="clear" w:color="auto" w:fill="FFFFFF"/>
        </w:rPr>
        <w:t xml:space="preserve"> and </w:t>
      </w:r>
      <w:proofErr w:type="spellStart"/>
      <w:r w:rsidRPr="00F72A7B">
        <w:rPr>
          <w:rFonts w:cstheme="minorHAnsi"/>
          <w:color w:val="000000"/>
          <w:shd w:val="clear" w:color="auto" w:fill="FFFFFF"/>
        </w:rPr>
        <w:t>Warzynski</w:t>
      </w:r>
      <w:proofErr w:type="spellEnd"/>
      <w:r w:rsidRPr="00F72A7B">
        <w:rPr>
          <w:rFonts w:cstheme="minorHAnsi"/>
          <w:color w:val="000000"/>
          <w:shd w:val="clear" w:color="auto" w:fill="FFFFFF"/>
        </w:rPr>
        <w:t xml:space="preserve"> (2012) suggest taking these elasticities from production functions, which can be estimated using various methods proposed in the literature.</w:t>
      </w:r>
      <w:r>
        <w:rPr>
          <w:rFonts w:ascii="Tahoma" w:hAnsi="Tahoma" w:cs="Tahoma"/>
          <w:color w:val="000000"/>
          <w:sz w:val="23"/>
          <w:szCs w:val="23"/>
          <w:shd w:val="clear" w:color="auto" w:fill="FFFFFF"/>
        </w:rPr>
        <w:t> </w:t>
      </w:r>
    </w:p>
    <w:p w14:paraId="49BC562F" w14:textId="77777777" w:rsidR="0095241E" w:rsidRDefault="0095241E" w:rsidP="0095241E">
      <w:pPr>
        <w:rPr>
          <w:rFonts w:cstheme="minorHAnsi"/>
          <w:color w:val="000000"/>
          <w:shd w:val="clear" w:color="auto" w:fill="FFFFFF"/>
        </w:rPr>
      </w:pPr>
      <w:r>
        <w:rPr>
          <w:rFonts w:cstheme="minorHAnsi"/>
          <w:color w:val="000000"/>
          <w:shd w:val="clear" w:color="auto" w:fill="FFFFFF"/>
        </w:rPr>
        <w:t>Specifically, this involves estimating production functions of the form:</w:t>
      </w:r>
    </w:p>
    <w:p w14:paraId="5943333F" w14:textId="77777777" w:rsidR="0095241E" w:rsidRPr="00F72A7B" w:rsidRDefault="00247E5F" w:rsidP="0095241E">
      <w:pPr>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i,t</m:t>
              </m:r>
            </m:sub>
          </m:sSub>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i,t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ϵ</m:t>
              </m:r>
            </m:e>
            <m:sub>
              <m:r>
                <w:rPr>
                  <w:rFonts w:ascii="Cambria Math" w:hAnsi="Cambria Math" w:cstheme="minorHAnsi"/>
                </w:rPr>
                <m:t>i,t</m:t>
              </m:r>
            </m:sub>
          </m:sSub>
        </m:oMath>
      </m:oMathPara>
    </w:p>
    <w:p w14:paraId="0211E07E" w14:textId="22DDCF18" w:rsidR="0095241E" w:rsidRDefault="0095241E" w:rsidP="00455678">
      <w:pPr>
        <w:jc w:val="both"/>
        <w:rPr>
          <w:rFonts w:eastAsiaTheme="minorEastAsia" w:cstheme="minorHAnsi"/>
        </w:rPr>
      </w:pPr>
      <w:r>
        <w:rPr>
          <w:rFonts w:cstheme="minorHAnsi"/>
        </w:rPr>
        <w:t xml:space="preserve">Where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i,t</m:t>
            </m:r>
          </m:sub>
        </m:sSub>
      </m:oMath>
      <w:r>
        <w:rPr>
          <w:rFonts w:eastAsiaTheme="minorEastAsia" w:cstheme="minorHAnsi"/>
        </w:rPr>
        <w:t xml:space="preserve"> is some functional form,</w:t>
      </w:r>
      <w:r>
        <w:rPr>
          <w:rFonts w:cstheme="minorHAnsi"/>
        </w:rPr>
        <w:t xml:space="preserve"> </w:t>
      </w:r>
      <w:r>
        <w:rPr>
          <w:rFonts w:eastAsiaTheme="minorEastAsia" w:cstheme="minorHAnsi"/>
        </w:rPr>
        <w:t xml:space="preserve">and </w:t>
      </w: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i,t</m:t>
            </m:r>
          </m:sub>
        </m:sSub>
      </m:oMath>
      <w:r>
        <w:rPr>
          <w:rFonts w:eastAsiaTheme="minorEastAsia" w:cstheme="minorHAnsi"/>
        </w:rPr>
        <w:t xml:space="preserve">, </w:t>
      </w: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i,t</m:t>
            </m:r>
          </m:sub>
        </m:sSub>
      </m:oMath>
      <w:r>
        <w:rPr>
          <w:rFonts w:eastAsiaTheme="minorEastAsia" w:cstheme="minorHAnsi"/>
        </w:rPr>
        <w:t xml:space="preserve">,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i,t</m:t>
            </m:r>
          </m:sub>
        </m:sSub>
      </m:oMath>
      <w:r>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i,t</m:t>
            </m:r>
          </m:sub>
        </m:sSub>
        <m:r>
          <w:rPr>
            <w:rFonts w:ascii="Cambria Math" w:hAnsi="Cambria Math" w:cstheme="minorHAnsi"/>
          </w:rPr>
          <m:t xml:space="preserve"> </m:t>
        </m:r>
      </m:oMath>
      <w:r>
        <w:rPr>
          <w:rFonts w:eastAsiaTheme="minorEastAsia" w:cstheme="minorHAnsi"/>
        </w:rPr>
        <w:t>are the firm</w:t>
      </w:r>
      <w:r w:rsidR="00252C43">
        <w:rPr>
          <w:rFonts w:eastAsiaTheme="minorEastAsia" w:cstheme="minorHAnsi"/>
        </w:rPr>
        <w:t>’</w:t>
      </w:r>
      <w:r>
        <w:rPr>
          <w:rFonts w:eastAsiaTheme="minorEastAsia" w:cstheme="minorHAnsi"/>
        </w:rPr>
        <w:t xml:space="preserve">s output, labour input, </w:t>
      </w:r>
      <w:r w:rsidR="00455678">
        <w:rPr>
          <w:rFonts w:eastAsiaTheme="minorEastAsia" w:cstheme="minorHAnsi"/>
        </w:rPr>
        <w:t>capital</w:t>
      </w:r>
      <w:r>
        <w:rPr>
          <w:rFonts w:eastAsiaTheme="minorEastAsia" w:cstheme="minorHAnsi"/>
        </w:rPr>
        <w:t xml:space="preserve"> input and intermediate inputs, respectively, all expressed in terms of log quantities.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i,t</m:t>
            </m:r>
          </m:sub>
        </m:sSub>
        <m:r>
          <w:rPr>
            <w:rFonts w:ascii="Cambria Math" w:hAnsi="Cambria Math" w:cstheme="minorHAnsi"/>
          </w:rPr>
          <m:t xml:space="preserve"> </m:t>
        </m:r>
      </m:oMath>
      <w:r>
        <w:rPr>
          <w:rFonts w:eastAsiaTheme="minorEastAsia" w:cstheme="minorHAnsi"/>
        </w:rPr>
        <w:t>is the firm</w:t>
      </w:r>
      <w:r w:rsidR="00252C43">
        <w:rPr>
          <w:rFonts w:eastAsiaTheme="minorEastAsia" w:cstheme="minorHAnsi"/>
        </w:rPr>
        <w:t>’</w:t>
      </w:r>
      <w:r>
        <w:rPr>
          <w:rFonts w:eastAsiaTheme="minorEastAsia" w:cstheme="minorHAnsi"/>
        </w:rPr>
        <w:t xml:space="preserve">s (log) productivity level, assumed to be Hicks neutral, and </w:t>
      </w:r>
      <m:oMath>
        <m:sSub>
          <m:sSubPr>
            <m:ctrlPr>
              <w:rPr>
                <w:rFonts w:ascii="Cambria Math" w:hAnsi="Cambria Math" w:cstheme="minorHAnsi"/>
                <w:i/>
              </w:rPr>
            </m:ctrlPr>
          </m:sSubPr>
          <m:e>
            <m:r>
              <w:rPr>
                <w:rFonts w:ascii="Cambria Math" w:hAnsi="Cambria Math" w:cstheme="minorHAnsi"/>
              </w:rPr>
              <m:t>ϵ</m:t>
            </m:r>
          </m:e>
          <m:sub>
            <m:r>
              <w:rPr>
                <w:rFonts w:ascii="Cambria Math" w:hAnsi="Cambria Math" w:cstheme="minorHAnsi"/>
              </w:rPr>
              <m:t>i,t</m:t>
            </m:r>
          </m:sub>
        </m:sSub>
      </m:oMath>
      <w:r>
        <w:rPr>
          <w:rFonts w:eastAsiaTheme="minorEastAsia" w:cstheme="minorHAnsi"/>
        </w:rPr>
        <w:t xml:space="preserve"> is some measurement error or noise.</w:t>
      </w:r>
      <w:r>
        <w:rPr>
          <w:rStyle w:val="FootnoteReference"/>
          <w:rFonts w:eastAsiaTheme="minorEastAsia" w:cstheme="minorHAnsi"/>
        </w:rPr>
        <w:footnoteReference w:id="21"/>
      </w:r>
    </w:p>
    <w:p w14:paraId="507DABE8" w14:textId="25C57E32" w:rsidR="00455678" w:rsidRDefault="00455678" w:rsidP="00455678">
      <w:pPr>
        <w:jc w:val="both"/>
        <w:rPr>
          <w:rFonts w:eastAsiaTheme="minorEastAsia" w:cstheme="minorHAnsi"/>
        </w:rPr>
      </w:pPr>
      <w:r>
        <w:rPr>
          <w:rFonts w:eastAsiaTheme="minorEastAsia" w:cstheme="minorHAnsi"/>
        </w:rPr>
        <w:t xml:space="preserve">I follow most of the literature and estimate the production function using a proxy approach, in the vein of </w:t>
      </w:r>
      <w:proofErr w:type="spellStart"/>
      <w:r>
        <w:rPr>
          <w:rFonts w:eastAsiaTheme="minorEastAsia" w:cstheme="minorHAnsi"/>
        </w:rPr>
        <w:t>Olley</w:t>
      </w:r>
      <w:proofErr w:type="spellEnd"/>
      <w:r>
        <w:rPr>
          <w:rFonts w:eastAsiaTheme="minorEastAsia" w:cstheme="minorHAnsi"/>
        </w:rPr>
        <w:t xml:space="preserve"> and </w:t>
      </w:r>
      <w:proofErr w:type="spellStart"/>
      <w:r>
        <w:rPr>
          <w:rFonts w:eastAsiaTheme="minorEastAsia" w:cstheme="minorHAnsi"/>
        </w:rPr>
        <w:t>Pakes</w:t>
      </w:r>
      <w:proofErr w:type="spellEnd"/>
      <w:r>
        <w:rPr>
          <w:rFonts w:eastAsiaTheme="minorEastAsia" w:cstheme="minorHAnsi"/>
        </w:rPr>
        <w:t xml:space="preserve"> (1996). </w:t>
      </w:r>
      <w:proofErr w:type="gramStart"/>
      <w:r>
        <w:rPr>
          <w:rFonts w:eastAsiaTheme="minorEastAsia" w:cstheme="minorHAnsi"/>
        </w:rPr>
        <w:t>In particular, I</w:t>
      </w:r>
      <w:proofErr w:type="gramEnd"/>
      <w:r>
        <w:rPr>
          <w:rFonts w:eastAsiaTheme="minorEastAsia" w:cstheme="minorHAnsi"/>
        </w:rPr>
        <w:t xml:space="preserve"> take the two</w:t>
      </w:r>
      <w:r w:rsidR="00252C43">
        <w:rPr>
          <w:rFonts w:eastAsiaTheme="minorEastAsia" w:cstheme="minorHAnsi"/>
        </w:rPr>
        <w:noBreakHyphen/>
      </w:r>
      <w:r>
        <w:rPr>
          <w:rFonts w:eastAsiaTheme="minorEastAsia" w:cstheme="minorHAnsi"/>
        </w:rPr>
        <w:t xml:space="preserve">step approach suggested by </w:t>
      </w:r>
      <w:proofErr w:type="spellStart"/>
      <w:r>
        <w:rPr>
          <w:rFonts w:eastAsiaTheme="minorEastAsia" w:cstheme="minorHAnsi"/>
        </w:rPr>
        <w:t>Ackerberg</w:t>
      </w:r>
      <w:proofErr w:type="spellEnd"/>
      <w:r>
        <w:rPr>
          <w:rFonts w:eastAsiaTheme="minorEastAsia" w:cstheme="minorHAnsi"/>
        </w:rPr>
        <w:t xml:space="preserve">, Caves and Fraser (2012). </w:t>
      </w:r>
    </w:p>
    <w:p w14:paraId="0038B808" w14:textId="5C0DC231" w:rsidR="00455678" w:rsidRDefault="00455678" w:rsidP="00455678">
      <w:pPr>
        <w:jc w:val="both"/>
        <w:rPr>
          <w:rFonts w:eastAsiaTheme="minorEastAsia" w:cstheme="minorHAnsi"/>
        </w:rPr>
      </w:pPr>
      <w:r>
        <w:rPr>
          <w:rFonts w:eastAsiaTheme="minorEastAsia" w:cstheme="minorHAnsi"/>
        </w:rPr>
        <w:t xml:space="preserve">The first step involves regressing gross output on a (fifth order) polynomial in labour, </w:t>
      </w:r>
      <w:proofErr w:type="gramStart"/>
      <w:r>
        <w:rPr>
          <w:rFonts w:eastAsiaTheme="minorEastAsia" w:cstheme="minorHAnsi"/>
        </w:rPr>
        <w:t>capital</w:t>
      </w:r>
      <w:proofErr w:type="gramEnd"/>
      <w:r>
        <w:rPr>
          <w:rFonts w:eastAsiaTheme="minorEastAsia" w:cstheme="minorHAnsi"/>
        </w:rPr>
        <w:t xml:space="preserve"> and intermediate inputs</w:t>
      </w:r>
      <w:r w:rsidR="00252C43">
        <w:rPr>
          <w:rFonts w:eastAsiaTheme="minorEastAsia" w:cstheme="minorHAnsi"/>
        </w:rPr>
        <w:t xml:space="preserve"> — </w:t>
      </w:r>
      <w:r w:rsidR="004E25E8">
        <w:rPr>
          <w:rFonts w:eastAsiaTheme="minorEastAsia" w:cstheme="minorHAnsi"/>
        </w:rPr>
        <w:t>the fitted value of which is taken to be productivity</w:t>
      </w:r>
      <w:r>
        <w:rPr>
          <w:rFonts w:eastAsiaTheme="minorEastAsia" w:cstheme="minorHAnsi"/>
        </w:rPr>
        <w:t>. I also include my measure of wages in this polynomial</w:t>
      </w:r>
      <w:r w:rsidR="00471CBF">
        <w:rPr>
          <w:rFonts w:eastAsiaTheme="minorEastAsia" w:cstheme="minorHAnsi"/>
        </w:rPr>
        <w:t>.</w:t>
      </w:r>
      <w:r>
        <w:rPr>
          <w:rFonts w:eastAsiaTheme="minorEastAsia" w:cstheme="minorHAnsi"/>
        </w:rPr>
        <w:t xml:space="preserve"> As discussed in De </w:t>
      </w:r>
      <w:proofErr w:type="spellStart"/>
      <w:r>
        <w:rPr>
          <w:rFonts w:eastAsiaTheme="minorEastAsia" w:cstheme="minorHAnsi"/>
        </w:rPr>
        <w:t>Loecker</w:t>
      </w:r>
      <w:proofErr w:type="spellEnd"/>
      <w:r>
        <w:rPr>
          <w:rFonts w:eastAsiaTheme="minorEastAsia" w:cstheme="minorHAnsi"/>
        </w:rPr>
        <w:t xml:space="preserve"> and Scott 2017, including an auto</w:t>
      </w:r>
      <w:r w:rsidR="00252C43">
        <w:rPr>
          <w:rFonts w:eastAsiaTheme="minorEastAsia" w:cstheme="minorHAnsi"/>
        </w:rPr>
        <w:noBreakHyphen/>
      </w:r>
      <w:r>
        <w:rPr>
          <w:rFonts w:eastAsiaTheme="minorEastAsia" w:cstheme="minorHAnsi"/>
        </w:rPr>
        <w:t>correlated firm</w:t>
      </w:r>
      <w:r w:rsidR="00252C43">
        <w:rPr>
          <w:rFonts w:eastAsiaTheme="minorEastAsia" w:cstheme="minorHAnsi"/>
        </w:rPr>
        <w:noBreakHyphen/>
      </w:r>
      <w:r>
        <w:rPr>
          <w:rFonts w:eastAsiaTheme="minorEastAsia" w:cstheme="minorHAnsi"/>
        </w:rPr>
        <w:t>specific input price in the estimation can help to get around issues in identifying the parameters in the gros</w:t>
      </w:r>
      <w:r w:rsidR="00712186">
        <w:rPr>
          <w:rFonts w:eastAsiaTheme="minorEastAsia" w:cstheme="minorHAnsi"/>
        </w:rPr>
        <w:t>s output production function (G</w:t>
      </w:r>
      <w:r>
        <w:rPr>
          <w:rFonts w:eastAsiaTheme="minorEastAsia" w:cstheme="minorHAnsi"/>
        </w:rPr>
        <w:t>andhi et al 2017). As is common in the literature, I also include year</w:t>
      </w:r>
      <w:r w:rsidR="00252C43">
        <w:rPr>
          <w:rFonts w:eastAsiaTheme="minorEastAsia" w:cstheme="minorHAnsi"/>
        </w:rPr>
        <w:noBreakHyphen/>
      </w:r>
      <w:r>
        <w:rPr>
          <w:rFonts w:eastAsiaTheme="minorEastAsia" w:cstheme="minorHAnsi"/>
        </w:rPr>
        <w:t xml:space="preserve">fixed effects in the estimation. The results are generally robust to </w:t>
      </w:r>
      <w:proofErr w:type="gramStart"/>
      <w:r>
        <w:rPr>
          <w:rFonts w:eastAsiaTheme="minorEastAsia" w:cstheme="minorHAnsi"/>
        </w:rPr>
        <w:t>both of these</w:t>
      </w:r>
      <w:proofErr w:type="gramEnd"/>
      <w:r>
        <w:rPr>
          <w:rFonts w:eastAsiaTheme="minorEastAsia" w:cstheme="minorHAnsi"/>
        </w:rPr>
        <w:t xml:space="preserve"> inclusions, though in some specifications the exclusion of the wage term can have a substantial effect on the level</w:t>
      </w:r>
      <w:r w:rsidR="00471CBF">
        <w:rPr>
          <w:rFonts w:eastAsiaTheme="minorEastAsia" w:cstheme="minorHAnsi"/>
        </w:rPr>
        <w:t xml:space="preserve"> of mark</w:t>
      </w:r>
      <w:r w:rsidR="00252C43">
        <w:rPr>
          <w:rFonts w:eastAsiaTheme="minorEastAsia" w:cstheme="minorHAnsi"/>
        </w:rPr>
        <w:noBreakHyphen/>
      </w:r>
      <w:r w:rsidR="00471CBF">
        <w:rPr>
          <w:rFonts w:eastAsiaTheme="minorEastAsia" w:cstheme="minorHAnsi"/>
        </w:rPr>
        <w:t>ups</w:t>
      </w:r>
      <w:r>
        <w:rPr>
          <w:rFonts w:eastAsiaTheme="minorEastAsia" w:cstheme="minorHAnsi"/>
        </w:rPr>
        <w:t xml:space="preserve">, suggesting difficulty in identifying the output </w:t>
      </w:r>
      <w:r w:rsidR="00471CBF">
        <w:rPr>
          <w:rFonts w:eastAsiaTheme="minorEastAsia" w:cstheme="minorHAnsi"/>
        </w:rPr>
        <w:t>elasticities</w:t>
      </w:r>
      <w:r>
        <w:rPr>
          <w:rFonts w:eastAsiaTheme="minorEastAsia" w:cstheme="minorHAnsi"/>
        </w:rPr>
        <w:t xml:space="preserve">. </w:t>
      </w:r>
    </w:p>
    <w:p w14:paraId="1AF8A8BB" w14:textId="6F797FD1" w:rsidR="00455678" w:rsidRDefault="00455678" w:rsidP="00471CBF">
      <w:pPr>
        <w:jc w:val="both"/>
        <w:rPr>
          <w:rFonts w:eastAsiaTheme="minorEastAsia" w:cstheme="minorHAnsi"/>
        </w:rPr>
      </w:pPr>
      <w:r>
        <w:rPr>
          <w:rFonts w:eastAsiaTheme="minorEastAsia" w:cstheme="minorHAnsi"/>
        </w:rPr>
        <w:t>Consistent with other papers, the error</w:t>
      </w:r>
      <w:r w:rsidR="00252C43">
        <w:rPr>
          <w:rFonts w:eastAsiaTheme="minorEastAsia" w:cstheme="minorHAnsi"/>
        </w:rPr>
        <w:noBreakHyphen/>
      </w:r>
      <w:r>
        <w:rPr>
          <w:rFonts w:eastAsiaTheme="minorEastAsia" w:cstheme="minorHAnsi"/>
        </w:rPr>
        <w:t xml:space="preserve">term from this first step is removed from the output in </w:t>
      </w:r>
      <w:r w:rsidR="00471CBF">
        <w:rPr>
          <w:rFonts w:eastAsiaTheme="minorEastAsia" w:cstheme="minorHAnsi"/>
        </w:rPr>
        <w:t>constructing</w:t>
      </w:r>
      <w:r>
        <w:rPr>
          <w:rFonts w:eastAsiaTheme="minorEastAsia" w:cstheme="minorHAnsi"/>
        </w:rPr>
        <w:t xml:space="preserve"> factor shares. The idea is to abstract from unexpected demand shock or measurement errors </w:t>
      </w:r>
      <w:r>
        <w:rPr>
          <w:rFonts w:eastAsiaTheme="minorEastAsia" w:cstheme="minorHAnsi"/>
        </w:rPr>
        <w:lastRenderedPageBreak/>
        <w:t>that could have moved the actual factor share away from the intended level.</w:t>
      </w:r>
      <w:r w:rsidR="00471CBF">
        <w:rPr>
          <w:rFonts w:eastAsiaTheme="minorEastAsia" w:cstheme="minorHAnsi"/>
        </w:rPr>
        <w:t xml:space="preserve"> Exclusion of this step does not appear to substantially affect the results.</w:t>
      </w:r>
    </w:p>
    <w:p w14:paraId="4ABC2799" w14:textId="08E6C015" w:rsidR="00471CBF" w:rsidRDefault="00471CBF" w:rsidP="00471CBF">
      <w:pPr>
        <w:jc w:val="both"/>
        <w:rPr>
          <w:rFonts w:eastAsiaTheme="minorEastAsia" w:cstheme="minorHAnsi"/>
        </w:rPr>
      </w:pPr>
      <w:r>
        <w:rPr>
          <w:rFonts w:eastAsiaTheme="minorEastAsia" w:cstheme="minorHAnsi"/>
        </w:rPr>
        <w:t xml:space="preserve">The second step </w:t>
      </w:r>
      <w:r w:rsidR="004E25E8">
        <w:rPr>
          <w:rFonts w:eastAsiaTheme="minorEastAsia" w:cstheme="minorHAnsi"/>
        </w:rPr>
        <w:t xml:space="preserve">involves </w:t>
      </w:r>
      <w:r w:rsidR="00163719">
        <w:rPr>
          <w:rFonts w:eastAsiaTheme="minorEastAsia" w:cstheme="minorHAnsi"/>
        </w:rPr>
        <w:t>combining</w:t>
      </w:r>
      <w:r w:rsidR="004E25E8">
        <w:rPr>
          <w:rFonts w:eastAsiaTheme="minorEastAsia" w:cstheme="minorHAnsi"/>
        </w:rPr>
        <w:t xml:space="preserve"> the fitted productivity measure, which is assumed to be a first</w:t>
      </w:r>
      <w:r w:rsidR="00252C43">
        <w:rPr>
          <w:rFonts w:eastAsiaTheme="minorEastAsia" w:cstheme="minorHAnsi"/>
        </w:rPr>
        <w:noBreakHyphen/>
      </w:r>
      <w:r w:rsidR="004E25E8">
        <w:rPr>
          <w:rFonts w:eastAsiaTheme="minorEastAsia" w:cstheme="minorHAnsi"/>
        </w:rPr>
        <w:t xml:space="preserve">order Markov process, with assumptions around the flexibility of inputs to construct </w:t>
      </w:r>
      <w:proofErr w:type="gramStart"/>
      <w:r w:rsidR="004E25E8">
        <w:rPr>
          <w:rFonts w:eastAsiaTheme="minorEastAsia" w:cstheme="minorHAnsi"/>
        </w:rPr>
        <w:t>a number of</w:t>
      </w:r>
      <w:proofErr w:type="gramEnd"/>
      <w:r w:rsidR="004E25E8">
        <w:rPr>
          <w:rFonts w:eastAsiaTheme="minorEastAsia" w:cstheme="minorHAnsi"/>
        </w:rPr>
        <w:t xml:space="preserve"> moment conditions. These can then be solved using Generalised Method of Moments (GMM)</w:t>
      </w:r>
      <w:r w:rsidR="00163719">
        <w:rPr>
          <w:rFonts w:eastAsiaTheme="minorEastAsia" w:cstheme="minorHAnsi"/>
        </w:rPr>
        <w:t xml:space="preserve"> to calculate the coefficients on the different terms in the production function, and therefore the output elasticities</w:t>
      </w:r>
      <w:r w:rsidR="00252C43">
        <w:rPr>
          <w:rFonts w:eastAsiaTheme="minorEastAsia" w:cstheme="minorHAnsi"/>
        </w:rPr>
        <w:t xml:space="preserve">. </w:t>
      </w:r>
    </w:p>
    <w:p w14:paraId="6AAA8081" w14:textId="6A45097F" w:rsidR="00163719" w:rsidRDefault="00163719" w:rsidP="00163719">
      <w:pPr>
        <w:jc w:val="both"/>
        <w:rPr>
          <w:rFonts w:eastAsiaTheme="minorEastAsia" w:cstheme="minorHAnsi"/>
        </w:rPr>
      </w:pPr>
      <w:r>
        <w:rPr>
          <w:rFonts w:eastAsiaTheme="minorEastAsia" w:cstheme="minorHAnsi"/>
        </w:rPr>
        <w:t>For the estimation of mark</w:t>
      </w:r>
      <w:r w:rsidR="00252C43">
        <w:rPr>
          <w:rFonts w:eastAsiaTheme="minorEastAsia" w:cstheme="minorHAnsi"/>
        </w:rPr>
        <w:noBreakHyphen/>
      </w:r>
      <w:r>
        <w:rPr>
          <w:rFonts w:eastAsiaTheme="minorEastAsia" w:cstheme="minorHAnsi"/>
        </w:rPr>
        <w:t>ups, I use the output elasticity on intermediate inputs</w:t>
      </w:r>
      <w:r w:rsidR="00455678">
        <w:rPr>
          <w:rFonts w:eastAsiaTheme="minorEastAsia" w:cstheme="minorHAnsi"/>
        </w:rPr>
        <w:t xml:space="preserve">. I choose this in place of labour as it is </w:t>
      </w:r>
      <w:r>
        <w:rPr>
          <w:rFonts w:eastAsiaTheme="minorEastAsia" w:cstheme="minorHAnsi"/>
        </w:rPr>
        <w:t>likely</w:t>
      </w:r>
      <w:r w:rsidR="00455678">
        <w:rPr>
          <w:rFonts w:eastAsiaTheme="minorEastAsia" w:cstheme="minorHAnsi"/>
        </w:rPr>
        <w:t xml:space="preserve"> to be more flexible. I also experiment with using an aggregate measure of intermediate and labour inputs, as is done in De </w:t>
      </w:r>
      <w:proofErr w:type="spellStart"/>
      <w:r w:rsidR="00455678">
        <w:rPr>
          <w:rFonts w:eastAsiaTheme="minorEastAsia" w:cstheme="minorHAnsi"/>
        </w:rPr>
        <w:t>Loecker</w:t>
      </w:r>
      <w:proofErr w:type="spellEnd"/>
      <w:r w:rsidR="00455678">
        <w:rPr>
          <w:rFonts w:eastAsiaTheme="minorEastAsia" w:cstheme="minorHAnsi"/>
        </w:rPr>
        <w:t xml:space="preserve"> and </w:t>
      </w:r>
      <w:proofErr w:type="spellStart"/>
      <w:r w:rsidR="00455678">
        <w:rPr>
          <w:rFonts w:eastAsiaTheme="minorEastAsia" w:cstheme="minorHAnsi"/>
        </w:rPr>
        <w:t>Eeckhout</w:t>
      </w:r>
      <w:proofErr w:type="spellEnd"/>
      <w:r w:rsidR="00455678">
        <w:rPr>
          <w:rFonts w:eastAsiaTheme="minorEastAsia" w:cstheme="minorHAnsi"/>
        </w:rPr>
        <w:t xml:space="preserve"> (2018</w:t>
      </w:r>
      <w:r>
        <w:rPr>
          <w:rFonts w:eastAsiaTheme="minorEastAsia" w:cstheme="minorHAnsi"/>
        </w:rPr>
        <w:t>)</w:t>
      </w:r>
      <w:r w:rsidR="00455678">
        <w:rPr>
          <w:rFonts w:eastAsiaTheme="minorEastAsia" w:cstheme="minorHAnsi"/>
        </w:rPr>
        <w:t xml:space="preserve">. </w:t>
      </w:r>
      <w:r>
        <w:rPr>
          <w:rFonts w:eastAsiaTheme="minorEastAsia" w:cstheme="minorHAnsi"/>
        </w:rPr>
        <w:t>When I bundle the two, mark</w:t>
      </w:r>
      <w:r w:rsidR="00252C43">
        <w:rPr>
          <w:rFonts w:eastAsiaTheme="minorEastAsia" w:cstheme="minorHAnsi"/>
        </w:rPr>
        <w:noBreakHyphen/>
      </w:r>
      <w:r>
        <w:rPr>
          <w:rFonts w:eastAsiaTheme="minorEastAsia" w:cstheme="minorHAnsi"/>
        </w:rPr>
        <w:t>ups still appear to increase. But the magnitude of the increase appears to be a bit smaller. This suggests that, at least in the Australian case, bundling</w:t>
      </w:r>
      <w:r w:rsidR="00403C78">
        <w:rPr>
          <w:rFonts w:eastAsiaTheme="minorEastAsia" w:cstheme="minorHAnsi"/>
        </w:rPr>
        <w:t xml:space="preserve"> leads to a potential understatement of the degree of mark</w:t>
      </w:r>
      <w:r w:rsidR="00252C43">
        <w:rPr>
          <w:rFonts w:eastAsiaTheme="minorEastAsia" w:cstheme="minorHAnsi"/>
        </w:rPr>
        <w:noBreakHyphen/>
      </w:r>
      <w:r w:rsidR="00403C78">
        <w:rPr>
          <w:rFonts w:eastAsiaTheme="minorEastAsia" w:cstheme="minorHAnsi"/>
        </w:rPr>
        <w:t>up by assuming labour and intermediate inputs are perfect complements.</w:t>
      </w:r>
    </w:p>
    <w:p w14:paraId="0134A35E" w14:textId="5458C4B3" w:rsidR="002D2944" w:rsidRDefault="00D93434" w:rsidP="00163719">
      <w:pPr>
        <w:jc w:val="both"/>
        <w:rPr>
          <w:rFonts w:eastAsiaTheme="minorEastAsia" w:cstheme="minorHAnsi"/>
        </w:rPr>
      </w:pPr>
      <w:r>
        <w:rPr>
          <w:rFonts w:eastAsiaTheme="minorEastAsia" w:cstheme="minorHAnsi"/>
        </w:rPr>
        <w:t xml:space="preserve">In my preferred specification, I use a </w:t>
      </w:r>
      <w:proofErr w:type="spellStart"/>
      <w:r>
        <w:rPr>
          <w:rFonts w:eastAsiaTheme="minorEastAsia" w:cstheme="minorHAnsi"/>
        </w:rPr>
        <w:t>translog</w:t>
      </w:r>
      <w:proofErr w:type="spellEnd"/>
      <w:r>
        <w:rPr>
          <w:rFonts w:eastAsiaTheme="minorEastAsia" w:cstheme="minorHAnsi"/>
        </w:rPr>
        <w:t xml:space="preserve"> production function. This allows for the fact that large and small firms </w:t>
      </w:r>
      <w:proofErr w:type="gramStart"/>
      <w:r>
        <w:rPr>
          <w:rFonts w:eastAsiaTheme="minorEastAsia" w:cstheme="minorHAnsi"/>
        </w:rPr>
        <w:t>in a given</w:t>
      </w:r>
      <w:proofErr w:type="gramEnd"/>
      <w:r>
        <w:rPr>
          <w:rFonts w:eastAsiaTheme="minorEastAsia" w:cstheme="minorHAnsi"/>
        </w:rPr>
        <w:t xml:space="preserve"> industry could have different production technologies. Most papers use a simpler Cobb</w:t>
      </w:r>
      <w:r w:rsidR="00252C43">
        <w:rPr>
          <w:rFonts w:eastAsiaTheme="minorEastAsia" w:cstheme="minorHAnsi"/>
        </w:rPr>
        <w:noBreakHyphen/>
      </w:r>
      <w:r>
        <w:rPr>
          <w:rFonts w:eastAsiaTheme="minorEastAsia" w:cstheme="minorHAnsi"/>
        </w:rPr>
        <w:t xml:space="preserve">Douglas production function that imposes a common production </w:t>
      </w:r>
      <w:proofErr w:type="gramStart"/>
      <w:r>
        <w:rPr>
          <w:rFonts w:eastAsiaTheme="minorEastAsia" w:cstheme="minorHAnsi"/>
        </w:rPr>
        <w:t>technology, and</w:t>
      </w:r>
      <w:proofErr w:type="gramEnd"/>
      <w:r>
        <w:rPr>
          <w:rFonts w:eastAsiaTheme="minorEastAsia" w:cstheme="minorHAnsi"/>
        </w:rPr>
        <w:t xml:space="preserve"> note that </w:t>
      </w:r>
      <w:proofErr w:type="spellStart"/>
      <w:r>
        <w:rPr>
          <w:rFonts w:eastAsiaTheme="minorEastAsia" w:cstheme="minorHAnsi"/>
        </w:rPr>
        <w:t>translog</w:t>
      </w:r>
      <w:proofErr w:type="spellEnd"/>
      <w:r>
        <w:rPr>
          <w:rFonts w:eastAsiaTheme="minorEastAsia" w:cstheme="minorHAnsi"/>
        </w:rPr>
        <w:t xml:space="preserve"> function does not lead to substantially different results. </w:t>
      </w:r>
    </w:p>
    <w:p w14:paraId="4995C204" w14:textId="3A8EEC53" w:rsidR="00163719" w:rsidRDefault="00A8488D" w:rsidP="00163719">
      <w:pPr>
        <w:jc w:val="both"/>
        <w:rPr>
          <w:rFonts w:eastAsiaTheme="minorEastAsia" w:cstheme="minorHAnsi"/>
        </w:rPr>
      </w:pPr>
      <w:r>
        <w:rPr>
          <w:rFonts w:eastAsiaTheme="minorEastAsia" w:cstheme="minorHAnsi"/>
        </w:rPr>
        <w:t>W</w:t>
      </w:r>
      <w:r w:rsidR="00D93434">
        <w:rPr>
          <w:rFonts w:eastAsiaTheme="minorEastAsia" w:cstheme="minorHAnsi"/>
        </w:rPr>
        <w:t xml:space="preserve">hen I </w:t>
      </w:r>
      <w:r>
        <w:rPr>
          <w:rFonts w:eastAsiaTheme="minorEastAsia" w:cstheme="minorHAnsi"/>
        </w:rPr>
        <w:t>instead use</w:t>
      </w:r>
      <w:r w:rsidR="00D93434">
        <w:rPr>
          <w:rFonts w:eastAsiaTheme="minorEastAsia" w:cstheme="minorHAnsi"/>
        </w:rPr>
        <w:t xml:space="preserve"> a Cobb</w:t>
      </w:r>
      <w:r w:rsidR="00252C43">
        <w:rPr>
          <w:rFonts w:eastAsiaTheme="minorEastAsia" w:cstheme="minorHAnsi"/>
        </w:rPr>
        <w:noBreakHyphen/>
      </w:r>
      <w:r w:rsidR="00D93434">
        <w:rPr>
          <w:rFonts w:eastAsiaTheme="minorEastAsia" w:cstheme="minorHAnsi"/>
        </w:rPr>
        <w:t>Douglas</w:t>
      </w:r>
      <w:r>
        <w:rPr>
          <w:rFonts w:eastAsiaTheme="minorEastAsia" w:cstheme="minorHAnsi"/>
        </w:rPr>
        <w:t xml:space="preserve"> production function</w:t>
      </w:r>
      <w:r w:rsidR="00D93434">
        <w:rPr>
          <w:rFonts w:eastAsiaTheme="minorEastAsia" w:cstheme="minorHAnsi"/>
        </w:rPr>
        <w:t xml:space="preserve"> the trends are quite similar, though the levels are quite different, especially</w:t>
      </w:r>
      <w:r w:rsidR="00480C47">
        <w:rPr>
          <w:rFonts w:eastAsiaTheme="minorEastAsia" w:cstheme="minorHAnsi"/>
        </w:rPr>
        <w:t xml:space="preserve"> for the weighted metrics</w:t>
      </w:r>
      <w:r w:rsidR="00570DDF">
        <w:rPr>
          <w:rFonts w:eastAsiaTheme="minorEastAsia" w:cstheme="minorHAnsi"/>
        </w:rPr>
        <w:t xml:space="preserve"> (</w:t>
      </w:r>
      <w:r w:rsidR="006261D6">
        <w:rPr>
          <w:rFonts w:eastAsiaTheme="minorEastAsia" w:cstheme="minorHAnsi"/>
        </w:rPr>
        <w:t>A</w:t>
      </w:r>
      <w:r w:rsidR="00570DDF">
        <w:rPr>
          <w:rFonts w:eastAsiaTheme="minorEastAsia" w:cstheme="minorHAnsi"/>
        </w:rPr>
        <w:t>ppendix C)</w:t>
      </w:r>
      <w:r w:rsidR="00480C47">
        <w:rPr>
          <w:rFonts w:eastAsiaTheme="minorEastAsia" w:cstheme="minorHAnsi"/>
        </w:rPr>
        <w:t xml:space="preserve">. </w:t>
      </w:r>
      <w:r w:rsidR="00597C3C">
        <w:rPr>
          <w:rFonts w:eastAsiaTheme="minorEastAsia" w:cstheme="minorHAnsi"/>
        </w:rPr>
        <w:t>T</w:t>
      </w:r>
      <w:r w:rsidR="00480C47">
        <w:rPr>
          <w:rFonts w:eastAsiaTheme="minorEastAsia" w:cstheme="minorHAnsi"/>
        </w:rPr>
        <w:t>he weighted metrics</w:t>
      </w:r>
      <w:r w:rsidR="00597C3C">
        <w:rPr>
          <w:rFonts w:eastAsiaTheme="minorEastAsia" w:cstheme="minorHAnsi"/>
        </w:rPr>
        <w:t>, particularly the input</w:t>
      </w:r>
      <w:r w:rsidR="00252C43">
        <w:rPr>
          <w:rFonts w:eastAsiaTheme="minorEastAsia" w:cstheme="minorHAnsi"/>
        </w:rPr>
        <w:noBreakHyphen/>
      </w:r>
      <w:r w:rsidR="00597C3C">
        <w:rPr>
          <w:rFonts w:eastAsiaTheme="minorEastAsia" w:cstheme="minorHAnsi"/>
        </w:rPr>
        <w:t>weighted metric,</w:t>
      </w:r>
      <w:r w:rsidR="00480C47">
        <w:rPr>
          <w:rFonts w:eastAsiaTheme="minorEastAsia" w:cstheme="minorHAnsi"/>
        </w:rPr>
        <w:t xml:space="preserve"> </w:t>
      </w:r>
      <w:r w:rsidR="00597C3C">
        <w:rPr>
          <w:rFonts w:eastAsiaTheme="minorEastAsia" w:cstheme="minorHAnsi"/>
        </w:rPr>
        <w:t>are quite low, and tend to be lower than the</w:t>
      </w:r>
      <w:r w:rsidR="002D2944">
        <w:rPr>
          <w:rFonts w:eastAsiaTheme="minorEastAsia" w:cstheme="minorHAnsi"/>
        </w:rPr>
        <w:t xml:space="preserve"> </w:t>
      </w:r>
      <w:r w:rsidR="00597C3C">
        <w:rPr>
          <w:rFonts w:eastAsiaTheme="minorEastAsia" w:cstheme="minorHAnsi"/>
        </w:rPr>
        <w:t xml:space="preserve">unweighted metrics, </w:t>
      </w:r>
      <w:r w:rsidR="00F53D15">
        <w:rPr>
          <w:rFonts w:eastAsiaTheme="minorEastAsia" w:cstheme="minorHAnsi"/>
        </w:rPr>
        <w:t>indicating that large firms have lower mark</w:t>
      </w:r>
      <w:r w:rsidR="00252C43">
        <w:rPr>
          <w:rFonts w:eastAsiaTheme="minorEastAsia" w:cstheme="minorHAnsi"/>
        </w:rPr>
        <w:noBreakHyphen/>
      </w:r>
      <w:r w:rsidR="00F53D15">
        <w:rPr>
          <w:rFonts w:eastAsiaTheme="minorEastAsia" w:cstheme="minorHAnsi"/>
        </w:rPr>
        <w:t>ups. Moreover, the level of the unweighted and input</w:t>
      </w:r>
      <w:r w:rsidR="00252C43">
        <w:rPr>
          <w:rFonts w:eastAsiaTheme="minorEastAsia" w:cstheme="minorHAnsi"/>
        </w:rPr>
        <w:noBreakHyphen/>
      </w:r>
      <w:r w:rsidR="00F53D15">
        <w:rPr>
          <w:rFonts w:eastAsiaTheme="minorEastAsia" w:cstheme="minorHAnsi"/>
        </w:rPr>
        <w:t xml:space="preserve">weighted are very high and low, respectively. </w:t>
      </w:r>
      <w:r>
        <w:rPr>
          <w:rFonts w:eastAsiaTheme="minorEastAsia" w:cstheme="minorHAnsi"/>
        </w:rPr>
        <w:t>Nevertheless,</w:t>
      </w:r>
      <w:r w:rsidR="00570DDF">
        <w:rPr>
          <w:rFonts w:eastAsiaTheme="minorEastAsia" w:cstheme="minorHAnsi"/>
        </w:rPr>
        <w:t xml:space="preserve"> it is best not to read too much into the </w:t>
      </w:r>
      <w:proofErr w:type="gramStart"/>
      <w:r w:rsidR="00570DDF">
        <w:rPr>
          <w:rFonts w:eastAsiaTheme="minorEastAsia" w:cstheme="minorHAnsi"/>
        </w:rPr>
        <w:t>levels</w:t>
      </w:r>
      <w:proofErr w:type="gramEnd"/>
      <w:r w:rsidR="00570DDF">
        <w:rPr>
          <w:rFonts w:eastAsiaTheme="minorEastAsia" w:cstheme="minorHAnsi"/>
        </w:rPr>
        <w:t xml:space="preserve"> differences</w:t>
      </w:r>
      <w:r>
        <w:rPr>
          <w:rFonts w:eastAsiaTheme="minorEastAsia" w:cstheme="minorHAnsi"/>
        </w:rPr>
        <w:t xml:space="preserve"> given concerns about interpretation of the levels of mark</w:t>
      </w:r>
      <w:r w:rsidR="00252C43">
        <w:rPr>
          <w:rFonts w:eastAsiaTheme="minorEastAsia" w:cstheme="minorHAnsi"/>
        </w:rPr>
        <w:noBreakHyphen/>
      </w:r>
      <w:r>
        <w:rPr>
          <w:rFonts w:eastAsiaTheme="minorEastAsia" w:cstheme="minorHAnsi"/>
        </w:rPr>
        <w:t>ups</w:t>
      </w:r>
      <w:r w:rsidR="00570DDF">
        <w:rPr>
          <w:rFonts w:eastAsiaTheme="minorEastAsia" w:cstheme="minorHAnsi"/>
        </w:rPr>
        <w:t>.</w:t>
      </w:r>
    </w:p>
    <w:p w14:paraId="676B89F7" w14:textId="4C6929E9" w:rsidR="003D17AC" w:rsidRDefault="003D17AC" w:rsidP="003D17AC">
      <w:pPr>
        <w:jc w:val="both"/>
        <w:rPr>
          <w:rFonts w:eastAsiaTheme="minorEastAsia" w:cstheme="minorHAnsi"/>
        </w:rPr>
      </w:pPr>
      <w:r>
        <w:rPr>
          <w:rFonts w:eastAsiaTheme="minorEastAsia" w:cstheme="minorHAnsi"/>
        </w:rPr>
        <w:t>Consistent with other papers, I exclude fixed costs from the estimation</w:t>
      </w:r>
      <w:r w:rsidR="00A368C2">
        <w:rPr>
          <w:rFonts w:eastAsiaTheme="minorEastAsia" w:cstheme="minorHAnsi"/>
        </w:rPr>
        <w:t xml:space="preserve"> as</w:t>
      </w:r>
      <w:r>
        <w:rPr>
          <w:rFonts w:eastAsiaTheme="minorEastAsia" w:cstheme="minorHAnsi"/>
        </w:rPr>
        <w:t xml:space="preserve"> these fixed outlays are not directly used in production. The paper and Appendix B provide robustness testing around this treatment. In general, mixing fixed costs with intermediate inputs, and allowi</w:t>
      </w:r>
      <w:r w:rsidR="00570DDF">
        <w:rPr>
          <w:rFonts w:eastAsiaTheme="minorEastAsia" w:cstheme="minorHAnsi"/>
        </w:rPr>
        <w:t>ng</w:t>
      </w:r>
      <w:r>
        <w:rPr>
          <w:rFonts w:eastAsiaTheme="minorEastAsia" w:cstheme="minorHAnsi"/>
        </w:rPr>
        <w:t xml:space="preserve"> fixed costs to enter as an additional variable in the production function, lead to smaller </w:t>
      </w:r>
      <w:r w:rsidR="00570DDF">
        <w:rPr>
          <w:rFonts w:eastAsiaTheme="minorEastAsia" w:cstheme="minorHAnsi"/>
        </w:rPr>
        <w:t>estimated</w:t>
      </w:r>
      <w:r>
        <w:rPr>
          <w:rFonts w:eastAsiaTheme="minorEastAsia" w:cstheme="minorHAnsi"/>
        </w:rPr>
        <w:t xml:space="preserve"> increase in mark</w:t>
      </w:r>
      <w:r w:rsidR="00252C43">
        <w:rPr>
          <w:rFonts w:eastAsiaTheme="minorEastAsia" w:cstheme="minorHAnsi"/>
        </w:rPr>
        <w:noBreakHyphen/>
      </w:r>
      <w:r>
        <w:rPr>
          <w:rFonts w:eastAsiaTheme="minorEastAsia" w:cstheme="minorHAnsi"/>
        </w:rPr>
        <w:t xml:space="preserve">ups. This suggests increases in </w:t>
      </w:r>
      <w:r w:rsidR="00570DDF">
        <w:rPr>
          <w:rFonts w:eastAsiaTheme="minorEastAsia" w:cstheme="minorHAnsi"/>
        </w:rPr>
        <w:t>fixed</w:t>
      </w:r>
      <w:r>
        <w:rPr>
          <w:rFonts w:eastAsiaTheme="minorEastAsia" w:cstheme="minorHAnsi"/>
        </w:rPr>
        <w:t xml:space="preserve"> costs and changing technologies can explain some of the increase in mark</w:t>
      </w:r>
      <w:r w:rsidR="00252C43">
        <w:rPr>
          <w:rFonts w:eastAsiaTheme="minorEastAsia" w:cstheme="minorHAnsi"/>
        </w:rPr>
        <w:noBreakHyphen/>
      </w:r>
      <w:r>
        <w:rPr>
          <w:rFonts w:eastAsiaTheme="minorEastAsia" w:cstheme="minorHAnsi"/>
        </w:rPr>
        <w:t>ups.</w:t>
      </w:r>
    </w:p>
    <w:p w14:paraId="51320D43" w14:textId="0EFAAE2F" w:rsidR="003F0F93" w:rsidRDefault="003F0F93" w:rsidP="003D17AC">
      <w:pPr>
        <w:jc w:val="both"/>
        <w:rPr>
          <w:rFonts w:eastAsiaTheme="minorEastAsia" w:cstheme="minorHAnsi"/>
        </w:rPr>
      </w:pPr>
      <w:r>
        <w:rPr>
          <w:rFonts w:eastAsiaTheme="minorEastAsia" w:cstheme="minorHAnsi"/>
        </w:rPr>
        <w:t>As noted in the text</w:t>
      </w:r>
      <w:r w:rsidR="0049507D">
        <w:rPr>
          <w:rFonts w:eastAsiaTheme="minorEastAsia" w:cstheme="minorHAnsi"/>
        </w:rPr>
        <w:t xml:space="preserve">, Bond et al (2020) argue </w:t>
      </w:r>
      <w:r w:rsidR="00A368C2">
        <w:rPr>
          <w:rFonts w:eastAsiaTheme="minorEastAsia" w:cstheme="minorHAnsi"/>
        </w:rPr>
        <w:t>that</w:t>
      </w:r>
      <w:r w:rsidR="0049507D">
        <w:rPr>
          <w:rFonts w:eastAsiaTheme="minorEastAsia" w:cstheme="minorHAnsi"/>
        </w:rPr>
        <w:t xml:space="preserve"> in using industry deflators rather than firm</w:t>
      </w:r>
      <w:r w:rsidR="00252C43">
        <w:rPr>
          <w:rFonts w:eastAsiaTheme="minorEastAsia" w:cstheme="minorHAnsi"/>
        </w:rPr>
        <w:noBreakHyphen/>
      </w:r>
      <w:r w:rsidR="0049507D">
        <w:rPr>
          <w:rFonts w:eastAsiaTheme="minorEastAsia" w:cstheme="minorHAnsi"/>
        </w:rPr>
        <w:t xml:space="preserve">level prices, and therefore effectively estimating a </w:t>
      </w:r>
      <w:r w:rsidR="00A368C2">
        <w:rPr>
          <w:rFonts w:eastAsiaTheme="minorEastAsia" w:cstheme="minorHAnsi"/>
        </w:rPr>
        <w:t>revenue</w:t>
      </w:r>
      <w:r w:rsidR="0049507D">
        <w:rPr>
          <w:rFonts w:eastAsiaTheme="minorEastAsia" w:cstheme="minorHAnsi"/>
        </w:rPr>
        <w:t xml:space="preserve"> elasticity and not an output elasticity, the mark</w:t>
      </w:r>
      <w:r w:rsidR="00252C43">
        <w:rPr>
          <w:rFonts w:eastAsiaTheme="minorEastAsia" w:cstheme="minorHAnsi"/>
        </w:rPr>
        <w:noBreakHyphen/>
      </w:r>
      <w:r w:rsidR="0049507D">
        <w:rPr>
          <w:rFonts w:eastAsiaTheme="minorEastAsia" w:cstheme="minorHAnsi"/>
        </w:rPr>
        <w:t>up is no longer defined. This reflects the fact that the mark</w:t>
      </w:r>
      <w:r w:rsidR="00252C43">
        <w:rPr>
          <w:rFonts w:eastAsiaTheme="minorEastAsia" w:cstheme="minorHAnsi"/>
        </w:rPr>
        <w:noBreakHyphen/>
      </w:r>
      <w:r w:rsidR="0049507D">
        <w:rPr>
          <w:rFonts w:eastAsiaTheme="minorEastAsia" w:cstheme="minorHAnsi"/>
        </w:rPr>
        <w:t>up estimate:</w:t>
      </w:r>
    </w:p>
    <w:p w14:paraId="1C8F2AD8" w14:textId="279E0AF5" w:rsidR="0049507D" w:rsidRDefault="00247E5F" w:rsidP="0049507D">
      <w:pPr>
        <w:pStyle w:val="Bullet"/>
        <w:numPr>
          <w:ilvl w:val="0"/>
          <w:numId w:val="0"/>
        </w:num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i</m:t>
              </m:r>
            </m:sub>
          </m:sSub>
          <m:r>
            <w:rPr>
              <w:rFonts w:ascii="Cambria Math" w:hAnsi="Cambria Math"/>
            </w:rPr>
            <m:t>=</m:t>
          </m:r>
          <m:f>
            <m:fPr>
              <m:type m:val="skw"/>
              <m:ctrlPr>
                <w:rPr>
                  <w:rFonts w:ascii="Cambria Math" w:hAnsi="Cambria Math"/>
                  <w:i/>
                </w:rPr>
              </m:ctrlPr>
            </m:fPr>
            <m:num>
              <m:sSubSup>
                <m:sSubSupPr>
                  <m:ctrlPr>
                    <w:rPr>
                      <w:rFonts w:ascii="Cambria Math" w:hAnsi="Cambria Math"/>
                      <w:i/>
                    </w:rPr>
                  </m:ctrlPr>
                </m:sSubSupPr>
                <m:e>
                  <m:r>
                    <w:rPr>
                      <w:rFonts w:ascii="Cambria Math" w:hAnsi="Cambria Math"/>
                    </w:rPr>
                    <m:t>α</m:t>
                  </m:r>
                </m:e>
                <m:sub>
                  <m:r>
                    <w:rPr>
                      <w:rFonts w:ascii="Cambria Math" w:hAnsi="Cambria Math"/>
                    </w:rPr>
                    <m:t>i</m:t>
                  </m:r>
                </m:sub>
                <m:sup>
                  <m:r>
                    <w:rPr>
                      <w:rFonts w:ascii="Cambria Math" w:hAnsi="Cambria Math"/>
                    </w:rPr>
                    <m:t>rev</m:t>
                  </m:r>
                </m:sup>
              </m:sSubSup>
            </m:num>
            <m:den>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Y</m:t>
                      </m:r>
                    </m:e>
                    <m:sub>
                      <m:r>
                        <w:rPr>
                          <w:rFonts w:ascii="Cambria Math" w:hAnsi="Cambria Math"/>
                        </w:rPr>
                        <m:t>i</m:t>
                      </m:r>
                    </m:sub>
                  </m:sSub>
                </m:den>
              </m:f>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num>
            <m:den>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Y</m:t>
                      </m:r>
                    </m:e>
                    <m:sub>
                      <m:r>
                        <w:rPr>
                          <w:rFonts w:ascii="Cambria Math" w:hAnsi="Cambria Math"/>
                        </w:rPr>
                        <m:t>i</m:t>
                      </m:r>
                    </m:sub>
                  </m:sSub>
                </m:den>
              </m:f>
            </m:den>
          </m:f>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i</m:t>
                  </m:r>
                </m:sub>
              </m:sSub>
            </m:e>
          </m:d>
          <m:r>
            <w:rPr>
              <w:rFonts w:ascii="Cambria Math" w:hAnsi="Cambria Math"/>
            </w:rPr>
            <m:t>=1</m:t>
          </m:r>
        </m:oMath>
      </m:oMathPara>
    </w:p>
    <w:p w14:paraId="53A1CC9E" w14:textId="3CB24110" w:rsidR="0049507D" w:rsidRDefault="00FF3086" w:rsidP="003D17AC">
      <w:pPr>
        <w:jc w:val="both"/>
        <w:rPr>
          <w:rFonts w:eastAsiaTheme="minorEastAsia" w:cstheme="minorHAnsi"/>
        </w:rPr>
      </w:pPr>
      <w:r>
        <w:rPr>
          <w:rFonts w:eastAsiaTheme="minorEastAsia" w:cstheme="minorHAnsi"/>
        </w:rPr>
        <w:t xml:space="preserve">Where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cstheme="minorHAnsi"/>
        </w:rPr>
        <w:t xml:space="preserve"> is the demand elasticity, and therefore </w:t>
      </w:r>
      <m:oMath>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eastAsiaTheme="minorEastAsia" w:hAnsi="Cambria Math" w:cstheme="minorHAnsi"/>
          </w:rPr>
          <m:t>=</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w:rPr>
                        <w:rFonts w:ascii="Cambria Math" w:hAnsi="Cambria Math"/>
                      </w:rPr>
                      <m:t>i</m:t>
                    </m:r>
                  </m:sub>
                </m:sSub>
              </m:e>
            </m:d>
          </m:e>
          <m:sup>
            <m:r>
              <w:rPr>
                <w:rFonts w:ascii="Cambria Math" w:hAnsi="Cambria Math"/>
              </w:rPr>
              <m:t>-1</m:t>
            </m:r>
          </m:sup>
        </m:sSup>
      </m:oMath>
      <w:r>
        <w:rPr>
          <w:rFonts w:eastAsiaTheme="minorEastAsia" w:cstheme="minorHAnsi"/>
        </w:rPr>
        <w:t xml:space="preserve">. In practice, researchers use an estimate of the revenue elasticity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rev</m:t>
            </m:r>
          </m:sup>
        </m:sSubSup>
      </m:oMath>
      <w:r>
        <w:rPr>
          <w:rFonts w:eastAsiaTheme="minorEastAsia" w:cstheme="minorHAnsi"/>
        </w:rPr>
        <w:t>, so the measured mark</w:t>
      </w:r>
      <w:r w:rsidR="00252C43">
        <w:rPr>
          <w:rFonts w:eastAsiaTheme="minorEastAsia" w:cstheme="minorHAnsi"/>
        </w:rPr>
        <w:noBreakHyphen/>
      </w:r>
      <w:r>
        <w:rPr>
          <w:rFonts w:eastAsiaTheme="minorEastAsia" w:cstheme="minorHAnsi"/>
        </w:rPr>
        <w:t xml:space="preserve">up captures the </w:t>
      </w:r>
      <w:r w:rsidR="00A368C2">
        <w:rPr>
          <w:rFonts w:eastAsiaTheme="minorEastAsia" w:cstheme="minorHAnsi"/>
        </w:rPr>
        <w:t>difference between the estimated</w:t>
      </w:r>
      <w:r>
        <w:rPr>
          <w:rFonts w:eastAsiaTheme="minorEastAsia" w:cstheme="minorHAnsi"/>
        </w:rPr>
        <w:t xml:space="preserve"> </w:t>
      </w:r>
      <w:r w:rsidR="006F083D">
        <w:rPr>
          <w:rFonts w:eastAsiaTheme="minorEastAsia" w:cstheme="minorHAnsi"/>
        </w:rPr>
        <w:t>revenue</w:t>
      </w:r>
      <w:r>
        <w:rPr>
          <w:rFonts w:eastAsiaTheme="minorEastAsia" w:cstheme="minorHAnsi"/>
        </w:rPr>
        <w:t xml:space="preserve"> elasticity and the true one, which may or may not relate to the mark</w:t>
      </w:r>
      <w:r w:rsidR="00252C43">
        <w:rPr>
          <w:rFonts w:eastAsiaTheme="minorEastAsia" w:cstheme="minorHAnsi"/>
        </w:rPr>
        <w:noBreakHyphen/>
      </w:r>
      <w:r>
        <w:rPr>
          <w:rFonts w:eastAsiaTheme="minorEastAsia" w:cstheme="minorHAnsi"/>
        </w:rPr>
        <w:t>up.</w:t>
      </w:r>
    </w:p>
    <w:p w14:paraId="443B3633" w14:textId="76012D0F" w:rsidR="00DE63FC" w:rsidRDefault="00DE63FC" w:rsidP="003D17AC">
      <w:pPr>
        <w:jc w:val="both"/>
        <w:rPr>
          <w:rFonts w:eastAsiaTheme="minorEastAsia" w:cstheme="minorHAnsi"/>
        </w:rPr>
      </w:pPr>
      <w:r>
        <w:rPr>
          <w:rFonts w:eastAsiaTheme="minorEastAsia" w:cstheme="minorHAnsi"/>
        </w:rPr>
        <w:t>Looking at log changes in the estimated mark</w:t>
      </w:r>
      <w:r w:rsidR="00252C43">
        <w:rPr>
          <w:rFonts w:eastAsiaTheme="minorEastAsia" w:cstheme="minorHAnsi"/>
        </w:rPr>
        <w:noBreakHyphen/>
      </w:r>
      <w:r>
        <w:rPr>
          <w:rFonts w:eastAsiaTheme="minorEastAsia" w:cstheme="minorHAnsi"/>
        </w:rPr>
        <w:t>up we get the following expression:</w:t>
      </w:r>
    </w:p>
    <w:p w14:paraId="47C14A58" w14:textId="1EC16EF1" w:rsidR="00DE63FC" w:rsidRDefault="00247E5F" w:rsidP="003D17AC">
      <w:pPr>
        <w:jc w:val="both"/>
        <w:rPr>
          <w:rFonts w:eastAsiaTheme="minorEastAsia" w:cstheme="minorHAnsi"/>
        </w:rPr>
      </w:pPr>
      <m:oMathPara>
        <m:oMath>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i</m:t>
                      </m:r>
                    </m:sub>
                  </m:sSub>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i</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m:t>
                              </m:r>
                            </m:sub>
                          </m:sSub>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sSub>
                            <m:sSubPr>
                              <m:ctrlPr>
                                <w:rPr>
                                  <w:rFonts w:ascii="Cambria Math" w:hAnsi="Cambria Math"/>
                                  <w:i/>
                                </w:rPr>
                              </m:ctrlPr>
                            </m:sSubPr>
                            <m:e>
                              <m:r>
                                <w:rPr>
                                  <w:rFonts w:ascii="Cambria Math" w:hAnsi="Cambria Math"/>
                                </w:rPr>
                                <m:t>Y</m:t>
                              </m:r>
                            </m:e>
                            <m:sub>
                              <m:r>
                                <w:rPr>
                                  <w:rFonts w:ascii="Cambria Math" w:hAnsi="Cambria Math"/>
                                </w:rPr>
                                <m:t>i</m:t>
                              </m:r>
                            </m:sub>
                          </m:sSub>
                        </m:den>
                      </m:f>
                    </m:den>
                  </m:f>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rev</m:t>
                          </m:r>
                        </m:sup>
                      </m:sSubSup>
                    </m:num>
                    <m:den>
                      <m:sSub>
                        <m:sSubPr>
                          <m:ctrlPr>
                            <w:rPr>
                              <w:rFonts w:ascii="Cambria Math" w:hAnsi="Cambria Math"/>
                              <w:i/>
                            </w:rPr>
                          </m:ctrlPr>
                        </m:sSubPr>
                        <m:e>
                          <m:r>
                            <w:rPr>
                              <w:rFonts w:ascii="Cambria Math" w:hAnsi="Cambria Math"/>
                            </w:rPr>
                            <m:t>α</m:t>
                          </m:r>
                        </m:e>
                        <m:sub>
                          <m:r>
                            <w:rPr>
                              <w:rFonts w:ascii="Cambria Math" w:hAnsi="Cambria Math"/>
                            </w:rPr>
                            <m:t>i</m:t>
                          </m:r>
                        </m:sub>
                      </m:sSub>
                    </m:den>
                  </m:f>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i</m:t>
                      </m:r>
                    </m:sub>
                  </m:sSub>
                </m:e>
              </m:d>
              <m:r>
                <w:rPr>
                  <w:rFonts w:ascii="Cambria Math" w:hAnsi="Cambria Math"/>
                </w:rPr>
                <m:t>+</m:t>
              </m:r>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rev</m:t>
                          </m:r>
                        </m:sup>
                      </m:sSubSup>
                    </m:num>
                    <m:den>
                      <m:sSub>
                        <m:sSubPr>
                          <m:ctrlPr>
                            <w:rPr>
                              <w:rFonts w:ascii="Cambria Math" w:hAnsi="Cambria Math"/>
                              <w:i/>
                            </w:rPr>
                          </m:ctrlPr>
                        </m:sSubPr>
                        <m:e>
                          <m:r>
                            <w:rPr>
                              <w:rFonts w:ascii="Cambria Math" w:hAnsi="Cambria Math"/>
                            </w:rPr>
                            <m:t>α</m:t>
                          </m:r>
                        </m:e>
                        <m:sub>
                          <m:r>
                            <w:rPr>
                              <w:rFonts w:ascii="Cambria Math" w:hAnsi="Cambria Math"/>
                            </w:rPr>
                            <m:t>i</m:t>
                          </m:r>
                        </m:sub>
                      </m:sSub>
                    </m:den>
                  </m:f>
                </m:e>
              </m:d>
            </m:e>
          </m:func>
        </m:oMath>
      </m:oMathPara>
    </w:p>
    <w:p w14:paraId="1F462334" w14:textId="52EE3DA2" w:rsidR="00DE63FC" w:rsidRDefault="00DE63FC" w:rsidP="003D17AC">
      <w:pPr>
        <w:jc w:val="both"/>
        <w:rPr>
          <w:rFonts w:eastAsiaTheme="minorEastAsia" w:cstheme="minorHAnsi"/>
        </w:rPr>
      </w:pPr>
      <w:proofErr w:type="gramStart"/>
      <w:r>
        <w:rPr>
          <w:rFonts w:eastAsiaTheme="minorEastAsia" w:cstheme="minorHAnsi"/>
        </w:rPr>
        <w:lastRenderedPageBreak/>
        <w:t>Assuming that</w:t>
      </w:r>
      <w:proofErr w:type="gramEnd"/>
      <w:r w:rsidR="00286828">
        <w:rPr>
          <w:rFonts w:eastAsiaTheme="minorEastAsia" w:cstheme="minorHAnsi"/>
        </w:rPr>
        <w:t xml:space="preserve"> the</w:t>
      </w:r>
      <w:r>
        <w:rPr>
          <w:rFonts w:eastAsiaTheme="minorEastAsia" w:cstheme="minorHAnsi"/>
        </w:rPr>
        <w:t xml:space="preserve"> estimated and true production funct</w:t>
      </w:r>
      <w:r w:rsidR="00286828">
        <w:rPr>
          <w:rFonts w:eastAsiaTheme="minorEastAsia" w:cstheme="minorHAnsi"/>
        </w:rPr>
        <w:t>ions do not change, which is non</w:t>
      </w:r>
      <w:r w:rsidR="00252C43">
        <w:rPr>
          <w:rFonts w:eastAsiaTheme="minorEastAsia" w:cstheme="minorHAnsi"/>
        </w:rPr>
        <w:noBreakHyphen/>
      </w:r>
      <w:r w:rsidR="00286828">
        <w:rPr>
          <w:rFonts w:eastAsiaTheme="minorEastAsia" w:cstheme="minorHAnsi"/>
        </w:rPr>
        <w:t>trivial but fairly standard assumption, the final term becomes zero</w:t>
      </w:r>
      <w:r w:rsidR="00B812B5">
        <w:rPr>
          <w:rFonts w:eastAsiaTheme="minorEastAsia" w:cstheme="minorHAnsi"/>
        </w:rPr>
        <w:t>. Therefore,</w:t>
      </w:r>
      <w:r w:rsidR="00286828">
        <w:rPr>
          <w:rFonts w:eastAsiaTheme="minorEastAsia" w:cstheme="minorHAnsi"/>
        </w:rPr>
        <w:t xml:space="preserve"> the percentage change</w:t>
      </w:r>
      <w:r w:rsidR="00B812B5">
        <w:rPr>
          <w:rFonts w:eastAsiaTheme="minorEastAsia" w:cstheme="minorHAnsi"/>
        </w:rPr>
        <w:t xml:space="preserve"> in</w:t>
      </w:r>
      <w:r w:rsidR="00286828">
        <w:rPr>
          <w:rFonts w:eastAsiaTheme="minorEastAsia" w:cstheme="minorHAnsi"/>
        </w:rPr>
        <w:t xml:space="preserve"> the estimated and true mark</w:t>
      </w:r>
      <w:r w:rsidR="00252C43">
        <w:rPr>
          <w:rFonts w:eastAsiaTheme="minorEastAsia" w:cstheme="minorHAnsi"/>
        </w:rPr>
        <w:noBreakHyphen/>
      </w:r>
      <w:r w:rsidR="00286828">
        <w:rPr>
          <w:rFonts w:eastAsiaTheme="minorEastAsia" w:cstheme="minorHAnsi"/>
        </w:rPr>
        <w:t>ups are the same, suggesting we can interpret changes in the estimated mark</w:t>
      </w:r>
      <w:r w:rsidR="00252C43">
        <w:rPr>
          <w:rFonts w:eastAsiaTheme="minorEastAsia" w:cstheme="minorHAnsi"/>
        </w:rPr>
        <w:noBreakHyphen/>
      </w:r>
      <w:r w:rsidR="00286828">
        <w:rPr>
          <w:rFonts w:eastAsiaTheme="minorEastAsia" w:cstheme="minorHAnsi"/>
        </w:rPr>
        <w:t>ups.</w:t>
      </w:r>
    </w:p>
    <w:p w14:paraId="76A5AB79" w14:textId="0083BF8C" w:rsidR="00286828" w:rsidRDefault="00286828" w:rsidP="003D17AC">
      <w:pPr>
        <w:jc w:val="both"/>
        <w:rPr>
          <w:rFonts w:eastAsiaTheme="minorEastAsia" w:cstheme="minorHAnsi"/>
        </w:rPr>
      </w:pPr>
      <w:r>
        <w:rPr>
          <w:rFonts w:eastAsiaTheme="minorEastAsia" w:cstheme="minorHAnsi"/>
        </w:rPr>
        <w:t xml:space="preserve">In practice, in the preferred estimates </w:t>
      </w:r>
      <w:r w:rsidR="006F083D">
        <w:rPr>
          <w:rFonts w:eastAsiaTheme="minorEastAsia" w:cstheme="minorHAnsi"/>
        </w:rPr>
        <w:t>we estimate a</w:t>
      </w:r>
      <w:r>
        <w:rPr>
          <w:rFonts w:eastAsiaTheme="minorEastAsia" w:cstheme="minorHAnsi"/>
        </w:rPr>
        <w:t xml:space="preserve"> </w:t>
      </w:r>
      <w:proofErr w:type="spellStart"/>
      <w:r>
        <w:rPr>
          <w:rFonts w:eastAsiaTheme="minorEastAsia" w:cstheme="minorHAnsi"/>
        </w:rPr>
        <w:t>translog</w:t>
      </w:r>
      <w:proofErr w:type="spellEnd"/>
      <w:r>
        <w:rPr>
          <w:rFonts w:eastAsiaTheme="minorEastAsia" w:cstheme="minorHAnsi"/>
        </w:rPr>
        <w:t xml:space="preserve"> production function, where the elasticity can </w:t>
      </w:r>
      <w:r w:rsidR="006F083D">
        <w:rPr>
          <w:rFonts w:eastAsiaTheme="minorEastAsia" w:cstheme="minorHAnsi"/>
        </w:rPr>
        <w:t>change</w:t>
      </w:r>
      <w:r>
        <w:rPr>
          <w:rFonts w:eastAsiaTheme="minorEastAsia" w:cstheme="minorHAnsi"/>
        </w:rPr>
        <w:t xml:space="preserve"> as the firm changes its size or input mix.</w:t>
      </w:r>
      <w:r w:rsidR="00FB39F5">
        <w:rPr>
          <w:rFonts w:eastAsiaTheme="minorEastAsia" w:cstheme="minorHAnsi"/>
        </w:rPr>
        <w:t xml:space="preserve"> Doing so reduces potential mismeasurement associated with assuming that the output elasticity stays the same as size changes,</w:t>
      </w:r>
      <w:r w:rsidR="006F083D">
        <w:rPr>
          <w:rFonts w:eastAsiaTheme="minorEastAsia" w:cstheme="minorHAnsi"/>
        </w:rPr>
        <w:t xml:space="preserve"> but</w:t>
      </w:r>
      <w:r w:rsidR="00FB39F5">
        <w:rPr>
          <w:rFonts w:eastAsiaTheme="minorEastAsia" w:cstheme="minorHAnsi"/>
        </w:rPr>
        <w:t xml:space="preserve"> could introduce some mismeasurement to the extent that the </w:t>
      </w:r>
      <w:r w:rsidR="00B812B5">
        <w:rPr>
          <w:rFonts w:eastAsiaTheme="minorEastAsia" w:cstheme="minorHAnsi"/>
        </w:rPr>
        <w:t>demand</w:t>
      </w:r>
      <w:r w:rsidR="00FB39F5">
        <w:rPr>
          <w:rFonts w:eastAsiaTheme="minorEastAsia" w:cstheme="minorHAnsi"/>
        </w:rPr>
        <w:t xml:space="preserve"> elasticity</w:t>
      </w:r>
      <w:r w:rsidR="006F083D">
        <w:rPr>
          <w:rFonts w:eastAsiaTheme="minorEastAsia" w:cstheme="minorHAnsi"/>
        </w:rPr>
        <w:t xml:space="preserve"> changes with size, as both will feed into the estimated revenue elasticity. Which is worse is an </w:t>
      </w:r>
      <w:proofErr w:type="gramStart"/>
      <w:r w:rsidR="006F083D">
        <w:rPr>
          <w:rFonts w:eastAsiaTheme="minorEastAsia" w:cstheme="minorHAnsi"/>
        </w:rPr>
        <w:t>empirical questions</w:t>
      </w:r>
      <w:proofErr w:type="gramEnd"/>
      <w:r w:rsidR="006F083D">
        <w:rPr>
          <w:rFonts w:eastAsiaTheme="minorEastAsia" w:cstheme="minorHAnsi"/>
        </w:rPr>
        <w:t>. But in either case the results using a Cobb</w:t>
      </w:r>
      <w:r w:rsidR="00252C43">
        <w:rPr>
          <w:rFonts w:eastAsiaTheme="minorEastAsia" w:cstheme="minorHAnsi"/>
        </w:rPr>
        <w:noBreakHyphen/>
      </w:r>
      <w:r w:rsidR="006F083D">
        <w:rPr>
          <w:rFonts w:eastAsiaTheme="minorEastAsia" w:cstheme="minorHAnsi"/>
        </w:rPr>
        <w:t xml:space="preserve">Douglas production function </w:t>
      </w:r>
      <w:proofErr w:type="gramStart"/>
      <w:r w:rsidR="006F083D">
        <w:rPr>
          <w:rFonts w:eastAsiaTheme="minorEastAsia" w:cstheme="minorHAnsi"/>
        </w:rPr>
        <w:t>are</w:t>
      </w:r>
      <w:proofErr w:type="gramEnd"/>
      <w:r w:rsidR="006F083D">
        <w:rPr>
          <w:rFonts w:eastAsiaTheme="minorEastAsia" w:cstheme="minorHAnsi"/>
        </w:rPr>
        <w:t xml:space="preserve"> very similar</w:t>
      </w:r>
      <w:r w:rsidR="000663DE">
        <w:rPr>
          <w:rFonts w:eastAsiaTheme="minorEastAsia" w:cstheme="minorHAnsi"/>
        </w:rPr>
        <w:t xml:space="preserve"> in terms of the increase in mark</w:t>
      </w:r>
      <w:r w:rsidR="00252C43">
        <w:rPr>
          <w:rFonts w:eastAsiaTheme="minorEastAsia" w:cstheme="minorHAnsi"/>
        </w:rPr>
        <w:noBreakHyphen/>
      </w:r>
      <w:r w:rsidR="000663DE">
        <w:rPr>
          <w:rFonts w:eastAsiaTheme="minorEastAsia" w:cstheme="minorHAnsi"/>
        </w:rPr>
        <w:t>ups</w:t>
      </w:r>
      <w:r w:rsidR="006F083D">
        <w:rPr>
          <w:rFonts w:eastAsiaTheme="minorEastAsia" w:cstheme="minorHAnsi"/>
        </w:rPr>
        <w:t>, suggesting that this modelling choice is not substantially affecting the results</w:t>
      </w:r>
      <w:r w:rsidR="00A368C2">
        <w:rPr>
          <w:rFonts w:eastAsiaTheme="minorEastAsia" w:cstheme="minorHAnsi"/>
        </w:rPr>
        <w:t xml:space="preserve"> (Appendix C)</w:t>
      </w:r>
      <w:r w:rsidR="006F083D">
        <w:rPr>
          <w:rFonts w:eastAsiaTheme="minorEastAsia" w:cstheme="minorHAnsi"/>
        </w:rPr>
        <w:t xml:space="preserve">. </w:t>
      </w:r>
      <w:r w:rsidR="00A368C2">
        <w:rPr>
          <w:rFonts w:eastAsiaTheme="minorEastAsia" w:cstheme="minorHAnsi"/>
        </w:rPr>
        <w:t>Moreover, as increases are evident even in the unweighted measures, it seems highly unlikely t</w:t>
      </w:r>
      <w:r w:rsidR="00B812B5">
        <w:rPr>
          <w:rFonts w:eastAsiaTheme="minorEastAsia" w:cstheme="minorHAnsi"/>
        </w:rPr>
        <w:t>hat t</w:t>
      </w:r>
      <w:r w:rsidR="00A368C2">
        <w:rPr>
          <w:rFonts w:eastAsiaTheme="minorEastAsia" w:cstheme="minorHAnsi"/>
        </w:rPr>
        <w:t>he results are being driven by changing firm sizes.</w:t>
      </w:r>
    </w:p>
    <w:p w14:paraId="010E4215" w14:textId="77777777" w:rsidR="0095241E" w:rsidRDefault="0095241E" w:rsidP="0095241E">
      <w:pPr>
        <w:pStyle w:val="Heading2"/>
        <w:numPr>
          <w:ilvl w:val="0"/>
          <w:numId w:val="0"/>
        </w:numPr>
      </w:pPr>
      <w:r>
        <w:t>Appendix B: Data</w:t>
      </w:r>
    </w:p>
    <w:p w14:paraId="1B09D7E7" w14:textId="715BCF24" w:rsidR="0095241E" w:rsidRDefault="0095241E" w:rsidP="00471CBF">
      <w:pPr>
        <w:jc w:val="both"/>
      </w:pPr>
      <w:r>
        <w:t xml:space="preserve">As discussed in the test, I use data from the ABS BLADE database. The </w:t>
      </w:r>
      <w:proofErr w:type="gramStart"/>
      <w:r>
        <w:t>particular data</w:t>
      </w:r>
      <w:proofErr w:type="gramEnd"/>
      <w:r>
        <w:t xml:space="preserve"> I use come from firms</w:t>
      </w:r>
      <w:r w:rsidR="00252C43">
        <w:t>’</w:t>
      </w:r>
      <w:r>
        <w:t xml:space="preserve"> Business Income Tax forms and PAYG employment forms. </w:t>
      </w:r>
    </w:p>
    <w:p w14:paraId="63AC7C34" w14:textId="77777777" w:rsidR="0095241E" w:rsidRDefault="0095241E" w:rsidP="00471CBF">
      <w:pPr>
        <w:jc w:val="both"/>
      </w:pPr>
      <w:r>
        <w:t>Regarding the key data variables:</w:t>
      </w:r>
    </w:p>
    <w:p w14:paraId="6B25C093" w14:textId="26F8F931" w:rsidR="0095241E" w:rsidRDefault="0095241E" w:rsidP="00471CBF">
      <w:pPr>
        <w:pStyle w:val="Bullet"/>
        <w:keepNext w:val="0"/>
        <w:numPr>
          <w:ilvl w:val="0"/>
          <w:numId w:val="24"/>
        </w:numPr>
        <w:spacing w:after="160" w:line="259" w:lineRule="auto"/>
        <w:jc w:val="both"/>
      </w:pPr>
      <w:r>
        <w:t xml:space="preserve">Gross output: Measured as firm </w:t>
      </w:r>
      <w:r w:rsidRPr="00570DDF">
        <w:t>in</w:t>
      </w:r>
      <w:r>
        <w:t xml:space="preserve">come. This will include some income not directly related to production, such as interest. However, for most firms this item is small. </w:t>
      </w:r>
    </w:p>
    <w:p w14:paraId="2259BC4B" w14:textId="77777777" w:rsidR="0095241E" w:rsidRDefault="0095241E" w:rsidP="00471CBF">
      <w:pPr>
        <w:pStyle w:val="Bullet"/>
        <w:keepNext w:val="0"/>
        <w:numPr>
          <w:ilvl w:val="0"/>
          <w:numId w:val="24"/>
        </w:numPr>
        <w:spacing w:after="160" w:line="259" w:lineRule="auto"/>
        <w:jc w:val="both"/>
      </w:pPr>
      <w:r>
        <w:t xml:space="preserve">Labour expense: labour costs plus superannuation expenses </w:t>
      </w:r>
    </w:p>
    <w:p w14:paraId="67994A82" w14:textId="1A2889FA" w:rsidR="0095241E" w:rsidRDefault="0095241E" w:rsidP="00471CBF">
      <w:pPr>
        <w:pStyle w:val="Bullet"/>
        <w:keepNext w:val="0"/>
        <w:numPr>
          <w:ilvl w:val="0"/>
          <w:numId w:val="24"/>
        </w:numPr>
        <w:spacing w:after="160" w:line="259" w:lineRule="auto"/>
        <w:jc w:val="both"/>
      </w:pPr>
      <w:r>
        <w:t xml:space="preserve">Fixed costs: Rental and leasing expenses, bad debts, interest, royalties, external </w:t>
      </w:r>
      <w:proofErr w:type="gramStart"/>
      <w:r>
        <w:t>labour</w:t>
      </w:r>
      <w:proofErr w:type="gramEnd"/>
      <w:r>
        <w:t xml:space="preserve"> and contractors</w:t>
      </w:r>
    </w:p>
    <w:p w14:paraId="7ECC3F14" w14:textId="3FBFF917" w:rsidR="0095241E" w:rsidRDefault="0095241E" w:rsidP="00471CBF">
      <w:pPr>
        <w:pStyle w:val="Bullet"/>
        <w:keepNext w:val="0"/>
        <w:numPr>
          <w:ilvl w:val="0"/>
          <w:numId w:val="24"/>
        </w:numPr>
        <w:spacing w:after="160" w:line="259" w:lineRule="auto"/>
        <w:jc w:val="both"/>
      </w:pPr>
      <w:r>
        <w:t>Intermediate inputs: Total expenses, less labour</w:t>
      </w:r>
      <w:r w:rsidR="00570DDF">
        <w:t xml:space="preserve">, </w:t>
      </w:r>
      <w:proofErr w:type="gramStart"/>
      <w:r w:rsidR="00570DDF">
        <w:t>depreciation</w:t>
      </w:r>
      <w:proofErr w:type="gramEnd"/>
      <w:r>
        <w:t xml:space="preserve"> and fixed costs</w:t>
      </w:r>
    </w:p>
    <w:p w14:paraId="7C9CEB02" w14:textId="5F1A4D25" w:rsidR="0095241E" w:rsidRDefault="0095241E" w:rsidP="00471CBF">
      <w:pPr>
        <w:pStyle w:val="Bullet"/>
        <w:keepNext w:val="0"/>
        <w:numPr>
          <w:ilvl w:val="0"/>
          <w:numId w:val="24"/>
        </w:numPr>
        <w:spacing w:after="160" w:line="259" w:lineRule="auto"/>
        <w:jc w:val="both"/>
      </w:pPr>
      <w:r>
        <w:t xml:space="preserve">Labour input: FTE derived from PAYG statements, using the methodology laid </w:t>
      </w:r>
      <w:r w:rsidRPr="006261D6">
        <w:t>out in Hansell (</w:t>
      </w:r>
      <w:r w:rsidR="006261D6" w:rsidRPr="006261D6">
        <w:t>2015</w:t>
      </w:r>
      <w:r>
        <w:t>)</w:t>
      </w:r>
    </w:p>
    <w:p w14:paraId="2AF09899" w14:textId="77777777" w:rsidR="0095241E" w:rsidRDefault="0095241E" w:rsidP="00471CBF">
      <w:pPr>
        <w:pStyle w:val="Bullet"/>
        <w:keepNext w:val="0"/>
        <w:numPr>
          <w:ilvl w:val="0"/>
          <w:numId w:val="24"/>
        </w:numPr>
        <w:spacing w:after="160" w:line="259" w:lineRule="auto"/>
        <w:jc w:val="both"/>
      </w:pPr>
      <w:r>
        <w:t>Wage rate: Labour expense divided by FTE</w:t>
      </w:r>
    </w:p>
    <w:p w14:paraId="6B1AFC92" w14:textId="6B6FC9A5" w:rsidR="0095241E" w:rsidRDefault="0095241E" w:rsidP="00471CBF">
      <w:pPr>
        <w:pStyle w:val="Bullet"/>
        <w:keepNext w:val="0"/>
        <w:numPr>
          <w:ilvl w:val="0"/>
          <w:numId w:val="24"/>
        </w:numPr>
        <w:spacing w:after="160" w:line="259" w:lineRule="auto"/>
        <w:jc w:val="both"/>
      </w:pPr>
      <w:r>
        <w:t>Capital: Book</w:t>
      </w:r>
      <w:r w:rsidR="00252C43">
        <w:noBreakHyphen/>
      </w:r>
      <w:r>
        <w:t>value of non</w:t>
      </w:r>
      <w:r w:rsidR="00252C43">
        <w:noBreakHyphen/>
      </w:r>
      <w:r>
        <w:t>current assets</w:t>
      </w:r>
      <w:r>
        <w:rPr>
          <w:rStyle w:val="FootnoteReference"/>
        </w:rPr>
        <w:footnoteReference w:id="22"/>
      </w:r>
    </w:p>
    <w:p w14:paraId="6CD0FA0C" w14:textId="77777777" w:rsidR="000663DE" w:rsidRDefault="0095241E" w:rsidP="00471CBF">
      <w:pPr>
        <w:jc w:val="both"/>
      </w:pPr>
      <w:proofErr w:type="gramStart"/>
      <w:r>
        <w:t>All of</w:t>
      </w:r>
      <w:proofErr w:type="gramEnd"/>
      <w:r>
        <w:t xml:space="preserve"> these metrics apart from FTE are measured in nominal terms. To construct real measures for the inputs into the production functions, I deflate using division level output, intermediate </w:t>
      </w:r>
      <w:proofErr w:type="gramStart"/>
      <w:r>
        <w:t>input</w:t>
      </w:r>
      <w:proofErr w:type="gramEnd"/>
      <w:r>
        <w:t xml:space="preserve"> and capital deflators. The wage rate is deflated using the output deflator</w:t>
      </w:r>
      <w:r w:rsidR="000663DE">
        <w:t>.</w:t>
      </w:r>
    </w:p>
    <w:p w14:paraId="055868D3" w14:textId="06C2FA5E" w:rsidR="0095241E" w:rsidRDefault="000663DE" w:rsidP="00471CBF">
      <w:pPr>
        <w:jc w:val="both"/>
      </w:pPr>
      <w:r>
        <w:t>The measure of</w:t>
      </w:r>
      <w:r w:rsidR="0095241E">
        <w:t xml:space="preserve"> </w:t>
      </w:r>
      <w:r>
        <w:t>fixed costs is a</w:t>
      </w:r>
      <w:r w:rsidR="00057E8F">
        <w:t>s</w:t>
      </w:r>
      <w:r>
        <w:t xml:space="preserve"> close as possi</w:t>
      </w:r>
      <w:r w:rsidR="00057E8F">
        <w:t xml:space="preserve">ble to the measure used in De </w:t>
      </w:r>
      <w:proofErr w:type="spellStart"/>
      <w:r w:rsidR="00057E8F">
        <w:t>L</w:t>
      </w:r>
      <w:r>
        <w:t>o</w:t>
      </w:r>
      <w:r w:rsidR="00057E8F">
        <w:t>e</w:t>
      </w:r>
      <w:r>
        <w:t>cker</w:t>
      </w:r>
      <w:proofErr w:type="spellEnd"/>
      <w:r>
        <w:t xml:space="preserve"> et al (2020), and other papers, of </w:t>
      </w:r>
      <w:r w:rsidR="00252C43">
        <w:t>‘</w:t>
      </w:r>
      <w:r>
        <w:t>Selling and General Administration</w:t>
      </w:r>
      <w:r w:rsidR="00252C43">
        <w:t>’</w:t>
      </w:r>
      <w:r>
        <w:t xml:space="preserve"> expenses.</w:t>
      </w:r>
      <w:r w:rsidR="00057E8F">
        <w:t xml:space="preserve"> However, it likely excludes </w:t>
      </w:r>
      <w:proofErr w:type="gramStart"/>
      <w:r w:rsidR="00057E8F">
        <w:t>a number of</w:t>
      </w:r>
      <w:proofErr w:type="gramEnd"/>
      <w:r w:rsidR="00057E8F">
        <w:t xml:space="preserve"> expenses included as fixed in this paper, such as some advertising expenses. As robustness, I also estimated mark</w:t>
      </w:r>
      <w:r w:rsidR="00252C43">
        <w:noBreakHyphen/>
      </w:r>
      <w:r w:rsidR="00057E8F">
        <w:t>ups using a narrower measure of variable costs (cost of sales), which lead to fairly similar results (Appendix C). However, this is not used as my preferred metric as it includes some labour costs.</w:t>
      </w:r>
    </w:p>
    <w:p w14:paraId="2BBA1CD4" w14:textId="67FDB427" w:rsidR="0095241E" w:rsidRDefault="0095241E" w:rsidP="00471CBF">
      <w:pPr>
        <w:jc w:val="both"/>
      </w:pPr>
      <w:r>
        <w:lastRenderedPageBreak/>
        <w:t xml:space="preserve">While BLADE has data on the (near) universe of Australian firms, I </w:t>
      </w:r>
      <w:proofErr w:type="gramStart"/>
      <w:r>
        <w:t>have to</w:t>
      </w:r>
      <w:proofErr w:type="gramEnd"/>
      <w:r>
        <w:t xml:space="preserve"> make some exclusions. First, I focus on the market sector, and so exclude the Health, Education, and Public administration divisions of the economy. Government plays a large role in these divisions, and so focusing on market power is potentially questionable. I also exclude the Finance division, given conceptual difficulties in measuring output in this sector (e</w:t>
      </w:r>
      <w:r w:rsidRPr="006261D6">
        <w:t xml:space="preserve">.g. </w:t>
      </w:r>
      <w:proofErr w:type="spellStart"/>
      <w:r w:rsidRPr="006261D6">
        <w:t>Brassil</w:t>
      </w:r>
      <w:proofErr w:type="spellEnd"/>
      <w:r w:rsidRPr="006261D6">
        <w:t xml:space="preserve"> </w:t>
      </w:r>
      <w:r w:rsidR="006261D6" w:rsidRPr="006261D6">
        <w:t>F</w:t>
      </w:r>
      <w:r w:rsidR="00057E8F">
        <w:t>orthcoming</w:t>
      </w:r>
      <w:r w:rsidRPr="006261D6">
        <w:t>; La Cava 2019).</w:t>
      </w:r>
      <w:r>
        <w:t xml:space="preserve"> </w:t>
      </w:r>
    </w:p>
    <w:p w14:paraId="1DF0B102" w14:textId="2045B0CF" w:rsidR="00471CBF" w:rsidRDefault="00471CBF" w:rsidP="00471CBF">
      <w:pPr>
        <w:jc w:val="both"/>
      </w:pPr>
      <w:r>
        <w:t>Second, I have to exclude all non</w:t>
      </w:r>
      <w:r w:rsidR="00252C43">
        <w:noBreakHyphen/>
      </w:r>
      <w:r>
        <w:t>employing firms, given these firms will have undefined (log) labour inputs and costs.</w:t>
      </w:r>
      <w:r>
        <w:rPr>
          <w:rStyle w:val="FootnoteReference"/>
        </w:rPr>
        <w:footnoteReference w:id="23"/>
      </w:r>
      <w:r>
        <w:t xml:space="preserve"> I also choose to exclude all firms with less than one FTE as is common in the literature, as they introduce a large amount of noise into the estimation. Finally, I also exclude all sole proprietors, as they do not report information on their balance sheets, and so on their capital stock.</w:t>
      </w:r>
      <w:r>
        <w:rPr>
          <w:rStyle w:val="FootnoteReference"/>
        </w:rPr>
        <w:footnoteReference w:id="24"/>
      </w:r>
      <w:r>
        <w:t xml:space="preserve"> Finally, I exclude industries that have very few firms for privacy reasons, and due to </w:t>
      </w:r>
      <w:r w:rsidR="00664685">
        <w:t>difficulty</w:t>
      </w:r>
      <w:r>
        <w:t xml:space="preserve"> in estimating production functions with little data. This mainly affects the mining and utilities divisions.</w:t>
      </w:r>
    </w:p>
    <w:p w14:paraId="35C351D9" w14:textId="20418420" w:rsidR="00471CBF" w:rsidRPr="00570DDF" w:rsidRDefault="00471CBF" w:rsidP="00471CBF">
      <w:pPr>
        <w:jc w:val="both"/>
      </w:pPr>
      <w:r>
        <w:t xml:space="preserve">Even with these exclusions, I capture a very large proportion of </w:t>
      </w:r>
      <w:r w:rsidRPr="00570DDF">
        <w:t>the non</w:t>
      </w:r>
      <w:r w:rsidR="00252C43">
        <w:noBreakHyphen/>
      </w:r>
      <w:r w:rsidRPr="00570DDF">
        <w:t>mining non</w:t>
      </w:r>
      <w:r w:rsidR="00252C43">
        <w:noBreakHyphen/>
      </w:r>
      <w:r w:rsidRPr="00570DDF">
        <w:t xml:space="preserve">finance sector. Table </w:t>
      </w:r>
      <w:r w:rsidR="00570DDF" w:rsidRPr="00570DDF">
        <w:t xml:space="preserve">B1 </w:t>
      </w:r>
      <w:r w:rsidRPr="00570DDF">
        <w:t xml:space="preserve">show the coverage in terms of sales for all </w:t>
      </w:r>
      <w:r w:rsidR="00664685" w:rsidRPr="00570DDF">
        <w:t>divisions</w:t>
      </w:r>
      <w:r w:rsidRPr="00570DDF">
        <w:t>.</w:t>
      </w:r>
      <w:r w:rsidRPr="00570DDF">
        <w:rPr>
          <w:rStyle w:val="FootnoteReference"/>
        </w:rPr>
        <w:footnoteReference w:id="25"/>
      </w:r>
      <w:r w:rsidRPr="00570DDF">
        <w:t xml:space="preserve"> Coverage is generally larger than is common in the literature, and so my results should be highly representative.</w:t>
      </w:r>
    </w:p>
    <w:p w14:paraId="5C666345" w14:textId="5403F4B7" w:rsidR="00664685" w:rsidRDefault="00471CBF" w:rsidP="00471CBF">
      <w:pPr>
        <w:jc w:val="both"/>
        <w:sectPr w:rsidR="00664685" w:rsidSect="003C4225">
          <w:pgSz w:w="11906" w:h="16838" w:code="9"/>
          <w:pgMar w:top="1418" w:right="1304" w:bottom="1418" w:left="1304" w:header="567" w:footer="567" w:gutter="0"/>
          <w:pgNumType w:start="1"/>
          <w:cols w:space="708"/>
          <w:titlePg/>
          <w:docGrid w:linePitch="360"/>
        </w:sectPr>
      </w:pPr>
      <w:r w:rsidRPr="00570DDF">
        <w:t>As noted, part of the loss of coverage reflects the requirements for mark</w:t>
      </w:r>
      <w:r w:rsidR="00252C43">
        <w:noBreakHyphen/>
      </w:r>
      <w:r w:rsidRPr="00570DDF">
        <w:t xml:space="preserve">up </w:t>
      </w:r>
      <w:r w:rsidR="00664685" w:rsidRPr="00570DDF">
        <w:t>estimates</w:t>
      </w:r>
      <w:r w:rsidRPr="00570DDF">
        <w:t xml:space="preserve"> at the firm level. But part also reflects the fact that I </w:t>
      </w:r>
      <w:proofErr w:type="gramStart"/>
      <w:r w:rsidRPr="00570DDF">
        <w:t>have to</w:t>
      </w:r>
      <w:proofErr w:type="gramEnd"/>
      <w:r w:rsidRPr="00570DDF">
        <w:t xml:space="preserve"> exclude industries with t</w:t>
      </w:r>
      <w:r w:rsidR="00664685" w:rsidRPr="00570DDF">
        <w:t>o</w:t>
      </w:r>
      <w:r w:rsidRPr="00570DDF">
        <w:t>o few firms or observations. To get around this latter issue, I also produce mark</w:t>
      </w:r>
      <w:r w:rsidR="00252C43">
        <w:noBreakHyphen/>
      </w:r>
      <w:r w:rsidRPr="00570DDF">
        <w:t>up estimates where I estimate productions functions at the 3</w:t>
      </w:r>
      <w:r w:rsidR="00252C43">
        <w:noBreakHyphen/>
      </w:r>
      <w:r w:rsidRPr="00570DDF">
        <w:t>digit ANZSIC industry level, rather than the 4</w:t>
      </w:r>
      <w:r w:rsidR="00252C43">
        <w:noBreakHyphen/>
      </w:r>
      <w:r w:rsidRPr="00570DDF">
        <w:t xml:space="preserve">digt level. This ameliorates the small industry issue and leads to better coverage in some industries, such as Mining, Arts, Manufacturing and Utilities (Table </w:t>
      </w:r>
      <w:r w:rsidR="00570DDF" w:rsidRPr="00570DDF">
        <w:t>B1</w:t>
      </w:r>
      <w:r w:rsidRPr="00570DDF">
        <w:t>). But it potentially requires stronger assumptions about the similarities across different indus</w:t>
      </w:r>
      <w:r>
        <w:t>tries. As such, these are not my preferred estimates. Nevertheless, the board trends in mark</w:t>
      </w:r>
      <w:r w:rsidR="00252C43">
        <w:noBreakHyphen/>
      </w:r>
      <w:r>
        <w:t xml:space="preserve">ups are similar, suggesting the main finding are robust to this choice (see Appendix </w:t>
      </w:r>
      <w:r w:rsidR="00570DDF">
        <w:t>C</w:t>
      </w:r>
      <w:r>
        <w:t>).</w:t>
      </w:r>
    </w:p>
    <w:p w14:paraId="01179FF9" w14:textId="6167495C" w:rsidR="00471CBF" w:rsidRDefault="00471CBF" w:rsidP="00471CBF">
      <w:pPr>
        <w:jc w:val="both"/>
      </w:pPr>
    </w:p>
    <w:p w14:paraId="52764149" w14:textId="1C751CEE" w:rsidR="00664685" w:rsidRDefault="00664685" w:rsidP="00471CBF">
      <w:pPr>
        <w:jc w:val="both"/>
      </w:pPr>
    </w:p>
    <w:tbl>
      <w:tblPr>
        <w:tblStyle w:val="TableGrid"/>
        <w:tblW w:w="0" w:type="auto"/>
        <w:tblLayout w:type="fixed"/>
        <w:tblLook w:val="04A0" w:firstRow="1" w:lastRow="0" w:firstColumn="1" w:lastColumn="0" w:noHBand="0" w:noVBand="1"/>
      </w:tblPr>
      <w:tblGrid>
        <w:gridCol w:w="1271"/>
        <w:gridCol w:w="709"/>
        <w:gridCol w:w="850"/>
        <w:gridCol w:w="851"/>
        <w:gridCol w:w="850"/>
        <w:gridCol w:w="851"/>
        <w:gridCol w:w="850"/>
        <w:gridCol w:w="764"/>
        <w:gridCol w:w="874"/>
        <w:gridCol w:w="875"/>
        <w:gridCol w:w="874"/>
        <w:gridCol w:w="875"/>
        <w:gridCol w:w="874"/>
        <w:gridCol w:w="875"/>
        <w:gridCol w:w="874"/>
        <w:gridCol w:w="875"/>
      </w:tblGrid>
      <w:tr w:rsidR="00664685" w14:paraId="6E02F42C" w14:textId="77777777" w:rsidTr="000663DE">
        <w:tc>
          <w:tcPr>
            <w:tcW w:w="13992" w:type="dxa"/>
            <w:gridSpan w:val="16"/>
            <w:tcBorders>
              <w:top w:val="nil"/>
              <w:left w:val="nil"/>
              <w:right w:val="nil"/>
            </w:tcBorders>
          </w:tcPr>
          <w:p w14:paraId="2137A007" w14:textId="624E9299" w:rsidR="00664685" w:rsidRPr="00D378B5" w:rsidRDefault="00664685" w:rsidP="00A22163">
            <w:pPr>
              <w:pStyle w:val="TableMainHeading"/>
            </w:pPr>
            <w:r w:rsidRPr="00D378B5">
              <w:t xml:space="preserve">Table </w:t>
            </w:r>
            <w:r w:rsidR="00570DDF">
              <w:t>B1</w:t>
            </w:r>
            <w:r w:rsidRPr="00D378B5">
              <w:t>: Share o</w:t>
            </w:r>
            <w:r w:rsidR="00094624">
              <w:t>f industry sales covered by mark</w:t>
            </w:r>
            <w:r w:rsidR="00252C43">
              <w:noBreakHyphen/>
            </w:r>
            <w:r w:rsidRPr="00D378B5">
              <w:t>up estimates</w:t>
            </w:r>
          </w:p>
        </w:tc>
      </w:tr>
      <w:tr w:rsidR="00664685" w14:paraId="5702A1E2" w14:textId="77777777" w:rsidTr="000663DE">
        <w:tc>
          <w:tcPr>
            <w:tcW w:w="1271" w:type="dxa"/>
            <w:tcBorders>
              <w:left w:val="nil"/>
            </w:tcBorders>
          </w:tcPr>
          <w:p w14:paraId="025E2EB4" w14:textId="77777777" w:rsidR="00664685" w:rsidRDefault="00664685" w:rsidP="00014777"/>
        </w:tc>
        <w:tc>
          <w:tcPr>
            <w:tcW w:w="709" w:type="dxa"/>
            <w:vAlign w:val="bottom"/>
          </w:tcPr>
          <w:p w14:paraId="72326676" w14:textId="77777777" w:rsidR="00664685" w:rsidRPr="00D378B5" w:rsidRDefault="00664685" w:rsidP="00014777">
            <w:pPr>
              <w:rPr>
                <w:sz w:val="18"/>
              </w:rPr>
            </w:pPr>
            <w:r w:rsidRPr="00D378B5">
              <w:rPr>
                <w:rFonts w:cs="Calibri"/>
                <w:sz w:val="18"/>
                <w:szCs w:val="22"/>
              </w:rPr>
              <w:t>Agri</w:t>
            </w:r>
          </w:p>
        </w:tc>
        <w:tc>
          <w:tcPr>
            <w:tcW w:w="850" w:type="dxa"/>
            <w:vAlign w:val="bottom"/>
          </w:tcPr>
          <w:p w14:paraId="1291AA1E" w14:textId="77777777" w:rsidR="00664685" w:rsidRPr="00D378B5" w:rsidRDefault="00664685" w:rsidP="00014777">
            <w:pPr>
              <w:rPr>
                <w:sz w:val="18"/>
              </w:rPr>
            </w:pPr>
            <w:r w:rsidRPr="00D378B5">
              <w:rPr>
                <w:rFonts w:cs="Calibri"/>
                <w:sz w:val="18"/>
                <w:szCs w:val="22"/>
              </w:rPr>
              <w:t>Mining</w:t>
            </w:r>
          </w:p>
        </w:tc>
        <w:tc>
          <w:tcPr>
            <w:tcW w:w="851" w:type="dxa"/>
            <w:vAlign w:val="bottom"/>
          </w:tcPr>
          <w:p w14:paraId="79380501" w14:textId="77777777" w:rsidR="00664685" w:rsidRPr="00D378B5" w:rsidRDefault="00664685" w:rsidP="00014777">
            <w:pPr>
              <w:rPr>
                <w:sz w:val="18"/>
              </w:rPr>
            </w:pPr>
            <w:r w:rsidRPr="00D378B5">
              <w:rPr>
                <w:rFonts w:cs="Calibri"/>
                <w:sz w:val="18"/>
                <w:szCs w:val="22"/>
              </w:rPr>
              <w:t>Manuf.</w:t>
            </w:r>
          </w:p>
        </w:tc>
        <w:tc>
          <w:tcPr>
            <w:tcW w:w="850" w:type="dxa"/>
            <w:vAlign w:val="bottom"/>
          </w:tcPr>
          <w:p w14:paraId="7524FBD5" w14:textId="77777777" w:rsidR="00664685" w:rsidRPr="00D378B5" w:rsidRDefault="00664685" w:rsidP="00014777">
            <w:pPr>
              <w:rPr>
                <w:sz w:val="18"/>
              </w:rPr>
            </w:pPr>
            <w:r w:rsidRPr="00D378B5">
              <w:rPr>
                <w:rFonts w:cs="Calibri"/>
                <w:sz w:val="18"/>
                <w:szCs w:val="22"/>
              </w:rPr>
              <w:t>Utilities</w:t>
            </w:r>
          </w:p>
        </w:tc>
        <w:tc>
          <w:tcPr>
            <w:tcW w:w="851" w:type="dxa"/>
            <w:vAlign w:val="bottom"/>
          </w:tcPr>
          <w:p w14:paraId="26DE1FFA" w14:textId="77777777" w:rsidR="00664685" w:rsidRPr="00D378B5" w:rsidRDefault="00664685" w:rsidP="00014777">
            <w:pPr>
              <w:rPr>
                <w:sz w:val="18"/>
              </w:rPr>
            </w:pPr>
            <w:r w:rsidRPr="00D378B5">
              <w:rPr>
                <w:rFonts w:cs="Calibri"/>
                <w:sz w:val="18"/>
                <w:szCs w:val="22"/>
              </w:rPr>
              <w:t>Constr.</w:t>
            </w:r>
          </w:p>
        </w:tc>
        <w:tc>
          <w:tcPr>
            <w:tcW w:w="850" w:type="dxa"/>
            <w:vAlign w:val="bottom"/>
          </w:tcPr>
          <w:p w14:paraId="327D8E91" w14:textId="77777777" w:rsidR="00664685" w:rsidRPr="00D378B5" w:rsidRDefault="00664685" w:rsidP="00014777">
            <w:pPr>
              <w:rPr>
                <w:sz w:val="18"/>
              </w:rPr>
            </w:pPr>
            <w:r w:rsidRPr="00D378B5">
              <w:rPr>
                <w:rFonts w:cs="Calibri"/>
                <w:sz w:val="18"/>
                <w:szCs w:val="22"/>
              </w:rPr>
              <w:t>Whole</w:t>
            </w:r>
            <w:r>
              <w:rPr>
                <w:rFonts w:cs="Calibri"/>
                <w:sz w:val="18"/>
                <w:szCs w:val="22"/>
              </w:rPr>
              <w:t>.</w:t>
            </w:r>
            <w:r>
              <w:rPr>
                <w:rFonts w:cs="Calibri"/>
                <w:sz w:val="18"/>
                <w:szCs w:val="22"/>
              </w:rPr>
              <w:br/>
              <w:t>Trade</w:t>
            </w:r>
          </w:p>
        </w:tc>
        <w:tc>
          <w:tcPr>
            <w:tcW w:w="764" w:type="dxa"/>
            <w:vAlign w:val="bottom"/>
          </w:tcPr>
          <w:p w14:paraId="15D314DD" w14:textId="77777777" w:rsidR="00664685" w:rsidRPr="00D378B5" w:rsidRDefault="00664685" w:rsidP="00014777">
            <w:pPr>
              <w:rPr>
                <w:sz w:val="18"/>
              </w:rPr>
            </w:pPr>
            <w:r w:rsidRPr="00D378B5">
              <w:rPr>
                <w:rFonts w:cs="Calibri"/>
                <w:sz w:val="18"/>
                <w:szCs w:val="22"/>
              </w:rPr>
              <w:t>Retail</w:t>
            </w:r>
            <w:r>
              <w:rPr>
                <w:rFonts w:cs="Calibri"/>
                <w:sz w:val="18"/>
                <w:szCs w:val="22"/>
              </w:rPr>
              <w:t xml:space="preserve"> Trade</w:t>
            </w:r>
          </w:p>
        </w:tc>
        <w:tc>
          <w:tcPr>
            <w:tcW w:w="874" w:type="dxa"/>
            <w:vAlign w:val="bottom"/>
          </w:tcPr>
          <w:p w14:paraId="5DD42100" w14:textId="77777777" w:rsidR="00664685" w:rsidRPr="00D378B5" w:rsidRDefault="00664685" w:rsidP="00014777">
            <w:pPr>
              <w:rPr>
                <w:sz w:val="18"/>
              </w:rPr>
            </w:pPr>
            <w:r w:rsidRPr="00D378B5">
              <w:rPr>
                <w:rFonts w:cs="Calibri"/>
                <w:sz w:val="18"/>
                <w:szCs w:val="22"/>
              </w:rPr>
              <w:t>Accom.</w:t>
            </w:r>
          </w:p>
        </w:tc>
        <w:tc>
          <w:tcPr>
            <w:tcW w:w="875" w:type="dxa"/>
            <w:vAlign w:val="bottom"/>
          </w:tcPr>
          <w:p w14:paraId="2E02D81D" w14:textId="77777777" w:rsidR="00664685" w:rsidRPr="00D378B5" w:rsidRDefault="00664685" w:rsidP="00014777">
            <w:pPr>
              <w:rPr>
                <w:sz w:val="18"/>
              </w:rPr>
            </w:pPr>
            <w:r w:rsidRPr="00D378B5">
              <w:rPr>
                <w:rFonts w:cs="Calibri"/>
                <w:sz w:val="18"/>
                <w:szCs w:val="22"/>
              </w:rPr>
              <w:t>Transp</w:t>
            </w:r>
            <w:r>
              <w:rPr>
                <w:rFonts w:cs="Calibri"/>
                <w:sz w:val="18"/>
                <w:szCs w:val="22"/>
              </w:rPr>
              <w:t>.</w:t>
            </w:r>
          </w:p>
        </w:tc>
        <w:tc>
          <w:tcPr>
            <w:tcW w:w="874" w:type="dxa"/>
            <w:vAlign w:val="bottom"/>
          </w:tcPr>
          <w:p w14:paraId="3E29A594" w14:textId="77777777" w:rsidR="00664685" w:rsidRPr="00D378B5" w:rsidRDefault="00664685" w:rsidP="00014777">
            <w:pPr>
              <w:rPr>
                <w:sz w:val="18"/>
              </w:rPr>
            </w:pPr>
            <w:r w:rsidRPr="00D378B5">
              <w:rPr>
                <w:rFonts w:cs="Calibri"/>
                <w:sz w:val="18"/>
                <w:szCs w:val="22"/>
              </w:rPr>
              <w:t>Info &amp; Media</w:t>
            </w:r>
          </w:p>
        </w:tc>
        <w:tc>
          <w:tcPr>
            <w:tcW w:w="875" w:type="dxa"/>
            <w:vAlign w:val="bottom"/>
          </w:tcPr>
          <w:p w14:paraId="5EC1FED2" w14:textId="77777777" w:rsidR="00664685" w:rsidRPr="00D378B5" w:rsidRDefault="00664685" w:rsidP="00014777">
            <w:pPr>
              <w:rPr>
                <w:sz w:val="18"/>
              </w:rPr>
            </w:pPr>
            <w:r w:rsidRPr="00D378B5">
              <w:rPr>
                <w:rFonts w:cs="Calibri"/>
                <w:sz w:val="18"/>
                <w:szCs w:val="22"/>
              </w:rPr>
              <w:t>Rental</w:t>
            </w:r>
          </w:p>
        </w:tc>
        <w:tc>
          <w:tcPr>
            <w:tcW w:w="874" w:type="dxa"/>
            <w:vAlign w:val="bottom"/>
          </w:tcPr>
          <w:p w14:paraId="5359B93F" w14:textId="77777777" w:rsidR="00664685" w:rsidRPr="00D378B5" w:rsidRDefault="00664685" w:rsidP="00014777">
            <w:pPr>
              <w:rPr>
                <w:sz w:val="18"/>
              </w:rPr>
            </w:pPr>
            <w:r w:rsidRPr="00D378B5">
              <w:rPr>
                <w:rFonts w:cs="Calibri"/>
                <w:sz w:val="18"/>
                <w:szCs w:val="22"/>
              </w:rPr>
              <w:t>Prof. Serves</w:t>
            </w:r>
          </w:p>
        </w:tc>
        <w:tc>
          <w:tcPr>
            <w:tcW w:w="875" w:type="dxa"/>
            <w:vAlign w:val="bottom"/>
          </w:tcPr>
          <w:p w14:paraId="34248280" w14:textId="77777777" w:rsidR="00664685" w:rsidRPr="00D378B5" w:rsidRDefault="00664685" w:rsidP="00014777">
            <w:pPr>
              <w:rPr>
                <w:sz w:val="18"/>
              </w:rPr>
            </w:pPr>
            <w:r w:rsidRPr="00D378B5">
              <w:rPr>
                <w:rFonts w:cs="Calibri"/>
                <w:sz w:val="18"/>
                <w:szCs w:val="22"/>
              </w:rPr>
              <w:t>Admin. Services</w:t>
            </w:r>
          </w:p>
        </w:tc>
        <w:tc>
          <w:tcPr>
            <w:tcW w:w="874" w:type="dxa"/>
            <w:vAlign w:val="bottom"/>
          </w:tcPr>
          <w:p w14:paraId="77AF2F74" w14:textId="77777777" w:rsidR="00664685" w:rsidRPr="00D378B5" w:rsidRDefault="00664685" w:rsidP="00014777">
            <w:pPr>
              <w:rPr>
                <w:sz w:val="18"/>
              </w:rPr>
            </w:pPr>
            <w:r w:rsidRPr="00D378B5">
              <w:rPr>
                <w:rFonts w:cs="Calibri"/>
                <w:sz w:val="18"/>
                <w:szCs w:val="22"/>
              </w:rPr>
              <w:t>Arts</w:t>
            </w:r>
          </w:p>
        </w:tc>
        <w:tc>
          <w:tcPr>
            <w:tcW w:w="875" w:type="dxa"/>
            <w:tcBorders>
              <w:right w:val="nil"/>
            </w:tcBorders>
            <w:vAlign w:val="bottom"/>
          </w:tcPr>
          <w:p w14:paraId="16BC75DF" w14:textId="77777777" w:rsidR="00664685" w:rsidRPr="00D378B5" w:rsidRDefault="00664685" w:rsidP="00014777">
            <w:pPr>
              <w:rPr>
                <w:sz w:val="18"/>
              </w:rPr>
            </w:pPr>
            <w:r w:rsidRPr="00D378B5">
              <w:rPr>
                <w:rFonts w:cs="Calibri"/>
                <w:sz w:val="18"/>
                <w:szCs w:val="22"/>
              </w:rPr>
              <w:t>Other Services</w:t>
            </w:r>
          </w:p>
        </w:tc>
      </w:tr>
      <w:tr w:rsidR="00664685" w14:paraId="4B7AE099" w14:textId="77777777" w:rsidTr="000663DE">
        <w:tc>
          <w:tcPr>
            <w:tcW w:w="1271" w:type="dxa"/>
            <w:tcBorders>
              <w:left w:val="nil"/>
            </w:tcBorders>
          </w:tcPr>
          <w:p w14:paraId="1B094BF2" w14:textId="77777777" w:rsidR="00664685" w:rsidRDefault="00664685" w:rsidP="00014777">
            <w:r>
              <w:t>Share</w:t>
            </w:r>
          </w:p>
        </w:tc>
        <w:tc>
          <w:tcPr>
            <w:tcW w:w="709" w:type="dxa"/>
          </w:tcPr>
          <w:p w14:paraId="4EB34B85" w14:textId="77777777" w:rsidR="00664685" w:rsidRDefault="00664685" w:rsidP="00014777">
            <w:r>
              <w:t>38.9</w:t>
            </w:r>
          </w:p>
        </w:tc>
        <w:tc>
          <w:tcPr>
            <w:tcW w:w="850" w:type="dxa"/>
          </w:tcPr>
          <w:p w14:paraId="4F650788" w14:textId="77777777" w:rsidR="00664685" w:rsidRDefault="00664685" w:rsidP="00014777">
            <w:r>
              <w:t>60.0</w:t>
            </w:r>
          </w:p>
        </w:tc>
        <w:tc>
          <w:tcPr>
            <w:tcW w:w="851" w:type="dxa"/>
          </w:tcPr>
          <w:p w14:paraId="71DEBA8E" w14:textId="77777777" w:rsidR="00664685" w:rsidRDefault="00664685" w:rsidP="00014777">
            <w:r>
              <w:t>60.9</w:t>
            </w:r>
          </w:p>
        </w:tc>
        <w:tc>
          <w:tcPr>
            <w:tcW w:w="850" w:type="dxa"/>
          </w:tcPr>
          <w:p w14:paraId="08A7C4BD" w14:textId="77777777" w:rsidR="00664685" w:rsidRDefault="00664685" w:rsidP="00014777">
            <w:r>
              <w:t>20.4</w:t>
            </w:r>
          </w:p>
        </w:tc>
        <w:tc>
          <w:tcPr>
            <w:tcW w:w="851" w:type="dxa"/>
          </w:tcPr>
          <w:p w14:paraId="2733308C" w14:textId="77777777" w:rsidR="00664685" w:rsidRDefault="00664685" w:rsidP="00014777">
            <w:r>
              <w:t>55.9</w:t>
            </w:r>
          </w:p>
        </w:tc>
        <w:tc>
          <w:tcPr>
            <w:tcW w:w="850" w:type="dxa"/>
          </w:tcPr>
          <w:p w14:paraId="71DA32F0" w14:textId="77777777" w:rsidR="00664685" w:rsidRDefault="00664685" w:rsidP="00014777">
            <w:r>
              <w:t>80.3</w:t>
            </w:r>
          </w:p>
        </w:tc>
        <w:tc>
          <w:tcPr>
            <w:tcW w:w="764" w:type="dxa"/>
          </w:tcPr>
          <w:p w14:paraId="5AE11759" w14:textId="77777777" w:rsidR="00664685" w:rsidRDefault="00664685" w:rsidP="00014777">
            <w:r>
              <w:t>75.2</w:t>
            </w:r>
          </w:p>
        </w:tc>
        <w:tc>
          <w:tcPr>
            <w:tcW w:w="874" w:type="dxa"/>
          </w:tcPr>
          <w:p w14:paraId="08499C69" w14:textId="77777777" w:rsidR="00664685" w:rsidRDefault="00664685" w:rsidP="00014777">
            <w:r>
              <w:t>64.2</w:t>
            </w:r>
          </w:p>
        </w:tc>
        <w:tc>
          <w:tcPr>
            <w:tcW w:w="875" w:type="dxa"/>
          </w:tcPr>
          <w:p w14:paraId="0B020AEA" w14:textId="77777777" w:rsidR="00664685" w:rsidRDefault="00664685" w:rsidP="00014777">
            <w:r>
              <w:t>61.0</w:t>
            </w:r>
          </w:p>
        </w:tc>
        <w:tc>
          <w:tcPr>
            <w:tcW w:w="874" w:type="dxa"/>
          </w:tcPr>
          <w:p w14:paraId="68697145" w14:textId="77777777" w:rsidR="00664685" w:rsidRDefault="00664685" w:rsidP="00014777">
            <w:r>
              <w:t>75.6</w:t>
            </w:r>
          </w:p>
        </w:tc>
        <w:tc>
          <w:tcPr>
            <w:tcW w:w="875" w:type="dxa"/>
          </w:tcPr>
          <w:p w14:paraId="302B6219" w14:textId="77777777" w:rsidR="00664685" w:rsidRDefault="00664685" w:rsidP="00014777">
            <w:r>
              <w:t>45.2</w:t>
            </w:r>
          </w:p>
        </w:tc>
        <w:tc>
          <w:tcPr>
            <w:tcW w:w="874" w:type="dxa"/>
          </w:tcPr>
          <w:p w14:paraId="0B5F207E" w14:textId="77777777" w:rsidR="00664685" w:rsidRDefault="00664685" w:rsidP="00014777">
            <w:r>
              <w:t>59.8</w:t>
            </w:r>
          </w:p>
        </w:tc>
        <w:tc>
          <w:tcPr>
            <w:tcW w:w="875" w:type="dxa"/>
          </w:tcPr>
          <w:p w14:paraId="5B6E3938" w14:textId="77777777" w:rsidR="00664685" w:rsidRDefault="00664685" w:rsidP="00014777">
            <w:r>
              <w:t>64.6</w:t>
            </w:r>
          </w:p>
        </w:tc>
        <w:tc>
          <w:tcPr>
            <w:tcW w:w="874" w:type="dxa"/>
          </w:tcPr>
          <w:p w14:paraId="2E960312" w14:textId="77777777" w:rsidR="00664685" w:rsidRDefault="00664685" w:rsidP="00014777">
            <w:r>
              <w:t>33.4</w:t>
            </w:r>
          </w:p>
        </w:tc>
        <w:tc>
          <w:tcPr>
            <w:tcW w:w="875" w:type="dxa"/>
            <w:tcBorders>
              <w:right w:val="nil"/>
            </w:tcBorders>
          </w:tcPr>
          <w:p w14:paraId="4C008854" w14:textId="77777777" w:rsidR="00664685" w:rsidRDefault="00664685" w:rsidP="00014777">
            <w:r>
              <w:t>55.9</w:t>
            </w:r>
          </w:p>
        </w:tc>
      </w:tr>
      <w:tr w:rsidR="00664685" w14:paraId="7A49FA78" w14:textId="77777777" w:rsidTr="000663DE">
        <w:tc>
          <w:tcPr>
            <w:tcW w:w="1271" w:type="dxa"/>
            <w:tcBorders>
              <w:left w:val="nil"/>
            </w:tcBorders>
          </w:tcPr>
          <w:p w14:paraId="44071E81" w14:textId="65ED303B" w:rsidR="00664685" w:rsidRDefault="00664685" w:rsidP="00205120">
            <w:r>
              <w:t>Share (</w:t>
            </w:r>
            <w:r w:rsidR="00205120">
              <w:t>3</w:t>
            </w:r>
            <w:r w:rsidR="00252C43">
              <w:noBreakHyphen/>
            </w:r>
            <w:r w:rsidR="00205120">
              <w:t>digit ANZISC estimation</w:t>
            </w:r>
            <w:r>
              <w:t>)</w:t>
            </w:r>
          </w:p>
        </w:tc>
        <w:tc>
          <w:tcPr>
            <w:tcW w:w="709" w:type="dxa"/>
          </w:tcPr>
          <w:p w14:paraId="602A1B4B" w14:textId="77777777" w:rsidR="00664685" w:rsidRDefault="00664685" w:rsidP="00014777">
            <w:r>
              <w:t>41.9</w:t>
            </w:r>
          </w:p>
        </w:tc>
        <w:tc>
          <w:tcPr>
            <w:tcW w:w="850" w:type="dxa"/>
          </w:tcPr>
          <w:p w14:paraId="4A6603AE" w14:textId="77777777" w:rsidR="00664685" w:rsidRDefault="00664685" w:rsidP="00014777">
            <w:r>
              <w:t>87.7</w:t>
            </w:r>
          </w:p>
        </w:tc>
        <w:tc>
          <w:tcPr>
            <w:tcW w:w="851" w:type="dxa"/>
          </w:tcPr>
          <w:p w14:paraId="46A81895" w14:textId="77777777" w:rsidR="00664685" w:rsidRDefault="00664685" w:rsidP="00014777">
            <w:r>
              <w:t>81.9</w:t>
            </w:r>
          </w:p>
        </w:tc>
        <w:tc>
          <w:tcPr>
            <w:tcW w:w="850" w:type="dxa"/>
          </w:tcPr>
          <w:p w14:paraId="39C3D4F6" w14:textId="77777777" w:rsidR="00664685" w:rsidRDefault="00664685" w:rsidP="00014777">
            <w:r>
              <w:t>40.2</w:t>
            </w:r>
          </w:p>
        </w:tc>
        <w:tc>
          <w:tcPr>
            <w:tcW w:w="851" w:type="dxa"/>
          </w:tcPr>
          <w:p w14:paraId="28CDAA20" w14:textId="77777777" w:rsidR="00664685" w:rsidRDefault="00664685" w:rsidP="00014777">
            <w:r>
              <w:t>56.0</w:t>
            </w:r>
          </w:p>
        </w:tc>
        <w:tc>
          <w:tcPr>
            <w:tcW w:w="850" w:type="dxa"/>
          </w:tcPr>
          <w:p w14:paraId="75044F69" w14:textId="77777777" w:rsidR="00664685" w:rsidRDefault="00664685" w:rsidP="00014777">
            <w:r>
              <w:t>80.3</w:t>
            </w:r>
          </w:p>
        </w:tc>
        <w:tc>
          <w:tcPr>
            <w:tcW w:w="764" w:type="dxa"/>
          </w:tcPr>
          <w:p w14:paraId="41675B6B" w14:textId="77777777" w:rsidR="00664685" w:rsidRDefault="00664685" w:rsidP="00014777">
            <w:r>
              <w:t>75.2</w:t>
            </w:r>
          </w:p>
        </w:tc>
        <w:tc>
          <w:tcPr>
            <w:tcW w:w="874" w:type="dxa"/>
          </w:tcPr>
          <w:p w14:paraId="352ADD7B" w14:textId="77777777" w:rsidR="00664685" w:rsidRDefault="00664685" w:rsidP="00014777">
            <w:r>
              <w:t>64.3</w:t>
            </w:r>
          </w:p>
        </w:tc>
        <w:tc>
          <w:tcPr>
            <w:tcW w:w="875" w:type="dxa"/>
          </w:tcPr>
          <w:p w14:paraId="487F87B5" w14:textId="77777777" w:rsidR="00664685" w:rsidRDefault="00664685" w:rsidP="00014777">
            <w:r>
              <w:t>69.1</w:t>
            </w:r>
          </w:p>
        </w:tc>
        <w:tc>
          <w:tcPr>
            <w:tcW w:w="874" w:type="dxa"/>
          </w:tcPr>
          <w:p w14:paraId="5F86044B" w14:textId="77777777" w:rsidR="00664685" w:rsidRDefault="00664685" w:rsidP="00014777">
            <w:r>
              <w:t>88.0</w:t>
            </w:r>
          </w:p>
        </w:tc>
        <w:tc>
          <w:tcPr>
            <w:tcW w:w="875" w:type="dxa"/>
          </w:tcPr>
          <w:p w14:paraId="335F8D69" w14:textId="77777777" w:rsidR="00664685" w:rsidRDefault="00664685" w:rsidP="00014777">
            <w:r>
              <w:t>45.2</w:t>
            </w:r>
          </w:p>
        </w:tc>
        <w:tc>
          <w:tcPr>
            <w:tcW w:w="874" w:type="dxa"/>
          </w:tcPr>
          <w:p w14:paraId="73C0B8A7" w14:textId="77777777" w:rsidR="00664685" w:rsidRDefault="00664685" w:rsidP="00014777">
            <w:r>
              <w:t>59.8</w:t>
            </w:r>
          </w:p>
        </w:tc>
        <w:tc>
          <w:tcPr>
            <w:tcW w:w="875" w:type="dxa"/>
          </w:tcPr>
          <w:p w14:paraId="4378D1C2" w14:textId="77777777" w:rsidR="00664685" w:rsidRDefault="00664685" w:rsidP="00014777">
            <w:r>
              <w:t>64.6</w:t>
            </w:r>
          </w:p>
        </w:tc>
        <w:tc>
          <w:tcPr>
            <w:tcW w:w="874" w:type="dxa"/>
          </w:tcPr>
          <w:p w14:paraId="0D13D952" w14:textId="77777777" w:rsidR="00664685" w:rsidRDefault="00664685" w:rsidP="00014777">
            <w:r>
              <w:t>60.1</w:t>
            </w:r>
          </w:p>
        </w:tc>
        <w:tc>
          <w:tcPr>
            <w:tcW w:w="875" w:type="dxa"/>
            <w:tcBorders>
              <w:right w:val="nil"/>
            </w:tcBorders>
          </w:tcPr>
          <w:p w14:paraId="4D84CA19" w14:textId="77777777" w:rsidR="00664685" w:rsidRDefault="00664685" w:rsidP="00014777">
            <w:r>
              <w:t>55.9</w:t>
            </w:r>
          </w:p>
        </w:tc>
      </w:tr>
    </w:tbl>
    <w:p w14:paraId="3E484D4D" w14:textId="77777777" w:rsidR="00664685" w:rsidRDefault="00664685" w:rsidP="00471CBF">
      <w:pPr>
        <w:jc w:val="both"/>
        <w:sectPr w:rsidR="00664685" w:rsidSect="00664685">
          <w:pgSz w:w="16838" w:h="11906" w:orient="landscape" w:code="9"/>
          <w:pgMar w:top="1304" w:right="1418" w:bottom="1304" w:left="1418" w:header="567" w:footer="567" w:gutter="0"/>
          <w:pgNumType w:start="1"/>
          <w:cols w:space="708"/>
          <w:titlePg/>
          <w:docGrid w:linePitch="360"/>
        </w:sectPr>
      </w:pPr>
    </w:p>
    <w:p w14:paraId="75AA5BE6" w14:textId="77777777" w:rsidR="0095241E" w:rsidRDefault="0095241E" w:rsidP="0095241E">
      <w:pPr>
        <w:pStyle w:val="Heading2"/>
        <w:numPr>
          <w:ilvl w:val="0"/>
          <w:numId w:val="0"/>
        </w:numPr>
      </w:pPr>
      <w:r>
        <w:lastRenderedPageBreak/>
        <w:t>Appendix C: Robustness</w:t>
      </w:r>
    </w:p>
    <w:p w14:paraId="3252986A" w14:textId="77777777" w:rsidR="00A22163" w:rsidRDefault="00F83CEB" w:rsidP="00A22163">
      <w:pPr>
        <w:pStyle w:val="ChartMainHeading"/>
      </w:pPr>
      <w:r w:rsidRPr="00F27A58">
        <w:t xml:space="preserve">Figure </w:t>
      </w:r>
      <w:fldSimple w:instr=" SEQ Figure \* ARABIC ">
        <w:r w:rsidR="007D6DAF">
          <w:rPr>
            <w:noProof/>
          </w:rPr>
          <w:t>11</w:t>
        </w:r>
      </w:fldSimple>
      <w:r w:rsidRPr="00F27A58">
        <w:t xml:space="preserve">: </w:t>
      </w:r>
      <w:r>
        <w:t>Mark</w:t>
      </w:r>
      <w:r w:rsidR="00252C43">
        <w:noBreakHyphen/>
      </w:r>
      <w:r>
        <w:t xml:space="preserve">ups Using Different First Step Estimation Methods </w:t>
      </w:r>
    </w:p>
    <w:p w14:paraId="729997D3" w14:textId="77777777" w:rsidR="00A22163" w:rsidRDefault="00F83CEB" w:rsidP="00A22163">
      <w:pPr>
        <w:pStyle w:val="ChartSecondHeading"/>
      </w:pPr>
      <w:r w:rsidRPr="00E9695E">
        <w:t xml:space="preserve">Panel A: </w:t>
      </w:r>
      <w:r>
        <w:t>Unweighted firm</w:t>
      </w:r>
      <w:r w:rsidR="00252C43">
        <w:noBreakHyphen/>
      </w:r>
      <w:r>
        <w:t>level average</w:t>
      </w:r>
    </w:p>
    <w:p w14:paraId="091A3151" w14:textId="77777777" w:rsidR="00A22163" w:rsidRDefault="00F83CEB" w:rsidP="00D40DF3">
      <w:pPr>
        <w:pStyle w:val="Chartheading"/>
        <w:spacing w:after="0"/>
        <w:jc w:val="center"/>
        <w:rPr>
          <w:rFonts w:asciiTheme="majorHAnsi" w:hAnsiTheme="majorHAnsi" w:cstheme="majorHAnsi"/>
          <w:sz w:val="20"/>
        </w:rPr>
      </w:pPr>
      <w:r w:rsidRPr="00F83CEB">
        <w:rPr>
          <w:noProof/>
          <w:lang w:eastAsia="en-AU"/>
        </w:rPr>
        <w:drawing>
          <wp:inline distT="0" distB="0" distL="0" distR="0" wp14:anchorId="2BFCB0F7" wp14:editId="5E1D649E">
            <wp:extent cx="5575300" cy="2865755"/>
            <wp:effectExtent l="0" t="0" r="0" b="0"/>
            <wp:docPr id="30" name="Picture 30" descr="Panel A shows unweighted average mark-up estimates constructed by including different control variables in the first step regression, namely no controls, a firm wage control, year dummies, and wage and year controls, which is the baseline. All series show a similar upwards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75300" cy="2865755"/>
                    </a:xfrm>
                    <a:prstGeom prst="rect">
                      <a:avLst/>
                    </a:prstGeom>
                    <a:noFill/>
                    <a:ln>
                      <a:noFill/>
                    </a:ln>
                  </pic:spPr>
                </pic:pic>
              </a:graphicData>
            </a:graphic>
          </wp:inline>
        </w:drawing>
      </w:r>
    </w:p>
    <w:p w14:paraId="6B6C6807" w14:textId="17908B60" w:rsidR="00A22163" w:rsidRDefault="00F83CEB" w:rsidP="00A22163">
      <w:pPr>
        <w:pStyle w:val="ChartSecondHeading"/>
      </w:pPr>
      <w:r w:rsidRPr="00E9695E">
        <w:t xml:space="preserve">Panel </w:t>
      </w:r>
      <w:r>
        <w:t>B</w:t>
      </w:r>
      <w:r w:rsidRPr="00E9695E">
        <w:t xml:space="preserve">: </w:t>
      </w:r>
      <w:r>
        <w:t>Sales</w:t>
      </w:r>
      <w:r w:rsidR="00252C43">
        <w:noBreakHyphen/>
      </w:r>
      <w:r>
        <w:t>weighted firm</w:t>
      </w:r>
      <w:r w:rsidR="00252C43">
        <w:noBreakHyphen/>
      </w:r>
      <w:r>
        <w:t>level average</w:t>
      </w:r>
    </w:p>
    <w:p w14:paraId="48C06C7D" w14:textId="5786DA2A" w:rsidR="00F83CEB" w:rsidRPr="00E9695E" w:rsidRDefault="00F83CEB" w:rsidP="00D40DF3">
      <w:pPr>
        <w:pStyle w:val="Chartheading"/>
        <w:spacing w:after="0"/>
        <w:jc w:val="center"/>
        <w:rPr>
          <w:rFonts w:asciiTheme="majorHAnsi" w:hAnsiTheme="majorHAnsi" w:cstheme="majorHAnsi"/>
          <w:sz w:val="20"/>
        </w:rPr>
      </w:pPr>
      <w:r w:rsidRPr="00F83CEB">
        <w:rPr>
          <w:noProof/>
          <w:lang w:eastAsia="en-AU"/>
        </w:rPr>
        <w:drawing>
          <wp:inline distT="0" distB="0" distL="0" distR="0" wp14:anchorId="34EFC640" wp14:editId="388CD84F">
            <wp:extent cx="5575300" cy="2879725"/>
            <wp:effectExtent l="0" t="0" r="0" b="0"/>
            <wp:docPr id="31" name="Picture 31" descr="Panel B shows sales-weighted average versions of these series. All show a broadly similar trend up. Measures without wage controls are lower in levels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75300" cy="2879725"/>
                    </a:xfrm>
                    <a:prstGeom prst="rect">
                      <a:avLst/>
                    </a:prstGeom>
                    <a:noFill/>
                    <a:ln>
                      <a:noFill/>
                    </a:ln>
                  </pic:spPr>
                </pic:pic>
              </a:graphicData>
            </a:graphic>
          </wp:inline>
        </w:drawing>
      </w:r>
    </w:p>
    <w:p w14:paraId="6CCD4557" w14:textId="047B5EF7" w:rsidR="00F83CEB" w:rsidRPr="00743BA0" w:rsidRDefault="00F83CEB" w:rsidP="00F83CEB">
      <w:pPr>
        <w:rPr>
          <w:sz w:val="18"/>
        </w:rPr>
      </w:pPr>
      <w:r w:rsidRPr="00743BA0">
        <w:rPr>
          <w:sz w:val="18"/>
        </w:rPr>
        <w:t xml:space="preserve">Notes: </w:t>
      </w:r>
      <w:r w:rsidR="00234A1D">
        <w:rPr>
          <w:sz w:val="18"/>
        </w:rPr>
        <w:t>These charts show average firm</w:t>
      </w:r>
      <w:r w:rsidR="00252C43">
        <w:rPr>
          <w:sz w:val="18"/>
        </w:rPr>
        <w:noBreakHyphen/>
      </w:r>
      <w:r w:rsidR="00234A1D">
        <w:rPr>
          <w:sz w:val="18"/>
        </w:rPr>
        <w:t>level mark</w:t>
      </w:r>
      <w:r w:rsidR="00252C43">
        <w:rPr>
          <w:sz w:val="18"/>
        </w:rPr>
        <w:noBreakHyphen/>
      </w:r>
      <w:r w:rsidR="00234A1D">
        <w:rPr>
          <w:sz w:val="18"/>
        </w:rPr>
        <w:t>ups estimated including different terms in the first</w:t>
      </w:r>
      <w:r w:rsidR="00252C43">
        <w:rPr>
          <w:sz w:val="18"/>
        </w:rPr>
        <w:noBreakHyphen/>
      </w:r>
      <w:r w:rsidR="00234A1D">
        <w:rPr>
          <w:sz w:val="18"/>
        </w:rPr>
        <w:t xml:space="preserve">stage polynomial regression in the </w:t>
      </w:r>
      <w:proofErr w:type="spellStart"/>
      <w:r w:rsidR="00234A1D">
        <w:rPr>
          <w:sz w:val="18"/>
        </w:rPr>
        <w:t>Ackerberg</w:t>
      </w:r>
      <w:proofErr w:type="spellEnd"/>
      <w:r w:rsidR="00234A1D">
        <w:rPr>
          <w:sz w:val="18"/>
        </w:rPr>
        <w:t xml:space="preserve"> et al (2016) approach. </w:t>
      </w:r>
      <w:r w:rsidR="00252C43">
        <w:rPr>
          <w:sz w:val="18"/>
        </w:rPr>
        <w:t>‘</w:t>
      </w:r>
      <w:r w:rsidR="00234A1D">
        <w:rPr>
          <w:sz w:val="18"/>
        </w:rPr>
        <w:t>No wage or year</w:t>
      </w:r>
      <w:r w:rsidR="00252C43">
        <w:rPr>
          <w:sz w:val="18"/>
        </w:rPr>
        <w:t>’</w:t>
      </w:r>
      <w:r w:rsidR="00234A1D">
        <w:rPr>
          <w:sz w:val="18"/>
        </w:rPr>
        <w:t xml:space="preserve"> just includes the inputs into the production function. Year adds year effects. Wage includes firm</w:t>
      </w:r>
      <w:r w:rsidR="00252C43">
        <w:rPr>
          <w:sz w:val="18"/>
        </w:rPr>
        <w:noBreakHyphen/>
      </w:r>
      <w:r w:rsidR="00234A1D">
        <w:rPr>
          <w:sz w:val="18"/>
        </w:rPr>
        <w:t>level wage estimates, to address the identification issue highlighted in Gandhi et al (2017)</w:t>
      </w:r>
      <w:r w:rsidRPr="00743BA0">
        <w:rPr>
          <w:sz w:val="18"/>
        </w:rPr>
        <w:t xml:space="preserve">. </w:t>
      </w:r>
      <w:r w:rsidR="00234A1D">
        <w:rPr>
          <w:sz w:val="18"/>
        </w:rPr>
        <w:t>Baseline is the preferred specification and includes both.</w:t>
      </w:r>
      <w:r w:rsidR="00FE45C4">
        <w:rPr>
          <w:color w:val="auto"/>
          <w:sz w:val="18"/>
        </w:rPr>
        <w:t xml:space="preserve"> </w:t>
      </w:r>
      <w:r w:rsidR="00FE45C4" w:rsidRPr="00FE45C4">
        <w:rPr>
          <w:color w:val="auto"/>
          <w:sz w:val="18"/>
        </w:rPr>
        <w:t>Treasury calculations based on ABS BLA</w:t>
      </w:r>
      <w:r w:rsidR="00FE45C4">
        <w:rPr>
          <w:color w:val="auto"/>
          <w:sz w:val="18"/>
        </w:rPr>
        <w:t>DE</w:t>
      </w:r>
    </w:p>
    <w:p w14:paraId="73C84D10" w14:textId="1FAB6E87" w:rsidR="00B40626" w:rsidRDefault="00B40626" w:rsidP="00A22163">
      <w:pPr>
        <w:pStyle w:val="ChartMainHeading"/>
      </w:pPr>
      <w:r w:rsidRPr="00F27A58">
        <w:lastRenderedPageBreak/>
        <w:t xml:space="preserve">Figure </w:t>
      </w:r>
      <w:fldSimple w:instr=" SEQ Figure \* ARABIC ">
        <w:r w:rsidR="007D6DAF">
          <w:rPr>
            <w:noProof/>
          </w:rPr>
          <w:t>12</w:t>
        </w:r>
      </w:fldSimple>
      <w:r w:rsidRPr="00F27A58">
        <w:t>: Average Firm</w:t>
      </w:r>
      <w:r w:rsidR="00252C43">
        <w:noBreakHyphen/>
      </w:r>
      <w:r w:rsidRPr="00F27A58">
        <w:t>level Mark</w:t>
      </w:r>
      <w:r w:rsidR="00252C43">
        <w:noBreakHyphen/>
      </w:r>
      <w:r w:rsidRPr="00F27A58">
        <w:t>ups</w:t>
      </w:r>
      <w:r w:rsidR="00252C43">
        <w:t xml:space="preserve"> — </w:t>
      </w:r>
      <w:r>
        <w:t>Stricter Trimming</w:t>
      </w:r>
    </w:p>
    <w:p w14:paraId="664150ED" w14:textId="53445EC0" w:rsidR="00B40626" w:rsidRDefault="00B40626" w:rsidP="00A22163">
      <w:pPr>
        <w:pStyle w:val="ChartGraphic"/>
      </w:pPr>
      <w:r w:rsidRPr="00B40626">
        <w:rPr>
          <w:noProof/>
        </w:rPr>
        <w:drawing>
          <wp:inline distT="0" distB="0" distL="0" distR="0" wp14:anchorId="5114F0B8" wp14:editId="55A82C65">
            <wp:extent cx="5651500" cy="2438400"/>
            <wp:effectExtent l="0" t="0" r="6350" b="0"/>
            <wp:docPr id="23" name="Picture 23" descr="This chart shows unweighted, sales-weighted and input-weighted mark-up estimates constructed using a stricter trimming rule than in the main paper. As with the main approach, all three trend up, and increase by a broadly similar amount of around 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51500" cy="2438400"/>
                    </a:xfrm>
                    <a:prstGeom prst="rect">
                      <a:avLst/>
                    </a:prstGeom>
                    <a:noFill/>
                    <a:ln>
                      <a:noFill/>
                    </a:ln>
                  </pic:spPr>
                </pic:pic>
              </a:graphicData>
            </a:graphic>
          </wp:inline>
        </w:drawing>
      </w:r>
    </w:p>
    <w:p w14:paraId="72CA8683" w14:textId="5139389F" w:rsidR="00B40626" w:rsidRDefault="00B40626" w:rsidP="00B40626">
      <w:pPr>
        <w:pStyle w:val="Chartnote"/>
        <w:spacing w:after="240"/>
      </w:pPr>
      <w:r>
        <w:t>Note:  Input</w:t>
      </w:r>
      <w:r w:rsidR="00252C43">
        <w:noBreakHyphen/>
      </w:r>
      <w:r>
        <w:t>weighted measures uses intermediate input measure used in constructing mark</w:t>
      </w:r>
      <w:r w:rsidR="00252C43">
        <w:noBreakHyphen/>
      </w:r>
      <w:r>
        <w:t xml:space="preserve">up estimates. Remove firms that ever enter top and bottom percentile. </w:t>
      </w:r>
      <w:r w:rsidRPr="00FE45C4">
        <w:t>Treasury calculations based on ABS BLA</w:t>
      </w:r>
      <w:r>
        <w:t xml:space="preserve">DE </w:t>
      </w:r>
    </w:p>
    <w:p w14:paraId="1C5C0AC0" w14:textId="58E457DE" w:rsidR="00B40626" w:rsidRDefault="00B40626" w:rsidP="00A22163">
      <w:pPr>
        <w:pStyle w:val="ChartMainHeading"/>
      </w:pPr>
      <w:r w:rsidRPr="00F27A58">
        <w:t xml:space="preserve">Figure </w:t>
      </w:r>
      <w:fldSimple w:instr=" SEQ Figure \* ARABIC ">
        <w:r w:rsidR="007D6DAF">
          <w:rPr>
            <w:noProof/>
          </w:rPr>
          <w:t>13</w:t>
        </w:r>
      </w:fldSimple>
      <w:r w:rsidRPr="00F27A58">
        <w:t>: Average Firm</w:t>
      </w:r>
      <w:r w:rsidR="00252C43">
        <w:noBreakHyphen/>
      </w:r>
      <w:r w:rsidRPr="00F27A58">
        <w:t>level Mark</w:t>
      </w:r>
      <w:r w:rsidR="00252C43">
        <w:noBreakHyphen/>
      </w:r>
      <w:r w:rsidRPr="00F27A58">
        <w:t>ups</w:t>
      </w:r>
      <w:r w:rsidR="00252C43">
        <w:t xml:space="preserve"> — </w:t>
      </w:r>
      <w:r>
        <w:t>Narrower Variable Input Measure</w:t>
      </w:r>
    </w:p>
    <w:p w14:paraId="121515E9" w14:textId="14A73718" w:rsidR="00B40626" w:rsidRDefault="00B40626" w:rsidP="00A22163">
      <w:pPr>
        <w:pStyle w:val="ChartGraphic"/>
      </w:pPr>
      <w:r w:rsidRPr="00B40626">
        <w:rPr>
          <w:noProof/>
        </w:rPr>
        <w:drawing>
          <wp:inline distT="0" distB="0" distL="0" distR="0" wp14:anchorId="6896135E" wp14:editId="666295F7">
            <wp:extent cx="5651500" cy="2438400"/>
            <wp:effectExtent l="0" t="0" r="6350" b="0"/>
            <wp:docPr id="26" name="Picture 26" descr="This chart shows unweighted, sales-weighted and input-weighted mark-up estimates constructed using a narrower cost of sales input than in the main paper. Unlike the main approach the weighted measures are now below the weighted. The upward trend is also slightly less pronounced and more volatile, but mark-ups still increase over the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1500" cy="2438400"/>
                    </a:xfrm>
                    <a:prstGeom prst="rect">
                      <a:avLst/>
                    </a:prstGeom>
                    <a:noFill/>
                    <a:ln>
                      <a:noFill/>
                    </a:ln>
                  </pic:spPr>
                </pic:pic>
              </a:graphicData>
            </a:graphic>
          </wp:inline>
        </w:drawing>
      </w:r>
    </w:p>
    <w:p w14:paraId="4DF63AEC" w14:textId="722AE72D" w:rsidR="00B40626" w:rsidRDefault="00B40626" w:rsidP="00B40626">
      <w:pPr>
        <w:pStyle w:val="Chartnote"/>
        <w:spacing w:after="240"/>
      </w:pPr>
      <w:r>
        <w:t>Note:  Input</w:t>
      </w:r>
      <w:r w:rsidR="00252C43">
        <w:noBreakHyphen/>
      </w:r>
      <w:r>
        <w:t>weighted measures uses intermediate input measure used in constructing mark</w:t>
      </w:r>
      <w:r w:rsidR="00252C43">
        <w:noBreakHyphen/>
      </w:r>
      <w:r w:rsidR="00596E76">
        <w:t>up estimates. Measure of intermediate expenses is a narrower cost of sales metric</w:t>
      </w:r>
      <w:r>
        <w:t xml:space="preserve">. </w:t>
      </w:r>
      <w:r w:rsidRPr="00FE45C4">
        <w:t>Treasury calculations based on ABS BLA</w:t>
      </w:r>
      <w:r>
        <w:t xml:space="preserve">DE </w:t>
      </w:r>
    </w:p>
    <w:p w14:paraId="7A3F612C" w14:textId="77777777" w:rsidR="00B40626" w:rsidRDefault="00B40626" w:rsidP="00B40626">
      <w:pPr>
        <w:keepNext/>
        <w:jc w:val="center"/>
        <w:rPr>
          <w:rFonts w:ascii="Rockwell" w:hAnsi="Rockwell"/>
          <w:color w:val="1F497D" w:themeColor="text2"/>
          <w:sz w:val="24"/>
        </w:rPr>
      </w:pPr>
    </w:p>
    <w:p w14:paraId="158A9EAC" w14:textId="77777777" w:rsidR="00B40626" w:rsidRDefault="00B40626" w:rsidP="00B40626">
      <w:pPr>
        <w:pStyle w:val="Chartnote"/>
        <w:spacing w:after="240"/>
      </w:pPr>
    </w:p>
    <w:p w14:paraId="35C9423A" w14:textId="1D0E341E" w:rsidR="009F4991" w:rsidRDefault="009F4991" w:rsidP="00A22163">
      <w:pPr>
        <w:pStyle w:val="ChartMainHeading"/>
      </w:pPr>
      <w:r w:rsidRPr="00F27A58">
        <w:lastRenderedPageBreak/>
        <w:t xml:space="preserve">Figure </w:t>
      </w:r>
      <w:fldSimple w:instr=" SEQ Figure \* ARABIC ">
        <w:r w:rsidR="007D6DAF">
          <w:rPr>
            <w:noProof/>
          </w:rPr>
          <w:t>14</w:t>
        </w:r>
      </w:fldSimple>
      <w:r w:rsidRPr="00F27A58">
        <w:t>: Average Firm</w:t>
      </w:r>
      <w:r w:rsidR="00252C43">
        <w:noBreakHyphen/>
      </w:r>
      <w:r w:rsidRPr="00F27A58">
        <w:t>level Mark</w:t>
      </w:r>
      <w:r w:rsidR="00252C43">
        <w:noBreakHyphen/>
      </w:r>
      <w:r w:rsidRPr="00F27A58">
        <w:t>ups</w:t>
      </w:r>
      <w:r w:rsidR="00252C43">
        <w:t xml:space="preserve"> — </w:t>
      </w:r>
      <w:r>
        <w:t>Labour and Intermediate Inputs Bundled</w:t>
      </w:r>
    </w:p>
    <w:p w14:paraId="30B748AF" w14:textId="7A0AF52C" w:rsidR="009F4991" w:rsidRDefault="00047774" w:rsidP="00A22163">
      <w:pPr>
        <w:pStyle w:val="ChartGraphic"/>
        <w:rPr>
          <w:b/>
        </w:rPr>
      </w:pPr>
      <w:r w:rsidRPr="00047774">
        <w:rPr>
          <w:noProof/>
        </w:rPr>
        <w:drawing>
          <wp:inline distT="0" distB="0" distL="0" distR="0" wp14:anchorId="6FDEE437" wp14:editId="68512142">
            <wp:extent cx="5581650" cy="2438400"/>
            <wp:effectExtent l="0" t="0" r="0" b="0"/>
            <wp:docPr id="14" name="Picture 14" descr="This chart shows unweighted, sales-weighted and input-weighted mark-up estimates constructed including labour costs as intermediate inputs. All three increase over the sample, though the increase is smaller than in the preferred approach, at closer to 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1650" cy="2438400"/>
                    </a:xfrm>
                    <a:prstGeom prst="rect">
                      <a:avLst/>
                    </a:prstGeom>
                    <a:noFill/>
                    <a:ln>
                      <a:noFill/>
                    </a:ln>
                  </pic:spPr>
                </pic:pic>
              </a:graphicData>
            </a:graphic>
          </wp:inline>
        </w:drawing>
      </w:r>
    </w:p>
    <w:p w14:paraId="1B81F2A4" w14:textId="7A268765" w:rsidR="009F4991" w:rsidRDefault="009F4991" w:rsidP="00D40DF3">
      <w:pPr>
        <w:pStyle w:val="Chartnote"/>
        <w:spacing w:after="240"/>
      </w:pPr>
      <w:r>
        <w:t>Note:  Input</w:t>
      </w:r>
      <w:r w:rsidR="00252C43">
        <w:noBreakHyphen/>
      </w:r>
      <w:r>
        <w:t>weighted measures uses intermediate input measure used in constructing mark</w:t>
      </w:r>
      <w:r w:rsidR="00252C43">
        <w:noBreakHyphen/>
      </w:r>
      <w:r>
        <w:t>up estimates. Labour costs included as an intermediate input in the estimation and calculation of mark</w:t>
      </w:r>
      <w:r w:rsidR="00252C43">
        <w:noBreakHyphen/>
      </w:r>
      <w:r>
        <w:t xml:space="preserve">ups. </w:t>
      </w:r>
      <w:r w:rsidRPr="00FE45C4">
        <w:t>Treasury calculations based on ABS BLA</w:t>
      </w:r>
      <w:r>
        <w:t xml:space="preserve">DE </w:t>
      </w:r>
    </w:p>
    <w:p w14:paraId="1EA0EA61" w14:textId="188A58F1" w:rsidR="00597C3C" w:rsidRDefault="00597C3C" w:rsidP="00A22163">
      <w:pPr>
        <w:pStyle w:val="ChartMainHeading"/>
      </w:pPr>
      <w:r w:rsidRPr="00F27A58">
        <w:t xml:space="preserve">Figure </w:t>
      </w:r>
      <w:fldSimple w:instr=" SEQ Figure \* ARABIC ">
        <w:r w:rsidR="007D6DAF">
          <w:rPr>
            <w:noProof/>
          </w:rPr>
          <w:t>15</w:t>
        </w:r>
      </w:fldSimple>
      <w:r w:rsidRPr="00F27A58">
        <w:t>: Average Firm</w:t>
      </w:r>
      <w:r w:rsidR="00252C43">
        <w:noBreakHyphen/>
      </w:r>
      <w:r w:rsidRPr="00F27A58">
        <w:t>level Mark</w:t>
      </w:r>
      <w:r w:rsidR="00252C43">
        <w:noBreakHyphen/>
      </w:r>
      <w:r w:rsidRPr="00F27A58">
        <w:t>ups</w:t>
      </w:r>
      <w:r w:rsidR="00252C43">
        <w:t xml:space="preserve"> — </w:t>
      </w:r>
      <w:r>
        <w:t>Cobb</w:t>
      </w:r>
      <w:r w:rsidR="00252C43">
        <w:noBreakHyphen/>
      </w:r>
      <w:r>
        <w:t>Douglas Production Function</w:t>
      </w:r>
    </w:p>
    <w:p w14:paraId="773AE533" w14:textId="58BDE3E7" w:rsidR="00597C3C" w:rsidRDefault="00597C3C" w:rsidP="00A22163">
      <w:pPr>
        <w:pStyle w:val="ChartGraphic"/>
      </w:pPr>
      <w:r w:rsidRPr="00597C3C">
        <w:rPr>
          <w:noProof/>
        </w:rPr>
        <w:drawing>
          <wp:inline distT="0" distB="0" distL="0" distR="0" wp14:anchorId="650D623C" wp14:editId="12CE74BD">
            <wp:extent cx="5575300" cy="2517775"/>
            <wp:effectExtent l="0" t="0" r="0" b="0"/>
            <wp:docPr id="33" name="Picture 33" descr="This chart shows unweighted, sales-weighted and input-weighted mark-up estimates constructed with a Cobb-Douglas production functions, rather than a translog function as in the preferred model. Unlike the preferred model the weighted measures are lower than the unweighted, suggesting larger firms have lower mark-ups. All 3 measures of mark-ups increase, with the increases generally larger than in the preferred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75300" cy="2517775"/>
                    </a:xfrm>
                    <a:prstGeom prst="rect">
                      <a:avLst/>
                    </a:prstGeom>
                    <a:noFill/>
                    <a:ln>
                      <a:noFill/>
                    </a:ln>
                  </pic:spPr>
                </pic:pic>
              </a:graphicData>
            </a:graphic>
          </wp:inline>
        </w:drawing>
      </w:r>
    </w:p>
    <w:p w14:paraId="19083C69" w14:textId="468A14F3" w:rsidR="00597C3C" w:rsidRDefault="00597C3C" w:rsidP="00597C3C">
      <w:pPr>
        <w:pStyle w:val="Chartnote"/>
      </w:pPr>
      <w:r>
        <w:t>Note:  Input</w:t>
      </w:r>
      <w:r w:rsidR="00252C43">
        <w:noBreakHyphen/>
      </w:r>
      <w:r>
        <w:t>weighted measures uses intermediate input measure used in constructing mark</w:t>
      </w:r>
      <w:r w:rsidR="00252C43">
        <w:noBreakHyphen/>
      </w:r>
      <w:r>
        <w:t>up estimates. Estimates constructed using a Cobb</w:t>
      </w:r>
      <w:r w:rsidR="00252C43">
        <w:noBreakHyphen/>
      </w:r>
      <w:r>
        <w:t xml:space="preserve">Douglas production function instead of a </w:t>
      </w:r>
      <w:proofErr w:type="spellStart"/>
      <w:r>
        <w:t>translog</w:t>
      </w:r>
      <w:proofErr w:type="spellEnd"/>
      <w:r>
        <w:t xml:space="preserve"> function</w:t>
      </w:r>
      <w:r w:rsidR="00FE45C4">
        <w:t xml:space="preserve">. </w:t>
      </w:r>
      <w:r w:rsidR="00FE45C4" w:rsidRPr="00FE45C4">
        <w:t>Treasury calculations based on ABS BLA</w:t>
      </w:r>
      <w:r w:rsidR="00FE45C4">
        <w:t>DE</w:t>
      </w:r>
      <w:r>
        <w:t xml:space="preserve"> </w:t>
      </w:r>
    </w:p>
    <w:p w14:paraId="07DD0444" w14:textId="77777777" w:rsidR="00597C3C" w:rsidRPr="006C785D" w:rsidRDefault="00597C3C" w:rsidP="00743BA0">
      <w:pPr>
        <w:rPr>
          <w:b/>
        </w:rPr>
      </w:pPr>
    </w:p>
    <w:p w14:paraId="4E083B9D" w14:textId="52F289CC" w:rsidR="009F4991" w:rsidRDefault="009F4991" w:rsidP="00A22163">
      <w:pPr>
        <w:pStyle w:val="ChartMainHeading"/>
      </w:pPr>
      <w:r w:rsidRPr="00F27A58">
        <w:lastRenderedPageBreak/>
        <w:t xml:space="preserve">Figure </w:t>
      </w:r>
      <w:fldSimple w:instr=" SEQ Figure \* ARABIC ">
        <w:r w:rsidR="007D6DAF">
          <w:rPr>
            <w:noProof/>
          </w:rPr>
          <w:t>16</w:t>
        </w:r>
      </w:fldSimple>
      <w:r w:rsidRPr="00F27A58">
        <w:t xml:space="preserve">: </w:t>
      </w:r>
      <w:r w:rsidR="0082310E" w:rsidRPr="00F27A58">
        <w:t>Average Firm</w:t>
      </w:r>
      <w:r w:rsidR="00252C43">
        <w:noBreakHyphen/>
      </w:r>
      <w:r w:rsidR="0082310E" w:rsidRPr="00F27A58">
        <w:t>level Mark</w:t>
      </w:r>
      <w:r w:rsidR="00252C43">
        <w:noBreakHyphen/>
      </w:r>
      <w:r w:rsidR="0082310E" w:rsidRPr="00F27A58">
        <w:t>ups</w:t>
      </w:r>
      <w:r w:rsidR="00252C43">
        <w:t xml:space="preserve"> — </w:t>
      </w:r>
      <w:r w:rsidR="0082310E">
        <w:t xml:space="preserve">Fixed </w:t>
      </w:r>
      <w:r w:rsidR="00A22163">
        <w:t>Costs Bundled with Intermediate </w:t>
      </w:r>
      <w:r w:rsidR="0082310E">
        <w:t>Inputs</w:t>
      </w:r>
    </w:p>
    <w:p w14:paraId="6865AC63" w14:textId="558FA321" w:rsidR="009F4991" w:rsidRDefault="00047774" w:rsidP="00A22163">
      <w:pPr>
        <w:pStyle w:val="ChartGraphic"/>
      </w:pPr>
      <w:r w:rsidRPr="00047774">
        <w:rPr>
          <w:noProof/>
        </w:rPr>
        <w:drawing>
          <wp:inline distT="0" distB="0" distL="0" distR="0" wp14:anchorId="6CAD5603" wp14:editId="0E5F7657">
            <wp:extent cx="5581650" cy="2432050"/>
            <wp:effectExtent l="0" t="0" r="0" b="0"/>
            <wp:docPr id="12" name="Picture 12" descr="This chart shows unweighted, sales-weighted and input-weighted mark-up estimates constructed by including costs fixed costs in the intermediate inputs, which are excluded in the preferred model. All 3 measures of mark-ups increase, with the increases generally slightly smaller than in the preferred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81650" cy="2432050"/>
                    </a:xfrm>
                    <a:prstGeom prst="rect">
                      <a:avLst/>
                    </a:prstGeom>
                    <a:noFill/>
                    <a:ln>
                      <a:noFill/>
                    </a:ln>
                  </pic:spPr>
                </pic:pic>
              </a:graphicData>
            </a:graphic>
          </wp:inline>
        </w:drawing>
      </w:r>
    </w:p>
    <w:p w14:paraId="2EE6A8AC" w14:textId="5A653E61" w:rsidR="0082310E" w:rsidRDefault="0082310E" w:rsidP="00D40DF3">
      <w:pPr>
        <w:pStyle w:val="Chartnote"/>
        <w:spacing w:after="240"/>
      </w:pPr>
      <w:r>
        <w:t>Note:  Input</w:t>
      </w:r>
      <w:r w:rsidR="00252C43">
        <w:noBreakHyphen/>
      </w:r>
      <w:r>
        <w:t>weighted measures uses intermediate input measure used in constructing mark</w:t>
      </w:r>
      <w:r w:rsidR="00252C43">
        <w:noBreakHyphen/>
      </w:r>
      <w:r>
        <w:t>up estimates. Fixed costs included as an intermediate input in the estimation and calculation of mark</w:t>
      </w:r>
      <w:r w:rsidR="00252C43">
        <w:noBreakHyphen/>
      </w:r>
      <w:r>
        <w:t xml:space="preserve">ups. </w:t>
      </w:r>
      <w:r w:rsidRPr="00FE45C4">
        <w:t>Treasury calculations based on ABS BLA</w:t>
      </w:r>
      <w:r>
        <w:t xml:space="preserve">DE </w:t>
      </w:r>
    </w:p>
    <w:p w14:paraId="6B80A2D3" w14:textId="25B1440C" w:rsidR="0082310E" w:rsidRDefault="0082310E" w:rsidP="00A22163">
      <w:pPr>
        <w:pStyle w:val="ChartMainHeading"/>
      </w:pPr>
      <w:r w:rsidRPr="00F27A58">
        <w:t xml:space="preserve">Figure </w:t>
      </w:r>
      <w:fldSimple w:instr=" SEQ Figure \* ARABIC ">
        <w:r w:rsidR="007D6DAF">
          <w:rPr>
            <w:noProof/>
          </w:rPr>
          <w:t>17</w:t>
        </w:r>
      </w:fldSimple>
      <w:r w:rsidRPr="00F27A58">
        <w:t>: Average Firm</w:t>
      </w:r>
      <w:r w:rsidR="00252C43">
        <w:noBreakHyphen/>
      </w:r>
      <w:r w:rsidRPr="00F27A58">
        <w:t>level Mark</w:t>
      </w:r>
      <w:r w:rsidR="00252C43">
        <w:noBreakHyphen/>
      </w:r>
      <w:r w:rsidRPr="00F27A58">
        <w:t>ups</w:t>
      </w:r>
      <w:r w:rsidR="00252C43">
        <w:t xml:space="preserve"> — </w:t>
      </w:r>
      <w:r>
        <w:t>F</w:t>
      </w:r>
      <w:r w:rsidR="00A22163">
        <w:t>ixed Costs Included as Separate </w:t>
      </w:r>
      <w:r>
        <w:t>Input</w:t>
      </w:r>
    </w:p>
    <w:p w14:paraId="40F35C88" w14:textId="1AB16B21" w:rsidR="0082310E" w:rsidRDefault="00856C5C" w:rsidP="00D40DF3">
      <w:pPr>
        <w:spacing w:after="0"/>
      </w:pPr>
      <w:r w:rsidRPr="00856C5C">
        <w:rPr>
          <w:noProof/>
          <w:lang w:eastAsia="en-AU"/>
        </w:rPr>
        <w:drawing>
          <wp:inline distT="0" distB="0" distL="0" distR="0" wp14:anchorId="14398E16" wp14:editId="6984CD00">
            <wp:extent cx="5651500" cy="2438400"/>
            <wp:effectExtent l="0" t="0" r="6350" b="0"/>
            <wp:docPr id="9" name="Picture 9" descr="This chart shows unweighted, sales-weighted and input-weighted mark-up estimates constructed including fixed costs as an additional separate input in the production function. The unweighted and sales-weighted measures of mark-ups increase, with the increases generally slightly smaller than in the preferred specification. The input-weighted measure is broadly un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51500" cy="2438400"/>
                    </a:xfrm>
                    <a:prstGeom prst="rect">
                      <a:avLst/>
                    </a:prstGeom>
                    <a:noFill/>
                    <a:ln>
                      <a:noFill/>
                    </a:ln>
                  </pic:spPr>
                </pic:pic>
              </a:graphicData>
            </a:graphic>
          </wp:inline>
        </w:drawing>
      </w:r>
    </w:p>
    <w:p w14:paraId="5331AC31" w14:textId="1B816950" w:rsidR="0082310E" w:rsidRDefault="0082310E" w:rsidP="0082310E">
      <w:pPr>
        <w:pStyle w:val="Chartnote"/>
      </w:pPr>
      <w:r>
        <w:t>Note:  Input</w:t>
      </w:r>
      <w:r w:rsidR="00252C43">
        <w:noBreakHyphen/>
      </w:r>
      <w:r>
        <w:t>weighted measures uses intermediate input measure used in constructing mark</w:t>
      </w:r>
      <w:r w:rsidR="00252C43">
        <w:noBreakHyphen/>
      </w:r>
      <w:r>
        <w:t>up estimates. Fixed costs included as an extra input in production function in the estimation and calculation of mark</w:t>
      </w:r>
      <w:r w:rsidR="00252C43">
        <w:noBreakHyphen/>
      </w:r>
      <w:r>
        <w:t xml:space="preserve">ups. </w:t>
      </w:r>
      <w:r w:rsidRPr="00FE45C4">
        <w:t>Treasury calculations based on ABS BLA</w:t>
      </w:r>
      <w:r>
        <w:t xml:space="preserve">DE </w:t>
      </w:r>
    </w:p>
    <w:p w14:paraId="5F63854F" w14:textId="27F28454" w:rsidR="00B02A1F" w:rsidRDefault="00B02A1F" w:rsidP="00A22163">
      <w:pPr>
        <w:pStyle w:val="ChartMainHeading"/>
      </w:pPr>
      <w:r w:rsidRPr="00F27A58">
        <w:lastRenderedPageBreak/>
        <w:t xml:space="preserve">Figure </w:t>
      </w:r>
      <w:fldSimple w:instr=" SEQ Figure \* ARABIC ">
        <w:r w:rsidR="007D6DAF">
          <w:rPr>
            <w:noProof/>
          </w:rPr>
          <w:t>18</w:t>
        </w:r>
      </w:fldSimple>
      <w:r w:rsidRPr="00F27A58">
        <w:t>: Average Firm</w:t>
      </w:r>
      <w:r w:rsidR="00252C43">
        <w:noBreakHyphen/>
      </w:r>
      <w:r w:rsidRPr="00F27A58">
        <w:t>level</w:t>
      </w:r>
      <w:r>
        <w:t xml:space="preserve"> Excess</w:t>
      </w:r>
      <w:r w:rsidRPr="00F27A58">
        <w:t xml:space="preserve"> Mark</w:t>
      </w:r>
      <w:r w:rsidR="00252C43">
        <w:noBreakHyphen/>
      </w:r>
      <w:r w:rsidRPr="00F27A58">
        <w:t>ups</w:t>
      </w:r>
      <w:r>
        <w:t xml:space="preserve"> </w:t>
      </w:r>
    </w:p>
    <w:p w14:paraId="41B3668E" w14:textId="07346C84" w:rsidR="00FD074C" w:rsidRDefault="00B02A1F" w:rsidP="00A22163">
      <w:pPr>
        <w:pStyle w:val="ChartGraphic"/>
      </w:pPr>
      <w:r w:rsidRPr="00B02A1F">
        <w:rPr>
          <w:noProof/>
        </w:rPr>
        <w:drawing>
          <wp:inline distT="0" distB="0" distL="0" distR="0" wp14:anchorId="2AFA9D87" wp14:editId="291677B7">
            <wp:extent cx="5572125" cy="2514600"/>
            <wp:effectExtent l="0" t="0" r="0" b="0"/>
            <wp:docPr id="5" name="Picture 5" descr="This chart shows unweighted, sales-weighted and input-weighted estimates of the excess mark-up, the difference between the observed mark-up and the mark-up required to cover fixed costs. The unweighted metric increases consistently over the sample, and rises by around 0.04. The sales-weighted and input weighted measure increase sharply in the first few years of the sample, from 2004 to 2007, before declining, but overall increase by around 0.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2125" cy="2514600"/>
                    </a:xfrm>
                    <a:prstGeom prst="rect">
                      <a:avLst/>
                    </a:prstGeom>
                    <a:noFill/>
                    <a:ln>
                      <a:noFill/>
                    </a:ln>
                  </pic:spPr>
                </pic:pic>
              </a:graphicData>
            </a:graphic>
          </wp:inline>
        </w:drawing>
      </w:r>
    </w:p>
    <w:p w14:paraId="2382AACE" w14:textId="4FDA9994" w:rsidR="00B02A1F" w:rsidRDefault="00B02A1F" w:rsidP="00B02A1F">
      <w:pPr>
        <w:pStyle w:val="Chartnote"/>
      </w:pPr>
      <w:r>
        <w:t>Note:  Input</w:t>
      </w:r>
      <w:r w:rsidR="00252C43">
        <w:noBreakHyphen/>
      </w:r>
      <w:r>
        <w:t>weighted measures uses intermediate input measure used in constructing mark</w:t>
      </w:r>
      <w:r w:rsidR="00252C43">
        <w:noBreakHyphen/>
      </w:r>
      <w:r>
        <w:t xml:space="preserve">up estimates. </w:t>
      </w:r>
      <w:r w:rsidRPr="00FE45C4">
        <w:t xml:space="preserve">Treasury calculations based on ABS </w:t>
      </w:r>
      <w:proofErr w:type="gramStart"/>
      <w:r w:rsidRPr="00FE45C4">
        <w:t>BLA</w:t>
      </w:r>
      <w:r>
        <w:t>DE .</w:t>
      </w:r>
      <w:proofErr w:type="gramEnd"/>
    </w:p>
    <w:p w14:paraId="512DC604" w14:textId="77777777" w:rsidR="00B02A1F" w:rsidRPr="00743BA0" w:rsidRDefault="00B02A1F" w:rsidP="00A22163">
      <w:pPr>
        <w:pStyle w:val="SingleParagrap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2254"/>
        <w:gridCol w:w="2254"/>
        <w:gridCol w:w="2254"/>
      </w:tblGrid>
      <w:tr w:rsidR="00743BA0" w14:paraId="138390E1" w14:textId="77777777" w:rsidTr="007D5D87">
        <w:tc>
          <w:tcPr>
            <w:tcW w:w="9016" w:type="dxa"/>
            <w:gridSpan w:val="4"/>
            <w:tcBorders>
              <w:top w:val="nil"/>
            </w:tcBorders>
          </w:tcPr>
          <w:p w14:paraId="71CAFE1D" w14:textId="43939AAF" w:rsidR="00743BA0" w:rsidRPr="00FB64AB" w:rsidRDefault="00743BA0" w:rsidP="00A22163">
            <w:pPr>
              <w:pStyle w:val="TableMainHeading"/>
            </w:pPr>
            <w:r w:rsidRPr="00FB64AB">
              <w:t xml:space="preserve">Table </w:t>
            </w:r>
            <w:r w:rsidR="00B02A1F">
              <w:t>C1</w:t>
            </w:r>
            <w:r w:rsidRPr="00FB64AB">
              <w:t>: Mark</w:t>
            </w:r>
            <w:r w:rsidR="00252C43">
              <w:noBreakHyphen/>
            </w:r>
            <w:r w:rsidRPr="00FB64AB">
              <w:t>up correlates</w:t>
            </w:r>
          </w:p>
        </w:tc>
      </w:tr>
      <w:tr w:rsidR="00743BA0" w14:paraId="6D0E0F71" w14:textId="77777777" w:rsidTr="007F2E4A">
        <w:tc>
          <w:tcPr>
            <w:tcW w:w="2254" w:type="dxa"/>
          </w:tcPr>
          <w:p w14:paraId="3959C268" w14:textId="77777777" w:rsidR="00743BA0" w:rsidRDefault="00743BA0" w:rsidP="007F2E4A"/>
        </w:tc>
        <w:tc>
          <w:tcPr>
            <w:tcW w:w="2254" w:type="dxa"/>
          </w:tcPr>
          <w:p w14:paraId="4383F23D" w14:textId="77777777" w:rsidR="00743BA0" w:rsidRDefault="00743BA0" w:rsidP="007F2E4A">
            <w:pPr>
              <w:jc w:val="center"/>
            </w:pPr>
            <w:r>
              <w:t>No FE</w:t>
            </w:r>
            <w:r>
              <w:br/>
              <w:t>(1)</w:t>
            </w:r>
          </w:p>
        </w:tc>
        <w:tc>
          <w:tcPr>
            <w:tcW w:w="2254" w:type="dxa"/>
          </w:tcPr>
          <w:p w14:paraId="2E23EF24" w14:textId="7C80ACA2" w:rsidR="00743BA0" w:rsidRDefault="00743BA0" w:rsidP="007D5D87">
            <w:pPr>
              <w:jc w:val="center"/>
            </w:pPr>
            <w:r>
              <w:t>Industry FE</w:t>
            </w:r>
            <w:r w:rsidR="007D5D87">
              <w:br/>
            </w:r>
            <w:r>
              <w:t>(2)</w:t>
            </w:r>
          </w:p>
        </w:tc>
        <w:tc>
          <w:tcPr>
            <w:tcW w:w="2254" w:type="dxa"/>
          </w:tcPr>
          <w:p w14:paraId="37A5C1F1" w14:textId="6B8A7C34" w:rsidR="00743BA0" w:rsidRDefault="00743BA0" w:rsidP="007D5D87">
            <w:pPr>
              <w:jc w:val="center"/>
            </w:pPr>
            <w:r>
              <w:t>Firm FE</w:t>
            </w:r>
            <w:r w:rsidR="007D5D87">
              <w:br/>
            </w:r>
            <w:r>
              <w:t>(3)</w:t>
            </w:r>
          </w:p>
        </w:tc>
      </w:tr>
      <w:tr w:rsidR="00743BA0" w14:paraId="3FF905C2" w14:textId="77777777" w:rsidTr="007F2E4A">
        <w:tc>
          <w:tcPr>
            <w:tcW w:w="2254" w:type="dxa"/>
          </w:tcPr>
          <w:p w14:paraId="4F735A89" w14:textId="77777777" w:rsidR="00743BA0" w:rsidRPr="007D5D87" w:rsidRDefault="00743BA0" w:rsidP="007F2E4A">
            <w:pPr>
              <w:rPr>
                <w:i/>
              </w:rPr>
            </w:pPr>
            <w:r w:rsidRPr="007D5D87">
              <w:rPr>
                <w:i/>
              </w:rPr>
              <w:t>Share of industry sales</w:t>
            </w:r>
          </w:p>
        </w:tc>
        <w:tc>
          <w:tcPr>
            <w:tcW w:w="2254" w:type="dxa"/>
          </w:tcPr>
          <w:p w14:paraId="1765169C" w14:textId="77777777" w:rsidR="00743BA0" w:rsidRDefault="00743BA0" w:rsidP="007F2E4A">
            <w:pPr>
              <w:jc w:val="center"/>
            </w:pPr>
            <w:r>
              <w:t>2.62***</w:t>
            </w:r>
          </w:p>
        </w:tc>
        <w:tc>
          <w:tcPr>
            <w:tcW w:w="2254" w:type="dxa"/>
          </w:tcPr>
          <w:p w14:paraId="1C21142C" w14:textId="77777777" w:rsidR="00743BA0" w:rsidRDefault="00743BA0" w:rsidP="007F2E4A">
            <w:pPr>
              <w:jc w:val="center"/>
            </w:pPr>
            <w:r>
              <w:t>4.15***</w:t>
            </w:r>
          </w:p>
        </w:tc>
        <w:tc>
          <w:tcPr>
            <w:tcW w:w="2254" w:type="dxa"/>
          </w:tcPr>
          <w:p w14:paraId="3C0FA9FC" w14:textId="77777777" w:rsidR="00743BA0" w:rsidRDefault="00743BA0" w:rsidP="007F2E4A">
            <w:pPr>
              <w:jc w:val="center"/>
            </w:pPr>
            <w:r>
              <w:t>2.60***</w:t>
            </w:r>
          </w:p>
        </w:tc>
      </w:tr>
      <w:tr w:rsidR="00743BA0" w14:paraId="70E7AFD5" w14:textId="77777777" w:rsidTr="007F2E4A">
        <w:tc>
          <w:tcPr>
            <w:tcW w:w="2254" w:type="dxa"/>
          </w:tcPr>
          <w:p w14:paraId="4F5EBBD1" w14:textId="77777777" w:rsidR="00743BA0" w:rsidRPr="007D5D87" w:rsidRDefault="00743BA0" w:rsidP="007F2E4A">
            <w:pPr>
              <w:rPr>
                <w:i/>
              </w:rPr>
            </w:pPr>
            <w:r w:rsidRPr="007D5D87">
              <w:rPr>
                <w:i/>
              </w:rPr>
              <w:t>Fixed input share</w:t>
            </w:r>
          </w:p>
        </w:tc>
        <w:tc>
          <w:tcPr>
            <w:tcW w:w="2254" w:type="dxa"/>
          </w:tcPr>
          <w:p w14:paraId="005820B0" w14:textId="77777777" w:rsidR="00743BA0" w:rsidRDefault="00743BA0" w:rsidP="007F2E4A">
            <w:pPr>
              <w:jc w:val="center"/>
            </w:pPr>
            <w:r>
              <w:t>0.16***</w:t>
            </w:r>
          </w:p>
        </w:tc>
        <w:tc>
          <w:tcPr>
            <w:tcW w:w="2254" w:type="dxa"/>
          </w:tcPr>
          <w:p w14:paraId="4FEAB8A8" w14:textId="77777777" w:rsidR="00743BA0" w:rsidRDefault="00743BA0" w:rsidP="007F2E4A">
            <w:pPr>
              <w:jc w:val="center"/>
            </w:pPr>
            <w:r>
              <w:t>0.05***</w:t>
            </w:r>
          </w:p>
        </w:tc>
        <w:tc>
          <w:tcPr>
            <w:tcW w:w="2254" w:type="dxa"/>
          </w:tcPr>
          <w:p w14:paraId="7ABAF220" w14:textId="77777777" w:rsidR="00743BA0" w:rsidRDefault="00743BA0" w:rsidP="007F2E4A">
            <w:pPr>
              <w:jc w:val="center"/>
            </w:pPr>
            <w:r>
              <w:t>0.10***</w:t>
            </w:r>
          </w:p>
        </w:tc>
      </w:tr>
      <w:tr w:rsidR="00743BA0" w14:paraId="64E9B19F" w14:textId="77777777" w:rsidTr="007F2E4A">
        <w:tc>
          <w:tcPr>
            <w:tcW w:w="2254" w:type="dxa"/>
          </w:tcPr>
          <w:p w14:paraId="0351621D" w14:textId="77777777" w:rsidR="00743BA0" w:rsidRPr="007D5D87" w:rsidRDefault="00743BA0" w:rsidP="007F2E4A">
            <w:pPr>
              <w:rPr>
                <w:i/>
              </w:rPr>
            </w:pPr>
            <w:r w:rsidRPr="007D5D87">
              <w:rPr>
                <w:i/>
              </w:rPr>
              <w:t>Productivity</w:t>
            </w:r>
          </w:p>
        </w:tc>
        <w:tc>
          <w:tcPr>
            <w:tcW w:w="2254" w:type="dxa"/>
          </w:tcPr>
          <w:p w14:paraId="642D9D05" w14:textId="77777777" w:rsidR="00743BA0" w:rsidRDefault="00743BA0" w:rsidP="007F2E4A">
            <w:pPr>
              <w:jc w:val="center"/>
            </w:pPr>
            <w:r>
              <w:t>0.32***</w:t>
            </w:r>
          </w:p>
        </w:tc>
        <w:tc>
          <w:tcPr>
            <w:tcW w:w="2254" w:type="dxa"/>
          </w:tcPr>
          <w:p w14:paraId="44EDA248" w14:textId="77777777" w:rsidR="00743BA0" w:rsidRDefault="00743BA0" w:rsidP="007F2E4A">
            <w:pPr>
              <w:jc w:val="center"/>
            </w:pPr>
            <w:r>
              <w:t>0.85***</w:t>
            </w:r>
          </w:p>
        </w:tc>
        <w:tc>
          <w:tcPr>
            <w:tcW w:w="2254" w:type="dxa"/>
          </w:tcPr>
          <w:p w14:paraId="6B77905A" w14:textId="77777777" w:rsidR="00743BA0" w:rsidRDefault="00743BA0" w:rsidP="007F2E4A">
            <w:pPr>
              <w:jc w:val="center"/>
            </w:pPr>
            <w:r>
              <w:t>1.15***</w:t>
            </w:r>
          </w:p>
        </w:tc>
      </w:tr>
      <w:tr w:rsidR="00743BA0" w14:paraId="18621725" w14:textId="77777777" w:rsidTr="007F2E4A">
        <w:tc>
          <w:tcPr>
            <w:tcW w:w="2254" w:type="dxa"/>
          </w:tcPr>
          <w:p w14:paraId="74501460" w14:textId="77777777" w:rsidR="00743BA0" w:rsidRPr="007D5D87" w:rsidRDefault="00743BA0" w:rsidP="007F2E4A">
            <w:pPr>
              <w:rPr>
                <w:i/>
              </w:rPr>
            </w:pPr>
            <w:r w:rsidRPr="007D5D87">
              <w:rPr>
                <w:i/>
              </w:rPr>
              <w:t>Observations</w:t>
            </w:r>
          </w:p>
        </w:tc>
        <w:tc>
          <w:tcPr>
            <w:tcW w:w="2254" w:type="dxa"/>
          </w:tcPr>
          <w:p w14:paraId="3F2A8B21" w14:textId="078BEC7E" w:rsidR="00743BA0" w:rsidRDefault="00394F59" w:rsidP="007F2E4A">
            <w:pPr>
              <w:jc w:val="center"/>
            </w:pPr>
            <w:r>
              <w:t>~3m</w:t>
            </w:r>
          </w:p>
        </w:tc>
        <w:tc>
          <w:tcPr>
            <w:tcW w:w="2254" w:type="dxa"/>
          </w:tcPr>
          <w:p w14:paraId="5E284C53" w14:textId="46812F72" w:rsidR="00743BA0" w:rsidRDefault="00394F59" w:rsidP="007F2E4A">
            <w:pPr>
              <w:jc w:val="center"/>
            </w:pPr>
            <w:r>
              <w:t>~3m</w:t>
            </w:r>
          </w:p>
        </w:tc>
        <w:tc>
          <w:tcPr>
            <w:tcW w:w="2254" w:type="dxa"/>
          </w:tcPr>
          <w:p w14:paraId="4B04F61A" w14:textId="6C4F8609" w:rsidR="00743BA0" w:rsidRDefault="00394F59" w:rsidP="007F2E4A">
            <w:pPr>
              <w:jc w:val="center"/>
            </w:pPr>
            <w:r>
              <w:t>~3m</w:t>
            </w:r>
          </w:p>
        </w:tc>
      </w:tr>
    </w:tbl>
    <w:p w14:paraId="061E95CD" w14:textId="48FBAAD0" w:rsidR="00743BA0" w:rsidRPr="00FB64AB" w:rsidRDefault="00743BA0" w:rsidP="00743BA0">
      <w:pPr>
        <w:rPr>
          <w:sz w:val="18"/>
        </w:rPr>
      </w:pPr>
      <w:r>
        <w:rPr>
          <w:sz w:val="18"/>
        </w:rPr>
        <w:t>Notes: *** p&lt;0.01, ** p&lt;0.05, *p&lt;0.</w:t>
      </w:r>
      <w:r w:rsidRPr="00C9549C">
        <w:rPr>
          <w:sz w:val="18"/>
        </w:rPr>
        <w:t xml:space="preserve">1. All specifications have year fixed effects. Errors robust to autocorrelation and </w:t>
      </w:r>
      <w:r>
        <w:rPr>
          <w:sz w:val="18"/>
        </w:rPr>
        <w:t>heteroscedasticity. Productivity if MFP from the production function estimation. Results robust to using labour productivity.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2254"/>
        <w:gridCol w:w="2254"/>
        <w:gridCol w:w="2254"/>
      </w:tblGrid>
      <w:tr w:rsidR="00394F59" w14:paraId="04092B61" w14:textId="77777777" w:rsidTr="00862E71">
        <w:tc>
          <w:tcPr>
            <w:tcW w:w="9016" w:type="dxa"/>
            <w:gridSpan w:val="4"/>
            <w:tcBorders>
              <w:top w:val="nil"/>
            </w:tcBorders>
          </w:tcPr>
          <w:p w14:paraId="46F6C5A5" w14:textId="09692DDC" w:rsidR="00394F59" w:rsidRPr="00FB64AB" w:rsidRDefault="00394F59" w:rsidP="00A22163">
            <w:pPr>
              <w:pStyle w:val="TableMainHeading"/>
            </w:pPr>
            <w:r w:rsidRPr="00FB64AB">
              <w:t xml:space="preserve">Table </w:t>
            </w:r>
            <w:r>
              <w:t>C2</w:t>
            </w:r>
            <w:r w:rsidRPr="00FB64AB">
              <w:t xml:space="preserve">: </w:t>
            </w:r>
            <w:r>
              <w:t>Variable input cost share</w:t>
            </w:r>
            <w:r w:rsidRPr="00FB64AB">
              <w:t xml:space="preserve"> correlates</w:t>
            </w:r>
          </w:p>
        </w:tc>
      </w:tr>
      <w:tr w:rsidR="00394F59" w14:paraId="6A3362D2" w14:textId="77777777" w:rsidTr="00862E71">
        <w:tc>
          <w:tcPr>
            <w:tcW w:w="2254" w:type="dxa"/>
          </w:tcPr>
          <w:p w14:paraId="6ED1D2F2" w14:textId="77777777" w:rsidR="00394F59" w:rsidRDefault="00394F59" w:rsidP="00862E71"/>
        </w:tc>
        <w:tc>
          <w:tcPr>
            <w:tcW w:w="2254" w:type="dxa"/>
          </w:tcPr>
          <w:p w14:paraId="02967C4A" w14:textId="77777777" w:rsidR="00394F59" w:rsidRDefault="00394F59" w:rsidP="00862E71">
            <w:pPr>
              <w:jc w:val="center"/>
            </w:pPr>
            <w:r>
              <w:t>No FE</w:t>
            </w:r>
            <w:r>
              <w:br/>
              <w:t>(1)</w:t>
            </w:r>
          </w:p>
        </w:tc>
        <w:tc>
          <w:tcPr>
            <w:tcW w:w="2254" w:type="dxa"/>
          </w:tcPr>
          <w:p w14:paraId="622AC56C" w14:textId="77777777" w:rsidR="00394F59" w:rsidRDefault="00394F59" w:rsidP="00862E71">
            <w:pPr>
              <w:jc w:val="center"/>
            </w:pPr>
            <w:r>
              <w:t>Industry FE</w:t>
            </w:r>
            <w:r>
              <w:br/>
              <w:t>(2)</w:t>
            </w:r>
          </w:p>
        </w:tc>
        <w:tc>
          <w:tcPr>
            <w:tcW w:w="2254" w:type="dxa"/>
          </w:tcPr>
          <w:p w14:paraId="1DE4B653" w14:textId="77777777" w:rsidR="00394F59" w:rsidRDefault="00394F59" w:rsidP="00862E71">
            <w:pPr>
              <w:jc w:val="center"/>
            </w:pPr>
            <w:r>
              <w:t>Firm FE</w:t>
            </w:r>
            <w:r>
              <w:br/>
              <w:t>(3)</w:t>
            </w:r>
          </w:p>
        </w:tc>
      </w:tr>
      <w:tr w:rsidR="00394F59" w14:paraId="18689A7B" w14:textId="77777777" w:rsidTr="00862E71">
        <w:tc>
          <w:tcPr>
            <w:tcW w:w="2254" w:type="dxa"/>
          </w:tcPr>
          <w:p w14:paraId="5062F5DE" w14:textId="77777777" w:rsidR="00394F59" w:rsidRPr="007D5D87" w:rsidRDefault="00394F59" w:rsidP="00862E71">
            <w:pPr>
              <w:rPr>
                <w:i/>
              </w:rPr>
            </w:pPr>
            <w:r w:rsidRPr="007D5D87">
              <w:rPr>
                <w:i/>
              </w:rPr>
              <w:t>Share of industry sales</w:t>
            </w:r>
          </w:p>
        </w:tc>
        <w:tc>
          <w:tcPr>
            <w:tcW w:w="2254" w:type="dxa"/>
          </w:tcPr>
          <w:p w14:paraId="7F7F2ED8" w14:textId="49D957D3" w:rsidR="00394F59" w:rsidRDefault="00394F59" w:rsidP="00862E71">
            <w:pPr>
              <w:jc w:val="center"/>
            </w:pPr>
            <w:r>
              <w:t>0.91***</w:t>
            </w:r>
          </w:p>
        </w:tc>
        <w:tc>
          <w:tcPr>
            <w:tcW w:w="2254" w:type="dxa"/>
          </w:tcPr>
          <w:p w14:paraId="4D351592" w14:textId="1E737B00" w:rsidR="00394F59" w:rsidRDefault="00252C43" w:rsidP="00394F59">
            <w:pPr>
              <w:jc w:val="center"/>
            </w:pPr>
            <w:r>
              <w:noBreakHyphen/>
            </w:r>
            <w:r w:rsidR="00394F59">
              <w:t>0.08</w:t>
            </w:r>
          </w:p>
        </w:tc>
        <w:tc>
          <w:tcPr>
            <w:tcW w:w="2254" w:type="dxa"/>
          </w:tcPr>
          <w:p w14:paraId="08895AAF" w14:textId="416F6C7E" w:rsidR="00394F59" w:rsidRDefault="00252C43" w:rsidP="00862E71">
            <w:pPr>
              <w:jc w:val="center"/>
            </w:pPr>
            <w:r>
              <w:noBreakHyphen/>
            </w:r>
            <w:r w:rsidR="00394F59">
              <w:t>0.363***</w:t>
            </w:r>
          </w:p>
        </w:tc>
      </w:tr>
      <w:tr w:rsidR="00394F59" w14:paraId="727CCEE5" w14:textId="77777777" w:rsidTr="00862E71">
        <w:tc>
          <w:tcPr>
            <w:tcW w:w="2254" w:type="dxa"/>
          </w:tcPr>
          <w:p w14:paraId="7FFB2F48" w14:textId="77777777" w:rsidR="00394F59" w:rsidRPr="007D5D87" w:rsidRDefault="00394F59" w:rsidP="00862E71">
            <w:pPr>
              <w:rPr>
                <w:i/>
              </w:rPr>
            </w:pPr>
            <w:r w:rsidRPr="007D5D87">
              <w:rPr>
                <w:i/>
              </w:rPr>
              <w:t>Fixed input share</w:t>
            </w:r>
          </w:p>
        </w:tc>
        <w:tc>
          <w:tcPr>
            <w:tcW w:w="2254" w:type="dxa"/>
          </w:tcPr>
          <w:p w14:paraId="6251CBC0" w14:textId="6140A3BE" w:rsidR="00394F59" w:rsidRDefault="00252C43" w:rsidP="00862E71">
            <w:pPr>
              <w:jc w:val="center"/>
            </w:pPr>
            <w:r>
              <w:noBreakHyphen/>
            </w:r>
            <w:r w:rsidR="00394F59">
              <w:t>0.29***</w:t>
            </w:r>
          </w:p>
        </w:tc>
        <w:tc>
          <w:tcPr>
            <w:tcW w:w="2254" w:type="dxa"/>
          </w:tcPr>
          <w:p w14:paraId="7702627B" w14:textId="4E39E086" w:rsidR="00394F59" w:rsidRDefault="00252C43" w:rsidP="00862E71">
            <w:pPr>
              <w:jc w:val="center"/>
            </w:pPr>
            <w:r>
              <w:noBreakHyphen/>
            </w:r>
            <w:r w:rsidR="00394F59">
              <w:t>0.21***</w:t>
            </w:r>
          </w:p>
        </w:tc>
        <w:tc>
          <w:tcPr>
            <w:tcW w:w="2254" w:type="dxa"/>
          </w:tcPr>
          <w:p w14:paraId="318911CE" w14:textId="1F5314F5" w:rsidR="00394F59" w:rsidRDefault="00252C43" w:rsidP="00862E71">
            <w:pPr>
              <w:jc w:val="center"/>
            </w:pPr>
            <w:r>
              <w:noBreakHyphen/>
            </w:r>
            <w:r w:rsidR="00394F59">
              <w:t>0.23***</w:t>
            </w:r>
          </w:p>
        </w:tc>
      </w:tr>
      <w:tr w:rsidR="00394F59" w14:paraId="2966CF04" w14:textId="77777777" w:rsidTr="00862E71">
        <w:tc>
          <w:tcPr>
            <w:tcW w:w="2254" w:type="dxa"/>
          </w:tcPr>
          <w:p w14:paraId="391A16D6" w14:textId="77777777" w:rsidR="00394F59" w:rsidRPr="007D5D87" w:rsidRDefault="00394F59" w:rsidP="00862E71">
            <w:pPr>
              <w:rPr>
                <w:i/>
              </w:rPr>
            </w:pPr>
            <w:r w:rsidRPr="007D5D87">
              <w:rPr>
                <w:i/>
              </w:rPr>
              <w:t>Productivity</w:t>
            </w:r>
          </w:p>
        </w:tc>
        <w:tc>
          <w:tcPr>
            <w:tcW w:w="2254" w:type="dxa"/>
          </w:tcPr>
          <w:p w14:paraId="38EADC18" w14:textId="2C8B2DD2" w:rsidR="00394F59" w:rsidRDefault="00252C43" w:rsidP="00862E71">
            <w:pPr>
              <w:jc w:val="center"/>
            </w:pPr>
            <w:r>
              <w:noBreakHyphen/>
            </w:r>
            <w:r w:rsidR="00394F59">
              <w:t>0.14***</w:t>
            </w:r>
          </w:p>
        </w:tc>
        <w:tc>
          <w:tcPr>
            <w:tcW w:w="2254" w:type="dxa"/>
          </w:tcPr>
          <w:p w14:paraId="250A6215" w14:textId="5A416962" w:rsidR="00394F59" w:rsidRDefault="00252C43" w:rsidP="00862E71">
            <w:pPr>
              <w:jc w:val="center"/>
            </w:pPr>
            <w:r>
              <w:noBreakHyphen/>
            </w:r>
            <w:r w:rsidR="00394F59">
              <w:t>0.38***</w:t>
            </w:r>
          </w:p>
        </w:tc>
        <w:tc>
          <w:tcPr>
            <w:tcW w:w="2254" w:type="dxa"/>
          </w:tcPr>
          <w:p w14:paraId="1A617F8C" w14:textId="0CA7D072" w:rsidR="00394F59" w:rsidRDefault="00252C43" w:rsidP="00862E71">
            <w:pPr>
              <w:jc w:val="center"/>
            </w:pPr>
            <w:r>
              <w:noBreakHyphen/>
            </w:r>
            <w:r w:rsidR="00394F59">
              <w:t>0.53***</w:t>
            </w:r>
          </w:p>
        </w:tc>
      </w:tr>
      <w:tr w:rsidR="00394F59" w14:paraId="0D58CF87" w14:textId="77777777" w:rsidTr="00862E71">
        <w:tc>
          <w:tcPr>
            <w:tcW w:w="2254" w:type="dxa"/>
          </w:tcPr>
          <w:p w14:paraId="682085EC" w14:textId="77777777" w:rsidR="00394F59" w:rsidRPr="007D5D87" w:rsidRDefault="00394F59" w:rsidP="00862E71">
            <w:pPr>
              <w:rPr>
                <w:i/>
              </w:rPr>
            </w:pPr>
            <w:r w:rsidRPr="007D5D87">
              <w:rPr>
                <w:i/>
              </w:rPr>
              <w:t>Observations</w:t>
            </w:r>
          </w:p>
        </w:tc>
        <w:tc>
          <w:tcPr>
            <w:tcW w:w="2254" w:type="dxa"/>
          </w:tcPr>
          <w:p w14:paraId="42BE94C9" w14:textId="5115DFA1" w:rsidR="00394F59" w:rsidRDefault="00394F59" w:rsidP="00862E71">
            <w:pPr>
              <w:jc w:val="center"/>
            </w:pPr>
            <w:r>
              <w:t>~3m</w:t>
            </w:r>
          </w:p>
        </w:tc>
        <w:tc>
          <w:tcPr>
            <w:tcW w:w="2254" w:type="dxa"/>
          </w:tcPr>
          <w:p w14:paraId="245ECBFF" w14:textId="50E9BB21" w:rsidR="00394F59" w:rsidRDefault="00394F59" w:rsidP="00862E71">
            <w:pPr>
              <w:jc w:val="center"/>
            </w:pPr>
            <w:r>
              <w:t>~3m</w:t>
            </w:r>
          </w:p>
        </w:tc>
        <w:tc>
          <w:tcPr>
            <w:tcW w:w="2254" w:type="dxa"/>
          </w:tcPr>
          <w:p w14:paraId="63C4BB78" w14:textId="3AB05B56" w:rsidR="00394F59" w:rsidRDefault="00394F59" w:rsidP="00862E71">
            <w:pPr>
              <w:jc w:val="center"/>
            </w:pPr>
            <w:r>
              <w:t>~3m</w:t>
            </w:r>
          </w:p>
        </w:tc>
      </w:tr>
    </w:tbl>
    <w:p w14:paraId="231E14DC" w14:textId="4646723B" w:rsidR="00394F59" w:rsidRDefault="00394F59" w:rsidP="00394F59">
      <w:pPr>
        <w:rPr>
          <w:sz w:val="18"/>
        </w:rPr>
      </w:pPr>
      <w:r>
        <w:rPr>
          <w:sz w:val="18"/>
        </w:rPr>
        <w:t>Notes: *** p&lt;0.01, ** p&lt;0.05, *p&lt;0.</w:t>
      </w:r>
      <w:r w:rsidRPr="00C9549C">
        <w:rPr>
          <w:sz w:val="18"/>
        </w:rPr>
        <w:t xml:space="preserve">1. All specifications have year fixed effects. Errors robust to autocorrelation and </w:t>
      </w:r>
      <w:r>
        <w:rPr>
          <w:sz w:val="18"/>
        </w:rPr>
        <w:t>heteroscedasticity. Productivity if MFP from the production function estimation. Results robust to using labour productivity.</w:t>
      </w:r>
    </w:p>
    <w:p w14:paraId="17992730" w14:textId="614EC4E7" w:rsidR="00A22163" w:rsidRDefault="00A22163" w:rsidP="00394F59">
      <w:pPr>
        <w:rPr>
          <w:sz w:val="18"/>
        </w:rPr>
      </w:pPr>
    </w:p>
    <w:p w14:paraId="25E4B81F" w14:textId="77777777" w:rsidR="00A22163" w:rsidRPr="00FB64AB" w:rsidRDefault="00A22163" w:rsidP="00394F59">
      <w:pPr>
        <w:rPr>
          <w:sz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85"/>
        <w:gridCol w:w="1843"/>
        <w:gridCol w:w="1842"/>
        <w:gridCol w:w="1843"/>
        <w:gridCol w:w="1513"/>
      </w:tblGrid>
      <w:tr w:rsidR="00743BA0" w14:paraId="450DF6F7" w14:textId="77777777" w:rsidTr="007D5D87">
        <w:tc>
          <w:tcPr>
            <w:tcW w:w="9026" w:type="dxa"/>
            <w:gridSpan w:val="5"/>
            <w:tcBorders>
              <w:top w:val="nil"/>
            </w:tcBorders>
          </w:tcPr>
          <w:p w14:paraId="7111704C" w14:textId="76EAFE62" w:rsidR="00743BA0" w:rsidRPr="00FB64AB" w:rsidRDefault="00743BA0" w:rsidP="00A22163">
            <w:pPr>
              <w:pStyle w:val="TableMainHeading"/>
            </w:pPr>
            <w:r w:rsidRPr="00FB64AB">
              <w:lastRenderedPageBreak/>
              <w:t xml:space="preserve">Table </w:t>
            </w:r>
            <w:r w:rsidR="00B02A1F">
              <w:t>C</w:t>
            </w:r>
            <w:r w:rsidR="001A5C4F">
              <w:t>3</w:t>
            </w:r>
            <w:r w:rsidRPr="00FB64AB">
              <w:t xml:space="preserve">: </w:t>
            </w:r>
            <w:r>
              <w:t>Profit rate</w:t>
            </w:r>
            <w:r w:rsidRPr="00FB64AB">
              <w:t xml:space="preserve"> correlates</w:t>
            </w:r>
          </w:p>
        </w:tc>
      </w:tr>
      <w:tr w:rsidR="00743BA0" w14:paraId="48F7534A" w14:textId="77777777" w:rsidTr="007F2E4A">
        <w:tc>
          <w:tcPr>
            <w:tcW w:w="1985" w:type="dxa"/>
          </w:tcPr>
          <w:p w14:paraId="43C8362D" w14:textId="77777777" w:rsidR="00743BA0" w:rsidRDefault="00743BA0" w:rsidP="007F2E4A"/>
        </w:tc>
        <w:tc>
          <w:tcPr>
            <w:tcW w:w="1843" w:type="dxa"/>
          </w:tcPr>
          <w:p w14:paraId="2A265461" w14:textId="326F4DF9" w:rsidR="00743BA0" w:rsidRDefault="00743BA0" w:rsidP="007D5D87">
            <w:pPr>
              <w:jc w:val="center"/>
            </w:pPr>
            <w:r>
              <w:t>No FE</w:t>
            </w:r>
            <w:r w:rsidR="007D5D87">
              <w:br/>
            </w:r>
            <w:r>
              <w:t>(1)</w:t>
            </w:r>
          </w:p>
        </w:tc>
        <w:tc>
          <w:tcPr>
            <w:tcW w:w="1842" w:type="dxa"/>
          </w:tcPr>
          <w:p w14:paraId="14CAFC33" w14:textId="0834C36D" w:rsidR="00743BA0" w:rsidRDefault="00743BA0" w:rsidP="007D5D87">
            <w:pPr>
              <w:jc w:val="center"/>
            </w:pPr>
            <w:r>
              <w:t>No FE</w:t>
            </w:r>
            <w:r w:rsidR="007D5D87">
              <w:br/>
            </w:r>
            <w:r>
              <w:t>(2)</w:t>
            </w:r>
          </w:p>
        </w:tc>
        <w:tc>
          <w:tcPr>
            <w:tcW w:w="1843" w:type="dxa"/>
          </w:tcPr>
          <w:p w14:paraId="4A39EBCC" w14:textId="77777777" w:rsidR="00743BA0" w:rsidRDefault="00743BA0" w:rsidP="007F2E4A">
            <w:pPr>
              <w:jc w:val="center"/>
            </w:pPr>
            <w:r>
              <w:t>Firm FE</w:t>
            </w:r>
            <w:r>
              <w:br/>
              <w:t>(3)</w:t>
            </w:r>
          </w:p>
        </w:tc>
        <w:tc>
          <w:tcPr>
            <w:tcW w:w="1513" w:type="dxa"/>
          </w:tcPr>
          <w:p w14:paraId="2B17BE96" w14:textId="77777777" w:rsidR="00743BA0" w:rsidRDefault="00743BA0" w:rsidP="007F2E4A">
            <w:pPr>
              <w:jc w:val="center"/>
            </w:pPr>
            <w:r>
              <w:t>Firm FE</w:t>
            </w:r>
            <w:r>
              <w:br/>
              <w:t>(4)</w:t>
            </w:r>
          </w:p>
        </w:tc>
      </w:tr>
      <w:tr w:rsidR="00743BA0" w14:paraId="3DEA5C07" w14:textId="77777777" w:rsidTr="007F2E4A">
        <w:tc>
          <w:tcPr>
            <w:tcW w:w="1985" w:type="dxa"/>
          </w:tcPr>
          <w:p w14:paraId="53430CB5" w14:textId="661CA7D3" w:rsidR="00743BA0" w:rsidRPr="007D5D87" w:rsidRDefault="00743BA0" w:rsidP="007F2E4A">
            <w:pPr>
              <w:rPr>
                <w:i/>
              </w:rPr>
            </w:pPr>
            <w:r w:rsidRPr="007D5D87">
              <w:rPr>
                <w:i/>
              </w:rPr>
              <w:t>Mark</w:t>
            </w:r>
            <w:r w:rsidR="00252C43">
              <w:rPr>
                <w:i/>
              </w:rPr>
              <w:noBreakHyphen/>
            </w:r>
            <w:r w:rsidRPr="007D5D87">
              <w:rPr>
                <w:i/>
              </w:rPr>
              <w:t>up</w:t>
            </w:r>
          </w:p>
        </w:tc>
        <w:tc>
          <w:tcPr>
            <w:tcW w:w="1843" w:type="dxa"/>
          </w:tcPr>
          <w:p w14:paraId="4E4B58E4" w14:textId="77777777" w:rsidR="00743BA0" w:rsidRDefault="00743BA0" w:rsidP="007F2E4A">
            <w:pPr>
              <w:jc w:val="center"/>
            </w:pPr>
            <w:r>
              <w:t>0.05***</w:t>
            </w:r>
          </w:p>
        </w:tc>
        <w:tc>
          <w:tcPr>
            <w:tcW w:w="1842" w:type="dxa"/>
          </w:tcPr>
          <w:p w14:paraId="3B9DF433" w14:textId="77777777" w:rsidR="00743BA0" w:rsidRDefault="00743BA0" w:rsidP="007F2E4A">
            <w:pPr>
              <w:jc w:val="center"/>
            </w:pPr>
            <w:r>
              <w:t>0.06***</w:t>
            </w:r>
          </w:p>
        </w:tc>
        <w:tc>
          <w:tcPr>
            <w:tcW w:w="1843" w:type="dxa"/>
          </w:tcPr>
          <w:p w14:paraId="35AE2C68" w14:textId="77777777" w:rsidR="00743BA0" w:rsidRDefault="00743BA0" w:rsidP="007F2E4A">
            <w:pPr>
              <w:jc w:val="center"/>
            </w:pPr>
            <w:r>
              <w:t>0.004***</w:t>
            </w:r>
          </w:p>
        </w:tc>
        <w:tc>
          <w:tcPr>
            <w:tcW w:w="1513" w:type="dxa"/>
          </w:tcPr>
          <w:p w14:paraId="75EA707D" w14:textId="77777777" w:rsidR="00743BA0" w:rsidRDefault="00743BA0" w:rsidP="007F2E4A">
            <w:pPr>
              <w:jc w:val="center"/>
            </w:pPr>
            <w:r>
              <w:t>0.011***</w:t>
            </w:r>
          </w:p>
        </w:tc>
      </w:tr>
      <w:tr w:rsidR="00743BA0" w14:paraId="7B423D5B" w14:textId="77777777" w:rsidTr="007F2E4A">
        <w:tc>
          <w:tcPr>
            <w:tcW w:w="1985" w:type="dxa"/>
          </w:tcPr>
          <w:p w14:paraId="62D952AE" w14:textId="77777777" w:rsidR="00743BA0" w:rsidRPr="007D5D87" w:rsidRDefault="00743BA0" w:rsidP="007F2E4A">
            <w:pPr>
              <w:rPr>
                <w:i/>
              </w:rPr>
            </w:pPr>
            <w:r w:rsidRPr="007D5D87">
              <w:rPr>
                <w:i/>
              </w:rPr>
              <w:t>Fixed input share</w:t>
            </w:r>
          </w:p>
        </w:tc>
        <w:tc>
          <w:tcPr>
            <w:tcW w:w="1843" w:type="dxa"/>
          </w:tcPr>
          <w:p w14:paraId="4645CAC2" w14:textId="0387CBEE" w:rsidR="00743BA0" w:rsidRDefault="00252C43" w:rsidP="007F2E4A">
            <w:pPr>
              <w:jc w:val="center"/>
            </w:pPr>
            <w:r>
              <w:noBreakHyphen/>
            </w:r>
          </w:p>
        </w:tc>
        <w:tc>
          <w:tcPr>
            <w:tcW w:w="1842" w:type="dxa"/>
          </w:tcPr>
          <w:p w14:paraId="7E803D61" w14:textId="22FD0CA8" w:rsidR="00743BA0" w:rsidRDefault="00252C43" w:rsidP="007F2E4A">
            <w:pPr>
              <w:jc w:val="center"/>
            </w:pPr>
            <w:r>
              <w:noBreakHyphen/>
            </w:r>
            <w:r w:rsidR="00743BA0">
              <w:t>0.26***</w:t>
            </w:r>
          </w:p>
        </w:tc>
        <w:tc>
          <w:tcPr>
            <w:tcW w:w="1843" w:type="dxa"/>
          </w:tcPr>
          <w:p w14:paraId="18BFA854" w14:textId="5A02A6FA" w:rsidR="00743BA0" w:rsidRDefault="00252C43" w:rsidP="007F2E4A">
            <w:pPr>
              <w:jc w:val="center"/>
            </w:pPr>
            <w:r>
              <w:noBreakHyphen/>
            </w:r>
          </w:p>
        </w:tc>
        <w:tc>
          <w:tcPr>
            <w:tcW w:w="1513" w:type="dxa"/>
          </w:tcPr>
          <w:p w14:paraId="0BA95C2F" w14:textId="71F1E868" w:rsidR="00743BA0" w:rsidRDefault="00252C43" w:rsidP="007F2E4A">
            <w:pPr>
              <w:jc w:val="center"/>
            </w:pPr>
            <w:r>
              <w:noBreakHyphen/>
            </w:r>
            <w:r w:rsidR="00743BA0">
              <w:t>0.378***</w:t>
            </w:r>
          </w:p>
        </w:tc>
      </w:tr>
      <w:tr w:rsidR="00743BA0" w14:paraId="2315FE28" w14:textId="77777777" w:rsidTr="007F2E4A">
        <w:tc>
          <w:tcPr>
            <w:tcW w:w="1985" w:type="dxa"/>
          </w:tcPr>
          <w:p w14:paraId="3738B46F" w14:textId="77777777" w:rsidR="00743BA0" w:rsidRPr="007D5D87" w:rsidRDefault="00743BA0" w:rsidP="007F2E4A">
            <w:pPr>
              <w:rPr>
                <w:i/>
              </w:rPr>
            </w:pPr>
            <w:r w:rsidRPr="007D5D87">
              <w:rPr>
                <w:i/>
              </w:rPr>
              <w:t>Observations</w:t>
            </w:r>
          </w:p>
        </w:tc>
        <w:tc>
          <w:tcPr>
            <w:tcW w:w="1843" w:type="dxa"/>
          </w:tcPr>
          <w:p w14:paraId="156EE137" w14:textId="77777777" w:rsidR="00743BA0" w:rsidRDefault="00743BA0" w:rsidP="007F2E4A">
            <w:pPr>
              <w:jc w:val="center"/>
            </w:pPr>
            <w:r>
              <w:t>2,353,489</w:t>
            </w:r>
          </w:p>
        </w:tc>
        <w:tc>
          <w:tcPr>
            <w:tcW w:w="1842" w:type="dxa"/>
          </w:tcPr>
          <w:p w14:paraId="59C2BB1E" w14:textId="77777777" w:rsidR="00743BA0" w:rsidRDefault="00743BA0" w:rsidP="007F2E4A">
            <w:pPr>
              <w:jc w:val="center"/>
            </w:pPr>
            <w:r>
              <w:t>2,353,489</w:t>
            </w:r>
          </w:p>
        </w:tc>
        <w:tc>
          <w:tcPr>
            <w:tcW w:w="1843" w:type="dxa"/>
          </w:tcPr>
          <w:p w14:paraId="1E915A52" w14:textId="77777777" w:rsidR="00743BA0" w:rsidRDefault="00743BA0" w:rsidP="007F2E4A">
            <w:pPr>
              <w:jc w:val="center"/>
            </w:pPr>
            <w:r>
              <w:t>2,353,489</w:t>
            </w:r>
          </w:p>
        </w:tc>
        <w:tc>
          <w:tcPr>
            <w:tcW w:w="1513" w:type="dxa"/>
          </w:tcPr>
          <w:p w14:paraId="4942CF42" w14:textId="77777777" w:rsidR="00743BA0" w:rsidRDefault="00743BA0" w:rsidP="007F2E4A">
            <w:pPr>
              <w:jc w:val="center"/>
            </w:pPr>
            <w:r>
              <w:t>2,353,489</w:t>
            </w:r>
          </w:p>
        </w:tc>
      </w:tr>
    </w:tbl>
    <w:p w14:paraId="5B84C50D" w14:textId="33421842" w:rsidR="0095241E" w:rsidRDefault="00743BA0" w:rsidP="0095241E">
      <w:pPr>
        <w:rPr>
          <w:sz w:val="18"/>
        </w:rPr>
      </w:pPr>
      <w:r>
        <w:rPr>
          <w:sz w:val="18"/>
        </w:rPr>
        <w:t>Notes: *** p&lt;0.01, ** p&lt;0.05, *p&lt;0.1</w:t>
      </w:r>
      <w:r w:rsidRPr="00C9549C">
        <w:rPr>
          <w:sz w:val="18"/>
        </w:rPr>
        <w:t xml:space="preserve">. All specifications have year fixed effects. Errors robust to autocorrelation and </w:t>
      </w:r>
      <w:r>
        <w:rPr>
          <w:sz w:val="18"/>
        </w:rPr>
        <w:t xml:space="preserve">heteroscedasticity. Profit rate defined as </w:t>
      </w:r>
      <w:r w:rsidRPr="00743BA0">
        <w:rPr>
          <w:sz w:val="18"/>
        </w:rPr>
        <w:t>net profits over sales.</w:t>
      </w:r>
    </w:p>
    <w:p w14:paraId="210750B4" w14:textId="77777777" w:rsidR="003C44BF" w:rsidRDefault="003C44BF" w:rsidP="0095241E">
      <w:pPr>
        <w:sectPr w:rsidR="003C44BF" w:rsidSect="003C4225">
          <w:pgSz w:w="11906" w:h="16838" w:code="9"/>
          <w:pgMar w:top="1418" w:right="1304" w:bottom="1418" w:left="1304" w:header="567" w:footer="567" w:gutter="0"/>
          <w:pgNumType w:start="1"/>
          <w:cols w:space="708"/>
          <w:titlePg/>
          <w:docGrid w:linePitch="360"/>
        </w:sectPr>
      </w:pPr>
    </w:p>
    <w:tbl>
      <w:tblPr>
        <w:tblStyle w:val="TableGrid"/>
        <w:tblW w:w="13892" w:type="dxa"/>
        <w:tblLayout w:type="fixed"/>
        <w:tblLook w:val="04A0" w:firstRow="1" w:lastRow="0" w:firstColumn="1" w:lastColumn="0" w:noHBand="0" w:noVBand="1"/>
      </w:tblPr>
      <w:tblGrid>
        <w:gridCol w:w="1543"/>
        <w:gridCol w:w="1543"/>
        <w:gridCol w:w="1543"/>
        <w:gridCol w:w="1543"/>
        <w:gridCol w:w="1544"/>
        <w:gridCol w:w="1544"/>
        <w:gridCol w:w="1544"/>
        <w:gridCol w:w="1544"/>
        <w:gridCol w:w="1544"/>
      </w:tblGrid>
      <w:tr w:rsidR="003C44BF" w14:paraId="2EB3B5AC" w14:textId="77777777" w:rsidTr="00A22163">
        <w:tc>
          <w:tcPr>
            <w:tcW w:w="13892" w:type="dxa"/>
            <w:gridSpan w:val="9"/>
            <w:tcBorders>
              <w:top w:val="nil"/>
              <w:left w:val="nil"/>
              <w:right w:val="nil"/>
            </w:tcBorders>
          </w:tcPr>
          <w:p w14:paraId="3BE080A3" w14:textId="554F5351" w:rsidR="003C44BF" w:rsidRDefault="003C44BF" w:rsidP="00A22163">
            <w:pPr>
              <w:pStyle w:val="TableMainHeading"/>
              <w:rPr>
                <w:rFonts w:eastAsiaTheme="minorEastAsia"/>
              </w:rPr>
            </w:pPr>
            <w:r>
              <w:rPr>
                <w:rFonts w:eastAsiaTheme="minorEastAsia"/>
              </w:rPr>
              <w:lastRenderedPageBreak/>
              <w:t xml:space="preserve">Table </w:t>
            </w:r>
            <w:r w:rsidR="007D5D87">
              <w:rPr>
                <w:rFonts w:eastAsiaTheme="minorEastAsia"/>
              </w:rPr>
              <w:t>C</w:t>
            </w:r>
            <w:r>
              <w:rPr>
                <w:rFonts w:eastAsiaTheme="minorEastAsia"/>
              </w:rPr>
              <w:t>3</w:t>
            </w:r>
            <w:r w:rsidRPr="007676E5">
              <w:rPr>
                <w:rFonts w:eastAsiaTheme="minorEastAsia"/>
              </w:rPr>
              <w:t>: Summary of Changes in Mark</w:t>
            </w:r>
            <w:r w:rsidR="00252C43">
              <w:rPr>
                <w:rFonts w:eastAsiaTheme="minorEastAsia"/>
              </w:rPr>
              <w:noBreakHyphen/>
            </w:r>
            <w:r w:rsidRPr="007676E5">
              <w:rPr>
                <w:rFonts w:eastAsiaTheme="minorEastAsia"/>
              </w:rPr>
              <w:t>ups Using Different Fixed Cost Metrics</w:t>
            </w:r>
          </w:p>
        </w:tc>
      </w:tr>
      <w:tr w:rsidR="003C44BF" w14:paraId="4D2D4585" w14:textId="77777777" w:rsidTr="00A22163">
        <w:tc>
          <w:tcPr>
            <w:tcW w:w="1543" w:type="dxa"/>
          </w:tcPr>
          <w:p w14:paraId="3F4D53C3" w14:textId="77777777" w:rsidR="003C44BF" w:rsidRDefault="003C44BF" w:rsidP="008334E4">
            <w:pPr>
              <w:pStyle w:val="Dash"/>
              <w:numPr>
                <w:ilvl w:val="0"/>
                <w:numId w:val="0"/>
              </w:numPr>
              <w:rPr>
                <w:rFonts w:eastAsiaTheme="minorEastAsia"/>
              </w:rPr>
            </w:pPr>
          </w:p>
        </w:tc>
        <w:tc>
          <w:tcPr>
            <w:tcW w:w="6173" w:type="dxa"/>
            <w:gridSpan w:val="4"/>
          </w:tcPr>
          <w:p w14:paraId="1493363C" w14:textId="77777777" w:rsidR="003C44BF" w:rsidRPr="007D5D87" w:rsidRDefault="003C44BF" w:rsidP="008334E4">
            <w:pPr>
              <w:pStyle w:val="Dash"/>
              <w:numPr>
                <w:ilvl w:val="0"/>
                <w:numId w:val="0"/>
              </w:numPr>
              <w:jc w:val="center"/>
              <w:rPr>
                <w:rFonts w:eastAsiaTheme="minorEastAsia"/>
                <w:i/>
              </w:rPr>
            </w:pPr>
            <w:r w:rsidRPr="007D5D87">
              <w:rPr>
                <w:rFonts w:eastAsiaTheme="minorEastAsia"/>
                <w:i/>
              </w:rPr>
              <w:t>Unweighted average</w:t>
            </w:r>
          </w:p>
        </w:tc>
        <w:tc>
          <w:tcPr>
            <w:tcW w:w="6176" w:type="dxa"/>
            <w:gridSpan w:val="4"/>
          </w:tcPr>
          <w:p w14:paraId="6E945FD4" w14:textId="22816848" w:rsidR="003C44BF" w:rsidRPr="007D5D87" w:rsidRDefault="003C44BF" w:rsidP="008334E4">
            <w:pPr>
              <w:pStyle w:val="Dash"/>
              <w:numPr>
                <w:ilvl w:val="0"/>
                <w:numId w:val="0"/>
              </w:numPr>
              <w:jc w:val="center"/>
              <w:rPr>
                <w:rFonts w:eastAsiaTheme="minorEastAsia"/>
                <w:i/>
              </w:rPr>
            </w:pPr>
            <w:r w:rsidRPr="007D5D87">
              <w:rPr>
                <w:rFonts w:eastAsiaTheme="minorEastAsia"/>
                <w:i/>
              </w:rPr>
              <w:t>Sales</w:t>
            </w:r>
            <w:r w:rsidR="00252C43">
              <w:rPr>
                <w:rFonts w:eastAsiaTheme="minorEastAsia"/>
                <w:i/>
              </w:rPr>
              <w:noBreakHyphen/>
            </w:r>
            <w:r w:rsidRPr="007D5D87">
              <w:rPr>
                <w:rFonts w:eastAsiaTheme="minorEastAsia"/>
                <w:i/>
              </w:rPr>
              <w:t>weighted average</w:t>
            </w:r>
          </w:p>
        </w:tc>
      </w:tr>
      <w:tr w:rsidR="003C44BF" w14:paraId="09A65A23" w14:textId="77777777" w:rsidTr="00A22163">
        <w:tc>
          <w:tcPr>
            <w:tcW w:w="1543" w:type="dxa"/>
          </w:tcPr>
          <w:p w14:paraId="5CD0E2BF" w14:textId="77777777" w:rsidR="003C44BF" w:rsidRDefault="003C44BF" w:rsidP="008334E4">
            <w:pPr>
              <w:pStyle w:val="Dash"/>
              <w:numPr>
                <w:ilvl w:val="0"/>
                <w:numId w:val="0"/>
              </w:numPr>
              <w:rPr>
                <w:rFonts w:eastAsiaTheme="minorEastAsia"/>
              </w:rPr>
            </w:pPr>
          </w:p>
        </w:tc>
        <w:tc>
          <w:tcPr>
            <w:tcW w:w="1543" w:type="dxa"/>
          </w:tcPr>
          <w:p w14:paraId="549794A6" w14:textId="2A393708" w:rsidR="003C44BF" w:rsidRDefault="003C44BF"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up</w:t>
            </w:r>
          </w:p>
        </w:tc>
        <w:tc>
          <w:tcPr>
            <w:tcW w:w="1543" w:type="dxa"/>
          </w:tcPr>
          <w:p w14:paraId="562E8749" w14:textId="706DF4C2" w:rsidR="003C44BF" w:rsidRDefault="003C44BF" w:rsidP="008334E4">
            <w:pPr>
              <w:pStyle w:val="Dash"/>
              <w:numPr>
                <w:ilvl w:val="0"/>
                <w:numId w:val="0"/>
              </w:numPr>
              <w:rPr>
                <w:rFonts w:eastAsiaTheme="minorEastAsia"/>
              </w:rPr>
            </w:pPr>
            <w:r>
              <w:rPr>
                <w:rFonts w:eastAsiaTheme="minorEastAsia"/>
              </w:rPr>
              <w:t>Excess Mark</w:t>
            </w:r>
            <w:r w:rsidR="00252C43">
              <w:rPr>
                <w:rFonts w:eastAsiaTheme="minorEastAsia"/>
              </w:rPr>
              <w:noBreakHyphen/>
            </w:r>
            <w:r>
              <w:rPr>
                <w:rFonts w:eastAsiaTheme="minorEastAsia"/>
              </w:rPr>
              <w:t>up</w:t>
            </w:r>
          </w:p>
        </w:tc>
        <w:tc>
          <w:tcPr>
            <w:tcW w:w="1543" w:type="dxa"/>
          </w:tcPr>
          <w:p w14:paraId="5208D356" w14:textId="34BFA38D" w:rsidR="003C44BF" w:rsidRDefault="003C44BF"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up (</w:t>
            </w:r>
            <w:proofErr w:type="spellStart"/>
            <w:r>
              <w:rPr>
                <w:rFonts w:eastAsiaTheme="minorEastAsia"/>
              </w:rPr>
              <w:t>Traina</w:t>
            </w:r>
            <w:proofErr w:type="spellEnd"/>
            <w:r>
              <w:rPr>
                <w:rFonts w:eastAsiaTheme="minorEastAsia"/>
              </w:rPr>
              <w:t>)</w:t>
            </w:r>
          </w:p>
        </w:tc>
        <w:tc>
          <w:tcPr>
            <w:tcW w:w="1544" w:type="dxa"/>
          </w:tcPr>
          <w:p w14:paraId="37A05F96" w14:textId="001933CC" w:rsidR="003C44BF" w:rsidRDefault="003C44BF"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 xml:space="preserve">up </w:t>
            </w:r>
            <w:r w:rsidR="007D5D87">
              <w:rPr>
                <w:rFonts w:eastAsiaTheme="minorEastAsia"/>
              </w:rPr>
              <w:br/>
            </w:r>
            <w:r>
              <w:rPr>
                <w:rFonts w:eastAsiaTheme="minorEastAsia"/>
              </w:rPr>
              <w:t xml:space="preserve">(De </w:t>
            </w:r>
            <w:proofErr w:type="spellStart"/>
            <w:r>
              <w:rPr>
                <w:rFonts w:eastAsiaTheme="minorEastAsia"/>
              </w:rPr>
              <w:t>L</w:t>
            </w:r>
            <w:r w:rsidR="007D5D87">
              <w:rPr>
                <w:rFonts w:eastAsiaTheme="minorEastAsia"/>
              </w:rPr>
              <w:t>oecker</w:t>
            </w:r>
            <w:proofErr w:type="spellEnd"/>
            <w:r>
              <w:rPr>
                <w:rFonts w:eastAsiaTheme="minorEastAsia"/>
              </w:rPr>
              <w:t>)</w:t>
            </w:r>
          </w:p>
        </w:tc>
        <w:tc>
          <w:tcPr>
            <w:tcW w:w="1544" w:type="dxa"/>
          </w:tcPr>
          <w:p w14:paraId="1E7FD310" w14:textId="203ED70A" w:rsidR="003C44BF" w:rsidRDefault="003C44BF"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up</w:t>
            </w:r>
          </w:p>
        </w:tc>
        <w:tc>
          <w:tcPr>
            <w:tcW w:w="1544" w:type="dxa"/>
          </w:tcPr>
          <w:p w14:paraId="28D0D0ED" w14:textId="2DDF8BAD" w:rsidR="003C44BF" w:rsidRDefault="003C44BF" w:rsidP="008334E4">
            <w:pPr>
              <w:pStyle w:val="Dash"/>
              <w:numPr>
                <w:ilvl w:val="0"/>
                <w:numId w:val="0"/>
              </w:numPr>
              <w:rPr>
                <w:rFonts w:eastAsiaTheme="minorEastAsia"/>
              </w:rPr>
            </w:pPr>
            <w:r>
              <w:rPr>
                <w:rFonts w:eastAsiaTheme="minorEastAsia"/>
              </w:rPr>
              <w:t>Excess Mark</w:t>
            </w:r>
            <w:r w:rsidR="00252C43">
              <w:rPr>
                <w:rFonts w:eastAsiaTheme="minorEastAsia"/>
              </w:rPr>
              <w:noBreakHyphen/>
            </w:r>
            <w:r>
              <w:rPr>
                <w:rFonts w:eastAsiaTheme="minorEastAsia"/>
              </w:rPr>
              <w:t>up</w:t>
            </w:r>
          </w:p>
        </w:tc>
        <w:tc>
          <w:tcPr>
            <w:tcW w:w="1544" w:type="dxa"/>
          </w:tcPr>
          <w:p w14:paraId="6DEBCBD8" w14:textId="7AB07A88" w:rsidR="003C44BF" w:rsidRDefault="003C44BF"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up (</w:t>
            </w:r>
            <w:proofErr w:type="spellStart"/>
            <w:r>
              <w:rPr>
                <w:rFonts w:eastAsiaTheme="minorEastAsia"/>
              </w:rPr>
              <w:t>Traina</w:t>
            </w:r>
            <w:proofErr w:type="spellEnd"/>
            <w:r>
              <w:rPr>
                <w:rFonts w:eastAsiaTheme="minorEastAsia"/>
              </w:rPr>
              <w:t>)</w:t>
            </w:r>
          </w:p>
        </w:tc>
        <w:tc>
          <w:tcPr>
            <w:tcW w:w="1544" w:type="dxa"/>
          </w:tcPr>
          <w:p w14:paraId="09F7FCB5" w14:textId="0E83027A" w:rsidR="003C44BF" w:rsidRDefault="007D5D87" w:rsidP="008334E4">
            <w:pPr>
              <w:pStyle w:val="Dash"/>
              <w:numPr>
                <w:ilvl w:val="0"/>
                <w:numId w:val="0"/>
              </w:numPr>
              <w:rPr>
                <w:rFonts w:eastAsiaTheme="minorEastAsia"/>
              </w:rPr>
            </w:pPr>
            <w:r>
              <w:rPr>
                <w:rFonts w:eastAsiaTheme="minorEastAsia"/>
              </w:rPr>
              <w:t>Mark</w:t>
            </w:r>
            <w:r w:rsidR="00252C43">
              <w:rPr>
                <w:rFonts w:eastAsiaTheme="minorEastAsia"/>
              </w:rPr>
              <w:noBreakHyphen/>
            </w:r>
            <w:r>
              <w:rPr>
                <w:rFonts w:eastAsiaTheme="minorEastAsia"/>
              </w:rPr>
              <w:t xml:space="preserve">up </w:t>
            </w:r>
            <w:r>
              <w:rPr>
                <w:rFonts w:eastAsiaTheme="minorEastAsia"/>
              </w:rPr>
              <w:br/>
              <w:t xml:space="preserve">(De </w:t>
            </w:r>
            <w:proofErr w:type="spellStart"/>
            <w:r>
              <w:rPr>
                <w:rFonts w:eastAsiaTheme="minorEastAsia"/>
              </w:rPr>
              <w:t>Loecker</w:t>
            </w:r>
            <w:proofErr w:type="spellEnd"/>
            <w:r>
              <w:rPr>
                <w:rFonts w:eastAsiaTheme="minorEastAsia"/>
              </w:rPr>
              <w:t>)</w:t>
            </w:r>
          </w:p>
        </w:tc>
      </w:tr>
      <w:tr w:rsidR="003C44BF" w14:paraId="0FF606D3" w14:textId="77777777" w:rsidTr="00A22163">
        <w:tc>
          <w:tcPr>
            <w:tcW w:w="1543" w:type="dxa"/>
          </w:tcPr>
          <w:p w14:paraId="4DDCB4E6" w14:textId="283C1959" w:rsidR="003C44BF" w:rsidRPr="007D5D87" w:rsidRDefault="003C44BF" w:rsidP="007D5D87">
            <w:pPr>
              <w:pStyle w:val="Dash"/>
              <w:numPr>
                <w:ilvl w:val="0"/>
                <w:numId w:val="0"/>
              </w:numPr>
              <w:rPr>
                <w:rFonts w:eastAsiaTheme="minorEastAsia"/>
                <w:i/>
              </w:rPr>
            </w:pPr>
            <w:r w:rsidRPr="007D5D87">
              <w:rPr>
                <w:rFonts w:eastAsiaTheme="minorEastAsia"/>
                <w:i/>
              </w:rPr>
              <w:t xml:space="preserve">Change </w:t>
            </w:r>
            <w:r w:rsidR="007D5D87" w:rsidRPr="007D5D87">
              <w:rPr>
                <w:rFonts w:eastAsiaTheme="minorEastAsia"/>
                <w:i/>
              </w:rPr>
              <w:br/>
            </w:r>
            <w:r w:rsidRPr="007D5D87">
              <w:rPr>
                <w:rFonts w:eastAsiaTheme="minorEastAsia"/>
                <w:i/>
              </w:rPr>
              <w:t>2004</w:t>
            </w:r>
            <w:r w:rsidR="00252C43">
              <w:rPr>
                <w:rFonts w:eastAsiaTheme="minorEastAsia"/>
                <w:i/>
              </w:rPr>
              <w:noBreakHyphen/>
            </w:r>
            <w:r w:rsidRPr="007D5D87">
              <w:rPr>
                <w:rFonts w:eastAsiaTheme="minorEastAsia"/>
                <w:i/>
              </w:rPr>
              <w:t>2017</w:t>
            </w:r>
            <w:r w:rsidR="007D5D87" w:rsidRPr="007D5D87">
              <w:rPr>
                <w:rFonts w:eastAsiaTheme="minorEastAsia"/>
                <w:i/>
              </w:rPr>
              <w:br/>
            </w:r>
            <w:r w:rsidRPr="007D5D87">
              <w:rPr>
                <w:rFonts w:eastAsiaTheme="minorEastAsia"/>
                <w:i/>
              </w:rPr>
              <w:t>(ppt)</w:t>
            </w:r>
          </w:p>
        </w:tc>
        <w:tc>
          <w:tcPr>
            <w:tcW w:w="1543" w:type="dxa"/>
          </w:tcPr>
          <w:p w14:paraId="2714C0A3" w14:textId="77777777" w:rsidR="003C44BF" w:rsidRDefault="003C44BF" w:rsidP="008334E4">
            <w:pPr>
              <w:pStyle w:val="Dash"/>
              <w:numPr>
                <w:ilvl w:val="0"/>
                <w:numId w:val="0"/>
              </w:numPr>
              <w:rPr>
                <w:rFonts w:eastAsiaTheme="minorEastAsia"/>
              </w:rPr>
            </w:pPr>
            <w:r>
              <w:rPr>
                <w:rFonts w:eastAsiaTheme="minorEastAsia"/>
              </w:rPr>
              <w:t>7.4</w:t>
            </w:r>
          </w:p>
        </w:tc>
        <w:tc>
          <w:tcPr>
            <w:tcW w:w="1543" w:type="dxa"/>
          </w:tcPr>
          <w:p w14:paraId="622EE1F6" w14:textId="77777777" w:rsidR="003C44BF" w:rsidRDefault="003C44BF" w:rsidP="008334E4">
            <w:pPr>
              <w:pStyle w:val="Dash"/>
              <w:numPr>
                <w:ilvl w:val="0"/>
                <w:numId w:val="0"/>
              </w:numPr>
              <w:rPr>
                <w:rFonts w:eastAsiaTheme="minorEastAsia"/>
              </w:rPr>
            </w:pPr>
            <w:r>
              <w:rPr>
                <w:rFonts w:eastAsiaTheme="minorEastAsia"/>
              </w:rPr>
              <w:t>2.8</w:t>
            </w:r>
          </w:p>
        </w:tc>
        <w:tc>
          <w:tcPr>
            <w:tcW w:w="1543" w:type="dxa"/>
          </w:tcPr>
          <w:p w14:paraId="3B9F95C6" w14:textId="77777777" w:rsidR="003C44BF" w:rsidRDefault="003C44BF" w:rsidP="008334E4">
            <w:pPr>
              <w:pStyle w:val="Dash"/>
              <w:numPr>
                <w:ilvl w:val="0"/>
                <w:numId w:val="0"/>
              </w:numPr>
              <w:rPr>
                <w:rFonts w:eastAsiaTheme="minorEastAsia"/>
              </w:rPr>
            </w:pPr>
            <w:r>
              <w:rPr>
                <w:rFonts w:eastAsiaTheme="minorEastAsia"/>
              </w:rPr>
              <w:t>4.4</w:t>
            </w:r>
          </w:p>
        </w:tc>
        <w:tc>
          <w:tcPr>
            <w:tcW w:w="1544" w:type="dxa"/>
          </w:tcPr>
          <w:p w14:paraId="7441ACFC" w14:textId="7AF33022" w:rsidR="003C44BF" w:rsidRDefault="00856C5C" w:rsidP="008334E4">
            <w:pPr>
              <w:pStyle w:val="Dash"/>
              <w:numPr>
                <w:ilvl w:val="0"/>
                <w:numId w:val="0"/>
              </w:numPr>
              <w:rPr>
                <w:rFonts w:eastAsiaTheme="minorEastAsia"/>
              </w:rPr>
            </w:pPr>
            <w:r>
              <w:rPr>
                <w:rFonts w:eastAsiaTheme="minorEastAsia"/>
              </w:rPr>
              <w:t>3.3</w:t>
            </w:r>
          </w:p>
        </w:tc>
        <w:tc>
          <w:tcPr>
            <w:tcW w:w="1544" w:type="dxa"/>
          </w:tcPr>
          <w:p w14:paraId="16963A82" w14:textId="77777777" w:rsidR="003C44BF" w:rsidRDefault="003C44BF" w:rsidP="008334E4">
            <w:pPr>
              <w:pStyle w:val="Dash"/>
              <w:numPr>
                <w:ilvl w:val="0"/>
                <w:numId w:val="0"/>
              </w:numPr>
              <w:rPr>
                <w:rFonts w:eastAsiaTheme="minorEastAsia"/>
              </w:rPr>
            </w:pPr>
            <w:r>
              <w:rPr>
                <w:rFonts w:eastAsiaTheme="minorEastAsia"/>
              </w:rPr>
              <w:t>9.0</w:t>
            </w:r>
          </w:p>
        </w:tc>
        <w:tc>
          <w:tcPr>
            <w:tcW w:w="1544" w:type="dxa"/>
          </w:tcPr>
          <w:p w14:paraId="1C4F438D" w14:textId="77777777" w:rsidR="003C44BF" w:rsidRDefault="003C44BF" w:rsidP="008334E4">
            <w:pPr>
              <w:pStyle w:val="Dash"/>
              <w:numPr>
                <w:ilvl w:val="0"/>
                <w:numId w:val="0"/>
              </w:numPr>
              <w:rPr>
                <w:rFonts w:eastAsiaTheme="minorEastAsia"/>
              </w:rPr>
            </w:pPr>
            <w:r>
              <w:rPr>
                <w:rFonts w:eastAsiaTheme="minorEastAsia"/>
              </w:rPr>
              <w:t>2.6</w:t>
            </w:r>
          </w:p>
        </w:tc>
        <w:tc>
          <w:tcPr>
            <w:tcW w:w="1544" w:type="dxa"/>
          </w:tcPr>
          <w:p w14:paraId="27DF4626" w14:textId="2638529E" w:rsidR="003C44BF" w:rsidRDefault="00856C5C" w:rsidP="008334E4">
            <w:pPr>
              <w:pStyle w:val="Dash"/>
              <w:numPr>
                <w:ilvl w:val="0"/>
                <w:numId w:val="0"/>
              </w:numPr>
              <w:rPr>
                <w:rFonts w:eastAsiaTheme="minorEastAsia"/>
              </w:rPr>
            </w:pPr>
            <w:r>
              <w:rPr>
                <w:rFonts w:eastAsiaTheme="minorEastAsia"/>
              </w:rPr>
              <w:t>4.3</w:t>
            </w:r>
          </w:p>
        </w:tc>
        <w:tc>
          <w:tcPr>
            <w:tcW w:w="1544" w:type="dxa"/>
          </w:tcPr>
          <w:p w14:paraId="3B92F60C" w14:textId="70D990BA" w:rsidR="003C44BF" w:rsidRDefault="00856C5C" w:rsidP="00856C5C">
            <w:pPr>
              <w:pStyle w:val="Dash"/>
              <w:numPr>
                <w:ilvl w:val="0"/>
                <w:numId w:val="0"/>
              </w:numPr>
              <w:rPr>
                <w:rFonts w:eastAsiaTheme="minorEastAsia"/>
              </w:rPr>
            </w:pPr>
            <w:r>
              <w:rPr>
                <w:rFonts w:eastAsiaTheme="minorEastAsia"/>
              </w:rPr>
              <w:t>1.4</w:t>
            </w:r>
          </w:p>
        </w:tc>
      </w:tr>
      <w:tr w:rsidR="003C44BF" w14:paraId="02E66BDA" w14:textId="77777777" w:rsidTr="00A22163">
        <w:tc>
          <w:tcPr>
            <w:tcW w:w="1543" w:type="dxa"/>
          </w:tcPr>
          <w:p w14:paraId="6C7085AC" w14:textId="6E005858" w:rsidR="003C44BF" w:rsidRPr="007D5D87" w:rsidRDefault="003C44BF" w:rsidP="008334E4">
            <w:pPr>
              <w:pStyle w:val="Dash"/>
              <w:numPr>
                <w:ilvl w:val="0"/>
                <w:numId w:val="0"/>
              </w:numPr>
              <w:rPr>
                <w:rFonts w:eastAsiaTheme="minorEastAsia"/>
                <w:i/>
              </w:rPr>
            </w:pPr>
            <w:r w:rsidRPr="007D5D87">
              <w:rPr>
                <w:rFonts w:eastAsiaTheme="minorEastAsia"/>
                <w:i/>
              </w:rPr>
              <w:t>Change</w:t>
            </w:r>
            <w:r w:rsidR="007D5D87" w:rsidRPr="007D5D87">
              <w:rPr>
                <w:rFonts w:eastAsiaTheme="minorEastAsia"/>
                <w:i/>
              </w:rPr>
              <w:br/>
            </w:r>
            <w:r w:rsidRPr="007D5D87">
              <w:rPr>
                <w:rFonts w:eastAsiaTheme="minorEastAsia"/>
                <w:i/>
              </w:rPr>
              <w:t xml:space="preserve"> 2004</w:t>
            </w:r>
            <w:r w:rsidR="00252C43">
              <w:rPr>
                <w:rFonts w:eastAsiaTheme="minorEastAsia"/>
                <w:i/>
              </w:rPr>
              <w:noBreakHyphen/>
            </w:r>
            <w:r w:rsidRPr="007D5D87">
              <w:rPr>
                <w:rFonts w:eastAsiaTheme="minorEastAsia"/>
                <w:i/>
              </w:rPr>
              <w:t xml:space="preserve">2017 </w:t>
            </w:r>
            <w:r w:rsidR="007D5D87" w:rsidRPr="007D5D87">
              <w:rPr>
                <w:rFonts w:eastAsiaTheme="minorEastAsia"/>
                <w:i/>
              </w:rPr>
              <w:br/>
            </w:r>
            <w:r w:rsidRPr="007D5D87">
              <w:rPr>
                <w:rFonts w:eastAsiaTheme="minorEastAsia"/>
                <w:i/>
              </w:rPr>
              <w:t>(%)</w:t>
            </w:r>
          </w:p>
        </w:tc>
        <w:tc>
          <w:tcPr>
            <w:tcW w:w="1543" w:type="dxa"/>
          </w:tcPr>
          <w:p w14:paraId="33C4FA17" w14:textId="77777777" w:rsidR="003C44BF" w:rsidRDefault="003C44BF" w:rsidP="008334E4">
            <w:pPr>
              <w:pStyle w:val="Dash"/>
              <w:numPr>
                <w:ilvl w:val="0"/>
                <w:numId w:val="0"/>
              </w:numPr>
              <w:rPr>
                <w:rFonts w:eastAsiaTheme="minorEastAsia"/>
              </w:rPr>
            </w:pPr>
            <w:r>
              <w:rPr>
                <w:rFonts w:eastAsiaTheme="minorEastAsia"/>
              </w:rPr>
              <w:t>6.2</w:t>
            </w:r>
          </w:p>
        </w:tc>
        <w:tc>
          <w:tcPr>
            <w:tcW w:w="1543" w:type="dxa"/>
          </w:tcPr>
          <w:p w14:paraId="26BB1FB2" w14:textId="77777777" w:rsidR="003C44BF" w:rsidRDefault="003C44BF" w:rsidP="008334E4">
            <w:pPr>
              <w:pStyle w:val="Dash"/>
              <w:numPr>
                <w:ilvl w:val="0"/>
                <w:numId w:val="0"/>
              </w:numPr>
              <w:rPr>
                <w:rFonts w:eastAsiaTheme="minorEastAsia"/>
              </w:rPr>
            </w:pPr>
            <w:proofErr w:type="spellStart"/>
            <w:r>
              <w:rPr>
                <w:rFonts w:eastAsiaTheme="minorEastAsia"/>
              </w:rPr>
              <w:t>na</w:t>
            </w:r>
            <w:proofErr w:type="spellEnd"/>
          </w:p>
        </w:tc>
        <w:tc>
          <w:tcPr>
            <w:tcW w:w="1543" w:type="dxa"/>
          </w:tcPr>
          <w:p w14:paraId="73BBB33F" w14:textId="36D4F4B5" w:rsidR="003C44BF" w:rsidRDefault="00856C5C" w:rsidP="008334E4">
            <w:pPr>
              <w:pStyle w:val="Dash"/>
              <w:numPr>
                <w:ilvl w:val="0"/>
                <w:numId w:val="0"/>
              </w:numPr>
              <w:rPr>
                <w:rFonts w:eastAsiaTheme="minorEastAsia"/>
              </w:rPr>
            </w:pPr>
            <w:r>
              <w:rPr>
                <w:rFonts w:eastAsiaTheme="minorEastAsia"/>
              </w:rPr>
              <w:t>4.1</w:t>
            </w:r>
          </w:p>
        </w:tc>
        <w:tc>
          <w:tcPr>
            <w:tcW w:w="1544" w:type="dxa"/>
          </w:tcPr>
          <w:p w14:paraId="02D871F3" w14:textId="1F4D0367" w:rsidR="003C44BF" w:rsidRDefault="00856C5C" w:rsidP="008334E4">
            <w:pPr>
              <w:pStyle w:val="Dash"/>
              <w:numPr>
                <w:ilvl w:val="0"/>
                <w:numId w:val="0"/>
              </w:numPr>
              <w:rPr>
                <w:rFonts w:eastAsiaTheme="minorEastAsia"/>
              </w:rPr>
            </w:pPr>
            <w:r>
              <w:rPr>
                <w:rFonts w:eastAsiaTheme="minorEastAsia"/>
              </w:rPr>
              <w:t>3.0</w:t>
            </w:r>
          </w:p>
        </w:tc>
        <w:tc>
          <w:tcPr>
            <w:tcW w:w="1544" w:type="dxa"/>
          </w:tcPr>
          <w:p w14:paraId="449826B5" w14:textId="77777777" w:rsidR="003C44BF" w:rsidRDefault="003C44BF" w:rsidP="008334E4">
            <w:pPr>
              <w:pStyle w:val="Dash"/>
              <w:numPr>
                <w:ilvl w:val="0"/>
                <w:numId w:val="0"/>
              </w:numPr>
              <w:rPr>
                <w:rFonts w:eastAsiaTheme="minorEastAsia"/>
              </w:rPr>
            </w:pPr>
            <w:r>
              <w:rPr>
                <w:rFonts w:eastAsiaTheme="minorEastAsia"/>
              </w:rPr>
              <w:t>6.9</w:t>
            </w:r>
          </w:p>
        </w:tc>
        <w:tc>
          <w:tcPr>
            <w:tcW w:w="1544" w:type="dxa"/>
          </w:tcPr>
          <w:p w14:paraId="1C11C6C6" w14:textId="77777777" w:rsidR="003C44BF" w:rsidRDefault="003C44BF" w:rsidP="008334E4">
            <w:pPr>
              <w:pStyle w:val="Dash"/>
              <w:numPr>
                <w:ilvl w:val="0"/>
                <w:numId w:val="0"/>
              </w:numPr>
              <w:rPr>
                <w:rFonts w:eastAsiaTheme="minorEastAsia"/>
              </w:rPr>
            </w:pPr>
            <w:proofErr w:type="spellStart"/>
            <w:r>
              <w:rPr>
                <w:rFonts w:eastAsiaTheme="minorEastAsia"/>
              </w:rPr>
              <w:t>na</w:t>
            </w:r>
            <w:proofErr w:type="spellEnd"/>
          </w:p>
        </w:tc>
        <w:tc>
          <w:tcPr>
            <w:tcW w:w="1544" w:type="dxa"/>
          </w:tcPr>
          <w:p w14:paraId="71035C50" w14:textId="201D3488" w:rsidR="003C44BF" w:rsidRDefault="00856C5C" w:rsidP="008334E4">
            <w:pPr>
              <w:pStyle w:val="Dash"/>
              <w:numPr>
                <w:ilvl w:val="0"/>
                <w:numId w:val="0"/>
              </w:numPr>
              <w:rPr>
                <w:rFonts w:eastAsiaTheme="minorEastAsia"/>
              </w:rPr>
            </w:pPr>
            <w:r>
              <w:rPr>
                <w:rFonts w:eastAsiaTheme="minorEastAsia"/>
              </w:rPr>
              <w:t>3.4</w:t>
            </w:r>
          </w:p>
        </w:tc>
        <w:tc>
          <w:tcPr>
            <w:tcW w:w="1544" w:type="dxa"/>
          </w:tcPr>
          <w:p w14:paraId="28F966B8" w14:textId="3482EC85" w:rsidR="003C44BF" w:rsidRDefault="00856C5C" w:rsidP="008334E4">
            <w:pPr>
              <w:pStyle w:val="Dash"/>
              <w:numPr>
                <w:ilvl w:val="0"/>
                <w:numId w:val="0"/>
              </w:numPr>
              <w:rPr>
                <w:rFonts w:eastAsiaTheme="minorEastAsia"/>
              </w:rPr>
            </w:pPr>
            <w:r>
              <w:rPr>
                <w:rFonts w:eastAsiaTheme="minorEastAsia"/>
              </w:rPr>
              <w:t>1.1</w:t>
            </w:r>
          </w:p>
        </w:tc>
      </w:tr>
    </w:tbl>
    <w:p w14:paraId="45541810" w14:textId="6825A230" w:rsidR="003C44BF" w:rsidRPr="00856C5C" w:rsidRDefault="003C44BF" w:rsidP="00856C5C">
      <w:pPr>
        <w:rPr>
          <w:sz w:val="18"/>
        </w:rPr>
        <w:sectPr w:rsidR="003C44BF" w:rsidRPr="00856C5C" w:rsidSect="003C44BF">
          <w:pgSz w:w="16838" w:h="11906" w:orient="landscape" w:code="9"/>
          <w:pgMar w:top="1304" w:right="1418" w:bottom="1304" w:left="1418" w:header="567" w:footer="567" w:gutter="0"/>
          <w:pgNumType w:start="1"/>
          <w:cols w:space="708"/>
          <w:titlePg/>
          <w:docGrid w:linePitch="360"/>
        </w:sectPr>
      </w:pPr>
      <w:r>
        <w:rPr>
          <w:sz w:val="18"/>
        </w:rPr>
        <w:t>Note: Mark</w:t>
      </w:r>
      <w:r w:rsidR="00252C43">
        <w:rPr>
          <w:sz w:val="18"/>
        </w:rPr>
        <w:noBreakHyphen/>
      </w:r>
      <w:r>
        <w:rPr>
          <w:sz w:val="18"/>
        </w:rPr>
        <w:t xml:space="preserve">up </w:t>
      </w:r>
      <w:proofErr w:type="spellStart"/>
      <w:r>
        <w:rPr>
          <w:sz w:val="18"/>
        </w:rPr>
        <w:t>Traina</w:t>
      </w:r>
      <w:proofErr w:type="spellEnd"/>
      <w:r>
        <w:rPr>
          <w:sz w:val="18"/>
        </w:rPr>
        <w:t xml:space="preserve"> is the model including fixed costs as variable. Mark</w:t>
      </w:r>
      <w:r w:rsidR="00252C43">
        <w:rPr>
          <w:sz w:val="18"/>
        </w:rPr>
        <w:noBreakHyphen/>
      </w:r>
      <w:r>
        <w:rPr>
          <w:sz w:val="18"/>
        </w:rPr>
        <w:t xml:space="preserve">up (De </w:t>
      </w:r>
      <w:proofErr w:type="spellStart"/>
      <w:r>
        <w:rPr>
          <w:sz w:val="18"/>
        </w:rPr>
        <w:t>L</w:t>
      </w:r>
      <w:r w:rsidR="007D5D87">
        <w:rPr>
          <w:sz w:val="18"/>
        </w:rPr>
        <w:t>oecker</w:t>
      </w:r>
      <w:proofErr w:type="spellEnd"/>
      <w:r>
        <w:rPr>
          <w:sz w:val="18"/>
        </w:rPr>
        <w:t>) is the approach including fixed costs as a separate input into the production function.</w:t>
      </w:r>
      <w:r w:rsidR="00856C5C">
        <w:rPr>
          <w:sz w:val="18"/>
        </w:rPr>
        <w:t xml:space="preserve"> Excess mark</w:t>
      </w:r>
      <w:r w:rsidR="00252C43">
        <w:rPr>
          <w:sz w:val="18"/>
        </w:rPr>
        <w:noBreakHyphen/>
      </w:r>
      <w:r w:rsidR="00856C5C">
        <w:rPr>
          <w:sz w:val="18"/>
        </w:rPr>
        <w:t xml:space="preserve">ups </w:t>
      </w:r>
      <w:r w:rsidR="00856C5C" w:rsidRPr="00856C5C">
        <w:rPr>
          <w:sz w:val="18"/>
          <w:szCs w:val="18"/>
        </w:rPr>
        <w:t xml:space="preserve">exclude agriculture, </w:t>
      </w:r>
      <w:proofErr w:type="gramStart"/>
      <w:r w:rsidR="00856C5C" w:rsidRPr="00856C5C">
        <w:rPr>
          <w:sz w:val="18"/>
          <w:szCs w:val="18"/>
        </w:rPr>
        <w:t>mining</w:t>
      </w:r>
      <w:proofErr w:type="gramEnd"/>
      <w:r w:rsidR="00856C5C" w:rsidRPr="00856C5C">
        <w:rPr>
          <w:sz w:val="18"/>
          <w:szCs w:val="18"/>
        </w:rPr>
        <w:t xml:space="preserve"> and utilities divisions.</w:t>
      </w:r>
    </w:p>
    <w:p w14:paraId="7E65E460" w14:textId="3C7A9287" w:rsidR="0095241E" w:rsidRDefault="0095241E" w:rsidP="003245CC">
      <w:pPr>
        <w:pStyle w:val="Heading2"/>
        <w:numPr>
          <w:ilvl w:val="0"/>
          <w:numId w:val="0"/>
        </w:numPr>
      </w:pPr>
      <w:r>
        <w:lastRenderedPageBreak/>
        <w:t>Appendix D: Market Concentration</w:t>
      </w:r>
    </w:p>
    <w:p w14:paraId="4F574DF8" w14:textId="52ED925F" w:rsidR="00D76873" w:rsidRDefault="003245CC" w:rsidP="00E16056">
      <w:pPr>
        <w:jc w:val="both"/>
      </w:pPr>
      <w:r>
        <w:t>As discussed in the text, there might be some concerns about the ability to identify the levels of mark</w:t>
      </w:r>
      <w:r w:rsidR="00252C43">
        <w:noBreakHyphen/>
      </w:r>
      <w:r>
        <w:t>ups without having access to firm</w:t>
      </w:r>
      <w:r w:rsidR="00252C43">
        <w:noBreakHyphen/>
      </w:r>
      <w:r>
        <w:t xml:space="preserve">level prices. I deal with this by focusing on changes, rather than levels, which should not be subject to the same concerns. But to provide further </w:t>
      </w:r>
      <w:r w:rsidR="00D76873">
        <w:t>evidence, I also reproduce some of the analysis looking at measures of industry concentration.</w:t>
      </w:r>
    </w:p>
    <w:p w14:paraId="0A83BD7B" w14:textId="15DADB29" w:rsidR="003245CC" w:rsidRDefault="00D76873" w:rsidP="00E16056">
      <w:pPr>
        <w:jc w:val="both"/>
      </w:pPr>
      <w:r>
        <w:t>I construct measures of industry concentration using sales data from firms</w:t>
      </w:r>
      <w:r w:rsidR="00252C43">
        <w:t>’</w:t>
      </w:r>
      <w:r>
        <w:t xml:space="preserve"> B</w:t>
      </w:r>
      <w:r w:rsidR="00BD17E1">
        <w:t>usiness Activity Statements from 2001/02 to 2015/16. Industries are defined as 4</w:t>
      </w:r>
      <w:r w:rsidR="00252C43">
        <w:noBreakHyphen/>
      </w:r>
      <w:r w:rsidR="00BD17E1">
        <w:t>digit ANZSIC industries. The measure of concentration is the share of sales accruing to the largest 4 firms in an industry. I exclude the public sector, and the financial sector, and remove some extreme outliers.</w:t>
      </w:r>
    </w:p>
    <w:p w14:paraId="78A47509" w14:textId="7E11F101" w:rsidR="001817DA" w:rsidRDefault="001817DA" w:rsidP="00E16056">
      <w:pPr>
        <w:jc w:val="both"/>
      </w:pPr>
      <w:r>
        <w:t>Figures 2 and 3 in the main text show the key takeaways. Concentration has, on average, increased over time by around 2 percentage points.</w:t>
      </w:r>
      <w:r w:rsidR="00271A87">
        <w:t xml:space="preserve"> Concentration increased in about 2/3 of the 4</w:t>
      </w:r>
      <w:r w:rsidR="00252C43">
        <w:noBreakHyphen/>
      </w:r>
      <w:r w:rsidR="00271A87">
        <w:t xml:space="preserve">digit ANZSIC industries. </w:t>
      </w:r>
      <w:r>
        <w:t>At the same time, the top firms have become more entrenched, and less likely to be replaced by other small firms at the top of the industry.</w:t>
      </w:r>
    </w:p>
    <w:p w14:paraId="1F906963" w14:textId="3C864417" w:rsidR="00BA6546" w:rsidRDefault="00BA6546" w:rsidP="00E16056">
      <w:pPr>
        <w:jc w:val="both"/>
      </w:pPr>
      <w:r>
        <w:t xml:space="preserve">The results are generally consistent to using other industry definitions, using other concentration metrics, and to looking only at domestic sales. They are also not driven by industries such as manufacturing and mining, which are highly tradeable on the global market, and so for which domestic concentration metrics may not be particularly relevant </w:t>
      </w:r>
    </w:p>
    <w:p w14:paraId="6E74CBFB" w14:textId="4A2F6BF2" w:rsidR="00373491" w:rsidRDefault="00373491" w:rsidP="00E16056">
      <w:pPr>
        <w:jc w:val="both"/>
      </w:pPr>
      <w:r>
        <w:t>If we use the concentration of employment, rather than sales, the concentration metrics are lower</w:t>
      </w:r>
      <w:r w:rsidR="00FC2CB7">
        <w:t xml:space="preserve"> (Figure 19)</w:t>
      </w:r>
      <w:r>
        <w:t>. They also appear to increase by slightly less, particularly since the mid</w:t>
      </w:r>
      <w:r w:rsidR="00252C43">
        <w:noBreakHyphen/>
      </w:r>
      <w:r>
        <w:t>2000s when our measure of mark</w:t>
      </w:r>
      <w:r w:rsidR="00252C43">
        <w:noBreakHyphen/>
      </w:r>
      <w:r>
        <w:t>ups increased. As discussed in Edmond et al (2019), this is indicative of rising variable mark</w:t>
      </w:r>
      <w:r w:rsidR="00252C43">
        <w:noBreakHyphen/>
      </w:r>
      <w:r>
        <w:t xml:space="preserve">ups. </w:t>
      </w:r>
    </w:p>
    <w:p w14:paraId="31E49208" w14:textId="24DEC956" w:rsidR="00F14548" w:rsidRPr="00F14548" w:rsidRDefault="00F14548" w:rsidP="00A22163">
      <w:pPr>
        <w:pStyle w:val="ChartMainHeading"/>
      </w:pPr>
      <w:r w:rsidRPr="00F14548">
        <w:t xml:space="preserve">Figure </w:t>
      </w:r>
      <w:fldSimple w:instr=" SEQ Figure \* ARABIC ">
        <w:r w:rsidR="007D6DAF">
          <w:rPr>
            <w:noProof/>
          </w:rPr>
          <w:t>19</w:t>
        </w:r>
      </w:fldSimple>
      <w:r w:rsidRPr="00F14548">
        <w:t>: Share of Sales in Industries Made by Largest 4 Firms</w:t>
      </w:r>
    </w:p>
    <w:p w14:paraId="368E3552" w14:textId="44E58D54" w:rsidR="00F14548" w:rsidRDefault="00A97092" w:rsidP="00A22163">
      <w:pPr>
        <w:pStyle w:val="Captiongraphic"/>
      </w:pPr>
      <w:r w:rsidRPr="00A97092">
        <w:rPr>
          <w:noProof/>
          <w:lang w:eastAsia="en-AU"/>
        </w:rPr>
        <w:drawing>
          <wp:inline distT="0" distB="0" distL="0" distR="0" wp14:anchorId="36F4DC35" wp14:editId="30A2A82C">
            <wp:extent cx="5575300" cy="2876550"/>
            <wp:effectExtent l="0" t="0" r="0" b="0"/>
            <wp:docPr id="24" name="Picture 24" descr="This chart shows the unweighted average of industry level shares of sales employment accounted for by the largest 4 firms in every industry. The average share of sales is higher, at a bit over 40 per cent, compared to the employment weighted share, which is a bit below 40 per cent. The employment share increase sharply around 2005 by 1 to 2 percentage points, but has been broadly flat since then. The sales shares have increased consistently since around 2005 by about 2 percentage points. These findings re consistent with the increase in mark-ups since the mid-20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75300" cy="2876550"/>
                    </a:xfrm>
                    <a:prstGeom prst="rect">
                      <a:avLst/>
                    </a:prstGeom>
                    <a:noFill/>
                    <a:ln>
                      <a:noFill/>
                    </a:ln>
                  </pic:spPr>
                </pic:pic>
              </a:graphicData>
            </a:graphic>
          </wp:inline>
        </w:drawing>
      </w:r>
    </w:p>
    <w:p w14:paraId="2DBDBB94" w14:textId="7A8E6D9C" w:rsidR="00F14548" w:rsidRDefault="00F14548" w:rsidP="00F14548">
      <w:pPr>
        <w:pStyle w:val="Chartnote"/>
        <w:keepNext/>
        <w:spacing w:after="240"/>
      </w:pPr>
      <w:r>
        <w:t>Note:   Unweighted average of industry</w:t>
      </w:r>
      <w:r w:rsidR="00252C43">
        <w:noBreakHyphen/>
      </w:r>
      <w:r>
        <w:t>level shares. Employment measure is FTE employees. Treasury calculations based on ABS BLADE.</w:t>
      </w:r>
    </w:p>
    <w:p w14:paraId="2E5D5E13" w14:textId="102001A4" w:rsidR="00271A87" w:rsidRDefault="00271A87" w:rsidP="00E16056">
      <w:pPr>
        <w:jc w:val="both"/>
      </w:pPr>
      <w:r>
        <w:t>As discussed in the text, concentration is not a perfect metric of market power, and it could increase due, for example, to change returns to scale, or even increasing competition that benefits the best firms (though this explanation would be inconsistent with the increasing entrenchment of th</w:t>
      </w:r>
      <w:r w:rsidR="00BA6546">
        <w:t>e</w:t>
      </w:r>
      <w:r>
        <w:t xml:space="preserve"> top firms). If, on the other hand, increasing concentration reflects decreasing competition, driven by less potential </w:t>
      </w:r>
      <w:r>
        <w:lastRenderedPageBreak/>
        <w:t xml:space="preserve">competition of increasing barriers to entry, it should be associated with weaker selection effects, </w:t>
      </w:r>
      <w:proofErr w:type="gramStart"/>
      <w:r>
        <w:t>similar to</w:t>
      </w:r>
      <w:proofErr w:type="gramEnd"/>
      <w:r>
        <w:t xml:space="preserve"> mark</w:t>
      </w:r>
      <w:r w:rsidR="00252C43">
        <w:noBreakHyphen/>
      </w:r>
      <w:r>
        <w:t>ups.</w:t>
      </w:r>
    </w:p>
    <w:p w14:paraId="0D952E0C" w14:textId="510CFDB4" w:rsidR="00271A87" w:rsidRDefault="00271A87" w:rsidP="00E16056">
      <w:pPr>
        <w:jc w:val="both"/>
      </w:pPr>
      <w:r>
        <w:t>To examine this, and to provide additional support to the results in text, I run similar selection and growth models</w:t>
      </w:r>
      <w:r w:rsidR="00BA6546">
        <w:t xml:space="preserve"> to those in Section </w:t>
      </w:r>
      <w:proofErr w:type="gramStart"/>
      <w:r w:rsidR="00BA6546">
        <w:t>6.1, but</w:t>
      </w:r>
      <w:proofErr w:type="gramEnd"/>
      <w:r w:rsidR="00BA6546">
        <w:t xml:space="preserve"> replacing mark</w:t>
      </w:r>
      <w:r w:rsidR="00252C43">
        <w:noBreakHyphen/>
      </w:r>
      <w:r w:rsidR="00BA6546">
        <w:t>ups with concentration. I focus on labour productivity, and remove the interaction between industry and productivity given I am less concerned with identifying the level of concentration, and for computational reasons.</w:t>
      </w:r>
      <w:r w:rsidR="00930E1F">
        <w:rPr>
          <w:rStyle w:val="FootnoteReference"/>
        </w:rPr>
        <w:footnoteReference w:id="26"/>
      </w:r>
      <w:r w:rsidR="00682FE6">
        <w:t xml:space="preserve"> I use gross output labour productivity, rather than value</w:t>
      </w:r>
      <w:r w:rsidR="00252C43">
        <w:noBreakHyphen/>
      </w:r>
      <w:r w:rsidR="00682FE6">
        <w:t xml:space="preserve">added, </w:t>
      </w:r>
      <w:r w:rsidR="00930E1F">
        <w:t>as the measure of intermediate inputs in this data is likely to include a number of expenses that are treated as fixed in the mark</w:t>
      </w:r>
      <w:r w:rsidR="00252C43">
        <w:noBreakHyphen/>
      </w:r>
      <w:r w:rsidR="00930E1F">
        <w:t>up analysis.</w:t>
      </w:r>
      <w:r w:rsidR="00930E1F">
        <w:rPr>
          <w:rStyle w:val="FootnoteReference"/>
        </w:rPr>
        <w:footnoteReference w:id="27"/>
      </w:r>
    </w:p>
    <w:p w14:paraId="7D7A3D73" w14:textId="108670F2" w:rsidR="00E16056" w:rsidRDefault="00E16056" w:rsidP="00E16056">
      <w:pPr>
        <w:jc w:val="both"/>
      </w:pPr>
      <w:r>
        <w:t xml:space="preserve">The results of the regression are contained in Table D1. As in the main text, the coefficient on productivity in the exit the exit regression is negative and in the </w:t>
      </w:r>
      <w:proofErr w:type="gramStart"/>
      <w:r>
        <w:t>growth</w:t>
      </w:r>
      <w:proofErr w:type="gramEnd"/>
      <w:r>
        <w:t xml:space="preserve"> regression is positive, indicating that more productive firms are less likely to exit, and more likely to grow. The coefficients on the interaction of productivity and concentration are the opposite, indicating that the selection effects are weaker in more concentrated industries.</w:t>
      </w:r>
    </w:p>
    <w:tbl>
      <w:tblPr>
        <w:tblStyle w:val="TableGrid"/>
        <w:tblW w:w="0" w:type="auto"/>
        <w:tblLook w:val="04A0" w:firstRow="1" w:lastRow="0" w:firstColumn="1" w:lastColumn="0" w:noHBand="0" w:noVBand="1"/>
      </w:tblPr>
      <w:tblGrid>
        <w:gridCol w:w="886"/>
        <w:gridCol w:w="4212"/>
        <w:gridCol w:w="3918"/>
      </w:tblGrid>
      <w:tr w:rsidR="009673A3" w14:paraId="29965F8D" w14:textId="77777777" w:rsidTr="005F4722">
        <w:tc>
          <w:tcPr>
            <w:tcW w:w="9016" w:type="dxa"/>
            <w:gridSpan w:val="3"/>
          </w:tcPr>
          <w:p w14:paraId="40C6E6F0" w14:textId="49E4E68F" w:rsidR="009673A3" w:rsidRPr="00B60CB0" w:rsidRDefault="009673A3" w:rsidP="00A22163">
            <w:pPr>
              <w:pStyle w:val="TableMainHeading"/>
              <w:rPr>
                <w:rFonts w:eastAsiaTheme="minorEastAsia"/>
              </w:rPr>
            </w:pPr>
            <w:r w:rsidRPr="00B60CB0">
              <w:rPr>
                <w:rFonts w:eastAsiaTheme="minorEastAsia"/>
              </w:rPr>
              <w:t xml:space="preserve">Table </w:t>
            </w:r>
            <w:r w:rsidR="00C16B1E">
              <w:rPr>
                <w:rFonts w:eastAsiaTheme="minorEastAsia"/>
              </w:rPr>
              <w:t>D1</w:t>
            </w:r>
            <w:r w:rsidRPr="00B60CB0">
              <w:rPr>
                <w:rFonts w:eastAsiaTheme="minorEastAsia"/>
              </w:rPr>
              <w:t xml:space="preserve">: Results from </w:t>
            </w:r>
            <w:r>
              <w:rPr>
                <w:rFonts w:eastAsiaTheme="minorEastAsia"/>
              </w:rPr>
              <w:t>Selection and Reallocation Regressions</w:t>
            </w:r>
          </w:p>
        </w:tc>
      </w:tr>
      <w:tr w:rsidR="00B0324D" w14:paraId="5A86DC71" w14:textId="77777777" w:rsidTr="005F4722">
        <w:tc>
          <w:tcPr>
            <w:tcW w:w="886" w:type="dxa"/>
          </w:tcPr>
          <w:p w14:paraId="4F1997FF" w14:textId="77777777" w:rsidR="00B0324D" w:rsidRDefault="00B0324D" w:rsidP="00B0324D">
            <w:pPr>
              <w:rPr>
                <w:rFonts w:eastAsiaTheme="minorEastAsia"/>
              </w:rPr>
            </w:pPr>
          </w:p>
        </w:tc>
        <w:tc>
          <w:tcPr>
            <w:tcW w:w="4212" w:type="dxa"/>
          </w:tcPr>
          <w:p w14:paraId="23E8E6D5" w14:textId="409E192B" w:rsidR="00B0324D" w:rsidRDefault="00B0324D" w:rsidP="00B0324D">
            <w:pPr>
              <w:jc w:val="center"/>
              <w:rPr>
                <w:rFonts w:eastAsiaTheme="minorEastAsia"/>
              </w:rPr>
            </w:pPr>
            <w:r w:rsidRPr="00743BA0">
              <w:rPr>
                <w:rFonts w:eastAsiaTheme="minorEastAsia"/>
                <w:i/>
              </w:rPr>
              <w:t xml:space="preserve">Dependent variable: </w:t>
            </w:r>
            <m:oMath>
              <m:sSub>
                <m:sSubPr>
                  <m:ctrlPr>
                    <w:rPr>
                      <w:rFonts w:ascii="Cambria Math" w:hAnsi="Cambria Math"/>
                      <w:i/>
                    </w:rPr>
                  </m:ctrlPr>
                </m:sSubPr>
                <m:e>
                  <m:r>
                    <w:rPr>
                      <w:rFonts w:ascii="Cambria Math" w:hAnsi="Cambria Math"/>
                    </w:rPr>
                    <m:t>Exit</m:t>
                  </m:r>
                </m:e>
                <m:sub>
                  <m:r>
                    <w:rPr>
                      <w:rFonts w:ascii="Cambria Math" w:hAnsi="Cambria Math"/>
                    </w:rPr>
                    <m:t>i,t+1</m:t>
                  </m:r>
                </m:sub>
              </m:sSub>
            </m:oMath>
          </w:p>
        </w:tc>
        <w:tc>
          <w:tcPr>
            <w:tcW w:w="3918" w:type="dxa"/>
          </w:tcPr>
          <w:p w14:paraId="38EC4103" w14:textId="271283E7" w:rsidR="00B0324D" w:rsidRDefault="00B0324D" w:rsidP="00B0324D">
            <w:pPr>
              <w:jc w:val="center"/>
              <w:rPr>
                <w:rFonts w:eastAsiaTheme="minorEastAsia"/>
              </w:rPr>
            </w:pPr>
            <w:r w:rsidRPr="00743BA0">
              <w:rPr>
                <w:rFonts w:eastAsiaTheme="minorEastAsia"/>
                <w:i/>
              </w:rPr>
              <w:t xml:space="preserve">Dependent Variable: </w:t>
            </w:r>
            <m:oMath>
              <m:sSubSup>
                <m:sSubSupPr>
                  <m:ctrlPr>
                    <w:rPr>
                      <w:rFonts w:ascii="Cambria Math" w:hAnsi="Cambria Math"/>
                      <w:i/>
                    </w:rPr>
                  </m:ctrlPr>
                </m:sSubSupPr>
                <m:e>
                  <m:r>
                    <w:rPr>
                      <w:rFonts w:ascii="Cambria Math" w:hAnsi="Cambria Math"/>
                    </w:rPr>
                    <m:t>g</m:t>
                  </m:r>
                </m:e>
                <m:sub>
                  <m:r>
                    <w:rPr>
                      <w:rFonts w:ascii="Cambria Math" w:hAnsi="Cambria Math"/>
                    </w:rPr>
                    <m:t>i,t+1</m:t>
                  </m:r>
                </m:sub>
                <m:sup>
                  <m:r>
                    <w:rPr>
                      <w:rFonts w:ascii="Cambria Math" w:hAnsi="Cambria Math"/>
                    </w:rPr>
                    <m:t>L</m:t>
                  </m:r>
                </m:sup>
              </m:sSubSup>
            </m:oMath>
          </w:p>
        </w:tc>
      </w:tr>
      <w:tr w:rsidR="00B0324D" w14:paraId="137FE627" w14:textId="77777777" w:rsidTr="005F4722">
        <w:tc>
          <w:tcPr>
            <w:tcW w:w="886" w:type="dxa"/>
          </w:tcPr>
          <w:p w14:paraId="2BB06806" w14:textId="77777777" w:rsidR="00B0324D" w:rsidRDefault="00B0324D" w:rsidP="00B0324D">
            <w:pPr>
              <w:rPr>
                <w:rFonts w:eastAsiaTheme="minorEastAsia"/>
              </w:rPr>
            </w:pPr>
            <w:r>
              <w:rPr>
                <w:rFonts w:eastAsiaTheme="minorEastAsia"/>
              </w:rPr>
              <w:t>β</w:t>
            </w:r>
          </w:p>
        </w:tc>
        <w:tc>
          <w:tcPr>
            <w:tcW w:w="4212" w:type="dxa"/>
          </w:tcPr>
          <w:p w14:paraId="16B45498" w14:textId="5EF4D3F1" w:rsidR="00B0324D" w:rsidRDefault="00252C43" w:rsidP="00B0324D">
            <w:pPr>
              <w:jc w:val="center"/>
              <w:rPr>
                <w:rFonts w:eastAsiaTheme="minorEastAsia"/>
              </w:rPr>
            </w:pPr>
            <w:r>
              <w:rPr>
                <w:rFonts w:eastAsiaTheme="minorEastAsia"/>
              </w:rPr>
              <w:noBreakHyphen/>
            </w:r>
            <w:r w:rsidR="00647005">
              <w:rPr>
                <w:rFonts w:eastAsiaTheme="minorEastAsia"/>
              </w:rPr>
              <w:t>0.009***</w:t>
            </w:r>
          </w:p>
        </w:tc>
        <w:tc>
          <w:tcPr>
            <w:tcW w:w="3918" w:type="dxa"/>
          </w:tcPr>
          <w:p w14:paraId="5D369F08" w14:textId="63F43E2E" w:rsidR="00B0324D" w:rsidRDefault="00647005" w:rsidP="00B0324D">
            <w:pPr>
              <w:jc w:val="center"/>
              <w:rPr>
                <w:rFonts w:eastAsiaTheme="minorEastAsia"/>
              </w:rPr>
            </w:pPr>
            <w:r>
              <w:rPr>
                <w:rFonts w:eastAsiaTheme="minorEastAsia"/>
              </w:rPr>
              <w:t>0.140***</w:t>
            </w:r>
          </w:p>
        </w:tc>
      </w:tr>
      <w:tr w:rsidR="00B0324D" w14:paraId="4F90F028" w14:textId="77777777" w:rsidTr="005F4722">
        <w:tc>
          <w:tcPr>
            <w:tcW w:w="886" w:type="dxa"/>
          </w:tcPr>
          <w:p w14:paraId="2CAD1D64" w14:textId="77777777" w:rsidR="00B0324D" w:rsidRDefault="00B0324D" w:rsidP="00B0324D">
            <w:pPr>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4212" w:type="dxa"/>
          </w:tcPr>
          <w:p w14:paraId="1A882EF6" w14:textId="38C7939A" w:rsidR="00B0324D" w:rsidRDefault="00647005" w:rsidP="00B0324D">
            <w:pPr>
              <w:jc w:val="center"/>
              <w:rPr>
                <w:rFonts w:eastAsiaTheme="minorEastAsia"/>
              </w:rPr>
            </w:pPr>
            <w:r>
              <w:rPr>
                <w:rFonts w:eastAsiaTheme="minorEastAsia"/>
              </w:rPr>
              <w:t>(0.001)</w:t>
            </w:r>
          </w:p>
        </w:tc>
        <w:tc>
          <w:tcPr>
            <w:tcW w:w="3918" w:type="dxa"/>
          </w:tcPr>
          <w:p w14:paraId="0981B1DC" w14:textId="1FE3F53E" w:rsidR="00B0324D" w:rsidRDefault="00647005" w:rsidP="00B0324D">
            <w:pPr>
              <w:jc w:val="center"/>
              <w:rPr>
                <w:rFonts w:eastAsiaTheme="minorEastAsia"/>
              </w:rPr>
            </w:pPr>
            <w:r>
              <w:rPr>
                <w:rFonts w:eastAsiaTheme="minorEastAsia"/>
              </w:rPr>
              <w:t>(0.007)</w:t>
            </w:r>
          </w:p>
        </w:tc>
      </w:tr>
      <w:tr w:rsidR="00B0324D" w14:paraId="2CE19938" w14:textId="77777777" w:rsidTr="005F4722">
        <w:tc>
          <w:tcPr>
            <w:tcW w:w="886" w:type="dxa"/>
          </w:tcPr>
          <w:p w14:paraId="065A00F5" w14:textId="77777777" w:rsidR="00B0324D" w:rsidRPr="00B60CB0" w:rsidRDefault="00B0324D" w:rsidP="00B0324D">
            <w:pPr>
              <w:rPr>
                <w:rFonts w:eastAsiaTheme="minorEastAsia"/>
              </w:rPr>
            </w:pPr>
            <m:oMathPara>
              <m:oMathParaPr>
                <m:jc m:val="left"/>
              </m:oMathParaPr>
              <m:oMath>
                <m:r>
                  <w:rPr>
                    <w:rFonts w:ascii="Cambria Math" w:eastAsiaTheme="minorEastAsia" w:hAnsi="Cambria Math"/>
                  </w:rPr>
                  <m:t>γ</m:t>
                </m:r>
              </m:oMath>
            </m:oMathPara>
          </w:p>
        </w:tc>
        <w:tc>
          <w:tcPr>
            <w:tcW w:w="4212" w:type="dxa"/>
          </w:tcPr>
          <w:p w14:paraId="3F594F4A" w14:textId="47052029" w:rsidR="00B0324D" w:rsidRDefault="00647005" w:rsidP="00B0324D">
            <w:pPr>
              <w:jc w:val="center"/>
              <w:rPr>
                <w:rFonts w:eastAsiaTheme="minorEastAsia"/>
              </w:rPr>
            </w:pPr>
            <w:r>
              <w:rPr>
                <w:rFonts w:eastAsiaTheme="minorEastAsia"/>
              </w:rPr>
              <w:t>0.006**</w:t>
            </w:r>
          </w:p>
        </w:tc>
        <w:tc>
          <w:tcPr>
            <w:tcW w:w="3918" w:type="dxa"/>
          </w:tcPr>
          <w:p w14:paraId="1C6013BA" w14:textId="7BB2B272" w:rsidR="00B0324D" w:rsidRDefault="00252C43" w:rsidP="00B0324D">
            <w:pPr>
              <w:jc w:val="center"/>
              <w:rPr>
                <w:rFonts w:eastAsiaTheme="minorEastAsia"/>
              </w:rPr>
            </w:pPr>
            <w:r>
              <w:rPr>
                <w:rFonts w:eastAsiaTheme="minorEastAsia"/>
              </w:rPr>
              <w:noBreakHyphen/>
            </w:r>
            <w:r w:rsidR="00647005">
              <w:rPr>
                <w:rFonts w:eastAsiaTheme="minorEastAsia"/>
              </w:rPr>
              <w:t>0.089***</w:t>
            </w:r>
          </w:p>
        </w:tc>
      </w:tr>
      <w:tr w:rsidR="00B0324D" w14:paraId="3AF5F3AC" w14:textId="77777777" w:rsidTr="005F4722">
        <w:tc>
          <w:tcPr>
            <w:tcW w:w="886" w:type="dxa"/>
          </w:tcPr>
          <w:p w14:paraId="65BFBA3B" w14:textId="77777777" w:rsidR="00B0324D" w:rsidRDefault="00B0324D" w:rsidP="00B0324D">
            <w:pPr>
              <w:jc w:val="both"/>
              <w:rPr>
                <w:rFonts w:eastAsiaTheme="minorEastAsia"/>
              </w:rPr>
            </w:pPr>
            <w:r>
              <w:rPr>
                <w:rFonts w:eastAsiaTheme="minorEastAsia"/>
              </w:rPr>
              <w:t>(</w:t>
            </w:r>
            <w:proofErr w:type="spellStart"/>
            <w:r>
              <w:rPr>
                <w:rFonts w:eastAsiaTheme="minorEastAsia"/>
              </w:rPr>
              <w:t>s.e.</w:t>
            </w:r>
            <w:proofErr w:type="spellEnd"/>
            <w:r>
              <w:rPr>
                <w:rFonts w:eastAsiaTheme="minorEastAsia"/>
              </w:rPr>
              <w:t>)</w:t>
            </w:r>
          </w:p>
        </w:tc>
        <w:tc>
          <w:tcPr>
            <w:tcW w:w="4212" w:type="dxa"/>
          </w:tcPr>
          <w:p w14:paraId="61D4522F" w14:textId="336A6E4E" w:rsidR="00B0324D" w:rsidRDefault="00647005" w:rsidP="00B0324D">
            <w:pPr>
              <w:jc w:val="center"/>
              <w:rPr>
                <w:rFonts w:eastAsiaTheme="minorEastAsia"/>
              </w:rPr>
            </w:pPr>
            <w:r>
              <w:rPr>
                <w:rFonts w:eastAsiaTheme="minorEastAsia"/>
              </w:rPr>
              <w:t>(0.003)</w:t>
            </w:r>
          </w:p>
        </w:tc>
        <w:tc>
          <w:tcPr>
            <w:tcW w:w="3918" w:type="dxa"/>
          </w:tcPr>
          <w:p w14:paraId="260F7B32" w14:textId="02D8DCA5" w:rsidR="00B0324D" w:rsidRDefault="00647005" w:rsidP="00B0324D">
            <w:pPr>
              <w:jc w:val="center"/>
              <w:rPr>
                <w:rFonts w:eastAsiaTheme="minorEastAsia"/>
              </w:rPr>
            </w:pPr>
            <w:r>
              <w:rPr>
                <w:rFonts w:eastAsiaTheme="minorEastAsia"/>
              </w:rPr>
              <w:t>(0.023)</w:t>
            </w:r>
          </w:p>
        </w:tc>
      </w:tr>
      <w:tr w:rsidR="00B0324D" w14:paraId="3CF43021" w14:textId="77777777" w:rsidTr="005F4722">
        <w:tc>
          <w:tcPr>
            <w:tcW w:w="886" w:type="dxa"/>
          </w:tcPr>
          <w:p w14:paraId="25D69B89" w14:textId="77777777" w:rsidR="00B0324D" w:rsidRDefault="00B0324D" w:rsidP="00B0324D">
            <w:pPr>
              <w:rPr>
                <w:rFonts w:eastAsiaTheme="minorEastAsia"/>
              </w:rPr>
            </w:pPr>
            <w:proofErr w:type="spellStart"/>
            <w:r>
              <w:rPr>
                <w:rFonts w:eastAsiaTheme="minorEastAsia"/>
              </w:rPr>
              <w:t>Obs</w:t>
            </w:r>
            <w:proofErr w:type="spellEnd"/>
            <w:r>
              <w:rPr>
                <w:rFonts w:eastAsiaTheme="minorEastAsia"/>
              </w:rPr>
              <w:t xml:space="preserve"> </w:t>
            </w:r>
          </w:p>
        </w:tc>
        <w:tc>
          <w:tcPr>
            <w:tcW w:w="4212" w:type="dxa"/>
          </w:tcPr>
          <w:p w14:paraId="30CAD9B2" w14:textId="6FA3298A" w:rsidR="00B0324D" w:rsidRDefault="00647005" w:rsidP="00B0324D">
            <w:pPr>
              <w:jc w:val="center"/>
              <w:rPr>
                <w:rFonts w:eastAsiaTheme="minorEastAsia"/>
              </w:rPr>
            </w:pPr>
            <w:r>
              <w:rPr>
                <w:rFonts w:eastAsiaTheme="minorEastAsia"/>
              </w:rPr>
              <w:t>~~$.9 million</w:t>
            </w:r>
          </w:p>
        </w:tc>
        <w:tc>
          <w:tcPr>
            <w:tcW w:w="3918" w:type="dxa"/>
          </w:tcPr>
          <w:p w14:paraId="4EA577DD" w14:textId="18EA4295" w:rsidR="00B0324D" w:rsidRDefault="00647005" w:rsidP="00647005">
            <w:pPr>
              <w:jc w:val="center"/>
              <w:rPr>
                <w:rFonts w:eastAsiaTheme="minorEastAsia"/>
              </w:rPr>
            </w:pPr>
            <w:r>
              <w:rPr>
                <w:rFonts w:eastAsiaTheme="minorEastAsia"/>
              </w:rPr>
              <w:t>~5.3 million</w:t>
            </w:r>
          </w:p>
        </w:tc>
      </w:tr>
    </w:tbl>
    <w:p w14:paraId="7EE72977" w14:textId="750BFD24" w:rsidR="009673A3" w:rsidRDefault="009673A3" w:rsidP="009673A3">
      <w:pPr>
        <w:rPr>
          <w:sz w:val="18"/>
        </w:rPr>
      </w:pPr>
      <w:r>
        <w:rPr>
          <w:sz w:val="18"/>
        </w:rPr>
        <w:t>Notes: *** p&lt;0.01, ** p&lt;0.05, *p&lt;0.</w:t>
      </w:r>
      <w:r w:rsidRPr="00C9549C">
        <w:rPr>
          <w:sz w:val="18"/>
        </w:rPr>
        <w:t xml:space="preserve">1. All specifications have </w:t>
      </w:r>
      <w:r>
        <w:rPr>
          <w:sz w:val="18"/>
        </w:rPr>
        <w:t xml:space="preserve">industry*year </w:t>
      </w:r>
      <w:r w:rsidRPr="00C9549C">
        <w:rPr>
          <w:sz w:val="18"/>
        </w:rPr>
        <w:t>fixed effects</w:t>
      </w:r>
      <w:r>
        <w:rPr>
          <w:sz w:val="18"/>
        </w:rPr>
        <w:t>, controls for size and past sales growth. Top and bottom percentile of productivity distribution drop trimmed</w:t>
      </w:r>
      <w:r w:rsidRPr="00C9549C">
        <w:rPr>
          <w:sz w:val="18"/>
        </w:rPr>
        <w:t xml:space="preserve">. Errors </w:t>
      </w:r>
      <w:r>
        <w:rPr>
          <w:sz w:val="18"/>
        </w:rPr>
        <w:t>clustered at the industry level.</w:t>
      </w:r>
    </w:p>
    <w:p w14:paraId="67FB5745" w14:textId="5B212DE4" w:rsidR="00743ECF" w:rsidRPr="00F83F01" w:rsidRDefault="00254CEE" w:rsidP="009673A3">
      <w:r w:rsidRPr="00254CEE">
        <w:t>To</w:t>
      </w:r>
      <w:r w:rsidRPr="00F83F01">
        <w:t xml:space="preserve"> give a sense of the size of this effect, </w:t>
      </w:r>
      <w:r w:rsidR="00E16056">
        <w:fldChar w:fldCharType="begin"/>
      </w:r>
      <w:r w:rsidR="00E16056">
        <w:instrText xml:space="preserve"> REF _Ref45201615 \h  \* MERGEFORMAT </w:instrText>
      </w:r>
      <w:r w:rsidR="00E16056">
        <w:fldChar w:fldCharType="separate"/>
      </w:r>
      <w:r w:rsidR="007D6DAF" w:rsidRPr="007D6DAF">
        <w:t>Figure 20</w:t>
      </w:r>
      <w:r w:rsidR="00E16056">
        <w:fldChar w:fldCharType="end"/>
      </w:r>
      <w:r w:rsidR="00E16056">
        <w:t xml:space="preserve"> </w:t>
      </w:r>
      <w:r w:rsidR="00F83F01">
        <w:t>shows how the rate of employment growth, or probability of firm exit differs between high and low productivity firms in high and low concentration industries. In a highly concentrated industry, the gap in employment growth between high and low productivity firms is 7 percentage points larger, indicating that reallocation occurs more quickly in these industries. Similarly, the gap in probably of exit is one percentage point higher in high concentration industries, indicating that there is more selection on productivity.</w:t>
      </w:r>
    </w:p>
    <w:p w14:paraId="44225E8B" w14:textId="77777777" w:rsidR="00A22163" w:rsidRDefault="00743ECF" w:rsidP="00A22163">
      <w:pPr>
        <w:pStyle w:val="ChartMainHeading"/>
      </w:pPr>
      <w:bookmarkStart w:id="13" w:name="_Ref45201615"/>
      <w:bookmarkStart w:id="14" w:name="_Ref45195583"/>
      <w:r w:rsidRPr="00743ECF">
        <w:lastRenderedPageBreak/>
        <w:t xml:space="preserve">Figure </w:t>
      </w:r>
      <w:fldSimple w:instr=" SEQ Figure \* ARABIC ">
        <w:r w:rsidR="007D6DAF">
          <w:rPr>
            <w:noProof/>
          </w:rPr>
          <w:t>20</w:t>
        </w:r>
      </w:fldSimple>
      <w:bookmarkEnd w:id="13"/>
      <w:r w:rsidRPr="00743ECF">
        <w:t xml:space="preserve">: </w:t>
      </w:r>
      <w:r>
        <w:t>Employment growth and Exit Probability Gap between High and Low Concentration Industries</w:t>
      </w:r>
      <w:bookmarkEnd w:id="14"/>
      <w:r w:rsidRPr="00743ECF">
        <w:t xml:space="preserve"> </w:t>
      </w:r>
    </w:p>
    <w:p w14:paraId="4FE2FACA" w14:textId="6FD471E5" w:rsidR="009673A3" w:rsidRPr="00254CEE" w:rsidRDefault="00743ECF" w:rsidP="00A22163">
      <w:pPr>
        <w:pStyle w:val="ChartGraphic"/>
        <w:rPr>
          <w:color w:val="auto"/>
        </w:rPr>
      </w:pPr>
      <w:r w:rsidRPr="00254CEE">
        <w:rPr>
          <w:noProof/>
        </w:rPr>
        <w:drawing>
          <wp:inline distT="0" distB="0" distL="0" distR="0" wp14:anchorId="7EF11B81" wp14:editId="16E07DFF">
            <wp:extent cx="5572125" cy="2514600"/>
            <wp:effectExtent l="0" t="0" r="0" b="0"/>
            <wp:docPr id="4" name="Picture 4" descr="This chart shows the difference in the exit and employment growth gaps between high and low concentration industries. Exit and employment growth gaps defined as the difference in modelled probability of exit, and employment growth rate, respectively, for high and low productivity firms. The exit growth gap is around 1 percentage point higher in highly concentrated industries, indicating that the difference in the likelihood that high and low productivity firms exit is smaller in such industries. The employment growth gap is around 7 percentage points higher in highly concentrated industries, showing that the gap between growth rates for high and low productivity firms is smaller in such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72125" cy="2514600"/>
                    </a:xfrm>
                    <a:prstGeom prst="rect">
                      <a:avLst/>
                    </a:prstGeom>
                    <a:noFill/>
                    <a:ln>
                      <a:noFill/>
                    </a:ln>
                  </pic:spPr>
                </pic:pic>
              </a:graphicData>
            </a:graphic>
          </wp:inline>
        </w:drawing>
      </w:r>
    </w:p>
    <w:p w14:paraId="0D8421C3" w14:textId="1149A877" w:rsidR="00254CEE" w:rsidRDefault="00254CEE" w:rsidP="00373491">
      <w:pPr>
        <w:pStyle w:val="Chartnote"/>
        <w:keepNext/>
      </w:pPr>
      <w:r>
        <w:t xml:space="preserve">Note: </w:t>
      </w:r>
      <w:r w:rsidR="00FC2CB7">
        <w:t>Exit and e</w:t>
      </w:r>
      <w:r>
        <w:t>mployment growth gap</w:t>
      </w:r>
      <w:r w:rsidR="00FC2CB7">
        <w:t>s</w:t>
      </w:r>
      <w:r>
        <w:t xml:space="preserve"> defined as difference in modelled probability of exit, and employment growth rate,</w:t>
      </w:r>
      <w:r w:rsidR="00FC2CB7">
        <w:t xml:space="preserve"> respectively,</w:t>
      </w:r>
      <w:r>
        <w:t xml:space="preserve"> for high and low productivity firms. High (low) productivity firms are firms one standard deviation above (below) the industry mean. Chart shows the difference in this gap between a high and low concentration firm. High (low) concentration firm is 75</w:t>
      </w:r>
      <w:r w:rsidRPr="00254CEE">
        <w:rPr>
          <w:vertAlign w:val="superscript"/>
        </w:rPr>
        <w:t>th</w:t>
      </w:r>
      <w:r>
        <w:t xml:space="preserve"> (25</w:t>
      </w:r>
      <w:r w:rsidRPr="00254CEE">
        <w:rPr>
          <w:vertAlign w:val="superscript"/>
        </w:rPr>
        <w:t>th</w:t>
      </w:r>
      <w:r>
        <w:t>) percentile.</w:t>
      </w:r>
    </w:p>
    <w:p w14:paraId="036D5534" w14:textId="77777777" w:rsidR="00254CEE" w:rsidRPr="00DC50A4" w:rsidRDefault="00254CEE" w:rsidP="00743ECF">
      <w:pPr>
        <w:pStyle w:val="AppendixHeadingLevel2NotNumbered"/>
        <w:spacing w:before="0"/>
        <w:rPr>
          <w:color w:val="auto"/>
        </w:rPr>
      </w:pPr>
    </w:p>
    <w:sectPr w:rsidR="00254CEE" w:rsidRPr="00DC50A4" w:rsidSect="003C4225">
      <w:pgSz w:w="11906" w:h="16838" w:code="9"/>
      <w:pgMar w:top="1418" w:right="1304" w:bottom="1418" w:left="130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12210" w14:textId="77777777" w:rsidR="00247E5F" w:rsidRDefault="00247E5F" w:rsidP="005F100C">
      <w:pPr>
        <w:spacing w:after="0"/>
      </w:pPr>
      <w:r>
        <w:separator/>
      </w:r>
    </w:p>
  </w:endnote>
  <w:endnote w:type="continuationSeparator" w:id="0">
    <w:p w14:paraId="0CCD5EBF" w14:textId="77777777" w:rsidR="00247E5F" w:rsidRDefault="00247E5F" w:rsidP="005F100C">
      <w:pPr>
        <w:spacing w:after="0"/>
      </w:pPr>
      <w:r>
        <w:continuationSeparator/>
      </w:r>
    </w:p>
  </w:endnote>
  <w:endnote w:type="continuationNotice" w:id="1">
    <w:p w14:paraId="69240667" w14:textId="77777777" w:rsidR="00247E5F" w:rsidRDefault="00247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06C3" w14:textId="77777777" w:rsidR="00BD4483" w:rsidRDefault="00BD4483"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CEF8" w14:textId="5ECBE8C1" w:rsidR="00BD4483" w:rsidRDefault="00BD4483" w:rsidP="00DB6739">
    <w:pPr>
      <w:pStyle w:val="Footer"/>
      <w:tabs>
        <w:tab w:val="clear" w:pos="5670"/>
      </w:tabs>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25</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2DB56" w14:textId="77777777" w:rsidR="00247E5F" w:rsidRDefault="00247E5F" w:rsidP="005F100C">
      <w:pPr>
        <w:spacing w:after="0"/>
      </w:pPr>
      <w:r>
        <w:separator/>
      </w:r>
    </w:p>
  </w:footnote>
  <w:footnote w:type="continuationSeparator" w:id="0">
    <w:p w14:paraId="2AB81B10" w14:textId="77777777" w:rsidR="00247E5F" w:rsidRDefault="00247E5F" w:rsidP="005F100C">
      <w:pPr>
        <w:spacing w:after="0"/>
      </w:pPr>
      <w:r>
        <w:continuationSeparator/>
      </w:r>
    </w:p>
  </w:footnote>
  <w:footnote w:type="continuationNotice" w:id="1">
    <w:p w14:paraId="4B4453D8" w14:textId="77777777" w:rsidR="00247E5F" w:rsidRDefault="00247E5F">
      <w:pPr>
        <w:spacing w:after="0"/>
      </w:pPr>
    </w:p>
  </w:footnote>
  <w:footnote w:id="2">
    <w:p w14:paraId="4D362D7C" w14:textId="647A350B" w:rsidR="00BD4483" w:rsidRPr="00E31BB9" w:rsidRDefault="00BD4483" w:rsidP="00F012EA">
      <w:pPr>
        <w:pStyle w:val="FootnoteText"/>
        <w:rPr>
          <w:sz w:val="21"/>
          <w:szCs w:val="21"/>
        </w:rPr>
      </w:pPr>
      <w:r w:rsidRPr="00252C43">
        <w:rPr>
          <w:rStyle w:val="FootnoteReference"/>
          <w:sz w:val="20"/>
          <w:vertAlign w:val="baseline"/>
        </w:rPr>
        <w:footnoteRef/>
      </w:r>
      <w:r w:rsidRPr="00283148">
        <w:rPr>
          <w:sz w:val="20"/>
        </w:rPr>
        <w:t xml:space="preserve"> </w:t>
      </w:r>
      <w:r>
        <w:tab/>
      </w:r>
      <w:r>
        <w:rPr>
          <w:sz w:val="20"/>
          <w:szCs w:val="20"/>
        </w:rPr>
        <w:t>Jonathan Hambur works</w:t>
      </w:r>
      <w:r w:rsidRPr="00E31BB9">
        <w:rPr>
          <w:sz w:val="20"/>
          <w:szCs w:val="20"/>
        </w:rPr>
        <w:t xml:space="preserve"> in the Macroeconomic Group, The Treasury, Langton Crescent, Parkes ACT 2600, Australia. </w:t>
      </w:r>
      <w:r w:rsidRPr="0069333F">
        <w:rPr>
          <w:sz w:val="20"/>
          <w:szCs w:val="20"/>
        </w:rPr>
        <w:t xml:space="preserve">Correspondence: </w:t>
      </w:r>
      <w:hyperlink r:id="rId1" w:history="1">
        <w:r w:rsidRPr="0069333F">
          <w:rPr>
            <w:rStyle w:val="Hyperlink"/>
            <w:sz w:val="20"/>
            <w:szCs w:val="20"/>
          </w:rPr>
          <w:t>Jonathan.Hambur@treasury.gov.au</w:t>
        </w:r>
      </w:hyperlink>
      <w:r w:rsidRPr="0069333F">
        <w:rPr>
          <w:sz w:val="20"/>
          <w:szCs w:val="20"/>
        </w:rPr>
        <w:t>. We than</w:t>
      </w:r>
      <w:r w:rsidRPr="00E31BB9">
        <w:rPr>
          <w:sz w:val="20"/>
          <w:szCs w:val="20"/>
        </w:rPr>
        <w:t xml:space="preserve">k </w:t>
      </w:r>
      <w:r>
        <w:rPr>
          <w:sz w:val="20"/>
          <w:szCs w:val="20"/>
        </w:rPr>
        <w:t xml:space="preserve">Dan Andrews, Chris Edmond, Rebecca Riley, Peter </w:t>
      </w:r>
      <w:proofErr w:type="gramStart"/>
      <w:r>
        <w:rPr>
          <w:sz w:val="20"/>
          <w:szCs w:val="20"/>
        </w:rPr>
        <w:t>Gal</w:t>
      </w:r>
      <w:proofErr w:type="gramEnd"/>
      <w:r>
        <w:rPr>
          <w:sz w:val="20"/>
          <w:szCs w:val="20"/>
        </w:rPr>
        <w:t xml:space="preserve"> </w:t>
      </w:r>
      <w:r w:rsidRPr="00E31BB9">
        <w:rPr>
          <w:sz w:val="20"/>
          <w:szCs w:val="20"/>
        </w:rPr>
        <w:t xml:space="preserve">and a range of seminar participants at the </w:t>
      </w:r>
      <w:r>
        <w:rPr>
          <w:sz w:val="20"/>
          <w:szCs w:val="20"/>
        </w:rPr>
        <w:t>OECD</w:t>
      </w:r>
      <w:r w:rsidRPr="00E31BB9">
        <w:rPr>
          <w:sz w:val="20"/>
          <w:szCs w:val="20"/>
        </w:rPr>
        <w:t xml:space="preserve">, Commonwealth Treasury, </w:t>
      </w:r>
      <w:r>
        <w:rPr>
          <w:sz w:val="20"/>
          <w:szCs w:val="20"/>
        </w:rPr>
        <w:t>ACCC</w:t>
      </w:r>
      <w:r w:rsidRPr="00E31BB9">
        <w:rPr>
          <w:sz w:val="20"/>
          <w:szCs w:val="20"/>
        </w:rPr>
        <w:t xml:space="preserve"> and the Reserve Bank of Australia.</w:t>
      </w:r>
    </w:p>
  </w:footnote>
  <w:footnote w:id="3">
    <w:p w14:paraId="327BC989" w14:textId="7815A7BE" w:rsidR="00BD4483" w:rsidRDefault="00BD4483" w:rsidP="00F012EA">
      <w:pPr>
        <w:pStyle w:val="FootnoteText"/>
      </w:pPr>
      <w:r w:rsidRPr="00252C43">
        <w:rPr>
          <w:rStyle w:val="FootnoteReference"/>
          <w:sz w:val="20"/>
          <w:vertAlign w:val="baseline"/>
        </w:rPr>
        <w:footnoteRef/>
      </w:r>
      <w:r w:rsidRPr="00283148">
        <w:rPr>
          <w:sz w:val="20"/>
        </w:rPr>
        <w:t xml:space="preserve"> </w:t>
      </w:r>
      <w:r>
        <w:tab/>
      </w:r>
      <w:r w:rsidRPr="00E31BB9">
        <w:rPr>
          <w:sz w:val="20"/>
          <w:szCs w:val="20"/>
        </w:rPr>
        <w:t xml:space="preserve">The views expressed in this paper are those of the authors and do not necessarily reflect those of The Australian Treasury or the Australian Government. The results presented here are based in part, on ABR data supplied by the Registrar to the ABS under </w:t>
      </w:r>
      <w:r w:rsidRPr="00C93384">
        <w:rPr>
          <w:i/>
          <w:sz w:val="20"/>
          <w:szCs w:val="20"/>
        </w:rPr>
        <w:t>A New Tax System (Australian Business Number) Act 1999</w:t>
      </w:r>
      <w:r w:rsidRPr="00E31BB9">
        <w:rPr>
          <w:sz w:val="20"/>
          <w:szCs w:val="20"/>
        </w:rPr>
        <w:t xml:space="preserve"> and tax data supplied by the ATO to the ABS under the </w:t>
      </w:r>
      <w:r w:rsidRPr="00C93384">
        <w:rPr>
          <w:i/>
          <w:sz w:val="20"/>
          <w:szCs w:val="20"/>
        </w:rPr>
        <w:t>Taxation Administration Act 1953</w:t>
      </w:r>
      <w:r w:rsidRPr="00E31BB9">
        <w:rPr>
          <w:sz w:val="20"/>
          <w:szCs w:val="20"/>
        </w:rPr>
        <w:t xml:space="preserve">. These require that such data is only used for the purpose of carrying out functions of the ABS. No individual information collected under the </w:t>
      </w:r>
      <w:r w:rsidRPr="00C93384">
        <w:rPr>
          <w:i/>
          <w:sz w:val="20"/>
          <w:szCs w:val="20"/>
        </w:rPr>
        <w:t>Census and Statistics Act 1905</w:t>
      </w:r>
      <w:r w:rsidRPr="00E31BB9">
        <w:rPr>
          <w:sz w:val="20"/>
          <w:szCs w:val="20"/>
        </w:rPr>
        <w:t xml:space="preserve"> is provided back to the Registrar or the ATO for administrative or regulatory purposes. Any discussion of data limitations or weaknesses is in the context of using the data for statistical </w:t>
      </w:r>
      <w:proofErr w:type="gramStart"/>
      <w:r w:rsidRPr="00E31BB9">
        <w:rPr>
          <w:sz w:val="20"/>
          <w:szCs w:val="20"/>
        </w:rPr>
        <w:t>purposes, and</w:t>
      </w:r>
      <w:proofErr w:type="gramEnd"/>
      <w:r w:rsidRPr="00E31BB9">
        <w:rPr>
          <w:sz w:val="20"/>
          <w:szCs w:val="20"/>
        </w:rPr>
        <w:t xml:space="preserve"> is not related to the ability of the data to support the ABR</w:t>
      </w:r>
      <w:r>
        <w:rPr>
          <w:sz w:val="20"/>
          <w:szCs w:val="20"/>
        </w:rPr>
        <w:t>’</w:t>
      </w:r>
      <w:r w:rsidRPr="00E31BB9">
        <w:rPr>
          <w:sz w:val="20"/>
          <w:szCs w:val="20"/>
        </w:rPr>
        <w:t xml:space="preserve">s core operational requirements. Legislative requirements to ensure privacy and secrecy of this data have been followed. Only people authorised under the </w:t>
      </w:r>
      <w:r w:rsidRPr="00C93384">
        <w:rPr>
          <w:i/>
          <w:sz w:val="20"/>
          <w:szCs w:val="20"/>
        </w:rPr>
        <w:t>Australian Bureau of Statistics Act 1975</w:t>
      </w:r>
      <w:r w:rsidRPr="00E31BB9">
        <w:rPr>
          <w:sz w:val="20"/>
          <w:szCs w:val="20"/>
        </w:rPr>
        <w:t xml:space="preserve"> have been allowed to view data about any </w:t>
      </w:r>
      <w:proofErr w:type="gramStart"/>
      <w:r w:rsidRPr="00E31BB9">
        <w:rPr>
          <w:sz w:val="20"/>
          <w:szCs w:val="20"/>
        </w:rPr>
        <w:t>particular firm</w:t>
      </w:r>
      <w:proofErr w:type="gramEnd"/>
      <w:r w:rsidRPr="00E31BB9">
        <w:rPr>
          <w:sz w:val="20"/>
          <w:szCs w:val="20"/>
        </w:rPr>
        <w:t xml:space="preserve"> in conducting these analyses. In accordance with the </w:t>
      </w:r>
      <w:r w:rsidRPr="00C93384">
        <w:rPr>
          <w:i/>
          <w:sz w:val="20"/>
          <w:szCs w:val="20"/>
        </w:rPr>
        <w:t>Census and Statistics Act 1905</w:t>
      </w:r>
      <w:r w:rsidRPr="00E31BB9">
        <w:rPr>
          <w:sz w:val="20"/>
          <w:szCs w:val="20"/>
        </w:rPr>
        <w:t xml:space="preserve">, results have been </w:t>
      </w:r>
      <w:proofErr w:type="spellStart"/>
      <w:r w:rsidRPr="00E31BB9">
        <w:rPr>
          <w:sz w:val="20"/>
          <w:szCs w:val="20"/>
        </w:rPr>
        <w:t>confidentialised</w:t>
      </w:r>
      <w:proofErr w:type="spellEnd"/>
      <w:r w:rsidRPr="00E31BB9">
        <w:rPr>
          <w:sz w:val="20"/>
          <w:szCs w:val="20"/>
        </w:rPr>
        <w:t xml:space="preserve"> to ensure that they are not likely to enable identification of a particular person or organisation</w:t>
      </w:r>
      <w:r>
        <w:rPr>
          <w:sz w:val="20"/>
          <w:szCs w:val="20"/>
        </w:rPr>
        <w:t>.</w:t>
      </w:r>
    </w:p>
    <w:p w14:paraId="51EF5E4A" w14:textId="77777777" w:rsidR="00BD4483" w:rsidRDefault="00BD4483" w:rsidP="00F012EA">
      <w:pPr>
        <w:pStyle w:val="FootnoteText"/>
      </w:pPr>
    </w:p>
  </w:footnote>
  <w:footnote w:id="4">
    <w:p w14:paraId="4B84116B" w14:textId="5256C193" w:rsidR="00BD4483" w:rsidRPr="002E5930" w:rsidRDefault="00BD4483" w:rsidP="00252C43">
      <w:pPr>
        <w:pStyle w:val="FootnoteText"/>
        <w:rPr>
          <w:sz w:val="28"/>
        </w:rPr>
      </w:pPr>
      <w:r w:rsidRPr="00252C43">
        <w:rPr>
          <w:rStyle w:val="FootnoteReference"/>
          <w:vertAlign w:val="baseline"/>
        </w:rPr>
        <w:footnoteRef/>
      </w:r>
      <w:r w:rsidRPr="002E5930">
        <w:t xml:space="preserve"> </w:t>
      </w:r>
      <w:r>
        <w:tab/>
      </w:r>
      <w:r w:rsidRPr="002E5930">
        <w:t>Hambur and La Cava (2018) document a rise in mark</w:t>
      </w:r>
      <w:r>
        <w:noBreakHyphen/>
      </w:r>
      <w:r w:rsidRPr="002E5930">
        <w:t xml:space="preserve">ups using a </w:t>
      </w:r>
      <w:r>
        <w:t>more representative dataset</w:t>
      </w:r>
      <w:r w:rsidRPr="002E5930">
        <w:t>, but they focus on the retail sector.</w:t>
      </w:r>
    </w:p>
  </w:footnote>
  <w:footnote w:id="5">
    <w:p w14:paraId="5B346E6C" w14:textId="41EC27F8" w:rsidR="00BD4483" w:rsidRDefault="00BD4483" w:rsidP="00252C43">
      <w:pPr>
        <w:pStyle w:val="FootnoteText"/>
      </w:pPr>
      <w:r w:rsidRPr="00252C43">
        <w:rPr>
          <w:rStyle w:val="FootnoteReference"/>
          <w:vertAlign w:val="baseline"/>
        </w:rPr>
        <w:footnoteRef/>
      </w:r>
      <w:r>
        <w:t xml:space="preserve"> </w:t>
      </w:r>
      <w:r>
        <w:tab/>
        <w:t>As discussed in Edmond et al (2019), many polices aimed at reducing mark</w:t>
      </w:r>
      <w:r>
        <w:noBreakHyphen/>
        <w:t xml:space="preserve">ups and market power could </w:t>
      </w:r>
      <w:proofErr w:type="gramStart"/>
      <w:r>
        <w:t>actually be</w:t>
      </w:r>
      <w:proofErr w:type="gramEnd"/>
      <w:r>
        <w:t xml:space="preserve"> harmful to the economy.</w:t>
      </w:r>
    </w:p>
  </w:footnote>
  <w:footnote w:id="6">
    <w:p w14:paraId="692874B5" w14:textId="42FA8C10" w:rsidR="00BD4483" w:rsidRDefault="00BD4483" w:rsidP="00252C43">
      <w:pPr>
        <w:pStyle w:val="FootnoteText"/>
      </w:pPr>
      <w:r w:rsidRPr="00252C43">
        <w:rPr>
          <w:rStyle w:val="FootnoteReference"/>
          <w:vertAlign w:val="baseline"/>
        </w:rPr>
        <w:footnoteRef/>
      </w:r>
      <w:r>
        <w:t xml:space="preserve"> </w:t>
      </w:r>
      <w:r>
        <w:tab/>
      </w:r>
      <w:proofErr w:type="spellStart"/>
      <w:r>
        <w:t>Baqaee</w:t>
      </w:r>
      <w:proofErr w:type="spellEnd"/>
      <w:r>
        <w:t xml:space="preserve"> and </w:t>
      </w:r>
      <w:proofErr w:type="spellStart"/>
      <w:r>
        <w:t>Fahri</w:t>
      </w:r>
      <w:proofErr w:type="spellEnd"/>
      <w:r>
        <w:t xml:space="preserve"> (2019) find evidence that allocative efficiency in the US has increased alongside increases in mark</w:t>
      </w:r>
      <w:r>
        <w:noBreakHyphen/>
        <w:t>ups, which would be consistent with this hypothesis.</w:t>
      </w:r>
    </w:p>
  </w:footnote>
  <w:footnote w:id="7">
    <w:p w14:paraId="59C4DD52" w14:textId="62A8778E" w:rsidR="00BD4483" w:rsidRDefault="00BD4483" w:rsidP="00252C43">
      <w:pPr>
        <w:pStyle w:val="FootnoteText"/>
      </w:pPr>
      <w:r w:rsidRPr="00252C43">
        <w:rPr>
          <w:rStyle w:val="FootnoteReference"/>
          <w:vertAlign w:val="baseline"/>
        </w:rPr>
        <w:footnoteRef/>
      </w:r>
      <w:r>
        <w:t xml:space="preserve"> </w:t>
      </w:r>
      <w:r>
        <w:tab/>
        <w:t>Specifically, it will be appropriate if we assume the market is a Cournot oligopoly.</w:t>
      </w:r>
    </w:p>
  </w:footnote>
  <w:footnote w:id="8">
    <w:p w14:paraId="108F5189" w14:textId="6C79D862" w:rsidR="00BD4483" w:rsidRPr="00C9549C" w:rsidRDefault="00BD4483" w:rsidP="00743BA0">
      <w:pPr>
        <w:pStyle w:val="FootnoteText"/>
        <w:rPr>
          <w:color w:val="auto"/>
        </w:rPr>
      </w:pPr>
      <w:r w:rsidRPr="00252C43">
        <w:rPr>
          <w:rStyle w:val="FootnoteReference"/>
          <w:vertAlign w:val="baseline"/>
        </w:rPr>
        <w:footnoteRef/>
      </w:r>
      <w:r w:rsidRPr="00C9549C">
        <w:rPr>
          <w:color w:val="FF0000"/>
        </w:rPr>
        <w:t xml:space="preserve"> </w:t>
      </w:r>
      <w:r>
        <w:rPr>
          <w:color w:val="FF0000"/>
        </w:rPr>
        <w:tab/>
      </w:r>
      <w:r w:rsidRPr="00C9549C">
        <w:rPr>
          <w:color w:val="auto"/>
        </w:rPr>
        <w:t>The results are similar if we look at sales</w:t>
      </w:r>
      <w:r>
        <w:rPr>
          <w:color w:val="auto"/>
        </w:rPr>
        <w:noBreakHyphen/>
      </w:r>
      <w:r w:rsidRPr="00C9549C">
        <w:rPr>
          <w:color w:val="auto"/>
        </w:rPr>
        <w:t>weighted distribution, though in this case the upper part of the distribution does become relatively more important.</w:t>
      </w:r>
    </w:p>
  </w:footnote>
  <w:footnote w:id="9">
    <w:p w14:paraId="7661F750" w14:textId="1A562FAB" w:rsidR="00BD4483" w:rsidRDefault="00BD4483" w:rsidP="00252C43">
      <w:pPr>
        <w:pStyle w:val="FootnoteText"/>
      </w:pPr>
      <w:r w:rsidRPr="00252C43">
        <w:rPr>
          <w:rStyle w:val="FootnoteReference"/>
          <w:vertAlign w:val="baseline"/>
        </w:rPr>
        <w:footnoteRef/>
      </w:r>
      <w:r>
        <w:t xml:space="preserve"> </w:t>
      </w:r>
      <w:r>
        <w:tab/>
      </w:r>
      <w:proofErr w:type="gramStart"/>
      <w:r>
        <w:t>In reality, the</w:t>
      </w:r>
      <w:proofErr w:type="gramEnd"/>
      <w:r>
        <w:t xml:space="preserve"> delineation between the three explanations might not be as clean as described here and in the literature. Changing technologies amongst the most productive firms could allow them to grow and dominate and explain Superstar</w:t>
      </w:r>
      <w:r>
        <w:noBreakHyphen/>
        <w:t>type dynamics. As such, explanation 1 and 2 can be thought of more generally as the best firms pulling away, and broad</w:t>
      </w:r>
      <w:r>
        <w:noBreakHyphen/>
        <w:t>based changes in technologies, respectively. This does not substantially change the analysis though.</w:t>
      </w:r>
    </w:p>
  </w:footnote>
  <w:footnote w:id="10">
    <w:p w14:paraId="54089DE3" w14:textId="289E19C8" w:rsidR="00BD4483" w:rsidRDefault="00BD4483" w:rsidP="00252C43">
      <w:pPr>
        <w:pStyle w:val="FootnoteText"/>
      </w:pPr>
      <w:r w:rsidRPr="00252C43">
        <w:rPr>
          <w:rStyle w:val="FootnoteReference"/>
          <w:vertAlign w:val="baseline"/>
        </w:rPr>
        <w:footnoteRef/>
      </w:r>
      <w:r>
        <w:t xml:space="preserve"> </w:t>
      </w:r>
      <w:r>
        <w:tab/>
        <w:t>It is worth noting that these predictions are not unique to this specific model. For example, the simpler model laid out in Covarrubias et al (2019) provides a similar set of predictions, though it is focused on measures on market concentration, not mark</w:t>
      </w:r>
      <w:r>
        <w:noBreakHyphen/>
        <w:t xml:space="preserve">ups </w:t>
      </w:r>
      <w:r w:rsidRPr="00743BA0">
        <w:rPr>
          <w:i/>
        </w:rPr>
        <w:t>per se</w:t>
      </w:r>
      <w:r>
        <w:t xml:space="preserve"> (see Table 1 in that paper).</w:t>
      </w:r>
    </w:p>
  </w:footnote>
  <w:footnote w:id="11">
    <w:p w14:paraId="26EB1C5C" w14:textId="2197F1B4" w:rsidR="00BD4483" w:rsidRPr="00252C43" w:rsidRDefault="00BD4483" w:rsidP="00252C43">
      <w:pPr>
        <w:pStyle w:val="FootnoteText"/>
      </w:pPr>
      <w:r w:rsidRPr="00252C43">
        <w:rPr>
          <w:rStyle w:val="FootnoteReference"/>
          <w:vertAlign w:val="baseline"/>
        </w:rPr>
        <w:footnoteRef/>
      </w:r>
      <w:r>
        <w:t xml:space="preserve"> </w:t>
      </w:r>
      <w:r>
        <w:tab/>
        <w:t>Put another way, the level of productivity required to operate profitably, the productivity ‘cut</w:t>
      </w:r>
      <w:r>
        <w:noBreakHyphen/>
        <w:t xml:space="preserve">off’, increases. This </w:t>
      </w:r>
      <w:r w:rsidRPr="00252C43">
        <w:t xml:space="preserve">type of result goes back to </w:t>
      </w:r>
      <w:proofErr w:type="spellStart"/>
      <w:r w:rsidRPr="00252C43">
        <w:t>Hopenhayn</w:t>
      </w:r>
      <w:proofErr w:type="spellEnd"/>
      <w:r w:rsidRPr="00252C43">
        <w:t xml:space="preserve"> (1992).</w:t>
      </w:r>
    </w:p>
  </w:footnote>
  <w:footnote w:id="12">
    <w:p w14:paraId="7F800FFF" w14:textId="192CBAA2" w:rsidR="00BD4483" w:rsidRDefault="00BD4483" w:rsidP="00252C43">
      <w:pPr>
        <w:pStyle w:val="FootnoteText"/>
      </w:pPr>
      <w:r w:rsidRPr="00252C43">
        <w:rPr>
          <w:rStyle w:val="FootnoteReference"/>
          <w:vertAlign w:val="baseline"/>
        </w:rPr>
        <w:footnoteRef/>
      </w:r>
      <w:r w:rsidRPr="00252C43">
        <w:t xml:space="preserve"> </w:t>
      </w:r>
      <w:r w:rsidRPr="00252C43">
        <w:tab/>
        <w:t>It is worth noting that</w:t>
      </w:r>
      <w:r>
        <w:t xml:space="preserve"> we cannot rule out the possibility that actual mark</w:t>
      </w:r>
      <w:r>
        <w:noBreakHyphen/>
        <w:t xml:space="preserve">ups have been increasing due to reallocation, given concerns about identifying the </w:t>
      </w:r>
      <w:r w:rsidRPr="008129EF">
        <w:rPr>
          <w:i/>
        </w:rPr>
        <w:t>levels</w:t>
      </w:r>
      <w:r>
        <w:t xml:space="preserve"> of</w:t>
      </w:r>
      <w:r w:rsidRPr="008129EF">
        <w:t xml:space="preserve"> firm</w:t>
      </w:r>
      <w:r>
        <w:noBreakHyphen/>
      </w:r>
      <w:r w:rsidRPr="008129EF">
        <w:t>mark</w:t>
      </w:r>
      <w:r>
        <w:noBreakHyphen/>
      </w:r>
      <w:r w:rsidRPr="008129EF">
        <w:t>ups.</w:t>
      </w:r>
      <w:r>
        <w:t xml:space="preserve"> But in this case, the increase would be on top of what we have observed in this data</w:t>
      </w:r>
      <w:r w:rsidRPr="008129EF">
        <w:t>.</w:t>
      </w:r>
      <w:r>
        <w:t xml:space="preserve"> </w:t>
      </w:r>
    </w:p>
  </w:footnote>
  <w:footnote w:id="13">
    <w:p w14:paraId="10430731" w14:textId="5A0B8493" w:rsidR="00BD4483" w:rsidRDefault="00BD4483" w:rsidP="00252C43">
      <w:pPr>
        <w:pStyle w:val="FootnoteText"/>
      </w:pPr>
      <w:r w:rsidRPr="00252C43">
        <w:rPr>
          <w:rStyle w:val="FootnoteReference"/>
          <w:vertAlign w:val="baseline"/>
        </w:rPr>
        <w:footnoteRef/>
      </w:r>
      <w:r>
        <w:t xml:space="preserve"> </w:t>
      </w:r>
      <w:r>
        <w:tab/>
        <w:t xml:space="preserve">Given the added complexity of the production function in this approach, these results should be treated with some caution. </w:t>
      </w:r>
    </w:p>
  </w:footnote>
  <w:footnote w:id="14">
    <w:p w14:paraId="76779646" w14:textId="6096650C" w:rsidR="00BD4483" w:rsidRDefault="00BD4483" w:rsidP="00252C43">
      <w:pPr>
        <w:pStyle w:val="FootnoteText"/>
      </w:pPr>
      <w:r w:rsidRPr="00252C43">
        <w:rPr>
          <w:rStyle w:val="FootnoteReference"/>
          <w:vertAlign w:val="baseline"/>
        </w:rPr>
        <w:footnoteRef/>
      </w:r>
      <w:r>
        <w:t xml:space="preserve"> </w:t>
      </w:r>
      <w:r>
        <w:tab/>
        <w:t>Much of the volatility for the least digitally intensive industries reflects the mining sector. Mark</w:t>
      </w:r>
      <w:r>
        <w:noBreakHyphen/>
        <w:t>ups are lower and more stable if this sector is excluded.</w:t>
      </w:r>
    </w:p>
  </w:footnote>
  <w:footnote w:id="15">
    <w:p w14:paraId="6D9EE693" w14:textId="6B3B6686" w:rsidR="00BD4483" w:rsidRDefault="00BD4483">
      <w:pPr>
        <w:pStyle w:val="FootnoteText"/>
      </w:pPr>
      <w:r w:rsidRPr="00252C43">
        <w:rPr>
          <w:rStyle w:val="FootnoteReference"/>
          <w:vertAlign w:val="baseline"/>
        </w:rPr>
        <w:footnoteRef/>
      </w:r>
      <w:r>
        <w:t xml:space="preserve"> </w:t>
      </w:r>
      <w:r>
        <w:tab/>
        <w:t xml:space="preserve">I use a linear probability model, instead of a </w:t>
      </w:r>
      <w:proofErr w:type="spellStart"/>
      <w:r>
        <w:t>probit</w:t>
      </w:r>
      <w:proofErr w:type="spellEnd"/>
      <w:r>
        <w:t xml:space="preserve">, for ease of estimation and interpretation. </w:t>
      </w:r>
    </w:p>
  </w:footnote>
  <w:footnote w:id="16">
    <w:p w14:paraId="0DD86035" w14:textId="3CCBE3E5" w:rsidR="00BD4483" w:rsidRDefault="00BD4483" w:rsidP="00743BA0">
      <w:pPr>
        <w:pStyle w:val="FootnoteText"/>
      </w:pPr>
      <w:r w:rsidRPr="00252C43">
        <w:rPr>
          <w:rStyle w:val="FootnoteReference"/>
          <w:vertAlign w:val="baseline"/>
        </w:rPr>
        <w:footnoteRef/>
      </w:r>
      <w:r>
        <w:t xml:space="preserve"> </w:t>
      </w:r>
      <w:r>
        <w:tab/>
        <w:t>Excluding these interaction terms does not substantially affect the results.</w:t>
      </w:r>
    </w:p>
  </w:footnote>
  <w:footnote w:id="17">
    <w:p w14:paraId="40EF8D0C" w14:textId="50B64E33" w:rsidR="00BD4483" w:rsidRDefault="00BD4483" w:rsidP="00743BA0">
      <w:pPr>
        <w:pStyle w:val="FootnoteText"/>
      </w:pPr>
      <w:r w:rsidRPr="00252C43">
        <w:rPr>
          <w:rStyle w:val="FootnoteReference"/>
          <w:vertAlign w:val="baseline"/>
        </w:rPr>
        <w:footnoteRef/>
      </w:r>
      <w:r>
        <w:t xml:space="preserve"> </w:t>
      </w:r>
      <w:r>
        <w:tab/>
        <w:t>Decker et al (2017) find that these models tend to be relatively robust to using MFP and LP.</w:t>
      </w:r>
    </w:p>
  </w:footnote>
  <w:footnote w:id="18">
    <w:p w14:paraId="5C9EB761" w14:textId="52339E3B" w:rsidR="00BD4483" w:rsidRDefault="00BD4483" w:rsidP="00252C43">
      <w:pPr>
        <w:pStyle w:val="FootnoteText"/>
      </w:pPr>
      <w:r w:rsidRPr="00252C43">
        <w:rPr>
          <w:rStyle w:val="FootnoteReference"/>
          <w:vertAlign w:val="baseline"/>
        </w:rPr>
        <w:footnoteRef/>
      </w:r>
      <w:r>
        <w:t xml:space="preserve"> </w:t>
      </w:r>
      <w:r>
        <w:tab/>
        <w:t>An alternative explanation could be increasing fixed costs in adjusting intermediate inputs. This could lead to lower measured mark</w:t>
      </w:r>
      <w:r>
        <w:noBreakHyphen/>
        <w:t>ups and less reallocation. This would also be a negative outcome. However, given similar results are evident using concentration in place of mark</w:t>
      </w:r>
      <w:r>
        <w:noBreakHyphen/>
        <w:t>ups as the measure of competition Appendix C, this seems unlikely to be driving the result.</w:t>
      </w:r>
    </w:p>
  </w:footnote>
  <w:footnote w:id="19">
    <w:p w14:paraId="2AAAEB7C" w14:textId="2F9D8C81" w:rsidR="00BD4483" w:rsidRDefault="00BD4483" w:rsidP="0095241E">
      <w:pPr>
        <w:pStyle w:val="FootnoteText"/>
      </w:pPr>
      <w:r w:rsidRPr="00252C43">
        <w:rPr>
          <w:rStyle w:val="FootnoteReference"/>
          <w:vertAlign w:val="baseline"/>
        </w:rPr>
        <w:footnoteRef/>
      </w:r>
      <w:r>
        <w:t xml:space="preserve"> </w:t>
      </w:r>
      <w:r>
        <w:tab/>
        <w:t>Productivity is taken to be the log level for the purpose of this discussion.</w:t>
      </w:r>
    </w:p>
  </w:footnote>
  <w:footnote w:id="20">
    <w:p w14:paraId="25F73DF9" w14:textId="033E76F2" w:rsidR="00BD4483" w:rsidRDefault="00BD4483" w:rsidP="00252C43">
      <w:pPr>
        <w:pStyle w:val="FootnoteText"/>
      </w:pPr>
      <w:r w:rsidRPr="00252C43">
        <w:rPr>
          <w:rStyle w:val="FootnoteReference"/>
          <w:vertAlign w:val="baseline"/>
        </w:rPr>
        <w:footnoteRef/>
      </w:r>
      <w:r>
        <w:t xml:space="preserve"> </w:t>
      </w:r>
      <w:r>
        <w:tab/>
        <w:t xml:space="preserve">This relatively </w:t>
      </w:r>
      <w:r w:rsidRPr="00252C43">
        <w:t>general</w:t>
      </w:r>
      <w:r>
        <w:t xml:space="preserve"> result contrasts with the demand</w:t>
      </w:r>
      <w:r>
        <w:noBreakHyphen/>
        <w:t>estimation approach to estimating mark</w:t>
      </w:r>
      <w:r>
        <w:noBreakHyphen/>
        <w:t xml:space="preserve">ups, where specific assumptions need to be </w:t>
      </w:r>
      <w:proofErr w:type="gramStart"/>
      <w:r>
        <w:t>make</w:t>
      </w:r>
      <w:proofErr w:type="gramEnd"/>
      <w:r>
        <w:t xml:space="preserve"> regarding the price setting mechanism (</w:t>
      </w:r>
      <w:r w:rsidRPr="002E5930">
        <w:t xml:space="preserve">De </w:t>
      </w:r>
      <w:proofErr w:type="spellStart"/>
      <w:r w:rsidRPr="002E5930">
        <w:t>Loecker</w:t>
      </w:r>
      <w:proofErr w:type="spellEnd"/>
      <w:r w:rsidRPr="002E5930">
        <w:t xml:space="preserve"> 2011</w:t>
      </w:r>
      <w:r>
        <w:t>).</w:t>
      </w:r>
    </w:p>
  </w:footnote>
  <w:footnote w:id="21">
    <w:p w14:paraId="1911401E" w14:textId="76280157" w:rsidR="00BD4483" w:rsidRDefault="00BD4483" w:rsidP="00252C43">
      <w:pPr>
        <w:pStyle w:val="FootnoteText"/>
      </w:pPr>
      <w:r w:rsidRPr="00252C43">
        <w:rPr>
          <w:rStyle w:val="FootnoteReference"/>
          <w:vertAlign w:val="baseline"/>
        </w:rPr>
        <w:footnoteRef/>
      </w:r>
      <w:r>
        <w:t xml:space="preserve"> </w:t>
      </w:r>
      <w:r>
        <w:tab/>
        <w:t>Recent papers have questioned the assumption of Hicks’</w:t>
      </w:r>
      <w:r>
        <w:noBreakHyphen/>
        <w:t>neutral productivity, instead suggesting the use of labour</w:t>
      </w:r>
      <w:r>
        <w:noBreakHyphen/>
        <w:t xml:space="preserve">augmenting productivity (e.g. </w:t>
      </w:r>
      <w:proofErr w:type="spellStart"/>
      <w:r w:rsidRPr="006261D6">
        <w:t>Raval</w:t>
      </w:r>
      <w:proofErr w:type="spellEnd"/>
      <w:r w:rsidRPr="006261D6">
        <w:t xml:space="preserve"> 2019</w:t>
      </w:r>
      <w:r>
        <w:t>). However, for consistency I assume the former.</w:t>
      </w:r>
    </w:p>
  </w:footnote>
  <w:footnote w:id="22">
    <w:p w14:paraId="45D57D63" w14:textId="13A2B762" w:rsidR="00BD4483" w:rsidRDefault="00BD4483" w:rsidP="00252C43">
      <w:pPr>
        <w:pStyle w:val="FootnoteText"/>
      </w:pPr>
      <w:r w:rsidRPr="00252C43">
        <w:rPr>
          <w:rStyle w:val="FootnoteReference"/>
          <w:vertAlign w:val="baseline"/>
        </w:rPr>
        <w:footnoteRef/>
      </w:r>
      <w:r>
        <w:t xml:space="preserve"> </w:t>
      </w:r>
      <w:r>
        <w:tab/>
        <w:t>I experimented with capital stock measures, including adopting a perpetual inventory method (PIM). The results were generally similar. However, given the short sample available for many firms, I preferred not to use the PIM measures which can be heavily influenced by the starting values.</w:t>
      </w:r>
    </w:p>
  </w:footnote>
  <w:footnote w:id="23">
    <w:p w14:paraId="2A382B8A" w14:textId="255AECBA" w:rsidR="00BD4483" w:rsidRDefault="00BD4483" w:rsidP="00252C43">
      <w:pPr>
        <w:pStyle w:val="FootnoteText"/>
      </w:pPr>
      <w:r w:rsidRPr="00252C43">
        <w:rPr>
          <w:rStyle w:val="FootnoteReference"/>
          <w:vertAlign w:val="baseline"/>
        </w:rPr>
        <w:footnoteRef/>
      </w:r>
      <w:r>
        <w:t xml:space="preserve"> </w:t>
      </w:r>
      <w:r>
        <w:tab/>
        <w:t>An alternative would be to treat these firms as having one employee — the owner manager — and assuming the average industry wage. However, as I require a firm</w:t>
      </w:r>
      <w:r>
        <w:noBreakHyphen/>
        <w:t xml:space="preserve">specific </w:t>
      </w:r>
      <w:r w:rsidRPr="00252C43">
        <w:t>wage</w:t>
      </w:r>
      <w:r>
        <w:t xml:space="preserve"> rate to identify the labour coefficient in the gross output </w:t>
      </w:r>
      <w:r w:rsidRPr="00C9549C">
        <w:t>production function (</w:t>
      </w:r>
      <w:r w:rsidRPr="006261D6">
        <w:t>Gandhi et al 2017</w:t>
      </w:r>
      <w:r w:rsidRPr="00C9549C">
        <w:t xml:space="preserve">; </w:t>
      </w:r>
      <w:r w:rsidRPr="006261D6">
        <w:t>De Locker and Scott 2017</w:t>
      </w:r>
      <w:r>
        <w:t>), I don’t take this approach.</w:t>
      </w:r>
    </w:p>
  </w:footnote>
  <w:footnote w:id="24">
    <w:p w14:paraId="47EB082D" w14:textId="0D1A21DD" w:rsidR="00BD4483" w:rsidRPr="00252C43" w:rsidRDefault="00BD4483" w:rsidP="00252C43">
      <w:pPr>
        <w:pStyle w:val="FootnoteText"/>
      </w:pPr>
      <w:r w:rsidRPr="00252C43">
        <w:rPr>
          <w:rStyle w:val="FootnoteReference"/>
          <w:vertAlign w:val="baseline"/>
        </w:rPr>
        <w:footnoteRef/>
      </w:r>
      <w:r>
        <w:t xml:space="preserve"> </w:t>
      </w:r>
      <w:r>
        <w:tab/>
        <w:t xml:space="preserve">Using a PIM would allow me to construct an estimate of the capital stock. </w:t>
      </w:r>
      <w:r w:rsidRPr="00252C43">
        <w:t>However</w:t>
      </w:r>
      <w:r>
        <w:t xml:space="preserve">, strong assumptions regarding similarities between sole traders and other firm types would be needed to construct starting values for these firms. This could affect the results, especially given many firms are only observable for short samples, making the starting value for the capital </w:t>
      </w:r>
      <w:r w:rsidRPr="00252C43">
        <w:t>stock</w:t>
      </w:r>
      <w:r>
        <w:t xml:space="preserve"> very important.</w:t>
      </w:r>
    </w:p>
  </w:footnote>
  <w:footnote w:id="25">
    <w:p w14:paraId="1EA58549" w14:textId="14BD3ADF" w:rsidR="00BD4483" w:rsidRDefault="00BD4483" w:rsidP="00252C43">
      <w:pPr>
        <w:pStyle w:val="FootnoteText"/>
      </w:pPr>
      <w:r w:rsidRPr="00252C43">
        <w:rPr>
          <w:rStyle w:val="FootnoteReference"/>
          <w:vertAlign w:val="baseline"/>
        </w:rPr>
        <w:footnoteRef/>
      </w:r>
      <w:r>
        <w:t xml:space="preserve"> </w:t>
      </w:r>
      <w:r>
        <w:tab/>
        <w:t xml:space="preserve">I exclude any industry with too few firms to estimate a production function. This leads to the exclusion of </w:t>
      </w:r>
      <w:proofErr w:type="gramStart"/>
      <w:r>
        <w:t>a number of</w:t>
      </w:r>
      <w:proofErr w:type="gramEnd"/>
      <w:r>
        <w:t xml:space="preserve"> industries in the mining and </w:t>
      </w:r>
      <w:proofErr w:type="spellStart"/>
      <w:r>
        <w:t>utilites</w:t>
      </w:r>
      <w:proofErr w:type="spellEnd"/>
      <w:r>
        <w:t xml:space="preserve"> divisions. However, this does not substantially </w:t>
      </w:r>
      <w:proofErr w:type="gramStart"/>
      <w:r>
        <w:t>effect</w:t>
      </w:r>
      <w:proofErr w:type="gramEnd"/>
      <w:r>
        <w:t xml:space="preserve"> of my results (see Appendix C on estimation with broader industry definitions). </w:t>
      </w:r>
    </w:p>
  </w:footnote>
  <w:footnote w:id="26">
    <w:p w14:paraId="5B28736F" w14:textId="2561BF37" w:rsidR="00BD4483" w:rsidRDefault="00BD4483" w:rsidP="00252C43">
      <w:pPr>
        <w:pStyle w:val="FootnoteText"/>
      </w:pPr>
      <w:r w:rsidRPr="00252C43">
        <w:rPr>
          <w:rStyle w:val="FootnoteReference"/>
          <w:vertAlign w:val="baseline"/>
        </w:rPr>
        <w:footnoteRef/>
      </w:r>
      <w:r>
        <w:t xml:space="preserve"> </w:t>
      </w:r>
      <w:r>
        <w:tab/>
        <w:t xml:space="preserve">Including these interactions lowers the coefficients </w:t>
      </w:r>
      <w:proofErr w:type="gramStart"/>
      <w:r>
        <w:t>slightly, but</w:t>
      </w:r>
      <w:proofErr w:type="gramEnd"/>
      <w:r>
        <w:t xml:space="preserve"> does not substantially change the results.</w:t>
      </w:r>
    </w:p>
  </w:footnote>
  <w:footnote w:id="27">
    <w:p w14:paraId="6D26134A" w14:textId="21B4BAC0" w:rsidR="00BD4483" w:rsidRDefault="00BD4483" w:rsidP="00252C43">
      <w:pPr>
        <w:pStyle w:val="FootnoteText"/>
      </w:pPr>
      <w:r w:rsidRPr="00252C43">
        <w:rPr>
          <w:rStyle w:val="FootnoteReference"/>
          <w:vertAlign w:val="baseline"/>
        </w:rPr>
        <w:footnoteRef/>
      </w:r>
      <w:r>
        <w:t xml:space="preserve"> </w:t>
      </w:r>
      <w:r>
        <w:tab/>
        <w:t>The results are similar in the growth model if I use value</w:t>
      </w:r>
      <w:r>
        <w:noBreakHyphen/>
        <w:t>added. But in the exit model the coefficient on the interaction between productivity and concentration is no longer 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2E91" w14:textId="77777777" w:rsidR="00BD4483" w:rsidRDefault="00BD4483" w:rsidP="00F60530">
    <w:pPr>
      <w:pStyle w:val="SecurityClassificationHeader"/>
    </w:pPr>
  </w:p>
  <w:p w14:paraId="28E37766" w14:textId="77777777" w:rsidR="00BD4483" w:rsidRDefault="00BD4483" w:rsidP="005559A2">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755679"/>
      <w:docPartObj>
        <w:docPartGallery w:val="Watermarks"/>
        <w:docPartUnique/>
      </w:docPartObj>
    </w:sdtPr>
    <w:sdtEndPr/>
    <w:sdtContent>
      <w:p w14:paraId="1CA7107D" w14:textId="07C7E33F" w:rsidR="00BD4483" w:rsidRDefault="00247E5F">
        <w:pPr>
          <w:pStyle w:val="Header"/>
        </w:pPr>
        <w:r>
          <w:rPr>
            <w:noProof/>
            <w:lang w:val="en-US"/>
          </w:rPr>
          <w:pict w14:anchorId="395C1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12455" o:spid="_x0000_s2059" type="#_x0000_t136" style="position:absolute;left:0;text-align:left;margin-left:0;margin-top:0;width:409.65pt;height:245.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1B5C" w14:textId="706614BE" w:rsidR="00BD4483" w:rsidRPr="00F012EA" w:rsidRDefault="00BD4483" w:rsidP="005559A2">
    <w:pPr>
      <w:pStyle w:val="SecurityClassificationHeader"/>
    </w:pPr>
    <w:r>
      <w:rPr>
        <w:noProof/>
      </w:rPr>
      <w:drawing>
        <wp:anchor distT="0" distB="0" distL="114300" distR="114300" simplePos="0" relativeHeight="251657216" behindDoc="1" locked="0" layoutInCell="1" allowOverlap="1" wp14:anchorId="5DE1887B" wp14:editId="303DC834">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CC0C" w14:textId="77777777" w:rsidR="00BD4483" w:rsidRDefault="00BD44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F466" w14:textId="77777777" w:rsidR="00BD4483" w:rsidRDefault="00BD44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E38D" w14:textId="437FF626" w:rsidR="00BD4483" w:rsidRPr="005559A2" w:rsidRDefault="00BD4483" w:rsidP="0055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34B93"/>
    <w:multiLevelType w:val="multilevel"/>
    <w:tmpl w:val="8D22E25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1"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6"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9"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2"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5B0A7E"/>
    <w:multiLevelType w:val="multilevel"/>
    <w:tmpl w:val="EDEE4FB6"/>
    <w:numStyleLink w:val="RecommendationBulletList"/>
  </w:abstractNum>
  <w:abstractNum w:abstractNumId="24"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10D2021"/>
    <w:multiLevelType w:val="multilevel"/>
    <w:tmpl w:val="72F8140E"/>
    <w:numStyleLink w:val="OutlineList"/>
  </w:abstractNum>
  <w:abstractNum w:abstractNumId="28"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5F73129"/>
    <w:multiLevelType w:val="multilevel"/>
    <w:tmpl w:val="D9A8A212"/>
    <w:numStyleLink w:val="RomanNumeralList"/>
  </w:abstractNum>
  <w:abstractNum w:abstractNumId="30"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4" w15:restartNumberingAfterBreak="0">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5" w15:restartNumberingAfterBreak="0">
    <w:nsid w:val="6F9621BD"/>
    <w:multiLevelType w:val="multilevel"/>
    <w:tmpl w:val="DF7ACD78"/>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36"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7"/>
  </w:num>
  <w:num w:numId="2">
    <w:abstractNumId w:val="4"/>
  </w:num>
  <w:num w:numId="3">
    <w:abstractNumId w:val="24"/>
  </w:num>
  <w:num w:numId="4">
    <w:abstractNumId w:val="20"/>
  </w:num>
  <w:num w:numId="5">
    <w:abstractNumId w:val="6"/>
  </w:num>
  <w:num w:numId="6">
    <w:abstractNumId w:val="11"/>
  </w:num>
  <w:num w:numId="7">
    <w:abstractNumId w:val="5"/>
  </w:num>
  <w:num w:numId="8">
    <w:abstractNumId w:val="8"/>
  </w:num>
  <w:num w:numId="9">
    <w:abstractNumId w:val="27"/>
  </w:num>
  <w:num w:numId="10">
    <w:abstractNumId w:val="23"/>
  </w:num>
  <w:num w:numId="11">
    <w:abstractNumId w:val="29"/>
  </w:num>
  <w:num w:numId="12">
    <w:abstractNumId w:val="19"/>
  </w:num>
  <w:num w:numId="13">
    <w:abstractNumId w:val="28"/>
  </w:num>
  <w:num w:numId="14">
    <w:abstractNumId w:val="12"/>
  </w:num>
  <w:num w:numId="15">
    <w:abstractNumId w:val="12"/>
  </w:num>
  <w:num w:numId="16">
    <w:abstractNumId w:val="34"/>
  </w:num>
  <w:num w:numId="17">
    <w:abstractNumId w:val="22"/>
  </w:num>
  <w:num w:numId="18">
    <w:abstractNumId w:val="2"/>
  </w:num>
  <w:num w:numId="19">
    <w:abstractNumId w:val="33"/>
  </w:num>
  <w:num w:numId="20">
    <w:abstractNumId w:val="16"/>
  </w:num>
  <w:num w:numId="21">
    <w:abstractNumId w:val="21"/>
  </w:num>
  <w:num w:numId="22">
    <w:abstractNumId w:val="34"/>
  </w:num>
  <w:num w:numId="23">
    <w:abstractNumId w:val="36"/>
  </w:num>
  <w:num w:numId="24">
    <w:abstractNumId w:val="7"/>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0"/>
  </w:num>
  <w:num w:numId="29">
    <w:abstractNumId w:val="26"/>
  </w:num>
  <w:num w:numId="30">
    <w:abstractNumId w:val="15"/>
  </w:num>
  <w:num w:numId="31">
    <w:abstractNumId w:val="30"/>
  </w:num>
  <w:num w:numId="32">
    <w:abstractNumId w:val="25"/>
  </w:num>
  <w:num w:numId="33">
    <w:abstractNumId w:val="13"/>
  </w:num>
  <w:num w:numId="34">
    <w:abstractNumId w:val="37"/>
  </w:num>
  <w:num w:numId="35">
    <w:abstractNumId w:val="10"/>
  </w:num>
  <w:num w:numId="36">
    <w:abstractNumId w:val="18"/>
  </w:num>
  <w:num w:numId="37">
    <w:abstractNumId w:val="31"/>
  </w:num>
  <w:num w:numId="38">
    <w:abstractNumId w:val="14"/>
  </w:num>
  <w:num w:numId="39">
    <w:abstractNumId w:val="39"/>
  </w:num>
  <w:num w:numId="40">
    <w:abstractNumId w:val="32"/>
  </w:num>
  <w:num w:numId="41">
    <w:abstractNumId w:val="9"/>
  </w:num>
  <w:num w:numId="42">
    <w:abstractNumId w:val="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CB52BA"/>
    <w:rsid w:val="000007E6"/>
    <w:rsid w:val="00001986"/>
    <w:rsid w:val="00001E5E"/>
    <w:rsid w:val="0000295A"/>
    <w:rsid w:val="00002C74"/>
    <w:rsid w:val="00002CDB"/>
    <w:rsid w:val="00002D45"/>
    <w:rsid w:val="00003ACD"/>
    <w:rsid w:val="00007CDE"/>
    <w:rsid w:val="00010D4D"/>
    <w:rsid w:val="000111C5"/>
    <w:rsid w:val="00011CDA"/>
    <w:rsid w:val="00014777"/>
    <w:rsid w:val="00015308"/>
    <w:rsid w:val="000167A9"/>
    <w:rsid w:val="00017A19"/>
    <w:rsid w:val="00021F93"/>
    <w:rsid w:val="00023373"/>
    <w:rsid w:val="000237AE"/>
    <w:rsid w:val="0002465D"/>
    <w:rsid w:val="000254EA"/>
    <w:rsid w:val="00026843"/>
    <w:rsid w:val="00030464"/>
    <w:rsid w:val="000320AF"/>
    <w:rsid w:val="000333D8"/>
    <w:rsid w:val="0003490F"/>
    <w:rsid w:val="00036131"/>
    <w:rsid w:val="000364DB"/>
    <w:rsid w:val="000419D0"/>
    <w:rsid w:val="000422BB"/>
    <w:rsid w:val="00042370"/>
    <w:rsid w:val="00044272"/>
    <w:rsid w:val="000464B6"/>
    <w:rsid w:val="00047774"/>
    <w:rsid w:val="00050080"/>
    <w:rsid w:val="000500D6"/>
    <w:rsid w:val="000517E4"/>
    <w:rsid w:val="00051C46"/>
    <w:rsid w:val="0005354A"/>
    <w:rsid w:val="000571E4"/>
    <w:rsid w:val="00057595"/>
    <w:rsid w:val="00057E8F"/>
    <w:rsid w:val="000622B2"/>
    <w:rsid w:val="0006586B"/>
    <w:rsid w:val="000663DE"/>
    <w:rsid w:val="00067C9D"/>
    <w:rsid w:val="000704CE"/>
    <w:rsid w:val="0007127E"/>
    <w:rsid w:val="00071573"/>
    <w:rsid w:val="00071D76"/>
    <w:rsid w:val="00073666"/>
    <w:rsid w:val="00073CD4"/>
    <w:rsid w:val="00074743"/>
    <w:rsid w:val="000752DC"/>
    <w:rsid w:val="000768BF"/>
    <w:rsid w:val="000775E4"/>
    <w:rsid w:val="00077D52"/>
    <w:rsid w:val="000801CC"/>
    <w:rsid w:val="00084FC0"/>
    <w:rsid w:val="000852E4"/>
    <w:rsid w:val="00087C96"/>
    <w:rsid w:val="00091054"/>
    <w:rsid w:val="00094624"/>
    <w:rsid w:val="00095C3F"/>
    <w:rsid w:val="000967A1"/>
    <w:rsid w:val="00097568"/>
    <w:rsid w:val="000A0892"/>
    <w:rsid w:val="000A0E69"/>
    <w:rsid w:val="000A2D3D"/>
    <w:rsid w:val="000A4528"/>
    <w:rsid w:val="000A5240"/>
    <w:rsid w:val="000A529E"/>
    <w:rsid w:val="000A62AA"/>
    <w:rsid w:val="000B2EA2"/>
    <w:rsid w:val="000B31AE"/>
    <w:rsid w:val="000B3E8F"/>
    <w:rsid w:val="000B4E42"/>
    <w:rsid w:val="000B59A8"/>
    <w:rsid w:val="000B5AAD"/>
    <w:rsid w:val="000C282E"/>
    <w:rsid w:val="000C47BA"/>
    <w:rsid w:val="000C5602"/>
    <w:rsid w:val="000C79C6"/>
    <w:rsid w:val="000D01A8"/>
    <w:rsid w:val="000D1680"/>
    <w:rsid w:val="000D3258"/>
    <w:rsid w:val="000D4AF7"/>
    <w:rsid w:val="000D4DD6"/>
    <w:rsid w:val="000D76A0"/>
    <w:rsid w:val="000D7AE5"/>
    <w:rsid w:val="000E1031"/>
    <w:rsid w:val="000E13B0"/>
    <w:rsid w:val="000E2538"/>
    <w:rsid w:val="000E3C93"/>
    <w:rsid w:val="000E3D02"/>
    <w:rsid w:val="000E7B4C"/>
    <w:rsid w:val="000F1539"/>
    <w:rsid w:val="000F1D3E"/>
    <w:rsid w:val="000F330A"/>
    <w:rsid w:val="000F476D"/>
    <w:rsid w:val="0010021B"/>
    <w:rsid w:val="0010166B"/>
    <w:rsid w:val="001047C4"/>
    <w:rsid w:val="0010549B"/>
    <w:rsid w:val="00110636"/>
    <w:rsid w:val="00111FD8"/>
    <w:rsid w:val="00115BF5"/>
    <w:rsid w:val="001163C0"/>
    <w:rsid w:val="001238C7"/>
    <w:rsid w:val="00125C4D"/>
    <w:rsid w:val="00125FF1"/>
    <w:rsid w:val="001303F2"/>
    <w:rsid w:val="0013178C"/>
    <w:rsid w:val="00132A5A"/>
    <w:rsid w:val="00134E83"/>
    <w:rsid w:val="00135001"/>
    <w:rsid w:val="00136589"/>
    <w:rsid w:val="0014117E"/>
    <w:rsid w:val="00142D58"/>
    <w:rsid w:val="001438EC"/>
    <w:rsid w:val="0014481C"/>
    <w:rsid w:val="00145D81"/>
    <w:rsid w:val="001461C4"/>
    <w:rsid w:val="00147046"/>
    <w:rsid w:val="0014762E"/>
    <w:rsid w:val="00150182"/>
    <w:rsid w:val="001503F2"/>
    <w:rsid w:val="001519D1"/>
    <w:rsid w:val="00153BEB"/>
    <w:rsid w:val="00155199"/>
    <w:rsid w:val="00157337"/>
    <w:rsid w:val="00160AB4"/>
    <w:rsid w:val="00161380"/>
    <w:rsid w:val="00161D04"/>
    <w:rsid w:val="00162E84"/>
    <w:rsid w:val="001630D9"/>
    <w:rsid w:val="00163719"/>
    <w:rsid w:val="00163CA3"/>
    <w:rsid w:val="0016400B"/>
    <w:rsid w:val="00164999"/>
    <w:rsid w:val="00166382"/>
    <w:rsid w:val="0016737E"/>
    <w:rsid w:val="00167ADB"/>
    <w:rsid w:val="00171880"/>
    <w:rsid w:val="00175568"/>
    <w:rsid w:val="001759E9"/>
    <w:rsid w:val="00175D69"/>
    <w:rsid w:val="00177F13"/>
    <w:rsid w:val="00180337"/>
    <w:rsid w:val="00180D4D"/>
    <w:rsid w:val="001817DA"/>
    <w:rsid w:val="0018373A"/>
    <w:rsid w:val="00185082"/>
    <w:rsid w:val="00185487"/>
    <w:rsid w:val="001856FE"/>
    <w:rsid w:val="00185CA6"/>
    <w:rsid w:val="00186D0E"/>
    <w:rsid w:val="0019064B"/>
    <w:rsid w:val="00190FDD"/>
    <w:rsid w:val="001A1264"/>
    <w:rsid w:val="001A2703"/>
    <w:rsid w:val="001A2839"/>
    <w:rsid w:val="001A31C0"/>
    <w:rsid w:val="001A3263"/>
    <w:rsid w:val="001A420D"/>
    <w:rsid w:val="001A4A65"/>
    <w:rsid w:val="001A5C4F"/>
    <w:rsid w:val="001B12AE"/>
    <w:rsid w:val="001B1D18"/>
    <w:rsid w:val="001B38FF"/>
    <w:rsid w:val="001B4492"/>
    <w:rsid w:val="001B541A"/>
    <w:rsid w:val="001B7A75"/>
    <w:rsid w:val="001C158A"/>
    <w:rsid w:val="001C3323"/>
    <w:rsid w:val="001C386F"/>
    <w:rsid w:val="001C41BD"/>
    <w:rsid w:val="001C4693"/>
    <w:rsid w:val="001C5B15"/>
    <w:rsid w:val="001C6DC0"/>
    <w:rsid w:val="001D2588"/>
    <w:rsid w:val="001D2E29"/>
    <w:rsid w:val="001D30CD"/>
    <w:rsid w:val="001D36C2"/>
    <w:rsid w:val="001D752C"/>
    <w:rsid w:val="001D7755"/>
    <w:rsid w:val="001E0A89"/>
    <w:rsid w:val="001E12A5"/>
    <w:rsid w:val="001E1D66"/>
    <w:rsid w:val="001E1FC7"/>
    <w:rsid w:val="001E20E2"/>
    <w:rsid w:val="001E23EF"/>
    <w:rsid w:val="001E3161"/>
    <w:rsid w:val="001E4A20"/>
    <w:rsid w:val="001E664D"/>
    <w:rsid w:val="001E7104"/>
    <w:rsid w:val="001F0DC9"/>
    <w:rsid w:val="001F441A"/>
    <w:rsid w:val="001F520B"/>
    <w:rsid w:val="001F55A4"/>
    <w:rsid w:val="001F7F68"/>
    <w:rsid w:val="002015AB"/>
    <w:rsid w:val="00201B0C"/>
    <w:rsid w:val="0020381D"/>
    <w:rsid w:val="00205120"/>
    <w:rsid w:val="00211545"/>
    <w:rsid w:val="002137F7"/>
    <w:rsid w:val="00216C26"/>
    <w:rsid w:val="00217476"/>
    <w:rsid w:val="00217A8C"/>
    <w:rsid w:val="00221067"/>
    <w:rsid w:val="002245BE"/>
    <w:rsid w:val="002246CA"/>
    <w:rsid w:val="002249D2"/>
    <w:rsid w:val="00225932"/>
    <w:rsid w:val="002271BB"/>
    <w:rsid w:val="0022740B"/>
    <w:rsid w:val="0023133F"/>
    <w:rsid w:val="00231345"/>
    <w:rsid w:val="00231FD3"/>
    <w:rsid w:val="002330AC"/>
    <w:rsid w:val="00234A1D"/>
    <w:rsid w:val="002355F2"/>
    <w:rsid w:val="00236B8C"/>
    <w:rsid w:val="00237621"/>
    <w:rsid w:val="0023785A"/>
    <w:rsid w:val="00241571"/>
    <w:rsid w:val="00245637"/>
    <w:rsid w:val="0024632F"/>
    <w:rsid w:val="00246743"/>
    <w:rsid w:val="00247C6F"/>
    <w:rsid w:val="00247E5F"/>
    <w:rsid w:val="00251FE6"/>
    <w:rsid w:val="00252C43"/>
    <w:rsid w:val="00254CEE"/>
    <w:rsid w:val="00256378"/>
    <w:rsid w:val="0025776B"/>
    <w:rsid w:val="00257A2D"/>
    <w:rsid w:val="0026361A"/>
    <w:rsid w:val="002649CA"/>
    <w:rsid w:val="0027035F"/>
    <w:rsid w:val="00270B0B"/>
    <w:rsid w:val="00271A87"/>
    <w:rsid w:val="00271BA7"/>
    <w:rsid w:val="00273C2A"/>
    <w:rsid w:val="00274138"/>
    <w:rsid w:val="002746A2"/>
    <w:rsid w:val="00275F6A"/>
    <w:rsid w:val="002768B3"/>
    <w:rsid w:val="0027733E"/>
    <w:rsid w:val="00280D28"/>
    <w:rsid w:val="00282352"/>
    <w:rsid w:val="00283148"/>
    <w:rsid w:val="002867B8"/>
    <w:rsid w:val="00286828"/>
    <w:rsid w:val="002878A7"/>
    <w:rsid w:val="00291937"/>
    <w:rsid w:val="00291BEB"/>
    <w:rsid w:val="00296017"/>
    <w:rsid w:val="00296C46"/>
    <w:rsid w:val="00296CA6"/>
    <w:rsid w:val="0029719F"/>
    <w:rsid w:val="00297406"/>
    <w:rsid w:val="00297C46"/>
    <w:rsid w:val="00297D43"/>
    <w:rsid w:val="002A1163"/>
    <w:rsid w:val="002A1905"/>
    <w:rsid w:val="002A5C5F"/>
    <w:rsid w:val="002B038B"/>
    <w:rsid w:val="002B06C2"/>
    <w:rsid w:val="002B3C37"/>
    <w:rsid w:val="002B4B1D"/>
    <w:rsid w:val="002B5007"/>
    <w:rsid w:val="002B51A9"/>
    <w:rsid w:val="002B53E2"/>
    <w:rsid w:val="002C1C18"/>
    <w:rsid w:val="002C29FC"/>
    <w:rsid w:val="002C3075"/>
    <w:rsid w:val="002C3186"/>
    <w:rsid w:val="002C3379"/>
    <w:rsid w:val="002C3563"/>
    <w:rsid w:val="002C5398"/>
    <w:rsid w:val="002C5ED3"/>
    <w:rsid w:val="002C6E27"/>
    <w:rsid w:val="002C77D1"/>
    <w:rsid w:val="002D026F"/>
    <w:rsid w:val="002D0DE5"/>
    <w:rsid w:val="002D2944"/>
    <w:rsid w:val="002D316D"/>
    <w:rsid w:val="002D7D75"/>
    <w:rsid w:val="002E1698"/>
    <w:rsid w:val="002E1FB5"/>
    <w:rsid w:val="002E3841"/>
    <w:rsid w:val="002E5930"/>
    <w:rsid w:val="002E5F5C"/>
    <w:rsid w:val="002E68A3"/>
    <w:rsid w:val="002E6C67"/>
    <w:rsid w:val="002E7527"/>
    <w:rsid w:val="002E7BDD"/>
    <w:rsid w:val="002F06D2"/>
    <w:rsid w:val="002F35E3"/>
    <w:rsid w:val="002F3DFC"/>
    <w:rsid w:val="002F5721"/>
    <w:rsid w:val="002F5836"/>
    <w:rsid w:val="002F6A60"/>
    <w:rsid w:val="002F6F65"/>
    <w:rsid w:val="002F73DF"/>
    <w:rsid w:val="003005D5"/>
    <w:rsid w:val="00300D8B"/>
    <w:rsid w:val="00301A33"/>
    <w:rsid w:val="00301A52"/>
    <w:rsid w:val="00302763"/>
    <w:rsid w:val="003028B3"/>
    <w:rsid w:val="00302D55"/>
    <w:rsid w:val="00302F3D"/>
    <w:rsid w:val="00305A05"/>
    <w:rsid w:val="00306F6B"/>
    <w:rsid w:val="00307263"/>
    <w:rsid w:val="00307A3B"/>
    <w:rsid w:val="003102BD"/>
    <w:rsid w:val="0031193D"/>
    <w:rsid w:val="003226EA"/>
    <w:rsid w:val="003245CC"/>
    <w:rsid w:val="00325F2D"/>
    <w:rsid w:val="00326C0B"/>
    <w:rsid w:val="00327002"/>
    <w:rsid w:val="0033060D"/>
    <w:rsid w:val="003310DF"/>
    <w:rsid w:val="003326C6"/>
    <w:rsid w:val="0033368F"/>
    <w:rsid w:val="003339B0"/>
    <w:rsid w:val="00334335"/>
    <w:rsid w:val="00334B48"/>
    <w:rsid w:val="003350D8"/>
    <w:rsid w:val="003406DF"/>
    <w:rsid w:val="0034072E"/>
    <w:rsid w:val="00341269"/>
    <w:rsid w:val="00341C34"/>
    <w:rsid w:val="003420F4"/>
    <w:rsid w:val="003427FE"/>
    <w:rsid w:val="00342E92"/>
    <w:rsid w:val="003431D3"/>
    <w:rsid w:val="003443D4"/>
    <w:rsid w:val="003446E7"/>
    <w:rsid w:val="00345A1B"/>
    <w:rsid w:val="00350F01"/>
    <w:rsid w:val="003549CE"/>
    <w:rsid w:val="00355E87"/>
    <w:rsid w:val="00363D79"/>
    <w:rsid w:val="003641BA"/>
    <w:rsid w:val="00365C6D"/>
    <w:rsid w:val="00367FDE"/>
    <w:rsid w:val="003703A4"/>
    <w:rsid w:val="00371825"/>
    <w:rsid w:val="00371FBD"/>
    <w:rsid w:val="00372655"/>
    <w:rsid w:val="00373491"/>
    <w:rsid w:val="00375415"/>
    <w:rsid w:val="0038061A"/>
    <w:rsid w:val="003809EA"/>
    <w:rsid w:val="003832DB"/>
    <w:rsid w:val="00386243"/>
    <w:rsid w:val="00390529"/>
    <w:rsid w:val="00392116"/>
    <w:rsid w:val="00394E6A"/>
    <w:rsid w:val="00394F59"/>
    <w:rsid w:val="003955E2"/>
    <w:rsid w:val="00395DCC"/>
    <w:rsid w:val="003A00D1"/>
    <w:rsid w:val="003A0A62"/>
    <w:rsid w:val="003A1A88"/>
    <w:rsid w:val="003A2F0C"/>
    <w:rsid w:val="003A30A7"/>
    <w:rsid w:val="003A5E0C"/>
    <w:rsid w:val="003B0501"/>
    <w:rsid w:val="003B0A37"/>
    <w:rsid w:val="003B1B63"/>
    <w:rsid w:val="003B353B"/>
    <w:rsid w:val="003B3B59"/>
    <w:rsid w:val="003B4598"/>
    <w:rsid w:val="003B6915"/>
    <w:rsid w:val="003C1FEF"/>
    <w:rsid w:val="003C2FD2"/>
    <w:rsid w:val="003C36A2"/>
    <w:rsid w:val="003C4225"/>
    <w:rsid w:val="003C44BF"/>
    <w:rsid w:val="003C4D08"/>
    <w:rsid w:val="003C65A6"/>
    <w:rsid w:val="003C6E3D"/>
    <w:rsid w:val="003C720F"/>
    <w:rsid w:val="003D17AC"/>
    <w:rsid w:val="003D27B3"/>
    <w:rsid w:val="003D296C"/>
    <w:rsid w:val="003D2F8A"/>
    <w:rsid w:val="003D3DC9"/>
    <w:rsid w:val="003D431C"/>
    <w:rsid w:val="003D73B6"/>
    <w:rsid w:val="003E0E7B"/>
    <w:rsid w:val="003E2103"/>
    <w:rsid w:val="003E261D"/>
    <w:rsid w:val="003E3374"/>
    <w:rsid w:val="003E3C9E"/>
    <w:rsid w:val="003E586A"/>
    <w:rsid w:val="003E6B90"/>
    <w:rsid w:val="003E6F66"/>
    <w:rsid w:val="003F0337"/>
    <w:rsid w:val="003F0F93"/>
    <w:rsid w:val="003F1940"/>
    <w:rsid w:val="003F3173"/>
    <w:rsid w:val="003F3FF2"/>
    <w:rsid w:val="003F6F1E"/>
    <w:rsid w:val="003F70F1"/>
    <w:rsid w:val="00400D3E"/>
    <w:rsid w:val="00400DED"/>
    <w:rsid w:val="00402665"/>
    <w:rsid w:val="00403C78"/>
    <w:rsid w:val="00406016"/>
    <w:rsid w:val="004071FE"/>
    <w:rsid w:val="00414D8B"/>
    <w:rsid w:val="00416E7C"/>
    <w:rsid w:val="00417677"/>
    <w:rsid w:val="00425070"/>
    <w:rsid w:val="00425444"/>
    <w:rsid w:val="004257C9"/>
    <w:rsid w:val="00426A13"/>
    <w:rsid w:val="00426CC1"/>
    <w:rsid w:val="00433221"/>
    <w:rsid w:val="00434598"/>
    <w:rsid w:val="00434A51"/>
    <w:rsid w:val="0043705A"/>
    <w:rsid w:val="004370F4"/>
    <w:rsid w:val="00437E74"/>
    <w:rsid w:val="004404D1"/>
    <w:rsid w:val="004414A7"/>
    <w:rsid w:val="0044158D"/>
    <w:rsid w:val="0044221C"/>
    <w:rsid w:val="00444D7E"/>
    <w:rsid w:val="00445AEC"/>
    <w:rsid w:val="004466EE"/>
    <w:rsid w:val="004529DF"/>
    <w:rsid w:val="004534E3"/>
    <w:rsid w:val="00455678"/>
    <w:rsid w:val="00456AD4"/>
    <w:rsid w:val="00457AC1"/>
    <w:rsid w:val="00457E9A"/>
    <w:rsid w:val="00460338"/>
    <w:rsid w:val="00460A29"/>
    <w:rsid w:val="00460C65"/>
    <w:rsid w:val="004610A1"/>
    <w:rsid w:val="00461327"/>
    <w:rsid w:val="00461689"/>
    <w:rsid w:val="004644F0"/>
    <w:rsid w:val="004653A5"/>
    <w:rsid w:val="0046659A"/>
    <w:rsid w:val="00471CBF"/>
    <w:rsid w:val="004765A8"/>
    <w:rsid w:val="00476859"/>
    <w:rsid w:val="004768F2"/>
    <w:rsid w:val="00477A4A"/>
    <w:rsid w:val="00480C47"/>
    <w:rsid w:val="004818E2"/>
    <w:rsid w:val="00481D06"/>
    <w:rsid w:val="00483740"/>
    <w:rsid w:val="00483940"/>
    <w:rsid w:val="004839CA"/>
    <w:rsid w:val="00484E6C"/>
    <w:rsid w:val="00486739"/>
    <w:rsid w:val="00487711"/>
    <w:rsid w:val="0049062B"/>
    <w:rsid w:val="00492218"/>
    <w:rsid w:val="004942A1"/>
    <w:rsid w:val="004943D4"/>
    <w:rsid w:val="00494B7C"/>
    <w:rsid w:val="00494DE6"/>
    <w:rsid w:val="0049507D"/>
    <w:rsid w:val="00497737"/>
    <w:rsid w:val="00497F7D"/>
    <w:rsid w:val="004A12FA"/>
    <w:rsid w:val="004A23DB"/>
    <w:rsid w:val="004A2C6C"/>
    <w:rsid w:val="004A326E"/>
    <w:rsid w:val="004A3965"/>
    <w:rsid w:val="004A6010"/>
    <w:rsid w:val="004A6117"/>
    <w:rsid w:val="004A6735"/>
    <w:rsid w:val="004A6B19"/>
    <w:rsid w:val="004A7448"/>
    <w:rsid w:val="004A7B2D"/>
    <w:rsid w:val="004B07A5"/>
    <w:rsid w:val="004B5068"/>
    <w:rsid w:val="004B5784"/>
    <w:rsid w:val="004B6C4C"/>
    <w:rsid w:val="004C167F"/>
    <w:rsid w:val="004C35E6"/>
    <w:rsid w:val="004C40C8"/>
    <w:rsid w:val="004C4BE4"/>
    <w:rsid w:val="004C7E14"/>
    <w:rsid w:val="004C7FD9"/>
    <w:rsid w:val="004D0C98"/>
    <w:rsid w:val="004D1C5A"/>
    <w:rsid w:val="004D1E4D"/>
    <w:rsid w:val="004D233B"/>
    <w:rsid w:val="004D3F55"/>
    <w:rsid w:val="004D608E"/>
    <w:rsid w:val="004D62AE"/>
    <w:rsid w:val="004E1611"/>
    <w:rsid w:val="004E25E8"/>
    <w:rsid w:val="004E310C"/>
    <w:rsid w:val="004E36C3"/>
    <w:rsid w:val="004E437C"/>
    <w:rsid w:val="004E57F4"/>
    <w:rsid w:val="004E6B60"/>
    <w:rsid w:val="004F1BA0"/>
    <w:rsid w:val="004F28E4"/>
    <w:rsid w:val="004F2B3B"/>
    <w:rsid w:val="004F4EE7"/>
    <w:rsid w:val="004F5261"/>
    <w:rsid w:val="004F550B"/>
    <w:rsid w:val="0050015C"/>
    <w:rsid w:val="00500704"/>
    <w:rsid w:val="0050251A"/>
    <w:rsid w:val="00502B9D"/>
    <w:rsid w:val="00506713"/>
    <w:rsid w:val="005108DE"/>
    <w:rsid w:val="00511488"/>
    <w:rsid w:val="0051251F"/>
    <w:rsid w:val="00513299"/>
    <w:rsid w:val="0051351C"/>
    <w:rsid w:val="00515549"/>
    <w:rsid w:val="005165C0"/>
    <w:rsid w:val="00517B8A"/>
    <w:rsid w:val="00523780"/>
    <w:rsid w:val="00524D23"/>
    <w:rsid w:val="005319D7"/>
    <w:rsid w:val="005320D4"/>
    <w:rsid w:val="005320D6"/>
    <w:rsid w:val="005351A2"/>
    <w:rsid w:val="00543B19"/>
    <w:rsid w:val="00544ABF"/>
    <w:rsid w:val="00547371"/>
    <w:rsid w:val="0055464B"/>
    <w:rsid w:val="005554B2"/>
    <w:rsid w:val="005559A2"/>
    <w:rsid w:val="00555B0A"/>
    <w:rsid w:val="00556182"/>
    <w:rsid w:val="0055680B"/>
    <w:rsid w:val="00560D98"/>
    <w:rsid w:val="00562EFB"/>
    <w:rsid w:val="0056440E"/>
    <w:rsid w:val="00566566"/>
    <w:rsid w:val="00566DF8"/>
    <w:rsid w:val="0057074A"/>
    <w:rsid w:val="00570DDF"/>
    <w:rsid w:val="00571D39"/>
    <w:rsid w:val="005734BD"/>
    <w:rsid w:val="0057535B"/>
    <w:rsid w:val="00576994"/>
    <w:rsid w:val="00577739"/>
    <w:rsid w:val="00582FB7"/>
    <w:rsid w:val="00585FB1"/>
    <w:rsid w:val="005873F1"/>
    <w:rsid w:val="00587FFA"/>
    <w:rsid w:val="005904CD"/>
    <w:rsid w:val="0059085B"/>
    <w:rsid w:val="005923A6"/>
    <w:rsid w:val="00592ABF"/>
    <w:rsid w:val="00593335"/>
    <w:rsid w:val="005941E0"/>
    <w:rsid w:val="00594734"/>
    <w:rsid w:val="00594A98"/>
    <w:rsid w:val="0059573E"/>
    <w:rsid w:val="0059632E"/>
    <w:rsid w:val="0059637C"/>
    <w:rsid w:val="00596E76"/>
    <w:rsid w:val="005974C5"/>
    <w:rsid w:val="00597C3C"/>
    <w:rsid w:val="005A0C05"/>
    <w:rsid w:val="005A64B1"/>
    <w:rsid w:val="005A6919"/>
    <w:rsid w:val="005B0854"/>
    <w:rsid w:val="005B23EC"/>
    <w:rsid w:val="005B33BB"/>
    <w:rsid w:val="005B3A0F"/>
    <w:rsid w:val="005B52C6"/>
    <w:rsid w:val="005B594D"/>
    <w:rsid w:val="005B7300"/>
    <w:rsid w:val="005C1E60"/>
    <w:rsid w:val="005C22D5"/>
    <w:rsid w:val="005C71AA"/>
    <w:rsid w:val="005C72C8"/>
    <w:rsid w:val="005C7CED"/>
    <w:rsid w:val="005D3856"/>
    <w:rsid w:val="005D55FD"/>
    <w:rsid w:val="005E200E"/>
    <w:rsid w:val="005E3572"/>
    <w:rsid w:val="005E50DB"/>
    <w:rsid w:val="005E5DB8"/>
    <w:rsid w:val="005E6A7A"/>
    <w:rsid w:val="005E701B"/>
    <w:rsid w:val="005F100C"/>
    <w:rsid w:val="005F3390"/>
    <w:rsid w:val="005F4722"/>
    <w:rsid w:val="005F5653"/>
    <w:rsid w:val="005F5731"/>
    <w:rsid w:val="005F57C1"/>
    <w:rsid w:val="005F5B1A"/>
    <w:rsid w:val="005F66EC"/>
    <w:rsid w:val="005F6EA2"/>
    <w:rsid w:val="005F7E5E"/>
    <w:rsid w:val="0060086D"/>
    <w:rsid w:val="00603EBE"/>
    <w:rsid w:val="00604292"/>
    <w:rsid w:val="006054AE"/>
    <w:rsid w:val="00605A80"/>
    <w:rsid w:val="00606A26"/>
    <w:rsid w:val="00607BCE"/>
    <w:rsid w:val="00610DA1"/>
    <w:rsid w:val="00614BAC"/>
    <w:rsid w:val="006170F1"/>
    <w:rsid w:val="006178B2"/>
    <w:rsid w:val="00620A86"/>
    <w:rsid w:val="00621AD9"/>
    <w:rsid w:val="00623AC8"/>
    <w:rsid w:val="00623E59"/>
    <w:rsid w:val="006261D6"/>
    <w:rsid w:val="00630E36"/>
    <w:rsid w:val="00630ED4"/>
    <w:rsid w:val="00632393"/>
    <w:rsid w:val="006349E6"/>
    <w:rsid w:val="00634B0C"/>
    <w:rsid w:val="006352C3"/>
    <w:rsid w:val="00635D4D"/>
    <w:rsid w:val="006374B7"/>
    <w:rsid w:val="006379F7"/>
    <w:rsid w:val="006416E1"/>
    <w:rsid w:val="006429FF"/>
    <w:rsid w:val="00644192"/>
    <w:rsid w:val="006457CC"/>
    <w:rsid w:val="00647005"/>
    <w:rsid w:val="00647283"/>
    <w:rsid w:val="00654D19"/>
    <w:rsid w:val="00657700"/>
    <w:rsid w:val="00657839"/>
    <w:rsid w:val="00661810"/>
    <w:rsid w:val="006631B4"/>
    <w:rsid w:val="006645EF"/>
    <w:rsid w:val="00664685"/>
    <w:rsid w:val="00664776"/>
    <w:rsid w:val="0066506F"/>
    <w:rsid w:val="00665A80"/>
    <w:rsid w:val="00667729"/>
    <w:rsid w:val="0067046C"/>
    <w:rsid w:val="00672387"/>
    <w:rsid w:val="00672CA1"/>
    <w:rsid w:val="00673562"/>
    <w:rsid w:val="0067429F"/>
    <w:rsid w:val="00676A1F"/>
    <w:rsid w:val="00676B7F"/>
    <w:rsid w:val="0067754D"/>
    <w:rsid w:val="00680FA4"/>
    <w:rsid w:val="00680FB4"/>
    <w:rsid w:val="00682FE6"/>
    <w:rsid w:val="00684FAB"/>
    <w:rsid w:val="00685365"/>
    <w:rsid w:val="00685EDD"/>
    <w:rsid w:val="00692A4F"/>
    <w:rsid w:val="006932F3"/>
    <w:rsid w:val="0069333F"/>
    <w:rsid w:val="00693FD4"/>
    <w:rsid w:val="00694443"/>
    <w:rsid w:val="00694A4F"/>
    <w:rsid w:val="00694EA8"/>
    <w:rsid w:val="006952FF"/>
    <w:rsid w:val="00695AAE"/>
    <w:rsid w:val="00695C01"/>
    <w:rsid w:val="0069656F"/>
    <w:rsid w:val="006A0146"/>
    <w:rsid w:val="006A30A5"/>
    <w:rsid w:val="006A6073"/>
    <w:rsid w:val="006A6AE6"/>
    <w:rsid w:val="006B0DE6"/>
    <w:rsid w:val="006B4E95"/>
    <w:rsid w:val="006B5DF8"/>
    <w:rsid w:val="006C0A0B"/>
    <w:rsid w:val="006C26A2"/>
    <w:rsid w:val="006C274F"/>
    <w:rsid w:val="006C3D63"/>
    <w:rsid w:val="006C4833"/>
    <w:rsid w:val="006C522D"/>
    <w:rsid w:val="006C785D"/>
    <w:rsid w:val="006D0369"/>
    <w:rsid w:val="006D039A"/>
    <w:rsid w:val="006D2611"/>
    <w:rsid w:val="006D5036"/>
    <w:rsid w:val="006D5467"/>
    <w:rsid w:val="006D6023"/>
    <w:rsid w:val="006D6F3E"/>
    <w:rsid w:val="006D7074"/>
    <w:rsid w:val="006D72F5"/>
    <w:rsid w:val="006E0591"/>
    <w:rsid w:val="006E4318"/>
    <w:rsid w:val="006E448F"/>
    <w:rsid w:val="006E4F33"/>
    <w:rsid w:val="006F083D"/>
    <w:rsid w:val="006F1B55"/>
    <w:rsid w:val="006F3E0E"/>
    <w:rsid w:val="006F3E79"/>
    <w:rsid w:val="006F5707"/>
    <w:rsid w:val="006F6761"/>
    <w:rsid w:val="006F719E"/>
    <w:rsid w:val="006F7544"/>
    <w:rsid w:val="0070058D"/>
    <w:rsid w:val="007042E1"/>
    <w:rsid w:val="00710327"/>
    <w:rsid w:val="00710ED3"/>
    <w:rsid w:val="00712186"/>
    <w:rsid w:val="00713991"/>
    <w:rsid w:val="00714153"/>
    <w:rsid w:val="007143DA"/>
    <w:rsid w:val="0071456E"/>
    <w:rsid w:val="0071547A"/>
    <w:rsid w:val="0071647B"/>
    <w:rsid w:val="00716C66"/>
    <w:rsid w:val="00717D9D"/>
    <w:rsid w:val="0072015B"/>
    <w:rsid w:val="00724874"/>
    <w:rsid w:val="0073064F"/>
    <w:rsid w:val="00732D91"/>
    <w:rsid w:val="00733CC4"/>
    <w:rsid w:val="007358F3"/>
    <w:rsid w:val="00737D66"/>
    <w:rsid w:val="007417D1"/>
    <w:rsid w:val="00742850"/>
    <w:rsid w:val="00743BA0"/>
    <w:rsid w:val="00743ECF"/>
    <w:rsid w:val="00744BB7"/>
    <w:rsid w:val="00745F95"/>
    <w:rsid w:val="0075070E"/>
    <w:rsid w:val="00750FEE"/>
    <w:rsid w:val="00753811"/>
    <w:rsid w:val="00755CDF"/>
    <w:rsid w:val="007610E2"/>
    <w:rsid w:val="00762D04"/>
    <w:rsid w:val="007676E5"/>
    <w:rsid w:val="00767F36"/>
    <w:rsid w:val="007718AC"/>
    <w:rsid w:val="0077230A"/>
    <w:rsid w:val="007733D6"/>
    <w:rsid w:val="0077408A"/>
    <w:rsid w:val="00777313"/>
    <w:rsid w:val="00777710"/>
    <w:rsid w:val="00780D95"/>
    <w:rsid w:val="007811DC"/>
    <w:rsid w:val="00782C06"/>
    <w:rsid w:val="0078304B"/>
    <w:rsid w:val="00783BAD"/>
    <w:rsid w:val="00783EFA"/>
    <w:rsid w:val="00784218"/>
    <w:rsid w:val="00784B66"/>
    <w:rsid w:val="007853E5"/>
    <w:rsid w:val="007866F6"/>
    <w:rsid w:val="007903F8"/>
    <w:rsid w:val="00791FE7"/>
    <w:rsid w:val="00792AE4"/>
    <w:rsid w:val="00794727"/>
    <w:rsid w:val="00795456"/>
    <w:rsid w:val="00796DA7"/>
    <w:rsid w:val="007A2ACB"/>
    <w:rsid w:val="007A3831"/>
    <w:rsid w:val="007A3967"/>
    <w:rsid w:val="007A3C6B"/>
    <w:rsid w:val="007A4666"/>
    <w:rsid w:val="007A4ED8"/>
    <w:rsid w:val="007A5D6D"/>
    <w:rsid w:val="007A76E6"/>
    <w:rsid w:val="007B0705"/>
    <w:rsid w:val="007B0C23"/>
    <w:rsid w:val="007B113C"/>
    <w:rsid w:val="007B21F0"/>
    <w:rsid w:val="007B42F0"/>
    <w:rsid w:val="007B596F"/>
    <w:rsid w:val="007B7F7F"/>
    <w:rsid w:val="007C4654"/>
    <w:rsid w:val="007C48F0"/>
    <w:rsid w:val="007C7D88"/>
    <w:rsid w:val="007D1B51"/>
    <w:rsid w:val="007D1DFE"/>
    <w:rsid w:val="007D441B"/>
    <w:rsid w:val="007D55D2"/>
    <w:rsid w:val="007D588C"/>
    <w:rsid w:val="007D5D87"/>
    <w:rsid w:val="007D6C91"/>
    <w:rsid w:val="007D6DAF"/>
    <w:rsid w:val="007E13ED"/>
    <w:rsid w:val="007E376A"/>
    <w:rsid w:val="007E6420"/>
    <w:rsid w:val="007E6992"/>
    <w:rsid w:val="007F0804"/>
    <w:rsid w:val="007F1B74"/>
    <w:rsid w:val="007F2E4A"/>
    <w:rsid w:val="007F3CE8"/>
    <w:rsid w:val="007F3E0B"/>
    <w:rsid w:val="007F762C"/>
    <w:rsid w:val="007F7674"/>
    <w:rsid w:val="00802352"/>
    <w:rsid w:val="00803B2A"/>
    <w:rsid w:val="00803E19"/>
    <w:rsid w:val="008053B8"/>
    <w:rsid w:val="00805809"/>
    <w:rsid w:val="00806175"/>
    <w:rsid w:val="008071E2"/>
    <w:rsid w:val="00810B31"/>
    <w:rsid w:val="00811033"/>
    <w:rsid w:val="00811103"/>
    <w:rsid w:val="00812433"/>
    <w:rsid w:val="008129EF"/>
    <w:rsid w:val="00812E32"/>
    <w:rsid w:val="00814CD1"/>
    <w:rsid w:val="00814D1B"/>
    <w:rsid w:val="00815859"/>
    <w:rsid w:val="00815906"/>
    <w:rsid w:val="00816513"/>
    <w:rsid w:val="0082097D"/>
    <w:rsid w:val="00822183"/>
    <w:rsid w:val="00822A55"/>
    <w:rsid w:val="0082310E"/>
    <w:rsid w:val="00823EBA"/>
    <w:rsid w:val="00825DF7"/>
    <w:rsid w:val="0082621D"/>
    <w:rsid w:val="008306A3"/>
    <w:rsid w:val="008334E4"/>
    <w:rsid w:val="00833945"/>
    <w:rsid w:val="00836360"/>
    <w:rsid w:val="008363FC"/>
    <w:rsid w:val="00843648"/>
    <w:rsid w:val="00844C50"/>
    <w:rsid w:val="00845C16"/>
    <w:rsid w:val="00846CF9"/>
    <w:rsid w:val="00852966"/>
    <w:rsid w:val="00855A9A"/>
    <w:rsid w:val="00856170"/>
    <w:rsid w:val="00856C5C"/>
    <w:rsid w:val="0086171D"/>
    <w:rsid w:val="00861CE8"/>
    <w:rsid w:val="008627B1"/>
    <w:rsid w:val="00862E71"/>
    <w:rsid w:val="00864BC4"/>
    <w:rsid w:val="00864D1D"/>
    <w:rsid w:val="008722B1"/>
    <w:rsid w:val="00872E4A"/>
    <w:rsid w:val="00873A53"/>
    <w:rsid w:val="00874584"/>
    <w:rsid w:val="0087564C"/>
    <w:rsid w:val="00877B79"/>
    <w:rsid w:val="008806D8"/>
    <w:rsid w:val="00880ADB"/>
    <w:rsid w:val="008820A7"/>
    <w:rsid w:val="00883627"/>
    <w:rsid w:val="008847CC"/>
    <w:rsid w:val="00891BE8"/>
    <w:rsid w:val="00893AB5"/>
    <w:rsid w:val="00896371"/>
    <w:rsid w:val="00896C0F"/>
    <w:rsid w:val="00897955"/>
    <w:rsid w:val="008A2444"/>
    <w:rsid w:val="008A2A80"/>
    <w:rsid w:val="008A3474"/>
    <w:rsid w:val="008A4CE8"/>
    <w:rsid w:val="008A5408"/>
    <w:rsid w:val="008A7EDB"/>
    <w:rsid w:val="008B17FC"/>
    <w:rsid w:val="008B538F"/>
    <w:rsid w:val="008C0793"/>
    <w:rsid w:val="008C0A7F"/>
    <w:rsid w:val="008C1101"/>
    <w:rsid w:val="008C20EB"/>
    <w:rsid w:val="008C2303"/>
    <w:rsid w:val="008C43B8"/>
    <w:rsid w:val="008C4B01"/>
    <w:rsid w:val="008C659C"/>
    <w:rsid w:val="008C7F9F"/>
    <w:rsid w:val="008D08BE"/>
    <w:rsid w:val="008D28B1"/>
    <w:rsid w:val="008D561E"/>
    <w:rsid w:val="008D5E79"/>
    <w:rsid w:val="008D5FD5"/>
    <w:rsid w:val="008E13EA"/>
    <w:rsid w:val="008E33F7"/>
    <w:rsid w:val="008E5629"/>
    <w:rsid w:val="008E781D"/>
    <w:rsid w:val="008F0D92"/>
    <w:rsid w:val="008F1ACC"/>
    <w:rsid w:val="008F373B"/>
    <w:rsid w:val="008F5AA4"/>
    <w:rsid w:val="009018A9"/>
    <w:rsid w:val="0090339D"/>
    <w:rsid w:val="00903887"/>
    <w:rsid w:val="009049A7"/>
    <w:rsid w:val="0090565E"/>
    <w:rsid w:val="009060F0"/>
    <w:rsid w:val="00906245"/>
    <w:rsid w:val="00906C74"/>
    <w:rsid w:val="00907CB0"/>
    <w:rsid w:val="0091199A"/>
    <w:rsid w:val="00911B52"/>
    <w:rsid w:val="00915130"/>
    <w:rsid w:val="0091526C"/>
    <w:rsid w:val="00916F0D"/>
    <w:rsid w:val="00920512"/>
    <w:rsid w:val="00920FBF"/>
    <w:rsid w:val="0092354D"/>
    <w:rsid w:val="009235B5"/>
    <w:rsid w:val="00927BFA"/>
    <w:rsid w:val="00930E1F"/>
    <w:rsid w:val="00931A0D"/>
    <w:rsid w:val="00932D67"/>
    <w:rsid w:val="00933B95"/>
    <w:rsid w:val="009344DB"/>
    <w:rsid w:val="0093510F"/>
    <w:rsid w:val="00936238"/>
    <w:rsid w:val="009365F7"/>
    <w:rsid w:val="00936E14"/>
    <w:rsid w:val="00936EA3"/>
    <w:rsid w:val="00937588"/>
    <w:rsid w:val="00940FE5"/>
    <w:rsid w:val="00941A24"/>
    <w:rsid w:val="0094266D"/>
    <w:rsid w:val="00945E5E"/>
    <w:rsid w:val="00946120"/>
    <w:rsid w:val="00946E7F"/>
    <w:rsid w:val="00950CFA"/>
    <w:rsid w:val="00951C06"/>
    <w:rsid w:val="0095232A"/>
    <w:rsid w:val="0095241E"/>
    <w:rsid w:val="00953C28"/>
    <w:rsid w:val="0095562B"/>
    <w:rsid w:val="00955C7D"/>
    <w:rsid w:val="00955F84"/>
    <w:rsid w:val="0095629F"/>
    <w:rsid w:val="009570F3"/>
    <w:rsid w:val="009605BC"/>
    <w:rsid w:val="009607BC"/>
    <w:rsid w:val="00960F92"/>
    <w:rsid w:val="009619E4"/>
    <w:rsid w:val="009626E5"/>
    <w:rsid w:val="00963110"/>
    <w:rsid w:val="00964818"/>
    <w:rsid w:val="009673A3"/>
    <w:rsid w:val="00967F33"/>
    <w:rsid w:val="00970BD3"/>
    <w:rsid w:val="00972087"/>
    <w:rsid w:val="0097260B"/>
    <w:rsid w:val="0097280B"/>
    <w:rsid w:val="009745FB"/>
    <w:rsid w:val="00974815"/>
    <w:rsid w:val="009774FA"/>
    <w:rsid w:val="00977957"/>
    <w:rsid w:val="00980AEC"/>
    <w:rsid w:val="00981573"/>
    <w:rsid w:val="00981BDF"/>
    <w:rsid w:val="00984A34"/>
    <w:rsid w:val="00985DD5"/>
    <w:rsid w:val="009862D1"/>
    <w:rsid w:val="00986C3E"/>
    <w:rsid w:val="009918D7"/>
    <w:rsid w:val="009946CB"/>
    <w:rsid w:val="0099479B"/>
    <w:rsid w:val="00997F9E"/>
    <w:rsid w:val="009A5EA8"/>
    <w:rsid w:val="009A6AE4"/>
    <w:rsid w:val="009A6C6A"/>
    <w:rsid w:val="009A79BE"/>
    <w:rsid w:val="009B2734"/>
    <w:rsid w:val="009B32A7"/>
    <w:rsid w:val="009C0D81"/>
    <w:rsid w:val="009C1116"/>
    <w:rsid w:val="009C1EF5"/>
    <w:rsid w:val="009C2319"/>
    <w:rsid w:val="009C366A"/>
    <w:rsid w:val="009C41C8"/>
    <w:rsid w:val="009C57C2"/>
    <w:rsid w:val="009C6352"/>
    <w:rsid w:val="009C7E17"/>
    <w:rsid w:val="009D059C"/>
    <w:rsid w:val="009D0790"/>
    <w:rsid w:val="009D1003"/>
    <w:rsid w:val="009D1390"/>
    <w:rsid w:val="009D1488"/>
    <w:rsid w:val="009D2BF7"/>
    <w:rsid w:val="009D37C2"/>
    <w:rsid w:val="009D3E4A"/>
    <w:rsid w:val="009E0107"/>
    <w:rsid w:val="009E22ED"/>
    <w:rsid w:val="009E5545"/>
    <w:rsid w:val="009E584C"/>
    <w:rsid w:val="009E68A7"/>
    <w:rsid w:val="009E7A2D"/>
    <w:rsid w:val="009F16DC"/>
    <w:rsid w:val="009F2CAF"/>
    <w:rsid w:val="009F4991"/>
    <w:rsid w:val="009F7FD9"/>
    <w:rsid w:val="00A004EC"/>
    <w:rsid w:val="00A0278B"/>
    <w:rsid w:val="00A02B07"/>
    <w:rsid w:val="00A06A66"/>
    <w:rsid w:val="00A1496B"/>
    <w:rsid w:val="00A14A54"/>
    <w:rsid w:val="00A14CD9"/>
    <w:rsid w:val="00A14EFB"/>
    <w:rsid w:val="00A1658C"/>
    <w:rsid w:val="00A17778"/>
    <w:rsid w:val="00A22163"/>
    <w:rsid w:val="00A23974"/>
    <w:rsid w:val="00A24E80"/>
    <w:rsid w:val="00A24F4A"/>
    <w:rsid w:val="00A256A4"/>
    <w:rsid w:val="00A2599E"/>
    <w:rsid w:val="00A266AA"/>
    <w:rsid w:val="00A26DA3"/>
    <w:rsid w:val="00A2747E"/>
    <w:rsid w:val="00A30097"/>
    <w:rsid w:val="00A30C89"/>
    <w:rsid w:val="00A310EE"/>
    <w:rsid w:val="00A32C91"/>
    <w:rsid w:val="00A32E85"/>
    <w:rsid w:val="00A34B48"/>
    <w:rsid w:val="00A34C4D"/>
    <w:rsid w:val="00A3513E"/>
    <w:rsid w:val="00A361F4"/>
    <w:rsid w:val="00A368C2"/>
    <w:rsid w:val="00A3716C"/>
    <w:rsid w:val="00A379C0"/>
    <w:rsid w:val="00A40BA2"/>
    <w:rsid w:val="00A41626"/>
    <w:rsid w:val="00A41777"/>
    <w:rsid w:val="00A42BAE"/>
    <w:rsid w:val="00A42DFF"/>
    <w:rsid w:val="00A42F49"/>
    <w:rsid w:val="00A44201"/>
    <w:rsid w:val="00A44FD2"/>
    <w:rsid w:val="00A537E0"/>
    <w:rsid w:val="00A54748"/>
    <w:rsid w:val="00A5764A"/>
    <w:rsid w:val="00A57848"/>
    <w:rsid w:val="00A61B14"/>
    <w:rsid w:val="00A62816"/>
    <w:rsid w:val="00A62D27"/>
    <w:rsid w:val="00A63954"/>
    <w:rsid w:val="00A63DDA"/>
    <w:rsid w:val="00A7411D"/>
    <w:rsid w:val="00A74A2E"/>
    <w:rsid w:val="00A74F2E"/>
    <w:rsid w:val="00A75F04"/>
    <w:rsid w:val="00A8488D"/>
    <w:rsid w:val="00A85F84"/>
    <w:rsid w:val="00A874C4"/>
    <w:rsid w:val="00A90BDB"/>
    <w:rsid w:val="00A94143"/>
    <w:rsid w:val="00A9424F"/>
    <w:rsid w:val="00A9572D"/>
    <w:rsid w:val="00A97092"/>
    <w:rsid w:val="00A9799E"/>
    <w:rsid w:val="00AA0561"/>
    <w:rsid w:val="00AA246D"/>
    <w:rsid w:val="00AA4111"/>
    <w:rsid w:val="00AA4528"/>
    <w:rsid w:val="00AA4694"/>
    <w:rsid w:val="00AA5363"/>
    <w:rsid w:val="00AA5D97"/>
    <w:rsid w:val="00AA66C7"/>
    <w:rsid w:val="00AB057E"/>
    <w:rsid w:val="00AB348B"/>
    <w:rsid w:val="00AB525B"/>
    <w:rsid w:val="00AB5E66"/>
    <w:rsid w:val="00AC4E31"/>
    <w:rsid w:val="00AC6121"/>
    <w:rsid w:val="00AC6323"/>
    <w:rsid w:val="00AC6388"/>
    <w:rsid w:val="00AC7576"/>
    <w:rsid w:val="00AD27A2"/>
    <w:rsid w:val="00AD27DF"/>
    <w:rsid w:val="00AD60DB"/>
    <w:rsid w:val="00AD723C"/>
    <w:rsid w:val="00AE0C8C"/>
    <w:rsid w:val="00AE2394"/>
    <w:rsid w:val="00AE39C1"/>
    <w:rsid w:val="00AE766E"/>
    <w:rsid w:val="00AF0DD0"/>
    <w:rsid w:val="00AF1151"/>
    <w:rsid w:val="00AF1796"/>
    <w:rsid w:val="00AF3BB4"/>
    <w:rsid w:val="00AF5846"/>
    <w:rsid w:val="00B000DA"/>
    <w:rsid w:val="00B00DCC"/>
    <w:rsid w:val="00B01B1D"/>
    <w:rsid w:val="00B0223B"/>
    <w:rsid w:val="00B02A1F"/>
    <w:rsid w:val="00B0324D"/>
    <w:rsid w:val="00B0335B"/>
    <w:rsid w:val="00B077FC"/>
    <w:rsid w:val="00B12EE4"/>
    <w:rsid w:val="00B13571"/>
    <w:rsid w:val="00B14EF4"/>
    <w:rsid w:val="00B155C9"/>
    <w:rsid w:val="00B23A2E"/>
    <w:rsid w:val="00B249AF"/>
    <w:rsid w:val="00B25045"/>
    <w:rsid w:val="00B26F47"/>
    <w:rsid w:val="00B2793B"/>
    <w:rsid w:val="00B34034"/>
    <w:rsid w:val="00B34577"/>
    <w:rsid w:val="00B36704"/>
    <w:rsid w:val="00B36F82"/>
    <w:rsid w:val="00B40626"/>
    <w:rsid w:val="00B40736"/>
    <w:rsid w:val="00B409AA"/>
    <w:rsid w:val="00B41BAB"/>
    <w:rsid w:val="00B45603"/>
    <w:rsid w:val="00B45BFD"/>
    <w:rsid w:val="00B5086D"/>
    <w:rsid w:val="00B52EBF"/>
    <w:rsid w:val="00B52FB2"/>
    <w:rsid w:val="00B52FE8"/>
    <w:rsid w:val="00B55137"/>
    <w:rsid w:val="00B56035"/>
    <w:rsid w:val="00B62162"/>
    <w:rsid w:val="00B627D8"/>
    <w:rsid w:val="00B64BEE"/>
    <w:rsid w:val="00B669DF"/>
    <w:rsid w:val="00B70BBC"/>
    <w:rsid w:val="00B719B7"/>
    <w:rsid w:val="00B74426"/>
    <w:rsid w:val="00B804EF"/>
    <w:rsid w:val="00B812B5"/>
    <w:rsid w:val="00B8164E"/>
    <w:rsid w:val="00B81702"/>
    <w:rsid w:val="00B81DDA"/>
    <w:rsid w:val="00B84C4F"/>
    <w:rsid w:val="00B85491"/>
    <w:rsid w:val="00B86869"/>
    <w:rsid w:val="00B8752A"/>
    <w:rsid w:val="00B92618"/>
    <w:rsid w:val="00B93DFE"/>
    <w:rsid w:val="00B95F27"/>
    <w:rsid w:val="00BA05DA"/>
    <w:rsid w:val="00BA0B0F"/>
    <w:rsid w:val="00BA0C79"/>
    <w:rsid w:val="00BA160F"/>
    <w:rsid w:val="00BA2867"/>
    <w:rsid w:val="00BA2D2B"/>
    <w:rsid w:val="00BA3A27"/>
    <w:rsid w:val="00BA4E01"/>
    <w:rsid w:val="00BA4F53"/>
    <w:rsid w:val="00BA6546"/>
    <w:rsid w:val="00BA6B8A"/>
    <w:rsid w:val="00BA6BF3"/>
    <w:rsid w:val="00BA7195"/>
    <w:rsid w:val="00BB3278"/>
    <w:rsid w:val="00BB4C3F"/>
    <w:rsid w:val="00BB55FC"/>
    <w:rsid w:val="00BC0236"/>
    <w:rsid w:val="00BC1337"/>
    <w:rsid w:val="00BC1921"/>
    <w:rsid w:val="00BC352F"/>
    <w:rsid w:val="00BC4ADF"/>
    <w:rsid w:val="00BC5A10"/>
    <w:rsid w:val="00BC6527"/>
    <w:rsid w:val="00BC67BC"/>
    <w:rsid w:val="00BD17E1"/>
    <w:rsid w:val="00BD36F0"/>
    <w:rsid w:val="00BD4483"/>
    <w:rsid w:val="00BD4589"/>
    <w:rsid w:val="00BD491D"/>
    <w:rsid w:val="00BD4EE5"/>
    <w:rsid w:val="00BE0609"/>
    <w:rsid w:val="00BE16B2"/>
    <w:rsid w:val="00BE2076"/>
    <w:rsid w:val="00BE2B8D"/>
    <w:rsid w:val="00BE368D"/>
    <w:rsid w:val="00BE3FA6"/>
    <w:rsid w:val="00BE5853"/>
    <w:rsid w:val="00BE59DB"/>
    <w:rsid w:val="00BE5AF9"/>
    <w:rsid w:val="00BE6B4E"/>
    <w:rsid w:val="00BF2757"/>
    <w:rsid w:val="00BF70D7"/>
    <w:rsid w:val="00C002BA"/>
    <w:rsid w:val="00C012EC"/>
    <w:rsid w:val="00C0399F"/>
    <w:rsid w:val="00C04619"/>
    <w:rsid w:val="00C07100"/>
    <w:rsid w:val="00C07F94"/>
    <w:rsid w:val="00C1298C"/>
    <w:rsid w:val="00C13B4A"/>
    <w:rsid w:val="00C14DF2"/>
    <w:rsid w:val="00C16916"/>
    <w:rsid w:val="00C16B1E"/>
    <w:rsid w:val="00C20C36"/>
    <w:rsid w:val="00C22E32"/>
    <w:rsid w:val="00C24EE7"/>
    <w:rsid w:val="00C25431"/>
    <w:rsid w:val="00C26351"/>
    <w:rsid w:val="00C26617"/>
    <w:rsid w:val="00C26C0C"/>
    <w:rsid w:val="00C30B5D"/>
    <w:rsid w:val="00C31A55"/>
    <w:rsid w:val="00C34BC5"/>
    <w:rsid w:val="00C36B44"/>
    <w:rsid w:val="00C371F9"/>
    <w:rsid w:val="00C37CB7"/>
    <w:rsid w:val="00C41BBB"/>
    <w:rsid w:val="00C42051"/>
    <w:rsid w:val="00C45328"/>
    <w:rsid w:val="00C53DA6"/>
    <w:rsid w:val="00C569B4"/>
    <w:rsid w:val="00C6031F"/>
    <w:rsid w:val="00C603EA"/>
    <w:rsid w:val="00C618F9"/>
    <w:rsid w:val="00C63763"/>
    <w:rsid w:val="00C6572C"/>
    <w:rsid w:val="00C66EB6"/>
    <w:rsid w:val="00C700EF"/>
    <w:rsid w:val="00C70C65"/>
    <w:rsid w:val="00C71A47"/>
    <w:rsid w:val="00C7374A"/>
    <w:rsid w:val="00C740FF"/>
    <w:rsid w:val="00C75E5B"/>
    <w:rsid w:val="00C77C6D"/>
    <w:rsid w:val="00C80DCF"/>
    <w:rsid w:val="00C81051"/>
    <w:rsid w:val="00C83776"/>
    <w:rsid w:val="00C8390F"/>
    <w:rsid w:val="00C86465"/>
    <w:rsid w:val="00C86545"/>
    <w:rsid w:val="00C86A05"/>
    <w:rsid w:val="00C8767F"/>
    <w:rsid w:val="00C911C1"/>
    <w:rsid w:val="00C92ABC"/>
    <w:rsid w:val="00C92EB8"/>
    <w:rsid w:val="00C930AD"/>
    <w:rsid w:val="00C93384"/>
    <w:rsid w:val="00C9356D"/>
    <w:rsid w:val="00C94939"/>
    <w:rsid w:val="00C95442"/>
    <w:rsid w:val="00C95C8A"/>
    <w:rsid w:val="00C96F2F"/>
    <w:rsid w:val="00C9786D"/>
    <w:rsid w:val="00CA001D"/>
    <w:rsid w:val="00CA030D"/>
    <w:rsid w:val="00CA182C"/>
    <w:rsid w:val="00CA18B4"/>
    <w:rsid w:val="00CA24B5"/>
    <w:rsid w:val="00CA286C"/>
    <w:rsid w:val="00CA2989"/>
    <w:rsid w:val="00CA595B"/>
    <w:rsid w:val="00CA626E"/>
    <w:rsid w:val="00CA72D8"/>
    <w:rsid w:val="00CB04C1"/>
    <w:rsid w:val="00CB1E5D"/>
    <w:rsid w:val="00CB2127"/>
    <w:rsid w:val="00CB224A"/>
    <w:rsid w:val="00CB299A"/>
    <w:rsid w:val="00CB2CE1"/>
    <w:rsid w:val="00CB4691"/>
    <w:rsid w:val="00CB52BA"/>
    <w:rsid w:val="00CB6AA7"/>
    <w:rsid w:val="00CB6F77"/>
    <w:rsid w:val="00CB7449"/>
    <w:rsid w:val="00CB75AB"/>
    <w:rsid w:val="00CC086B"/>
    <w:rsid w:val="00CC08D1"/>
    <w:rsid w:val="00CC1A8A"/>
    <w:rsid w:val="00CC2FA6"/>
    <w:rsid w:val="00CC4223"/>
    <w:rsid w:val="00CC67EF"/>
    <w:rsid w:val="00CC755F"/>
    <w:rsid w:val="00CC7E7B"/>
    <w:rsid w:val="00CD02DE"/>
    <w:rsid w:val="00CD084A"/>
    <w:rsid w:val="00CD1766"/>
    <w:rsid w:val="00CD1A9D"/>
    <w:rsid w:val="00CD3F18"/>
    <w:rsid w:val="00CD4492"/>
    <w:rsid w:val="00CD67DB"/>
    <w:rsid w:val="00CE062E"/>
    <w:rsid w:val="00CE26ED"/>
    <w:rsid w:val="00CE2A97"/>
    <w:rsid w:val="00CE367E"/>
    <w:rsid w:val="00CE4CF1"/>
    <w:rsid w:val="00CE5DD3"/>
    <w:rsid w:val="00CE61A3"/>
    <w:rsid w:val="00CE62C6"/>
    <w:rsid w:val="00CE768C"/>
    <w:rsid w:val="00CF0660"/>
    <w:rsid w:val="00CF1C63"/>
    <w:rsid w:val="00CF42C0"/>
    <w:rsid w:val="00CF6751"/>
    <w:rsid w:val="00D01FC3"/>
    <w:rsid w:val="00D02BBD"/>
    <w:rsid w:val="00D0383D"/>
    <w:rsid w:val="00D11517"/>
    <w:rsid w:val="00D1265F"/>
    <w:rsid w:val="00D12A6B"/>
    <w:rsid w:val="00D1586B"/>
    <w:rsid w:val="00D15C00"/>
    <w:rsid w:val="00D210A7"/>
    <w:rsid w:val="00D25144"/>
    <w:rsid w:val="00D257B5"/>
    <w:rsid w:val="00D27515"/>
    <w:rsid w:val="00D27668"/>
    <w:rsid w:val="00D319EE"/>
    <w:rsid w:val="00D32CC8"/>
    <w:rsid w:val="00D33706"/>
    <w:rsid w:val="00D3485C"/>
    <w:rsid w:val="00D35773"/>
    <w:rsid w:val="00D36274"/>
    <w:rsid w:val="00D363B6"/>
    <w:rsid w:val="00D4005D"/>
    <w:rsid w:val="00D40460"/>
    <w:rsid w:val="00D40DF3"/>
    <w:rsid w:val="00D41755"/>
    <w:rsid w:val="00D42FEC"/>
    <w:rsid w:val="00D440AA"/>
    <w:rsid w:val="00D44AD0"/>
    <w:rsid w:val="00D452E0"/>
    <w:rsid w:val="00D46334"/>
    <w:rsid w:val="00D46E1F"/>
    <w:rsid w:val="00D47FE2"/>
    <w:rsid w:val="00D500C9"/>
    <w:rsid w:val="00D51F45"/>
    <w:rsid w:val="00D5333B"/>
    <w:rsid w:val="00D54C76"/>
    <w:rsid w:val="00D5588E"/>
    <w:rsid w:val="00D575CC"/>
    <w:rsid w:val="00D602BC"/>
    <w:rsid w:val="00D605BC"/>
    <w:rsid w:val="00D61555"/>
    <w:rsid w:val="00D6257B"/>
    <w:rsid w:val="00D62E3D"/>
    <w:rsid w:val="00D70526"/>
    <w:rsid w:val="00D707F4"/>
    <w:rsid w:val="00D70B6D"/>
    <w:rsid w:val="00D74C6F"/>
    <w:rsid w:val="00D7512E"/>
    <w:rsid w:val="00D7647A"/>
    <w:rsid w:val="00D76873"/>
    <w:rsid w:val="00D7715A"/>
    <w:rsid w:val="00D82CDF"/>
    <w:rsid w:val="00D82F8A"/>
    <w:rsid w:val="00D83578"/>
    <w:rsid w:val="00D83627"/>
    <w:rsid w:val="00D83940"/>
    <w:rsid w:val="00D85EF2"/>
    <w:rsid w:val="00D865B0"/>
    <w:rsid w:val="00D877C3"/>
    <w:rsid w:val="00D9096C"/>
    <w:rsid w:val="00D93434"/>
    <w:rsid w:val="00D935F2"/>
    <w:rsid w:val="00D93934"/>
    <w:rsid w:val="00D945C8"/>
    <w:rsid w:val="00D97FCB"/>
    <w:rsid w:val="00DA1954"/>
    <w:rsid w:val="00DA70F2"/>
    <w:rsid w:val="00DA725A"/>
    <w:rsid w:val="00DB56C9"/>
    <w:rsid w:val="00DB6739"/>
    <w:rsid w:val="00DB7A00"/>
    <w:rsid w:val="00DC012C"/>
    <w:rsid w:val="00DC1672"/>
    <w:rsid w:val="00DC2018"/>
    <w:rsid w:val="00DC266F"/>
    <w:rsid w:val="00DC36B9"/>
    <w:rsid w:val="00DC45A3"/>
    <w:rsid w:val="00DC45A4"/>
    <w:rsid w:val="00DC6201"/>
    <w:rsid w:val="00DD16BC"/>
    <w:rsid w:val="00DD203F"/>
    <w:rsid w:val="00DD3822"/>
    <w:rsid w:val="00DD3ECA"/>
    <w:rsid w:val="00DD495D"/>
    <w:rsid w:val="00DD5B10"/>
    <w:rsid w:val="00DE25C6"/>
    <w:rsid w:val="00DE2B14"/>
    <w:rsid w:val="00DE5CD0"/>
    <w:rsid w:val="00DE63FC"/>
    <w:rsid w:val="00DE6A5B"/>
    <w:rsid w:val="00DE711B"/>
    <w:rsid w:val="00DF13A3"/>
    <w:rsid w:val="00DF1EB9"/>
    <w:rsid w:val="00DF2DF9"/>
    <w:rsid w:val="00DF4F94"/>
    <w:rsid w:val="00DF721B"/>
    <w:rsid w:val="00E00311"/>
    <w:rsid w:val="00E00AD9"/>
    <w:rsid w:val="00E024F6"/>
    <w:rsid w:val="00E02903"/>
    <w:rsid w:val="00E02CC7"/>
    <w:rsid w:val="00E039FF"/>
    <w:rsid w:val="00E0592C"/>
    <w:rsid w:val="00E05B93"/>
    <w:rsid w:val="00E073D4"/>
    <w:rsid w:val="00E075D2"/>
    <w:rsid w:val="00E13B71"/>
    <w:rsid w:val="00E142FB"/>
    <w:rsid w:val="00E16056"/>
    <w:rsid w:val="00E16ADD"/>
    <w:rsid w:val="00E17330"/>
    <w:rsid w:val="00E177C9"/>
    <w:rsid w:val="00E1793A"/>
    <w:rsid w:val="00E2001B"/>
    <w:rsid w:val="00E20027"/>
    <w:rsid w:val="00E213EA"/>
    <w:rsid w:val="00E22678"/>
    <w:rsid w:val="00E2425F"/>
    <w:rsid w:val="00E25F05"/>
    <w:rsid w:val="00E264C6"/>
    <w:rsid w:val="00E275B3"/>
    <w:rsid w:val="00E31769"/>
    <w:rsid w:val="00E31BB9"/>
    <w:rsid w:val="00E31C65"/>
    <w:rsid w:val="00E370E1"/>
    <w:rsid w:val="00E37A79"/>
    <w:rsid w:val="00E43878"/>
    <w:rsid w:val="00E44110"/>
    <w:rsid w:val="00E44260"/>
    <w:rsid w:val="00E50AF1"/>
    <w:rsid w:val="00E54BA2"/>
    <w:rsid w:val="00E54C79"/>
    <w:rsid w:val="00E54DB4"/>
    <w:rsid w:val="00E5630D"/>
    <w:rsid w:val="00E57417"/>
    <w:rsid w:val="00E60B25"/>
    <w:rsid w:val="00E61DC3"/>
    <w:rsid w:val="00E63B42"/>
    <w:rsid w:val="00E7024C"/>
    <w:rsid w:val="00E70CFB"/>
    <w:rsid w:val="00E711AB"/>
    <w:rsid w:val="00E73BC7"/>
    <w:rsid w:val="00E75C3F"/>
    <w:rsid w:val="00E83C63"/>
    <w:rsid w:val="00E8411C"/>
    <w:rsid w:val="00E85236"/>
    <w:rsid w:val="00E86D12"/>
    <w:rsid w:val="00E87D2A"/>
    <w:rsid w:val="00E91F3C"/>
    <w:rsid w:val="00E922CB"/>
    <w:rsid w:val="00E930CD"/>
    <w:rsid w:val="00E936B7"/>
    <w:rsid w:val="00E9677B"/>
    <w:rsid w:val="00E96C21"/>
    <w:rsid w:val="00E97758"/>
    <w:rsid w:val="00EA2B45"/>
    <w:rsid w:val="00EA4EDF"/>
    <w:rsid w:val="00EA50D0"/>
    <w:rsid w:val="00EA583C"/>
    <w:rsid w:val="00EA666C"/>
    <w:rsid w:val="00EA7198"/>
    <w:rsid w:val="00EA7F7F"/>
    <w:rsid w:val="00EB169C"/>
    <w:rsid w:val="00EB26D4"/>
    <w:rsid w:val="00EB2D7F"/>
    <w:rsid w:val="00EB48B3"/>
    <w:rsid w:val="00EB6158"/>
    <w:rsid w:val="00EB71D2"/>
    <w:rsid w:val="00EC230C"/>
    <w:rsid w:val="00EC53A1"/>
    <w:rsid w:val="00ED07BA"/>
    <w:rsid w:val="00ED1F19"/>
    <w:rsid w:val="00ED28B8"/>
    <w:rsid w:val="00ED7BEA"/>
    <w:rsid w:val="00EE1E01"/>
    <w:rsid w:val="00EE2757"/>
    <w:rsid w:val="00EE3FF7"/>
    <w:rsid w:val="00EE4CA9"/>
    <w:rsid w:val="00EE6F94"/>
    <w:rsid w:val="00EE7640"/>
    <w:rsid w:val="00EF00D9"/>
    <w:rsid w:val="00EF3E90"/>
    <w:rsid w:val="00EF3F8B"/>
    <w:rsid w:val="00EF5D56"/>
    <w:rsid w:val="00EF6F80"/>
    <w:rsid w:val="00F01140"/>
    <w:rsid w:val="00F012EA"/>
    <w:rsid w:val="00F01ACF"/>
    <w:rsid w:val="00F026D5"/>
    <w:rsid w:val="00F02A01"/>
    <w:rsid w:val="00F02C07"/>
    <w:rsid w:val="00F02D1A"/>
    <w:rsid w:val="00F036EF"/>
    <w:rsid w:val="00F041CA"/>
    <w:rsid w:val="00F05199"/>
    <w:rsid w:val="00F10355"/>
    <w:rsid w:val="00F10822"/>
    <w:rsid w:val="00F11669"/>
    <w:rsid w:val="00F1305F"/>
    <w:rsid w:val="00F14548"/>
    <w:rsid w:val="00F17B12"/>
    <w:rsid w:val="00F21ECF"/>
    <w:rsid w:val="00F21F10"/>
    <w:rsid w:val="00F233B0"/>
    <w:rsid w:val="00F26131"/>
    <w:rsid w:val="00F264DD"/>
    <w:rsid w:val="00F27A58"/>
    <w:rsid w:val="00F31045"/>
    <w:rsid w:val="00F33A6A"/>
    <w:rsid w:val="00F3524A"/>
    <w:rsid w:val="00F3538C"/>
    <w:rsid w:val="00F36868"/>
    <w:rsid w:val="00F37041"/>
    <w:rsid w:val="00F37370"/>
    <w:rsid w:val="00F37804"/>
    <w:rsid w:val="00F4059C"/>
    <w:rsid w:val="00F41889"/>
    <w:rsid w:val="00F41E30"/>
    <w:rsid w:val="00F4366F"/>
    <w:rsid w:val="00F46D46"/>
    <w:rsid w:val="00F46DA4"/>
    <w:rsid w:val="00F504B6"/>
    <w:rsid w:val="00F53299"/>
    <w:rsid w:val="00F53BC0"/>
    <w:rsid w:val="00F53D15"/>
    <w:rsid w:val="00F5454E"/>
    <w:rsid w:val="00F55F0C"/>
    <w:rsid w:val="00F574CE"/>
    <w:rsid w:val="00F60530"/>
    <w:rsid w:val="00F61FA4"/>
    <w:rsid w:val="00F62908"/>
    <w:rsid w:val="00F62BC1"/>
    <w:rsid w:val="00F64AA0"/>
    <w:rsid w:val="00F6535F"/>
    <w:rsid w:val="00F703DE"/>
    <w:rsid w:val="00F73064"/>
    <w:rsid w:val="00F73924"/>
    <w:rsid w:val="00F73E35"/>
    <w:rsid w:val="00F74714"/>
    <w:rsid w:val="00F8025D"/>
    <w:rsid w:val="00F805AB"/>
    <w:rsid w:val="00F8066B"/>
    <w:rsid w:val="00F80BB2"/>
    <w:rsid w:val="00F81046"/>
    <w:rsid w:val="00F819DE"/>
    <w:rsid w:val="00F81AE6"/>
    <w:rsid w:val="00F83CEB"/>
    <w:rsid w:val="00F83F01"/>
    <w:rsid w:val="00F866FA"/>
    <w:rsid w:val="00F8675B"/>
    <w:rsid w:val="00F87048"/>
    <w:rsid w:val="00F87A86"/>
    <w:rsid w:val="00F90417"/>
    <w:rsid w:val="00F9068A"/>
    <w:rsid w:val="00F913A3"/>
    <w:rsid w:val="00F91DCD"/>
    <w:rsid w:val="00F91FA0"/>
    <w:rsid w:val="00F92C6A"/>
    <w:rsid w:val="00F931E8"/>
    <w:rsid w:val="00F93418"/>
    <w:rsid w:val="00F9567F"/>
    <w:rsid w:val="00F95AB2"/>
    <w:rsid w:val="00F95DBB"/>
    <w:rsid w:val="00F965BF"/>
    <w:rsid w:val="00FA0D2B"/>
    <w:rsid w:val="00FA12FD"/>
    <w:rsid w:val="00FA14ED"/>
    <w:rsid w:val="00FA47F0"/>
    <w:rsid w:val="00FA4A44"/>
    <w:rsid w:val="00FA5281"/>
    <w:rsid w:val="00FA66A8"/>
    <w:rsid w:val="00FA67C0"/>
    <w:rsid w:val="00FB1737"/>
    <w:rsid w:val="00FB244A"/>
    <w:rsid w:val="00FB259A"/>
    <w:rsid w:val="00FB39F5"/>
    <w:rsid w:val="00FB3B0A"/>
    <w:rsid w:val="00FB3FED"/>
    <w:rsid w:val="00FB40A8"/>
    <w:rsid w:val="00FB57C1"/>
    <w:rsid w:val="00FB582C"/>
    <w:rsid w:val="00FB59AE"/>
    <w:rsid w:val="00FB5FE8"/>
    <w:rsid w:val="00FC1641"/>
    <w:rsid w:val="00FC1E59"/>
    <w:rsid w:val="00FC2CB7"/>
    <w:rsid w:val="00FC34BA"/>
    <w:rsid w:val="00FC399D"/>
    <w:rsid w:val="00FD074C"/>
    <w:rsid w:val="00FD0D36"/>
    <w:rsid w:val="00FD35B8"/>
    <w:rsid w:val="00FE164A"/>
    <w:rsid w:val="00FE2FCB"/>
    <w:rsid w:val="00FE3AA3"/>
    <w:rsid w:val="00FE3DBD"/>
    <w:rsid w:val="00FE45C4"/>
    <w:rsid w:val="00FE5495"/>
    <w:rsid w:val="00FE5EDE"/>
    <w:rsid w:val="00FF14DF"/>
    <w:rsid w:val="00FF1C16"/>
    <w:rsid w:val="00FF3086"/>
    <w:rsid w:val="00FF4FD6"/>
    <w:rsid w:val="00FF6B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4BF2D2D"/>
  <w15:docId w15:val="{09737CB8-43DF-4752-8901-7CD6354F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43"/>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252C43"/>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252C43"/>
    <w:pPr>
      <w:widowControl w:val="0"/>
      <w:numPr>
        <w:numId w:val="1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6E4F3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252C43"/>
    <w:pPr>
      <w:numPr>
        <w:ilvl w:val="2"/>
        <w:numId w:val="16"/>
      </w:numPr>
      <w:tabs>
        <w:tab w:val="left" w:pos="680"/>
      </w:tabs>
      <w:spacing w:after="120"/>
      <w:outlineLvl w:val="3"/>
    </w:pPr>
    <w:rPr>
      <w:b/>
    </w:rPr>
  </w:style>
  <w:style w:type="paragraph" w:styleId="Heading5">
    <w:name w:val="heading 5"/>
    <w:basedOn w:val="HeadingBaseStyle"/>
    <w:next w:val="Normal"/>
    <w:link w:val="Heading5Char"/>
    <w:autoRedefine/>
    <w:rsid w:val="00252C43"/>
    <w:pPr>
      <w:spacing w:after="240"/>
      <w:outlineLvl w:val="4"/>
    </w:pPr>
    <w:rPr>
      <w:i/>
    </w:rPr>
  </w:style>
  <w:style w:type="paragraph" w:styleId="Heading6">
    <w:name w:val="heading 6"/>
    <w:basedOn w:val="HeadingBaseStyle"/>
    <w:next w:val="Normal"/>
    <w:link w:val="Heading6Char"/>
    <w:rsid w:val="00252C43"/>
    <w:pPr>
      <w:widowControl w:val="0"/>
      <w:spacing w:after="60"/>
      <w:outlineLvl w:val="5"/>
    </w:pPr>
    <w:rPr>
      <w:snapToGrid w:val="0"/>
      <w:sz w:val="19"/>
    </w:rPr>
  </w:style>
  <w:style w:type="paragraph" w:styleId="Heading7">
    <w:name w:val="heading 7"/>
    <w:basedOn w:val="Normal"/>
    <w:next w:val="Normal"/>
    <w:link w:val="Heading7Char"/>
    <w:rsid w:val="00252C43"/>
    <w:pPr>
      <w:spacing w:after="0"/>
      <w:outlineLvl w:val="6"/>
    </w:pPr>
    <w:rPr>
      <w:rFonts w:ascii="Arial" w:hAnsi="Arial"/>
      <w:color w:val="000080"/>
      <w:sz w:val="19"/>
      <w:u w:val="single"/>
    </w:rPr>
  </w:style>
  <w:style w:type="paragraph" w:styleId="Heading8">
    <w:name w:val="heading 8"/>
    <w:basedOn w:val="Normal"/>
    <w:next w:val="Normal"/>
    <w:link w:val="Heading8Char"/>
    <w:rsid w:val="00252C43"/>
    <w:pPr>
      <w:keepNext/>
      <w:spacing w:before="120" w:after="60" w:line="0" w:lineRule="atLeast"/>
      <w:outlineLvl w:val="7"/>
    </w:pPr>
    <w:rPr>
      <w:b/>
      <w:color w:val="000080"/>
    </w:rPr>
  </w:style>
  <w:style w:type="paragraph" w:styleId="Heading9">
    <w:name w:val="heading 9"/>
    <w:basedOn w:val="Normal"/>
    <w:next w:val="Normal"/>
    <w:link w:val="Heading9Char"/>
    <w:rsid w:val="00252C43"/>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252C43"/>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252C43"/>
    <w:rPr>
      <w:rFonts w:ascii="Arial Bold" w:hAnsi="Arial Bold"/>
      <w:b/>
      <w:smallCaps/>
      <w:color w:val="003157"/>
      <w:sz w:val="36"/>
    </w:rPr>
  </w:style>
  <w:style w:type="character" w:customStyle="1" w:styleId="Heading2Char">
    <w:name w:val="Heading 2 Char"/>
    <w:basedOn w:val="DefaultParagraphFont"/>
    <w:link w:val="Heading2"/>
    <w:rsid w:val="00252C43"/>
    <w:rPr>
      <w:rFonts w:ascii="Arial Bold" w:hAnsi="Arial Bold"/>
      <w:b/>
      <w:smallCaps/>
      <w:color w:val="003157"/>
      <w:sz w:val="32"/>
    </w:rPr>
  </w:style>
  <w:style w:type="character" w:customStyle="1" w:styleId="Heading3Char">
    <w:name w:val="Heading 3 Char"/>
    <w:basedOn w:val="DefaultParagraphFont"/>
    <w:link w:val="Heading3"/>
    <w:rsid w:val="006E4F3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252C43"/>
    <w:rPr>
      <w:rFonts w:ascii="Arial" w:hAnsi="Arial"/>
      <w:b/>
      <w:color w:val="003157"/>
    </w:rPr>
  </w:style>
  <w:style w:type="character" w:customStyle="1" w:styleId="Heading5Char">
    <w:name w:val="Heading 5 Char"/>
    <w:basedOn w:val="DefaultParagraphFont"/>
    <w:link w:val="Heading5"/>
    <w:rsid w:val="00252C43"/>
    <w:rPr>
      <w:rFonts w:ascii="Arial" w:hAnsi="Arial"/>
      <w:i/>
      <w:color w:val="003157"/>
    </w:rPr>
  </w:style>
  <w:style w:type="character" w:customStyle="1" w:styleId="Heading6Char">
    <w:name w:val="Heading 6 Char"/>
    <w:basedOn w:val="DefaultParagraphFont"/>
    <w:link w:val="Heading6"/>
    <w:rsid w:val="00252C43"/>
    <w:rPr>
      <w:rFonts w:ascii="Arial" w:hAnsi="Arial"/>
      <w:snapToGrid w:val="0"/>
      <w:color w:val="003157"/>
      <w:sz w:val="19"/>
    </w:rPr>
  </w:style>
  <w:style w:type="character" w:customStyle="1" w:styleId="Heading7Char">
    <w:name w:val="Heading 7 Char"/>
    <w:basedOn w:val="DefaultParagraphFont"/>
    <w:link w:val="Heading7"/>
    <w:rsid w:val="00252C43"/>
    <w:rPr>
      <w:rFonts w:ascii="Arial" w:hAnsi="Arial"/>
      <w:color w:val="000080"/>
      <w:sz w:val="19"/>
      <w:u w:val="single"/>
    </w:rPr>
  </w:style>
  <w:style w:type="character" w:customStyle="1" w:styleId="Heading8Char">
    <w:name w:val="Heading 8 Char"/>
    <w:basedOn w:val="DefaultParagraphFont"/>
    <w:link w:val="Heading8"/>
    <w:rsid w:val="00252C43"/>
    <w:rPr>
      <w:rFonts w:ascii="Calibri" w:hAnsi="Calibri"/>
      <w:b/>
      <w:color w:val="000080"/>
    </w:rPr>
  </w:style>
  <w:style w:type="character" w:customStyle="1" w:styleId="Heading9Char">
    <w:name w:val="Heading 9 Char"/>
    <w:basedOn w:val="DefaultParagraphFont"/>
    <w:link w:val="Heading9"/>
    <w:rsid w:val="00252C43"/>
    <w:rPr>
      <w:rFonts w:ascii="Calibri" w:hAnsi="Calibri"/>
      <w:color w:val="000080"/>
      <w:u w:val="single"/>
    </w:rPr>
  </w:style>
  <w:style w:type="paragraph" w:customStyle="1" w:styleId="ChartGraphic">
    <w:name w:val="Chart Graphic"/>
    <w:basedOn w:val="HeadingBase"/>
    <w:next w:val="Normal"/>
    <w:rsid w:val="00252C43"/>
    <w:pPr>
      <w:jc w:val="center"/>
    </w:pPr>
  </w:style>
  <w:style w:type="paragraph" w:customStyle="1" w:styleId="TableGraphic">
    <w:name w:val="Table Graphic"/>
    <w:basedOn w:val="HeadingBase"/>
    <w:next w:val="Normal"/>
    <w:rsid w:val="00252C43"/>
  </w:style>
  <w:style w:type="paragraph" w:customStyle="1" w:styleId="AlphaParagraph">
    <w:name w:val="Alpha Paragraph"/>
    <w:basedOn w:val="Normal"/>
    <w:qFormat/>
    <w:rsid w:val="00252C43"/>
    <w:pPr>
      <w:numPr>
        <w:numId w:val="3"/>
      </w:numPr>
    </w:pPr>
  </w:style>
  <w:style w:type="paragraph" w:customStyle="1" w:styleId="AppendixHeading">
    <w:name w:val="Appendix Heading"/>
    <w:basedOn w:val="HeadingBase"/>
    <w:next w:val="Normal"/>
    <w:rsid w:val="00252C43"/>
    <w:pPr>
      <w:spacing w:before="720" w:after="360"/>
      <w:outlineLvl w:val="0"/>
    </w:pPr>
    <w:rPr>
      <w:sz w:val="36"/>
      <w:szCs w:val="36"/>
    </w:rPr>
  </w:style>
  <w:style w:type="paragraph" w:styleId="BalloonText">
    <w:name w:val="Balloon Text"/>
    <w:basedOn w:val="Normal"/>
    <w:link w:val="BalloonTextChar"/>
    <w:rsid w:val="00252C43"/>
    <w:pPr>
      <w:spacing w:after="0"/>
    </w:pPr>
    <w:rPr>
      <w:rFonts w:ascii="Tahoma" w:hAnsi="Tahoma" w:cs="Tahoma"/>
      <w:sz w:val="16"/>
      <w:szCs w:val="16"/>
    </w:rPr>
  </w:style>
  <w:style w:type="character" w:customStyle="1" w:styleId="BalloonTextChar">
    <w:name w:val="Balloon Text Char"/>
    <w:basedOn w:val="DefaultParagraphFont"/>
    <w:link w:val="BalloonText"/>
    <w:rsid w:val="00252C43"/>
    <w:rPr>
      <w:rFonts w:ascii="Tahoma" w:hAnsi="Tahoma" w:cs="Tahoma"/>
      <w:color w:val="000000" w:themeColor="text1"/>
      <w:sz w:val="16"/>
      <w:szCs w:val="16"/>
    </w:rPr>
  </w:style>
  <w:style w:type="character" w:customStyle="1" w:styleId="Bold">
    <w:name w:val="Bold"/>
    <w:basedOn w:val="DefaultParagraphFont"/>
    <w:rsid w:val="00252C43"/>
    <w:rPr>
      <w:b/>
    </w:rPr>
  </w:style>
  <w:style w:type="paragraph" w:customStyle="1" w:styleId="BoxTextBase">
    <w:name w:val="Box Text Base"/>
    <w:basedOn w:val="Normal"/>
    <w:rsid w:val="00252C43"/>
  </w:style>
  <w:style w:type="paragraph" w:customStyle="1" w:styleId="BoxBullet">
    <w:name w:val="Box Bullet"/>
    <w:basedOn w:val="BoxTextBase"/>
    <w:rsid w:val="00252C43"/>
    <w:pPr>
      <w:numPr>
        <w:numId w:val="2"/>
      </w:numPr>
    </w:pPr>
  </w:style>
  <w:style w:type="paragraph" w:customStyle="1" w:styleId="BoxDash">
    <w:name w:val="Box Dash"/>
    <w:basedOn w:val="Normal"/>
    <w:rsid w:val="00252C43"/>
    <w:pPr>
      <w:numPr>
        <w:ilvl w:val="1"/>
        <w:numId w:val="2"/>
      </w:numPr>
    </w:pPr>
  </w:style>
  <w:style w:type="paragraph" w:customStyle="1" w:styleId="BoxDoubleDot">
    <w:name w:val="Box Double Dot"/>
    <w:basedOn w:val="BoxTextBase"/>
    <w:rsid w:val="00252C43"/>
    <w:pPr>
      <w:numPr>
        <w:ilvl w:val="2"/>
        <w:numId w:val="2"/>
      </w:numPr>
    </w:pPr>
  </w:style>
  <w:style w:type="paragraph" w:customStyle="1" w:styleId="BoxHeading">
    <w:name w:val="Box Heading"/>
    <w:basedOn w:val="HeadingBaseStyle"/>
    <w:next w:val="Normal"/>
    <w:rsid w:val="00252C43"/>
    <w:pPr>
      <w:spacing w:before="240" w:after="240"/>
    </w:pPr>
    <w:rPr>
      <w:sz w:val="24"/>
    </w:rPr>
  </w:style>
  <w:style w:type="paragraph" w:customStyle="1" w:styleId="BoxText">
    <w:name w:val="Box Text"/>
    <w:basedOn w:val="BoxTextBase"/>
    <w:rsid w:val="00252C43"/>
  </w:style>
  <w:style w:type="paragraph" w:customStyle="1" w:styleId="Bullet">
    <w:name w:val="Bullet"/>
    <w:aliases w:val="Body,Bullet + line,b,b + line,b1,level 1"/>
    <w:basedOn w:val="Normal"/>
    <w:link w:val="BulletChar"/>
    <w:rsid w:val="00252C43"/>
    <w:pPr>
      <w:keepNext/>
      <w:numPr>
        <w:numId w:val="20"/>
      </w:numPr>
    </w:pPr>
  </w:style>
  <w:style w:type="paragraph" w:styleId="NormalIndent">
    <w:name w:val="Normal Indent"/>
    <w:basedOn w:val="Normal"/>
    <w:rsid w:val="00252C43"/>
    <w:pPr>
      <w:ind w:left="567"/>
    </w:pPr>
    <w:rPr>
      <w:rFonts w:ascii="Book Antiqua" w:hAnsi="Book Antiqua"/>
      <w:sz w:val="20"/>
    </w:rPr>
  </w:style>
  <w:style w:type="paragraph" w:customStyle="1" w:styleId="ChartandTableFootnoteAlpha">
    <w:name w:val="Chart and Table Footnote Alpha"/>
    <w:rsid w:val="00252C43"/>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252C43"/>
    <w:pPr>
      <w:spacing w:after="20"/>
      <w:jc w:val="center"/>
    </w:pPr>
    <w:rPr>
      <w:b/>
      <w:sz w:val="24"/>
    </w:rPr>
  </w:style>
  <w:style w:type="paragraph" w:customStyle="1" w:styleId="ChartorTableNote">
    <w:name w:val="Chart or Table Note"/>
    <w:next w:val="Normal"/>
    <w:rsid w:val="00252C43"/>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252C43"/>
    <w:pPr>
      <w:spacing w:after="20"/>
      <w:jc w:val="center"/>
    </w:pPr>
  </w:style>
  <w:style w:type="paragraph" w:customStyle="1" w:styleId="Classification">
    <w:name w:val="Classification"/>
    <w:basedOn w:val="HeadingBase"/>
    <w:next w:val="Footer"/>
    <w:rsid w:val="00252C43"/>
    <w:pPr>
      <w:spacing w:after="120"/>
      <w:jc w:val="center"/>
    </w:pPr>
    <w:rPr>
      <w:b/>
      <w:smallCaps/>
    </w:rPr>
  </w:style>
  <w:style w:type="paragraph" w:styleId="Footer">
    <w:name w:val="footer"/>
    <w:basedOn w:val="Normal"/>
    <w:link w:val="FooterChar"/>
    <w:uiPriority w:val="99"/>
    <w:rsid w:val="00252C43"/>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252C43"/>
    <w:rPr>
      <w:rFonts w:ascii="Arial" w:hAnsi="Arial"/>
      <w:color w:val="003157"/>
      <w:sz w:val="18"/>
    </w:rPr>
  </w:style>
  <w:style w:type="paragraph" w:customStyle="1" w:styleId="ContentsHeading">
    <w:name w:val="Contents Heading"/>
    <w:basedOn w:val="Normal"/>
    <w:next w:val="Normal"/>
    <w:rsid w:val="00252C43"/>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252C43"/>
    <w:pPr>
      <w:spacing w:after="360"/>
      <w:jc w:val="center"/>
    </w:pPr>
    <w:rPr>
      <w:sz w:val="36"/>
    </w:rPr>
  </w:style>
  <w:style w:type="paragraph" w:customStyle="1" w:styleId="Covertitlelevel3">
    <w:name w:val="Cover title level 3"/>
    <w:basedOn w:val="CoverTitleSub"/>
    <w:rsid w:val="00252C43"/>
    <w:pPr>
      <w:spacing w:after="120"/>
    </w:pPr>
    <w:rPr>
      <w:sz w:val="28"/>
      <w:szCs w:val="28"/>
    </w:rPr>
  </w:style>
  <w:style w:type="paragraph" w:customStyle="1" w:styleId="CoverTitleMain">
    <w:name w:val="Cover Title Main"/>
    <w:basedOn w:val="HeadingBase"/>
    <w:next w:val="Normal"/>
    <w:rsid w:val="00252C43"/>
    <w:pPr>
      <w:spacing w:after="480"/>
      <w:jc w:val="center"/>
    </w:pPr>
    <w:rPr>
      <w:b/>
      <w:sz w:val="48"/>
    </w:rPr>
  </w:style>
  <w:style w:type="paragraph" w:customStyle="1" w:styleId="Dash">
    <w:name w:val="Dash"/>
    <w:basedOn w:val="Normal"/>
    <w:link w:val="DashChar"/>
    <w:rsid w:val="00252C43"/>
    <w:pPr>
      <w:numPr>
        <w:ilvl w:val="1"/>
        <w:numId w:val="20"/>
      </w:numPr>
    </w:pPr>
  </w:style>
  <w:style w:type="paragraph" w:customStyle="1" w:styleId="DoubleDot">
    <w:name w:val="Double Dot"/>
    <w:basedOn w:val="Dash"/>
    <w:rsid w:val="00252C43"/>
    <w:pPr>
      <w:numPr>
        <w:ilvl w:val="2"/>
      </w:numPr>
    </w:pPr>
  </w:style>
  <w:style w:type="paragraph" w:customStyle="1" w:styleId="Figuregraphic">
    <w:name w:val="Figure graphic"/>
    <w:basedOn w:val="Normal"/>
    <w:rsid w:val="00252C43"/>
    <w:pPr>
      <w:jc w:val="center"/>
    </w:pPr>
  </w:style>
  <w:style w:type="paragraph" w:customStyle="1" w:styleId="FigureHeading">
    <w:name w:val="Figure Heading"/>
    <w:basedOn w:val="HeadingBase"/>
    <w:next w:val="Figuregraphic"/>
    <w:rsid w:val="00252C43"/>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252C43"/>
    <w:pPr>
      <w:spacing w:after="20"/>
      <w:jc w:val="center"/>
    </w:pPr>
  </w:style>
  <w:style w:type="paragraph" w:customStyle="1" w:styleId="TableMainHeading">
    <w:name w:val="Table Main Heading"/>
    <w:basedOn w:val="HeadingBase"/>
    <w:next w:val="TableGraphic"/>
    <w:rsid w:val="00252C43"/>
    <w:pPr>
      <w:spacing w:after="20"/>
    </w:pPr>
    <w:rPr>
      <w:b/>
      <w:sz w:val="22"/>
    </w:rPr>
  </w:style>
  <w:style w:type="paragraph" w:customStyle="1" w:styleId="FooterCentered">
    <w:name w:val="Footer Centered"/>
    <w:basedOn w:val="Footer"/>
    <w:rsid w:val="00252C43"/>
    <w:pPr>
      <w:jc w:val="center"/>
    </w:pPr>
  </w:style>
  <w:style w:type="paragraph" w:customStyle="1" w:styleId="FooterEven">
    <w:name w:val="Footer Even"/>
    <w:basedOn w:val="Footer"/>
    <w:rsid w:val="00252C43"/>
  </w:style>
  <w:style w:type="paragraph" w:customStyle="1" w:styleId="FooterOdd">
    <w:name w:val="Footer Odd"/>
    <w:basedOn w:val="Footer"/>
    <w:rsid w:val="00252C43"/>
  </w:style>
  <w:style w:type="character" w:styleId="FootnoteReference">
    <w:name w:val="footnote reference"/>
    <w:basedOn w:val="DefaultParagraphFont"/>
    <w:rsid w:val="00252C43"/>
    <w:rPr>
      <w:vertAlign w:val="superscript"/>
    </w:rPr>
  </w:style>
  <w:style w:type="paragraph" w:styleId="FootnoteText">
    <w:name w:val="footnote text"/>
    <w:basedOn w:val="Normal"/>
    <w:link w:val="FootnoteTextChar"/>
    <w:rsid w:val="00252C43"/>
    <w:pPr>
      <w:tabs>
        <w:tab w:val="left" w:pos="567"/>
      </w:tabs>
      <w:spacing w:after="0"/>
      <w:ind w:left="567" w:hanging="567"/>
    </w:pPr>
  </w:style>
  <w:style w:type="character" w:customStyle="1" w:styleId="FootnoteTextChar">
    <w:name w:val="Footnote Text Char"/>
    <w:basedOn w:val="DefaultParagraphFont"/>
    <w:link w:val="FootnoteText"/>
    <w:rsid w:val="00252C43"/>
    <w:rPr>
      <w:rFonts w:ascii="Calibri" w:hAnsi="Calibri"/>
      <w:color w:val="000000" w:themeColor="text1"/>
    </w:rPr>
  </w:style>
  <w:style w:type="character" w:customStyle="1" w:styleId="FramedFooter">
    <w:name w:val="Framed Footer"/>
    <w:rsid w:val="00252C43"/>
    <w:rPr>
      <w:rFonts w:ascii="Arial" w:hAnsi="Arial"/>
      <w:sz w:val="18"/>
    </w:rPr>
  </w:style>
  <w:style w:type="character" w:customStyle="1" w:styleId="FramedHeader">
    <w:name w:val="Framed Header"/>
    <w:basedOn w:val="DefaultParagraphFont"/>
    <w:rsid w:val="00252C43"/>
    <w:rPr>
      <w:rFonts w:ascii="Arial" w:hAnsi="Arial"/>
      <w:dstrike w:val="0"/>
      <w:color w:val="auto"/>
      <w:sz w:val="18"/>
      <w:vertAlign w:val="baseline"/>
    </w:rPr>
  </w:style>
  <w:style w:type="paragraph" w:styleId="Header">
    <w:name w:val="header"/>
    <w:basedOn w:val="HeadingBaseStyle"/>
    <w:link w:val="HeaderChar"/>
    <w:rsid w:val="00252C43"/>
    <w:pPr>
      <w:jc w:val="center"/>
    </w:pPr>
    <w:rPr>
      <w:sz w:val="18"/>
    </w:rPr>
  </w:style>
  <w:style w:type="character" w:customStyle="1" w:styleId="HeaderChar">
    <w:name w:val="Header Char"/>
    <w:basedOn w:val="DefaultParagraphFont"/>
    <w:link w:val="Header"/>
    <w:rsid w:val="00252C43"/>
    <w:rPr>
      <w:rFonts w:ascii="Arial" w:hAnsi="Arial"/>
      <w:color w:val="003157"/>
      <w:sz w:val="18"/>
    </w:rPr>
  </w:style>
  <w:style w:type="paragraph" w:customStyle="1" w:styleId="HeaderEven">
    <w:name w:val="Header Even"/>
    <w:basedOn w:val="Header"/>
    <w:rsid w:val="00252C43"/>
  </w:style>
  <w:style w:type="paragraph" w:customStyle="1" w:styleId="HeaderOdd">
    <w:name w:val="Header Odd"/>
    <w:basedOn w:val="Header"/>
    <w:rsid w:val="00252C43"/>
    <w:pPr>
      <w:jc w:val="right"/>
    </w:pPr>
  </w:style>
  <w:style w:type="character" w:styleId="Hyperlink">
    <w:name w:val="Hyperlink"/>
    <w:basedOn w:val="DefaultParagraphFont"/>
    <w:rsid w:val="00252C43"/>
    <w:rPr>
      <w:color w:val="0000FF" w:themeColor="hyperlink"/>
      <w:u w:val="single"/>
    </w:rPr>
  </w:style>
  <w:style w:type="character" w:customStyle="1" w:styleId="italic">
    <w:name w:val="italic"/>
    <w:basedOn w:val="DefaultParagraphFont"/>
    <w:rsid w:val="00252C43"/>
    <w:rPr>
      <w:i/>
    </w:rPr>
  </w:style>
  <w:style w:type="paragraph" w:styleId="NormalWeb">
    <w:name w:val="Normal (Web)"/>
    <w:basedOn w:val="Normal"/>
    <w:uiPriority w:val="99"/>
    <w:unhideWhenUsed/>
    <w:rsid w:val="00252C43"/>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252C43"/>
    <w:rPr>
      <w:i/>
    </w:rPr>
  </w:style>
  <w:style w:type="paragraph" w:customStyle="1" w:styleId="OutlineNumbered1">
    <w:name w:val="Outline Numbered 1"/>
    <w:basedOn w:val="Normal"/>
    <w:link w:val="OutlineNumbered1Char"/>
    <w:rsid w:val="00252C43"/>
    <w:pPr>
      <w:numPr>
        <w:numId w:val="9"/>
      </w:numPr>
    </w:pPr>
  </w:style>
  <w:style w:type="paragraph" w:customStyle="1" w:styleId="OneLevelNumberedParagraph">
    <w:name w:val="One Level Numbered Paragraph"/>
    <w:basedOn w:val="Normal"/>
    <w:rsid w:val="00252C43"/>
    <w:pPr>
      <w:numPr>
        <w:numId w:val="8"/>
      </w:numPr>
    </w:pPr>
  </w:style>
  <w:style w:type="paragraph" w:customStyle="1" w:styleId="OutlineNumbered2">
    <w:name w:val="Outline Numbered 2"/>
    <w:basedOn w:val="Normal"/>
    <w:rsid w:val="00252C43"/>
    <w:pPr>
      <w:numPr>
        <w:ilvl w:val="1"/>
        <w:numId w:val="9"/>
      </w:numPr>
    </w:pPr>
  </w:style>
  <w:style w:type="paragraph" w:customStyle="1" w:styleId="OutlineNumbered3">
    <w:name w:val="Outline Numbered 3"/>
    <w:basedOn w:val="Normal"/>
    <w:rsid w:val="00252C43"/>
    <w:pPr>
      <w:numPr>
        <w:ilvl w:val="2"/>
        <w:numId w:val="9"/>
      </w:numPr>
    </w:pPr>
  </w:style>
  <w:style w:type="character" w:styleId="PageNumber">
    <w:name w:val="page number"/>
    <w:basedOn w:val="DefaultParagraphFont"/>
    <w:rsid w:val="00252C43"/>
    <w:rPr>
      <w:rFonts w:asciiTheme="minorHAnsi" w:hAnsiTheme="minorHAnsi"/>
      <w:color w:val="003057"/>
      <w:sz w:val="22"/>
    </w:rPr>
  </w:style>
  <w:style w:type="paragraph" w:customStyle="1" w:styleId="Principle">
    <w:name w:val="Principle"/>
    <w:basedOn w:val="Normal"/>
    <w:rsid w:val="00252C43"/>
    <w:pPr>
      <w:keepNext/>
      <w:spacing w:after="60"/>
      <w:ind w:left="573"/>
    </w:pPr>
    <w:rPr>
      <w:rFonts w:ascii="Book Antiqua" w:hAnsi="Book Antiqua"/>
      <w:i/>
      <w:sz w:val="20"/>
    </w:rPr>
  </w:style>
  <w:style w:type="paragraph" w:customStyle="1" w:styleId="RecommendationTextBase">
    <w:name w:val="Recommendation Text Base"/>
    <w:basedOn w:val="Normal"/>
    <w:rsid w:val="00252C43"/>
    <w:rPr>
      <w:i/>
    </w:rPr>
  </w:style>
  <w:style w:type="paragraph" w:customStyle="1" w:styleId="RecommendationBullet">
    <w:name w:val="Recommendation Bullet"/>
    <w:basedOn w:val="RecommendationTextBase"/>
    <w:rsid w:val="00252C43"/>
    <w:pPr>
      <w:numPr>
        <w:numId w:val="10"/>
      </w:numPr>
    </w:pPr>
  </w:style>
  <w:style w:type="paragraph" w:customStyle="1" w:styleId="RecommendationDash">
    <w:name w:val="Recommendation Dash"/>
    <w:basedOn w:val="RecommendationTextBase"/>
    <w:rsid w:val="00252C43"/>
    <w:pPr>
      <w:numPr>
        <w:ilvl w:val="1"/>
        <w:numId w:val="10"/>
      </w:numPr>
    </w:pPr>
  </w:style>
  <w:style w:type="paragraph" w:customStyle="1" w:styleId="RecommendationDoubleDot">
    <w:name w:val="Recommendation Double Dot"/>
    <w:basedOn w:val="RecommendationTextBase"/>
    <w:rsid w:val="00252C43"/>
    <w:pPr>
      <w:numPr>
        <w:ilvl w:val="2"/>
        <w:numId w:val="10"/>
      </w:numPr>
    </w:pPr>
  </w:style>
  <w:style w:type="paragraph" w:customStyle="1" w:styleId="RecommendationHeading">
    <w:name w:val="Recommendation Heading"/>
    <w:basedOn w:val="HeadingBase"/>
    <w:next w:val="Normal"/>
    <w:rsid w:val="00252C43"/>
    <w:pPr>
      <w:spacing w:before="120" w:after="240"/>
    </w:pPr>
    <w:rPr>
      <w:b/>
      <w:sz w:val="22"/>
    </w:rPr>
  </w:style>
  <w:style w:type="paragraph" w:customStyle="1" w:styleId="RecommendationText">
    <w:name w:val="Recommendation Text"/>
    <w:basedOn w:val="RecommendationTextBase"/>
    <w:rsid w:val="00252C43"/>
  </w:style>
  <w:style w:type="paragraph" w:customStyle="1" w:styleId="Romannumeral">
    <w:name w:val="Roman numeral"/>
    <w:basedOn w:val="Normal"/>
    <w:rsid w:val="00252C43"/>
    <w:pPr>
      <w:numPr>
        <w:numId w:val="11"/>
      </w:numPr>
    </w:pPr>
  </w:style>
  <w:style w:type="paragraph" w:customStyle="1" w:styleId="SingleParagraph">
    <w:name w:val="Single Paragraph"/>
    <w:basedOn w:val="Normal"/>
    <w:rsid w:val="00252C43"/>
    <w:pPr>
      <w:spacing w:after="0"/>
    </w:pPr>
  </w:style>
  <w:style w:type="paragraph" w:customStyle="1" w:styleId="SingleParagraphIndent">
    <w:name w:val="Single Paragraph Indent"/>
    <w:basedOn w:val="SingleParagraph"/>
    <w:rsid w:val="00252C43"/>
    <w:pPr>
      <w:ind w:left="567"/>
    </w:pPr>
  </w:style>
  <w:style w:type="paragraph" w:customStyle="1" w:styleId="TableSecondHeading">
    <w:name w:val="Table Second Heading"/>
    <w:basedOn w:val="HeadingBase"/>
    <w:next w:val="TableGraphic"/>
    <w:rsid w:val="00252C43"/>
    <w:pPr>
      <w:spacing w:after="20"/>
    </w:pPr>
  </w:style>
  <w:style w:type="paragraph" w:customStyle="1" w:styleId="TableTextBase">
    <w:name w:val="Table Text Base"/>
    <w:rsid w:val="00252C43"/>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252C43"/>
    <w:pPr>
      <w:tabs>
        <w:tab w:val="left" w:pos="1987"/>
      </w:tabs>
      <w:jc w:val="center"/>
    </w:pPr>
    <w:rPr>
      <w:rFonts w:ascii="Arial Bold" w:hAnsi="Arial Bold"/>
      <w:b/>
    </w:rPr>
  </w:style>
  <w:style w:type="paragraph" w:customStyle="1" w:styleId="TableColumnHeadingBase">
    <w:name w:val="Table Column Heading Base"/>
    <w:basedOn w:val="Normal"/>
    <w:rsid w:val="00252C43"/>
    <w:pPr>
      <w:spacing w:before="40" w:after="40"/>
    </w:pPr>
    <w:rPr>
      <w:rFonts w:ascii="Arial" w:hAnsi="Arial"/>
      <w:b/>
      <w:sz w:val="16"/>
    </w:rPr>
  </w:style>
  <w:style w:type="paragraph" w:customStyle="1" w:styleId="TableColumnHeadingLeft">
    <w:name w:val="Table Column Heading Left"/>
    <w:basedOn w:val="TableTextBase"/>
    <w:rsid w:val="00252C43"/>
    <w:rPr>
      <w:b/>
    </w:rPr>
  </w:style>
  <w:style w:type="paragraph" w:customStyle="1" w:styleId="TableColumnHeadingRight">
    <w:name w:val="Table Column Heading Right"/>
    <w:basedOn w:val="TableTextBase"/>
    <w:rsid w:val="00252C43"/>
    <w:pPr>
      <w:jc w:val="right"/>
    </w:pPr>
    <w:rPr>
      <w:b/>
    </w:rPr>
  </w:style>
  <w:style w:type="table" w:styleId="TableGrid">
    <w:name w:val="Table Grid"/>
    <w:basedOn w:val="TableNormal"/>
    <w:rsid w:val="00252C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252C43"/>
    <w:pPr>
      <w:pageBreakBefore/>
      <w:spacing w:after="20"/>
    </w:pPr>
    <w:rPr>
      <w:b/>
      <w:sz w:val="22"/>
    </w:rPr>
  </w:style>
  <w:style w:type="paragraph" w:customStyle="1" w:styleId="TableTextCentered">
    <w:name w:val="Table Text Centered"/>
    <w:basedOn w:val="TableTextBase"/>
    <w:rsid w:val="00252C43"/>
    <w:pPr>
      <w:jc w:val="center"/>
    </w:pPr>
  </w:style>
  <w:style w:type="paragraph" w:customStyle="1" w:styleId="TableTextIndented">
    <w:name w:val="Table Text Indented"/>
    <w:basedOn w:val="TableTextBase"/>
    <w:rsid w:val="00252C43"/>
    <w:pPr>
      <w:ind w:left="284"/>
    </w:pPr>
  </w:style>
  <w:style w:type="paragraph" w:customStyle="1" w:styleId="TableTextLeft">
    <w:name w:val="Table Text Left"/>
    <w:basedOn w:val="TableTextBase"/>
    <w:rsid w:val="00252C43"/>
  </w:style>
  <w:style w:type="paragraph" w:customStyle="1" w:styleId="TableTextRight">
    <w:name w:val="Table Text Right"/>
    <w:basedOn w:val="TableTextBase"/>
    <w:rsid w:val="00252C43"/>
    <w:pPr>
      <w:jc w:val="right"/>
    </w:pPr>
  </w:style>
  <w:style w:type="paragraph" w:styleId="TOC1">
    <w:name w:val="toc 1"/>
    <w:basedOn w:val="Normal"/>
    <w:next w:val="Normal"/>
    <w:uiPriority w:val="39"/>
    <w:rsid w:val="00252C43"/>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252C43"/>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252C43"/>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252C43"/>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252C43"/>
    <w:pPr>
      <w:spacing w:after="120" w:line="480" w:lineRule="auto"/>
      <w:ind w:left="283"/>
    </w:pPr>
  </w:style>
  <w:style w:type="character" w:customStyle="1" w:styleId="BodyTextIndent2Char">
    <w:name w:val="Body Text Indent 2 Char"/>
    <w:basedOn w:val="DefaultParagraphFont"/>
    <w:link w:val="BodyTextIndent2"/>
    <w:rsid w:val="00252C43"/>
    <w:rPr>
      <w:rFonts w:ascii="Calibri" w:hAnsi="Calibri"/>
      <w:color w:val="000000" w:themeColor="text1"/>
    </w:rPr>
  </w:style>
  <w:style w:type="character" w:customStyle="1" w:styleId="BoldandItalic">
    <w:name w:val="Bold and Italic"/>
    <w:basedOn w:val="DefaultParagraphFont"/>
    <w:rsid w:val="00252C43"/>
    <w:rPr>
      <w:rFonts w:ascii="Arial" w:hAnsi="Arial"/>
      <w:b/>
      <w:i/>
    </w:rPr>
  </w:style>
  <w:style w:type="paragraph" w:styleId="Caption">
    <w:name w:val="caption"/>
    <w:basedOn w:val="Normal"/>
    <w:next w:val="Normal"/>
    <w:unhideWhenUsed/>
    <w:rsid w:val="00252C43"/>
    <w:rPr>
      <w:b/>
      <w:bCs/>
      <w:color w:val="003157"/>
      <w:sz w:val="18"/>
      <w:szCs w:val="18"/>
    </w:rPr>
  </w:style>
  <w:style w:type="character" w:styleId="CommentReference">
    <w:name w:val="annotation reference"/>
    <w:basedOn w:val="DefaultParagraphFont"/>
    <w:rsid w:val="00252C43"/>
    <w:rPr>
      <w:sz w:val="16"/>
      <w:szCs w:val="16"/>
    </w:rPr>
  </w:style>
  <w:style w:type="paragraph" w:styleId="CommentText">
    <w:name w:val="annotation text"/>
    <w:basedOn w:val="Normal"/>
    <w:link w:val="CommentTextChar"/>
    <w:rsid w:val="00252C43"/>
    <w:rPr>
      <w:sz w:val="20"/>
    </w:rPr>
  </w:style>
  <w:style w:type="character" w:customStyle="1" w:styleId="CommentTextChar">
    <w:name w:val="Comment Text Char"/>
    <w:basedOn w:val="DefaultParagraphFont"/>
    <w:link w:val="CommentText"/>
    <w:rsid w:val="00252C43"/>
    <w:rPr>
      <w:rFonts w:ascii="Calibri" w:hAnsi="Calibri"/>
      <w:color w:val="000000" w:themeColor="text1"/>
      <w:sz w:val="20"/>
    </w:rPr>
  </w:style>
  <w:style w:type="paragraph" w:styleId="CommentSubject">
    <w:name w:val="annotation subject"/>
    <w:basedOn w:val="CommentText"/>
    <w:next w:val="CommentText"/>
    <w:link w:val="CommentSubjectChar"/>
    <w:rsid w:val="00252C43"/>
    <w:rPr>
      <w:b/>
      <w:bCs/>
    </w:rPr>
  </w:style>
  <w:style w:type="character" w:customStyle="1" w:styleId="CommentSubjectChar">
    <w:name w:val="Comment Subject Char"/>
    <w:basedOn w:val="CommentTextChar"/>
    <w:link w:val="CommentSubject"/>
    <w:rsid w:val="00252C43"/>
    <w:rPr>
      <w:rFonts w:ascii="Calibri" w:hAnsi="Calibri"/>
      <w:b/>
      <w:bCs/>
      <w:color w:val="000000" w:themeColor="text1"/>
      <w:sz w:val="20"/>
    </w:rPr>
  </w:style>
  <w:style w:type="paragraph" w:styleId="DocumentMap">
    <w:name w:val="Document Map"/>
    <w:basedOn w:val="Normal"/>
    <w:link w:val="DocumentMapChar"/>
    <w:semiHidden/>
    <w:rsid w:val="00252C43"/>
    <w:pPr>
      <w:shd w:val="clear" w:color="auto" w:fill="00CCFF"/>
    </w:pPr>
    <w:rPr>
      <w:rFonts w:ascii="Tahoma" w:hAnsi="Tahoma" w:cs="Tahoma"/>
    </w:rPr>
  </w:style>
  <w:style w:type="character" w:customStyle="1" w:styleId="DocumentMapChar">
    <w:name w:val="Document Map Char"/>
    <w:basedOn w:val="DefaultParagraphFont"/>
    <w:link w:val="DocumentMap"/>
    <w:semiHidden/>
    <w:rsid w:val="00252C43"/>
    <w:rPr>
      <w:rFonts w:ascii="Tahoma" w:hAnsi="Tahoma" w:cs="Tahoma"/>
      <w:color w:val="000000" w:themeColor="text1"/>
      <w:shd w:val="clear" w:color="auto" w:fill="00CCFF"/>
    </w:rPr>
  </w:style>
  <w:style w:type="character" w:styleId="EndnoteReference">
    <w:name w:val="endnote reference"/>
    <w:basedOn w:val="DefaultParagraphFont"/>
    <w:rsid w:val="00252C43"/>
    <w:rPr>
      <w:vertAlign w:val="superscript"/>
    </w:rPr>
  </w:style>
  <w:style w:type="paragraph" w:styleId="EndnoteText">
    <w:name w:val="endnote text"/>
    <w:basedOn w:val="Normal"/>
    <w:link w:val="EndnoteTextChar"/>
    <w:rsid w:val="00252C43"/>
    <w:pPr>
      <w:spacing w:after="0"/>
    </w:pPr>
    <w:rPr>
      <w:sz w:val="20"/>
    </w:rPr>
  </w:style>
  <w:style w:type="character" w:customStyle="1" w:styleId="EndnoteTextChar">
    <w:name w:val="Endnote Text Char"/>
    <w:basedOn w:val="DefaultParagraphFont"/>
    <w:link w:val="EndnoteText"/>
    <w:rsid w:val="00252C43"/>
    <w:rPr>
      <w:rFonts w:ascii="Calibri" w:hAnsi="Calibri"/>
      <w:color w:val="000000" w:themeColor="text1"/>
      <w:sz w:val="20"/>
    </w:rPr>
  </w:style>
  <w:style w:type="character" w:styleId="FollowedHyperlink">
    <w:name w:val="FollowedHyperlink"/>
    <w:basedOn w:val="DefaultParagraphFont"/>
    <w:rsid w:val="00252C43"/>
    <w:rPr>
      <w:color w:val="auto"/>
      <w:u w:val="none"/>
    </w:rPr>
  </w:style>
  <w:style w:type="paragraph" w:styleId="Index1">
    <w:name w:val="index 1"/>
    <w:basedOn w:val="Normal"/>
    <w:next w:val="Normal"/>
    <w:autoRedefine/>
    <w:semiHidden/>
    <w:rsid w:val="00252C43"/>
    <w:pPr>
      <w:spacing w:after="0"/>
      <w:ind w:left="238" w:hanging="238"/>
    </w:pPr>
  </w:style>
  <w:style w:type="paragraph" w:styleId="Index2">
    <w:name w:val="index 2"/>
    <w:basedOn w:val="Normal"/>
    <w:next w:val="Normal"/>
    <w:autoRedefine/>
    <w:semiHidden/>
    <w:rsid w:val="00252C43"/>
    <w:pPr>
      <w:spacing w:after="0"/>
      <w:ind w:left="480" w:hanging="240"/>
    </w:pPr>
    <w:rPr>
      <w:sz w:val="20"/>
    </w:rPr>
  </w:style>
  <w:style w:type="paragraph" w:styleId="Index3">
    <w:name w:val="index 3"/>
    <w:basedOn w:val="Normal"/>
    <w:next w:val="Normal"/>
    <w:autoRedefine/>
    <w:semiHidden/>
    <w:rsid w:val="00252C43"/>
    <w:pPr>
      <w:ind w:left="600" w:hanging="200"/>
    </w:pPr>
  </w:style>
  <w:style w:type="paragraph" w:styleId="Index4">
    <w:name w:val="index 4"/>
    <w:basedOn w:val="Normal"/>
    <w:next w:val="Normal"/>
    <w:autoRedefine/>
    <w:semiHidden/>
    <w:rsid w:val="00252C43"/>
    <w:pPr>
      <w:ind w:left="800" w:hanging="200"/>
    </w:pPr>
  </w:style>
  <w:style w:type="paragraph" w:styleId="Index5">
    <w:name w:val="index 5"/>
    <w:basedOn w:val="Normal"/>
    <w:next w:val="Normal"/>
    <w:autoRedefine/>
    <w:semiHidden/>
    <w:rsid w:val="00252C43"/>
    <w:pPr>
      <w:ind w:left="1000" w:hanging="200"/>
    </w:pPr>
  </w:style>
  <w:style w:type="paragraph" w:styleId="Index6">
    <w:name w:val="index 6"/>
    <w:basedOn w:val="Normal"/>
    <w:next w:val="Normal"/>
    <w:autoRedefine/>
    <w:semiHidden/>
    <w:rsid w:val="00252C43"/>
    <w:pPr>
      <w:ind w:left="1200" w:hanging="200"/>
    </w:pPr>
  </w:style>
  <w:style w:type="paragraph" w:styleId="Index7">
    <w:name w:val="index 7"/>
    <w:basedOn w:val="Normal"/>
    <w:next w:val="Normal"/>
    <w:autoRedefine/>
    <w:semiHidden/>
    <w:rsid w:val="00252C43"/>
    <w:pPr>
      <w:ind w:left="1400" w:hanging="200"/>
    </w:pPr>
  </w:style>
  <w:style w:type="paragraph" w:styleId="Index8">
    <w:name w:val="index 8"/>
    <w:basedOn w:val="Normal"/>
    <w:next w:val="Normal"/>
    <w:autoRedefine/>
    <w:semiHidden/>
    <w:rsid w:val="00252C43"/>
    <w:pPr>
      <w:ind w:left="1600" w:hanging="200"/>
    </w:pPr>
  </w:style>
  <w:style w:type="paragraph" w:styleId="Index9">
    <w:name w:val="index 9"/>
    <w:basedOn w:val="Normal"/>
    <w:next w:val="Normal"/>
    <w:autoRedefine/>
    <w:semiHidden/>
    <w:rsid w:val="00252C43"/>
    <w:pPr>
      <w:ind w:left="1800" w:hanging="200"/>
    </w:pPr>
  </w:style>
  <w:style w:type="paragraph" w:styleId="IndexHeading">
    <w:name w:val="index heading"/>
    <w:basedOn w:val="Normal"/>
    <w:next w:val="Index1"/>
    <w:semiHidden/>
    <w:rsid w:val="00252C43"/>
    <w:pPr>
      <w:pBdr>
        <w:top w:val="single" w:sz="12" w:space="0" w:color="auto"/>
      </w:pBdr>
      <w:spacing w:before="360"/>
    </w:pPr>
    <w:rPr>
      <w:rFonts w:ascii="Times New Roman" w:hAnsi="Times New Roman"/>
      <w:b/>
      <w:i/>
    </w:rPr>
  </w:style>
  <w:style w:type="paragraph" w:styleId="MacroText">
    <w:name w:val="macro"/>
    <w:link w:val="MacroTextChar"/>
    <w:semiHidden/>
    <w:rsid w:val="00252C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252C43"/>
    <w:rPr>
      <w:rFonts w:ascii="Courier New" w:eastAsia="Times New Roman" w:hAnsi="Courier New" w:cs="Courier New"/>
      <w:color w:val="000000"/>
      <w:sz w:val="20"/>
      <w:szCs w:val="20"/>
      <w:lang w:eastAsia="en-AU"/>
    </w:rPr>
  </w:style>
  <w:style w:type="numbering" w:customStyle="1" w:styleId="OutlineList">
    <w:name w:val="OutlineList"/>
    <w:uiPriority w:val="99"/>
    <w:rsid w:val="00252C43"/>
    <w:pPr>
      <w:numPr>
        <w:numId w:val="5"/>
      </w:numPr>
    </w:pPr>
  </w:style>
  <w:style w:type="paragraph" w:customStyle="1" w:styleId="PictureCentred">
    <w:name w:val="Picture Centred"/>
    <w:basedOn w:val="Normal"/>
    <w:rsid w:val="00252C43"/>
    <w:pPr>
      <w:spacing w:before="120" w:line="240" w:lineRule="atLeast"/>
      <w:jc w:val="center"/>
    </w:pPr>
  </w:style>
  <w:style w:type="paragraph" w:customStyle="1" w:styleId="PictureLeft">
    <w:name w:val="Picture Left"/>
    <w:basedOn w:val="PictureCentred"/>
    <w:rsid w:val="00252C43"/>
    <w:pPr>
      <w:jc w:val="left"/>
    </w:pPr>
  </w:style>
  <w:style w:type="paragraph" w:customStyle="1" w:styleId="PictureIndent">
    <w:name w:val="Picture Indent"/>
    <w:basedOn w:val="PictureLeft"/>
    <w:rsid w:val="00252C43"/>
    <w:pPr>
      <w:ind w:left="284"/>
    </w:pPr>
  </w:style>
  <w:style w:type="paragraph" w:styleId="TableofAuthorities">
    <w:name w:val="table of authorities"/>
    <w:basedOn w:val="Normal"/>
    <w:next w:val="Normal"/>
    <w:rsid w:val="00252C43"/>
    <w:pPr>
      <w:ind w:left="200" w:hanging="200"/>
    </w:pPr>
  </w:style>
  <w:style w:type="paragraph" w:styleId="TableofFigures">
    <w:name w:val="table of figures"/>
    <w:basedOn w:val="Normal"/>
    <w:next w:val="Normal"/>
    <w:rsid w:val="00252C43"/>
  </w:style>
  <w:style w:type="paragraph" w:styleId="TOAHeading">
    <w:name w:val="toa heading"/>
    <w:basedOn w:val="Normal"/>
    <w:next w:val="Normal"/>
    <w:semiHidden/>
    <w:rsid w:val="00252C43"/>
    <w:pPr>
      <w:spacing w:before="120"/>
    </w:pPr>
    <w:rPr>
      <w:rFonts w:ascii="Arial" w:hAnsi="Arial" w:cs="Arial"/>
      <w:b/>
      <w:bCs/>
      <w:sz w:val="24"/>
      <w:szCs w:val="24"/>
    </w:rPr>
  </w:style>
  <w:style w:type="paragraph" w:styleId="TOC5">
    <w:name w:val="toc 5"/>
    <w:basedOn w:val="Normal"/>
    <w:next w:val="Normal"/>
    <w:autoRedefine/>
    <w:semiHidden/>
    <w:rsid w:val="00252C43"/>
    <w:pPr>
      <w:ind w:left="1040"/>
    </w:pPr>
  </w:style>
  <w:style w:type="paragraph" w:styleId="TOC6">
    <w:name w:val="toc 6"/>
    <w:basedOn w:val="Normal"/>
    <w:next w:val="Normal"/>
    <w:autoRedefine/>
    <w:semiHidden/>
    <w:rsid w:val="00252C43"/>
    <w:pPr>
      <w:ind w:left="1300"/>
    </w:pPr>
  </w:style>
  <w:style w:type="paragraph" w:styleId="TOC7">
    <w:name w:val="toc 7"/>
    <w:basedOn w:val="Normal"/>
    <w:next w:val="Normal"/>
    <w:autoRedefine/>
    <w:semiHidden/>
    <w:rsid w:val="00252C43"/>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252C43"/>
    <w:pPr>
      <w:tabs>
        <w:tab w:val="right" w:leader="dot" w:pos="7711"/>
      </w:tabs>
      <w:spacing w:after="0"/>
      <w:ind w:left="1134"/>
    </w:pPr>
    <w:rPr>
      <w:noProof/>
    </w:rPr>
  </w:style>
  <w:style w:type="paragraph" w:styleId="TOC9">
    <w:name w:val="toc 9"/>
    <w:basedOn w:val="Normal"/>
    <w:next w:val="Normal"/>
    <w:autoRedefine/>
    <w:semiHidden/>
    <w:rsid w:val="00252C43"/>
    <w:pPr>
      <w:ind w:left="2080"/>
    </w:pPr>
  </w:style>
  <w:style w:type="numbering" w:customStyle="1" w:styleId="BulletedList">
    <w:name w:val="Bulleted List"/>
    <w:uiPriority w:val="99"/>
    <w:rsid w:val="00252C43"/>
    <w:pPr>
      <w:numPr>
        <w:numId w:val="1"/>
      </w:numPr>
    </w:pPr>
  </w:style>
  <w:style w:type="numbering" w:customStyle="1" w:styleId="BoxBulletedList">
    <w:name w:val="Box Bulleted List"/>
    <w:uiPriority w:val="99"/>
    <w:rsid w:val="00252C43"/>
    <w:pPr>
      <w:numPr>
        <w:numId w:val="2"/>
      </w:numPr>
    </w:pPr>
  </w:style>
  <w:style w:type="numbering" w:customStyle="1" w:styleId="AlphaParagraphList">
    <w:name w:val="Alpha Paragraph List"/>
    <w:uiPriority w:val="99"/>
    <w:rsid w:val="00252C43"/>
    <w:pPr>
      <w:numPr>
        <w:numId w:val="3"/>
      </w:numPr>
    </w:pPr>
  </w:style>
  <w:style w:type="numbering" w:customStyle="1" w:styleId="OneLevelList">
    <w:name w:val="OneLevelList"/>
    <w:uiPriority w:val="99"/>
    <w:rsid w:val="00252C43"/>
    <w:pPr>
      <w:numPr>
        <w:numId w:val="4"/>
      </w:numPr>
    </w:pPr>
  </w:style>
  <w:style w:type="numbering" w:customStyle="1" w:styleId="RecommendationBulletList">
    <w:name w:val="RecommendationBulletList"/>
    <w:uiPriority w:val="99"/>
    <w:rsid w:val="00252C43"/>
    <w:pPr>
      <w:numPr>
        <w:numId w:val="6"/>
      </w:numPr>
    </w:pPr>
  </w:style>
  <w:style w:type="numbering" w:customStyle="1" w:styleId="RomanNumeralList">
    <w:name w:val="RomanNumeralList"/>
    <w:uiPriority w:val="99"/>
    <w:rsid w:val="00252C43"/>
    <w:pPr>
      <w:numPr>
        <w:numId w:val="7"/>
      </w:numPr>
    </w:pPr>
  </w:style>
  <w:style w:type="numbering" w:customStyle="1" w:styleId="ChartandTableFootnoteAlphaList">
    <w:name w:val="ChartandTableFootnoteAlphaList"/>
    <w:uiPriority w:val="99"/>
    <w:rsid w:val="00252C43"/>
    <w:pPr>
      <w:numPr>
        <w:numId w:val="12"/>
      </w:numPr>
    </w:pPr>
  </w:style>
  <w:style w:type="paragraph" w:customStyle="1" w:styleId="TableTextBullet">
    <w:name w:val="Table Text Bullet"/>
    <w:basedOn w:val="TableTextBase"/>
    <w:rsid w:val="00252C43"/>
    <w:pPr>
      <w:numPr>
        <w:numId w:val="14"/>
      </w:numPr>
    </w:pPr>
  </w:style>
  <w:style w:type="numbering" w:customStyle="1" w:styleId="TableTestBulletList">
    <w:name w:val="Table Test Bullet List"/>
    <w:uiPriority w:val="99"/>
    <w:rsid w:val="00252C43"/>
    <w:pPr>
      <w:numPr>
        <w:numId w:val="13"/>
      </w:numPr>
    </w:pPr>
  </w:style>
  <w:style w:type="numbering" w:customStyle="1" w:styleId="TableTextBulletList">
    <w:name w:val="Table Text Bullet List"/>
    <w:uiPriority w:val="99"/>
    <w:rsid w:val="00252C43"/>
    <w:pPr>
      <w:numPr>
        <w:numId w:val="14"/>
      </w:numPr>
    </w:pPr>
  </w:style>
  <w:style w:type="paragraph" w:customStyle="1" w:styleId="StyleTableTextBulletLinespacingExactly13pt">
    <w:name w:val="Style Table Text Bullet + Line spacing:  Exactly 13 pt"/>
    <w:basedOn w:val="TableTextBullet"/>
    <w:rsid w:val="00252C43"/>
    <w:pPr>
      <w:numPr>
        <w:numId w:val="0"/>
      </w:numPr>
      <w:spacing w:after="80" w:line="260" w:lineRule="exact"/>
    </w:pPr>
  </w:style>
  <w:style w:type="paragraph" w:customStyle="1" w:styleId="SecurityClassificationHeader">
    <w:name w:val="Security Classification Header"/>
    <w:link w:val="SecurityClassificationHeaderChar"/>
    <w:rsid w:val="00252C43"/>
    <w:pPr>
      <w:spacing w:before="60" w:after="60" w:line="240" w:lineRule="auto"/>
      <w:jc w:val="center"/>
    </w:pPr>
    <w:rPr>
      <w:rFonts w:ascii="Arial" w:eastAsia="Times New Roman" w:hAnsi="Arial"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252C43"/>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252C43"/>
    <w:pPr>
      <w:spacing w:before="60" w:after="40" w:line="240" w:lineRule="auto"/>
      <w:jc w:val="center"/>
    </w:pPr>
    <w:rPr>
      <w:rFonts w:ascii="Arial" w:eastAsia="Times New Roman" w:hAnsi="Arial"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252C43"/>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252C43"/>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252C43"/>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252C43"/>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252C43"/>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252C43"/>
    <w:pPr>
      <w:spacing w:before="120" w:after="120"/>
      <w:jc w:val="center"/>
    </w:pPr>
    <w:rPr>
      <w:rFonts w:ascii="Arial Bold" w:hAnsi="Arial Bold"/>
      <w:b/>
      <w:sz w:val="24"/>
    </w:rPr>
  </w:style>
  <w:style w:type="paragraph" w:styleId="Title">
    <w:name w:val="Title"/>
    <w:basedOn w:val="HeadingBaseStyle"/>
    <w:link w:val="TitleChar"/>
    <w:autoRedefine/>
    <w:qFormat/>
    <w:rsid w:val="00252C43"/>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252C43"/>
    <w:rPr>
      <w:rFonts w:ascii="Arial Bold" w:hAnsi="Arial Bold"/>
      <w:b/>
      <w:smallCaps/>
      <w:color w:val="003157"/>
      <w:kern w:val="28"/>
      <w:sz w:val="56"/>
    </w:rPr>
  </w:style>
  <w:style w:type="paragraph" w:styleId="Subtitle">
    <w:name w:val="Subtitle"/>
    <w:basedOn w:val="HeadingBaseStyle"/>
    <w:link w:val="SubtitleChar"/>
    <w:qFormat/>
    <w:rsid w:val="00252C43"/>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252C43"/>
    <w:rPr>
      <w:rFonts w:ascii="Arial Bold" w:hAnsi="Arial Bold"/>
      <w:b/>
      <w:sz w:val="40"/>
    </w:rPr>
  </w:style>
  <w:style w:type="paragraph" w:customStyle="1" w:styleId="SeriesNumber">
    <w:name w:val="Series Number"/>
    <w:basedOn w:val="HeadingBaseStyle"/>
    <w:rsid w:val="00252C43"/>
    <w:pPr>
      <w:spacing w:after="300"/>
      <w:jc w:val="center"/>
    </w:pPr>
    <w:rPr>
      <w:rFonts w:ascii="Arial Bold" w:hAnsi="Arial Bold"/>
      <w:b/>
      <w:color w:val="auto"/>
      <w:sz w:val="32"/>
    </w:rPr>
  </w:style>
  <w:style w:type="character" w:customStyle="1" w:styleId="A5">
    <w:name w:val="A5"/>
    <w:uiPriority w:val="99"/>
    <w:rsid w:val="00252C43"/>
    <w:rPr>
      <w:rFonts w:cs="Swiss 721 BT"/>
      <w:color w:val="000000"/>
      <w:sz w:val="20"/>
      <w:szCs w:val="20"/>
    </w:rPr>
  </w:style>
  <w:style w:type="paragraph" w:customStyle="1" w:styleId="Abstract">
    <w:name w:val="Abstract"/>
    <w:basedOn w:val="Normal"/>
    <w:link w:val="AbstractChar"/>
    <w:qFormat/>
    <w:rsid w:val="00252C43"/>
  </w:style>
  <w:style w:type="character" w:customStyle="1" w:styleId="AbstractChar">
    <w:name w:val="Abstract Char"/>
    <w:basedOn w:val="DefaultParagraphFont"/>
    <w:link w:val="Abstract"/>
    <w:rsid w:val="00252C43"/>
    <w:rPr>
      <w:rFonts w:ascii="Calibri" w:hAnsi="Calibri"/>
      <w:color w:val="000000" w:themeColor="text1"/>
    </w:rPr>
  </w:style>
  <w:style w:type="paragraph" w:customStyle="1" w:styleId="AppendixHeadingLevel2NotNumbered">
    <w:name w:val="Appendix Heading Level 2 Not Numbered"/>
    <w:basedOn w:val="Normal"/>
    <w:qFormat/>
    <w:rsid w:val="00252C43"/>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252C43"/>
    <w:pPr>
      <w:spacing w:after="0"/>
    </w:pPr>
  </w:style>
  <w:style w:type="paragraph" w:customStyle="1" w:styleId="Alphanumbered">
    <w:name w:val="Alpha numbered"/>
    <w:basedOn w:val="Normal"/>
    <w:rsid w:val="00252C43"/>
    <w:pPr>
      <w:numPr>
        <w:numId w:val="17"/>
      </w:numPr>
    </w:pPr>
  </w:style>
  <w:style w:type="paragraph" w:customStyle="1" w:styleId="HeadingBaseStyle">
    <w:name w:val="HeadingBaseStyle"/>
    <w:basedOn w:val="Normal"/>
    <w:rsid w:val="00252C43"/>
    <w:pPr>
      <w:keepNext/>
      <w:spacing w:after="0"/>
    </w:pPr>
    <w:rPr>
      <w:rFonts w:ascii="Arial" w:hAnsi="Arial"/>
      <w:color w:val="003157"/>
    </w:rPr>
  </w:style>
  <w:style w:type="paragraph" w:customStyle="1" w:styleId="AppendixHeadingNotNumbered">
    <w:name w:val="Appendix Heading Not Numbered"/>
    <w:basedOn w:val="HeadingBaseStyle"/>
    <w:rsid w:val="00252C43"/>
    <w:pPr>
      <w:numPr>
        <w:numId w:val="18"/>
      </w:numPr>
      <w:spacing w:before="480" w:after="320"/>
    </w:pPr>
    <w:rPr>
      <w:b/>
      <w:smallCaps/>
      <w:sz w:val="32"/>
      <w:szCs w:val="28"/>
    </w:rPr>
  </w:style>
  <w:style w:type="paragraph" w:customStyle="1" w:styleId="AppendixHeadingLevel2">
    <w:name w:val="Appendix Heading Level 2"/>
    <w:basedOn w:val="AppendixHeadingNotNumbered"/>
    <w:next w:val="Normal"/>
    <w:rsid w:val="00252C43"/>
    <w:pPr>
      <w:numPr>
        <w:ilvl w:val="1"/>
      </w:numPr>
    </w:pPr>
  </w:style>
  <w:style w:type="paragraph" w:customStyle="1" w:styleId="AppendixHeadingLevel3">
    <w:name w:val="Appendix Heading Level 3"/>
    <w:basedOn w:val="Heading3"/>
    <w:next w:val="Normal"/>
    <w:rsid w:val="00252C43"/>
    <w:pPr>
      <w:numPr>
        <w:ilvl w:val="2"/>
        <w:numId w:val="18"/>
      </w:numPr>
    </w:pPr>
  </w:style>
  <w:style w:type="paragraph" w:customStyle="1" w:styleId="AppendixHeadingLevel4">
    <w:name w:val="Appendix Heading Level 4"/>
    <w:basedOn w:val="Heading4"/>
    <w:next w:val="Normal"/>
    <w:rsid w:val="00252C43"/>
    <w:pPr>
      <w:numPr>
        <w:ilvl w:val="3"/>
        <w:numId w:val="18"/>
      </w:numPr>
    </w:pPr>
  </w:style>
  <w:style w:type="paragraph" w:customStyle="1" w:styleId="Attachment">
    <w:name w:val="Attachment"/>
    <w:basedOn w:val="HeadingBaseStyle"/>
    <w:next w:val="Normal"/>
    <w:rsid w:val="00252C43"/>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252C43"/>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252C43"/>
    <w:pPr>
      <w:spacing w:after="20"/>
      <w:jc w:val="center"/>
    </w:pPr>
    <w:rPr>
      <w:color w:val="auto"/>
      <w:sz w:val="24"/>
    </w:rPr>
  </w:style>
  <w:style w:type="paragraph" w:customStyle="1" w:styleId="CaptionHeading1">
    <w:name w:val="Caption Heading 1"/>
    <w:basedOn w:val="Normal"/>
    <w:next w:val="Captiongraphic"/>
    <w:rsid w:val="00252C43"/>
    <w:pPr>
      <w:keepNext/>
      <w:spacing w:before="120" w:after="0"/>
      <w:jc w:val="center"/>
    </w:pPr>
    <w:rPr>
      <w:rFonts w:ascii="Arial" w:hAnsi="Arial"/>
      <w:color w:val="003157"/>
      <w:sz w:val="24"/>
    </w:rPr>
  </w:style>
  <w:style w:type="paragraph" w:customStyle="1" w:styleId="CaptionHeading2">
    <w:name w:val="Caption Heading 2"/>
    <w:basedOn w:val="Normal"/>
    <w:rsid w:val="00252C43"/>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252C43"/>
    <w:rPr>
      <w:rFonts w:ascii="Arial Bold" w:hAnsi="Arial Bold"/>
      <w:b/>
      <w:color w:val="000000"/>
    </w:rPr>
  </w:style>
  <w:style w:type="paragraph" w:styleId="NoSpacing">
    <w:name w:val="No Spacing"/>
    <w:link w:val="NoSpacingChar"/>
    <w:uiPriority w:val="1"/>
    <w:rsid w:val="00252C43"/>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252C43"/>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252C43"/>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252C43"/>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252C43"/>
    <w:pPr>
      <w:spacing w:after="240" w:line="260" w:lineRule="exact"/>
    </w:pPr>
    <w:rPr>
      <w:color w:val="auto"/>
      <w:sz w:val="24"/>
    </w:rPr>
  </w:style>
  <w:style w:type="character" w:styleId="Emphasis">
    <w:name w:val="Emphasis"/>
    <w:basedOn w:val="DefaultParagraphFont"/>
    <w:qFormat/>
    <w:rsid w:val="00252C43"/>
    <w:rPr>
      <w:i/>
      <w:iCs/>
    </w:rPr>
  </w:style>
  <w:style w:type="paragraph" w:customStyle="1" w:styleId="Equation">
    <w:name w:val="Equation"/>
    <w:basedOn w:val="Normal"/>
    <w:next w:val="Normal"/>
    <w:rsid w:val="00252C43"/>
    <w:pPr>
      <w:spacing w:before="120" w:after="120"/>
      <w:ind w:left="357"/>
    </w:pPr>
    <w:rPr>
      <w:rFonts w:ascii="Times New Roman" w:hAnsi="Times New Roman"/>
    </w:rPr>
  </w:style>
  <w:style w:type="paragraph" w:customStyle="1" w:styleId="ExampleBullet">
    <w:name w:val="Example Bullet"/>
    <w:basedOn w:val="Normal"/>
    <w:rsid w:val="00252C43"/>
    <w:pPr>
      <w:numPr>
        <w:numId w:val="21"/>
      </w:numPr>
      <w:spacing w:before="40" w:after="40"/>
    </w:pPr>
    <w:rPr>
      <w:rFonts w:ascii="Arial" w:hAnsi="Arial"/>
      <w:sz w:val="18"/>
    </w:rPr>
  </w:style>
  <w:style w:type="paragraph" w:customStyle="1" w:styleId="Heading2NotNumbered">
    <w:name w:val="Heading 2 Not Numbered"/>
    <w:basedOn w:val="Heading2"/>
    <w:rsid w:val="00252C43"/>
    <w:pPr>
      <w:numPr>
        <w:numId w:val="0"/>
      </w:numPr>
    </w:pPr>
  </w:style>
  <w:style w:type="paragraph" w:customStyle="1" w:styleId="Heading3NotNumbered">
    <w:name w:val="Heading 3 Not Numbered"/>
    <w:basedOn w:val="Heading4"/>
    <w:rsid w:val="00252C43"/>
    <w:pPr>
      <w:numPr>
        <w:ilvl w:val="0"/>
        <w:numId w:val="0"/>
      </w:numPr>
    </w:pPr>
    <w:rPr>
      <w:b w:val="0"/>
      <w:sz w:val="28"/>
    </w:rPr>
  </w:style>
  <w:style w:type="paragraph" w:customStyle="1" w:styleId="Indented">
    <w:name w:val="Indented"/>
    <w:basedOn w:val="Normal"/>
    <w:rsid w:val="00252C43"/>
    <w:pPr>
      <w:ind w:left="851"/>
    </w:pPr>
  </w:style>
  <w:style w:type="paragraph" w:styleId="IntenseQuote">
    <w:name w:val="Intense Quote"/>
    <w:basedOn w:val="Normal"/>
    <w:next w:val="Normal"/>
    <w:link w:val="IntenseQuoteChar"/>
    <w:uiPriority w:val="30"/>
    <w:rsid w:val="00252C43"/>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252C43"/>
    <w:rPr>
      <w:rFonts w:ascii="Calibri" w:hAnsi="Calibri"/>
      <w:b/>
      <w:bCs/>
      <w:i/>
      <w:iCs/>
      <w:color w:val="002B54" w:themeColor="accent1"/>
    </w:rPr>
  </w:style>
  <w:style w:type="paragraph" w:customStyle="1" w:styleId="MTDisplayEquation">
    <w:name w:val="MTDisplayEquation"/>
    <w:basedOn w:val="Normal"/>
    <w:next w:val="Normal"/>
    <w:link w:val="MTDisplayEquationChar"/>
    <w:rsid w:val="00252C43"/>
    <w:pPr>
      <w:tabs>
        <w:tab w:val="center" w:pos="4640"/>
        <w:tab w:val="right" w:pos="9300"/>
      </w:tabs>
    </w:pPr>
  </w:style>
  <w:style w:type="character" w:customStyle="1" w:styleId="MTDisplayEquationChar">
    <w:name w:val="MTDisplayEquation Char"/>
    <w:basedOn w:val="DefaultParagraphFont"/>
    <w:link w:val="MTDisplayEquation"/>
    <w:rsid w:val="00252C43"/>
    <w:rPr>
      <w:rFonts w:ascii="Calibri" w:hAnsi="Calibri"/>
      <w:color w:val="000000" w:themeColor="text1"/>
    </w:rPr>
  </w:style>
  <w:style w:type="character" w:customStyle="1" w:styleId="MTEquationSection">
    <w:name w:val="MTEquationSection"/>
    <w:basedOn w:val="DefaultParagraphFont"/>
    <w:rsid w:val="00252C43"/>
    <w:rPr>
      <w:vanish w:val="0"/>
      <w:color w:val="FF0000"/>
    </w:rPr>
  </w:style>
  <w:style w:type="character" w:customStyle="1" w:styleId="NormalBold">
    <w:name w:val="Normal Bold"/>
    <w:basedOn w:val="DefaultParagraphFont"/>
    <w:rsid w:val="00252C43"/>
    <w:rPr>
      <w:rFonts w:ascii="Calibri" w:hAnsi="Calibri"/>
      <w:b/>
      <w:sz w:val="22"/>
    </w:rPr>
  </w:style>
  <w:style w:type="character" w:customStyle="1" w:styleId="Normalitalics">
    <w:name w:val="Normal italics"/>
    <w:basedOn w:val="DefaultParagraphFont"/>
    <w:rsid w:val="00252C43"/>
    <w:rPr>
      <w:i/>
    </w:rPr>
  </w:style>
  <w:style w:type="paragraph" w:customStyle="1" w:styleId="Note">
    <w:name w:val="Note"/>
    <w:basedOn w:val="HeadingBaseStyle"/>
    <w:next w:val="Normal"/>
    <w:rsid w:val="00252C43"/>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252C43"/>
    <w:rPr>
      <w:i/>
    </w:rPr>
  </w:style>
  <w:style w:type="paragraph" w:customStyle="1" w:styleId="NumberedParagraph">
    <w:name w:val="Numbered Paragraph"/>
    <w:basedOn w:val="Normal"/>
    <w:autoRedefine/>
    <w:rsid w:val="00252C43"/>
    <w:pPr>
      <w:numPr>
        <w:numId w:val="23"/>
      </w:numPr>
    </w:pPr>
  </w:style>
  <w:style w:type="character" w:styleId="PlaceholderText">
    <w:name w:val="Placeholder Text"/>
    <w:basedOn w:val="DefaultParagraphFont"/>
    <w:uiPriority w:val="99"/>
    <w:semiHidden/>
    <w:rsid w:val="00252C43"/>
    <w:rPr>
      <w:color w:val="808080"/>
    </w:rPr>
  </w:style>
  <w:style w:type="paragraph" w:customStyle="1" w:styleId="References">
    <w:name w:val="References"/>
    <w:basedOn w:val="Normal"/>
    <w:rsid w:val="00252C43"/>
    <w:pPr>
      <w:widowControl w:val="0"/>
      <w:adjustRightInd w:val="0"/>
      <w:textAlignment w:val="baseline"/>
    </w:pPr>
  </w:style>
  <w:style w:type="paragraph" w:customStyle="1" w:styleId="SeriesMonth">
    <w:name w:val="Series Month"/>
    <w:basedOn w:val="HeadingBaseStyle"/>
    <w:rsid w:val="00252C43"/>
    <w:pPr>
      <w:spacing w:after="240"/>
      <w:jc w:val="center"/>
    </w:pPr>
    <w:rPr>
      <w:rFonts w:ascii="Arial Bold" w:hAnsi="Arial Bold"/>
      <w:b/>
      <w:color w:val="auto"/>
      <w:sz w:val="32"/>
    </w:rPr>
  </w:style>
  <w:style w:type="paragraph" w:customStyle="1" w:styleId="Tablegraphic0">
    <w:name w:val="Table graphic"/>
    <w:basedOn w:val="HeadingBaseStyle"/>
    <w:next w:val="Normal"/>
    <w:rsid w:val="00252C43"/>
    <w:pPr>
      <w:spacing w:after="20"/>
      <w:ind w:right="-113"/>
    </w:pPr>
    <w:rPr>
      <w:color w:val="auto"/>
      <w:sz w:val="24"/>
    </w:rPr>
  </w:style>
  <w:style w:type="paragraph" w:customStyle="1" w:styleId="TableHeading1">
    <w:name w:val="Table Heading 1"/>
    <w:basedOn w:val="HeadingBaseStyle"/>
    <w:next w:val="Tablegraphic0"/>
    <w:rsid w:val="00252C43"/>
    <w:pPr>
      <w:spacing w:before="120" w:after="20"/>
      <w:jc w:val="center"/>
    </w:pPr>
    <w:rPr>
      <w:sz w:val="24"/>
    </w:rPr>
  </w:style>
  <w:style w:type="paragraph" w:customStyle="1" w:styleId="Tableheading2">
    <w:name w:val="Table heading 2"/>
    <w:basedOn w:val="TableHeading1"/>
    <w:next w:val="Tablegraphic0"/>
    <w:rsid w:val="00252C43"/>
    <w:pPr>
      <w:spacing w:before="0"/>
    </w:pPr>
    <w:rPr>
      <w:sz w:val="22"/>
    </w:rPr>
  </w:style>
  <w:style w:type="paragraph" w:customStyle="1" w:styleId="TableHeadingcontinued">
    <w:name w:val="Table Heading continued"/>
    <w:basedOn w:val="HeadingBaseStyle"/>
    <w:next w:val="Tablegraphic0"/>
    <w:rsid w:val="00252C43"/>
    <w:pPr>
      <w:jc w:val="center"/>
    </w:pPr>
  </w:style>
  <w:style w:type="paragraph" w:customStyle="1" w:styleId="Tabletextcentred">
    <w:name w:val="Table text centred"/>
    <w:basedOn w:val="TableTextBase"/>
    <w:rsid w:val="00252C43"/>
    <w:pPr>
      <w:jc w:val="center"/>
    </w:pPr>
  </w:style>
  <w:style w:type="paragraph" w:customStyle="1" w:styleId="Tabletextleft0">
    <w:name w:val="Table text left"/>
    <w:basedOn w:val="TableTextBase"/>
    <w:rsid w:val="00252C43"/>
  </w:style>
  <w:style w:type="paragraph" w:styleId="Revision">
    <w:name w:val="Revision"/>
    <w:hidden/>
    <w:uiPriority w:val="99"/>
    <w:semiHidden/>
    <w:rsid w:val="001D2588"/>
    <w:pPr>
      <w:spacing w:after="0" w:line="240" w:lineRule="auto"/>
    </w:pPr>
    <w:rPr>
      <w:rFonts w:ascii="Calibri" w:hAnsi="Calibri"/>
      <w:color w:val="000000" w:themeColor="text1"/>
    </w:rPr>
  </w:style>
  <w:style w:type="character" w:customStyle="1" w:styleId="BulletChar">
    <w:name w:val="Bullet Char"/>
    <w:basedOn w:val="DefaultParagraphFont"/>
    <w:link w:val="Bullet"/>
    <w:rsid w:val="0095241E"/>
    <w:rPr>
      <w:rFonts w:ascii="Calibri" w:hAnsi="Calibri"/>
      <w:color w:val="000000" w:themeColor="text1"/>
    </w:rPr>
  </w:style>
  <w:style w:type="character" w:customStyle="1" w:styleId="OutlineNumbered1Char">
    <w:name w:val="Outline Numbered 1 Char"/>
    <w:basedOn w:val="DefaultParagraphFont"/>
    <w:link w:val="OutlineNumbered1"/>
    <w:rsid w:val="0095241E"/>
    <w:rPr>
      <w:rFonts w:ascii="Calibri" w:hAnsi="Calibri"/>
      <w:color w:val="000000" w:themeColor="text1"/>
    </w:rPr>
  </w:style>
  <w:style w:type="character" w:customStyle="1" w:styleId="DashChar">
    <w:name w:val="Dash Char"/>
    <w:basedOn w:val="DefaultParagraphFont"/>
    <w:link w:val="Dash"/>
    <w:rsid w:val="0095241E"/>
    <w:rPr>
      <w:rFonts w:ascii="Calibri" w:hAnsi="Calibri"/>
      <w:color w:val="000000" w:themeColor="text1"/>
    </w:rPr>
  </w:style>
  <w:style w:type="paragraph" w:styleId="ListParagraph">
    <w:name w:val="List Paragraph"/>
    <w:basedOn w:val="Normal"/>
    <w:uiPriority w:val="34"/>
    <w:qFormat/>
    <w:rsid w:val="0095241E"/>
    <w:pPr>
      <w:ind w:left="720"/>
      <w:contextualSpacing/>
    </w:pPr>
  </w:style>
  <w:style w:type="paragraph" w:customStyle="1" w:styleId="Chartnote">
    <w:name w:val="Chart note"/>
    <w:basedOn w:val="Normal"/>
    <w:qFormat/>
    <w:rsid w:val="00F27A58"/>
    <w:pPr>
      <w:spacing w:after="120"/>
    </w:pPr>
    <w:rPr>
      <w:rFonts w:cs="Times New Roman"/>
      <w:color w:val="auto"/>
      <w:sz w:val="18"/>
      <w:szCs w:val="20"/>
    </w:rPr>
  </w:style>
  <w:style w:type="paragraph" w:customStyle="1" w:styleId="Chartheading">
    <w:name w:val="Chart heading"/>
    <w:basedOn w:val="Normal"/>
    <w:qFormat/>
    <w:rsid w:val="00F95AB2"/>
    <w:pPr>
      <w:spacing w:after="120"/>
    </w:pPr>
    <w:rPr>
      <w:rFonts w:ascii="Rockwell" w:hAnsi="Rockwell" w:cs="Times New Roman"/>
      <w:color w:val="1F497D" w:themeColor="tex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052">
      <w:bodyDiv w:val="1"/>
      <w:marLeft w:val="0"/>
      <w:marRight w:val="0"/>
      <w:marTop w:val="0"/>
      <w:marBottom w:val="0"/>
      <w:divBdr>
        <w:top w:val="none" w:sz="0" w:space="0" w:color="auto"/>
        <w:left w:val="none" w:sz="0" w:space="0" w:color="auto"/>
        <w:bottom w:val="none" w:sz="0" w:space="0" w:color="auto"/>
        <w:right w:val="none" w:sz="0" w:space="0" w:color="auto"/>
      </w:divBdr>
    </w:div>
    <w:div w:id="410154372">
      <w:bodyDiv w:val="1"/>
      <w:marLeft w:val="0"/>
      <w:marRight w:val="0"/>
      <w:marTop w:val="0"/>
      <w:marBottom w:val="0"/>
      <w:divBdr>
        <w:top w:val="none" w:sz="0" w:space="0" w:color="auto"/>
        <w:left w:val="none" w:sz="0" w:space="0" w:color="auto"/>
        <w:bottom w:val="none" w:sz="0" w:space="0" w:color="auto"/>
        <w:right w:val="none" w:sz="0" w:space="0" w:color="auto"/>
      </w:divBdr>
    </w:div>
    <w:div w:id="810901391">
      <w:bodyDiv w:val="1"/>
      <w:marLeft w:val="0"/>
      <w:marRight w:val="0"/>
      <w:marTop w:val="0"/>
      <w:marBottom w:val="0"/>
      <w:divBdr>
        <w:top w:val="none" w:sz="0" w:space="0" w:color="auto"/>
        <w:left w:val="none" w:sz="0" w:space="0" w:color="auto"/>
        <w:bottom w:val="none" w:sz="0" w:space="0" w:color="auto"/>
        <w:right w:val="none" w:sz="0" w:space="0" w:color="auto"/>
      </w:divBdr>
    </w:div>
    <w:div w:id="1101028834">
      <w:bodyDiv w:val="1"/>
      <w:marLeft w:val="0"/>
      <w:marRight w:val="0"/>
      <w:marTop w:val="0"/>
      <w:marBottom w:val="0"/>
      <w:divBdr>
        <w:top w:val="none" w:sz="0" w:space="0" w:color="auto"/>
        <w:left w:val="none" w:sz="0" w:space="0" w:color="auto"/>
        <w:bottom w:val="none" w:sz="0" w:space="0" w:color="auto"/>
        <w:right w:val="none" w:sz="0" w:space="0" w:color="auto"/>
      </w:divBdr>
    </w:div>
    <w:div w:id="1199471617">
      <w:bodyDiv w:val="1"/>
      <w:marLeft w:val="0"/>
      <w:marRight w:val="0"/>
      <w:marTop w:val="0"/>
      <w:marBottom w:val="0"/>
      <w:divBdr>
        <w:top w:val="none" w:sz="0" w:space="0" w:color="auto"/>
        <w:left w:val="none" w:sz="0" w:space="0" w:color="auto"/>
        <w:bottom w:val="none" w:sz="0" w:space="0" w:color="auto"/>
        <w:right w:val="none" w:sz="0" w:space="0" w:color="auto"/>
      </w:divBdr>
      <w:divsChild>
        <w:div w:id="1708409559">
          <w:marLeft w:val="0"/>
          <w:marRight w:val="0"/>
          <w:marTop w:val="0"/>
          <w:marBottom w:val="0"/>
          <w:divBdr>
            <w:top w:val="none" w:sz="0" w:space="0" w:color="auto"/>
            <w:left w:val="none" w:sz="0" w:space="0" w:color="auto"/>
            <w:bottom w:val="none" w:sz="0" w:space="0" w:color="auto"/>
            <w:right w:val="none" w:sz="0" w:space="0" w:color="auto"/>
          </w:divBdr>
          <w:divsChild>
            <w:div w:id="1918518673">
              <w:marLeft w:val="0"/>
              <w:marRight w:val="0"/>
              <w:marTop w:val="0"/>
              <w:marBottom w:val="0"/>
              <w:divBdr>
                <w:top w:val="none" w:sz="0" w:space="0" w:color="auto"/>
                <w:left w:val="none" w:sz="0" w:space="0" w:color="auto"/>
                <w:bottom w:val="none" w:sz="0" w:space="0" w:color="auto"/>
                <w:right w:val="none" w:sz="0" w:space="0" w:color="auto"/>
              </w:divBdr>
              <w:divsChild>
                <w:div w:id="2086801098">
                  <w:marLeft w:val="0"/>
                  <w:marRight w:val="0"/>
                  <w:marTop w:val="0"/>
                  <w:marBottom w:val="0"/>
                  <w:divBdr>
                    <w:top w:val="none" w:sz="0" w:space="0" w:color="auto"/>
                    <w:left w:val="none" w:sz="0" w:space="0" w:color="auto"/>
                    <w:bottom w:val="none" w:sz="0" w:space="0" w:color="auto"/>
                    <w:right w:val="none" w:sz="0" w:space="0" w:color="auto"/>
                  </w:divBdr>
                  <w:divsChild>
                    <w:div w:id="1645233967">
                      <w:marLeft w:val="0"/>
                      <w:marRight w:val="0"/>
                      <w:marTop w:val="0"/>
                      <w:marBottom w:val="0"/>
                      <w:divBdr>
                        <w:top w:val="none" w:sz="0" w:space="0" w:color="auto"/>
                        <w:left w:val="none" w:sz="0" w:space="0" w:color="auto"/>
                        <w:bottom w:val="none" w:sz="0" w:space="0" w:color="auto"/>
                        <w:right w:val="none" w:sz="0" w:space="0" w:color="auto"/>
                      </w:divBdr>
                      <w:divsChild>
                        <w:div w:id="39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05069">
      <w:bodyDiv w:val="1"/>
      <w:marLeft w:val="0"/>
      <w:marRight w:val="0"/>
      <w:marTop w:val="0"/>
      <w:marBottom w:val="0"/>
      <w:divBdr>
        <w:top w:val="none" w:sz="0" w:space="0" w:color="auto"/>
        <w:left w:val="none" w:sz="0" w:space="0" w:color="auto"/>
        <w:bottom w:val="none" w:sz="0" w:space="0" w:color="auto"/>
        <w:right w:val="none" w:sz="0" w:space="0" w:color="auto"/>
      </w:divBdr>
    </w:div>
    <w:div w:id="1706052329">
      <w:bodyDiv w:val="1"/>
      <w:marLeft w:val="0"/>
      <w:marRight w:val="0"/>
      <w:marTop w:val="0"/>
      <w:marBottom w:val="0"/>
      <w:divBdr>
        <w:top w:val="none" w:sz="0" w:space="0" w:color="auto"/>
        <w:left w:val="none" w:sz="0" w:space="0" w:color="auto"/>
        <w:bottom w:val="none" w:sz="0" w:space="0" w:color="auto"/>
        <w:right w:val="none" w:sz="0" w:space="0" w:color="auto"/>
      </w:divBdr>
    </w:div>
    <w:div w:id="1738817861">
      <w:bodyDiv w:val="1"/>
      <w:marLeft w:val="0"/>
      <w:marRight w:val="0"/>
      <w:marTop w:val="0"/>
      <w:marBottom w:val="0"/>
      <w:divBdr>
        <w:top w:val="none" w:sz="0" w:space="0" w:color="auto"/>
        <w:left w:val="none" w:sz="0" w:space="0" w:color="auto"/>
        <w:bottom w:val="none" w:sz="0" w:space="0" w:color="auto"/>
        <w:right w:val="none" w:sz="0" w:space="0" w:color="auto"/>
      </w:divBdr>
    </w:div>
    <w:div w:id="1897278277">
      <w:bodyDiv w:val="1"/>
      <w:marLeft w:val="0"/>
      <w:marRight w:val="0"/>
      <w:marTop w:val="0"/>
      <w:marBottom w:val="0"/>
      <w:divBdr>
        <w:top w:val="none" w:sz="0" w:space="0" w:color="auto"/>
        <w:left w:val="none" w:sz="0" w:space="0" w:color="auto"/>
        <w:bottom w:val="none" w:sz="0" w:space="0" w:color="auto"/>
        <w:right w:val="none" w:sz="0" w:space="0" w:color="auto"/>
      </w:divBdr>
    </w:div>
    <w:div w:id="1960525049">
      <w:bodyDiv w:val="1"/>
      <w:marLeft w:val="0"/>
      <w:marRight w:val="0"/>
      <w:marTop w:val="0"/>
      <w:marBottom w:val="0"/>
      <w:divBdr>
        <w:top w:val="none" w:sz="0" w:space="0" w:color="auto"/>
        <w:left w:val="none" w:sz="0" w:space="0" w:color="auto"/>
        <w:bottom w:val="none" w:sz="0" w:space="0" w:color="auto"/>
        <w:right w:val="none" w:sz="0" w:space="0" w:color="auto"/>
      </w:divBdr>
    </w:div>
    <w:div w:id="20630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9" Type="http://schemas.openxmlformats.org/officeDocument/2006/relationships/image" Target="media/image15.emf"/><Relationship Id="rId21" Type="http://schemas.openxmlformats.org/officeDocument/2006/relationships/hyperlink" Target="http://creativecommons.org/licenses/by/3.0/au/deed.en" TargetMode="External"/><Relationship Id="rId34" Type="http://schemas.openxmlformats.org/officeDocument/2006/relationships/image" Target="media/image10.emf"/><Relationship Id="rId42" Type="http://schemas.openxmlformats.org/officeDocument/2006/relationships/hyperlink" Target="https://ssrn.com/abstract=3489965" TargetMode="External"/><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wmf"/><Relationship Id="rId29" Type="http://schemas.openxmlformats.org/officeDocument/2006/relationships/image" Target="media/image5.emf"/><Relationship Id="rId41" Type="http://schemas.openxmlformats.org/officeDocument/2006/relationships/image" Target="media/image17.emf"/><Relationship Id="rId54"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18.emf"/><Relationship Id="rId53"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edia@treasury.gov.au" TargetMode="External"/><Relationship Id="rId28" Type="http://schemas.openxmlformats.org/officeDocument/2006/relationships/image" Target="media/image4.emf"/><Relationship Id="rId36" Type="http://schemas.openxmlformats.org/officeDocument/2006/relationships/image" Target="media/image12.emf"/><Relationship Id="rId49" Type="http://schemas.openxmlformats.org/officeDocument/2006/relationships/image" Target="media/image22.emf"/><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creativecommons.org/licenses/by/3.0/au/legalcode" TargetMode="External"/><Relationship Id="rId31" Type="http://schemas.openxmlformats.org/officeDocument/2006/relationships/image" Target="media/image7.emf"/><Relationship Id="rId44" Type="http://schemas.openxmlformats.org/officeDocument/2006/relationships/hyperlink" Target="https://ssrn.com/abstract=3324849" TargetMode="External"/><Relationship Id="rId52"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pmc.gov.au/government/commonwealth-coat-arms"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hyperlink" Target="http://www.oecd.org/coronavirus/policy-responses/start-ups-in-the-time-of-covid-19-facing-the-challenges-seizing-the-opportunities-87219267/" TargetMode="External"/><Relationship Id="rId48" Type="http://schemas.openxmlformats.org/officeDocument/2006/relationships/image" Target="media/image21.e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4.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mailto:Jonathan.Hambur@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2020MEG-168-1550</_dlc_DocId>
    <TaxCatchAll xmlns="0f563589-9cf9-4143-b1eb-fb0534803d38">
      <Value>51</Value>
    </TaxCatchAll>
    <_dlc_DocIdUrl xmlns="0f563589-9cf9-4143-b1eb-fb0534803d38">
      <Url>http://tweb/sites/meg/mmpd/_layouts/15/DocIdRedir.aspx?ID=2020MEG-168-1550</Url>
      <Description>2020MEG-168-1550</Description>
    </_dlc_DocIdUrl>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TSY RA-8870 - Destroy 10 years after action completed</TermName>
          <TermId xmlns="http://schemas.microsoft.com/office/infopath/2007/PartnerControls">3974f803-6497-49bd-88d6-c10b20320241</TermId>
        </TermInfo>
      </Terms>
    </lb508a4dc5e84436a0fe496b536466aa>
    <IconOverlay xmlns="http://schemas.microsoft.com/sharepoint/v4" xsi:nil="true"/>
    <ContentTypes xmlns="f0b8e850-5d6c-4fdf-aaa8-971c30da5c10" xsi:nil="true"/>
    <WorkStreams xmlns="f0b8e850-5d6c-4fdf-aaa8-971c30da5c10">
      <Value>26</Value>
    </WorkStreams>
    <Macro_x002d_financial_x0020_risk_x0020_streams xmlns="a0641bfb-d00b-4a10-b356-7eeaff348906"/>
    <Work_x0020_streams xmlns="a0641bfb-d00b-4a10-b356-7eeaff348906"/>
    <Productivity_x0020_streams xmlns="a0641bfb-d00b-4a10-b356-7eeaff348906"/>
    <Fiscal_x0020_policy_x0020_streams xmlns="a0641bfb-d00b-4a10-b356-7eeaff348906"/>
    <Project_x0020_number xmlns="a0641bfb-d00b-4a10-b356-7eeaff348906">204</Project_x0020_number>
    <Monetary_x0020_policy_x0020_streams xmlns="a0641bfb-d00b-4a10-b356-7eeaff348906"/>
    <Population xmlns="a0641bfb-d00b-4a10-b356-7eeaff348906"/>
    <Participation xmlns="a0641bfb-d00b-4a10-b356-7eeaff348906"/>
    <Model_x0020_development_x0020_streams xmlns="a0641bfb-d00b-4a10-b356-7eeaff348906"/>
    <Content_x0020_types xmlns="a0641bfb-d00b-4a10-b356-7eeaff348906" xsi:nil="true"/>
    <Model_x0020_simulation_x0020_streams xmlns="a0641bfb-d00b-4a10-b356-7eeaff348906"/>
    <n748a1c17def4c93b413435c48ea6417 xmlns="54bb81cf-96ba-41ce-8a26-ccbc5a57d34e">
      <Terms xmlns="http://schemas.microsoft.com/office/infopath/2007/PartnerControls"/>
    </n748a1c17def4c93b413435c48ea6417>
    <MAPD_x0020_Topics xmlns="a0641bfb-d00b-4a10-b356-7eeaff3489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Qui19</b:Tag>
    <b:SourceType>Misc</b:SourceType>
    <b:Guid>{8106DD42-B015-4F9F-A18F-8FB379EB0841}</b:Guid>
    <b:Title>Keeping Pace with Technological Change: The Role of Capabilities and Dynamism</b:Title>
    <b:Year>2019</b:Year>
    <b:City>Sydney</b:City>
    <b:Month>June</b:Month>
    <b:Day>20</b:Day>
    <b:PublicationTitle>Speech at OECD Global Forum on Productivity</b:PublicationTitle>
    <b:Author>
      <b:Author>
        <b:NameList>
          <b:Person>
            <b:Last>Quinn </b:Last>
            <b:First>Meghan</b:First>
          </b:Person>
        </b:NameList>
      </b:Author>
    </b:Author>
    <b:RefOrder>1</b:RefOrder>
  </b:Source>
  <b:Source>
    <b:Tag>Placeholder1</b:Tag>
    <b:SourceType>Misc</b:SourceType>
    <b:Guid>{F5CFFF96-86C2-47F2-A5E8-649AA13C3F2C}</b:Guid>
    <b:RefOrder>2</b:RefOrder>
  </b:Source>
  <b:Source>
    <b:Tag>Die10</b:Tag>
    <b:SourceType>BookSection</b:SourceType>
    <b:Guid>{C6F64340-72D7-47DF-B4B2-FB5A39420998}</b:Guid>
    <b:Title>One Measuring the Contribution</b:Title>
    <b:Year>2010</b:Year>
    <b:City>Vancourver, Canada</b:City>
    <b:Publisher>Trafford Press</b:Publisher>
    <b:BookTitle>Price and Prodcutivty Measurement</b:BookTitle>
    <b:Pages>41-66</b:Pages>
    <b:Author>
      <b:Author>
        <b:NameList>
          <b:Person>
            <b:Last>Diewert</b:Last>
            <b:Middle>W</b:Middle>
            <b:First>E</b:First>
          </b:Person>
          <b:Person>
            <b:Last>Fox</b:Last>
            <b:Middle>J</b:Middle>
            <b:First>K</b:First>
          </b:Person>
        </b:NameList>
      </b:Author>
      <b:BookAuthor>
        <b:NameList>
          <b:Person>
            <b:Last>Diewert</b:Last>
            <b:Middle>E</b:Middle>
            <b:First>W </b:First>
          </b:Person>
          <b:Person>
            <b:Last>Balk</b:Last>
            <b:Middle>M</b:Middle>
            <b:First>B</b:First>
          </b:Person>
          <b:Person>
            <b:Last>Fixler</b:Last>
            <b:First>D</b:First>
          </b:Person>
          <b:Person>
            <b:Last>Fox</b:Last>
            <b:First>KJ</b:First>
          </b:Person>
          <b:Person>
            <b:Last>Nakamura</b:Last>
            <b:Middle>O</b:Middle>
            <b:First>A</b:First>
          </b:Person>
        </b:NameList>
      </b:BookAuthor>
    </b:Author>
    <b:RefOrder>3</b:RefOrder>
  </b:Source>
  <b:Source>
    <b:Tag>Die20</b:Tag>
    <b:SourceType>BookSection</b:SourceType>
    <b:Guid>{6603793C-DB07-4E3B-8D0B-4EDFF879A9E4}</b:Guid>
    <b:Title>What happens</b:Title>
    <b:BookTitle>Prodcutivty</b:BookTitle>
    <b:Year>2020</b:Year>
    <b:Pages>97-152</b:Pages>
    <b:Publisher>World Bank</b:Publisher>
    <b:Author>
      <b:Author>
        <b:NameList>
          <b:Person>
            <b:Last>Dieppe</b:Last>
            <b:First>A</b:First>
          </b:Person>
          <b:Person>
            <b:Last>Celik</b:Last>
            <b:First>SK</b:First>
          </b:Person>
          <b:Person>
            <b:Last>Okou</b:Last>
            <b:First>C</b:First>
          </b:Person>
        </b:NameList>
      </b:Author>
      <b:BookAuthor>
        <b:NameList>
          <b:Person>
            <b:Last>Dieppe</b:Last>
            <b:First>A</b:First>
          </b:Person>
        </b:NameList>
      </b:BookAuthor>
    </b:Author>
    <b:RefOrder>4</b:RefOrder>
  </b:Source>
</b:Sourc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DC4A22D3BF504A48BAC8B43A79336DF4" ma:contentTypeVersion="38691" ma:contentTypeDescription="" ma:contentTypeScope="" ma:versionID="f65903902277c102230c556fcc470fff">
  <xsd:schema xmlns:xsd="http://www.w3.org/2001/XMLSchema" xmlns:xs="http://www.w3.org/2001/XMLSchema" xmlns:p="http://schemas.microsoft.com/office/2006/metadata/properties" xmlns:ns1="http://schemas.microsoft.com/sharepoint/v3" xmlns:ns2="0f563589-9cf9-4143-b1eb-fb0534803d38" xmlns:ns3="54bb81cf-96ba-41ce-8a26-ccbc5a57d34e" xmlns:ns4="a0641bfb-d00b-4a10-b356-7eeaff348906" xmlns:ns5="f0b8e850-5d6c-4fdf-aaa8-971c30da5c10" xmlns:ns6="http://schemas.microsoft.com/sharepoint/v4" targetNamespace="http://schemas.microsoft.com/office/2006/metadata/properties" ma:root="true" ma:fieldsID="14033113a0a4e33ac9cab9550c2d6962" ns1:_="" ns2:_="" ns3:_="" ns4:_="" ns5:_="" ns6:_="">
    <xsd:import namespace="http://schemas.microsoft.com/sharepoint/v3"/>
    <xsd:import namespace="0f563589-9cf9-4143-b1eb-fb0534803d38"/>
    <xsd:import namespace="54bb81cf-96ba-41ce-8a26-ccbc5a57d34e"/>
    <xsd:import namespace="a0641bfb-d00b-4a10-b356-7eeaff348906"/>
    <xsd:import namespace="f0b8e850-5d6c-4fdf-aaa8-971c30da5c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Population" minOccurs="0"/>
                <xsd:element ref="ns4:Participation" minOccurs="0"/>
                <xsd:element ref="ns4:Productivity_x0020_streams" minOccurs="0"/>
                <xsd:element ref="ns4:Fiscal_x0020_policy_x0020_streams" minOccurs="0"/>
                <xsd:element ref="ns4:Monetary_x0020_policy_x0020_streams" minOccurs="0"/>
                <xsd:element ref="ns4:Macro_x002d_financial_x0020_risk_x0020_streams" minOccurs="0"/>
                <xsd:element ref="ns5:ContentTypes" minOccurs="0"/>
                <xsd:element ref="ns5:WorkStreams" minOccurs="0"/>
                <xsd:element ref="ns4:Model_x0020_simulation_x0020_streams" minOccurs="0"/>
                <xsd:element ref="ns4:Model_x0020_development_x0020_streams" minOccurs="0"/>
                <xsd:element ref="ns6:IconOverlay" minOccurs="0"/>
                <xsd:element ref="ns4:Project_x0020_number" minOccurs="0"/>
                <xsd:element ref="ns4:Work_x0020_streams" minOccurs="0"/>
                <xsd:element ref="ns4:Content_x0020_types" minOccurs="0"/>
                <xsd:element ref="ns3:n748a1c17def4c93b413435c48ea6417" minOccurs="0"/>
                <xsd:element ref="ns4:MAPD_x0020_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1;#TSY RA-8870 - Destroy 10 years after action completed|3974f803-6497-49bd-88d6-c10b20320241"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32"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641bfb-d00b-4a10-b356-7eeaff348906" elementFormDefault="qualified">
    <xsd:import namespace="http://schemas.microsoft.com/office/2006/documentManagement/types"/>
    <xsd:import namespace="http://schemas.microsoft.com/office/infopath/2007/PartnerControls"/>
    <xsd:element name="Population" ma:index="16" nillable="true" ma:displayName="Population streams" ma:list="{626ce797-6a0f-4efc-92db-4b02c7dae518}" ma:internalName="Population" ma:showField="Title">
      <xsd:complexType>
        <xsd:complexContent>
          <xsd:extension base="dms:MultiChoiceLookup">
            <xsd:sequence>
              <xsd:element name="Value" type="dms:Lookup" maxOccurs="unbounded" minOccurs="0" nillable="true"/>
            </xsd:sequence>
          </xsd:extension>
        </xsd:complexContent>
      </xsd:complexType>
    </xsd:element>
    <xsd:element name="Participation" ma:index="17" nillable="true" ma:displayName="Participation streams" ma:list="{ea297aad-21fb-4814-bfb4-c1d165e238af}" ma:internalName="Participation" ma:showField="Title">
      <xsd:complexType>
        <xsd:complexContent>
          <xsd:extension base="dms:MultiChoiceLookup">
            <xsd:sequence>
              <xsd:element name="Value" type="dms:Lookup" maxOccurs="unbounded" minOccurs="0" nillable="true"/>
            </xsd:sequence>
          </xsd:extension>
        </xsd:complexContent>
      </xsd:complexType>
    </xsd:element>
    <xsd:element name="Productivity_x0020_streams" ma:index="18" nillable="true" ma:displayName="Productivity streams" ma:list="{559149e6-9ef6-42b6-869a-da44a1232927}" ma:internalName="Productivity_x0020_streams" ma:showField="Title">
      <xsd:complexType>
        <xsd:complexContent>
          <xsd:extension base="dms:MultiChoiceLookup">
            <xsd:sequence>
              <xsd:element name="Value" type="dms:Lookup" maxOccurs="unbounded" minOccurs="0" nillable="true"/>
            </xsd:sequence>
          </xsd:extension>
        </xsd:complexContent>
      </xsd:complexType>
    </xsd:element>
    <xsd:element name="Fiscal_x0020_policy_x0020_streams" ma:index="19" nillable="true" ma:displayName="Fiscal policy streams" ma:list="{3261a855-5808-4ced-8a1d-31d8e7e3e2f9}" ma:internalName="Fiscal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onetary_x0020_policy_x0020_streams" ma:index="20" nillable="true" ma:displayName="Monetary policy streams" ma:list="{e5f9ceb1-1dc5-4b38-b56c-a059627dfb53}" ma:internalName="Monetary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acro_x002d_financial_x0020_risk_x0020_streams" ma:index="21" nillable="true" ma:displayName="Macro-financial risk streams" ma:list="{0e047be6-86fe-42ab-a4e9-d2d4b793196f}" ma:internalName="Macro_x002d_financial_x0020_risk_x0020_streams" ma:showField="Title">
      <xsd:complexType>
        <xsd:complexContent>
          <xsd:extension base="dms:MultiChoiceLookup">
            <xsd:sequence>
              <xsd:element name="Value" type="dms:Lookup" maxOccurs="unbounded" minOccurs="0" nillable="true"/>
            </xsd:sequence>
          </xsd:extension>
        </xsd:complexContent>
      </xsd:complexType>
    </xsd:element>
    <xsd:element name="Model_x0020_simulation_x0020_streams" ma:index="24" nillable="true" ma:displayName="Model simulation streams" ma:list="{36332a20-ab24-4d4d-a40f-075860218e23}" ma:internalName="Model_x0020_simulation_x0020_streams" ma:showField="Title">
      <xsd:complexType>
        <xsd:complexContent>
          <xsd:extension base="dms:MultiChoiceLookup">
            <xsd:sequence>
              <xsd:element name="Value" type="dms:Lookup" maxOccurs="unbounded" minOccurs="0" nillable="true"/>
            </xsd:sequence>
          </xsd:extension>
        </xsd:complexContent>
      </xsd:complexType>
    </xsd:element>
    <xsd:element name="Model_x0020_development_x0020_streams" ma:index="25" nillable="true" ma:displayName="Model development streams" ma:internalName="Model_x0020_development_x0020_streams">
      <xsd:complexType>
        <xsd:complexContent>
          <xsd:extension base="dms:MultiChoice">
            <xsd:sequence>
              <xsd:element name="Value" maxOccurs="unbounded" minOccurs="0" nillable="true">
                <xsd:simpleType>
                  <xsd:restriction base="dms:Choice">
                    <xsd:enumeration value="G-cubed"/>
                    <xsd:enumeration value="IECGE"/>
                    <xsd:enumeration value="GIMF"/>
                    <xsd:enumeration value="GVAR"/>
                    <xsd:enumeration value="Overlapping Generations"/>
                    <xsd:enumeration value="Dynamic general equilibrium"/>
                    <xsd:enumeration value="Single equation"/>
                    <xsd:enumeration value="VAR"/>
                    <xsd:enumeration value="Forecast/projection model"/>
                    <xsd:enumeration value="Government spending"/>
                    <xsd:enumeration value="Dr Chung Tran training course 2016"/>
                    <xsd:enumeration value="International modelling"/>
                    <xsd:enumeration value="HILDA"/>
                    <xsd:enumeration value="TIM energy module"/>
                  </xsd:restriction>
                </xsd:simpleType>
              </xsd:element>
            </xsd:sequence>
          </xsd:extension>
        </xsd:complexContent>
      </xsd:complexType>
    </xsd:element>
    <xsd:element name="Project_x0020_number" ma:index="28" nillable="true" ma:displayName="Project number" ma:list="{b58c7af6-9285-4f5e-9df2-dfb3963c4ce7}" ma:internalName="Project_x0020_number" ma:showField="Project_x0020_number">
      <xsd:simpleType>
        <xsd:restriction base="dms:Lookup"/>
      </xsd:simpleType>
    </xsd:element>
    <xsd:element name="Work_x0020_streams" ma:index="29" nillable="true" ma:displayName="Work streams" ma:hidden="true" ma:list="{504b9a15-e5a5-47ba-acbd-a5ca5b65581d}" ma:internalName="Work_x0020_streams" ma:showField="Title">
      <xsd:complexType>
        <xsd:complexContent>
          <xsd:extension base="dms:MultiChoiceLookup">
            <xsd:sequence>
              <xsd:element name="Value" type="dms:Lookup" maxOccurs="unbounded" minOccurs="0" nillable="true"/>
            </xsd:sequence>
          </xsd:extension>
        </xsd:complexContent>
      </xsd:complexType>
    </xsd:element>
    <xsd:element name="Content_x0020_types" ma:index="30" nillable="true" ma:displayName="Content types" ma:hidden="true" ma:list="{4f224bbf-b44e-4c30-b732-17c4320ce6cc}" ma:internalName="Content_x0020_types" ma:showField="Title">
      <xsd:simpleType>
        <xsd:restriction base="dms:Lookup"/>
      </xsd:simpleType>
    </xsd:element>
    <xsd:element name="MAPD_x0020_Topics" ma:index="33" nillable="true" ma:displayName="MAPD Topics" ma:list="{4133abcd-5c1f-446f-acdf-d761c30560bd}" ma:internalName="MAPD_x0020_Topic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b8e850-5d6c-4fdf-aaa8-971c30da5c10" elementFormDefault="qualified">
    <xsd:import namespace="http://schemas.microsoft.com/office/2006/documentManagement/types"/>
    <xsd:import namespace="http://schemas.microsoft.com/office/infopath/2007/PartnerControls"/>
    <xsd:element name="ContentTypes" ma:index="22" nillable="true" ma:displayName="ContentTypes" ma:list="{4f224bbf-b44e-4c30-b732-17c4320ce6cc}" ma:internalName="ContentTypes" ma:showField="Title" ma:web="f0b8e850-5d6c-4fdf-aaa8-971c30da5c10">
      <xsd:simpleType>
        <xsd:restriction base="dms:Lookup"/>
      </xsd:simpleType>
    </xsd:element>
    <xsd:element name="WorkStreams" ma:index="23" nillable="true" ma:displayName="WorkStreams" ma:list="{504b9a15-e5a5-47ba-acbd-a5ca5b65581d}" ma:internalName="WorkStreams" ma:showField="Title" ma:web="f0b8e850-5d6c-4fdf-aaa8-971c30da5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1C9F0B8-95B2-44F7-81ED-C265961DF9B3}">
  <ds:schemaRefs>
    <ds:schemaRef ds:uri="http://schemas.microsoft.com/office/2006/metadata/properties"/>
    <ds:schemaRef ds:uri="http://schemas.microsoft.com/office/infopath/2007/PartnerControls"/>
    <ds:schemaRef ds:uri="0f563589-9cf9-4143-b1eb-fb0534803d38"/>
    <ds:schemaRef ds:uri="54bb81cf-96ba-41ce-8a26-ccbc5a57d34e"/>
    <ds:schemaRef ds:uri="http://schemas.microsoft.com/sharepoint/v4"/>
    <ds:schemaRef ds:uri="f0b8e850-5d6c-4fdf-aaa8-971c30da5c10"/>
    <ds:schemaRef ds:uri="a0641bfb-d00b-4a10-b356-7eeaff348906"/>
  </ds:schemaRefs>
</ds:datastoreItem>
</file>

<file path=customXml/itemProps2.xml><?xml version="1.0" encoding="utf-8"?>
<ds:datastoreItem xmlns:ds="http://schemas.openxmlformats.org/officeDocument/2006/customXml" ds:itemID="{DD749642-5BDD-45B6-911E-D73E70C9D38D}">
  <ds:schemaRefs>
    <ds:schemaRef ds:uri="http://schemas.microsoft.com/sharepoint/v3/contenttype/forms"/>
  </ds:schemaRefs>
</ds:datastoreItem>
</file>

<file path=customXml/itemProps3.xml><?xml version="1.0" encoding="utf-8"?>
<ds:datastoreItem xmlns:ds="http://schemas.openxmlformats.org/officeDocument/2006/customXml" ds:itemID="{1470FBC6-DC04-45CF-9ED8-3A574819393F}">
  <ds:schemaRefs>
    <ds:schemaRef ds:uri="http://schemas.openxmlformats.org/officeDocument/2006/bibliography"/>
  </ds:schemaRefs>
</ds:datastoreItem>
</file>

<file path=customXml/itemProps4.xml><?xml version="1.0" encoding="utf-8"?>
<ds:datastoreItem xmlns:ds="http://schemas.openxmlformats.org/officeDocument/2006/customXml" ds:itemID="{F3119890-54BB-4BDA-B953-067A8A7FA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a0641bfb-d00b-4a10-b356-7eeaff348906"/>
    <ds:schemaRef ds:uri="f0b8e850-5d6c-4fdf-aaa8-971c30da5c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07728-8CCC-48DA-9E87-B668D1FD91D3}">
  <ds:schemaRefs>
    <ds:schemaRef ds:uri="office.server.policy"/>
  </ds:schemaRefs>
</ds:datastoreItem>
</file>

<file path=customXml/itemProps6.xml><?xml version="1.0" encoding="utf-8"?>
<ds:datastoreItem xmlns:ds="http://schemas.openxmlformats.org/officeDocument/2006/customXml" ds:itemID="{52E68247-9BB4-4F7C-B7B8-5FAE131FE1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17</TotalTime>
  <Pages>46</Pages>
  <Words>15070</Words>
  <Characters>83187</Characters>
  <Application>Microsoft Office Word</Application>
  <DocSecurity>0</DocSecurity>
  <Lines>1485</Lines>
  <Paragraphs>727</Paragraphs>
  <ScaleCrop>false</ScaleCrop>
  <HeadingPairs>
    <vt:vector size="2" baseType="variant">
      <vt:variant>
        <vt:lpstr>Title</vt:lpstr>
      </vt:variant>
      <vt:variant>
        <vt:i4>1</vt:i4>
      </vt:variant>
    </vt:vector>
  </HeadingPairs>
  <TitlesOfParts>
    <vt:vector size="1" baseType="lpstr">
      <vt:lpstr>Product Market Power and Its Implications for the Australian Economy - Treasury working paper</vt:lpstr>
    </vt:vector>
  </TitlesOfParts>
  <Company/>
  <LinksUpToDate>false</LinksUpToDate>
  <CharactersWithSpaces>97530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Market Power and Its Implications for the Australian Economy - Treasury working paper</dc:title>
  <dc:subject/>
  <dc:creator>The Treasury</dc:creator>
  <cp:lastModifiedBy>Smith, Matthew</cp:lastModifiedBy>
  <cp:revision>8</cp:revision>
  <cp:lastPrinted>2020-02-20T03:52:00Z</cp:lastPrinted>
  <dcterms:created xsi:type="dcterms:W3CDTF">2020-11-26T21:19:00Z</dcterms:created>
  <dcterms:modified xsi:type="dcterms:W3CDTF">2021-06-17T03:48:00Z</dcterms:modified>
</cp:coreProperties>
</file>