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CD3871">
        <w:tc>
          <w:tcPr>
            <w:tcW w:w="2122" w:type="dxa"/>
          </w:tcPr>
          <w:p w:rsidR="00FF0404" w:rsidRPr="0076070A" w:rsidRDefault="00FF0404">
            <w:pPr>
              <w:rPr>
                <w:b/>
              </w:rPr>
            </w:pPr>
            <w:bookmarkStart w:id="0" w:name="_GoBack"/>
            <w:r w:rsidRPr="0076070A">
              <w:rPr>
                <w:b/>
              </w:rPr>
              <w:t>Name</w:t>
            </w:r>
          </w:p>
        </w:tc>
        <w:tc>
          <w:tcPr>
            <w:tcW w:w="6894" w:type="dxa"/>
          </w:tcPr>
          <w:p w:rsidR="00FF0404" w:rsidRDefault="00F3508F">
            <w:r>
              <w:t>Anonymous</w:t>
            </w:r>
          </w:p>
        </w:tc>
      </w:tr>
      <w:tr w:rsidR="00FF0404" w:rsidTr="00CD3871">
        <w:tc>
          <w:tcPr>
            <w:tcW w:w="2122" w:type="dxa"/>
          </w:tcPr>
          <w:p w:rsidR="00FF0404" w:rsidRPr="0076070A" w:rsidRDefault="00FF0404">
            <w:pPr>
              <w:rPr>
                <w:b/>
              </w:rPr>
            </w:pPr>
          </w:p>
        </w:tc>
        <w:tc>
          <w:tcPr>
            <w:tcW w:w="6894" w:type="dxa"/>
          </w:tcPr>
          <w:p w:rsidR="00FF0404" w:rsidRDefault="00FF0404"/>
        </w:tc>
      </w:tr>
      <w:tr w:rsidR="00FF0404" w:rsidTr="00CD3871">
        <w:tc>
          <w:tcPr>
            <w:tcW w:w="2122" w:type="dxa"/>
          </w:tcPr>
          <w:p w:rsidR="00FF0404" w:rsidRPr="0076070A" w:rsidRDefault="00FF0404">
            <w:pPr>
              <w:rPr>
                <w:b/>
              </w:rPr>
            </w:pPr>
          </w:p>
        </w:tc>
        <w:tc>
          <w:tcPr>
            <w:tcW w:w="6894" w:type="dxa"/>
          </w:tcPr>
          <w:p w:rsidR="00FF0404" w:rsidRDefault="00FF0404"/>
        </w:tc>
      </w:tr>
      <w:tr w:rsidR="00FF0404" w:rsidTr="00CD3871">
        <w:tc>
          <w:tcPr>
            <w:tcW w:w="2122" w:type="dxa"/>
          </w:tcPr>
          <w:p w:rsidR="00FF0404" w:rsidRPr="0076070A" w:rsidRDefault="00FF0404">
            <w:pPr>
              <w:rPr>
                <w:b/>
              </w:rPr>
            </w:pPr>
          </w:p>
        </w:tc>
        <w:tc>
          <w:tcPr>
            <w:tcW w:w="6894" w:type="dxa"/>
          </w:tcPr>
          <w:p w:rsidR="00FF0404" w:rsidRDefault="00FF0404"/>
          <w:p w:rsidR="003F0D4B" w:rsidRDefault="003F0D4B"/>
          <w:p w:rsidR="003F0D4B" w:rsidRDefault="003F0D4B"/>
        </w:tc>
      </w:tr>
      <w:tr w:rsidR="00FF0404" w:rsidTr="00CD3871">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FF0404" w:rsidRDefault="00FF0404"/>
        </w:tc>
      </w:tr>
      <w:tr w:rsidR="00FF0404" w:rsidTr="00CD3871">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FF0404" w:rsidRDefault="00FF0404"/>
        </w:tc>
      </w:tr>
      <w:tr w:rsidR="00FF0404" w:rsidTr="00CD3871">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FF0404" w:rsidRDefault="00FF0404"/>
        </w:tc>
      </w:tr>
      <w:tr w:rsidR="00FF0404" w:rsidTr="00CD3871">
        <w:tc>
          <w:tcPr>
            <w:tcW w:w="9016" w:type="dxa"/>
            <w:gridSpan w:val="2"/>
          </w:tcPr>
          <w:p w:rsidR="00FF0404" w:rsidRPr="003F0D4B" w:rsidRDefault="00FF0404">
            <w:pPr>
              <w:rPr>
                <w:b/>
              </w:rPr>
            </w:pPr>
            <w:r w:rsidRPr="003F0D4B">
              <w:rPr>
                <w:b/>
              </w:rPr>
              <w:t>Problem 1.1: Disclosure can be hard to comprehend, critical information may be hidden in detail and some information is not provided in the disclosure document.</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Option 1.1.3: Simplified disclosure requirements. Require that a simplified disclosure document, which provides all materially relevant information needed to assess the franchise business, is provided to prospective franchisees</w:t>
            </w:r>
          </w:p>
          <w:p w:rsidR="003F0D4B" w:rsidRDefault="003F0D4B" w:rsidP="00FF0404"/>
        </w:tc>
      </w:tr>
      <w:tr w:rsidR="00FF0404" w:rsidTr="00CD3871">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3F0D4B" w:rsidRPr="00FF0404" w:rsidRDefault="003F0D4B"/>
        </w:tc>
      </w:tr>
      <w:tr w:rsidR="00FF0404" w:rsidTr="00CD3871">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FF0404" w:rsidTr="00CD3871">
        <w:tc>
          <w:tcPr>
            <w:tcW w:w="9016" w:type="dxa"/>
            <w:gridSpan w:val="2"/>
          </w:tcPr>
          <w:p w:rsidR="00FF0404" w:rsidRDefault="00FF0404">
            <w:r w:rsidRPr="00FF0404">
              <w:t>Option 1.2.2: Requiring franchisors to verify financial statements and introducing a national franchise register</w:t>
            </w:r>
          </w:p>
          <w:p w:rsidR="00C26190" w:rsidRDefault="00C26190" w:rsidP="00C26190">
            <w:pPr>
              <w:pStyle w:val="ListParagraph"/>
              <w:numPr>
                <w:ilvl w:val="0"/>
                <w:numId w:val="2"/>
              </w:numPr>
            </w:pPr>
            <w:r>
              <w:t>Franchisors would be required to include a statement about the accuracy of financial statements</w:t>
            </w:r>
          </w:p>
          <w:p w:rsidR="00C26190" w:rsidRDefault="00C26190" w:rsidP="00C26190">
            <w:pPr>
              <w:pStyle w:val="ListParagraph"/>
              <w:numPr>
                <w:ilvl w:val="0"/>
                <w:numId w:val="2"/>
              </w:numPr>
            </w:pPr>
            <w:r>
              <w:t>National franchise register</w:t>
            </w:r>
          </w:p>
          <w:p w:rsidR="00C26190" w:rsidRDefault="00C26190" w:rsidP="00C26190">
            <w:pPr>
              <w:pStyle w:val="ListParagraph"/>
              <w:numPr>
                <w:ilvl w:val="0"/>
                <w:numId w:val="2"/>
              </w:numPr>
            </w:pPr>
            <w:r>
              <w:t>Third party brokers</w:t>
            </w:r>
          </w:p>
          <w:p w:rsidR="003F0D4B" w:rsidRDefault="003F0D4B" w:rsidP="00B76ED9"/>
        </w:tc>
      </w:tr>
      <w:tr w:rsidR="00C26190" w:rsidTr="00CD3871">
        <w:tc>
          <w:tcPr>
            <w:tcW w:w="9016" w:type="dxa"/>
            <w:gridSpan w:val="2"/>
          </w:tcPr>
          <w:p w:rsidR="00C26190" w:rsidRPr="003F0D4B" w:rsidRDefault="00C26190" w:rsidP="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C26190"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C26190" w:rsidRPr="00C26190" w:rsidRDefault="00C26190" w:rsidP="00FF0404"/>
        </w:tc>
      </w:tr>
      <w:tr w:rsidR="00FF0404" w:rsidTr="00CD3871">
        <w:tc>
          <w:tcPr>
            <w:tcW w:w="9016" w:type="dxa"/>
            <w:gridSpan w:val="2"/>
          </w:tcPr>
          <w:p w:rsidR="00FF0404" w:rsidRPr="003F0D4B" w:rsidRDefault="00C26190">
            <w:pPr>
              <w:rPr>
                <w:b/>
              </w:rPr>
            </w:pPr>
            <w:r w:rsidRPr="003F0D4B">
              <w:rPr>
                <w:b/>
              </w:rPr>
              <w:t>Problem 1.3: Information gaps – a potential franchisee might be unaware of which types of information are materially relevant to inform their decision to enter an agreement.</w:t>
            </w:r>
          </w:p>
        </w:tc>
      </w:tr>
      <w:tr w:rsidR="00B76ED9" w:rsidTr="00CD3871">
        <w:tc>
          <w:tcPr>
            <w:tcW w:w="9016" w:type="dxa"/>
            <w:gridSpan w:val="2"/>
          </w:tcPr>
          <w:p w:rsidR="00B76ED9" w:rsidRPr="003F0D4B" w:rsidRDefault="00B76ED9">
            <w:pPr>
              <w:rPr>
                <w:b/>
              </w:rPr>
            </w:pPr>
          </w:p>
        </w:tc>
      </w:tr>
      <w:tr w:rsidR="00FF0404" w:rsidTr="00CD3871">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FF0404" w:rsidRDefault="00FF0404"/>
        </w:tc>
      </w:tr>
      <w:tr w:rsidR="00FF0404" w:rsidTr="00CD3871">
        <w:tc>
          <w:tcPr>
            <w:tcW w:w="9016" w:type="dxa"/>
            <w:gridSpan w:val="2"/>
          </w:tcPr>
          <w:p w:rsidR="00FF0404" w:rsidRPr="003F0D4B" w:rsidRDefault="00C26190">
            <w:pPr>
              <w:rPr>
                <w:b/>
              </w:rPr>
            </w:pPr>
            <w:r w:rsidRPr="003F0D4B">
              <w:rPr>
                <w:b/>
              </w:rPr>
              <w:lastRenderedPageBreak/>
              <w:t>4. What are the practical implications (costs and benefits) for prospective franchisees and franchisors of increasing cooling off or disclosure periods?</w:t>
            </w:r>
          </w:p>
        </w:tc>
      </w:tr>
      <w:tr w:rsidR="00FF0404" w:rsidTr="00CD3871">
        <w:trPr>
          <w:trHeight w:val="339"/>
        </w:trPr>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FF0404" w:rsidRDefault="00FF0404"/>
        </w:tc>
      </w:tr>
      <w:tr w:rsidR="00FF0404" w:rsidTr="00CD3871">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FF0404" w:rsidRDefault="00FF0404"/>
        </w:tc>
      </w:tr>
      <w:tr w:rsidR="00FF0404" w:rsidTr="00CD3871">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FF0404" w:rsidRDefault="00FF0404"/>
        </w:tc>
      </w:tr>
      <w:tr w:rsidR="00FF0404" w:rsidTr="00CD3871">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Option 2.1.3: Amend the code to extend the disclosure period to 21 days, with the ability to waive part or all of this period with written agreement of both parties</w:t>
            </w:r>
          </w:p>
          <w:p w:rsidR="003F0D4B" w:rsidRDefault="003F0D4B"/>
        </w:tc>
      </w:tr>
      <w:tr w:rsidR="00FF0404" w:rsidTr="00CD3871">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FF0404" w:rsidRDefault="00FF0404"/>
        </w:tc>
      </w:tr>
      <w:tr w:rsidR="00FF0404" w:rsidTr="00CD3871">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Option 2.2.2: Extend cooling off periods, transparency, and termination rights in relation to leases</w:t>
            </w:r>
          </w:p>
          <w:p w:rsidR="003F0D4B" w:rsidRDefault="003F0D4B"/>
        </w:tc>
      </w:tr>
      <w:tr w:rsidR="00FF0404" w:rsidTr="00CD3871">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FF0404" w:rsidRDefault="00FF0404"/>
        </w:tc>
      </w:tr>
      <w:tr w:rsidR="00FF0404" w:rsidTr="00CD3871">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Option 2.3.2: Extend cooling off to transfers, extensions and renewals</w:t>
            </w:r>
          </w:p>
          <w:p w:rsidR="003F0D4B" w:rsidRDefault="003F0D4B"/>
        </w:tc>
      </w:tr>
      <w:tr w:rsidR="00FF0404" w:rsidTr="00CD3871">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FF0404" w:rsidRDefault="00FF0404"/>
        </w:tc>
      </w:tr>
      <w:tr w:rsidR="00FF0404" w:rsidTr="00CD3871">
        <w:tc>
          <w:tcPr>
            <w:tcW w:w="9016" w:type="dxa"/>
            <w:gridSpan w:val="2"/>
          </w:tcPr>
          <w:p w:rsidR="00FF0404" w:rsidRPr="003F0D4B" w:rsidRDefault="00A01DF3">
            <w:pPr>
              <w:rPr>
                <w:b/>
              </w:rPr>
            </w:pPr>
            <w:r w:rsidRPr="003F0D4B">
              <w:rPr>
                <w:b/>
              </w:rPr>
              <w:t>7. What would ‘meaningful information’ look like in terms of marketing fund disclosure?</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FF0404" w:rsidRDefault="00FF0404"/>
        </w:tc>
      </w:tr>
      <w:tr w:rsidR="00FF0404" w:rsidTr="00CD3871">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FF0404" w:rsidRDefault="00FF0404"/>
        </w:tc>
      </w:tr>
      <w:tr w:rsidR="00FF0404" w:rsidTr="00CD3871">
        <w:tc>
          <w:tcPr>
            <w:tcW w:w="9016" w:type="dxa"/>
            <w:gridSpan w:val="2"/>
          </w:tcPr>
          <w:p w:rsidR="00FF0404" w:rsidRPr="003F0D4B" w:rsidRDefault="00A01DF3" w:rsidP="00A01DF3">
            <w:pPr>
              <w:rPr>
                <w:b/>
              </w:rPr>
            </w:pPr>
            <w:r w:rsidRPr="003F0D4B">
              <w:rPr>
                <w:b/>
              </w:rPr>
              <w:t>Problem 3.1 Marketing funds are not always transparent</w:t>
            </w:r>
          </w:p>
        </w:tc>
      </w:tr>
      <w:tr w:rsidR="00FF0404" w:rsidTr="00CD3871">
        <w:tc>
          <w:tcPr>
            <w:tcW w:w="9016" w:type="dxa"/>
            <w:gridSpan w:val="2"/>
          </w:tcPr>
          <w:p w:rsidR="00A01DF3" w:rsidRDefault="00A01DF3">
            <w:r w:rsidRPr="00A01DF3">
              <w:t>Option 3.1.2: Address inconsistency in the Franchising Code on the treatment of marketing funds and increase reporting standards</w:t>
            </w:r>
          </w:p>
          <w:p w:rsidR="00A01DF3" w:rsidRDefault="00A01DF3" w:rsidP="00A01DF3">
            <w:pPr>
              <w:pStyle w:val="ListParagraph"/>
              <w:numPr>
                <w:ilvl w:val="0"/>
                <w:numId w:val="3"/>
              </w:numPr>
            </w:pPr>
            <w:r w:rsidRPr="00A01DF3">
              <w:lastRenderedPageBreak/>
              <w:t>Improve consistency within the Franchising Code about the treatment of marketing funds,</w:t>
            </w:r>
            <w:r>
              <w:t xml:space="preserve"> particularly clauses 15 and 31</w:t>
            </w:r>
          </w:p>
          <w:p w:rsidR="00A01DF3" w:rsidRDefault="00A01DF3" w:rsidP="00A01DF3">
            <w:pPr>
              <w:pStyle w:val="ListParagraph"/>
              <w:numPr>
                <w:ilvl w:val="0"/>
                <w:numId w:val="3"/>
              </w:numPr>
            </w:pPr>
            <w:r w:rsidRPr="00A01DF3">
              <w:t>Introduce civil pecuniary pena</w:t>
            </w:r>
            <w:r>
              <w:t>lties for a breach of clause 31</w:t>
            </w:r>
          </w:p>
          <w:p w:rsidR="00A01DF3" w:rsidRDefault="00A01DF3" w:rsidP="00A01DF3">
            <w:pPr>
              <w:pStyle w:val="ListParagraph"/>
              <w:numPr>
                <w:ilvl w:val="0"/>
                <w:numId w:val="3"/>
              </w:numPr>
            </w:pPr>
            <w:r w:rsidRPr="00A01DF3">
              <w:t>Increase the frequency and standards of reporting of marketing funds</w:t>
            </w:r>
          </w:p>
          <w:p w:rsidR="00A01DF3" w:rsidRDefault="00A01DF3" w:rsidP="00A01DF3">
            <w:pPr>
              <w:pStyle w:val="ListParagraph"/>
              <w:numPr>
                <w:ilvl w:val="0"/>
                <w:numId w:val="3"/>
              </w:numPr>
            </w:pPr>
            <w:r w:rsidRPr="00A01DF3">
              <w:t>Require master franchisors to meet requirements of marketing funds</w:t>
            </w:r>
          </w:p>
          <w:p w:rsidR="00A01DF3" w:rsidRDefault="00A01DF3" w:rsidP="00A01DF3">
            <w:pPr>
              <w:pStyle w:val="ListParagraph"/>
              <w:numPr>
                <w:ilvl w:val="0"/>
                <w:numId w:val="3"/>
              </w:numPr>
            </w:pPr>
            <w:r>
              <w:t>Clarify the distribution of marketing funds in the event of franchisor insolvency</w:t>
            </w:r>
          </w:p>
          <w:p w:rsidR="003F0D4B" w:rsidRDefault="003F0D4B" w:rsidP="00B76ED9"/>
        </w:tc>
      </w:tr>
      <w:tr w:rsidR="00FF0404" w:rsidTr="00CD3871">
        <w:tc>
          <w:tcPr>
            <w:tcW w:w="9016" w:type="dxa"/>
            <w:gridSpan w:val="2"/>
          </w:tcPr>
          <w:p w:rsidR="00FF0404" w:rsidRPr="003F0D4B" w:rsidRDefault="00A01DF3">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FF0404" w:rsidRDefault="00FF0404"/>
        </w:tc>
      </w:tr>
      <w:tr w:rsidR="00FF0404" w:rsidTr="00CD3871">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FF0404" w:rsidRDefault="00FF0404"/>
        </w:tc>
      </w:tr>
      <w:tr w:rsidR="00FF0404" w:rsidTr="00CD3871">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FF0404" w:rsidRDefault="00FF0404"/>
        </w:tc>
      </w:tr>
      <w:tr w:rsidR="00FF0404" w:rsidTr="00CD3871">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EE5CDA" w:rsidRPr="007D2442" w:rsidRDefault="00EE5CDA"/>
        </w:tc>
      </w:tr>
      <w:tr w:rsidR="00EE5CDA" w:rsidTr="00CD3871">
        <w:tc>
          <w:tcPr>
            <w:tcW w:w="9016" w:type="dxa"/>
            <w:gridSpan w:val="2"/>
          </w:tcPr>
          <w:p w:rsidR="00EE5CDA" w:rsidRPr="003F0D4B" w:rsidRDefault="00EE5CDA">
            <w:pPr>
              <w:rPr>
                <w:b/>
              </w:rPr>
            </w:pPr>
            <w:r w:rsidRPr="003F0D4B">
              <w:rPr>
                <w:b/>
              </w:rPr>
              <w:t>Problem 4.1 Supplier rebates can lead to conflicts of interest</w:t>
            </w:r>
          </w:p>
        </w:tc>
      </w:tr>
      <w:tr w:rsidR="00EE5CDA" w:rsidTr="00CD3871">
        <w:tc>
          <w:tcPr>
            <w:tcW w:w="9016" w:type="dxa"/>
            <w:gridSpan w:val="2"/>
          </w:tcPr>
          <w:p w:rsidR="00EE5CDA" w:rsidRDefault="00EE5CDA">
            <w:r w:rsidRPr="00EE5CDA">
              <w:t>Option 4.1.2: Address conflicts of interest in the handling of supplier rebates to franchisors by requiring increased disclosure</w:t>
            </w:r>
          </w:p>
          <w:p w:rsidR="00EE5CDA" w:rsidRDefault="00EE5CDA">
            <w:r w:rsidRPr="00EE5CDA">
              <w:t>Option 4.1.3: Prohibition of supplier rebates in circumstances where franchisor specifies maximum franchisee sale prices</w:t>
            </w:r>
          </w:p>
          <w:p w:rsidR="003F0D4B" w:rsidRPr="007D2442" w:rsidRDefault="003F0D4B"/>
        </w:tc>
      </w:tr>
      <w:tr w:rsidR="00EE5CDA" w:rsidTr="00CD3871">
        <w:tc>
          <w:tcPr>
            <w:tcW w:w="9016" w:type="dxa"/>
            <w:gridSpan w:val="2"/>
          </w:tcPr>
          <w:p w:rsidR="00EE5CDA" w:rsidRPr="003F0D4B" w:rsidRDefault="00EE5CDA">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Pr="007D2442" w:rsidRDefault="00B76ED9" w:rsidP="00B76ED9"/>
        </w:tc>
      </w:tr>
      <w:tr w:rsidR="00B76ED9" w:rsidTr="00CD3871">
        <w:tc>
          <w:tcPr>
            <w:tcW w:w="9016" w:type="dxa"/>
            <w:gridSpan w:val="2"/>
          </w:tcPr>
          <w:p w:rsidR="00B76ED9" w:rsidRPr="003F0D4B" w:rsidRDefault="00B76ED9" w:rsidP="00B76ED9">
            <w:pPr>
              <w:rPr>
                <w:b/>
              </w:rPr>
            </w:pPr>
            <w:r w:rsidRPr="003F0D4B">
              <w:rPr>
                <w:b/>
              </w:rPr>
              <w:t>Problem 4.2 Conflicts of interest in the context of capital expenditure</w:t>
            </w:r>
          </w:p>
        </w:tc>
      </w:tr>
      <w:tr w:rsidR="00B76ED9" w:rsidTr="00CD3871">
        <w:tc>
          <w:tcPr>
            <w:tcW w:w="9016" w:type="dxa"/>
            <w:gridSpan w:val="2"/>
          </w:tcPr>
          <w:p w:rsidR="00B76ED9" w:rsidRPr="003F0D4B" w:rsidRDefault="00B76ED9" w:rsidP="00B76ED9">
            <w:r w:rsidRPr="003F0D4B">
              <w:t>Option 4.2.2: Modify the Code to define significant capital expenditure and provide rights for franchisees to recoup the value of significant capital expenditure</w:t>
            </w:r>
          </w:p>
          <w:p w:rsidR="00B76ED9" w:rsidRDefault="00B76ED9" w:rsidP="00B76ED9">
            <w:r w:rsidRPr="003F0D4B">
              <w:t>Option 4.2.3: Clarify franchisee rights when significant capital expenditure is required</w:t>
            </w:r>
          </w:p>
          <w:p w:rsidR="00B76ED9" w:rsidRPr="003F0D4B" w:rsidRDefault="00B76ED9" w:rsidP="00B76ED9"/>
        </w:tc>
      </w:tr>
      <w:tr w:rsidR="00B76ED9" w:rsidTr="00CD3871">
        <w:tc>
          <w:tcPr>
            <w:tcW w:w="9016" w:type="dxa"/>
            <w:gridSpan w:val="2"/>
          </w:tcPr>
          <w:p w:rsidR="00B76ED9" w:rsidRPr="003F0D4B" w:rsidRDefault="00B76ED9" w:rsidP="00B76ED9">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Pr="007D2442" w:rsidRDefault="00B76ED9" w:rsidP="00B76ED9"/>
        </w:tc>
      </w:tr>
      <w:tr w:rsidR="00B76ED9" w:rsidTr="00CD3871">
        <w:tc>
          <w:tcPr>
            <w:tcW w:w="9016" w:type="dxa"/>
            <w:gridSpan w:val="2"/>
          </w:tcPr>
          <w:p w:rsidR="00B76ED9" w:rsidRPr="003F0D4B" w:rsidRDefault="00B76ED9" w:rsidP="00B76ED9">
            <w:pPr>
              <w:rPr>
                <w:b/>
              </w:rPr>
            </w:pPr>
            <w:r w:rsidRPr="003F0D4B">
              <w:rPr>
                <w:b/>
              </w:rPr>
              <w:t>Problem 4.3 Unilateral variations can lead to conflicts of interest and exploitation</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Option 4.3.2: Banning or limiting the circumstances in which franchisors can unilaterally vary franchise agreements</w:t>
            </w:r>
          </w:p>
          <w:p w:rsidR="00B76ED9" w:rsidRPr="007D2442" w:rsidRDefault="00B76ED9" w:rsidP="00B76ED9"/>
        </w:tc>
      </w:tr>
      <w:tr w:rsidR="00B76ED9" w:rsidTr="00CD3871">
        <w:tc>
          <w:tcPr>
            <w:tcW w:w="9016" w:type="dxa"/>
            <w:gridSpan w:val="2"/>
          </w:tcPr>
          <w:p w:rsidR="00B76ED9" w:rsidRPr="003F0D4B" w:rsidRDefault="00B76ED9" w:rsidP="00B76ED9">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Pr="007D2442" w:rsidRDefault="00B76ED9" w:rsidP="00B76ED9"/>
        </w:tc>
      </w:tr>
      <w:tr w:rsidR="00B76ED9" w:rsidTr="00CD3871">
        <w:tc>
          <w:tcPr>
            <w:tcW w:w="9016" w:type="dxa"/>
            <w:gridSpan w:val="2"/>
          </w:tcPr>
          <w:p w:rsidR="00B76ED9" w:rsidRPr="003F0D4B" w:rsidRDefault="00B76ED9" w:rsidP="00B76ED9">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Pr="007D2442" w:rsidRDefault="00B76ED9" w:rsidP="00B76ED9"/>
        </w:tc>
      </w:tr>
      <w:tr w:rsidR="00B76ED9" w:rsidTr="00CD3871">
        <w:tc>
          <w:tcPr>
            <w:tcW w:w="9016" w:type="dxa"/>
            <w:gridSpan w:val="2"/>
          </w:tcPr>
          <w:p w:rsidR="00B76ED9" w:rsidRPr="003F0D4B" w:rsidRDefault="00B76ED9" w:rsidP="00B76ED9">
            <w:pPr>
              <w:rPr>
                <w:b/>
              </w:rPr>
            </w:pPr>
            <w:r w:rsidRPr="003F0D4B">
              <w:rPr>
                <w:b/>
              </w:rPr>
              <w:t>13. Would you consider including arbitration to resolve disputes in your franchising agreement, if a clear voluntary option were provided?</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Pr="007D2442" w:rsidRDefault="00B76ED9" w:rsidP="00B76ED9"/>
        </w:tc>
      </w:tr>
      <w:tr w:rsidR="00B76ED9" w:rsidTr="00CD3871">
        <w:tc>
          <w:tcPr>
            <w:tcW w:w="9016" w:type="dxa"/>
            <w:gridSpan w:val="2"/>
          </w:tcPr>
          <w:p w:rsidR="00B76ED9" w:rsidRPr="003F0D4B" w:rsidRDefault="00B76ED9" w:rsidP="00B76ED9">
            <w:pPr>
              <w:rPr>
                <w:b/>
              </w:rPr>
            </w:pPr>
            <w:r w:rsidRPr="003F0D4B">
              <w:rPr>
                <w:b/>
              </w:rPr>
              <w:t>Problem 5.1: Some disputes are not being resolved in a fair, timely and cost effective manner.</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Option 5.1.3: Clarify the complaint handling procedure requirements in the Franchising Code, to require dispute resolution processes be included in franchise agreements. Provide best practice guides for these processes (including options and timeframes)</w:t>
            </w:r>
          </w:p>
          <w:p w:rsidR="00B76ED9" w:rsidRPr="002A69D5" w:rsidRDefault="00B76ED9" w:rsidP="00B76ED9"/>
        </w:tc>
      </w:tr>
      <w:tr w:rsidR="00B76ED9" w:rsidTr="00CD3871">
        <w:tc>
          <w:tcPr>
            <w:tcW w:w="9016" w:type="dxa"/>
            <w:gridSpan w:val="2"/>
          </w:tcPr>
          <w:p w:rsidR="00B76ED9" w:rsidRPr="003F0D4B" w:rsidRDefault="00B76ED9" w:rsidP="00B76ED9">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Pr="002A69D5" w:rsidRDefault="00B76ED9" w:rsidP="00B76ED9"/>
        </w:tc>
      </w:tr>
      <w:tr w:rsidR="00B76ED9" w:rsidTr="00CD3871">
        <w:tc>
          <w:tcPr>
            <w:tcW w:w="9016" w:type="dxa"/>
            <w:gridSpan w:val="2"/>
          </w:tcPr>
          <w:p w:rsidR="00B76ED9" w:rsidRPr="003F0D4B" w:rsidRDefault="00B76ED9" w:rsidP="00B76ED9">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Pr="002A69D5" w:rsidRDefault="00B76ED9" w:rsidP="00B76ED9"/>
        </w:tc>
      </w:tr>
      <w:tr w:rsidR="00B76ED9" w:rsidRPr="003F0D4B" w:rsidTr="00CD3871">
        <w:tc>
          <w:tcPr>
            <w:tcW w:w="9016" w:type="dxa"/>
            <w:gridSpan w:val="2"/>
          </w:tcPr>
          <w:p w:rsidR="00B76ED9" w:rsidRPr="003F0D4B" w:rsidRDefault="00B76ED9" w:rsidP="00B76ED9">
            <w:pPr>
              <w:rPr>
                <w:b/>
              </w:rPr>
            </w:pPr>
            <w:r w:rsidRPr="003F0D4B">
              <w:rPr>
                <w:b/>
              </w:rPr>
              <w:t>15. If goodwill was required to be fully clarified in the franchise agreement, how might this be done in practice? What would be the costs and benefits of this approach?</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Pr="002A69D5" w:rsidRDefault="00B76ED9" w:rsidP="00B76ED9"/>
        </w:tc>
      </w:tr>
      <w:tr w:rsidR="00B76ED9" w:rsidTr="00CD3871">
        <w:tc>
          <w:tcPr>
            <w:tcW w:w="9016" w:type="dxa"/>
            <w:gridSpan w:val="2"/>
          </w:tcPr>
          <w:p w:rsidR="00B76ED9" w:rsidRPr="003F0D4B" w:rsidRDefault="00B76ED9" w:rsidP="00B76ED9">
            <w:pPr>
              <w:rPr>
                <w:b/>
              </w:rPr>
            </w:pPr>
            <w:r w:rsidRPr="003F0D4B">
              <w:rPr>
                <w:b/>
              </w:rPr>
              <w:t>Problem 6.1 Reasonable exit arrangements may not be, or may not be perceived to be, available or accessible for some franchisees</w:t>
            </w:r>
          </w:p>
        </w:tc>
      </w:tr>
      <w:tr w:rsidR="00B76ED9" w:rsidTr="00CD3871">
        <w:tc>
          <w:tcPr>
            <w:tcW w:w="9016" w:type="dxa"/>
            <w:gridSpan w:val="2"/>
          </w:tcPr>
          <w:p w:rsidR="00B76ED9" w:rsidRDefault="00B76ED9" w:rsidP="00B76ED9">
            <w:r>
              <w:t>)</w:t>
            </w:r>
          </w:p>
          <w:p w:rsidR="00B76ED9" w:rsidRDefault="00B76ED9" w:rsidP="00B76ED9">
            <w:r w:rsidRPr="000853F1">
              <w:t>Option 6.1.2: Limit termination in circumstances where the franchisee seeks mediation, and/or breaches have occurred for fraud or public health and safety reasons, and introduce statutory termination rights into the Franchising Code</w:t>
            </w:r>
          </w:p>
          <w:p w:rsidR="00B76ED9" w:rsidRDefault="00B76ED9" w:rsidP="00B76ED9">
            <w:pPr>
              <w:pStyle w:val="ListParagraph"/>
              <w:numPr>
                <w:ilvl w:val="0"/>
                <w:numId w:val="5"/>
              </w:numPr>
            </w:pPr>
            <w:r>
              <w:t>Additional requirements where the franchisor is terminating in special circumstances</w:t>
            </w:r>
          </w:p>
          <w:p w:rsidR="00B76ED9" w:rsidRDefault="00B76ED9" w:rsidP="00B76ED9">
            <w:pPr>
              <w:pStyle w:val="ListParagraph"/>
              <w:numPr>
                <w:ilvl w:val="0"/>
                <w:numId w:val="5"/>
              </w:numPr>
            </w:pPr>
            <w:r>
              <w:t>Provide statutory termination rights to franchisees</w:t>
            </w:r>
          </w:p>
          <w:p w:rsidR="00B76ED9" w:rsidRDefault="00B76ED9" w:rsidP="00B76ED9">
            <w:r w:rsidRPr="000853F1">
              <w:t>Option 6.1.3: Clarify the termination processes available to franchisees and support greater awareness of negotiation pathways</w:t>
            </w:r>
          </w:p>
          <w:p w:rsidR="00B76ED9" w:rsidRDefault="00B76ED9" w:rsidP="00B76ED9"/>
        </w:tc>
      </w:tr>
      <w:tr w:rsidR="00B76ED9" w:rsidTr="00CD3871">
        <w:tc>
          <w:tcPr>
            <w:tcW w:w="9016" w:type="dxa"/>
            <w:gridSpan w:val="2"/>
          </w:tcPr>
          <w:p w:rsidR="00B76ED9" w:rsidRPr="003F0D4B" w:rsidRDefault="00B76ED9" w:rsidP="00B76ED9">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Default="00B76ED9" w:rsidP="00B76ED9"/>
        </w:tc>
      </w:tr>
      <w:tr w:rsidR="00B76ED9" w:rsidTr="00CD3871">
        <w:tc>
          <w:tcPr>
            <w:tcW w:w="9016" w:type="dxa"/>
            <w:gridSpan w:val="2"/>
          </w:tcPr>
          <w:p w:rsidR="00B76ED9" w:rsidRPr="003F0D4B" w:rsidRDefault="00B76ED9" w:rsidP="00B76ED9">
            <w:pPr>
              <w:rPr>
                <w:b/>
              </w:rPr>
            </w:pPr>
            <w:r w:rsidRPr="003F0D4B">
              <w:rPr>
                <w:b/>
              </w:rPr>
              <w:t>Problem 6.2 Excessive restraint of trade clauses may inhibit lawful pursuit of subsequent business interests</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lastRenderedPageBreak/>
              <w:t>Option 6.2.2: Amend franchising agreement requirements and clarify wording of Cl</w:t>
            </w:r>
            <w:r>
              <w:rPr>
                <w:rFonts w:ascii="Calibri" w:hAnsi="Calibri" w:cs="Calibri"/>
                <w:color w:val="000000"/>
              </w:rPr>
              <w:t xml:space="preserve">ause 23 of the Franchising </w:t>
            </w:r>
            <w:proofErr w:type="spellStart"/>
            <w:r>
              <w:rPr>
                <w:rFonts w:ascii="Calibri" w:hAnsi="Calibri" w:cs="Calibri"/>
                <w:color w:val="000000"/>
              </w:rPr>
              <w:t>Code</w:t>
            </w:r>
          </w:p>
          <w:p w:rsidR="00B76ED9" w:rsidRDefault="00B76ED9" w:rsidP="00B76ED9">
            <w:pPr>
              <w:rPr>
                <w:rFonts w:ascii="Calibri" w:hAnsi="Calibri" w:cs="Calibri"/>
                <w:color w:val="000000"/>
              </w:rPr>
            </w:pPr>
            <w:proofErr w:type="spellEnd"/>
            <w:r>
              <w:rPr>
                <w:rFonts w:ascii="Calibri" w:hAnsi="Calibri" w:cs="Calibri"/>
                <w:color w:val="000000"/>
              </w:rPr>
              <w:t>Option 6.2.3: Codify common law that restraints of trade should go no further than reasonable to protect legitimate interests</w:t>
            </w:r>
          </w:p>
          <w:p w:rsidR="00B76ED9" w:rsidRDefault="00B76ED9" w:rsidP="00B76ED9"/>
        </w:tc>
      </w:tr>
      <w:tr w:rsidR="00B76ED9" w:rsidTr="00CD3871">
        <w:tc>
          <w:tcPr>
            <w:tcW w:w="9016" w:type="dxa"/>
            <w:gridSpan w:val="2"/>
          </w:tcPr>
          <w:p w:rsidR="00B76ED9" w:rsidRPr="003F0D4B" w:rsidRDefault="00B76ED9" w:rsidP="00B76ED9">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Default="00B76ED9" w:rsidP="00B76ED9"/>
        </w:tc>
      </w:tr>
      <w:tr w:rsidR="00B76ED9" w:rsidTr="00CD3871">
        <w:tc>
          <w:tcPr>
            <w:tcW w:w="9016" w:type="dxa"/>
            <w:gridSpan w:val="2"/>
          </w:tcPr>
          <w:p w:rsidR="00B76ED9" w:rsidRPr="003F0D4B" w:rsidRDefault="00B76ED9" w:rsidP="00B76ED9">
            <w:pPr>
              <w:rPr>
                <w:b/>
              </w:rPr>
            </w:pPr>
            <w:r w:rsidRPr="003F0D4B">
              <w:rPr>
                <w:b/>
              </w:rPr>
              <w:t>Problem 6.3 There are different expectations around the treatment of goodwill in franchise arrangements</w:t>
            </w:r>
          </w:p>
        </w:tc>
      </w:tr>
      <w:tr w:rsidR="00B76ED9" w:rsidTr="00CD3871">
        <w:tc>
          <w:tcPr>
            <w:tcW w:w="9016" w:type="dxa"/>
            <w:gridSpan w:val="2"/>
          </w:tcPr>
          <w:p w:rsidR="00B76ED9" w:rsidRDefault="00B76ED9" w:rsidP="00B76ED9">
            <w:r w:rsidRPr="00531F43">
              <w:t xml:space="preserve">Option 6.3.2: Clarify the franchisees’ rights in regard to goodwill, if </w:t>
            </w:r>
            <w:r>
              <w:t>any, in the franchise agreement</w:t>
            </w:r>
          </w:p>
          <w:p w:rsidR="00B76ED9" w:rsidRDefault="00B76ED9" w:rsidP="00B76ED9">
            <w:r w:rsidRPr="00531F43">
              <w:t>Option 6.3.3: Increase awareness of how goodwill is handled in franchising</w:t>
            </w:r>
          </w:p>
          <w:p w:rsidR="00B76ED9" w:rsidRDefault="00B76ED9" w:rsidP="00B76ED9"/>
        </w:tc>
      </w:tr>
      <w:tr w:rsidR="00B76ED9" w:rsidTr="00CD3871">
        <w:tc>
          <w:tcPr>
            <w:tcW w:w="9016" w:type="dxa"/>
            <w:gridSpan w:val="2"/>
          </w:tcPr>
          <w:p w:rsidR="00B76ED9" w:rsidRPr="003F0D4B" w:rsidRDefault="00B76ED9" w:rsidP="00B76ED9">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Default="00B76ED9" w:rsidP="00B76ED9"/>
        </w:tc>
      </w:tr>
      <w:tr w:rsidR="00B76ED9" w:rsidTr="00CD3871">
        <w:tc>
          <w:tcPr>
            <w:tcW w:w="9016" w:type="dxa"/>
            <w:gridSpan w:val="2"/>
          </w:tcPr>
          <w:p w:rsidR="00B76ED9" w:rsidRPr="003F0D4B" w:rsidRDefault="00B76ED9" w:rsidP="00B76ED9">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Default="00B76ED9" w:rsidP="00B76ED9"/>
        </w:tc>
      </w:tr>
      <w:tr w:rsidR="00B76ED9" w:rsidTr="00CD3871">
        <w:tc>
          <w:tcPr>
            <w:tcW w:w="9016" w:type="dxa"/>
            <w:gridSpan w:val="2"/>
          </w:tcPr>
          <w:p w:rsidR="00B76ED9" w:rsidRPr="003F0D4B" w:rsidRDefault="00B76ED9" w:rsidP="00B76ED9">
            <w:pPr>
              <w:rPr>
                <w:b/>
              </w:rPr>
            </w:pPr>
            <w:r w:rsidRPr="003F0D4B">
              <w:rPr>
                <w:b/>
              </w:rPr>
              <w:t>17. What are the implications of repealing the Oil Code of Conduct and adding specific fuel retailing provisions to the Franchising Code?</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Default="00B76ED9" w:rsidP="00B76ED9"/>
        </w:tc>
      </w:tr>
      <w:tr w:rsidR="00B76ED9" w:rsidTr="00CD3871">
        <w:tc>
          <w:tcPr>
            <w:tcW w:w="9016" w:type="dxa"/>
            <w:gridSpan w:val="2"/>
          </w:tcPr>
          <w:p w:rsidR="00B76ED9" w:rsidRPr="003F0D4B" w:rsidRDefault="00B76ED9" w:rsidP="00B76ED9">
            <w:pPr>
              <w:rPr>
                <w:b/>
              </w:rPr>
            </w:pPr>
            <w:r w:rsidRPr="003F0D4B">
              <w:rPr>
                <w:b/>
              </w:rPr>
              <w:t>Problem 7.1: Some franchisors experience additional regulatory burden from having to comply with both the Franchising Code and the Oil Code</w:t>
            </w:r>
          </w:p>
        </w:tc>
      </w:tr>
      <w:tr w:rsidR="00B76ED9" w:rsidTr="00CD3871">
        <w:tc>
          <w:tcPr>
            <w:tcW w:w="9016" w:type="dxa"/>
            <w:gridSpan w:val="2"/>
          </w:tcPr>
          <w:p w:rsidR="00B76ED9" w:rsidRPr="003F0D4B" w:rsidRDefault="00B76ED9" w:rsidP="00B76ED9">
            <w:pPr>
              <w:rPr>
                <w:b/>
              </w:rPr>
            </w:pPr>
          </w:p>
        </w:tc>
      </w:tr>
      <w:tr w:rsidR="00B76ED9" w:rsidTr="00CD3871">
        <w:tc>
          <w:tcPr>
            <w:tcW w:w="9016" w:type="dxa"/>
            <w:gridSpan w:val="2"/>
          </w:tcPr>
          <w:p w:rsidR="00B76ED9" w:rsidRPr="003F0D4B" w:rsidRDefault="00B76ED9" w:rsidP="00B76ED9">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Default="00B76ED9" w:rsidP="00B76ED9"/>
        </w:tc>
      </w:tr>
      <w:tr w:rsidR="00B76ED9" w:rsidTr="00CD3871">
        <w:tc>
          <w:tcPr>
            <w:tcW w:w="9016" w:type="dxa"/>
            <w:gridSpan w:val="2"/>
          </w:tcPr>
          <w:p w:rsidR="00B76ED9" w:rsidRPr="003F0D4B" w:rsidRDefault="00B76ED9" w:rsidP="00B76ED9">
            <w:pPr>
              <w:rPr>
                <w:b/>
              </w:rPr>
            </w:pPr>
            <w:r w:rsidRPr="003F0D4B">
              <w:rPr>
                <w:b/>
              </w:rPr>
              <w:t>Problem 7.2: Compliance with the Franchising Code, Oil Code and where relevant the Competition and Consumer Act and the Australian Consumer Law, remains imperfect</w:t>
            </w:r>
          </w:p>
        </w:tc>
      </w:tr>
      <w:tr w:rsidR="00B76ED9" w:rsidTr="00CD3871">
        <w:tc>
          <w:tcPr>
            <w:tcW w:w="9016" w:type="dxa"/>
            <w:gridSpan w:val="2"/>
          </w:tcPr>
          <w:p w:rsidR="00B76ED9" w:rsidRDefault="00B76ED9" w:rsidP="00B76ED9"/>
        </w:tc>
      </w:tr>
      <w:tr w:rsidR="00B76ED9" w:rsidTr="00CD3871">
        <w:tc>
          <w:tcPr>
            <w:tcW w:w="9016" w:type="dxa"/>
            <w:gridSpan w:val="2"/>
          </w:tcPr>
          <w:p w:rsidR="00B76ED9" w:rsidRPr="003F0D4B" w:rsidRDefault="00B76ED9" w:rsidP="00B76ED9">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Default="00B76ED9" w:rsidP="00B76ED9"/>
        </w:tc>
      </w:tr>
      <w:tr w:rsidR="00B76ED9" w:rsidTr="00CD3871">
        <w:tc>
          <w:tcPr>
            <w:tcW w:w="9016" w:type="dxa"/>
            <w:gridSpan w:val="2"/>
          </w:tcPr>
          <w:p w:rsidR="00B76ED9" w:rsidRPr="003F0D4B" w:rsidRDefault="00B76ED9" w:rsidP="00B76ED9">
            <w:pPr>
              <w:rPr>
                <w:b/>
              </w:rPr>
            </w:pPr>
            <w:r w:rsidRPr="003F0D4B">
              <w:rPr>
                <w:b/>
              </w:rPr>
              <w:t>Are there any other comments you would like to make?</w:t>
            </w:r>
          </w:p>
        </w:tc>
      </w:tr>
      <w:tr w:rsidR="00B76ED9" w:rsidTr="00CD3871">
        <w:tc>
          <w:tcPr>
            <w:tcW w:w="9016" w:type="dxa"/>
            <w:gridSpan w:val="2"/>
          </w:tcPr>
          <w:p w:rsidR="00B76ED9" w:rsidRDefault="00B76ED9" w:rsidP="00B76ED9">
            <w:pPr>
              <w:rPr>
                <w:rFonts w:ascii="Calibri" w:hAnsi="Calibri" w:cs="Calibri"/>
                <w:color w:val="000000"/>
              </w:rPr>
            </w:pPr>
            <w:r>
              <w:rPr>
                <w:rFonts w:ascii="Calibri" w:hAnsi="Calibri" w:cs="Calibri"/>
                <w:color w:val="000000"/>
              </w:rPr>
              <w:t>I support the Response from the Australian Association Of Franchisee's (AAF)</w:t>
            </w:r>
          </w:p>
          <w:p w:rsidR="00B76ED9" w:rsidRDefault="00B76ED9" w:rsidP="00B76ED9"/>
        </w:tc>
      </w:tr>
      <w:bookmarkEnd w:id="0"/>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2A69D5"/>
    <w:rsid w:val="0035054F"/>
    <w:rsid w:val="003C5769"/>
    <w:rsid w:val="003F0D4B"/>
    <w:rsid w:val="00531F43"/>
    <w:rsid w:val="0076070A"/>
    <w:rsid w:val="007D2442"/>
    <w:rsid w:val="00837502"/>
    <w:rsid w:val="00A01DF3"/>
    <w:rsid w:val="00B76ED9"/>
    <w:rsid w:val="00C119E5"/>
    <w:rsid w:val="00C26190"/>
    <w:rsid w:val="00CB0D83"/>
    <w:rsid w:val="00CD3871"/>
    <w:rsid w:val="00EC5946"/>
    <w:rsid w:val="00EE4E2E"/>
    <w:rsid w:val="00EE5CDA"/>
    <w:rsid w:val="00F3508F"/>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926">
      <w:bodyDiv w:val="1"/>
      <w:marLeft w:val="0"/>
      <w:marRight w:val="0"/>
      <w:marTop w:val="0"/>
      <w:marBottom w:val="0"/>
      <w:divBdr>
        <w:top w:val="none" w:sz="0" w:space="0" w:color="auto"/>
        <w:left w:val="none" w:sz="0" w:space="0" w:color="auto"/>
        <w:bottom w:val="none" w:sz="0" w:space="0" w:color="auto"/>
        <w:right w:val="none" w:sz="0" w:space="0" w:color="auto"/>
      </w:divBdr>
    </w:div>
    <w:div w:id="63992979">
      <w:bodyDiv w:val="1"/>
      <w:marLeft w:val="0"/>
      <w:marRight w:val="0"/>
      <w:marTop w:val="0"/>
      <w:marBottom w:val="0"/>
      <w:divBdr>
        <w:top w:val="none" w:sz="0" w:space="0" w:color="auto"/>
        <w:left w:val="none" w:sz="0" w:space="0" w:color="auto"/>
        <w:bottom w:val="none" w:sz="0" w:space="0" w:color="auto"/>
        <w:right w:val="none" w:sz="0" w:space="0" w:color="auto"/>
      </w:divBdr>
    </w:div>
    <w:div w:id="131484303">
      <w:bodyDiv w:val="1"/>
      <w:marLeft w:val="0"/>
      <w:marRight w:val="0"/>
      <w:marTop w:val="0"/>
      <w:marBottom w:val="0"/>
      <w:divBdr>
        <w:top w:val="none" w:sz="0" w:space="0" w:color="auto"/>
        <w:left w:val="none" w:sz="0" w:space="0" w:color="auto"/>
        <w:bottom w:val="none" w:sz="0" w:space="0" w:color="auto"/>
        <w:right w:val="none" w:sz="0" w:space="0" w:color="auto"/>
      </w:divBdr>
    </w:div>
    <w:div w:id="289436659">
      <w:bodyDiv w:val="1"/>
      <w:marLeft w:val="0"/>
      <w:marRight w:val="0"/>
      <w:marTop w:val="0"/>
      <w:marBottom w:val="0"/>
      <w:divBdr>
        <w:top w:val="none" w:sz="0" w:space="0" w:color="auto"/>
        <w:left w:val="none" w:sz="0" w:space="0" w:color="auto"/>
        <w:bottom w:val="none" w:sz="0" w:space="0" w:color="auto"/>
        <w:right w:val="none" w:sz="0" w:space="0" w:color="auto"/>
      </w:divBdr>
    </w:div>
    <w:div w:id="430206931">
      <w:bodyDiv w:val="1"/>
      <w:marLeft w:val="0"/>
      <w:marRight w:val="0"/>
      <w:marTop w:val="0"/>
      <w:marBottom w:val="0"/>
      <w:divBdr>
        <w:top w:val="none" w:sz="0" w:space="0" w:color="auto"/>
        <w:left w:val="none" w:sz="0" w:space="0" w:color="auto"/>
        <w:bottom w:val="none" w:sz="0" w:space="0" w:color="auto"/>
        <w:right w:val="none" w:sz="0" w:space="0" w:color="auto"/>
      </w:divBdr>
    </w:div>
    <w:div w:id="446581289">
      <w:bodyDiv w:val="1"/>
      <w:marLeft w:val="0"/>
      <w:marRight w:val="0"/>
      <w:marTop w:val="0"/>
      <w:marBottom w:val="0"/>
      <w:divBdr>
        <w:top w:val="none" w:sz="0" w:space="0" w:color="auto"/>
        <w:left w:val="none" w:sz="0" w:space="0" w:color="auto"/>
        <w:bottom w:val="none" w:sz="0" w:space="0" w:color="auto"/>
        <w:right w:val="none" w:sz="0" w:space="0" w:color="auto"/>
      </w:divBdr>
    </w:div>
    <w:div w:id="463043159">
      <w:bodyDiv w:val="1"/>
      <w:marLeft w:val="0"/>
      <w:marRight w:val="0"/>
      <w:marTop w:val="0"/>
      <w:marBottom w:val="0"/>
      <w:divBdr>
        <w:top w:val="none" w:sz="0" w:space="0" w:color="auto"/>
        <w:left w:val="none" w:sz="0" w:space="0" w:color="auto"/>
        <w:bottom w:val="none" w:sz="0" w:space="0" w:color="auto"/>
        <w:right w:val="none" w:sz="0" w:space="0" w:color="auto"/>
      </w:divBdr>
    </w:div>
    <w:div w:id="493883806">
      <w:bodyDiv w:val="1"/>
      <w:marLeft w:val="0"/>
      <w:marRight w:val="0"/>
      <w:marTop w:val="0"/>
      <w:marBottom w:val="0"/>
      <w:divBdr>
        <w:top w:val="none" w:sz="0" w:space="0" w:color="auto"/>
        <w:left w:val="none" w:sz="0" w:space="0" w:color="auto"/>
        <w:bottom w:val="none" w:sz="0" w:space="0" w:color="auto"/>
        <w:right w:val="none" w:sz="0" w:space="0" w:color="auto"/>
      </w:divBdr>
    </w:div>
    <w:div w:id="555045652">
      <w:bodyDiv w:val="1"/>
      <w:marLeft w:val="0"/>
      <w:marRight w:val="0"/>
      <w:marTop w:val="0"/>
      <w:marBottom w:val="0"/>
      <w:divBdr>
        <w:top w:val="none" w:sz="0" w:space="0" w:color="auto"/>
        <w:left w:val="none" w:sz="0" w:space="0" w:color="auto"/>
        <w:bottom w:val="none" w:sz="0" w:space="0" w:color="auto"/>
        <w:right w:val="none" w:sz="0" w:space="0" w:color="auto"/>
      </w:divBdr>
    </w:div>
    <w:div w:id="591355725">
      <w:bodyDiv w:val="1"/>
      <w:marLeft w:val="0"/>
      <w:marRight w:val="0"/>
      <w:marTop w:val="0"/>
      <w:marBottom w:val="0"/>
      <w:divBdr>
        <w:top w:val="none" w:sz="0" w:space="0" w:color="auto"/>
        <w:left w:val="none" w:sz="0" w:space="0" w:color="auto"/>
        <w:bottom w:val="none" w:sz="0" w:space="0" w:color="auto"/>
        <w:right w:val="none" w:sz="0" w:space="0" w:color="auto"/>
      </w:divBdr>
    </w:div>
    <w:div w:id="691497402">
      <w:bodyDiv w:val="1"/>
      <w:marLeft w:val="0"/>
      <w:marRight w:val="0"/>
      <w:marTop w:val="0"/>
      <w:marBottom w:val="0"/>
      <w:divBdr>
        <w:top w:val="none" w:sz="0" w:space="0" w:color="auto"/>
        <w:left w:val="none" w:sz="0" w:space="0" w:color="auto"/>
        <w:bottom w:val="none" w:sz="0" w:space="0" w:color="auto"/>
        <w:right w:val="none" w:sz="0" w:space="0" w:color="auto"/>
      </w:divBdr>
    </w:div>
    <w:div w:id="693924814">
      <w:bodyDiv w:val="1"/>
      <w:marLeft w:val="0"/>
      <w:marRight w:val="0"/>
      <w:marTop w:val="0"/>
      <w:marBottom w:val="0"/>
      <w:divBdr>
        <w:top w:val="none" w:sz="0" w:space="0" w:color="auto"/>
        <w:left w:val="none" w:sz="0" w:space="0" w:color="auto"/>
        <w:bottom w:val="none" w:sz="0" w:space="0" w:color="auto"/>
        <w:right w:val="none" w:sz="0" w:space="0" w:color="auto"/>
      </w:divBdr>
    </w:div>
    <w:div w:id="754745257">
      <w:bodyDiv w:val="1"/>
      <w:marLeft w:val="0"/>
      <w:marRight w:val="0"/>
      <w:marTop w:val="0"/>
      <w:marBottom w:val="0"/>
      <w:divBdr>
        <w:top w:val="none" w:sz="0" w:space="0" w:color="auto"/>
        <w:left w:val="none" w:sz="0" w:space="0" w:color="auto"/>
        <w:bottom w:val="none" w:sz="0" w:space="0" w:color="auto"/>
        <w:right w:val="none" w:sz="0" w:space="0" w:color="auto"/>
      </w:divBdr>
    </w:div>
    <w:div w:id="814952044">
      <w:bodyDiv w:val="1"/>
      <w:marLeft w:val="0"/>
      <w:marRight w:val="0"/>
      <w:marTop w:val="0"/>
      <w:marBottom w:val="0"/>
      <w:divBdr>
        <w:top w:val="none" w:sz="0" w:space="0" w:color="auto"/>
        <w:left w:val="none" w:sz="0" w:space="0" w:color="auto"/>
        <w:bottom w:val="none" w:sz="0" w:space="0" w:color="auto"/>
        <w:right w:val="none" w:sz="0" w:space="0" w:color="auto"/>
      </w:divBdr>
    </w:div>
    <w:div w:id="840242745">
      <w:bodyDiv w:val="1"/>
      <w:marLeft w:val="0"/>
      <w:marRight w:val="0"/>
      <w:marTop w:val="0"/>
      <w:marBottom w:val="0"/>
      <w:divBdr>
        <w:top w:val="none" w:sz="0" w:space="0" w:color="auto"/>
        <w:left w:val="none" w:sz="0" w:space="0" w:color="auto"/>
        <w:bottom w:val="none" w:sz="0" w:space="0" w:color="auto"/>
        <w:right w:val="none" w:sz="0" w:space="0" w:color="auto"/>
      </w:divBdr>
    </w:div>
    <w:div w:id="916062353">
      <w:bodyDiv w:val="1"/>
      <w:marLeft w:val="0"/>
      <w:marRight w:val="0"/>
      <w:marTop w:val="0"/>
      <w:marBottom w:val="0"/>
      <w:divBdr>
        <w:top w:val="none" w:sz="0" w:space="0" w:color="auto"/>
        <w:left w:val="none" w:sz="0" w:space="0" w:color="auto"/>
        <w:bottom w:val="none" w:sz="0" w:space="0" w:color="auto"/>
        <w:right w:val="none" w:sz="0" w:space="0" w:color="auto"/>
      </w:divBdr>
    </w:div>
    <w:div w:id="975601620">
      <w:bodyDiv w:val="1"/>
      <w:marLeft w:val="0"/>
      <w:marRight w:val="0"/>
      <w:marTop w:val="0"/>
      <w:marBottom w:val="0"/>
      <w:divBdr>
        <w:top w:val="none" w:sz="0" w:space="0" w:color="auto"/>
        <w:left w:val="none" w:sz="0" w:space="0" w:color="auto"/>
        <w:bottom w:val="none" w:sz="0" w:space="0" w:color="auto"/>
        <w:right w:val="none" w:sz="0" w:space="0" w:color="auto"/>
      </w:divBdr>
    </w:div>
    <w:div w:id="978221512">
      <w:bodyDiv w:val="1"/>
      <w:marLeft w:val="0"/>
      <w:marRight w:val="0"/>
      <w:marTop w:val="0"/>
      <w:marBottom w:val="0"/>
      <w:divBdr>
        <w:top w:val="none" w:sz="0" w:space="0" w:color="auto"/>
        <w:left w:val="none" w:sz="0" w:space="0" w:color="auto"/>
        <w:bottom w:val="none" w:sz="0" w:space="0" w:color="auto"/>
        <w:right w:val="none" w:sz="0" w:space="0" w:color="auto"/>
      </w:divBdr>
    </w:div>
    <w:div w:id="981928973">
      <w:bodyDiv w:val="1"/>
      <w:marLeft w:val="0"/>
      <w:marRight w:val="0"/>
      <w:marTop w:val="0"/>
      <w:marBottom w:val="0"/>
      <w:divBdr>
        <w:top w:val="none" w:sz="0" w:space="0" w:color="auto"/>
        <w:left w:val="none" w:sz="0" w:space="0" w:color="auto"/>
        <w:bottom w:val="none" w:sz="0" w:space="0" w:color="auto"/>
        <w:right w:val="none" w:sz="0" w:space="0" w:color="auto"/>
      </w:divBdr>
    </w:div>
    <w:div w:id="984968336">
      <w:bodyDiv w:val="1"/>
      <w:marLeft w:val="0"/>
      <w:marRight w:val="0"/>
      <w:marTop w:val="0"/>
      <w:marBottom w:val="0"/>
      <w:divBdr>
        <w:top w:val="none" w:sz="0" w:space="0" w:color="auto"/>
        <w:left w:val="none" w:sz="0" w:space="0" w:color="auto"/>
        <w:bottom w:val="none" w:sz="0" w:space="0" w:color="auto"/>
        <w:right w:val="none" w:sz="0" w:space="0" w:color="auto"/>
      </w:divBdr>
    </w:div>
    <w:div w:id="1007754870">
      <w:bodyDiv w:val="1"/>
      <w:marLeft w:val="0"/>
      <w:marRight w:val="0"/>
      <w:marTop w:val="0"/>
      <w:marBottom w:val="0"/>
      <w:divBdr>
        <w:top w:val="none" w:sz="0" w:space="0" w:color="auto"/>
        <w:left w:val="none" w:sz="0" w:space="0" w:color="auto"/>
        <w:bottom w:val="none" w:sz="0" w:space="0" w:color="auto"/>
        <w:right w:val="none" w:sz="0" w:space="0" w:color="auto"/>
      </w:divBdr>
    </w:div>
    <w:div w:id="1061758875">
      <w:bodyDiv w:val="1"/>
      <w:marLeft w:val="0"/>
      <w:marRight w:val="0"/>
      <w:marTop w:val="0"/>
      <w:marBottom w:val="0"/>
      <w:divBdr>
        <w:top w:val="none" w:sz="0" w:space="0" w:color="auto"/>
        <w:left w:val="none" w:sz="0" w:space="0" w:color="auto"/>
        <w:bottom w:val="none" w:sz="0" w:space="0" w:color="auto"/>
        <w:right w:val="none" w:sz="0" w:space="0" w:color="auto"/>
      </w:divBdr>
    </w:div>
    <w:div w:id="1180701223">
      <w:bodyDiv w:val="1"/>
      <w:marLeft w:val="0"/>
      <w:marRight w:val="0"/>
      <w:marTop w:val="0"/>
      <w:marBottom w:val="0"/>
      <w:divBdr>
        <w:top w:val="none" w:sz="0" w:space="0" w:color="auto"/>
        <w:left w:val="none" w:sz="0" w:space="0" w:color="auto"/>
        <w:bottom w:val="none" w:sz="0" w:space="0" w:color="auto"/>
        <w:right w:val="none" w:sz="0" w:space="0" w:color="auto"/>
      </w:divBdr>
    </w:div>
    <w:div w:id="1215503026">
      <w:bodyDiv w:val="1"/>
      <w:marLeft w:val="0"/>
      <w:marRight w:val="0"/>
      <w:marTop w:val="0"/>
      <w:marBottom w:val="0"/>
      <w:divBdr>
        <w:top w:val="none" w:sz="0" w:space="0" w:color="auto"/>
        <w:left w:val="none" w:sz="0" w:space="0" w:color="auto"/>
        <w:bottom w:val="none" w:sz="0" w:space="0" w:color="auto"/>
        <w:right w:val="none" w:sz="0" w:space="0" w:color="auto"/>
      </w:divBdr>
    </w:div>
    <w:div w:id="1235045397">
      <w:bodyDiv w:val="1"/>
      <w:marLeft w:val="0"/>
      <w:marRight w:val="0"/>
      <w:marTop w:val="0"/>
      <w:marBottom w:val="0"/>
      <w:divBdr>
        <w:top w:val="none" w:sz="0" w:space="0" w:color="auto"/>
        <w:left w:val="none" w:sz="0" w:space="0" w:color="auto"/>
        <w:bottom w:val="none" w:sz="0" w:space="0" w:color="auto"/>
        <w:right w:val="none" w:sz="0" w:space="0" w:color="auto"/>
      </w:divBdr>
    </w:div>
    <w:div w:id="1320764504">
      <w:bodyDiv w:val="1"/>
      <w:marLeft w:val="0"/>
      <w:marRight w:val="0"/>
      <w:marTop w:val="0"/>
      <w:marBottom w:val="0"/>
      <w:divBdr>
        <w:top w:val="none" w:sz="0" w:space="0" w:color="auto"/>
        <w:left w:val="none" w:sz="0" w:space="0" w:color="auto"/>
        <w:bottom w:val="none" w:sz="0" w:space="0" w:color="auto"/>
        <w:right w:val="none" w:sz="0" w:space="0" w:color="auto"/>
      </w:divBdr>
    </w:div>
    <w:div w:id="1368019602">
      <w:bodyDiv w:val="1"/>
      <w:marLeft w:val="0"/>
      <w:marRight w:val="0"/>
      <w:marTop w:val="0"/>
      <w:marBottom w:val="0"/>
      <w:divBdr>
        <w:top w:val="none" w:sz="0" w:space="0" w:color="auto"/>
        <w:left w:val="none" w:sz="0" w:space="0" w:color="auto"/>
        <w:bottom w:val="none" w:sz="0" w:space="0" w:color="auto"/>
        <w:right w:val="none" w:sz="0" w:space="0" w:color="auto"/>
      </w:divBdr>
    </w:div>
    <w:div w:id="1393969646">
      <w:bodyDiv w:val="1"/>
      <w:marLeft w:val="0"/>
      <w:marRight w:val="0"/>
      <w:marTop w:val="0"/>
      <w:marBottom w:val="0"/>
      <w:divBdr>
        <w:top w:val="none" w:sz="0" w:space="0" w:color="auto"/>
        <w:left w:val="none" w:sz="0" w:space="0" w:color="auto"/>
        <w:bottom w:val="none" w:sz="0" w:space="0" w:color="auto"/>
        <w:right w:val="none" w:sz="0" w:space="0" w:color="auto"/>
      </w:divBdr>
    </w:div>
    <w:div w:id="1409888379">
      <w:bodyDiv w:val="1"/>
      <w:marLeft w:val="0"/>
      <w:marRight w:val="0"/>
      <w:marTop w:val="0"/>
      <w:marBottom w:val="0"/>
      <w:divBdr>
        <w:top w:val="none" w:sz="0" w:space="0" w:color="auto"/>
        <w:left w:val="none" w:sz="0" w:space="0" w:color="auto"/>
        <w:bottom w:val="none" w:sz="0" w:space="0" w:color="auto"/>
        <w:right w:val="none" w:sz="0" w:space="0" w:color="auto"/>
      </w:divBdr>
    </w:div>
    <w:div w:id="1588735400">
      <w:bodyDiv w:val="1"/>
      <w:marLeft w:val="0"/>
      <w:marRight w:val="0"/>
      <w:marTop w:val="0"/>
      <w:marBottom w:val="0"/>
      <w:divBdr>
        <w:top w:val="none" w:sz="0" w:space="0" w:color="auto"/>
        <w:left w:val="none" w:sz="0" w:space="0" w:color="auto"/>
        <w:bottom w:val="none" w:sz="0" w:space="0" w:color="auto"/>
        <w:right w:val="none" w:sz="0" w:space="0" w:color="auto"/>
      </w:divBdr>
    </w:div>
    <w:div w:id="1710102880">
      <w:bodyDiv w:val="1"/>
      <w:marLeft w:val="0"/>
      <w:marRight w:val="0"/>
      <w:marTop w:val="0"/>
      <w:marBottom w:val="0"/>
      <w:divBdr>
        <w:top w:val="none" w:sz="0" w:space="0" w:color="auto"/>
        <w:left w:val="none" w:sz="0" w:space="0" w:color="auto"/>
        <w:bottom w:val="none" w:sz="0" w:space="0" w:color="auto"/>
        <w:right w:val="none" w:sz="0" w:space="0" w:color="auto"/>
      </w:divBdr>
    </w:div>
    <w:div w:id="1748116596">
      <w:bodyDiv w:val="1"/>
      <w:marLeft w:val="0"/>
      <w:marRight w:val="0"/>
      <w:marTop w:val="0"/>
      <w:marBottom w:val="0"/>
      <w:divBdr>
        <w:top w:val="none" w:sz="0" w:space="0" w:color="auto"/>
        <w:left w:val="none" w:sz="0" w:space="0" w:color="auto"/>
        <w:bottom w:val="none" w:sz="0" w:space="0" w:color="auto"/>
        <w:right w:val="none" w:sz="0" w:space="0" w:color="auto"/>
      </w:divBdr>
    </w:div>
    <w:div w:id="1843540834">
      <w:bodyDiv w:val="1"/>
      <w:marLeft w:val="0"/>
      <w:marRight w:val="0"/>
      <w:marTop w:val="0"/>
      <w:marBottom w:val="0"/>
      <w:divBdr>
        <w:top w:val="none" w:sz="0" w:space="0" w:color="auto"/>
        <w:left w:val="none" w:sz="0" w:space="0" w:color="auto"/>
        <w:bottom w:val="none" w:sz="0" w:space="0" w:color="auto"/>
        <w:right w:val="none" w:sz="0" w:space="0" w:color="auto"/>
      </w:divBdr>
    </w:div>
    <w:div w:id="1896424837">
      <w:bodyDiv w:val="1"/>
      <w:marLeft w:val="0"/>
      <w:marRight w:val="0"/>
      <w:marTop w:val="0"/>
      <w:marBottom w:val="0"/>
      <w:divBdr>
        <w:top w:val="none" w:sz="0" w:space="0" w:color="auto"/>
        <w:left w:val="none" w:sz="0" w:space="0" w:color="auto"/>
        <w:bottom w:val="none" w:sz="0" w:space="0" w:color="auto"/>
        <w:right w:val="none" w:sz="0" w:space="0" w:color="auto"/>
      </w:divBdr>
    </w:div>
    <w:div w:id="1903902493">
      <w:bodyDiv w:val="1"/>
      <w:marLeft w:val="0"/>
      <w:marRight w:val="0"/>
      <w:marTop w:val="0"/>
      <w:marBottom w:val="0"/>
      <w:divBdr>
        <w:top w:val="none" w:sz="0" w:space="0" w:color="auto"/>
        <w:left w:val="none" w:sz="0" w:space="0" w:color="auto"/>
        <w:bottom w:val="none" w:sz="0" w:space="0" w:color="auto"/>
        <w:right w:val="none" w:sz="0" w:space="0" w:color="auto"/>
      </w:divBdr>
    </w:div>
    <w:div w:id="2047480367">
      <w:bodyDiv w:val="1"/>
      <w:marLeft w:val="0"/>
      <w:marRight w:val="0"/>
      <w:marTop w:val="0"/>
      <w:marBottom w:val="0"/>
      <w:divBdr>
        <w:top w:val="none" w:sz="0" w:space="0" w:color="auto"/>
        <w:left w:val="none" w:sz="0" w:space="0" w:color="auto"/>
        <w:bottom w:val="none" w:sz="0" w:space="0" w:color="auto"/>
        <w:right w:val="none" w:sz="0" w:space="0" w:color="auto"/>
      </w:divBdr>
    </w:div>
    <w:div w:id="2048723750">
      <w:bodyDiv w:val="1"/>
      <w:marLeft w:val="0"/>
      <w:marRight w:val="0"/>
      <w:marTop w:val="0"/>
      <w:marBottom w:val="0"/>
      <w:divBdr>
        <w:top w:val="none" w:sz="0" w:space="0" w:color="auto"/>
        <w:left w:val="none" w:sz="0" w:space="0" w:color="auto"/>
        <w:bottom w:val="none" w:sz="0" w:space="0" w:color="auto"/>
        <w:right w:val="none" w:sz="0" w:space="0" w:color="auto"/>
      </w:divBdr>
    </w:div>
    <w:div w:id="2071154546">
      <w:bodyDiv w:val="1"/>
      <w:marLeft w:val="0"/>
      <w:marRight w:val="0"/>
      <w:marTop w:val="0"/>
      <w:marBottom w:val="0"/>
      <w:divBdr>
        <w:top w:val="none" w:sz="0" w:space="0" w:color="auto"/>
        <w:left w:val="none" w:sz="0" w:space="0" w:color="auto"/>
        <w:bottom w:val="none" w:sz="0" w:space="0" w:color="auto"/>
        <w:right w:val="none" w:sz="0" w:space="0" w:color="auto"/>
      </w:divBdr>
    </w:div>
    <w:div w:id="21359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2020-02-21T05:28:00Z</dcterms:created>
  <dcterms:modified xsi:type="dcterms:W3CDTF">2020-02-21T05:36:00Z</dcterms:modified>
</cp:coreProperties>
</file>