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0B4E6D">
        <w:tc>
          <w:tcPr>
            <w:tcW w:w="2122" w:type="dxa"/>
          </w:tcPr>
          <w:p w:rsidR="00FF0404" w:rsidRPr="0076070A" w:rsidRDefault="00FF0404">
            <w:pPr>
              <w:rPr>
                <w:b/>
              </w:rPr>
            </w:pPr>
            <w:r w:rsidRPr="0076070A">
              <w:rPr>
                <w:b/>
              </w:rPr>
              <w:t>Name</w:t>
            </w:r>
          </w:p>
        </w:tc>
        <w:tc>
          <w:tcPr>
            <w:tcW w:w="6894" w:type="dxa"/>
          </w:tcPr>
          <w:p w:rsidR="00FF0404" w:rsidRDefault="009E71BF">
            <w:r>
              <w:t>Emmanuel Martin</w:t>
            </w:r>
          </w:p>
        </w:tc>
      </w:tr>
      <w:tr w:rsidR="00FF0404" w:rsidTr="000B4E6D">
        <w:tc>
          <w:tcPr>
            <w:tcW w:w="2122" w:type="dxa"/>
          </w:tcPr>
          <w:p w:rsidR="00FF0404" w:rsidRPr="0076070A" w:rsidRDefault="00FF0404">
            <w:pPr>
              <w:rPr>
                <w:b/>
              </w:rPr>
            </w:pPr>
            <w:r w:rsidRPr="0076070A">
              <w:rPr>
                <w:b/>
              </w:rPr>
              <w:t xml:space="preserve">State </w:t>
            </w:r>
          </w:p>
        </w:tc>
        <w:tc>
          <w:tcPr>
            <w:tcW w:w="6894" w:type="dxa"/>
          </w:tcPr>
          <w:p w:rsidR="00FF0404" w:rsidRDefault="009E71BF">
            <w:r>
              <w:t>New South Wales</w:t>
            </w:r>
          </w:p>
        </w:tc>
      </w:tr>
      <w:tr w:rsidR="00FF0404" w:rsidTr="000B4E6D">
        <w:tc>
          <w:tcPr>
            <w:tcW w:w="2122" w:type="dxa"/>
          </w:tcPr>
          <w:p w:rsidR="00FF0404" w:rsidRPr="0076070A" w:rsidRDefault="00FF0404">
            <w:pPr>
              <w:rPr>
                <w:b/>
              </w:rPr>
            </w:pPr>
            <w:r w:rsidRPr="0076070A">
              <w:rPr>
                <w:b/>
              </w:rPr>
              <w:t xml:space="preserve">Stakeholder Type: </w:t>
            </w:r>
          </w:p>
        </w:tc>
        <w:tc>
          <w:tcPr>
            <w:tcW w:w="6894" w:type="dxa"/>
          </w:tcPr>
          <w:p w:rsidR="00FF0404" w:rsidRDefault="009E71BF">
            <w:r>
              <w:t>Professional Advisor</w:t>
            </w:r>
          </w:p>
        </w:tc>
      </w:tr>
      <w:tr w:rsidR="00FF0404" w:rsidTr="000B4E6D">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0B4E6D">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0B4E6D">
        <w:tc>
          <w:tcPr>
            <w:tcW w:w="9016" w:type="dxa"/>
            <w:gridSpan w:val="2"/>
          </w:tcPr>
          <w:p w:rsidR="00FF0404" w:rsidRDefault="00FF0404"/>
        </w:tc>
      </w:tr>
      <w:tr w:rsidR="00FF0404" w:rsidTr="000B4E6D">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A regulated national franchise register would be a good step forward in protecting both prospective and existing franchisees as well as ethical franchisors.</w:t>
            </w:r>
            <w:r>
              <w:rPr>
                <w:rFonts w:ascii="Calibri" w:hAnsi="Calibri" w:cs="Calibri"/>
                <w:color w:val="000000"/>
              </w:rPr>
              <w:br/>
              <w:t>A National Franchise Register should be regulated with disclaimers to protect franchisors who are willing to participate in the register.</w:t>
            </w:r>
            <w:r>
              <w:rPr>
                <w:rFonts w:ascii="Calibri" w:hAnsi="Calibri" w:cs="Calibri"/>
                <w:color w:val="000000"/>
              </w:rPr>
              <w:br/>
              <w:t xml:space="preserve">As a general observation based on my work in the industry, the majority of franchisors do not have the appetite, the systems or the general know-how on accurately measuring the true profitability or </w:t>
            </w:r>
            <w:proofErr w:type="spellStart"/>
            <w:r>
              <w:rPr>
                <w:rFonts w:ascii="Calibri" w:hAnsi="Calibri" w:cs="Calibri"/>
                <w:color w:val="000000"/>
              </w:rPr>
              <w:t>cashflow</w:t>
            </w:r>
            <w:proofErr w:type="spellEnd"/>
            <w:r>
              <w:rPr>
                <w:rFonts w:ascii="Calibri" w:hAnsi="Calibri" w:cs="Calibri"/>
                <w:color w:val="000000"/>
              </w:rPr>
              <w:t xml:space="preserve"> of their individual units (sites) that make up their franchise network.</w:t>
            </w:r>
            <w:r>
              <w:rPr>
                <w:rFonts w:ascii="Calibri" w:hAnsi="Calibri" w:cs="Calibri"/>
                <w:color w:val="000000"/>
              </w:rPr>
              <w:br/>
              <w:t>I do not agree with the views of many franchisors that representing basic profitability data of their network would hold them liable for misrepresentation or give away trade secrets. The registry should be designed in a way that franchisors are protected from misrepresentation as long they provide numbers that are validated by franchisee accountants.</w:t>
            </w:r>
            <w:r>
              <w:rPr>
                <w:rFonts w:ascii="Calibri" w:hAnsi="Calibri" w:cs="Calibri"/>
                <w:color w:val="000000"/>
              </w:rPr>
              <w:br/>
              <w:t>The franchise register should contain as a minimum</w:t>
            </w:r>
            <w:r>
              <w:rPr>
                <w:rFonts w:ascii="Calibri" w:hAnsi="Calibri" w:cs="Calibri"/>
                <w:color w:val="000000"/>
              </w:rPr>
              <w:br/>
              <w:t>1. Number of Stores/Units in the network by state</w:t>
            </w:r>
            <w:bookmarkStart w:id="0" w:name="_GoBack"/>
            <w:bookmarkEnd w:id="0"/>
            <w:r>
              <w:rPr>
                <w:rFonts w:ascii="Calibri" w:hAnsi="Calibri" w:cs="Calibri"/>
                <w:color w:val="000000"/>
              </w:rPr>
              <w:br/>
              <w:t>2. Average Net Sales (based on all units trading over 12 months</w:t>
            </w:r>
            <w:proofErr w:type="gramStart"/>
            <w:r>
              <w:rPr>
                <w:rFonts w:ascii="Calibri" w:hAnsi="Calibri" w:cs="Calibri"/>
                <w:color w:val="000000"/>
              </w:rPr>
              <w:t>)</w:t>
            </w:r>
            <w:proofErr w:type="gramEnd"/>
            <w:r>
              <w:rPr>
                <w:rFonts w:ascii="Calibri" w:hAnsi="Calibri" w:cs="Calibri"/>
                <w:color w:val="000000"/>
              </w:rPr>
              <w:br/>
              <w:t>3. Average COGS (based on all units trading over 12 months</w:t>
            </w:r>
            <w:proofErr w:type="gramStart"/>
            <w:r>
              <w:rPr>
                <w:rFonts w:ascii="Calibri" w:hAnsi="Calibri" w:cs="Calibri"/>
                <w:color w:val="000000"/>
              </w:rPr>
              <w:t>)</w:t>
            </w:r>
            <w:proofErr w:type="gramEnd"/>
            <w:r>
              <w:rPr>
                <w:rFonts w:ascii="Calibri" w:hAnsi="Calibri" w:cs="Calibri"/>
                <w:color w:val="000000"/>
              </w:rPr>
              <w:br/>
              <w:t>4. Average Labour Cost % of Net Sales (based on all units trading over 12 months).</w:t>
            </w:r>
            <w:r>
              <w:rPr>
                <w:rFonts w:ascii="Calibri" w:hAnsi="Calibri" w:cs="Calibri"/>
                <w:color w:val="000000"/>
              </w:rPr>
              <w:br/>
              <w:t>5. A statement on how franchisors have provided advice to their franchisees on following compliance with state and federal labour awards</w:t>
            </w:r>
            <w:proofErr w:type="gramStart"/>
            <w:r>
              <w:rPr>
                <w:rFonts w:ascii="Calibri" w:hAnsi="Calibri" w:cs="Calibri"/>
                <w:color w:val="000000"/>
              </w:rPr>
              <w:t>)</w:t>
            </w:r>
            <w:proofErr w:type="gramEnd"/>
            <w:r>
              <w:rPr>
                <w:rFonts w:ascii="Calibri" w:hAnsi="Calibri" w:cs="Calibri"/>
                <w:color w:val="000000"/>
              </w:rPr>
              <w:br/>
              <w:t>6. The Average Occupancy Cost % Of Net Sales (based on all units trading over 12 months).</w:t>
            </w:r>
            <w:r>
              <w:rPr>
                <w:rFonts w:ascii="Calibri" w:hAnsi="Calibri" w:cs="Calibri"/>
                <w:color w:val="000000"/>
              </w:rPr>
              <w:br/>
              <w:t>7. The Average Overhead (other Expenses) % of Net Sales (based on all units trading over 12 months).</w:t>
            </w:r>
            <w:r>
              <w:rPr>
                <w:rFonts w:ascii="Calibri" w:hAnsi="Calibri" w:cs="Calibri"/>
                <w:color w:val="000000"/>
              </w:rPr>
              <w:br/>
              <w:t xml:space="preserve">8. The </w:t>
            </w:r>
            <w:proofErr w:type="gramStart"/>
            <w:r>
              <w:rPr>
                <w:rFonts w:ascii="Calibri" w:hAnsi="Calibri" w:cs="Calibri"/>
                <w:color w:val="000000"/>
              </w:rPr>
              <w:t>Average  EBITDA</w:t>
            </w:r>
            <w:proofErr w:type="gramEnd"/>
            <w:r>
              <w:rPr>
                <w:rFonts w:ascii="Calibri" w:hAnsi="Calibri" w:cs="Calibri"/>
                <w:color w:val="000000"/>
              </w:rPr>
              <w:t xml:space="preserve"> (Net Profit) % of Net Sales (based on all units trading over 12 months).</w:t>
            </w:r>
            <w:r>
              <w:rPr>
                <w:rFonts w:ascii="Calibri" w:hAnsi="Calibri" w:cs="Calibri"/>
                <w:color w:val="000000"/>
              </w:rPr>
              <w:br/>
              <w:t>9 The Number of franchise disputes of the network in the last 12 months.</w:t>
            </w:r>
            <w:r>
              <w:rPr>
                <w:rFonts w:ascii="Calibri" w:hAnsi="Calibri" w:cs="Calibri"/>
                <w:color w:val="000000"/>
              </w:rPr>
              <w:br/>
              <w:t>10. The number of units closed</w:t>
            </w:r>
            <w:r>
              <w:rPr>
                <w:rFonts w:ascii="Calibri" w:hAnsi="Calibri" w:cs="Calibri"/>
                <w:color w:val="000000"/>
              </w:rPr>
              <w:br/>
              <w:t>11. The number of units opened</w:t>
            </w:r>
            <w:r>
              <w:rPr>
                <w:rFonts w:ascii="Calibri" w:hAnsi="Calibri" w:cs="Calibri"/>
                <w:color w:val="000000"/>
              </w:rPr>
              <w:br/>
              <w:t>12. The number of multi-unit franchisees</w:t>
            </w:r>
            <w:r>
              <w:rPr>
                <w:rFonts w:ascii="Calibri" w:hAnsi="Calibri" w:cs="Calibri"/>
                <w:color w:val="000000"/>
              </w:rPr>
              <w:br/>
            </w:r>
            <w:r>
              <w:rPr>
                <w:rFonts w:ascii="Calibri" w:hAnsi="Calibri" w:cs="Calibri"/>
                <w:color w:val="000000"/>
              </w:rPr>
              <w:br/>
              <w:t xml:space="preserve">The benefits of the register far outweigh the costs of maintaining it. We should create a rating system that provides ranking of ethical </w:t>
            </w:r>
            <w:proofErr w:type="gramStart"/>
            <w:r>
              <w:rPr>
                <w:rFonts w:ascii="Calibri" w:hAnsi="Calibri" w:cs="Calibri"/>
                <w:color w:val="000000"/>
              </w:rPr>
              <w:t>franchisors .</w:t>
            </w:r>
            <w:proofErr w:type="gramEnd"/>
            <w:r>
              <w:rPr>
                <w:rFonts w:ascii="Calibri" w:hAnsi="Calibri" w:cs="Calibri"/>
                <w:color w:val="000000"/>
              </w:rPr>
              <w:t xml:space="preserve"> This is a worthwhile undertaking</w:t>
            </w:r>
          </w:p>
          <w:p w:rsidR="00FF0404" w:rsidRDefault="00FF0404"/>
        </w:tc>
      </w:tr>
      <w:tr w:rsidR="00FF0404" w:rsidTr="000B4E6D">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The educational resources available on franchising are largely basic, irrelevant and outdated. The federal government should set up a comprehensive franchise training portal that brings quality franchisee education which should focus on</w:t>
            </w:r>
            <w:proofErr w:type="gramStart"/>
            <w:r>
              <w:rPr>
                <w:rFonts w:ascii="Calibri" w:hAnsi="Calibri" w:cs="Calibri"/>
                <w:color w:val="000000"/>
              </w:rPr>
              <w:t>:</w:t>
            </w:r>
            <w:proofErr w:type="gramEnd"/>
            <w:r>
              <w:rPr>
                <w:rFonts w:ascii="Calibri" w:hAnsi="Calibri" w:cs="Calibri"/>
                <w:color w:val="000000"/>
              </w:rPr>
              <w:br/>
              <w:t>1. How to perform effective due diligence before buying a franchise (highly critical that is lacking at the moment).</w:t>
            </w:r>
            <w:r>
              <w:rPr>
                <w:rFonts w:ascii="Calibri" w:hAnsi="Calibri" w:cs="Calibri"/>
                <w:color w:val="000000"/>
              </w:rPr>
              <w:br/>
              <w:t>2. Understanding the P&amp;L/</w:t>
            </w:r>
            <w:proofErr w:type="spellStart"/>
            <w:r>
              <w:rPr>
                <w:rFonts w:ascii="Calibri" w:hAnsi="Calibri" w:cs="Calibri"/>
                <w:color w:val="000000"/>
              </w:rPr>
              <w:t>Cashflow</w:t>
            </w:r>
            <w:proofErr w:type="spellEnd"/>
            <w:r>
              <w:rPr>
                <w:rFonts w:ascii="Calibri" w:hAnsi="Calibri" w:cs="Calibri"/>
                <w:color w:val="000000"/>
              </w:rPr>
              <w:t xml:space="preserve"> and how it relates to valuation of the business </w:t>
            </w:r>
            <w:r>
              <w:rPr>
                <w:rFonts w:ascii="Calibri" w:hAnsi="Calibri" w:cs="Calibri"/>
                <w:color w:val="000000"/>
              </w:rPr>
              <w:br/>
              <w:t>3. How to plan an exit strategy</w:t>
            </w:r>
            <w:r>
              <w:rPr>
                <w:rFonts w:ascii="Calibri" w:hAnsi="Calibri" w:cs="Calibri"/>
                <w:color w:val="000000"/>
              </w:rPr>
              <w:br/>
            </w:r>
            <w:r>
              <w:rPr>
                <w:rFonts w:ascii="Calibri" w:hAnsi="Calibri" w:cs="Calibri"/>
                <w:color w:val="000000"/>
              </w:rPr>
              <w:lastRenderedPageBreak/>
              <w:t>4. Leadership and Team Management</w:t>
            </w:r>
            <w:r>
              <w:rPr>
                <w:rFonts w:ascii="Calibri" w:hAnsi="Calibri" w:cs="Calibri"/>
                <w:color w:val="000000"/>
              </w:rPr>
              <w:br/>
              <w:t>5. Compliance in Franchising</w:t>
            </w:r>
            <w:r>
              <w:rPr>
                <w:rFonts w:ascii="Calibri" w:hAnsi="Calibri" w:cs="Calibri"/>
                <w:color w:val="000000"/>
              </w:rPr>
              <w:br/>
              <w:t>6. Dispute Resolution</w:t>
            </w:r>
            <w:r>
              <w:rPr>
                <w:rFonts w:ascii="Calibri" w:hAnsi="Calibri" w:cs="Calibri"/>
                <w:color w:val="000000"/>
              </w:rPr>
              <w:br/>
            </w:r>
            <w:r>
              <w:rPr>
                <w:rFonts w:ascii="Calibri" w:hAnsi="Calibri" w:cs="Calibri"/>
                <w:color w:val="000000"/>
              </w:rPr>
              <w:br/>
              <w:t>There should be accreditation associated with training and education programs.</w:t>
            </w:r>
            <w:r>
              <w:rPr>
                <w:rFonts w:ascii="Calibri" w:hAnsi="Calibri" w:cs="Calibri"/>
                <w:color w:val="000000"/>
              </w:rPr>
              <w:br/>
            </w:r>
            <w:r>
              <w:rPr>
                <w:rFonts w:ascii="Calibri" w:hAnsi="Calibri" w:cs="Calibri"/>
                <w:color w:val="000000"/>
              </w:rPr>
              <w:br/>
              <w:t>The government should work with franchisors to absorb the cost of training platforms.</w:t>
            </w:r>
          </w:p>
          <w:p w:rsidR="00FF0404" w:rsidRDefault="00FF0404"/>
        </w:tc>
      </w:tr>
      <w:tr w:rsidR="00FF0404" w:rsidTr="000B4E6D">
        <w:tc>
          <w:tcPr>
            <w:tcW w:w="9016" w:type="dxa"/>
            <w:gridSpan w:val="2"/>
          </w:tcPr>
          <w:p w:rsidR="00FF0404" w:rsidRPr="003F0D4B" w:rsidRDefault="00FF0404">
            <w:pPr>
              <w:rPr>
                <w:b/>
              </w:rPr>
            </w:pPr>
            <w:r w:rsidRPr="003F0D4B">
              <w:rPr>
                <w:b/>
              </w:rPr>
              <w:lastRenderedPageBreak/>
              <w:t>Problem 1.1: Disclosure can be hard to comprehend, critical information may be hidden in detail and some information is not provided in the disclosure document.</w:t>
            </w:r>
          </w:p>
        </w:tc>
      </w:tr>
      <w:tr w:rsidR="00FF0404" w:rsidTr="000B4E6D">
        <w:tc>
          <w:tcPr>
            <w:tcW w:w="9016" w:type="dxa"/>
            <w:gridSpan w:val="2"/>
          </w:tcPr>
          <w:p w:rsidR="00FF0404" w:rsidRDefault="00FF0404">
            <w:r>
              <w:t>Option 1.1.2: Changes to the Franchising Code to increase disclosure</w:t>
            </w:r>
          </w:p>
          <w:p w:rsidR="00FF0404" w:rsidRDefault="00FF0404" w:rsidP="00FF0404">
            <w:pPr>
              <w:pStyle w:val="ListParagraph"/>
              <w:numPr>
                <w:ilvl w:val="0"/>
                <w:numId w:val="1"/>
              </w:numPr>
            </w:pPr>
            <w:r w:rsidRPr="00FF0404">
              <w:t>Electr</w:t>
            </w:r>
            <w:r>
              <w:t>onic and hard copy disclosure</w:t>
            </w:r>
          </w:p>
          <w:p w:rsidR="00FF0404" w:rsidRDefault="00FF0404" w:rsidP="00FF0404">
            <w:pPr>
              <w:pStyle w:val="ListParagraph"/>
              <w:numPr>
                <w:ilvl w:val="0"/>
                <w:numId w:val="1"/>
              </w:numPr>
            </w:pPr>
            <w:r w:rsidRPr="00FF0404">
              <w:t>Separate informa</w:t>
            </w:r>
            <w:r>
              <w:t xml:space="preserve">tion statement </w:t>
            </w:r>
          </w:p>
          <w:p w:rsidR="00FF0404" w:rsidRDefault="00FF0404" w:rsidP="00FF0404">
            <w:pPr>
              <w:pStyle w:val="ListParagraph"/>
              <w:numPr>
                <w:ilvl w:val="0"/>
                <w:numId w:val="1"/>
              </w:numPr>
            </w:pPr>
            <w:r w:rsidRPr="00FF0404">
              <w:t xml:space="preserve">Increased </w:t>
            </w:r>
            <w:r>
              <w:t>and formal financial disclosure</w:t>
            </w:r>
            <w:r w:rsidRPr="00FF0404">
              <w:t xml:space="preserve"> </w:t>
            </w:r>
          </w:p>
          <w:p w:rsidR="00FF0404" w:rsidRDefault="00FF0404" w:rsidP="00FF0404">
            <w:pPr>
              <w:pStyle w:val="ListParagraph"/>
              <w:numPr>
                <w:ilvl w:val="0"/>
                <w:numId w:val="1"/>
              </w:numPr>
            </w:pPr>
            <w:r w:rsidRPr="00FF0404">
              <w:t xml:space="preserve">Provision </w:t>
            </w:r>
            <w:r>
              <w:t>of the ACCC’s Franchisee Manual</w:t>
            </w:r>
            <w:r w:rsidRPr="00FF0404">
              <w:t xml:space="preserve"> </w:t>
            </w:r>
          </w:p>
          <w:p w:rsidR="00FF0404" w:rsidRDefault="00FF0404" w:rsidP="00FF0404">
            <w:pPr>
              <w:pStyle w:val="ListParagraph"/>
              <w:numPr>
                <w:ilvl w:val="0"/>
                <w:numId w:val="1"/>
              </w:numPr>
            </w:pPr>
            <w:r w:rsidRPr="00FF0404">
              <w:t>Leasing disclosure</w:t>
            </w:r>
          </w:p>
          <w:p w:rsidR="003F0D4B" w:rsidRDefault="003F0D4B" w:rsidP="00FF0404"/>
        </w:tc>
      </w:tr>
      <w:tr w:rsidR="00FF0404" w:rsidTr="000B4E6D">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0B4E6D">
        <w:tc>
          <w:tcPr>
            <w:tcW w:w="9016" w:type="dxa"/>
            <w:gridSpan w:val="2"/>
          </w:tcPr>
          <w:p w:rsidR="003F0D4B" w:rsidRPr="009E71BF" w:rsidRDefault="009E71BF" w:rsidP="009E71BF">
            <w:pPr>
              <w:spacing w:after="240"/>
              <w:rPr>
                <w:rFonts w:ascii="Calibri" w:hAnsi="Calibri" w:cs="Calibri"/>
                <w:color w:val="000000"/>
              </w:rPr>
            </w:pPr>
            <w:r>
              <w:rPr>
                <w:rFonts w:ascii="Calibri" w:hAnsi="Calibri" w:cs="Calibri"/>
                <w:color w:val="000000"/>
              </w:rPr>
              <w:t>Please see the response to Q1 above.</w:t>
            </w:r>
          </w:p>
        </w:tc>
      </w:tr>
      <w:tr w:rsidR="00FF0404" w:rsidTr="000B4E6D">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0B4E6D">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C26190">
            <w:pPr>
              <w:pStyle w:val="ListParagraph"/>
              <w:numPr>
                <w:ilvl w:val="0"/>
                <w:numId w:val="2"/>
              </w:numPr>
            </w:pPr>
            <w:r>
              <w:t>National franchise register</w:t>
            </w:r>
          </w:p>
          <w:p w:rsidR="00FF0404" w:rsidRDefault="00FF0404">
            <w:r w:rsidRPr="00FF0404">
              <w:t>Option 1.2.3: Pre-entry education</w:t>
            </w:r>
          </w:p>
          <w:p w:rsidR="003F0D4B" w:rsidRDefault="003F0D4B"/>
        </w:tc>
      </w:tr>
      <w:tr w:rsidR="00C26190" w:rsidTr="000B4E6D">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0B4E6D">
        <w:tc>
          <w:tcPr>
            <w:tcW w:w="9016" w:type="dxa"/>
            <w:gridSpan w:val="2"/>
          </w:tcPr>
          <w:p w:rsidR="009E71BF" w:rsidRDefault="009E71BF" w:rsidP="009E71BF">
            <w:pPr>
              <w:spacing w:after="240"/>
              <w:rPr>
                <w:rFonts w:ascii="Calibri" w:hAnsi="Calibri" w:cs="Calibri"/>
                <w:color w:val="000000"/>
              </w:rPr>
            </w:pPr>
            <w:r>
              <w:rPr>
                <w:rFonts w:ascii="Calibri" w:hAnsi="Calibri" w:cs="Calibri"/>
                <w:color w:val="000000"/>
              </w:rPr>
              <w:t>There is a big gap (as mentioned above) in franchisors fully understanding the profitability of the franchisees. This has been a major issue for many years. It exposes both the franchisor and franchisees to several risks. Franchisors should be encouraged to verify financial statements, the summary of which should be updated in a national franchise register.</w:t>
            </w:r>
            <w:r>
              <w:rPr>
                <w:rFonts w:ascii="Calibri" w:hAnsi="Calibri" w:cs="Calibri"/>
                <w:color w:val="000000"/>
              </w:rPr>
              <w:br/>
              <w:t xml:space="preserve">It should be mandatory for franchisors to view franchisee P&amp;L data through systems such as </w:t>
            </w:r>
            <w:proofErr w:type="spellStart"/>
            <w:r>
              <w:rPr>
                <w:rFonts w:ascii="Calibri" w:hAnsi="Calibri" w:cs="Calibri"/>
                <w:color w:val="000000"/>
              </w:rPr>
              <w:t>Xero</w:t>
            </w:r>
            <w:proofErr w:type="spellEnd"/>
            <w:r>
              <w:rPr>
                <w:rFonts w:ascii="Calibri" w:hAnsi="Calibri" w:cs="Calibri"/>
                <w:color w:val="000000"/>
              </w:rPr>
              <w:t xml:space="preserve"> or MYOB (</w:t>
            </w:r>
            <w:proofErr w:type="spellStart"/>
            <w:r>
              <w:rPr>
                <w:rFonts w:ascii="Calibri" w:hAnsi="Calibri" w:cs="Calibri"/>
                <w:color w:val="000000"/>
              </w:rPr>
              <w:t>etc</w:t>
            </w:r>
            <w:proofErr w:type="spellEnd"/>
            <w:r>
              <w:rPr>
                <w:rFonts w:ascii="Calibri" w:hAnsi="Calibri" w:cs="Calibri"/>
                <w:color w:val="000000"/>
              </w:rPr>
              <w:t xml:space="preserve">). </w:t>
            </w:r>
            <w:r>
              <w:rPr>
                <w:rFonts w:ascii="Calibri" w:hAnsi="Calibri" w:cs="Calibri"/>
                <w:color w:val="000000"/>
              </w:rPr>
              <w:br/>
              <w:t>Franchisors should establish internal teams and work with third party expertise to establish these systems ASAP. Failure to do so will result in many franchise systems failing in the next few years.</w:t>
            </w:r>
          </w:p>
          <w:p w:rsidR="00C26190" w:rsidRPr="00C26190" w:rsidRDefault="00C26190" w:rsidP="00FF0404"/>
        </w:tc>
      </w:tr>
      <w:tr w:rsidR="00FF0404" w:rsidTr="000B4E6D">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1.3.2: A new Government online educational reso</w:t>
            </w:r>
            <w:r>
              <w:rPr>
                <w:rFonts w:ascii="Calibri" w:hAnsi="Calibri" w:cs="Calibri"/>
                <w:color w:val="000000"/>
              </w:rPr>
              <w:t xml:space="preserve">urce for the franchising </w:t>
            </w:r>
            <w:proofErr w:type="spellStart"/>
            <w:r>
              <w:rPr>
                <w:rFonts w:ascii="Calibri" w:hAnsi="Calibri" w:cs="Calibri"/>
                <w:color w:val="000000"/>
              </w:rPr>
              <w:t>sector</w:t>
            </w:r>
          </w:p>
          <w:p w:rsidR="009E71BF" w:rsidRDefault="009E71BF" w:rsidP="009E71BF">
            <w:pPr>
              <w:rPr>
                <w:rFonts w:ascii="Calibri" w:hAnsi="Calibri" w:cs="Calibri"/>
                <w:color w:val="000000"/>
              </w:rPr>
            </w:pPr>
            <w:proofErr w:type="spellEnd"/>
            <w:r>
              <w:rPr>
                <w:rFonts w:ascii="Calibri" w:hAnsi="Calibri" w:cs="Calibri"/>
                <w:color w:val="000000"/>
              </w:rPr>
              <w:t>Option 1.3.3:  Mandate all prospective franchisees receive legal and financial advice before entering into a franchising agreement</w:t>
            </w:r>
          </w:p>
          <w:p w:rsidR="003F0D4B" w:rsidRDefault="003F0D4B"/>
        </w:tc>
      </w:tr>
      <w:tr w:rsidR="00FF0404" w:rsidTr="000B4E6D">
        <w:tc>
          <w:tcPr>
            <w:tcW w:w="9016" w:type="dxa"/>
            <w:gridSpan w:val="2"/>
          </w:tcPr>
          <w:p w:rsidR="00FF0404" w:rsidRPr="003F0D4B" w:rsidRDefault="00C26190">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 xml:space="preserve">1.3.2 </w:t>
            </w:r>
            <w:proofErr w:type="gramStart"/>
            <w:r>
              <w:rPr>
                <w:rFonts w:ascii="Calibri" w:hAnsi="Calibri" w:cs="Calibri"/>
                <w:color w:val="000000"/>
              </w:rPr>
              <w:t>is</w:t>
            </w:r>
            <w:proofErr w:type="gramEnd"/>
            <w:r>
              <w:rPr>
                <w:rFonts w:ascii="Calibri" w:hAnsi="Calibri" w:cs="Calibri"/>
                <w:color w:val="000000"/>
              </w:rPr>
              <w:t xml:space="preserve"> an excellent step forward on ethical franchising. Please see response above on how Government can implement a platform. I am happy to discuss several ideas if you are interested via phone or meet.</w:t>
            </w:r>
            <w:r>
              <w:rPr>
                <w:rFonts w:ascii="Calibri" w:hAnsi="Calibri" w:cs="Calibri"/>
                <w:color w:val="000000"/>
              </w:rPr>
              <w:br/>
              <w:t xml:space="preserve">1.3.3 </w:t>
            </w:r>
            <w:proofErr w:type="gramStart"/>
            <w:r>
              <w:rPr>
                <w:rFonts w:ascii="Calibri" w:hAnsi="Calibri" w:cs="Calibri"/>
                <w:color w:val="000000"/>
              </w:rPr>
              <w:t>is</w:t>
            </w:r>
            <w:proofErr w:type="gramEnd"/>
            <w:r>
              <w:rPr>
                <w:rFonts w:ascii="Calibri" w:hAnsi="Calibri" w:cs="Calibri"/>
                <w:color w:val="000000"/>
              </w:rPr>
              <w:t xml:space="preserve"> a must but I feel there is a lack of expertise in providing industry-specific financial advice. I think national accounting organisations should be consulted and specific franchise-related training should be provided to financial advisors and advisors who can then gain accreditation. </w:t>
            </w:r>
            <w:r>
              <w:rPr>
                <w:rFonts w:ascii="Calibri" w:hAnsi="Calibri" w:cs="Calibri"/>
                <w:color w:val="000000"/>
              </w:rPr>
              <w:br/>
              <w:t>I would encourage setting up an independent franchise financial advisory body that can facilitate this process.</w:t>
            </w:r>
            <w:r>
              <w:rPr>
                <w:rFonts w:ascii="Calibri" w:hAnsi="Calibri" w:cs="Calibri"/>
                <w:color w:val="000000"/>
              </w:rPr>
              <w:br/>
              <w:t>In terms of legal advice, the same should apply.</w:t>
            </w:r>
          </w:p>
          <w:p w:rsidR="00FF0404" w:rsidRDefault="00FF0404"/>
        </w:tc>
      </w:tr>
      <w:tr w:rsidR="00FF0404" w:rsidTr="000B4E6D">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0B4E6D">
        <w:trPr>
          <w:trHeight w:val="339"/>
        </w:trPr>
        <w:tc>
          <w:tcPr>
            <w:tcW w:w="9016" w:type="dxa"/>
            <w:gridSpan w:val="2"/>
          </w:tcPr>
          <w:p w:rsidR="009E71BF" w:rsidRDefault="009E71BF" w:rsidP="009E71BF">
            <w:pPr>
              <w:rPr>
                <w:rFonts w:ascii="Calibri" w:hAnsi="Calibri" w:cs="Calibri"/>
                <w:color w:val="000000"/>
              </w:rPr>
            </w:pPr>
            <w:r>
              <w:rPr>
                <w:rFonts w:ascii="Calibri" w:hAnsi="Calibri" w:cs="Calibri"/>
                <w:color w:val="000000"/>
              </w:rPr>
              <w:t>I believe that prospective franchisees 'try before they buy' where practical.</w:t>
            </w:r>
            <w:r>
              <w:rPr>
                <w:rFonts w:ascii="Calibri" w:hAnsi="Calibri" w:cs="Calibri"/>
                <w:color w:val="000000"/>
              </w:rPr>
              <w:br/>
              <w:t xml:space="preserve">A practical example in a cafe franchise would be along the </w:t>
            </w:r>
            <w:proofErr w:type="gramStart"/>
            <w:r>
              <w:rPr>
                <w:rFonts w:ascii="Calibri" w:hAnsi="Calibri" w:cs="Calibri"/>
                <w:color w:val="000000"/>
              </w:rPr>
              <w:t>lines of :</w:t>
            </w:r>
            <w:proofErr w:type="gramEnd"/>
            <w:r>
              <w:rPr>
                <w:rFonts w:ascii="Calibri" w:hAnsi="Calibri" w:cs="Calibri"/>
                <w:color w:val="000000"/>
              </w:rPr>
              <w:br/>
              <w:t>1. Prospective franchisee still pays for a basic training program before the full franchise fee is exchanged.</w:t>
            </w:r>
            <w:r>
              <w:rPr>
                <w:rFonts w:ascii="Calibri" w:hAnsi="Calibri" w:cs="Calibri"/>
                <w:color w:val="000000"/>
              </w:rPr>
              <w:br/>
              <w:t>2.  Prospective franchisee works and gains experience in either a franchisor corporate store (if existing) or works and gains experience in other franchised stores.</w:t>
            </w:r>
            <w:r>
              <w:rPr>
                <w:rFonts w:ascii="Calibri" w:hAnsi="Calibri" w:cs="Calibri"/>
                <w:color w:val="000000"/>
              </w:rPr>
              <w:br/>
              <w:t>3. Prospective franchisee and franchisor then sit down and discuss the outcomes and if they both feel there is a good fit, a more thorough training program is conducted and franchise pays full amount and runs store.</w:t>
            </w:r>
            <w:r>
              <w:rPr>
                <w:rFonts w:ascii="Calibri" w:hAnsi="Calibri" w:cs="Calibri"/>
                <w:color w:val="000000"/>
              </w:rPr>
              <w:br/>
              <w:t xml:space="preserve">While the above may sound simplistic and potential impractical, I believe we should work towards increased cooling off and disclosure periods, but at the same time protecting the cost outlays of franchisors. </w:t>
            </w:r>
            <w:r>
              <w:rPr>
                <w:rFonts w:ascii="Calibri" w:hAnsi="Calibri" w:cs="Calibri"/>
                <w:color w:val="000000"/>
              </w:rPr>
              <w:br/>
              <w:t>A new franchise model that will trail the above process is launching in Sydney in early 2020.</w:t>
            </w:r>
          </w:p>
          <w:p w:rsidR="00FF0404" w:rsidRDefault="00FF0404"/>
        </w:tc>
      </w:tr>
      <w:tr w:rsidR="00FF0404" w:rsidTr="000B4E6D">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This is very easy to provide because franchisors generally have this information before they commit to a site.</w:t>
            </w:r>
          </w:p>
          <w:p w:rsidR="00FF0404" w:rsidRDefault="00FF0404"/>
        </w:tc>
      </w:tr>
      <w:tr w:rsidR="00FF0404" w:rsidTr="000B4E6D">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 xml:space="preserve">This is a complex situation as most leases are signed at the outset. </w:t>
            </w:r>
          </w:p>
          <w:p w:rsidR="00FF0404" w:rsidRDefault="00FF0404"/>
        </w:tc>
      </w:tr>
      <w:tr w:rsidR="00FF0404" w:rsidTr="000B4E6D">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2.1.3: Amend the code to extend the disclosure period to 21 days, with the ability to waive part or all of this period with written agreement of both parties</w:t>
            </w:r>
          </w:p>
          <w:p w:rsidR="003F0D4B" w:rsidRDefault="003F0D4B"/>
        </w:tc>
      </w:tr>
      <w:tr w:rsidR="00FF0404" w:rsidTr="000B4E6D">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The 21 day disclosure period allows both parties to see how the partnership may work before a commitment is made.</w:t>
            </w:r>
          </w:p>
          <w:p w:rsidR="00FF0404" w:rsidRDefault="00FF0404"/>
        </w:tc>
      </w:tr>
      <w:tr w:rsidR="00FF0404" w:rsidTr="000B4E6D">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2.2.4: Improve education and awareness around leasing and franchising</w:t>
            </w:r>
          </w:p>
          <w:p w:rsidR="003F0D4B" w:rsidRDefault="003F0D4B"/>
        </w:tc>
      </w:tr>
      <w:tr w:rsidR="00FF0404" w:rsidTr="000B4E6D">
        <w:tc>
          <w:tcPr>
            <w:tcW w:w="9016" w:type="dxa"/>
            <w:gridSpan w:val="2"/>
          </w:tcPr>
          <w:p w:rsidR="00FF0404" w:rsidRPr="003F0D4B" w:rsidRDefault="00C26190">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See ideas on education above</w:t>
            </w:r>
          </w:p>
          <w:p w:rsidR="00FF0404" w:rsidRDefault="00FF0404"/>
        </w:tc>
      </w:tr>
      <w:tr w:rsidR="00FF0404" w:rsidTr="000B4E6D">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2.3.2: Extend cooling off to transfers, extensions and renewals</w:t>
            </w:r>
          </w:p>
          <w:p w:rsidR="003F0D4B" w:rsidRDefault="003F0D4B"/>
        </w:tc>
      </w:tr>
      <w:tr w:rsidR="00FF0404" w:rsidTr="000B4E6D">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0B4E6D">
        <w:tc>
          <w:tcPr>
            <w:tcW w:w="9016" w:type="dxa"/>
            <w:gridSpan w:val="2"/>
          </w:tcPr>
          <w:p w:rsidR="00FF0404" w:rsidRDefault="00FF0404"/>
        </w:tc>
      </w:tr>
      <w:tr w:rsidR="00FF0404" w:rsidTr="000B4E6D">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There needs to be some measurement of ROI on historical marketing spend and ratings from existing franchisees on the effectiveness of franchisors marketing program.</w:t>
            </w:r>
            <w:r>
              <w:rPr>
                <w:rFonts w:ascii="Calibri" w:hAnsi="Calibri" w:cs="Calibri"/>
                <w:color w:val="000000"/>
              </w:rPr>
              <w:br/>
              <w:t xml:space="preserve">Also a summary of how marketing fund was used - </w:t>
            </w:r>
            <w:proofErr w:type="spellStart"/>
            <w:r>
              <w:rPr>
                <w:rFonts w:ascii="Calibri" w:hAnsi="Calibri" w:cs="Calibri"/>
                <w:color w:val="000000"/>
              </w:rPr>
              <w:t>eg</w:t>
            </w:r>
            <w:proofErr w:type="spellEnd"/>
            <w:r>
              <w:rPr>
                <w:rFonts w:ascii="Calibri" w:hAnsi="Calibri" w:cs="Calibri"/>
                <w:color w:val="000000"/>
              </w:rPr>
              <w:t xml:space="preserve">. Digital , Local Area Marketing, PR </w:t>
            </w:r>
            <w:proofErr w:type="spellStart"/>
            <w:r>
              <w:rPr>
                <w:rFonts w:ascii="Calibri" w:hAnsi="Calibri" w:cs="Calibri"/>
                <w:color w:val="000000"/>
              </w:rPr>
              <w:t>etc</w:t>
            </w:r>
            <w:proofErr w:type="spellEnd"/>
          </w:p>
          <w:p w:rsidR="00FF0404" w:rsidRDefault="00FF0404"/>
        </w:tc>
      </w:tr>
      <w:tr w:rsidR="00FF0404" w:rsidTr="000B4E6D">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It is reasonable to do an annual review of marketing funds. Increasing the frequency of disclosure is cost prohibited and does not value.</w:t>
            </w:r>
          </w:p>
          <w:p w:rsidR="00FF0404" w:rsidRDefault="00FF0404"/>
        </w:tc>
      </w:tr>
      <w:tr w:rsidR="00FF0404" w:rsidTr="000B4E6D">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0B4E6D">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9E71BF">
            <w:pPr>
              <w:pStyle w:val="ListParagraph"/>
              <w:numPr>
                <w:ilvl w:val="0"/>
                <w:numId w:val="7"/>
              </w:numPr>
            </w:pPr>
            <w:r w:rsidRPr="00A01DF3">
              <w:t>Require master franchisors to meet requirements of marketing funds</w:t>
            </w:r>
          </w:p>
          <w:p w:rsidR="00A01DF3" w:rsidRDefault="00A01DF3" w:rsidP="009E71BF">
            <w:pPr>
              <w:pStyle w:val="ListParagraph"/>
              <w:numPr>
                <w:ilvl w:val="0"/>
                <w:numId w:val="7"/>
              </w:numPr>
            </w:pPr>
            <w:r>
              <w:t>Clarify the distribution of marketing funds in the event of franchisor insolvency</w:t>
            </w:r>
          </w:p>
          <w:p w:rsidR="003F0D4B" w:rsidRDefault="003F0D4B" w:rsidP="009E71BF"/>
        </w:tc>
      </w:tr>
      <w:tr w:rsidR="00FF0404" w:rsidTr="000B4E6D">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0B4E6D">
        <w:tc>
          <w:tcPr>
            <w:tcW w:w="9016" w:type="dxa"/>
            <w:gridSpan w:val="2"/>
          </w:tcPr>
          <w:p w:rsidR="00FF0404" w:rsidRDefault="00FF0404"/>
        </w:tc>
      </w:tr>
      <w:tr w:rsidR="00FF0404" w:rsidTr="000B4E6D">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This is a major issue with franchisors adversely affecting the profitability of franchisees.</w:t>
            </w:r>
            <w:r>
              <w:rPr>
                <w:rFonts w:ascii="Calibri" w:hAnsi="Calibri" w:cs="Calibri"/>
                <w:color w:val="000000"/>
              </w:rPr>
              <w:br/>
              <w:t>Franchisors should at a minimum disclose a range of margins they make on major categories without going into specifics</w:t>
            </w:r>
            <w:r>
              <w:rPr>
                <w:rFonts w:ascii="Calibri" w:hAnsi="Calibri" w:cs="Calibri"/>
                <w:color w:val="000000"/>
              </w:rPr>
              <w:br/>
              <w:t>For ex. Coffee Bean Supply - xx% to xx%</w:t>
            </w:r>
          </w:p>
          <w:p w:rsidR="00FF0404" w:rsidRDefault="00FF0404"/>
        </w:tc>
      </w:tr>
      <w:tr w:rsidR="00FF0404" w:rsidTr="000B4E6D">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1. Pass on substantial supply chain savings to franchisees. (and disclose a range of margins franchisors are making)</w:t>
            </w:r>
            <w:r>
              <w:rPr>
                <w:rFonts w:ascii="Calibri" w:hAnsi="Calibri" w:cs="Calibri"/>
                <w:color w:val="000000"/>
              </w:rPr>
              <w:br/>
              <w:t xml:space="preserve">2. Minimise cost of store fitouts </w:t>
            </w:r>
            <w:r>
              <w:rPr>
                <w:rFonts w:ascii="Calibri" w:hAnsi="Calibri" w:cs="Calibri"/>
                <w:color w:val="000000"/>
              </w:rPr>
              <w:br/>
              <w:t>3. Negotiating rents not exceeding 12% of projected sales</w:t>
            </w:r>
            <w:r>
              <w:rPr>
                <w:rFonts w:ascii="Calibri" w:hAnsi="Calibri" w:cs="Calibri"/>
                <w:color w:val="000000"/>
              </w:rPr>
              <w:br/>
              <w:t>4. Provide professional coaching and mentoring to franchisees</w:t>
            </w:r>
          </w:p>
          <w:p w:rsidR="00FF0404" w:rsidRDefault="00FF0404"/>
        </w:tc>
      </w:tr>
      <w:tr w:rsidR="00FF0404" w:rsidTr="000B4E6D">
        <w:tc>
          <w:tcPr>
            <w:tcW w:w="9016" w:type="dxa"/>
            <w:gridSpan w:val="2"/>
          </w:tcPr>
          <w:p w:rsidR="00FF0404" w:rsidRPr="003F0D4B" w:rsidRDefault="007D2442">
            <w:pPr>
              <w:rPr>
                <w:b/>
              </w:rPr>
            </w:pPr>
            <w:r w:rsidRPr="003F0D4B">
              <w:rPr>
                <w:b/>
              </w:rPr>
              <w:lastRenderedPageBreak/>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0B4E6D">
        <w:tc>
          <w:tcPr>
            <w:tcW w:w="9016" w:type="dxa"/>
            <w:gridSpan w:val="2"/>
          </w:tcPr>
          <w:p w:rsidR="00EE5CDA" w:rsidRPr="007D2442" w:rsidRDefault="00EE5CDA"/>
        </w:tc>
      </w:tr>
      <w:tr w:rsidR="00EE5CDA" w:rsidTr="000B4E6D">
        <w:tc>
          <w:tcPr>
            <w:tcW w:w="9016" w:type="dxa"/>
            <w:gridSpan w:val="2"/>
          </w:tcPr>
          <w:p w:rsidR="00EE5CDA" w:rsidRPr="003F0D4B" w:rsidRDefault="00EE5CDA">
            <w:pPr>
              <w:rPr>
                <w:b/>
              </w:rPr>
            </w:pPr>
            <w:r w:rsidRPr="003F0D4B">
              <w:rPr>
                <w:b/>
              </w:rPr>
              <w:t>Problem 4.1 Supplier rebates can lead to conflicts of interest</w:t>
            </w:r>
          </w:p>
        </w:tc>
      </w:tr>
      <w:tr w:rsidR="00EE5CDA"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4.1.2: Address conflicts of interest in the handling of supplier rebates to franchisors by requiring increased disclosure</w:t>
            </w:r>
          </w:p>
          <w:p w:rsidR="003F0D4B" w:rsidRPr="007D2442" w:rsidRDefault="003F0D4B"/>
        </w:tc>
      </w:tr>
      <w:tr w:rsidR="00EE5CDA" w:rsidTr="000B4E6D">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0B4E6D">
        <w:tc>
          <w:tcPr>
            <w:tcW w:w="9016" w:type="dxa"/>
            <w:gridSpan w:val="2"/>
          </w:tcPr>
          <w:p w:rsidR="009E71BF" w:rsidRDefault="009E71BF" w:rsidP="009E71BF">
            <w:pPr>
              <w:rPr>
                <w:rFonts w:ascii="Calibri" w:hAnsi="Calibri" w:cs="Calibri"/>
                <w:color w:val="000000"/>
              </w:rPr>
            </w:pPr>
            <w:proofErr w:type="gramStart"/>
            <w:r>
              <w:rPr>
                <w:rFonts w:ascii="Calibri" w:hAnsi="Calibri" w:cs="Calibri"/>
                <w:color w:val="000000"/>
              </w:rPr>
              <w:t>see</w:t>
            </w:r>
            <w:proofErr w:type="gramEnd"/>
            <w:r>
              <w:rPr>
                <w:rFonts w:ascii="Calibri" w:hAnsi="Calibri" w:cs="Calibri"/>
                <w:color w:val="000000"/>
              </w:rPr>
              <w:t xml:space="preserve"> above. Happy to discuss in </w:t>
            </w:r>
            <w:proofErr w:type="gramStart"/>
            <w:r>
              <w:rPr>
                <w:rFonts w:ascii="Calibri" w:hAnsi="Calibri" w:cs="Calibri"/>
                <w:color w:val="000000"/>
              </w:rPr>
              <w:t>detail .</w:t>
            </w:r>
            <w:proofErr w:type="gramEnd"/>
          </w:p>
          <w:p w:rsidR="00EE5CDA" w:rsidRPr="007D2442" w:rsidRDefault="00EE5CDA"/>
        </w:tc>
      </w:tr>
      <w:tr w:rsidR="00CB0D83" w:rsidTr="000B4E6D">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4.2.2: Modify the Code to define significant capital expenditure and provide rights for franchisees to recoup the value of significant capital expenditure</w:t>
            </w:r>
          </w:p>
          <w:p w:rsidR="003F0D4B" w:rsidRPr="003F0D4B" w:rsidRDefault="003F0D4B"/>
        </w:tc>
      </w:tr>
      <w:tr w:rsidR="00EE5CDA" w:rsidTr="000B4E6D">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0B4E6D">
        <w:tc>
          <w:tcPr>
            <w:tcW w:w="9016" w:type="dxa"/>
            <w:gridSpan w:val="2"/>
          </w:tcPr>
          <w:p w:rsidR="00EE5CDA" w:rsidRPr="007D2442" w:rsidRDefault="00EE5CDA"/>
        </w:tc>
      </w:tr>
      <w:tr w:rsidR="00EE5CDA" w:rsidTr="000B4E6D">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 xml:space="preserve">Option 4.3.2: Banning or limiting the circumstances in which franchisors can unilaterally vary franchise </w:t>
            </w:r>
            <w:proofErr w:type="spellStart"/>
            <w:r>
              <w:rPr>
                <w:rFonts w:ascii="Calibri" w:hAnsi="Calibri" w:cs="Calibri"/>
                <w:color w:val="000000"/>
              </w:rPr>
              <w:t>agreements,Option</w:t>
            </w:r>
            <w:proofErr w:type="spellEnd"/>
            <w:r>
              <w:rPr>
                <w:rFonts w:ascii="Calibri" w:hAnsi="Calibri" w:cs="Calibri"/>
                <w:color w:val="000000"/>
              </w:rPr>
              <w:t xml:space="preserve"> 4.3.3: Increase awareness around legal rights</w:t>
            </w:r>
          </w:p>
          <w:p w:rsidR="003F0D4B" w:rsidRPr="007D2442" w:rsidRDefault="003F0D4B"/>
        </w:tc>
      </w:tr>
      <w:tr w:rsidR="00EE5CDA" w:rsidTr="000B4E6D">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0B4E6D">
        <w:tc>
          <w:tcPr>
            <w:tcW w:w="9016" w:type="dxa"/>
            <w:gridSpan w:val="2"/>
          </w:tcPr>
          <w:p w:rsidR="00EE5CDA" w:rsidRPr="007D2442" w:rsidRDefault="00EE5CDA"/>
        </w:tc>
      </w:tr>
      <w:tr w:rsidR="00EE5CDA" w:rsidTr="000B4E6D">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0B4E6D">
        <w:tc>
          <w:tcPr>
            <w:tcW w:w="9016" w:type="dxa"/>
            <w:gridSpan w:val="2"/>
          </w:tcPr>
          <w:p w:rsidR="00EE5CDA" w:rsidRPr="007D2442" w:rsidRDefault="00EE5CDA"/>
        </w:tc>
      </w:tr>
      <w:tr w:rsidR="00EE5CDA" w:rsidTr="000B4E6D">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0B4E6D">
        <w:tc>
          <w:tcPr>
            <w:tcW w:w="9016" w:type="dxa"/>
            <w:gridSpan w:val="2"/>
          </w:tcPr>
          <w:p w:rsidR="00EE5CDA" w:rsidRPr="007D2442" w:rsidRDefault="00EE5CDA"/>
        </w:tc>
      </w:tr>
      <w:tr w:rsidR="00EE5CDA" w:rsidTr="000B4E6D">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0B4E6D">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0B4E6D">
        <w:tc>
          <w:tcPr>
            <w:tcW w:w="9016" w:type="dxa"/>
            <w:gridSpan w:val="2"/>
          </w:tcPr>
          <w:p w:rsidR="002A69D5" w:rsidRPr="002A69D5" w:rsidRDefault="002A69D5"/>
        </w:tc>
      </w:tr>
      <w:tr w:rsidR="002A69D5" w:rsidTr="000B4E6D">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0B4E6D">
        <w:tc>
          <w:tcPr>
            <w:tcW w:w="9016" w:type="dxa"/>
            <w:gridSpan w:val="2"/>
          </w:tcPr>
          <w:p w:rsidR="009E71BF" w:rsidRDefault="009E71BF" w:rsidP="009E71BF">
            <w:pPr>
              <w:rPr>
                <w:rFonts w:ascii="Calibri" w:hAnsi="Calibri" w:cs="Calibri"/>
                <w:color w:val="000000"/>
              </w:rPr>
            </w:pPr>
            <w:r>
              <w:rPr>
                <w:rFonts w:ascii="Calibri" w:hAnsi="Calibri" w:cs="Calibri"/>
                <w:color w:val="000000"/>
              </w:rPr>
              <w:t>- When franchisor fails to deliver on representations made in the disclosure document</w:t>
            </w:r>
          </w:p>
          <w:p w:rsidR="002A69D5" w:rsidRPr="002A69D5" w:rsidRDefault="002A69D5"/>
        </w:tc>
      </w:tr>
      <w:tr w:rsidR="002A69D5" w:rsidRPr="003F0D4B" w:rsidTr="000B4E6D">
        <w:tc>
          <w:tcPr>
            <w:tcW w:w="9016" w:type="dxa"/>
            <w:gridSpan w:val="2"/>
          </w:tcPr>
          <w:p w:rsidR="002A69D5" w:rsidRPr="003F0D4B" w:rsidRDefault="002A69D5">
            <w:pPr>
              <w:rPr>
                <w:b/>
              </w:rPr>
            </w:pPr>
            <w:r w:rsidRPr="003F0D4B">
              <w:rPr>
                <w:b/>
              </w:rPr>
              <w:lastRenderedPageBreak/>
              <w:t>15. If goodwill was required to be fully clarified in the franchise agreement, how might this be done in practice? What would be the costs and benefits of this approach?</w:t>
            </w:r>
          </w:p>
        </w:tc>
      </w:tr>
      <w:tr w:rsidR="002A69D5" w:rsidTr="000B4E6D">
        <w:tc>
          <w:tcPr>
            <w:tcW w:w="9016" w:type="dxa"/>
            <w:gridSpan w:val="2"/>
          </w:tcPr>
          <w:p w:rsidR="002A69D5" w:rsidRPr="002A69D5" w:rsidRDefault="002A69D5"/>
        </w:tc>
      </w:tr>
      <w:tr w:rsidR="002A69D5" w:rsidTr="000B4E6D">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0B4E6D">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9E71BF">
            <w:pPr>
              <w:pStyle w:val="ListParagraph"/>
              <w:numPr>
                <w:ilvl w:val="0"/>
                <w:numId w:val="8"/>
              </w:numPr>
            </w:pPr>
            <w:r>
              <w:t>Provide statutory termination rights to franchisees</w:t>
            </w:r>
          </w:p>
          <w:p w:rsidR="003F0D4B" w:rsidRDefault="003F0D4B" w:rsidP="009E71BF"/>
        </w:tc>
      </w:tr>
      <w:tr w:rsidR="000853F1" w:rsidTr="000B4E6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0B4E6D">
        <w:tc>
          <w:tcPr>
            <w:tcW w:w="9016" w:type="dxa"/>
            <w:gridSpan w:val="2"/>
          </w:tcPr>
          <w:p w:rsidR="000853F1" w:rsidRDefault="000853F1" w:rsidP="002A69D5"/>
        </w:tc>
      </w:tr>
      <w:tr w:rsidR="000853F1" w:rsidTr="000B4E6D">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0B4E6D">
        <w:tc>
          <w:tcPr>
            <w:tcW w:w="9016" w:type="dxa"/>
            <w:gridSpan w:val="2"/>
          </w:tcPr>
          <w:p w:rsidR="003F0D4B" w:rsidRDefault="003F0D4B" w:rsidP="009E71BF"/>
        </w:tc>
      </w:tr>
      <w:tr w:rsidR="000853F1" w:rsidTr="000B4E6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0B4E6D">
        <w:tc>
          <w:tcPr>
            <w:tcW w:w="9016" w:type="dxa"/>
            <w:gridSpan w:val="2"/>
          </w:tcPr>
          <w:p w:rsidR="000853F1" w:rsidRDefault="000853F1" w:rsidP="002A69D5"/>
        </w:tc>
      </w:tr>
      <w:tr w:rsidR="000853F1" w:rsidTr="000B4E6D">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0B4E6D">
        <w:tc>
          <w:tcPr>
            <w:tcW w:w="9016" w:type="dxa"/>
            <w:gridSpan w:val="2"/>
          </w:tcPr>
          <w:p w:rsidR="003F0D4B" w:rsidRDefault="003F0D4B" w:rsidP="009E71BF"/>
        </w:tc>
      </w:tr>
      <w:tr w:rsidR="000853F1" w:rsidTr="000B4E6D">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0B4E6D">
        <w:tc>
          <w:tcPr>
            <w:tcW w:w="9016" w:type="dxa"/>
            <w:gridSpan w:val="2"/>
          </w:tcPr>
          <w:p w:rsidR="000853F1" w:rsidRDefault="000853F1" w:rsidP="002A69D5"/>
        </w:tc>
      </w:tr>
      <w:tr w:rsidR="000853F1" w:rsidTr="000B4E6D">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0B4E6D">
        <w:tc>
          <w:tcPr>
            <w:tcW w:w="9016" w:type="dxa"/>
            <w:gridSpan w:val="2"/>
          </w:tcPr>
          <w:p w:rsidR="000853F1" w:rsidRDefault="000853F1" w:rsidP="002A69D5"/>
        </w:tc>
      </w:tr>
      <w:tr w:rsidR="000853F1" w:rsidTr="000B4E6D">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0B4E6D">
        <w:tc>
          <w:tcPr>
            <w:tcW w:w="9016" w:type="dxa"/>
            <w:gridSpan w:val="2"/>
          </w:tcPr>
          <w:p w:rsidR="000853F1" w:rsidRDefault="000853F1" w:rsidP="002A69D5"/>
        </w:tc>
      </w:tr>
      <w:tr w:rsidR="000853F1" w:rsidTr="000B4E6D">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0B4E6D">
        <w:tc>
          <w:tcPr>
            <w:tcW w:w="9016" w:type="dxa"/>
            <w:gridSpan w:val="2"/>
          </w:tcPr>
          <w:p w:rsidR="003F0D4B" w:rsidRDefault="003F0D4B" w:rsidP="009E71BF"/>
        </w:tc>
      </w:tr>
      <w:tr w:rsidR="000853F1" w:rsidTr="000B4E6D">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0B4E6D">
        <w:tc>
          <w:tcPr>
            <w:tcW w:w="9016" w:type="dxa"/>
            <w:gridSpan w:val="2"/>
          </w:tcPr>
          <w:p w:rsidR="000853F1" w:rsidRDefault="000853F1" w:rsidP="002A69D5"/>
        </w:tc>
      </w:tr>
      <w:tr w:rsidR="003F0D4B" w:rsidTr="000B4E6D">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0B4E6D">
        <w:tc>
          <w:tcPr>
            <w:tcW w:w="9016" w:type="dxa"/>
            <w:gridSpan w:val="2"/>
          </w:tcPr>
          <w:p w:rsidR="003F0D4B" w:rsidRDefault="003F0D4B" w:rsidP="003F0D4B"/>
        </w:tc>
      </w:tr>
      <w:tr w:rsidR="003F0D4B" w:rsidTr="000B4E6D">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0B4E6D">
        <w:tc>
          <w:tcPr>
            <w:tcW w:w="9016" w:type="dxa"/>
            <w:gridSpan w:val="2"/>
          </w:tcPr>
          <w:p w:rsidR="003F0D4B" w:rsidRDefault="003F0D4B" w:rsidP="003F0D4B"/>
        </w:tc>
      </w:tr>
      <w:tr w:rsidR="003F0D4B" w:rsidTr="000B4E6D">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0B4E6D">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FD29F6"/>
    <w:multiLevelType w:val="hybridMultilevel"/>
    <w:tmpl w:val="D7DA47F8"/>
    <w:lvl w:ilvl="0" w:tplc="A0345D2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6F08F9"/>
    <w:multiLevelType w:val="hybridMultilevel"/>
    <w:tmpl w:val="F44C9058"/>
    <w:lvl w:ilvl="0" w:tplc="941EC5A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0B4E6D"/>
    <w:rsid w:val="002A69D5"/>
    <w:rsid w:val="0035054F"/>
    <w:rsid w:val="003C5769"/>
    <w:rsid w:val="003F0D4B"/>
    <w:rsid w:val="00531F43"/>
    <w:rsid w:val="0076070A"/>
    <w:rsid w:val="007D2442"/>
    <w:rsid w:val="007D56B7"/>
    <w:rsid w:val="00837502"/>
    <w:rsid w:val="009E71BF"/>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8900">
      <w:bodyDiv w:val="1"/>
      <w:marLeft w:val="0"/>
      <w:marRight w:val="0"/>
      <w:marTop w:val="0"/>
      <w:marBottom w:val="0"/>
      <w:divBdr>
        <w:top w:val="none" w:sz="0" w:space="0" w:color="auto"/>
        <w:left w:val="none" w:sz="0" w:space="0" w:color="auto"/>
        <w:bottom w:val="none" w:sz="0" w:space="0" w:color="auto"/>
        <w:right w:val="none" w:sz="0" w:space="0" w:color="auto"/>
      </w:divBdr>
    </w:div>
    <w:div w:id="117994033">
      <w:bodyDiv w:val="1"/>
      <w:marLeft w:val="0"/>
      <w:marRight w:val="0"/>
      <w:marTop w:val="0"/>
      <w:marBottom w:val="0"/>
      <w:divBdr>
        <w:top w:val="none" w:sz="0" w:space="0" w:color="auto"/>
        <w:left w:val="none" w:sz="0" w:space="0" w:color="auto"/>
        <w:bottom w:val="none" w:sz="0" w:space="0" w:color="auto"/>
        <w:right w:val="none" w:sz="0" w:space="0" w:color="auto"/>
      </w:divBdr>
    </w:div>
    <w:div w:id="124660785">
      <w:bodyDiv w:val="1"/>
      <w:marLeft w:val="0"/>
      <w:marRight w:val="0"/>
      <w:marTop w:val="0"/>
      <w:marBottom w:val="0"/>
      <w:divBdr>
        <w:top w:val="none" w:sz="0" w:space="0" w:color="auto"/>
        <w:left w:val="none" w:sz="0" w:space="0" w:color="auto"/>
        <w:bottom w:val="none" w:sz="0" w:space="0" w:color="auto"/>
        <w:right w:val="none" w:sz="0" w:space="0" w:color="auto"/>
      </w:divBdr>
    </w:div>
    <w:div w:id="134953080">
      <w:bodyDiv w:val="1"/>
      <w:marLeft w:val="0"/>
      <w:marRight w:val="0"/>
      <w:marTop w:val="0"/>
      <w:marBottom w:val="0"/>
      <w:divBdr>
        <w:top w:val="none" w:sz="0" w:space="0" w:color="auto"/>
        <w:left w:val="none" w:sz="0" w:space="0" w:color="auto"/>
        <w:bottom w:val="none" w:sz="0" w:space="0" w:color="auto"/>
        <w:right w:val="none" w:sz="0" w:space="0" w:color="auto"/>
      </w:divBdr>
    </w:div>
    <w:div w:id="238173823">
      <w:bodyDiv w:val="1"/>
      <w:marLeft w:val="0"/>
      <w:marRight w:val="0"/>
      <w:marTop w:val="0"/>
      <w:marBottom w:val="0"/>
      <w:divBdr>
        <w:top w:val="none" w:sz="0" w:space="0" w:color="auto"/>
        <w:left w:val="none" w:sz="0" w:space="0" w:color="auto"/>
        <w:bottom w:val="none" w:sz="0" w:space="0" w:color="auto"/>
        <w:right w:val="none" w:sz="0" w:space="0" w:color="auto"/>
      </w:divBdr>
    </w:div>
    <w:div w:id="334308307">
      <w:bodyDiv w:val="1"/>
      <w:marLeft w:val="0"/>
      <w:marRight w:val="0"/>
      <w:marTop w:val="0"/>
      <w:marBottom w:val="0"/>
      <w:divBdr>
        <w:top w:val="none" w:sz="0" w:space="0" w:color="auto"/>
        <w:left w:val="none" w:sz="0" w:space="0" w:color="auto"/>
        <w:bottom w:val="none" w:sz="0" w:space="0" w:color="auto"/>
        <w:right w:val="none" w:sz="0" w:space="0" w:color="auto"/>
      </w:divBdr>
    </w:div>
    <w:div w:id="335570683">
      <w:bodyDiv w:val="1"/>
      <w:marLeft w:val="0"/>
      <w:marRight w:val="0"/>
      <w:marTop w:val="0"/>
      <w:marBottom w:val="0"/>
      <w:divBdr>
        <w:top w:val="none" w:sz="0" w:space="0" w:color="auto"/>
        <w:left w:val="none" w:sz="0" w:space="0" w:color="auto"/>
        <w:bottom w:val="none" w:sz="0" w:space="0" w:color="auto"/>
        <w:right w:val="none" w:sz="0" w:space="0" w:color="auto"/>
      </w:divBdr>
    </w:div>
    <w:div w:id="383675908">
      <w:bodyDiv w:val="1"/>
      <w:marLeft w:val="0"/>
      <w:marRight w:val="0"/>
      <w:marTop w:val="0"/>
      <w:marBottom w:val="0"/>
      <w:divBdr>
        <w:top w:val="none" w:sz="0" w:space="0" w:color="auto"/>
        <w:left w:val="none" w:sz="0" w:space="0" w:color="auto"/>
        <w:bottom w:val="none" w:sz="0" w:space="0" w:color="auto"/>
        <w:right w:val="none" w:sz="0" w:space="0" w:color="auto"/>
      </w:divBdr>
    </w:div>
    <w:div w:id="495462382">
      <w:bodyDiv w:val="1"/>
      <w:marLeft w:val="0"/>
      <w:marRight w:val="0"/>
      <w:marTop w:val="0"/>
      <w:marBottom w:val="0"/>
      <w:divBdr>
        <w:top w:val="none" w:sz="0" w:space="0" w:color="auto"/>
        <w:left w:val="none" w:sz="0" w:space="0" w:color="auto"/>
        <w:bottom w:val="none" w:sz="0" w:space="0" w:color="auto"/>
        <w:right w:val="none" w:sz="0" w:space="0" w:color="auto"/>
      </w:divBdr>
    </w:div>
    <w:div w:id="508102722">
      <w:bodyDiv w:val="1"/>
      <w:marLeft w:val="0"/>
      <w:marRight w:val="0"/>
      <w:marTop w:val="0"/>
      <w:marBottom w:val="0"/>
      <w:divBdr>
        <w:top w:val="none" w:sz="0" w:space="0" w:color="auto"/>
        <w:left w:val="none" w:sz="0" w:space="0" w:color="auto"/>
        <w:bottom w:val="none" w:sz="0" w:space="0" w:color="auto"/>
        <w:right w:val="none" w:sz="0" w:space="0" w:color="auto"/>
      </w:divBdr>
    </w:div>
    <w:div w:id="625308429">
      <w:bodyDiv w:val="1"/>
      <w:marLeft w:val="0"/>
      <w:marRight w:val="0"/>
      <w:marTop w:val="0"/>
      <w:marBottom w:val="0"/>
      <w:divBdr>
        <w:top w:val="none" w:sz="0" w:space="0" w:color="auto"/>
        <w:left w:val="none" w:sz="0" w:space="0" w:color="auto"/>
        <w:bottom w:val="none" w:sz="0" w:space="0" w:color="auto"/>
        <w:right w:val="none" w:sz="0" w:space="0" w:color="auto"/>
      </w:divBdr>
    </w:div>
    <w:div w:id="796921230">
      <w:bodyDiv w:val="1"/>
      <w:marLeft w:val="0"/>
      <w:marRight w:val="0"/>
      <w:marTop w:val="0"/>
      <w:marBottom w:val="0"/>
      <w:divBdr>
        <w:top w:val="none" w:sz="0" w:space="0" w:color="auto"/>
        <w:left w:val="none" w:sz="0" w:space="0" w:color="auto"/>
        <w:bottom w:val="none" w:sz="0" w:space="0" w:color="auto"/>
        <w:right w:val="none" w:sz="0" w:space="0" w:color="auto"/>
      </w:divBdr>
    </w:div>
    <w:div w:id="858272567">
      <w:bodyDiv w:val="1"/>
      <w:marLeft w:val="0"/>
      <w:marRight w:val="0"/>
      <w:marTop w:val="0"/>
      <w:marBottom w:val="0"/>
      <w:divBdr>
        <w:top w:val="none" w:sz="0" w:space="0" w:color="auto"/>
        <w:left w:val="none" w:sz="0" w:space="0" w:color="auto"/>
        <w:bottom w:val="none" w:sz="0" w:space="0" w:color="auto"/>
        <w:right w:val="none" w:sz="0" w:space="0" w:color="auto"/>
      </w:divBdr>
    </w:div>
    <w:div w:id="998002204">
      <w:bodyDiv w:val="1"/>
      <w:marLeft w:val="0"/>
      <w:marRight w:val="0"/>
      <w:marTop w:val="0"/>
      <w:marBottom w:val="0"/>
      <w:divBdr>
        <w:top w:val="none" w:sz="0" w:space="0" w:color="auto"/>
        <w:left w:val="none" w:sz="0" w:space="0" w:color="auto"/>
        <w:bottom w:val="none" w:sz="0" w:space="0" w:color="auto"/>
        <w:right w:val="none" w:sz="0" w:space="0" w:color="auto"/>
      </w:divBdr>
    </w:div>
    <w:div w:id="1136530068">
      <w:bodyDiv w:val="1"/>
      <w:marLeft w:val="0"/>
      <w:marRight w:val="0"/>
      <w:marTop w:val="0"/>
      <w:marBottom w:val="0"/>
      <w:divBdr>
        <w:top w:val="none" w:sz="0" w:space="0" w:color="auto"/>
        <w:left w:val="none" w:sz="0" w:space="0" w:color="auto"/>
        <w:bottom w:val="none" w:sz="0" w:space="0" w:color="auto"/>
        <w:right w:val="none" w:sz="0" w:space="0" w:color="auto"/>
      </w:divBdr>
    </w:div>
    <w:div w:id="1175073149">
      <w:bodyDiv w:val="1"/>
      <w:marLeft w:val="0"/>
      <w:marRight w:val="0"/>
      <w:marTop w:val="0"/>
      <w:marBottom w:val="0"/>
      <w:divBdr>
        <w:top w:val="none" w:sz="0" w:space="0" w:color="auto"/>
        <w:left w:val="none" w:sz="0" w:space="0" w:color="auto"/>
        <w:bottom w:val="none" w:sz="0" w:space="0" w:color="auto"/>
        <w:right w:val="none" w:sz="0" w:space="0" w:color="auto"/>
      </w:divBdr>
    </w:div>
    <w:div w:id="1217542876">
      <w:bodyDiv w:val="1"/>
      <w:marLeft w:val="0"/>
      <w:marRight w:val="0"/>
      <w:marTop w:val="0"/>
      <w:marBottom w:val="0"/>
      <w:divBdr>
        <w:top w:val="none" w:sz="0" w:space="0" w:color="auto"/>
        <w:left w:val="none" w:sz="0" w:space="0" w:color="auto"/>
        <w:bottom w:val="none" w:sz="0" w:space="0" w:color="auto"/>
        <w:right w:val="none" w:sz="0" w:space="0" w:color="auto"/>
      </w:divBdr>
    </w:div>
    <w:div w:id="1297829878">
      <w:bodyDiv w:val="1"/>
      <w:marLeft w:val="0"/>
      <w:marRight w:val="0"/>
      <w:marTop w:val="0"/>
      <w:marBottom w:val="0"/>
      <w:divBdr>
        <w:top w:val="none" w:sz="0" w:space="0" w:color="auto"/>
        <w:left w:val="none" w:sz="0" w:space="0" w:color="auto"/>
        <w:bottom w:val="none" w:sz="0" w:space="0" w:color="auto"/>
        <w:right w:val="none" w:sz="0" w:space="0" w:color="auto"/>
      </w:divBdr>
    </w:div>
    <w:div w:id="1406534868">
      <w:bodyDiv w:val="1"/>
      <w:marLeft w:val="0"/>
      <w:marRight w:val="0"/>
      <w:marTop w:val="0"/>
      <w:marBottom w:val="0"/>
      <w:divBdr>
        <w:top w:val="none" w:sz="0" w:space="0" w:color="auto"/>
        <w:left w:val="none" w:sz="0" w:space="0" w:color="auto"/>
        <w:bottom w:val="none" w:sz="0" w:space="0" w:color="auto"/>
        <w:right w:val="none" w:sz="0" w:space="0" w:color="auto"/>
      </w:divBdr>
    </w:div>
    <w:div w:id="1499156521">
      <w:bodyDiv w:val="1"/>
      <w:marLeft w:val="0"/>
      <w:marRight w:val="0"/>
      <w:marTop w:val="0"/>
      <w:marBottom w:val="0"/>
      <w:divBdr>
        <w:top w:val="none" w:sz="0" w:space="0" w:color="auto"/>
        <w:left w:val="none" w:sz="0" w:space="0" w:color="auto"/>
        <w:bottom w:val="none" w:sz="0" w:space="0" w:color="auto"/>
        <w:right w:val="none" w:sz="0" w:space="0" w:color="auto"/>
      </w:divBdr>
    </w:div>
    <w:div w:id="1759248994">
      <w:bodyDiv w:val="1"/>
      <w:marLeft w:val="0"/>
      <w:marRight w:val="0"/>
      <w:marTop w:val="0"/>
      <w:marBottom w:val="0"/>
      <w:divBdr>
        <w:top w:val="none" w:sz="0" w:space="0" w:color="auto"/>
        <w:left w:val="none" w:sz="0" w:space="0" w:color="auto"/>
        <w:bottom w:val="none" w:sz="0" w:space="0" w:color="auto"/>
        <w:right w:val="none" w:sz="0" w:space="0" w:color="auto"/>
      </w:divBdr>
    </w:div>
    <w:div w:id="1789885258">
      <w:bodyDiv w:val="1"/>
      <w:marLeft w:val="0"/>
      <w:marRight w:val="0"/>
      <w:marTop w:val="0"/>
      <w:marBottom w:val="0"/>
      <w:divBdr>
        <w:top w:val="none" w:sz="0" w:space="0" w:color="auto"/>
        <w:left w:val="none" w:sz="0" w:space="0" w:color="auto"/>
        <w:bottom w:val="none" w:sz="0" w:space="0" w:color="auto"/>
        <w:right w:val="none" w:sz="0" w:space="0" w:color="auto"/>
      </w:divBdr>
    </w:div>
    <w:div w:id="1863010595">
      <w:bodyDiv w:val="1"/>
      <w:marLeft w:val="0"/>
      <w:marRight w:val="0"/>
      <w:marTop w:val="0"/>
      <w:marBottom w:val="0"/>
      <w:divBdr>
        <w:top w:val="none" w:sz="0" w:space="0" w:color="auto"/>
        <w:left w:val="none" w:sz="0" w:space="0" w:color="auto"/>
        <w:bottom w:val="none" w:sz="0" w:space="0" w:color="auto"/>
        <w:right w:val="none" w:sz="0" w:space="0" w:color="auto"/>
      </w:divBdr>
    </w:div>
    <w:div w:id="1898513772">
      <w:bodyDiv w:val="1"/>
      <w:marLeft w:val="0"/>
      <w:marRight w:val="0"/>
      <w:marTop w:val="0"/>
      <w:marBottom w:val="0"/>
      <w:divBdr>
        <w:top w:val="none" w:sz="0" w:space="0" w:color="auto"/>
        <w:left w:val="none" w:sz="0" w:space="0" w:color="auto"/>
        <w:bottom w:val="none" w:sz="0" w:space="0" w:color="auto"/>
        <w:right w:val="none" w:sz="0" w:space="0" w:color="auto"/>
      </w:divBdr>
    </w:div>
    <w:div w:id="20615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2020-02-21T05:11:00Z</dcterms:created>
  <dcterms:modified xsi:type="dcterms:W3CDTF">2020-02-21T05:18:00Z</dcterms:modified>
</cp:coreProperties>
</file>