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5D341E">
        <w:tc>
          <w:tcPr>
            <w:tcW w:w="2122" w:type="dxa"/>
          </w:tcPr>
          <w:p w:rsidR="00FF0404" w:rsidRPr="0076070A" w:rsidRDefault="00FF0404">
            <w:pPr>
              <w:rPr>
                <w:b/>
              </w:rPr>
            </w:pPr>
            <w:r w:rsidRPr="0076070A">
              <w:rPr>
                <w:b/>
              </w:rPr>
              <w:t>Name</w:t>
            </w:r>
          </w:p>
        </w:tc>
        <w:tc>
          <w:tcPr>
            <w:tcW w:w="6894" w:type="dxa"/>
          </w:tcPr>
          <w:p w:rsidR="00FF0404" w:rsidRDefault="005D341E">
            <w:r>
              <w:t>Michael Sherlock</w:t>
            </w:r>
          </w:p>
        </w:tc>
      </w:tr>
      <w:tr w:rsidR="00FF0404" w:rsidTr="005D341E">
        <w:tc>
          <w:tcPr>
            <w:tcW w:w="2122" w:type="dxa"/>
          </w:tcPr>
          <w:p w:rsidR="00FF0404" w:rsidRPr="0076070A" w:rsidRDefault="00FF0404">
            <w:pPr>
              <w:rPr>
                <w:b/>
              </w:rPr>
            </w:pPr>
            <w:r w:rsidRPr="0076070A">
              <w:rPr>
                <w:b/>
              </w:rPr>
              <w:t xml:space="preserve">State </w:t>
            </w:r>
          </w:p>
        </w:tc>
        <w:tc>
          <w:tcPr>
            <w:tcW w:w="6894" w:type="dxa"/>
          </w:tcPr>
          <w:p w:rsidR="00FF0404" w:rsidRDefault="005D341E">
            <w:r>
              <w:t>Queensland</w:t>
            </w:r>
          </w:p>
        </w:tc>
      </w:tr>
      <w:tr w:rsidR="00FF0404" w:rsidTr="005D341E">
        <w:tc>
          <w:tcPr>
            <w:tcW w:w="2122" w:type="dxa"/>
          </w:tcPr>
          <w:p w:rsidR="00FF0404" w:rsidRPr="0076070A" w:rsidRDefault="00FF0404">
            <w:pPr>
              <w:rPr>
                <w:b/>
              </w:rPr>
            </w:pPr>
            <w:r w:rsidRPr="0076070A">
              <w:rPr>
                <w:b/>
              </w:rPr>
              <w:t xml:space="preserve">Stakeholder Type: </w:t>
            </w:r>
          </w:p>
        </w:tc>
        <w:tc>
          <w:tcPr>
            <w:tcW w:w="6894" w:type="dxa"/>
          </w:tcPr>
          <w:p w:rsidR="00FF0404" w:rsidRDefault="005D341E">
            <w:r>
              <w:t>Former franchisee</w:t>
            </w:r>
          </w:p>
        </w:tc>
      </w:tr>
      <w:tr w:rsidR="00FF0404" w:rsidTr="005D341E">
        <w:tc>
          <w:tcPr>
            <w:tcW w:w="2122" w:type="dxa"/>
          </w:tcPr>
          <w:p w:rsidR="00FF0404" w:rsidRPr="0076070A" w:rsidRDefault="00FF0404">
            <w:pPr>
              <w:rPr>
                <w:b/>
              </w:rPr>
            </w:pPr>
            <w:r w:rsidRPr="0076070A">
              <w:rPr>
                <w:b/>
              </w:rPr>
              <w:t>Industry Type:</w:t>
            </w:r>
          </w:p>
        </w:tc>
        <w:tc>
          <w:tcPr>
            <w:tcW w:w="6894" w:type="dxa"/>
          </w:tcPr>
          <w:p w:rsidR="00FF0404" w:rsidRDefault="005D341E">
            <w:r>
              <w:t>Food</w:t>
            </w:r>
          </w:p>
          <w:p w:rsidR="003F0D4B" w:rsidRDefault="003F0D4B"/>
          <w:p w:rsidR="003F0D4B" w:rsidRDefault="003F0D4B"/>
        </w:tc>
      </w:tr>
      <w:tr w:rsidR="00FF0404" w:rsidTr="005D341E">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There should be a summary of all fees and charges in the </w:t>
            </w:r>
            <w:proofErr w:type="spellStart"/>
            <w:r>
              <w:rPr>
                <w:rFonts w:ascii="Calibri" w:hAnsi="Calibri" w:cs="Calibri"/>
                <w:color w:val="000000"/>
              </w:rPr>
              <w:t>annxure</w:t>
            </w:r>
            <w:proofErr w:type="spellEnd"/>
            <w:r>
              <w:rPr>
                <w:rFonts w:ascii="Calibri" w:hAnsi="Calibri" w:cs="Calibri"/>
                <w:color w:val="000000"/>
              </w:rPr>
              <w:t xml:space="preserve"> that includes all finical benefits the franchisor will receive during the term of the agreement ,simple English easy to understand .</w:t>
            </w:r>
            <w:r>
              <w:rPr>
                <w:rFonts w:ascii="Calibri" w:hAnsi="Calibri" w:cs="Calibri"/>
                <w:color w:val="000000"/>
              </w:rPr>
              <w:br/>
              <w:t xml:space="preserve">Do not allow Franchisors to impose costs by varying the operations </w:t>
            </w:r>
            <w:proofErr w:type="gramStart"/>
            <w:r>
              <w:rPr>
                <w:rFonts w:ascii="Calibri" w:hAnsi="Calibri" w:cs="Calibri"/>
                <w:color w:val="000000"/>
              </w:rPr>
              <w:t>manual .</w:t>
            </w:r>
            <w:proofErr w:type="gramEnd"/>
            <w:r>
              <w:rPr>
                <w:rFonts w:ascii="Calibri" w:hAnsi="Calibri" w:cs="Calibri"/>
                <w:color w:val="000000"/>
              </w:rPr>
              <w:br/>
            </w:r>
            <w:proofErr w:type="spellStart"/>
            <w:r>
              <w:rPr>
                <w:rFonts w:ascii="Calibri" w:hAnsi="Calibri" w:cs="Calibri"/>
                <w:color w:val="000000"/>
              </w:rPr>
              <w:t>Ifthese</w:t>
            </w:r>
            <w:proofErr w:type="spellEnd"/>
            <w:r>
              <w:rPr>
                <w:rFonts w:ascii="Calibri" w:hAnsi="Calibri" w:cs="Calibri"/>
                <w:color w:val="000000"/>
              </w:rPr>
              <w:t xml:space="preserve"> charges are varied during the term of the agreement both parties to the agreement should agree to the </w:t>
            </w:r>
            <w:proofErr w:type="gramStart"/>
            <w:r>
              <w:rPr>
                <w:rFonts w:ascii="Calibri" w:hAnsi="Calibri" w:cs="Calibri"/>
                <w:color w:val="000000"/>
              </w:rPr>
              <w:t>variation .</w:t>
            </w:r>
            <w:proofErr w:type="gramEnd"/>
          </w:p>
          <w:p w:rsidR="00FF0404" w:rsidRDefault="00FF0404"/>
        </w:tc>
      </w:tr>
      <w:tr w:rsidR="00FF0404" w:rsidTr="005D341E">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All major fees and charges in the Franchise deed and annexures </w:t>
            </w:r>
            <w:r>
              <w:rPr>
                <w:rFonts w:ascii="Calibri" w:hAnsi="Calibri" w:cs="Calibri"/>
                <w:color w:val="000000"/>
              </w:rPr>
              <w:br/>
              <w:t xml:space="preserve">including </w:t>
            </w:r>
            <w:r>
              <w:rPr>
                <w:rFonts w:ascii="Calibri" w:hAnsi="Calibri" w:cs="Calibri"/>
                <w:color w:val="000000"/>
              </w:rPr>
              <w:br/>
              <w:t xml:space="preserve">- the actual percentage of money collected via the marketing fund that is spent on driving network sales and the percentage retained by the Franchisor for Head offices charges </w:t>
            </w:r>
            <w:r>
              <w:rPr>
                <w:rFonts w:ascii="Calibri" w:hAnsi="Calibri" w:cs="Calibri"/>
                <w:color w:val="000000"/>
              </w:rPr>
              <w:br/>
              <w:t xml:space="preserve">- Full details on all rebates received from all suppliers </w:t>
            </w:r>
          </w:p>
          <w:p w:rsidR="00FF0404" w:rsidRDefault="00FF0404"/>
        </w:tc>
      </w:tr>
      <w:tr w:rsidR="00FF0404" w:rsidTr="005D341E">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Introduction to franchising on line similar to the one conducted by Griffith University APCFE , case studies of where franchisees were exploited by the Franchisor </w:t>
            </w:r>
          </w:p>
          <w:p w:rsidR="00FF0404" w:rsidRDefault="00FF0404"/>
        </w:tc>
      </w:tr>
      <w:tr w:rsidR="00FF0404" w:rsidTr="005D341E">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5D341E">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Not even a layer can understand all the charges - act in Good </w:t>
            </w:r>
            <w:proofErr w:type="gramStart"/>
            <w:r>
              <w:rPr>
                <w:rFonts w:ascii="Calibri" w:hAnsi="Calibri" w:cs="Calibri"/>
                <w:color w:val="000000"/>
              </w:rPr>
              <w:t>Faith ???</w:t>
            </w:r>
            <w:proofErr w:type="gramEnd"/>
            <w:r>
              <w:rPr>
                <w:rFonts w:ascii="Calibri" w:hAnsi="Calibri" w:cs="Calibri"/>
                <w:color w:val="000000"/>
              </w:rPr>
              <w:t xml:space="preserve"> this can only be tested in a court </w:t>
            </w:r>
            <w:r>
              <w:rPr>
                <w:rFonts w:ascii="Calibri" w:hAnsi="Calibri" w:cs="Calibri"/>
                <w:color w:val="000000"/>
              </w:rPr>
              <w:br/>
            </w:r>
            <w:r>
              <w:rPr>
                <w:rFonts w:ascii="Calibri" w:hAnsi="Calibri" w:cs="Calibri"/>
                <w:color w:val="000000"/>
              </w:rPr>
              <w:br/>
              <w:t>Don't listen to FCA it does not represent the industry only Consultants and Lawyers , Franchise systems on the board are not a reflection of the sector</w:t>
            </w:r>
          </w:p>
          <w:p w:rsidR="003F0D4B" w:rsidRPr="00FF0404" w:rsidRDefault="003F0D4B"/>
        </w:tc>
      </w:tr>
      <w:tr w:rsidR="00FF0404" w:rsidTr="005D341E">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1.2.3: Pre-entry education</w:t>
            </w:r>
          </w:p>
          <w:p w:rsidR="003F0D4B" w:rsidRDefault="003F0D4B"/>
        </w:tc>
      </w:tr>
      <w:tr w:rsidR="00C26190" w:rsidTr="005D341E">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Nothing else has worked - the problems continue to be exposed</w:t>
            </w:r>
          </w:p>
          <w:p w:rsidR="00C26190" w:rsidRPr="00C26190" w:rsidRDefault="00C26190" w:rsidP="00FF0404"/>
        </w:tc>
      </w:tr>
      <w:tr w:rsidR="00FF0404" w:rsidTr="005D341E">
        <w:tc>
          <w:tcPr>
            <w:tcW w:w="9016" w:type="dxa"/>
            <w:gridSpan w:val="2"/>
          </w:tcPr>
          <w:p w:rsidR="00FF0404" w:rsidRPr="003F0D4B" w:rsidRDefault="00C26190">
            <w:pPr>
              <w:rPr>
                <w:b/>
              </w:rPr>
            </w:pPr>
            <w:r w:rsidRPr="003F0D4B">
              <w:rPr>
                <w:b/>
              </w:rPr>
              <w:lastRenderedPageBreak/>
              <w:t>Problem 1.3: Information gaps – a potential franchisee might be unaware of which types of information are materially relevant to inform their decision to enter an agreement.</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1.3.2: A new Government online educational resource for the franchising sector</w:t>
            </w:r>
          </w:p>
          <w:p w:rsidR="003F0D4B" w:rsidRDefault="003F0D4B"/>
        </w:tc>
      </w:tr>
      <w:tr w:rsidR="00FF0404" w:rsidTr="005D341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Hard hitting examples of how not to be </w:t>
            </w:r>
            <w:proofErr w:type="spellStart"/>
            <w:r>
              <w:rPr>
                <w:rFonts w:ascii="Calibri" w:hAnsi="Calibri" w:cs="Calibri"/>
                <w:color w:val="000000"/>
              </w:rPr>
              <w:t>dissapointed</w:t>
            </w:r>
            <w:proofErr w:type="spellEnd"/>
            <w:r>
              <w:rPr>
                <w:rFonts w:ascii="Calibri" w:hAnsi="Calibri" w:cs="Calibri"/>
                <w:color w:val="000000"/>
              </w:rPr>
              <w:t xml:space="preserve"> </w:t>
            </w:r>
          </w:p>
          <w:p w:rsidR="00FF0404" w:rsidRDefault="00FF0404"/>
        </w:tc>
      </w:tr>
      <w:tr w:rsidR="00FF0404" w:rsidTr="005D341E">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5D341E">
        <w:trPr>
          <w:trHeight w:val="339"/>
        </w:trPr>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Make sure all prospective Franchisees meet face to face with existing and ex franchisees and spend a considerable amount of time in a store observing </w:t>
            </w:r>
          </w:p>
          <w:p w:rsidR="00FF0404" w:rsidRDefault="00FF0404"/>
        </w:tc>
      </w:tr>
      <w:tr w:rsidR="00FF0404" w:rsidTr="005D341E">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Very easy - no excuses </w:t>
            </w:r>
          </w:p>
          <w:p w:rsidR="00FF0404" w:rsidRDefault="00FF0404"/>
        </w:tc>
      </w:tr>
      <w:tr w:rsidR="00FF0404" w:rsidTr="005D341E">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Lease or Agreement to Lease should be finalized before the Franchise agreement is agreed </w:t>
            </w:r>
          </w:p>
          <w:p w:rsidR="00FF0404" w:rsidRDefault="00FF0404"/>
        </w:tc>
      </w:tr>
      <w:tr w:rsidR="00FF0404" w:rsidTr="005D341E">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2.1.3: Amend the code to extend the disclosure period to 21 days, with the ability to waive part or all of this period with written agreement of both parties</w:t>
            </w:r>
          </w:p>
          <w:p w:rsidR="003F0D4B" w:rsidRDefault="003F0D4B"/>
        </w:tc>
      </w:tr>
      <w:tr w:rsidR="00FF0404" w:rsidTr="005D341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The longer the better , </w:t>
            </w:r>
            <w:proofErr w:type="spellStart"/>
            <w:r>
              <w:rPr>
                <w:rFonts w:ascii="Calibri" w:hAnsi="Calibri" w:cs="Calibri"/>
                <w:color w:val="000000"/>
              </w:rPr>
              <w:t>dont</w:t>
            </w:r>
            <w:proofErr w:type="spellEnd"/>
            <w:r>
              <w:rPr>
                <w:rFonts w:ascii="Calibri" w:hAnsi="Calibri" w:cs="Calibri"/>
                <w:color w:val="000000"/>
              </w:rPr>
              <w:t xml:space="preserve"> be in a hurry</w:t>
            </w:r>
          </w:p>
          <w:p w:rsidR="00FF0404" w:rsidRDefault="00FF0404"/>
        </w:tc>
      </w:tr>
      <w:tr w:rsidR="00FF0404" w:rsidTr="005D341E">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2.2.3: Provide a new cooling off period of seven days where lease terms are 10 per cent above maximum estimates provided in disclosure documents</w:t>
            </w:r>
          </w:p>
          <w:p w:rsidR="003F0D4B" w:rsidRDefault="003F0D4B"/>
        </w:tc>
      </w:tr>
      <w:tr w:rsidR="00FF0404" w:rsidTr="005D341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The landlord will finalize a lease to get the deal - </w:t>
            </w:r>
            <w:proofErr w:type="spellStart"/>
            <w:r>
              <w:rPr>
                <w:rFonts w:ascii="Calibri" w:hAnsi="Calibri" w:cs="Calibri"/>
                <w:color w:val="000000"/>
              </w:rPr>
              <w:t>dont</w:t>
            </w:r>
            <w:proofErr w:type="spellEnd"/>
            <w:r>
              <w:rPr>
                <w:rFonts w:ascii="Calibri" w:hAnsi="Calibri" w:cs="Calibri"/>
                <w:color w:val="000000"/>
              </w:rPr>
              <w:t xml:space="preserve"> be fooled</w:t>
            </w:r>
          </w:p>
          <w:p w:rsidR="00FF0404" w:rsidRDefault="00FF0404"/>
        </w:tc>
      </w:tr>
      <w:tr w:rsidR="00FF0404" w:rsidTr="005D341E">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2.3.3: Extend cooling off to transfers only</w:t>
            </w:r>
          </w:p>
          <w:p w:rsidR="003F0D4B" w:rsidRDefault="003F0D4B"/>
        </w:tc>
      </w:tr>
      <w:tr w:rsidR="00FF0404" w:rsidTr="005D341E">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Existing franchisees </w:t>
            </w:r>
            <w:proofErr w:type="spellStart"/>
            <w:r>
              <w:rPr>
                <w:rFonts w:ascii="Calibri" w:hAnsi="Calibri" w:cs="Calibri"/>
                <w:color w:val="000000"/>
              </w:rPr>
              <w:t>dont</w:t>
            </w:r>
            <w:proofErr w:type="spellEnd"/>
            <w:r>
              <w:rPr>
                <w:rFonts w:ascii="Calibri" w:hAnsi="Calibri" w:cs="Calibri"/>
                <w:color w:val="000000"/>
              </w:rPr>
              <w:t xml:space="preserve"> need cooling off for a </w:t>
            </w:r>
            <w:proofErr w:type="gramStart"/>
            <w:r>
              <w:rPr>
                <w:rFonts w:ascii="Calibri" w:hAnsi="Calibri" w:cs="Calibri"/>
                <w:color w:val="000000"/>
              </w:rPr>
              <w:t>renewal ,</w:t>
            </w:r>
            <w:proofErr w:type="gramEnd"/>
            <w:r>
              <w:rPr>
                <w:rFonts w:ascii="Calibri" w:hAnsi="Calibri" w:cs="Calibri"/>
                <w:color w:val="000000"/>
              </w:rPr>
              <w:t xml:space="preserve"> new franchisees do .</w:t>
            </w:r>
          </w:p>
          <w:p w:rsidR="00FF0404" w:rsidRDefault="00FF0404"/>
        </w:tc>
      </w:tr>
      <w:tr w:rsidR="00FF0404" w:rsidTr="005D341E">
        <w:tc>
          <w:tcPr>
            <w:tcW w:w="9016" w:type="dxa"/>
            <w:gridSpan w:val="2"/>
          </w:tcPr>
          <w:p w:rsidR="00FF0404" w:rsidRPr="003F0D4B" w:rsidRDefault="00A01DF3">
            <w:pPr>
              <w:rPr>
                <w:b/>
              </w:rPr>
            </w:pPr>
            <w:r w:rsidRPr="003F0D4B">
              <w:rPr>
                <w:b/>
              </w:rPr>
              <w:lastRenderedPageBreak/>
              <w:t>7. What would ‘meaningful information’ look like in terms of marketing fund disclosure?</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Percentage of funds collected spent on what they are collected for driving </w:t>
            </w:r>
            <w:proofErr w:type="spellStart"/>
            <w:r>
              <w:rPr>
                <w:rFonts w:ascii="Calibri" w:hAnsi="Calibri" w:cs="Calibri"/>
                <w:color w:val="000000"/>
              </w:rPr>
              <w:t>Net work</w:t>
            </w:r>
            <w:proofErr w:type="spellEnd"/>
            <w:r>
              <w:rPr>
                <w:rFonts w:ascii="Calibri" w:hAnsi="Calibri" w:cs="Calibri"/>
                <w:color w:val="000000"/>
              </w:rPr>
              <w:t xml:space="preserve"> (Franchisee ) sales , max aloud on head office expenses 15%</w:t>
            </w:r>
            <w:r>
              <w:rPr>
                <w:rFonts w:ascii="Calibri" w:hAnsi="Calibri" w:cs="Calibri"/>
                <w:color w:val="000000"/>
              </w:rPr>
              <w:br/>
              <w:t xml:space="preserve">McDonald's spends 100% </w:t>
            </w:r>
          </w:p>
          <w:p w:rsidR="00FF0404" w:rsidRDefault="00FF0404"/>
        </w:tc>
      </w:tr>
      <w:tr w:rsidR="00FF0404" w:rsidTr="005D341E">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Annual is OK provided the above is implemented </w:t>
            </w:r>
          </w:p>
          <w:p w:rsidR="00FF0404" w:rsidRDefault="00FF0404"/>
        </w:tc>
      </w:tr>
      <w:tr w:rsidR="00FF0404" w:rsidTr="005D341E">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5D341E">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A01DF3" w:rsidRDefault="00A01DF3" w:rsidP="005D341E">
            <w:pPr>
              <w:pStyle w:val="ListParagraph"/>
              <w:numPr>
                <w:ilvl w:val="0"/>
                <w:numId w:val="7"/>
              </w:numPr>
            </w:pPr>
            <w:r w:rsidRPr="00A01DF3">
              <w:t>Require master franchisors to meet requirements of marketing funds</w:t>
            </w:r>
          </w:p>
          <w:p w:rsidR="00A01DF3" w:rsidRDefault="00A01DF3" w:rsidP="005D341E">
            <w:pPr>
              <w:pStyle w:val="ListParagraph"/>
              <w:numPr>
                <w:ilvl w:val="0"/>
                <w:numId w:val="7"/>
              </w:numPr>
            </w:pPr>
            <w:r>
              <w:t>Clarify the distribution of marketing funds in the event of franchisor insolvency</w:t>
            </w:r>
          </w:p>
          <w:p w:rsidR="003F0D4B" w:rsidRDefault="003F0D4B" w:rsidP="005D341E"/>
        </w:tc>
      </w:tr>
      <w:tr w:rsidR="00FF0404" w:rsidTr="005D341E">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For a start </w:t>
            </w:r>
            <w:proofErr w:type="spellStart"/>
            <w:r>
              <w:rPr>
                <w:rFonts w:ascii="Calibri" w:hAnsi="Calibri" w:cs="Calibri"/>
                <w:color w:val="000000"/>
              </w:rPr>
              <w:t>no where</w:t>
            </w:r>
            <w:proofErr w:type="spellEnd"/>
            <w:r>
              <w:rPr>
                <w:rFonts w:ascii="Calibri" w:hAnsi="Calibri" w:cs="Calibri"/>
                <w:color w:val="000000"/>
              </w:rPr>
              <w:t xml:space="preserve"> in the Code does it state that marketing funds should be spent on Marketing , </w:t>
            </w:r>
            <w:proofErr w:type="spellStart"/>
            <w:r>
              <w:rPr>
                <w:rFonts w:ascii="Calibri" w:hAnsi="Calibri" w:cs="Calibri"/>
                <w:color w:val="000000"/>
              </w:rPr>
              <w:t>i</w:t>
            </w:r>
            <w:proofErr w:type="spellEnd"/>
            <w:r>
              <w:rPr>
                <w:rFonts w:ascii="Calibri" w:hAnsi="Calibri" w:cs="Calibri"/>
                <w:color w:val="000000"/>
              </w:rPr>
              <w:t xml:space="preserve"> have seen where the Franchisor keeps 95% on head office including employing family members on Marketing </w:t>
            </w:r>
          </w:p>
          <w:p w:rsidR="00FF0404" w:rsidRDefault="00FF0404"/>
        </w:tc>
      </w:tr>
      <w:tr w:rsidR="00FF0404" w:rsidTr="005D341E">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The current system does not assist in any way , a full (phone book) of suppliers but no total amount collected </w:t>
            </w:r>
            <w:r>
              <w:rPr>
                <w:rFonts w:ascii="Calibri" w:hAnsi="Calibri" w:cs="Calibri"/>
                <w:color w:val="000000"/>
              </w:rPr>
              <w:br/>
            </w:r>
            <w:r>
              <w:rPr>
                <w:rFonts w:ascii="Calibri" w:hAnsi="Calibri" w:cs="Calibri"/>
                <w:color w:val="000000"/>
              </w:rPr>
              <w:br/>
              <w:t xml:space="preserve">State Coca Cola - 12% of all network purchases is rebated to the </w:t>
            </w:r>
            <w:proofErr w:type="spellStart"/>
            <w:r>
              <w:rPr>
                <w:rFonts w:ascii="Calibri" w:hAnsi="Calibri" w:cs="Calibri"/>
                <w:color w:val="000000"/>
              </w:rPr>
              <w:t>Franchisoor</w:t>
            </w:r>
            <w:proofErr w:type="spellEnd"/>
            <w:r>
              <w:rPr>
                <w:rFonts w:ascii="Calibri" w:hAnsi="Calibri" w:cs="Calibri"/>
                <w:color w:val="000000"/>
              </w:rPr>
              <w:t xml:space="preserve"> </w:t>
            </w:r>
            <w:r>
              <w:rPr>
                <w:rFonts w:ascii="Calibri" w:hAnsi="Calibri" w:cs="Calibri"/>
                <w:color w:val="000000"/>
              </w:rPr>
              <w:br/>
            </w:r>
            <w:r>
              <w:rPr>
                <w:rFonts w:ascii="Calibri" w:hAnsi="Calibri" w:cs="Calibri"/>
                <w:color w:val="000000"/>
              </w:rPr>
              <w:br/>
              <w:t>Include ALL suppliers - shopfitters - equipment - finance- IT - POS- project management -</w:t>
            </w:r>
            <w:proofErr w:type="spellStart"/>
            <w:r>
              <w:rPr>
                <w:rFonts w:ascii="Calibri" w:hAnsi="Calibri" w:cs="Calibri"/>
                <w:color w:val="000000"/>
              </w:rPr>
              <w:t>etc</w:t>
            </w:r>
            <w:proofErr w:type="spellEnd"/>
            <w:r>
              <w:rPr>
                <w:rFonts w:ascii="Calibri" w:hAnsi="Calibri" w:cs="Calibri"/>
                <w:color w:val="000000"/>
              </w:rPr>
              <w:t xml:space="preserve"> </w:t>
            </w:r>
            <w:proofErr w:type="spellStart"/>
            <w:r>
              <w:rPr>
                <w:rFonts w:ascii="Calibri" w:hAnsi="Calibri" w:cs="Calibri"/>
                <w:color w:val="000000"/>
              </w:rPr>
              <w:t>etc</w:t>
            </w:r>
            <w:proofErr w:type="spellEnd"/>
            <w:r>
              <w:rPr>
                <w:rFonts w:ascii="Calibri" w:hAnsi="Calibri" w:cs="Calibri"/>
                <w:color w:val="000000"/>
              </w:rPr>
              <w:t xml:space="preserve"> - everything </w:t>
            </w:r>
            <w:r>
              <w:rPr>
                <w:rFonts w:ascii="Calibri" w:hAnsi="Calibri" w:cs="Calibri"/>
                <w:color w:val="000000"/>
              </w:rPr>
              <w:br/>
            </w:r>
            <w:r>
              <w:rPr>
                <w:rFonts w:ascii="Calibri" w:hAnsi="Calibri" w:cs="Calibri"/>
                <w:color w:val="000000"/>
              </w:rPr>
              <w:br/>
              <w:t xml:space="preserve">MacDonald's does not receive rebates </w:t>
            </w:r>
          </w:p>
          <w:p w:rsidR="00FF0404" w:rsidRDefault="00FF0404"/>
        </w:tc>
      </w:tr>
      <w:tr w:rsidR="00FF0404" w:rsidTr="005D341E">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No Guarantee can be provided for a new store - if the Franchisee is required during the term to buy new equipment or upgrade re image HO should show the benefits via a case study where sales grew or expenses declined </w:t>
            </w:r>
          </w:p>
          <w:p w:rsidR="00FF0404" w:rsidRDefault="00FF0404"/>
        </w:tc>
      </w:tr>
      <w:tr w:rsidR="00FF0404" w:rsidTr="005D341E">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Normal ROI</w:t>
            </w:r>
          </w:p>
          <w:p w:rsidR="00EE5CDA" w:rsidRPr="007D2442" w:rsidRDefault="00EE5CDA"/>
        </w:tc>
      </w:tr>
      <w:tr w:rsidR="00EE5CDA" w:rsidTr="005D341E">
        <w:tc>
          <w:tcPr>
            <w:tcW w:w="9016" w:type="dxa"/>
            <w:gridSpan w:val="2"/>
          </w:tcPr>
          <w:p w:rsidR="00EE5CDA" w:rsidRPr="003F0D4B" w:rsidRDefault="00EE5CDA">
            <w:pPr>
              <w:rPr>
                <w:b/>
              </w:rPr>
            </w:pPr>
            <w:r w:rsidRPr="003F0D4B">
              <w:rPr>
                <w:b/>
              </w:rPr>
              <w:t>Problem 4.1 Supplier rebates can lead to conflicts of interest</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4.1.2: Address conflicts of interest in the handling of supplier rebates to franchisors by requiring increased disclosure</w:t>
            </w:r>
          </w:p>
          <w:p w:rsidR="003F0D4B" w:rsidRPr="007D2442" w:rsidRDefault="003F0D4B"/>
        </w:tc>
      </w:tr>
      <w:tr w:rsidR="00EE5CDA" w:rsidTr="005D341E">
        <w:tc>
          <w:tcPr>
            <w:tcW w:w="9016" w:type="dxa"/>
            <w:gridSpan w:val="2"/>
          </w:tcPr>
          <w:p w:rsidR="00EE5CDA" w:rsidRPr="003F0D4B" w:rsidRDefault="00EE5CDA">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Full disclosure and all conflicts of interest - allow rebates but disclose them , provided the franchisee is still buying cheaper than individually they get the buying power </w:t>
            </w:r>
          </w:p>
          <w:p w:rsidR="00EE5CDA" w:rsidRPr="007D2442" w:rsidRDefault="00EE5CDA"/>
        </w:tc>
      </w:tr>
      <w:tr w:rsidR="00CB0D83" w:rsidTr="005D341E">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4.2.3: Clarify franchisee rights when significant capital expenditure is required</w:t>
            </w:r>
          </w:p>
          <w:p w:rsidR="003F0D4B" w:rsidRPr="003F0D4B" w:rsidRDefault="003F0D4B"/>
        </w:tc>
      </w:tr>
      <w:tr w:rsidR="00EE5CDA" w:rsidTr="005D341E">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Case studies provided showing how the capital expenditure </w:t>
            </w:r>
            <w:proofErr w:type="spellStart"/>
            <w:r>
              <w:rPr>
                <w:rFonts w:ascii="Calibri" w:hAnsi="Calibri" w:cs="Calibri"/>
                <w:color w:val="000000"/>
              </w:rPr>
              <w:t>ha</w:t>
            </w:r>
            <w:proofErr w:type="spellEnd"/>
            <w:r>
              <w:rPr>
                <w:rFonts w:ascii="Calibri" w:hAnsi="Calibri" w:cs="Calibri"/>
                <w:color w:val="000000"/>
              </w:rPr>
              <w:t xml:space="preserve"> driven sales </w:t>
            </w:r>
          </w:p>
          <w:p w:rsidR="00EE5CDA" w:rsidRPr="007D2442" w:rsidRDefault="00EE5CDA"/>
        </w:tc>
      </w:tr>
      <w:tr w:rsidR="00EE5CDA" w:rsidTr="005D341E">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4.3.2: Banning or limiting the circumstances in which franchisors can unilaterally vary franchise agreements</w:t>
            </w:r>
          </w:p>
          <w:p w:rsidR="003F0D4B" w:rsidRPr="007D2442" w:rsidRDefault="003F0D4B"/>
        </w:tc>
      </w:tr>
      <w:tr w:rsidR="00EE5CDA" w:rsidTr="005D341E">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Up front disclosure - no changes during the term of the agreement </w:t>
            </w:r>
          </w:p>
          <w:p w:rsidR="00EE5CDA" w:rsidRPr="007D2442" w:rsidRDefault="00EE5CDA"/>
        </w:tc>
      </w:tr>
      <w:tr w:rsidR="00EE5CDA" w:rsidTr="005D341E">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Fund the ACCC via making the registration of deeds compulsory annually - large fines for </w:t>
            </w:r>
            <w:proofErr w:type="spellStart"/>
            <w:r>
              <w:rPr>
                <w:rFonts w:ascii="Calibri" w:hAnsi="Calibri" w:cs="Calibri"/>
                <w:color w:val="000000"/>
              </w:rPr>
              <w:t>non disclosure</w:t>
            </w:r>
            <w:proofErr w:type="spellEnd"/>
            <w:r>
              <w:rPr>
                <w:rFonts w:ascii="Calibri" w:hAnsi="Calibri" w:cs="Calibri"/>
                <w:color w:val="000000"/>
              </w:rPr>
              <w:t xml:space="preserve"> </w:t>
            </w:r>
            <w:r>
              <w:rPr>
                <w:rFonts w:ascii="Calibri" w:hAnsi="Calibri" w:cs="Calibri"/>
                <w:color w:val="000000"/>
              </w:rPr>
              <w:br/>
            </w:r>
            <w:r>
              <w:rPr>
                <w:rFonts w:ascii="Calibri" w:hAnsi="Calibri" w:cs="Calibri"/>
                <w:color w:val="000000"/>
              </w:rPr>
              <w:br/>
              <w:t xml:space="preserve">how many RFG franchisees complained to ACCC and they did nothing </w:t>
            </w:r>
            <w:r>
              <w:rPr>
                <w:rFonts w:ascii="Calibri" w:hAnsi="Calibri" w:cs="Calibri"/>
                <w:color w:val="000000"/>
              </w:rPr>
              <w:br/>
            </w:r>
            <w:r>
              <w:rPr>
                <w:rFonts w:ascii="Calibri" w:hAnsi="Calibri" w:cs="Calibri"/>
                <w:color w:val="000000"/>
              </w:rPr>
              <w:br/>
              <w:t xml:space="preserve">Keep Mediation compulsory and measure success keep the system accountable - you </w:t>
            </w:r>
            <w:proofErr w:type="spellStart"/>
            <w:r>
              <w:rPr>
                <w:rFonts w:ascii="Calibri" w:hAnsi="Calibri" w:cs="Calibri"/>
                <w:color w:val="000000"/>
              </w:rPr>
              <w:t>cant</w:t>
            </w:r>
            <w:proofErr w:type="spellEnd"/>
            <w:r>
              <w:rPr>
                <w:rFonts w:ascii="Calibri" w:hAnsi="Calibri" w:cs="Calibri"/>
                <w:color w:val="000000"/>
              </w:rPr>
              <w:t xml:space="preserve"> leave until it is agreed - ask the family court how they do it </w:t>
            </w:r>
          </w:p>
          <w:p w:rsidR="00EE5CDA" w:rsidRPr="007D2442" w:rsidRDefault="00EE5CDA"/>
        </w:tc>
      </w:tr>
      <w:tr w:rsidR="00EE5CDA" w:rsidTr="005D341E">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Yes</w:t>
            </w:r>
          </w:p>
          <w:p w:rsidR="00EE5CDA" w:rsidRPr="007D2442" w:rsidRDefault="00EE5CDA"/>
        </w:tc>
      </w:tr>
      <w:tr w:rsidR="00EE5CDA" w:rsidTr="005D341E">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5D341E">
        <w:tc>
          <w:tcPr>
            <w:tcW w:w="9016" w:type="dxa"/>
            <w:gridSpan w:val="2"/>
          </w:tcPr>
          <w:p w:rsidR="002A69D5" w:rsidRDefault="002A69D5">
            <w:r w:rsidRPr="002A69D5">
              <w:t>Option 5.1.2: Expand options for dispute resolution, and streamline mediation procedures and services</w:t>
            </w:r>
          </w:p>
          <w:p w:rsidR="002A69D5" w:rsidRDefault="002A69D5" w:rsidP="002A69D5">
            <w:pPr>
              <w:pStyle w:val="ListParagraph"/>
              <w:numPr>
                <w:ilvl w:val="0"/>
                <w:numId w:val="4"/>
              </w:numPr>
            </w:pPr>
            <w:r w:rsidRPr="002A69D5">
              <w:t>Merge OFMA and ASBFEO</w:t>
            </w:r>
          </w:p>
          <w:p w:rsidR="002A69D5" w:rsidRDefault="002A69D5" w:rsidP="002A69D5">
            <w:pPr>
              <w:pStyle w:val="ListParagraph"/>
              <w:numPr>
                <w:ilvl w:val="0"/>
                <w:numId w:val="4"/>
              </w:numPr>
            </w:pPr>
            <w:r>
              <w:t>Strengthen third party involvement in dispute resolution including pathways for binding dispute resolution</w:t>
            </w:r>
          </w:p>
          <w:p w:rsidR="002A69D5" w:rsidRDefault="002A69D5" w:rsidP="002A69D5">
            <w:pPr>
              <w:pStyle w:val="ListParagraph"/>
              <w:numPr>
                <w:ilvl w:val="0"/>
                <w:numId w:val="4"/>
              </w:numPr>
            </w:pPr>
            <w:r>
              <w:t>Clarify the availability of multi-party mediation</w:t>
            </w:r>
          </w:p>
          <w:p w:rsidR="003F0D4B" w:rsidRPr="002A69D5" w:rsidRDefault="003F0D4B" w:rsidP="005D341E"/>
        </w:tc>
      </w:tr>
      <w:tr w:rsidR="002A69D5" w:rsidTr="005D341E">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lastRenderedPageBreak/>
              <w:t>Put them in a room and make it happen</w:t>
            </w:r>
          </w:p>
          <w:p w:rsidR="002A69D5" w:rsidRPr="002A69D5" w:rsidRDefault="002A69D5"/>
        </w:tc>
      </w:tr>
      <w:tr w:rsidR="002A69D5" w:rsidTr="005D341E">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Limited - get it right on entry</w:t>
            </w:r>
          </w:p>
          <w:p w:rsidR="002A69D5" w:rsidRPr="002A69D5" w:rsidRDefault="002A69D5"/>
        </w:tc>
      </w:tr>
      <w:tr w:rsidR="002A69D5" w:rsidRPr="003F0D4B" w:rsidTr="005D341E">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EBITDA is the only measure not Goodwill - </w:t>
            </w:r>
            <w:proofErr w:type="spellStart"/>
            <w:r>
              <w:rPr>
                <w:rFonts w:ascii="Calibri" w:hAnsi="Calibri" w:cs="Calibri"/>
                <w:color w:val="000000"/>
              </w:rPr>
              <w:t>industary</w:t>
            </w:r>
            <w:proofErr w:type="spellEnd"/>
            <w:r>
              <w:rPr>
                <w:rFonts w:ascii="Calibri" w:hAnsi="Calibri" w:cs="Calibri"/>
                <w:color w:val="000000"/>
              </w:rPr>
              <w:t xml:space="preserve"> benchmarks</w:t>
            </w:r>
          </w:p>
          <w:p w:rsidR="002A69D5" w:rsidRPr="002A69D5" w:rsidRDefault="002A69D5"/>
        </w:tc>
      </w:tr>
      <w:tr w:rsidR="002A69D5" w:rsidTr="005D341E">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5D341E">
        <w:tc>
          <w:tcPr>
            <w:tcW w:w="9016" w:type="dxa"/>
            <w:gridSpan w:val="2"/>
          </w:tcPr>
          <w:p w:rsidR="000853F1" w:rsidRDefault="000853F1" w:rsidP="002A69D5">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0853F1">
            <w:pPr>
              <w:pStyle w:val="ListParagraph"/>
              <w:numPr>
                <w:ilvl w:val="0"/>
                <w:numId w:val="5"/>
              </w:numPr>
            </w:pPr>
            <w:r>
              <w:t>Additional requirements where the franchisor is terminating in special circumstances</w:t>
            </w:r>
          </w:p>
          <w:p w:rsidR="000853F1" w:rsidRDefault="000853F1" w:rsidP="000853F1">
            <w:pPr>
              <w:pStyle w:val="ListParagraph"/>
              <w:numPr>
                <w:ilvl w:val="0"/>
                <w:numId w:val="5"/>
              </w:numPr>
            </w:pPr>
            <w:r>
              <w:t>Provide statutory termination rights to franchisees</w:t>
            </w:r>
          </w:p>
          <w:p w:rsidR="000853F1" w:rsidRDefault="000853F1" w:rsidP="000853F1">
            <w:pPr>
              <w:pStyle w:val="ListParagraph"/>
              <w:numPr>
                <w:ilvl w:val="0"/>
                <w:numId w:val="5"/>
              </w:numPr>
            </w:pPr>
            <w:r>
              <w:t>Holding rent payments from franchisees in trust</w:t>
            </w:r>
          </w:p>
          <w:p w:rsidR="003F0D4B" w:rsidRDefault="003F0D4B" w:rsidP="005D341E"/>
        </w:tc>
      </w:tr>
      <w:tr w:rsidR="000853F1" w:rsidTr="005D341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If the franchisee is in </w:t>
            </w:r>
            <w:proofErr w:type="spellStart"/>
            <w:r>
              <w:rPr>
                <w:rFonts w:ascii="Calibri" w:hAnsi="Calibri" w:cs="Calibri"/>
                <w:color w:val="000000"/>
              </w:rPr>
              <w:t>breech</w:t>
            </w:r>
            <w:proofErr w:type="spellEnd"/>
            <w:r>
              <w:rPr>
                <w:rFonts w:ascii="Calibri" w:hAnsi="Calibri" w:cs="Calibri"/>
                <w:color w:val="000000"/>
              </w:rPr>
              <w:t xml:space="preserve"> of the agreement , wage theft , health department issues , and they have been given notice to remedy they can be terminated </w:t>
            </w:r>
          </w:p>
          <w:p w:rsidR="000853F1" w:rsidRDefault="000853F1" w:rsidP="002A69D5"/>
        </w:tc>
      </w:tr>
      <w:tr w:rsidR="000853F1" w:rsidTr="005D341E">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6.2.3: Codify common law that restraints of trade should go no further than reasonable to protect legitimate interests</w:t>
            </w:r>
          </w:p>
          <w:p w:rsidR="003F0D4B" w:rsidRDefault="003F0D4B" w:rsidP="00531F43"/>
        </w:tc>
      </w:tr>
      <w:tr w:rsidR="000853F1" w:rsidTr="005D341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uncommon sense</w:t>
            </w:r>
          </w:p>
          <w:p w:rsidR="000853F1" w:rsidRDefault="000853F1" w:rsidP="002A69D5"/>
        </w:tc>
      </w:tr>
      <w:tr w:rsidR="000853F1" w:rsidTr="005D341E">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6.3.3: Increase awareness of how goodwill is handled in franchising</w:t>
            </w:r>
          </w:p>
          <w:p w:rsidR="003F0D4B" w:rsidRDefault="003F0D4B" w:rsidP="002A69D5"/>
        </w:tc>
      </w:tr>
      <w:tr w:rsidR="000853F1" w:rsidTr="005D341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No Goodwill - EBITDA or Market value for a store that has not traded for a </w:t>
            </w:r>
            <w:proofErr w:type="spellStart"/>
            <w:r>
              <w:rPr>
                <w:rFonts w:ascii="Calibri" w:hAnsi="Calibri" w:cs="Calibri"/>
                <w:color w:val="000000"/>
              </w:rPr>
              <w:t>finicanual</w:t>
            </w:r>
            <w:proofErr w:type="spellEnd"/>
            <w:r>
              <w:rPr>
                <w:rFonts w:ascii="Calibri" w:hAnsi="Calibri" w:cs="Calibri"/>
                <w:color w:val="000000"/>
              </w:rPr>
              <w:t xml:space="preserve"> year</w:t>
            </w:r>
          </w:p>
          <w:p w:rsidR="000853F1" w:rsidRDefault="000853F1" w:rsidP="002A69D5"/>
        </w:tc>
      </w:tr>
      <w:tr w:rsidR="000853F1" w:rsidTr="005D341E">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no opinion</w:t>
            </w:r>
          </w:p>
          <w:p w:rsidR="000853F1" w:rsidRDefault="000853F1" w:rsidP="002A69D5"/>
          <w:p w:rsidR="00954DE9" w:rsidRDefault="00954DE9" w:rsidP="002A69D5">
            <w:bookmarkStart w:id="0" w:name="_GoBack"/>
            <w:bookmarkEnd w:id="0"/>
          </w:p>
        </w:tc>
      </w:tr>
      <w:tr w:rsidR="000853F1" w:rsidTr="005D341E">
        <w:tc>
          <w:tcPr>
            <w:tcW w:w="9016" w:type="dxa"/>
            <w:gridSpan w:val="2"/>
          </w:tcPr>
          <w:p w:rsidR="000853F1" w:rsidRPr="003F0D4B" w:rsidRDefault="00531F43" w:rsidP="002A69D5">
            <w:pPr>
              <w:rPr>
                <w:b/>
              </w:rPr>
            </w:pPr>
            <w:r w:rsidRPr="003F0D4B">
              <w:rPr>
                <w:b/>
              </w:rPr>
              <w:lastRenderedPageBreak/>
              <w:t>17. What are the implications of repealing the Oil Code of Conduct and adding specific fuel retailing provisions to the Franchising Code?</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no opinion</w:t>
            </w:r>
          </w:p>
          <w:p w:rsidR="000853F1" w:rsidRDefault="000853F1" w:rsidP="002A69D5"/>
        </w:tc>
      </w:tr>
      <w:tr w:rsidR="000853F1" w:rsidTr="005D341E">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7.1.1: Status quo (no change)</w:t>
            </w:r>
          </w:p>
          <w:p w:rsidR="003F0D4B" w:rsidRDefault="003F0D4B" w:rsidP="002A69D5"/>
        </w:tc>
      </w:tr>
      <w:tr w:rsidR="000853F1" w:rsidTr="005D341E">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no opinion</w:t>
            </w:r>
          </w:p>
          <w:p w:rsidR="000853F1" w:rsidRDefault="000853F1" w:rsidP="002A69D5"/>
        </w:tc>
      </w:tr>
      <w:tr w:rsidR="003F0D4B" w:rsidTr="005D341E">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Option 7.2.1: Status quo (no change)</w:t>
            </w:r>
          </w:p>
          <w:p w:rsidR="003F0D4B" w:rsidRDefault="003F0D4B" w:rsidP="003F0D4B"/>
        </w:tc>
      </w:tr>
      <w:tr w:rsidR="003F0D4B" w:rsidTr="005D341E">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no opinion</w:t>
            </w:r>
          </w:p>
          <w:p w:rsidR="003F0D4B" w:rsidRDefault="003F0D4B" w:rsidP="003F0D4B"/>
        </w:tc>
      </w:tr>
      <w:tr w:rsidR="003F0D4B" w:rsidTr="005D341E">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5D341E">
        <w:tc>
          <w:tcPr>
            <w:tcW w:w="9016" w:type="dxa"/>
            <w:gridSpan w:val="2"/>
          </w:tcPr>
          <w:p w:rsidR="005D341E" w:rsidRDefault="005D341E" w:rsidP="005D341E">
            <w:pPr>
              <w:rPr>
                <w:rFonts w:ascii="Calibri" w:hAnsi="Calibri" w:cs="Calibri"/>
                <w:color w:val="000000"/>
              </w:rPr>
            </w:pPr>
            <w:r>
              <w:rPr>
                <w:rFonts w:ascii="Calibri" w:hAnsi="Calibri" w:cs="Calibri"/>
                <w:color w:val="000000"/>
              </w:rPr>
              <w:t xml:space="preserve">I have appeared at the Senate </w:t>
            </w:r>
            <w:proofErr w:type="spellStart"/>
            <w:proofErr w:type="gramStart"/>
            <w:r>
              <w:rPr>
                <w:rFonts w:ascii="Calibri" w:hAnsi="Calibri" w:cs="Calibri"/>
                <w:color w:val="000000"/>
              </w:rPr>
              <w:t>enquirey</w:t>
            </w:r>
            <w:proofErr w:type="spellEnd"/>
            <w:r>
              <w:rPr>
                <w:rFonts w:ascii="Calibri" w:hAnsi="Calibri" w:cs="Calibri"/>
                <w:color w:val="000000"/>
              </w:rPr>
              <w:t xml:space="preserve">  -</w:t>
            </w:r>
            <w:proofErr w:type="gramEnd"/>
            <w:r>
              <w:rPr>
                <w:rFonts w:ascii="Calibri" w:hAnsi="Calibri" w:cs="Calibri"/>
                <w:color w:val="000000"/>
              </w:rPr>
              <w:t xml:space="preserve"> haw many layers do you want ? </w:t>
            </w:r>
            <w:r>
              <w:rPr>
                <w:rFonts w:ascii="Calibri" w:hAnsi="Calibri" w:cs="Calibri"/>
                <w:color w:val="000000"/>
              </w:rPr>
              <w:br/>
            </w:r>
            <w:r>
              <w:rPr>
                <w:rFonts w:ascii="Calibri" w:hAnsi="Calibri" w:cs="Calibri"/>
                <w:color w:val="000000"/>
              </w:rPr>
              <w:br/>
              <w:t xml:space="preserve">DO something this time </w:t>
            </w:r>
            <w:proofErr w:type="spellStart"/>
            <w:r>
              <w:rPr>
                <w:rFonts w:ascii="Calibri" w:hAnsi="Calibri" w:cs="Calibri"/>
                <w:color w:val="000000"/>
              </w:rPr>
              <w:t>dont</w:t>
            </w:r>
            <w:proofErr w:type="spellEnd"/>
            <w:r>
              <w:rPr>
                <w:rFonts w:ascii="Calibri" w:hAnsi="Calibri" w:cs="Calibri"/>
                <w:color w:val="000000"/>
              </w:rPr>
              <w:t xml:space="preserve"> listen to the FCA and Lawyers stop another RFG</w:t>
            </w:r>
            <w:r>
              <w:rPr>
                <w:rFonts w:ascii="Calibri" w:hAnsi="Calibri" w:cs="Calibri"/>
                <w:color w:val="000000"/>
              </w:rPr>
              <w:br/>
            </w:r>
            <w:r>
              <w:rPr>
                <w:rFonts w:ascii="Calibri" w:hAnsi="Calibri" w:cs="Calibri"/>
                <w:color w:val="000000"/>
              </w:rPr>
              <w:br/>
              <w:t xml:space="preserve">I have been a franchisor and Franchisee since the early 80's and seen it all - no longer involved at any level but know how to fix it - happy to assist you if needed </w:t>
            </w:r>
          </w:p>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5328E6"/>
    <w:multiLevelType w:val="hybridMultilevel"/>
    <w:tmpl w:val="66785EF6"/>
    <w:lvl w:ilvl="0" w:tplc="662AC59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531F43"/>
    <w:rsid w:val="005D341E"/>
    <w:rsid w:val="0076070A"/>
    <w:rsid w:val="007D2442"/>
    <w:rsid w:val="00837502"/>
    <w:rsid w:val="00954DE9"/>
    <w:rsid w:val="00A01DF3"/>
    <w:rsid w:val="00C119E5"/>
    <w:rsid w:val="00C26190"/>
    <w:rsid w:val="00CB0D83"/>
    <w:rsid w:val="00E27F4B"/>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03">
      <w:bodyDiv w:val="1"/>
      <w:marLeft w:val="0"/>
      <w:marRight w:val="0"/>
      <w:marTop w:val="0"/>
      <w:marBottom w:val="0"/>
      <w:divBdr>
        <w:top w:val="none" w:sz="0" w:space="0" w:color="auto"/>
        <w:left w:val="none" w:sz="0" w:space="0" w:color="auto"/>
        <w:bottom w:val="none" w:sz="0" w:space="0" w:color="auto"/>
        <w:right w:val="none" w:sz="0" w:space="0" w:color="auto"/>
      </w:divBdr>
    </w:div>
    <w:div w:id="17123691">
      <w:bodyDiv w:val="1"/>
      <w:marLeft w:val="0"/>
      <w:marRight w:val="0"/>
      <w:marTop w:val="0"/>
      <w:marBottom w:val="0"/>
      <w:divBdr>
        <w:top w:val="none" w:sz="0" w:space="0" w:color="auto"/>
        <w:left w:val="none" w:sz="0" w:space="0" w:color="auto"/>
        <w:bottom w:val="none" w:sz="0" w:space="0" w:color="auto"/>
        <w:right w:val="none" w:sz="0" w:space="0" w:color="auto"/>
      </w:divBdr>
    </w:div>
    <w:div w:id="41442426">
      <w:bodyDiv w:val="1"/>
      <w:marLeft w:val="0"/>
      <w:marRight w:val="0"/>
      <w:marTop w:val="0"/>
      <w:marBottom w:val="0"/>
      <w:divBdr>
        <w:top w:val="none" w:sz="0" w:space="0" w:color="auto"/>
        <w:left w:val="none" w:sz="0" w:space="0" w:color="auto"/>
        <w:bottom w:val="none" w:sz="0" w:space="0" w:color="auto"/>
        <w:right w:val="none" w:sz="0" w:space="0" w:color="auto"/>
      </w:divBdr>
    </w:div>
    <w:div w:id="137693783">
      <w:bodyDiv w:val="1"/>
      <w:marLeft w:val="0"/>
      <w:marRight w:val="0"/>
      <w:marTop w:val="0"/>
      <w:marBottom w:val="0"/>
      <w:divBdr>
        <w:top w:val="none" w:sz="0" w:space="0" w:color="auto"/>
        <w:left w:val="none" w:sz="0" w:space="0" w:color="auto"/>
        <w:bottom w:val="none" w:sz="0" w:space="0" w:color="auto"/>
        <w:right w:val="none" w:sz="0" w:space="0" w:color="auto"/>
      </w:divBdr>
    </w:div>
    <w:div w:id="138814980">
      <w:bodyDiv w:val="1"/>
      <w:marLeft w:val="0"/>
      <w:marRight w:val="0"/>
      <w:marTop w:val="0"/>
      <w:marBottom w:val="0"/>
      <w:divBdr>
        <w:top w:val="none" w:sz="0" w:space="0" w:color="auto"/>
        <w:left w:val="none" w:sz="0" w:space="0" w:color="auto"/>
        <w:bottom w:val="none" w:sz="0" w:space="0" w:color="auto"/>
        <w:right w:val="none" w:sz="0" w:space="0" w:color="auto"/>
      </w:divBdr>
    </w:div>
    <w:div w:id="260572287">
      <w:bodyDiv w:val="1"/>
      <w:marLeft w:val="0"/>
      <w:marRight w:val="0"/>
      <w:marTop w:val="0"/>
      <w:marBottom w:val="0"/>
      <w:divBdr>
        <w:top w:val="none" w:sz="0" w:space="0" w:color="auto"/>
        <w:left w:val="none" w:sz="0" w:space="0" w:color="auto"/>
        <w:bottom w:val="none" w:sz="0" w:space="0" w:color="auto"/>
        <w:right w:val="none" w:sz="0" w:space="0" w:color="auto"/>
      </w:divBdr>
    </w:div>
    <w:div w:id="261888205">
      <w:bodyDiv w:val="1"/>
      <w:marLeft w:val="0"/>
      <w:marRight w:val="0"/>
      <w:marTop w:val="0"/>
      <w:marBottom w:val="0"/>
      <w:divBdr>
        <w:top w:val="none" w:sz="0" w:space="0" w:color="auto"/>
        <w:left w:val="none" w:sz="0" w:space="0" w:color="auto"/>
        <w:bottom w:val="none" w:sz="0" w:space="0" w:color="auto"/>
        <w:right w:val="none" w:sz="0" w:space="0" w:color="auto"/>
      </w:divBdr>
    </w:div>
    <w:div w:id="277611769">
      <w:bodyDiv w:val="1"/>
      <w:marLeft w:val="0"/>
      <w:marRight w:val="0"/>
      <w:marTop w:val="0"/>
      <w:marBottom w:val="0"/>
      <w:divBdr>
        <w:top w:val="none" w:sz="0" w:space="0" w:color="auto"/>
        <w:left w:val="none" w:sz="0" w:space="0" w:color="auto"/>
        <w:bottom w:val="none" w:sz="0" w:space="0" w:color="auto"/>
        <w:right w:val="none" w:sz="0" w:space="0" w:color="auto"/>
      </w:divBdr>
    </w:div>
    <w:div w:id="316887033">
      <w:bodyDiv w:val="1"/>
      <w:marLeft w:val="0"/>
      <w:marRight w:val="0"/>
      <w:marTop w:val="0"/>
      <w:marBottom w:val="0"/>
      <w:divBdr>
        <w:top w:val="none" w:sz="0" w:space="0" w:color="auto"/>
        <w:left w:val="none" w:sz="0" w:space="0" w:color="auto"/>
        <w:bottom w:val="none" w:sz="0" w:space="0" w:color="auto"/>
        <w:right w:val="none" w:sz="0" w:space="0" w:color="auto"/>
      </w:divBdr>
    </w:div>
    <w:div w:id="367799336">
      <w:bodyDiv w:val="1"/>
      <w:marLeft w:val="0"/>
      <w:marRight w:val="0"/>
      <w:marTop w:val="0"/>
      <w:marBottom w:val="0"/>
      <w:divBdr>
        <w:top w:val="none" w:sz="0" w:space="0" w:color="auto"/>
        <w:left w:val="none" w:sz="0" w:space="0" w:color="auto"/>
        <w:bottom w:val="none" w:sz="0" w:space="0" w:color="auto"/>
        <w:right w:val="none" w:sz="0" w:space="0" w:color="auto"/>
      </w:divBdr>
    </w:div>
    <w:div w:id="382364274">
      <w:bodyDiv w:val="1"/>
      <w:marLeft w:val="0"/>
      <w:marRight w:val="0"/>
      <w:marTop w:val="0"/>
      <w:marBottom w:val="0"/>
      <w:divBdr>
        <w:top w:val="none" w:sz="0" w:space="0" w:color="auto"/>
        <w:left w:val="none" w:sz="0" w:space="0" w:color="auto"/>
        <w:bottom w:val="none" w:sz="0" w:space="0" w:color="auto"/>
        <w:right w:val="none" w:sz="0" w:space="0" w:color="auto"/>
      </w:divBdr>
    </w:div>
    <w:div w:id="418986605">
      <w:bodyDiv w:val="1"/>
      <w:marLeft w:val="0"/>
      <w:marRight w:val="0"/>
      <w:marTop w:val="0"/>
      <w:marBottom w:val="0"/>
      <w:divBdr>
        <w:top w:val="none" w:sz="0" w:space="0" w:color="auto"/>
        <w:left w:val="none" w:sz="0" w:space="0" w:color="auto"/>
        <w:bottom w:val="none" w:sz="0" w:space="0" w:color="auto"/>
        <w:right w:val="none" w:sz="0" w:space="0" w:color="auto"/>
      </w:divBdr>
    </w:div>
    <w:div w:id="542253780">
      <w:bodyDiv w:val="1"/>
      <w:marLeft w:val="0"/>
      <w:marRight w:val="0"/>
      <w:marTop w:val="0"/>
      <w:marBottom w:val="0"/>
      <w:divBdr>
        <w:top w:val="none" w:sz="0" w:space="0" w:color="auto"/>
        <w:left w:val="none" w:sz="0" w:space="0" w:color="auto"/>
        <w:bottom w:val="none" w:sz="0" w:space="0" w:color="auto"/>
        <w:right w:val="none" w:sz="0" w:space="0" w:color="auto"/>
      </w:divBdr>
    </w:div>
    <w:div w:id="542400207">
      <w:bodyDiv w:val="1"/>
      <w:marLeft w:val="0"/>
      <w:marRight w:val="0"/>
      <w:marTop w:val="0"/>
      <w:marBottom w:val="0"/>
      <w:divBdr>
        <w:top w:val="none" w:sz="0" w:space="0" w:color="auto"/>
        <w:left w:val="none" w:sz="0" w:space="0" w:color="auto"/>
        <w:bottom w:val="none" w:sz="0" w:space="0" w:color="auto"/>
        <w:right w:val="none" w:sz="0" w:space="0" w:color="auto"/>
      </w:divBdr>
    </w:div>
    <w:div w:id="582421475">
      <w:bodyDiv w:val="1"/>
      <w:marLeft w:val="0"/>
      <w:marRight w:val="0"/>
      <w:marTop w:val="0"/>
      <w:marBottom w:val="0"/>
      <w:divBdr>
        <w:top w:val="none" w:sz="0" w:space="0" w:color="auto"/>
        <w:left w:val="none" w:sz="0" w:space="0" w:color="auto"/>
        <w:bottom w:val="none" w:sz="0" w:space="0" w:color="auto"/>
        <w:right w:val="none" w:sz="0" w:space="0" w:color="auto"/>
      </w:divBdr>
    </w:div>
    <w:div w:id="597256443">
      <w:bodyDiv w:val="1"/>
      <w:marLeft w:val="0"/>
      <w:marRight w:val="0"/>
      <w:marTop w:val="0"/>
      <w:marBottom w:val="0"/>
      <w:divBdr>
        <w:top w:val="none" w:sz="0" w:space="0" w:color="auto"/>
        <w:left w:val="none" w:sz="0" w:space="0" w:color="auto"/>
        <w:bottom w:val="none" w:sz="0" w:space="0" w:color="auto"/>
        <w:right w:val="none" w:sz="0" w:space="0" w:color="auto"/>
      </w:divBdr>
    </w:div>
    <w:div w:id="676349747">
      <w:bodyDiv w:val="1"/>
      <w:marLeft w:val="0"/>
      <w:marRight w:val="0"/>
      <w:marTop w:val="0"/>
      <w:marBottom w:val="0"/>
      <w:divBdr>
        <w:top w:val="none" w:sz="0" w:space="0" w:color="auto"/>
        <w:left w:val="none" w:sz="0" w:space="0" w:color="auto"/>
        <w:bottom w:val="none" w:sz="0" w:space="0" w:color="auto"/>
        <w:right w:val="none" w:sz="0" w:space="0" w:color="auto"/>
      </w:divBdr>
    </w:div>
    <w:div w:id="679696413">
      <w:bodyDiv w:val="1"/>
      <w:marLeft w:val="0"/>
      <w:marRight w:val="0"/>
      <w:marTop w:val="0"/>
      <w:marBottom w:val="0"/>
      <w:divBdr>
        <w:top w:val="none" w:sz="0" w:space="0" w:color="auto"/>
        <w:left w:val="none" w:sz="0" w:space="0" w:color="auto"/>
        <w:bottom w:val="none" w:sz="0" w:space="0" w:color="auto"/>
        <w:right w:val="none" w:sz="0" w:space="0" w:color="auto"/>
      </w:divBdr>
    </w:div>
    <w:div w:id="681199643">
      <w:bodyDiv w:val="1"/>
      <w:marLeft w:val="0"/>
      <w:marRight w:val="0"/>
      <w:marTop w:val="0"/>
      <w:marBottom w:val="0"/>
      <w:divBdr>
        <w:top w:val="none" w:sz="0" w:space="0" w:color="auto"/>
        <w:left w:val="none" w:sz="0" w:space="0" w:color="auto"/>
        <w:bottom w:val="none" w:sz="0" w:space="0" w:color="auto"/>
        <w:right w:val="none" w:sz="0" w:space="0" w:color="auto"/>
      </w:divBdr>
    </w:div>
    <w:div w:id="735904450">
      <w:bodyDiv w:val="1"/>
      <w:marLeft w:val="0"/>
      <w:marRight w:val="0"/>
      <w:marTop w:val="0"/>
      <w:marBottom w:val="0"/>
      <w:divBdr>
        <w:top w:val="none" w:sz="0" w:space="0" w:color="auto"/>
        <w:left w:val="none" w:sz="0" w:space="0" w:color="auto"/>
        <w:bottom w:val="none" w:sz="0" w:space="0" w:color="auto"/>
        <w:right w:val="none" w:sz="0" w:space="0" w:color="auto"/>
      </w:divBdr>
    </w:div>
    <w:div w:id="740100083">
      <w:bodyDiv w:val="1"/>
      <w:marLeft w:val="0"/>
      <w:marRight w:val="0"/>
      <w:marTop w:val="0"/>
      <w:marBottom w:val="0"/>
      <w:divBdr>
        <w:top w:val="none" w:sz="0" w:space="0" w:color="auto"/>
        <w:left w:val="none" w:sz="0" w:space="0" w:color="auto"/>
        <w:bottom w:val="none" w:sz="0" w:space="0" w:color="auto"/>
        <w:right w:val="none" w:sz="0" w:space="0" w:color="auto"/>
      </w:divBdr>
    </w:div>
    <w:div w:id="773718309">
      <w:bodyDiv w:val="1"/>
      <w:marLeft w:val="0"/>
      <w:marRight w:val="0"/>
      <w:marTop w:val="0"/>
      <w:marBottom w:val="0"/>
      <w:divBdr>
        <w:top w:val="none" w:sz="0" w:space="0" w:color="auto"/>
        <w:left w:val="none" w:sz="0" w:space="0" w:color="auto"/>
        <w:bottom w:val="none" w:sz="0" w:space="0" w:color="auto"/>
        <w:right w:val="none" w:sz="0" w:space="0" w:color="auto"/>
      </w:divBdr>
    </w:div>
    <w:div w:id="794838115">
      <w:bodyDiv w:val="1"/>
      <w:marLeft w:val="0"/>
      <w:marRight w:val="0"/>
      <w:marTop w:val="0"/>
      <w:marBottom w:val="0"/>
      <w:divBdr>
        <w:top w:val="none" w:sz="0" w:space="0" w:color="auto"/>
        <w:left w:val="none" w:sz="0" w:space="0" w:color="auto"/>
        <w:bottom w:val="none" w:sz="0" w:space="0" w:color="auto"/>
        <w:right w:val="none" w:sz="0" w:space="0" w:color="auto"/>
      </w:divBdr>
    </w:div>
    <w:div w:id="829177461">
      <w:bodyDiv w:val="1"/>
      <w:marLeft w:val="0"/>
      <w:marRight w:val="0"/>
      <w:marTop w:val="0"/>
      <w:marBottom w:val="0"/>
      <w:divBdr>
        <w:top w:val="none" w:sz="0" w:space="0" w:color="auto"/>
        <w:left w:val="none" w:sz="0" w:space="0" w:color="auto"/>
        <w:bottom w:val="none" w:sz="0" w:space="0" w:color="auto"/>
        <w:right w:val="none" w:sz="0" w:space="0" w:color="auto"/>
      </w:divBdr>
    </w:div>
    <w:div w:id="848255950">
      <w:bodyDiv w:val="1"/>
      <w:marLeft w:val="0"/>
      <w:marRight w:val="0"/>
      <w:marTop w:val="0"/>
      <w:marBottom w:val="0"/>
      <w:divBdr>
        <w:top w:val="none" w:sz="0" w:space="0" w:color="auto"/>
        <w:left w:val="none" w:sz="0" w:space="0" w:color="auto"/>
        <w:bottom w:val="none" w:sz="0" w:space="0" w:color="auto"/>
        <w:right w:val="none" w:sz="0" w:space="0" w:color="auto"/>
      </w:divBdr>
    </w:div>
    <w:div w:id="964579719">
      <w:bodyDiv w:val="1"/>
      <w:marLeft w:val="0"/>
      <w:marRight w:val="0"/>
      <w:marTop w:val="0"/>
      <w:marBottom w:val="0"/>
      <w:divBdr>
        <w:top w:val="none" w:sz="0" w:space="0" w:color="auto"/>
        <w:left w:val="none" w:sz="0" w:space="0" w:color="auto"/>
        <w:bottom w:val="none" w:sz="0" w:space="0" w:color="auto"/>
        <w:right w:val="none" w:sz="0" w:space="0" w:color="auto"/>
      </w:divBdr>
    </w:div>
    <w:div w:id="968903119">
      <w:bodyDiv w:val="1"/>
      <w:marLeft w:val="0"/>
      <w:marRight w:val="0"/>
      <w:marTop w:val="0"/>
      <w:marBottom w:val="0"/>
      <w:divBdr>
        <w:top w:val="none" w:sz="0" w:space="0" w:color="auto"/>
        <w:left w:val="none" w:sz="0" w:space="0" w:color="auto"/>
        <w:bottom w:val="none" w:sz="0" w:space="0" w:color="auto"/>
        <w:right w:val="none" w:sz="0" w:space="0" w:color="auto"/>
      </w:divBdr>
    </w:div>
    <w:div w:id="1031691876">
      <w:bodyDiv w:val="1"/>
      <w:marLeft w:val="0"/>
      <w:marRight w:val="0"/>
      <w:marTop w:val="0"/>
      <w:marBottom w:val="0"/>
      <w:divBdr>
        <w:top w:val="none" w:sz="0" w:space="0" w:color="auto"/>
        <w:left w:val="none" w:sz="0" w:space="0" w:color="auto"/>
        <w:bottom w:val="none" w:sz="0" w:space="0" w:color="auto"/>
        <w:right w:val="none" w:sz="0" w:space="0" w:color="auto"/>
      </w:divBdr>
    </w:div>
    <w:div w:id="1083648435">
      <w:bodyDiv w:val="1"/>
      <w:marLeft w:val="0"/>
      <w:marRight w:val="0"/>
      <w:marTop w:val="0"/>
      <w:marBottom w:val="0"/>
      <w:divBdr>
        <w:top w:val="none" w:sz="0" w:space="0" w:color="auto"/>
        <w:left w:val="none" w:sz="0" w:space="0" w:color="auto"/>
        <w:bottom w:val="none" w:sz="0" w:space="0" w:color="auto"/>
        <w:right w:val="none" w:sz="0" w:space="0" w:color="auto"/>
      </w:divBdr>
    </w:div>
    <w:div w:id="1094203660">
      <w:bodyDiv w:val="1"/>
      <w:marLeft w:val="0"/>
      <w:marRight w:val="0"/>
      <w:marTop w:val="0"/>
      <w:marBottom w:val="0"/>
      <w:divBdr>
        <w:top w:val="none" w:sz="0" w:space="0" w:color="auto"/>
        <w:left w:val="none" w:sz="0" w:space="0" w:color="auto"/>
        <w:bottom w:val="none" w:sz="0" w:space="0" w:color="auto"/>
        <w:right w:val="none" w:sz="0" w:space="0" w:color="auto"/>
      </w:divBdr>
    </w:div>
    <w:div w:id="1095633972">
      <w:bodyDiv w:val="1"/>
      <w:marLeft w:val="0"/>
      <w:marRight w:val="0"/>
      <w:marTop w:val="0"/>
      <w:marBottom w:val="0"/>
      <w:divBdr>
        <w:top w:val="none" w:sz="0" w:space="0" w:color="auto"/>
        <w:left w:val="none" w:sz="0" w:space="0" w:color="auto"/>
        <w:bottom w:val="none" w:sz="0" w:space="0" w:color="auto"/>
        <w:right w:val="none" w:sz="0" w:space="0" w:color="auto"/>
      </w:divBdr>
    </w:div>
    <w:div w:id="1169295698">
      <w:bodyDiv w:val="1"/>
      <w:marLeft w:val="0"/>
      <w:marRight w:val="0"/>
      <w:marTop w:val="0"/>
      <w:marBottom w:val="0"/>
      <w:divBdr>
        <w:top w:val="none" w:sz="0" w:space="0" w:color="auto"/>
        <w:left w:val="none" w:sz="0" w:space="0" w:color="auto"/>
        <w:bottom w:val="none" w:sz="0" w:space="0" w:color="auto"/>
        <w:right w:val="none" w:sz="0" w:space="0" w:color="auto"/>
      </w:divBdr>
    </w:div>
    <w:div w:id="1171023669">
      <w:bodyDiv w:val="1"/>
      <w:marLeft w:val="0"/>
      <w:marRight w:val="0"/>
      <w:marTop w:val="0"/>
      <w:marBottom w:val="0"/>
      <w:divBdr>
        <w:top w:val="none" w:sz="0" w:space="0" w:color="auto"/>
        <w:left w:val="none" w:sz="0" w:space="0" w:color="auto"/>
        <w:bottom w:val="none" w:sz="0" w:space="0" w:color="auto"/>
        <w:right w:val="none" w:sz="0" w:space="0" w:color="auto"/>
      </w:divBdr>
    </w:div>
    <w:div w:id="1244098001">
      <w:bodyDiv w:val="1"/>
      <w:marLeft w:val="0"/>
      <w:marRight w:val="0"/>
      <w:marTop w:val="0"/>
      <w:marBottom w:val="0"/>
      <w:divBdr>
        <w:top w:val="none" w:sz="0" w:space="0" w:color="auto"/>
        <w:left w:val="none" w:sz="0" w:space="0" w:color="auto"/>
        <w:bottom w:val="none" w:sz="0" w:space="0" w:color="auto"/>
        <w:right w:val="none" w:sz="0" w:space="0" w:color="auto"/>
      </w:divBdr>
    </w:div>
    <w:div w:id="1249122356">
      <w:bodyDiv w:val="1"/>
      <w:marLeft w:val="0"/>
      <w:marRight w:val="0"/>
      <w:marTop w:val="0"/>
      <w:marBottom w:val="0"/>
      <w:divBdr>
        <w:top w:val="none" w:sz="0" w:space="0" w:color="auto"/>
        <w:left w:val="none" w:sz="0" w:space="0" w:color="auto"/>
        <w:bottom w:val="none" w:sz="0" w:space="0" w:color="auto"/>
        <w:right w:val="none" w:sz="0" w:space="0" w:color="auto"/>
      </w:divBdr>
    </w:div>
    <w:div w:id="1360400549">
      <w:bodyDiv w:val="1"/>
      <w:marLeft w:val="0"/>
      <w:marRight w:val="0"/>
      <w:marTop w:val="0"/>
      <w:marBottom w:val="0"/>
      <w:divBdr>
        <w:top w:val="none" w:sz="0" w:space="0" w:color="auto"/>
        <w:left w:val="none" w:sz="0" w:space="0" w:color="auto"/>
        <w:bottom w:val="none" w:sz="0" w:space="0" w:color="auto"/>
        <w:right w:val="none" w:sz="0" w:space="0" w:color="auto"/>
      </w:divBdr>
    </w:div>
    <w:div w:id="1423842690">
      <w:bodyDiv w:val="1"/>
      <w:marLeft w:val="0"/>
      <w:marRight w:val="0"/>
      <w:marTop w:val="0"/>
      <w:marBottom w:val="0"/>
      <w:divBdr>
        <w:top w:val="none" w:sz="0" w:space="0" w:color="auto"/>
        <w:left w:val="none" w:sz="0" w:space="0" w:color="auto"/>
        <w:bottom w:val="none" w:sz="0" w:space="0" w:color="auto"/>
        <w:right w:val="none" w:sz="0" w:space="0" w:color="auto"/>
      </w:divBdr>
    </w:div>
    <w:div w:id="1435125396">
      <w:bodyDiv w:val="1"/>
      <w:marLeft w:val="0"/>
      <w:marRight w:val="0"/>
      <w:marTop w:val="0"/>
      <w:marBottom w:val="0"/>
      <w:divBdr>
        <w:top w:val="none" w:sz="0" w:space="0" w:color="auto"/>
        <w:left w:val="none" w:sz="0" w:space="0" w:color="auto"/>
        <w:bottom w:val="none" w:sz="0" w:space="0" w:color="auto"/>
        <w:right w:val="none" w:sz="0" w:space="0" w:color="auto"/>
      </w:divBdr>
    </w:div>
    <w:div w:id="1554148486">
      <w:bodyDiv w:val="1"/>
      <w:marLeft w:val="0"/>
      <w:marRight w:val="0"/>
      <w:marTop w:val="0"/>
      <w:marBottom w:val="0"/>
      <w:divBdr>
        <w:top w:val="none" w:sz="0" w:space="0" w:color="auto"/>
        <w:left w:val="none" w:sz="0" w:space="0" w:color="auto"/>
        <w:bottom w:val="none" w:sz="0" w:space="0" w:color="auto"/>
        <w:right w:val="none" w:sz="0" w:space="0" w:color="auto"/>
      </w:divBdr>
    </w:div>
    <w:div w:id="1601721693">
      <w:bodyDiv w:val="1"/>
      <w:marLeft w:val="0"/>
      <w:marRight w:val="0"/>
      <w:marTop w:val="0"/>
      <w:marBottom w:val="0"/>
      <w:divBdr>
        <w:top w:val="none" w:sz="0" w:space="0" w:color="auto"/>
        <w:left w:val="none" w:sz="0" w:space="0" w:color="auto"/>
        <w:bottom w:val="none" w:sz="0" w:space="0" w:color="auto"/>
        <w:right w:val="none" w:sz="0" w:space="0" w:color="auto"/>
      </w:divBdr>
    </w:div>
    <w:div w:id="1637833635">
      <w:bodyDiv w:val="1"/>
      <w:marLeft w:val="0"/>
      <w:marRight w:val="0"/>
      <w:marTop w:val="0"/>
      <w:marBottom w:val="0"/>
      <w:divBdr>
        <w:top w:val="none" w:sz="0" w:space="0" w:color="auto"/>
        <w:left w:val="none" w:sz="0" w:space="0" w:color="auto"/>
        <w:bottom w:val="none" w:sz="0" w:space="0" w:color="auto"/>
        <w:right w:val="none" w:sz="0" w:space="0" w:color="auto"/>
      </w:divBdr>
    </w:div>
    <w:div w:id="1864435088">
      <w:bodyDiv w:val="1"/>
      <w:marLeft w:val="0"/>
      <w:marRight w:val="0"/>
      <w:marTop w:val="0"/>
      <w:marBottom w:val="0"/>
      <w:divBdr>
        <w:top w:val="none" w:sz="0" w:space="0" w:color="auto"/>
        <w:left w:val="none" w:sz="0" w:space="0" w:color="auto"/>
        <w:bottom w:val="none" w:sz="0" w:space="0" w:color="auto"/>
        <w:right w:val="none" w:sz="0" w:space="0" w:color="auto"/>
      </w:divBdr>
    </w:div>
    <w:div w:id="1901481978">
      <w:bodyDiv w:val="1"/>
      <w:marLeft w:val="0"/>
      <w:marRight w:val="0"/>
      <w:marTop w:val="0"/>
      <w:marBottom w:val="0"/>
      <w:divBdr>
        <w:top w:val="none" w:sz="0" w:space="0" w:color="auto"/>
        <w:left w:val="none" w:sz="0" w:space="0" w:color="auto"/>
        <w:bottom w:val="none" w:sz="0" w:space="0" w:color="auto"/>
        <w:right w:val="none" w:sz="0" w:space="0" w:color="auto"/>
      </w:divBdr>
    </w:div>
    <w:div w:id="1924297155">
      <w:bodyDiv w:val="1"/>
      <w:marLeft w:val="0"/>
      <w:marRight w:val="0"/>
      <w:marTop w:val="0"/>
      <w:marBottom w:val="0"/>
      <w:divBdr>
        <w:top w:val="none" w:sz="0" w:space="0" w:color="auto"/>
        <w:left w:val="none" w:sz="0" w:space="0" w:color="auto"/>
        <w:bottom w:val="none" w:sz="0" w:space="0" w:color="auto"/>
        <w:right w:val="none" w:sz="0" w:space="0" w:color="auto"/>
      </w:divBdr>
    </w:div>
    <w:div w:id="1955364045">
      <w:bodyDiv w:val="1"/>
      <w:marLeft w:val="0"/>
      <w:marRight w:val="0"/>
      <w:marTop w:val="0"/>
      <w:marBottom w:val="0"/>
      <w:divBdr>
        <w:top w:val="none" w:sz="0" w:space="0" w:color="auto"/>
        <w:left w:val="none" w:sz="0" w:space="0" w:color="auto"/>
        <w:bottom w:val="none" w:sz="0" w:space="0" w:color="auto"/>
        <w:right w:val="none" w:sz="0" w:space="0" w:color="auto"/>
      </w:divBdr>
    </w:div>
    <w:div w:id="2018269604">
      <w:bodyDiv w:val="1"/>
      <w:marLeft w:val="0"/>
      <w:marRight w:val="0"/>
      <w:marTop w:val="0"/>
      <w:marBottom w:val="0"/>
      <w:divBdr>
        <w:top w:val="none" w:sz="0" w:space="0" w:color="auto"/>
        <w:left w:val="none" w:sz="0" w:space="0" w:color="auto"/>
        <w:bottom w:val="none" w:sz="0" w:space="0" w:color="auto"/>
        <w:right w:val="none" w:sz="0" w:space="0" w:color="auto"/>
      </w:divBdr>
    </w:div>
    <w:div w:id="2051565875">
      <w:bodyDiv w:val="1"/>
      <w:marLeft w:val="0"/>
      <w:marRight w:val="0"/>
      <w:marTop w:val="0"/>
      <w:marBottom w:val="0"/>
      <w:divBdr>
        <w:top w:val="none" w:sz="0" w:space="0" w:color="auto"/>
        <w:left w:val="none" w:sz="0" w:space="0" w:color="auto"/>
        <w:bottom w:val="none" w:sz="0" w:space="0" w:color="auto"/>
        <w:right w:val="none" w:sz="0" w:space="0" w:color="auto"/>
      </w:divBdr>
    </w:div>
    <w:div w:id="21214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2020-02-21T04:04:00Z</dcterms:created>
  <dcterms:modified xsi:type="dcterms:W3CDTF">2020-02-21T04:14:00Z</dcterms:modified>
</cp:coreProperties>
</file>