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6F13D4">
        <w:tc>
          <w:tcPr>
            <w:tcW w:w="2122" w:type="dxa"/>
          </w:tcPr>
          <w:p w:rsidR="00FF0404" w:rsidRPr="0076070A" w:rsidRDefault="00FF0404">
            <w:pPr>
              <w:rPr>
                <w:b/>
              </w:rPr>
            </w:pPr>
            <w:r w:rsidRPr="0076070A">
              <w:rPr>
                <w:b/>
              </w:rPr>
              <w:t>Name</w:t>
            </w:r>
          </w:p>
        </w:tc>
        <w:tc>
          <w:tcPr>
            <w:tcW w:w="6894" w:type="dxa"/>
          </w:tcPr>
          <w:p w:rsidR="00FF0404" w:rsidRDefault="0040775B">
            <w:r>
              <w:t>John Wood</w:t>
            </w:r>
          </w:p>
        </w:tc>
      </w:tr>
      <w:tr w:rsidR="00FF0404" w:rsidTr="006F13D4">
        <w:tc>
          <w:tcPr>
            <w:tcW w:w="2122" w:type="dxa"/>
          </w:tcPr>
          <w:p w:rsidR="00FF0404" w:rsidRPr="0076070A" w:rsidRDefault="00FF0404">
            <w:pPr>
              <w:rPr>
                <w:b/>
              </w:rPr>
            </w:pPr>
            <w:r w:rsidRPr="0076070A">
              <w:rPr>
                <w:b/>
              </w:rPr>
              <w:t xml:space="preserve">State </w:t>
            </w:r>
          </w:p>
        </w:tc>
        <w:tc>
          <w:tcPr>
            <w:tcW w:w="6894" w:type="dxa"/>
          </w:tcPr>
          <w:p w:rsidR="00FF0404" w:rsidRDefault="006528B9">
            <w:r>
              <w:t>New South Wales</w:t>
            </w:r>
          </w:p>
        </w:tc>
      </w:tr>
      <w:tr w:rsidR="00FF0404" w:rsidTr="006F13D4">
        <w:tc>
          <w:tcPr>
            <w:tcW w:w="2122" w:type="dxa"/>
          </w:tcPr>
          <w:p w:rsidR="00FF0404" w:rsidRPr="0076070A" w:rsidRDefault="00FF0404">
            <w:pPr>
              <w:rPr>
                <w:b/>
              </w:rPr>
            </w:pPr>
            <w:r w:rsidRPr="0076070A">
              <w:rPr>
                <w:b/>
              </w:rPr>
              <w:t xml:space="preserve">Stakeholder Type: </w:t>
            </w:r>
          </w:p>
        </w:tc>
        <w:tc>
          <w:tcPr>
            <w:tcW w:w="6894" w:type="dxa"/>
          </w:tcPr>
          <w:p w:rsidR="00FF0404" w:rsidRDefault="006528B9">
            <w:r>
              <w:t>Former Franchisee</w:t>
            </w:r>
          </w:p>
        </w:tc>
      </w:tr>
      <w:tr w:rsidR="00FF0404" w:rsidTr="006F13D4">
        <w:tc>
          <w:tcPr>
            <w:tcW w:w="2122" w:type="dxa"/>
          </w:tcPr>
          <w:p w:rsidR="00FF0404" w:rsidRPr="0076070A" w:rsidRDefault="00FF0404">
            <w:pPr>
              <w:rPr>
                <w:b/>
              </w:rPr>
            </w:pPr>
            <w:r w:rsidRPr="0076070A">
              <w:rPr>
                <w:b/>
              </w:rPr>
              <w:t>Industry Type:</w:t>
            </w:r>
          </w:p>
        </w:tc>
        <w:tc>
          <w:tcPr>
            <w:tcW w:w="6894" w:type="dxa"/>
          </w:tcPr>
          <w:p w:rsidR="00FF0404" w:rsidRDefault="006528B9">
            <w:r>
              <w:t>Boat Hire</w:t>
            </w:r>
          </w:p>
          <w:p w:rsidR="003F0D4B" w:rsidRDefault="003F0D4B"/>
          <w:p w:rsidR="003F0D4B" w:rsidRDefault="003F0D4B"/>
        </w:tc>
      </w:tr>
      <w:tr w:rsidR="00FF0404" w:rsidTr="006F13D4">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Exactly what will be delivered by the franchisor with measurable targets/commitments</w:t>
            </w:r>
            <w:r>
              <w:rPr>
                <w:rFonts w:ascii="Calibri" w:hAnsi="Calibri" w:cs="Calibri"/>
                <w:color w:val="000000"/>
              </w:rPr>
              <w:br/>
            </w:r>
            <w:r>
              <w:rPr>
                <w:rFonts w:ascii="Calibri" w:hAnsi="Calibri" w:cs="Calibri"/>
                <w:color w:val="000000"/>
              </w:rPr>
              <w:br/>
              <w:t>A simple profitability commitment - this can be a rage or window - if this isn’t met then the franchisee gets their money back.</w:t>
            </w:r>
          </w:p>
          <w:p w:rsidR="00FF0404" w:rsidRDefault="00FF0404"/>
        </w:tc>
        <w:bookmarkStart w:id="0" w:name="_GoBack"/>
        <w:bookmarkEnd w:id="0"/>
      </w:tr>
      <w:tr w:rsidR="00FF0404" w:rsidTr="006F13D4">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It can be an online thing so the costs will be minimal</w:t>
            </w:r>
            <w:r>
              <w:rPr>
                <w:rFonts w:ascii="Calibri" w:hAnsi="Calibri" w:cs="Calibri"/>
                <w:color w:val="000000"/>
              </w:rPr>
              <w:br/>
            </w:r>
            <w:r>
              <w:rPr>
                <w:rFonts w:ascii="Calibri" w:hAnsi="Calibri" w:cs="Calibri"/>
                <w:color w:val="000000"/>
              </w:rPr>
              <w:br/>
              <w:t xml:space="preserve">Crucially it must contain reviews of franchisors </w:t>
            </w:r>
          </w:p>
          <w:p w:rsidR="00FF0404" w:rsidRDefault="00FF0404"/>
        </w:tc>
      </w:tr>
      <w:tr w:rsidR="00FF0404" w:rsidTr="006F13D4">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I think there is already plenty of education there - what we need is enforcement.</w:t>
            </w:r>
          </w:p>
          <w:p w:rsidR="00FF0404" w:rsidRDefault="00FF0404"/>
        </w:tc>
      </w:tr>
      <w:tr w:rsidR="00FF0404" w:rsidTr="006F13D4">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6F13D4">
        <w:tc>
          <w:tcPr>
            <w:tcW w:w="9016" w:type="dxa"/>
            <w:gridSpan w:val="2"/>
          </w:tcPr>
          <w:p w:rsidR="00FF0404" w:rsidRDefault="00FF0404">
            <w:r>
              <w:t>Option 1.1.2: Changes to the Franchising Code to increase disclosure</w:t>
            </w:r>
          </w:p>
          <w:p w:rsidR="00FF0404" w:rsidRDefault="00FF0404" w:rsidP="006528B9">
            <w:pPr>
              <w:pStyle w:val="ListParagraph"/>
              <w:numPr>
                <w:ilvl w:val="0"/>
                <w:numId w:val="1"/>
              </w:numPr>
            </w:pPr>
            <w:r w:rsidRPr="00FF0404">
              <w:t xml:space="preserve">Increased </w:t>
            </w:r>
            <w:r>
              <w:t>and formal financial disclosure</w:t>
            </w:r>
            <w:r w:rsidRPr="00FF0404">
              <w:t xml:space="preserve"> </w:t>
            </w:r>
          </w:p>
          <w:p w:rsidR="003F0D4B" w:rsidRDefault="003F0D4B" w:rsidP="006528B9"/>
        </w:tc>
      </w:tr>
      <w:tr w:rsidR="00FF0404" w:rsidTr="006F13D4">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Franchisees need to be made to stand by their wild claims about revenue and profit</w:t>
            </w:r>
          </w:p>
          <w:p w:rsidR="003F0D4B" w:rsidRPr="00FF0404" w:rsidRDefault="003F0D4B"/>
        </w:tc>
      </w:tr>
      <w:tr w:rsidR="00FF0404" w:rsidTr="006F13D4">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6F13D4">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6528B9">
            <w:pPr>
              <w:pStyle w:val="ListParagraph"/>
              <w:numPr>
                <w:ilvl w:val="0"/>
                <w:numId w:val="7"/>
              </w:numPr>
            </w:pPr>
            <w:r>
              <w:t>National franchise register</w:t>
            </w:r>
          </w:p>
          <w:p w:rsidR="003F0D4B" w:rsidRDefault="003F0D4B" w:rsidP="006528B9"/>
        </w:tc>
      </w:tr>
      <w:tr w:rsidR="00C26190" w:rsidTr="006F13D4">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The register will allow us to see which franchisors should be avoided but also which should be targeted by the government</w:t>
            </w:r>
          </w:p>
          <w:p w:rsidR="00C26190" w:rsidRPr="00C26190" w:rsidRDefault="00C26190" w:rsidP="00FF0404"/>
        </w:tc>
      </w:tr>
      <w:tr w:rsidR="00FF0404" w:rsidTr="006F13D4">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1.3.1: Status quo (no changes)</w:t>
            </w:r>
          </w:p>
          <w:p w:rsidR="003F0D4B" w:rsidRDefault="003F0D4B"/>
        </w:tc>
      </w:tr>
      <w:tr w:rsidR="00FF0404" w:rsidTr="006F13D4">
        <w:tc>
          <w:tcPr>
            <w:tcW w:w="9016" w:type="dxa"/>
            <w:gridSpan w:val="2"/>
          </w:tcPr>
          <w:p w:rsidR="00FF0404" w:rsidRPr="003F0D4B" w:rsidRDefault="00C26190">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This is not the issue - more franchisor accountability is required </w:t>
            </w:r>
          </w:p>
          <w:p w:rsidR="00FF0404" w:rsidRDefault="00FF0404"/>
        </w:tc>
      </w:tr>
      <w:tr w:rsidR="00FF0404" w:rsidTr="006F13D4">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6F13D4">
        <w:trPr>
          <w:trHeight w:val="339"/>
        </w:trPr>
        <w:tc>
          <w:tcPr>
            <w:tcW w:w="9016" w:type="dxa"/>
            <w:gridSpan w:val="2"/>
          </w:tcPr>
          <w:p w:rsidR="006528B9" w:rsidRDefault="006528B9" w:rsidP="006528B9">
            <w:pPr>
              <w:rPr>
                <w:rFonts w:ascii="Calibri" w:hAnsi="Calibri" w:cs="Calibri"/>
                <w:color w:val="000000"/>
              </w:rPr>
            </w:pPr>
            <w:r>
              <w:rPr>
                <w:rFonts w:ascii="Calibri" w:hAnsi="Calibri" w:cs="Calibri"/>
                <w:color w:val="000000"/>
              </w:rPr>
              <w:t>Allowing franchisees to get their money back for up to 12 months will encourage franchisors to focus more on the real performance of their business model.</w:t>
            </w:r>
          </w:p>
          <w:p w:rsidR="00FF0404" w:rsidRDefault="00FF0404"/>
        </w:tc>
      </w:tr>
      <w:tr w:rsidR="00FF0404" w:rsidTr="006F13D4">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No view</w:t>
            </w:r>
          </w:p>
          <w:p w:rsidR="00FF0404" w:rsidRDefault="00FF0404"/>
        </w:tc>
      </w:tr>
      <w:tr w:rsidR="00FF0404" w:rsidTr="006F13D4">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Na</w:t>
            </w:r>
          </w:p>
          <w:p w:rsidR="00FF0404" w:rsidRDefault="00FF0404"/>
        </w:tc>
      </w:tr>
      <w:tr w:rsidR="00FF0404" w:rsidTr="006F13D4">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2.1.2: Extend cooling off to 14 days and modify the circumstances which trigger the commencement of the cooling off period</w:t>
            </w:r>
          </w:p>
          <w:p w:rsidR="003F0D4B" w:rsidRDefault="003F0D4B"/>
        </w:tc>
      </w:tr>
      <w:tr w:rsidR="00FF0404" w:rsidTr="006F13D4">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Extend to 12 months </w:t>
            </w:r>
          </w:p>
          <w:p w:rsidR="00FF0404" w:rsidRDefault="00FF0404"/>
        </w:tc>
      </w:tr>
      <w:tr w:rsidR="00FF0404" w:rsidTr="006F13D4">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2.2.1: Status quo (no changes)</w:t>
            </w:r>
          </w:p>
          <w:p w:rsidR="003F0D4B" w:rsidRDefault="003F0D4B"/>
        </w:tc>
      </w:tr>
      <w:tr w:rsidR="00FF0404" w:rsidTr="006F13D4">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No view</w:t>
            </w:r>
          </w:p>
          <w:p w:rsidR="00FF0404" w:rsidRDefault="00FF0404"/>
        </w:tc>
      </w:tr>
      <w:tr w:rsidR="00FF0404" w:rsidTr="006F13D4">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2.3.1: Status quo (no changes)</w:t>
            </w:r>
          </w:p>
          <w:p w:rsidR="003F0D4B" w:rsidRDefault="003F0D4B"/>
        </w:tc>
      </w:tr>
      <w:tr w:rsidR="00FF0404" w:rsidTr="006F13D4">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No view</w:t>
            </w:r>
          </w:p>
          <w:p w:rsidR="00FF0404" w:rsidRDefault="00FF0404"/>
        </w:tc>
      </w:tr>
      <w:tr w:rsidR="00FF0404" w:rsidTr="006F13D4">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Every transaction including the receiving party </w:t>
            </w:r>
          </w:p>
          <w:p w:rsidR="00FF0404" w:rsidRDefault="00FF0404"/>
        </w:tc>
      </w:tr>
      <w:tr w:rsidR="00FF0404" w:rsidTr="006F13D4">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With today’s technology it is just the press of a button in something like </w:t>
            </w:r>
            <w:proofErr w:type="spellStart"/>
            <w:r>
              <w:rPr>
                <w:rFonts w:ascii="Calibri" w:hAnsi="Calibri" w:cs="Calibri"/>
                <w:color w:val="000000"/>
              </w:rPr>
              <w:t>xero</w:t>
            </w:r>
            <w:proofErr w:type="spellEnd"/>
          </w:p>
          <w:p w:rsidR="00FF0404" w:rsidRDefault="00FF0404"/>
        </w:tc>
      </w:tr>
      <w:tr w:rsidR="00FF0404" w:rsidTr="006F13D4">
        <w:tc>
          <w:tcPr>
            <w:tcW w:w="9016" w:type="dxa"/>
            <w:gridSpan w:val="2"/>
          </w:tcPr>
          <w:p w:rsidR="00FF0404" w:rsidRPr="003F0D4B" w:rsidRDefault="00A01DF3" w:rsidP="00A01DF3">
            <w:pPr>
              <w:rPr>
                <w:b/>
              </w:rPr>
            </w:pPr>
            <w:r w:rsidRPr="003F0D4B">
              <w:rPr>
                <w:b/>
              </w:rPr>
              <w:lastRenderedPageBreak/>
              <w:t>Problem 3.1 Marketing funds are not always transparent</w:t>
            </w:r>
          </w:p>
        </w:tc>
      </w:tr>
      <w:tr w:rsidR="00FF0404" w:rsidTr="006F13D4">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6528B9">
            <w:pPr>
              <w:pStyle w:val="ListParagraph"/>
              <w:numPr>
                <w:ilvl w:val="0"/>
                <w:numId w:val="8"/>
              </w:numPr>
            </w:pPr>
            <w:r w:rsidRPr="00A01DF3">
              <w:t>Introduce civil pecuniary pena</w:t>
            </w:r>
            <w:r>
              <w:t>lties for a breach of clause 31</w:t>
            </w:r>
          </w:p>
          <w:p w:rsidR="003F0D4B" w:rsidRDefault="003F0D4B" w:rsidP="006528B9">
            <w:pPr>
              <w:pStyle w:val="ListParagraph"/>
            </w:pPr>
          </w:p>
        </w:tc>
      </w:tr>
      <w:tr w:rsidR="00FF0404" w:rsidTr="006F13D4">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More teeth and more enforcement / </w:t>
            </w:r>
            <w:proofErr w:type="spellStart"/>
            <w:r>
              <w:rPr>
                <w:rFonts w:ascii="Calibri" w:hAnsi="Calibri" w:cs="Calibri"/>
                <w:color w:val="000000"/>
              </w:rPr>
              <w:t>self regulation</w:t>
            </w:r>
            <w:proofErr w:type="spellEnd"/>
            <w:r>
              <w:rPr>
                <w:rFonts w:ascii="Calibri" w:hAnsi="Calibri" w:cs="Calibri"/>
                <w:color w:val="000000"/>
              </w:rPr>
              <w:t xml:space="preserve"> has not worked</w:t>
            </w:r>
          </w:p>
          <w:p w:rsidR="00FF0404" w:rsidRDefault="00FF0404"/>
        </w:tc>
      </w:tr>
      <w:tr w:rsidR="00FF0404" w:rsidTr="006F13D4">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No view </w:t>
            </w:r>
          </w:p>
          <w:p w:rsidR="00FF0404" w:rsidRDefault="00FF0404"/>
        </w:tc>
      </w:tr>
      <w:tr w:rsidR="00FF0404" w:rsidTr="006F13D4">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Make a commitment to revenue, costs and margin at the time of the franchise sale and then stand by it contractually.</w:t>
            </w:r>
          </w:p>
          <w:p w:rsidR="00FF0404" w:rsidRDefault="00FF0404"/>
        </w:tc>
      </w:tr>
      <w:tr w:rsidR="00FF0404" w:rsidTr="006F13D4">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No view </w:t>
            </w:r>
          </w:p>
          <w:p w:rsidR="00EE5CDA" w:rsidRPr="007D2442" w:rsidRDefault="00EE5CDA"/>
        </w:tc>
      </w:tr>
      <w:tr w:rsidR="00EE5CDA" w:rsidTr="006F13D4">
        <w:tc>
          <w:tcPr>
            <w:tcW w:w="9016" w:type="dxa"/>
            <w:gridSpan w:val="2"/>
          </w:tcPr>
          <w:p w:rsidR="00EE5CDA" w:rsidRPr="003F0D4B" w:rsidRDefault="00EE5CDA">
            <w:pPr>
              <w:rPr>
                <w:b/>
              </w:rPr>
            </w:pPr>
            <w:r w:rsidRPr="003F0D4B">
              <w:rPr>
                <w:b/>
              </w:rPr>
              <w:t>Problem 4.1 Supplier rebates can lead to conflicts of interest</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4.1.1: Status quo (no change)</w:t>
            </w:r>
          </w:p>
          <w:p w:rsidR="003F0D4B" w:rsidRPr="007D2442" w:rsidRDefault="003F0D4B"/>
        </w:tc>
      </w:tr>
      <w:tr w:rsidR="00EE5CDA" w:rsidTr="006F13D4">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No view </w:t>
            </w:r>
          </w:p>
          <w:p w:rsidR="00EE5CDA" w:rsidRPr="007D2442" w:rsidRDefault="00EE5CDA"/>
        </w:tc>
      </w:tr>
      <w:tr w:rsidR="00CB0D83" w:rsidTr="006F13D4">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4.2.2: Modify the Code to define significant capital expenditure and provide rights for franchisees to recoup the value of significant capital expenditure</w:t>
            </w:r>
          </w:p>
          <w:p w:rsidR="003F0D4B" w:rsidRPr="003F0D4B" w:rsidRDefault="003F0D4B"/>
        </w:tc>
      </w:tr>
      <w:tr w:rsidR="00EE5CDA" w:rsidTr="006F13D4">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Tighter definition and the ability to recoup would be a good first step </w:t>
            </w:r>
          </w:p>
          <w:p w:rsidR="00EE5CDA" w:rsidRPr="007D2442" w:rsidRDefault="00EE5CDA"/>
        </w:tc>
      </w:tr>
      <w:tr w:rsidR="00EE5CDA" w:rsidTr="006F13D4">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4.3.2: Banning or limiting the circumstances in which franchisors can unilaterally vary franchise agreements</w:t>
            </w:r>
          </w:p>
          <w:p w:rsidR="003F0D4B" w:rsidRPr="007D2442" w:rsidRDefault="003F0D4B"/>
        </w:tc>
      </w:tr>
      <w:tr w:rsidR="00EE5CDA" w:rsidTr="006F13D4">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Clearly unilateral changes to an agreement are plain nonsense these days.</w:t>
            </w:r>
          </w:p>
          <w:p w:rsidR="00EE5CDA" w:rsidRPr="007D2442" w:rsidRDefault="00EE5CDA"/>
        </w:tc>
      </w:tr>
      <w:tr w:rsidR="00EE5CDA" w:rsidTr="006F13D4">
        <w:tc>
          <w:tcPr>
            <w:tcW w:w="9016" w:type="dxa"/>
            <w:gridSpan w:val="2"/>
          </w:tcPr>
          <w:p w:rsidR="00EE5CDA" w:rsidRPr="003F0D4B" w:rsidRDefault="00CB0D83">
            <w:pPr>
              <w:rPr>
                <w:b/>
              </w:rPr>
            </w:pPr>
            <w:r w:rsidRPr="003F0D4B">
              <w:rPr>
                <w:b/>
              </w:rPr>
              <w:lastRenderedPageBreak/>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Only when both parties are genuine in their desire to reach agreement. </w:t>
            </w:r>
          </w:p>
          <w:p w:rsidR="00EE5CDA" w:rsidRPr="007D2442" w:rsidRDefault="00EE5CDA"/>
        </w:tc>
      </w:tr>
      <w:tr w:rsidR="00EE5CDA" w:rsidTr="006F13D4">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Sure - more options are good  but the current system needs more teeth as franchisors are abusing it </w:t>
            </w:r>
          </w:p>
          <w:p w:rsidR="00EE5CDA" w:rsidRPr="007D2442" w:rsidRDefault="00EE5CDA"/>
        </w:tc>
      </w:tr>
      <w:tr w:rsidR="00EE5CDA" w:rsidTr="006F13D4">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6F13D4">
        <w:tc>
          <w:tcPr>
            <w:tcW w:w="9016" w:type="dxa"/>
            <w:gridSpan w:val="2"/>
          </w:tcPr>
          <w:p w:rsidR="002A69D5" w:rsidRDefault="002A69D5">
            <w:r w:rsidRPr="002A69D5">
              <w:t>Option 5.1.2: Expand options for dispute resolution, and streamline mediation procedures and services</w:t>
            </w:r>
          </w:p>
          <w:p w:rsidR="002A69D5" w:rsidRDefault="002A69D5" w:rsidP="006528B9">
            <w:pPr>
              <w:pStyle w:val="ListParagraph"/>
              <w:numPr>
                <w:ilvl w:val="0"/>
                <w:numId w:val="9"/>
              </w:numPr>
            </w:pPr>
            <w:r>
              <w:t>Strengthen third party involvement in dispute resolution including pathways for binding dispute resolution</w:t>
            </w:r>
          </w:p>
          <w:p w:rsidR="003F0D4B" w:rsidRPr="002A69D5" w:rsidRDefault="003F0D4B"/>
        </w:tc>
      </w:tr>
      <w:tr w:rsidR="002A69D5" w:rsidTr="006F13D4">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‘Binding’ is key - franchisors are not compelled to do more than show up right now.</w:t>
            </w:r>
          </w:p>
          <w:p w:rsidR="002A69D5" w:rsidRPr="002A69D5" w:rsidRDefault="002A69D5"/>
        </w:tc>
      </w:tr>
      <w:tr w:rsidR="002A69D5" w:rsidTr="006F13D4">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If the franchisor (or their business model) does not live up to the agreed commitments of revenue/cost/profit. That is what we are buying</w:t>
            </w:r>
            <w:proofErr w:type="gramStart"/>
            <w:r>
              <w:rPr>
                <w:rFonts w:ascii="Calibri" w:hAnsi="Calibri" w:cs="Calibri"/>
                <w:color w:val="000000"/>
              </w:rPr>
              <w:t>..</w:t>
            </w:r>
            <w:proofErr w:type="gramEnd"/>
          </w:p>
          <w:p w:rsidR="002A69D5" w:rsidRPr="002A69D5" w:rsidRDefault="002A69D5"/>
        </w:tc>
      </w:tr>
      <w:tr w:rsidR="002A69D5" w:rsidRPr="003F0D4B" w:rsidTr="006F13D4">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No view </w:t>
            </w:r>
          </w:p>
          <w:p w:rsidR="002A69D5" w:rsidRPr="002A69D5" w:rsidRDefault="002A69D5"/>
        </w:tc>
      </w:tr>
      <w:tr w:rsidR="002A69D5" w:rsidTr="006F13D4">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6F13D4">
        <w:tc>
          <w:tcPr>
            <w:tcW w:w="9016" w:type="dxa"/>
            <w:gridSpan w:val="2"/>
          </w:tcPr>
          <w:p w:rsidR="000853F1" w:rsidRDefault="000853F1" w:rsidP="002A69D5">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6528B9">
            <w:pPr>
              <w:pStyle w:val="ListParagraph"/>
              <w:numPr>
                <w:ilvl w:val="0"/>
                <w:numId w:val="10"/>
              </w:numPr>
            </w:pPr>
            <w:r>
              <w:t>Provide statutory termination rights to franchisees</w:t>
            </w:r>
          </w:p>
          <w:p w:rsidR="003F0D4B" w:rsidRDefault="003F0D4B" w:rsidP="006528B9"/>
        </w:tc>
      </w:tr>
      <w:tr w:rsidR="000853F1" w:rsidTr="006F13D4">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We are buying a revenue And profit stream - if the franchisor oversells that and it does not materialize we must be able to get out and get back our investments </w:t>
            </w:r>
          </w:p>
          <w:p w:rsidR="000853F1" w:rsidRDefault="000853F1" w:rsidP="002A69D5"/>
        </w:tc>
      </w:tr>
      <w:tr w:rsidR="000853F1" w:rsidTr="006F13D4">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6.2.2: Amend franchising agreement requirements and clarify wording of Clause 23 of the Franchising Code</w:t>
            </w:r>
          </w:p>
          <w:p w:rsidR="003F0D4B" w:rsidRDefault="003F0D4B" w:rsidP="00531F43"/>
        </w:tc>
      </w:tr>
      <w:tr w:rsidR="000853F1" w:rsidTr="006F13D4">
        <w:tc>
          <w:tcPr>
            <w:tcW w:w="9016" w:type="dxa"/>
            <w:gridSpan w:val="2"/>
          </w:tcPr>
          <w:p w:rsidR="000853F1" w:rsidRPr="003F0D4B" w:rsidRDefault="00531F43" w:rsidP="002A69D5">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ROT applicability depends on why we are leaving -</w:t>
            </w:r>
            <w:r>
              <w:rPr>
                <w:rFonts w:ascii="Calibri" w:hAnsi="Calibri" w:cs="Calibri"/>
                <w:color w:val="000000"/>
              </w:rPr>
              <w:br/>
              <w:t>If it is down to franchisor failures then there should be no ROT at all!</w:t>
            </w:r>
          </w:p>
          <w:p w:rsidR="000853F1" w:rsidRDefault="000853F1" w:rsidP="002A69D5"/>
        </w:tc>
      </w:tr>
      <w:tr w:rsidR="000853F1" w:rsidTr="006F13D4">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Option 6.3.1: Status quo (no change)</w:t>
            </w:r>
          </w:p>
          <w:p w:rsidR="003F0D4B" w:rsidRDefault="003F0D4B" w:rsidP="002A69D5"/>
        </w:tc>
      </w:tr>
      <w:tr w:rsidR="000853F1" w:rsidTr="006F13D4">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No view</w:t>
            </w:r>
          </w:p>
          <w:p w:rsidR="000853F1" w:rsidRDefault="000853F1" w:rsidP="002A69D5"/>
        </w:tc>
      </w:tr>
      <w:tr w:rsidR="000853F1" w:rsidTr="006F13D4">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No view</w:t>
            </w:r>
          </w:p>
          <w:p w:rsidR="000853F1" w:rsidRDefault="000853F1" w:rsidP="002A69D5"/>
        </w:tc>
      </w:tr>
      <w:tr w:rsidR="000853F1" w:rsidTr="006F13D4">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No view</w:t>
            </w:r>
          </w:p>
          <w:p w:rsidR="000853F1" w:rsidRDefault="000853F1" w:rsidP="002A69D5"/>
        </w:tc>
      </w:tr>
      <w:tr w:rsidR="000853F1" w:rsidTr="006F13D4">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6528B9" w:rsidTr="006F13D4">
        <w:tc>
          <w:tcPr>
            <w:tcW w:w="9016" w:type="dxa"/>
            <w:gridSpan w:val="2"/>
          </w:tcPr>
          <w:p w:rsidR="006528B9" w:rsidRPr="003F0D4B" w:rsidRDefault="006528B9" w:rsidP="00531F43">
            <w:pPr>
              <w:rPr>
                <w:b/>
              </w:rPr>
            </w:pPr>
          </w:p>
        </w:tc>
      </w:tr>
      <w:tr w:rsidR="000853F1" w:rsidTr="006F13D4">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6F13D4">
        <w:tc>
          <w:tcPr>
            <w:tcW w:w="9016" w:type="dxa"/>
            <w:gridSpan w:val="2"/>
          </w:tcPr>
          <w:p w:rsidR="000853F1" w:rsidRDefault="000853F1" w:rsidP="002A69D5"/>
        </w:tc>
      </w:tr>
      <w:tr w:rsidR="003F0D4B" w:rsidTr="006F13D4">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6F13D4">
        <w:tc>
          <w:tcPr>
            <w:tcW w:w="9016" w:type="dxa"/>
            <w:gridSpan w:val="2"/>
          </w:tcPr>
          <w:p w:rsidR="003F0D4B" w:rsidRDefault="003F0D4B" w:rsidP="003F0D4B"/>
        </w:tc>
      </w:tr>
      <w:tr w:rsidR="003F0D4B" w:rsidTr="006F13D4">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6F13D4">
        <w:tc>
          <w:tcPr>
            <w:tcW w:w="9016" w:type="dxa"/>
            <w:gridSpan w:val="2"/>
          </w:tcPr>
          <w:p w:rsidR="003F0D4B" w:rsidRDefault="003F0D4B" w:rsidP="003F0D4B"/>
        </w:tc>
      </w:tr>
      <w:tr w:rsidR="003F0D4B" w:rsidTr="006F13D4">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6F13D4">
        <w:tc>
          <w:tcPr>
            <w:tcW w:w="9016" w:type="dxa"/>
            <w:gridSpan w:val="2"/>
          </w:tcPr>
          <w:p w:rsidR="006528B9" w:rsidRDefault="006528B9" w:rsidP="006528B9">
            <w:pPr>
              <w:rPr>
                <w:rFonts w:ascii="Calibri" w:hAnsi="Calibri" w:cs="Calibri"/>
                <w:color w:val="000000"/>
              </w:rPr>
            </w:pPr>
            <w:r>
              <w:rPr>
                <w:rFonts w:ascii="Calibri" w:hAnsi="Calibri" w:cs="Calibri"/>
                <w:color w:val="000000"/>
              </w:rPr>
              <w:t xml:space="preserve">See Our submission to then parliamentary enquiry for details </w:t>
            </w:r>
          </w:p>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84C35"/>
    <w:multiLevelType w:val="hybridMultilevel"/>
    <w:tmpl w:val="AB6A7EE0"/>
    <w:lvl w:ilvl="0" w:tplc="68C49C5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A01680"/>
    <w:multiLevelType w:val="hybridMultilevel"/>
    <w:tmpl w:val="DDBABDA0"/>
    <w:lvl w:ilvl="0" w:tplc="7870BD9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C232A8"/>
    <w:multiLevelType w:val="hybridMultilevel"/>
    <w:tmpl w:val="354402EC"/>
    <w:lvl w:ilvl="0" w:tplc="09B01A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EA5715"/>
    <w:multiLevelType w:val="hybridMultilevel"/>
    <w:tmpl w:val="B71C4BA4"/>
    <w:lvl w:ilvl="0" w:tplc="8818672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BA627A"/>
    <w:multiLevelType w:val="hybridMultilevel"/>
    <w:tmpl w:val="494EA3BE"/>
    <w:lvl w:ilvl="0" w:tplc="CB866A4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40775B"/>
    <w:rsid w:val="00531F43"/>
    <w:rsid w:val="006528B9"/>
    <w:rsid w:val="006F13D4"/>
    <w:rsid w:val="0076070A"/>
    <w:rsid w:val="007D2442"/>
    <w:rsid w:val="00837502"/>
    <w:rsid w:val="00A01DF3"/>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34">
      <w:bodyDiv w:val="1"/>
      <w:marLeft w:val="0"/>
      <w:marRight w:val="0"/>
      <w:marTop w:val="0"/>
      <w:marBottom w:val="0"/>
      <w:divBdr>
        <w:top w:val="none" w:sz="0" w:space="0" w:color="auto"/>
        <w:left w:val="none" w:sz="0" w:space="0" w:color="auto"/>
        <w:bottom w:val="none" w:sz="0" w:space="0" w:color="auto"/>
        <w:right w:val="none" w:sz="0" w:space="0" w:color="auto"/>
      </w:divBdr>
    </w:div>
    <w:div w:id="27991135">
      <w:bodyDiv w:val="1"/>
      <w:marLeft w:val="0"/>
      <w:marRight w:val="0"/>
      <w:marTop w:val="0"/>
      <w:marBottom w:val="0"/>
      <w:divBdr>
        <w:top w:val="none" w:sz="0" w:space="0" w:color="auto"/>
        <w:left w:val="none" w:sz="0" w:space="0" w:color="auto"/>
        <w:bottom w:val="none" w:sz="0" w:space="0" w:color="auto"/>
        <w:right w:val="none" w:sz="0" w:space="0" w:color="auto"/>
      </w:divBdr>
    </w:div>
    <w:div w:id="49349328">
      <w:bodyDiv w:val="1"/>
      <w:marLeft w:val="0"/>
      <w:marRight w:val="0"/>
      <w:marTop w:val="0"/>
      <w:marBottom w:val="0"/>
      <w:divBdr>
        <w:top w:val="none" w:sz="0" w:space="0" w:color="auto"/>
        <w:left w:val="none" w:sz="0" w:space="0" w:color="auto"/>
        <w:bottom w:val="none" w:sz="0" w:space="0" w:color="auto"/>
        <w:right w:val="none" w:sz="0" w:space="0" w:color="auto"/>
      </w:divBdr>
    </w:div>
    <w:div w:id="135881265">
      <w:bodyDiv w:val="1"/>
      <w:marLeft w:val="0"/>
      <w:marRight w:val="0"/>
      <w:marTop w:val="0"/>
      <w:marBottom w:val="0"/>
      <w:divBdr>
        <w:top w:val="none" w:sz="0" w:space="0" w:color="auto"/>
        <w:left w:val="none" w:sz="0" w:space="0" w:color="auto"/>
        <w:bottom w:val="none" w:sz="0" w:space="0" w:color="auto"/>
        <w:right w:val="none" w:sz="0" w:space="0" w:color="auto"/>
      </w:divBdr>
    </w:div>
    <w:div w:id="155927717">
      <w:bodyDiv w:val="1"/>
      <w:marLeft w:val="0"/>
      <w:marRight w:val="0"/>
      <w:marTop w:val="0"/>
      <w:marBottom w:val="0"/>
      <w:divBdr>
        <w:top w:val="none" w:sz="0" w:space="0" w:color="auto"/>
        <w:left w:val="none" w:sz="0" w:space="0" w:color="auto"/>
        <w:bottom w:val="none" w:sz="0" w:space="0" w:color="auto"/>
        <w:right w:val="none" w:sz="0" w:space="0" w:color="auto"/>
      </w:divBdr>
    </w:div>
    <w:div w:id="166336104">
      <w:bodyDiv w:val="1"/>
      <w:marLeft w:val="0"/>
      <w:marRight w:val="0"/>
      <w:marTop w:val="0"/>
      <w:marBottom w:val="0"/>
      <w:divBdr>
        <w:top w:val="none" w:sz="0" w:space="0" w:color="auto"/>
        <w:left w:val="none" w:sz="0" w:space="0" w:color="auto"/>
        <w:bottom w:val="none" w:sz="0" w:space="0" w:color="auto"/>
        <w:right w:val="none" w:sz="0" w:space="0" w:color="auto"/>
      </w:divBdr>
    </w:div>
    <w:div w:id="197933459">
      <w:bodyDiv w:val="1"/>
      <w:marLeft w:val="0"/>
      <w:marRight w:val="0"/>
      <w:marTop w:val="0"/>
      <w:marBottom w:val="0"/>
      <w:divBdr>
        <w:top w:val="none" w:sz="0" w:space="0" w:color="auto"/>
        <w:left w:val="none" w:sz="0" w:space="0" w:color="auto"/>
        <w:bottom w:val="none" w:sz="0" w:space="0" w:color="auto"/>
        <w:right w:val="none" w:sz="0" w:space="0" w:color="auto"/>
      </w:divBdr>
    </w:div>
    <w:div w:id="198203731">
      <w:bodyDiv w:val="1"/>
      <w:marLeft w:val="0"/>
      <w:marRight w:val="0"/>
      <w:marTop w:val="0"/>
      <w:marBottom w:val="0"/>
      <w:divBdr>
        <w:top w:val="none" w:sz="0" w:space="0" w:color="auto"/>
        <w:left w:val="none" w:sz="0" w:space="0" w:color="auto"/>
        <w:bottom w:val="none" w:sz="0" w:space="0" w:color="auto"/>
        <w:right w:val="none" w:sz="0" w:space="0" w:color="auto"/>
      </w:divBdr>
    </w:div>
    <w:div w:id="252471565">
      <w:bodyDiv w:val="1"/>
      <w:marLeft w:val="0"/>
      <w:marRight w:val="0"/>
      <w:marTop w:val="0"/>
      <w:marBottom w:val="0"/>
      <w:divBdr>
        <w:top w:val="none" w:sz="0" w:space="0" w:color="auto"/>
        <w:left w:val="none" w:sz="0" w:space="0" w:color="auto"/>
        <w:bottom w:val="none" w:sz="0" w:space="0" w:color="auto"/>
        <w:right w:val="none" w:sz="0" w:space="0" w:color="auto"/>
      </w:divBdr>
    </w:div>
    <w:div w:id="404493463">
      <w:bodyDiv w:val="1"/>
      <w:marLeft w:val="0"/>
      <w:marRight w:val="0"/>
      <w:marTop w:val="0"/>
      <w:marBottom w:val="0"/>
      <w:divBdr>
        <w:top w:val="none" w:sz="0" w:space="0" w:color="auto"/>
        <w:left w:val="none" w:sz="0" w:space="0" w:color="auto"/>
        <w:bottom w:val="none" w:sz="0" w:space="0" w:color="auto"/>
        <w:right w:val="none" w:sz="0" w:space="0" w:color="auto"/>
      </w:divBdr>
    </w:div>
    <w:div w:id="503207720">
      <w:bodyDiv w:val="1"/>
      <w:marLeft w:val="0"/>
      <w:marRight w:val="0"/>
      <w:marTop w:val="0"/>
      <w:marBottom w:val="0"/>
      <w:divBdr>
        <w:top w:val="none" w:sz="0" w:space="0" w:color="auto"/>
        <w:left w:val="none" w:sz="0" w:space="0" w:color="auto"/>
        <w:bottom w:val="none" w:sz="0" w:space="0" w:color="auto"/>
        <w:right w:val="none" w:sz="0" w:space="0" w:color="auto"/>
      </w:divBdr>
    </w:div>
    <w:div w:id="537469069">
      <w:bodyDiv w:val="1"/>
      <w:marLeft w:val="0"/>
      <w:marRight w:val="0"/>
      <w:marTop w:val="0"/>
      <w:marBottom w:val="0"/>
      <w:divBdr>
        <w:top w:val="none" w:sz="0" w:space="0" w:color="auto"/>
        <w:left w:val="none" w:sz="0" w:space="0" w:color="auto"/>
        <w:bottom w:val="none" w:sz="0" w:space="0" w:color="auto"/>
        <w:right w:val="none" w:sz="0" w:space="0" w:color="auto"/>
      </w:divBdr>
    </w:div>
    <w:div w:id="626935020">
      <w:bodyDiv w:val="1"/>
      <w:marLeft w:val="0"/>
      <w:marRight w:val="0"/>
      <w:marTop w:val="0"/>
      <w:marBottom w:val="0"/>
      <w:divBdr>
        <w:top w:val="none" w:sz="0" w:space="0" w:color="auto"/>
        <w:left w:val="none" w:sz="0" w:space="0" w:color="auto"/>
        <w:bottom w:val="none" w:sz="0" w:space="0" w:color="auto"/>
        <w:right w:val="none" w:sz="0" w:space="0" w:color="auto"/>
      </w:divBdr>
    </w:div>
    <w:div w:id="721443096">
      <w:bodyDiv w:val="1"/>
      <w:marLeft w:val="0"/>
      <w:marRight w:val="0"/>
      <w:marTop w:val="0"/>
      <w:marBottom w:val="0"/>
      <w:divBdr>
        <w:top w:val="none" w:sz="0" w:space="0" w:color="auto"/>
        <w:left w:val="none" w:sz="0" w:space="0" w:color="auto"/>
        <w:bottom w:val="none" w:sz="0" w:space="0" w:color="auto"/>
        <w:right w:val="none" w:sz="0" w:space="0" w:color="auto"/>
      </w:divBdr>
    </w:div>
    <w:div w:id="732198570">
      <w:bodyDiv w:val="1"/>
      <w:marLeft w:val="0"/>
      <w:marRight w:val="0"/>
      <w:marTop w:val="0"/>
      <w:marBottom w:val="0"/>
      <w:divBdr>
        <w:top w:val="none" w:sz="0" w:space="0" w:color="auto"/>
        <w:left w:val="none" w:sz="0" w:space="0" w:color="auto"/>
        <w:bottom w:val="none" w:sz="0" w:space="0" w:color="auto"/>
        <w:right w:val="none" w:sz="0" w:space="0" w:color="auto"/>
      </w:divBdr>
    </w:div>
    <w:div w:id="744765223">
      <w:bodyDiv w:val="1"/>
      <w:marLeft w:val="0"/>
      <w:marRight w:val="0"/>
      <w:marTop w:val="0"/>
      <w:marBottom w:val="0"/>
      <w:divBdr>
        <w:top w:val="none" w:sz="0" w:space="0" w:color="auto"/>
        <w:left w:val="none" w:sz="0" w:space="0" w:color="auto"/>
        <w:bottom w:val="none" w:sz="0" w:space="0" w:color="auto"/>
        <w:right w:val="none" w:sz="0" w:space="0" w:color="auto"/>
      </w:divBdr>
    </w:div>
    <w:div w:id="773017927">
      <w:bodyDiv w:val="1"/>
      <w:marLeft w:val="0"/>
      <w:marRight w:val="0"/>
      <w:marTop w:val="0"/>
      <w:marBottom w:val="0"/>
      <w:divBdr>
        <w:top w:val="none" w:sz="0" w:space="0" w:color="auto"/>
        <w:left w:val="none" w:sz="0" w:space="0" w:color="auto"/>
        <w:bottom w:val="none" w:sz="0" w:space="0" w:color="auto"/>
        <w:right w:val="none" w:sz="0" w:space="0" w:color="auto"/>
      </w:divBdr>
    </w:div>
    <w:div w:id="779836347">
      <w:bodyDiv w:val="1"/>
      <w:marLeft w:val="0"/>
      <w:marRight w:val="0"/>
      <w:marTop w:val="0"/>
      <w:marBottom w:val="0"/>
      <w:divBdr>
        <w:top w:val="none" w:sz="0" w:space="0" w:color="auto"/>
        <w:left w:val="none" w:sz="0" w:space="0" w:color="auto"/>
        <w:bottom w:val="none" w:sz="0" w:space="0" w:color="auto"/>
        <w:right w:val="none" w:sz="0" w:space="0" w:color="auto"/>
      </w:divBdr>
    </w:div>
    <w:div w:id="884488248">
      <w:bodyDiv w:val="1"/>
      <w:marLeft w:val="0"/>
      <w:marRight w:val="0"/>
      <w:marTop w:val="0"/>
      <w:marBottom w:val="0"/>
      <w:divBdr>
        <w:top w:val="none" w:sz="0" w:space="0" w:color="auto"/>
        <w:left w:val="none" w:sz="0" w:space="0" w:color="auto"/>
        <w:bottom w:val="none" w:sz="0" w:space="0" w:color="auto"/>
        <w:right w:val="none" w:sz="0" w:space="0" w:color="auto"/>
      </w:divBdr>
    </w:div>
    <w:div w:id="1009910862">
      <w:bodyDiv w:val="1"/>
      <w:marLeft w:val="0"/>
      <w:marRight w:val="0"/>
      <w:marTop w:val="0"/>
      <w:marBottom w:val="0"/>
      <w:divBdr>
        <w:top w:val="none" w:sz="0" w:space="0" w:color="auto"/>
        <w:left w:val="none" w:sz="0" w:space="0" w:color="auto"/>
        <w:bottom w:val="none" w:sz="0" w:space="0" w:color="auto"/>
        <w:right w:val="none" w:sz="0" w:space="0" w:color="auto"/>
      </w:divBdr>
    </w:div>
    <w:div w:id="1016427133">
      <w:bodyDiv w:val="1"/>
      <w:marLeft w:val="0"/>
      <w:marRight w:val="0"/>
      <w:marTop w:val="0"/>
      <w:marBottom w:val="0"/>
      <w:divBdr>
        <w:top w:val="none" w:sz="0" w:space="0" w:color="auto"/>
        <w:left w:val="none" w:sz="0" w:space="0" w:color="auto"/>
        <w:bottom w:val="none" w:sz="0" w:space="0" w:color="auto"/>
        <w:right w:val="none" w:sz="0" w:space="0" w:color="auto"/>
      </w:divBdr>
    </w:div>
    <w:div w:id="1106846803">
      <w:bodyDiv w:val="1"/>
      <w:marLeft w:val="0"/>
      <w:marRight w:val="0"/>
      <w:marTop w:val="0"/>
      <w:marBottom w:val="0"/>
      <w:divBdr>
        <w:top w:val="none" w:sz="0" w:space="0" w:color="auto"/>
        <w:left w:val="none" w:sz="0" w:space="0" w:color="auto"/>
        <w:bottom w:val="none" w:sz="0" w:space="0" w:color="auto"/>
        <w:right w:val="none" w:sz="0" w:space="0" w:color="auto"/>
      </w:divBdr>
    </w:div>
    <w:div w:id="1125927043">
      <w:bodyDiv w:val="1"/>
      <w:marLeft w:val="0"/>
      <w:marRight w:val="0"/>
      <w:marTop w:val="0"/>
      <w:marBottom w:val="0"/>
      <w:divBdr>
        <w:top w:val="none" w:sz="0" w:space="0" w:color="auto"/>
        <w:left w:val="none" w:sz="0" w:space="0" w:color="auto"/>
        <w:bottom w:val="none" w:sz="0" w:space="0" w:color="auto"/>
        <w:right w:val="none" w:sz="0" w:space="0" w:color="auto"/>
      </w:divBdr>
    </w:div>
    <w:div w:id="1201824240">
      <w:bodyDiv w:val="1"/>
      <w:marLeft w:val="0"/>
      <w:marRight w:val="0"/>
      <w:marTop w:val="0"/>
      <w:marBottom w:val="0"/>
      <w:divBdr>
        <w:top w:val="none" w:sz="0" w:space="0" w:color="auto"/>
        <w:left w:val="none" w:sz="0" w:space="0" w:color="auto"/>
        <w:bottom w:val="none" w:sz="0" w:space="0" w:color="auto"/>
        <w:right w:val="none" w:sz="0" w:space="0" w:color="auto"/>
      </w:divBdr>
    </w:div>
    <w:div w:id="1227180793">
      <w:bodyDiv w:val="1"/>
      <w:marLeft w:val="0"/>
      <w:marRight w:val="0"/>
      <w:marTop w:val="0"/>
      <w:marBottom w:val="0"/>
      <w:divBdr>
        <w:top w:val="none" w:sz="0" w:space="0" w:color="auto"/>
        <w:left w:val="none" w:sz="0" w:space="0" w:color="auto"/>
        <w:bottom w:val="none" w:sz="0" w:space="0" w:color="auto"/>
        <w:right w:val="none" w:sz="0" w:space="0" w:color="auto"/>
      </w:divBdr>
    </w:div>
    <w:div w:id="1272938093">
      <w:bodyDiv w:val="1"/>
      <w:marLeft w:val="0"/>
      <w:marRight w:val="0"/>
      <w:marTop w:val="0"/>
      <w:marBottom w:val="0"/>
      <w:divBdr>
        <w:top w:val="none" w:sz="0" w:space="0" w:color="auto"/>
        <w:left w:val="none" w:sz="0" w:space="0" w:color="auto"/>
        <w:bottom w:val="none" w:sz="0" w:space="0" w:color="auto"/>
        <w:right w:val="none" w:sz="0" w:space="0" w:color="auto"/>
      </w:divBdr>
    </w:div>
    <w:div w:id="1286697599">
      <w:bodyDiv w:val="1"/>
      <w:marLeft w:val="0"/>
      <w:marRight w:val="0"/>
      <w:marTop w:val="0"/>
      <w:marBottom w:val="0"/>
      <w:divBdr>
        <w:top w:val="none" w:sz="0" w:space="0" w:color="auto"/>
        <w:left w:val="none" w:sz="0" w:space="0" w:color="auto"/>
        <w:bottom w:val="none" w:sz="0" w:space="0" w:color="auto"/>
        <w:right w:val="none" w:sz="0" w:space="0" w:color="auto"/>
      </w:divBdr>
    </w:div>
    <w:div w:id="1304122913">
      <w:bodyDiv w:val="1"/>
      <w:marLeft w:val="0"/>
      <w:marRight w:val="0"/>
      <w:marTop w:val="0"/>
      <w:marBottom w:val="0"/>
      <w:divBdr>
        <w:top w:val="none" w:sz="0" w:space="0" w:color="auto"/>
        <w:left w:val="none" w:sz="0" w:space="0" w:color="auto"/>
        <w:bottom w:val="none" w:sz="0" w:space="0" w:color="auto"/>
        <w:right w:val="none" w:sz="0" w:space="0" w:color="auto"/>
      </w:divBdr>
    </w:div>
    <w:div w:id="1336229588">
      <w:bodyDiv w:val="1"/>
      <w:marLeft w:val="0"/>
      <w:marRight w:val="0"/>
      <w:marTop w:val="0"/>
      <w:marBottom w:val="0"/>
      <w:divBdr>
        <w:top w:val="none" w:sz="0" w:space="0" w:color="auto"/>
        <w:left w:val="none" w:sz="0" w:space="0" w:color="auto"/>
        <w:bottom w:val="none" w:sz="0" w:space="0" w:color="auto"/>
        <w:right w:val="none" w:sz="0" w:space="0" w:color="auto"/>
      </w:divBdr>
    </w:div>
    <w:div w:id="1344893767">
      <w:bodyDiv w:val="1"/>
      <w:marLeft w:val="0"/>
      <w:marRight w:val="0"/>
      <w:marTop w:val="0"/>
      <w:marBottom w:val="0"/>
      <w:divBdr>
        <w:top w:val="none" w:sz="0" w:space="0" w:color="auto"/>
        <w:left w:val="none" w:sz="0" w:space="0" w:color="auto"/>
        <w:bottom w:val="none" w:sz="0" w:space="0" w:color="auto"/>
        <w:right w:val="none" w:sz="0" w:space="0" w:color="auto"/>
      </w:divBdr>
    </w:div>
    <w:div w:id="1376542613">
      <w:bodyDiv w:val="1"/>
      <w:marLeft w:val="0"/>
      <w:marRight w:val="0"/>
      <w:marTop w:val="0"/>
      <w:marBottom w:val="0"/>
      <w:divBdr>
        <w:top w:val="none" w:sz="0" w:space="0" w:color="auto"/>
        <w:left w:val="none" w:sz="0" w:space="0" w:color="auto"/>
        <w:bottom w:val="none" w:sz="0" w:space="0" w:color="auto"/>
        <w:right w:val="none" w:sz="0" w:space="0" w:color="auto"/>
      </w:divBdr>
    </w:div>
    <w:div w:id="1444425002">
      <w:bodyDiv w:val="1"/>
      <w:marLeft w:val="0"/>
      <w:marRight w:val="0"/>
      <w:marTop w:val="0"/>
      <w:marBottom w:val="0"/>
      <w:divBdr>
        <w:top w:val="none" w:sz="0" w:space="0" w:color="auto"/>
        <w:left w:val="none" w:sz="0" w:space="0" w:color="auto"/>
        <w:bottom w:val="none" w:sz="0" w:space="0" w:color="auto"/>
        <w:right w:val="none" w:sz="0" w:space="0" w:color="auto"/>
      </w:divBdr>
    </w:div>
    <w:div w:id="1517303471">
      <w:bodyDiv w:val="1"/>
      <w:marLeft w:val="0"/>
      <w:marRight w:val="0"/>
      <w:marTop w:val="0"/>
      <w:marBottom w:val="0"/>
      <w:divBdr>
        <w:top w:val="none" w:sz="0" w:space="0" w:color="auto"/>
        <w:left w:val="none" w:sz="0" w:space="0" w:color="auto"/>
        <w:bottom w:val="none" w:sz="0" w:space="0" w:color="auto"/>
        <w:right w:val="none" w:sz="0" w:space="0" w:color="auto"/>
      </w:divBdr>
    </w:div>
    <w:div w:id="1524510539">
      <w:bodyDiv w:val="1"/>
      <w:marLeft w:val="0"/>
      <w:marRight w:val="0"/>
      <w:marTop w:val="0"/>
      <w:marBottom w:val="0"/>
      <w:divBdr>
        <w:top w:val="none" w:sz="0" w:space="0" w:color="auto"/>
        <w:left w:val="none" w:sz="0" w:space="0" w:color="auto"/>
        <w:bottom w:val="none" w:sz="0" w:space="0" w:color="auto"/>
        <w:right w:val="none" w:sz="0" w:space="0" w:color="auto"/>
      </w:divBdr>
    </w:div>
    <w:div w:id="1561281423">
      <w:bodyDiv w:val="1"/>
      <w:marLeft w:val="0"/>
      <w:marRight w:val="0"/>
      <w:marTop w:val="0"/>
      <w:marBottom w:val="0"/>
      <w:divBdr>
        <w:top w:val="none" w:sz="0" w:space="0" w:color="auto"/>
        <w:left w:val="none" w:sz="0" w:space="0" w:color="auto"/>
        <w:bottom w:val="none" w:sz="0" w:space="0" w:color="auto"/>
        <w:right w:val="none" w:sz="0" w:space="0" w:color="auto"/>
      </w:divBdr>
    </w:div>
    <w:div w:id="1593857679">
      <w:bodyDiv w:val="1"/>
      <w:marLeft w:val="0"/>
      <w:marRight w:val="0"/>
      <w:marTop w:val="0"/>
      <w:marBottom w:val="0"/>
      <w:divBdr>
        <w:top w:val="none" w:sz="0" w:space="0" w:color="auto"/>
        <w:left w:val="none" w:sz="0" w:space="0" w:color="auto"/>
        <w:bottom w:val="none" w:sz="0" w:space="0" w:color="auto"/>
        <w:right w:val="none" w:sz="0" w:space="0" w:color="auto"/>
      </w:divBdr>
    </w:div>
    <w:div w:id="1650935707">
      <w:bodyDiv w:val="1"/>
      <w:marLeft w:val="0"/>
      <w:marRight w:val="0"/>
      <w:marTop w:val="0"/>
      <w:marBottom w:val="0"/>
      <w:divBdr>
        <w:top w:val="none" w:sz="0" w:space="0" w:color="auto"/>
        <w:left w:val="none" w:sz="0" w:space="0" w:color="auto"/>
        <w:bottom w:val="none" w:sz="0" w:space="0" w:color="auto"/>
        <w:right w:val="none" w:sz="0" w:space="0" w:color="auto"/>
      </w:divBdr>
    </w:div>
    <w:div w:id="1686207326">
      <w:bodyDiv w:val="1"/>
      <w:marLeft w:val="0"/>
      <w:marRight w:val="0"/>
      <w:marTop w:val="0"/>
      <w:marBottom w:val="0"/>
      <w:divBdr>
        <w:top w:val="none" w:sz="0" w:space="0" w:color="auto"/>
        <w:left w:val="none" w:sz="0" w:space="0" w:color="auto"/>
        <w:bottom w:val="none" w:sz="0" w:space="0" w:color="auto"/>
        <w:right w:val="none" w:sz="0" w:space="0" w:color="auto"/>
      </w:divBdr>
    </w:div>
    <w:div w:id="1863394768">
      <w:bodyDiv w:val="1"/>
      <w:marLeft w:val="0"/>
      <w:marRight w:val="0"/>
      <w:marTop w:val="0"/>
      <w:marBottom w:val="0"/>
      <w:divBdr>
        <w:top w:val="none" w:sz="0" w:space="0" w:color="auto"/>
        <w:left w:val="none" w:sz="0" w:space="0" w:color="auto"/>
        <w:bottom w:val="none" w:sz="0" w:space="0" w:color="auto"/>
        <w:right w:val="none" w:sz="0" w:space="0" w:color="auto"/>
      </w:divBdr>
    </w:div>
    <w:div w:id="1880626507">
      <w:bodyDiv w:val="1"/>
      <w:marLeft w:val="0"/>
      <w:marRight w:val="0"/>
      <w:marTop w:val="0"/>
      <w:marBottom w:val="0"/>
      <w:divBdr>
        <w:top w:val="none" w:sz="0" w:space="0" w:color="auto"/>
        <w:left w:val="none" w:sz="0" w:space="0" w:color="auto"/>
        <w:bottom w:val="none" w:sz="0" w:space="0" w:color="auto"/>
        <w:right w:val="none" w:sz="0" w:space="0" w:color="auto"/>
      </w:divBdr>
    </w:div>
    <w:div w:id="2089423886">
      <w:bodyDiv w:val="1"/>
      <w:marLeft w:val="0"/>
      <w:marRight w:val="0"/>
      <w:marTop w:val="0"/>
      <w:marBottom w:val="0"/>
      <w:divBdr>
        <w:top w:val="none" w:sz="0" w:space="0" w:color="auto"/>
        <w:left w:val="none" w:sz="0" w:space="0" w:color="auto"/>
        <w:bottom w:val="none" w:sz="0" w:space="0" w:color="auto"/>
        <w:right w:val="none" w:sz="0" w:space="0" w:color="auto"/>
      </w:divBdr>
    </w:div>
    <w:div w:id="20902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2020-02-21T07:07:00Z</dcterms:created>
  <dcterms:modified xsi:type="dcterms:W3CDTF">2020-02-21T07:16:00Z</dcterms:modified>
</cp:coreProperties>
</file>