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1334CA" w14:textId="77777777" w:rsidR="000E0B74" w:rsidRPr="006D0240" w:rsidRDefault="000E0B74" w:rsidP="008E6292"/>
    <w:p w14:paraId="76DCFBBA" w14:textId="77777777" w:rsidR="000E0B74" w:rsidRPr="006D0240" w:rsidRDefault="000E0B74" w:rsidP="001D4EAA">
      <w:pPr>
        <w:pStyle w:val="Crest"/>
        <w:spacing w:after="1320"/>
        <w:jc w:val="left"/>
      </w:pPr>
    </w:p>
    <w:p w14:paraId="348D20B2" w14:textId="77777777" w:rsidR="002D7023" w:rsidRPr="001D4EAA" w:rsidRDefault="002D7023" w:rsidP="002D7023">
      <w:pPr>
        <w:pStyle w:val="Title"/>
      </w:pPr>
      <w:r>
        <w:t>Reform of the Australian Charities and Not-for-profits Commission secrecy provisions</w:t>
      </w:r>
    </w:p>
    <w:p w14:paraId="5906F6FB" w14:textId="77777777" w:rsidR="002D7023" w:rsidRPr="001D4EAA" w:rsidRDefault="002D7023" w:rsidP="002D7023">
      <w:pPr>
        <w:pStyle w:val="Subtitle"/>
      </w:pPr>
      <w:r>
        <w:t>Recommendation 17 of the ACNC Review 2018</w:t>
      </w:r>
      <w:r w:rsidRPr="00B91732">
        <w:rPr>
          <w:i/>
        </w:rPr>
        <w:t> </w:t>
      </w:r>
    </w:p>
    <w:p w14:paraId="7B3DD82B" w14:textId="24D4E1CD" w:rsidR="002D7023" w:rsidRDefault="00485E1A" w:rsidP="002D7023">
      <w:pPr>
        <w:pStyle w:val="ReportDate"/>
        <w:rPr>
          <w:rFonts w:ascii="Rockwell" w:hAnsi="Rockwell"/>
          <w:sz w:val="24"/>
        </w:rPr>
      </w:pPr>
      <w:r>
        <w:rPr>
          <w:rStyle w:val="ReportDateChar"/>
        </w:rPr>
        <w:t>July</w:t>
      </w:r>
      <w:r w:rsidR="002D7023">
        <w:rPr>
          <w:rStyle w:val="ReportDateChar"/>
        </w:rPr>
        <w:t xml:space="preserve"> 2021</w:t>
      </w:r>
    </w:p>
    <w:p w14:paraId="3868921E" w14:textId="77777777" w:rsidR="002F617F" w:rsidRPr="001D4EAA" w:rsidRDefault="002F617F" w:rsidP="001D4EAA">
      <w:pPr>
        <w:spacing w:after="6000"/>
      </w:pPr>
    </w:p>
    <w:p w14:paraId="1EBA4A8A" w14:textId="77777777" w:rsidR="002F617F" w:rsidRDefault="002F617F"/>
    <w:p w14:paraId="4D6892FA" w14:textId="77777777" w:rsidR="000E0B74" w:rsidRDefault="000E0B74" w:rsidP="000E0B74">
      <w:pPr>
        <w:sectPr w:rsidR="000E0B74" w:rsidSect="00E1136B">
          <w:headerReference w:type="default" r:id="rId8"/>
          <w:pgSz w:w="11906" w:h="16838"/>
          <w:pgMar w:top="1418" w:right="1418" w:bottom="1418" w:left="1418" w:header="709" w:footer="709" w:gutter="0"/>
          <w:pgNumType w:fmt="lowerRoman" w:start="1"/>
          <w:cols w:space="720"/>
        </w:sectPr>
      </w:pPr>
    </w:p>
    <w:p w14:paraId="32B60E56" w14:textId="77777777" w:rsidR="002D7023" w:rsidRDefault="002D7023" w:rsidP="002D7023">
      <w:pPr>
        <w:spacing w:before="240"/>
      </w:pPr>
      <w:r w:rsidRPr="00661BF0">
        <w:lastRenderedPageBreak/>
        <w:t>© Commonwealth of A</w:t>
      </w:r>
      <w:r w:rsidRPr="00DC2452">
        <w:t>ustralia 2021</w:t>
      </w:r>
    </w:p>
    <w:p w14:paraId="0D50BBEF" w14:textId="77777777" w:rsidR="002D7023" w:rsidRPr="00086F82" w:rsidRDefault="002D7023" w:rsidP="002D7023">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9" w:history="1">
        <w:r w:rsidRPr="00F66B33">
          <w:rPr>
            <w:rStyle w:val="Hyperlink"/>
            <w:u w:val="single"/>
          </w:rPr>
          <w:t>Creative Commons Attribution 3.0 Australia</w:t>
        </w:r>
      </w:hyperlink>
      <w:r w:rsidRPr="00476F09">
        <w:rPr>
          <w:rFonts w:cstheme="minorHAnsi"/>
          <w:sz w:val="24"/>
          <w:szCs w:val="24"/>
        </w:rPr>
        <w:t xml:space="preserve"> </w:t>
      </w:r>
      <w:r w:rsidRPr="002F1BC2">
        <w:t xml:space="preserve">licence, </w:t>
      </w:r>
      <w:proofErr w:type="gramStart"/>
      <w:r w:rsidRPr="002F1BC2">
        <w:t>with the exception of</w:t>
      </w:r>
      <w:proofErr w:type="gramEnd"/>
      <w:r w:rsidRPr="002F1BC2">
        <w:t xml:space="preserve"> the Commonwealth Coat of Arms, the Treasury logo</w:t>
      </w:r>
      <w:r>
        <w:t xml:space="preserve">, photographs, images, signatures </w:t>
      </w:r>
      <w:r w:rsidRPr="002F1BC2">
        <w:t>and where otherwise stated</w:t>
      </w:r>
      <w:r>
        <w:t>.</w:t>
      </w:r>
      <w:r w:rsidRPr="002F1BC2">
        <w:t xml:space="preserve"> The full licence terms are available from</w:t>
      </w:r>
      <w:r w:rsidRPr="00476F09">
        <w:rPr>
          <w:rFonts w:cstheme="minorHAnsi"/>
          <w:sz w:val="24"/>
          <w:szCs w:val="24"/>
        </w:rPr>
        <w:t xml:space="preserve"> </w:t>
      </w:r>
      <w:hyperlink r:id="rId10" w:history="1">
        <w:r w:rsidRPr="00F66B33">
          <w:rPr>
            <w:rStyle w:val="Hyperlink"/>
            <w:u w:val="single"/>
          </w:rPr>
          <w:t>http://creativecommons.org/licenses/by/3.0/au/legalcode</w:t>
        </w:r>
      </w:hyperlink>
      <w:r w:rsidRPr="006627B4">
        <w:rPr>
          <w:rStyle w:val="Hyperlink"/>
        </w:rPr>
        <w:t>.</w:t>
      </w:r>
      <w:r w:rsidRPr="00D06A21">
        <w:rPr>
          <w:sz w:val="24"/>
          <w:szCs w:val="24"/>
        </w:rPr>
        <w:t xml:space="preserve"> </w:t>
      </w:r>
    </w:p>
    <w:p w14:paraId="6D466643" w14:textId="77777777" w:rsidR="002D7023" w:rsidRDefault="002D7023" w:rsidP="002D7023">
      <w:pPr>
        <w:pStyle w:val="ChartGraphic"/>
        <w:jc w:val="left"/>
      </w:pPr>
      <w:r w:rsidRPr="00E56DFB">
        <w:rPr>
          <w:noProof/>
          <w:lang w:eastAsia="zh-CN"/>
        </w:rPr>
        <w:drawing>
          <wp:inline distT="0" distB="0" distL="0" distR="0" wp14:anchorId="6ABC1C48" wp14:editId="4D95F3A9">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40CDF926" w14:textId="77777777" w:rsidR="002D7023" w:rsidRPr="006627B4" w:rsidRDefault="002D7023" w:rsidP="002D7023">
      <w:pPr>
        <w:tabs>
          <w:tab w:val="left" w:pos="1650"/>
        </w:tabs>
        <w:spacing w:before="240"/>
      </w:pPr>
      <w:r w:rsidRPr="006627B4">
        <w:t>Use of Treasury material under a</w:t>
      </w:r>
      <w:r w:rsidRPr="00476F09">
        <w:rPr>
          <w:rFonts w:cstheme="minorHAnsi"/>
          <w:sz w:val="24"/>
          <w:szCs w:val="24"/>
        </w:rPr>
        <w:t xml:space="preserve"> </w:t>
      </w:r>
      <w:hyperlink r:id="rId12" w:history="1">
        <w:r w:rsidRPr="00F66B33">
          <w:rPr>
            <w:rStyle w:val="Hyperlink"/>
            <w:u w:val="single"/>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38DBF45B" w14:textId="77777777" w:rsidR="002D7023" w:rsidRPr="002F1BC2" w:rsidRDefault="002D7023" w:rsidP="002D7023">
      <w:pPr>
        <w:ind w:left="709"/>
        <w:rPr>
          <w:i/>
        </w:rPr>
      </w:pPr>
      <w:r w:rsidRPr="002F1BC2">
        <w:rPr>
          <w:i/>
        </w:rPr>
        <w:t xml:space="preserve">Treasury material used </w:t>
      </w:r>
      <w:r>
        <w:rPr>
          <w:i/>
        </w:rPr>
        <w:t>‘</w:t>
      </w:r>
      <w:r w:rsidRPr="002F1BC2">
        <w:rPr>
          <w:i/>
        </w:rPr>
        <w:t>as supplied</w:t>
      </w:r>
      <w:r>
        <w:rPr>
          <w:i/>
        </w:rPr>
        <w:t>’.</w:t>
      </w:r>
    </w:p>
    <w:p w14:paraId="693A20D2" w14:textId="77777777" w:rsidR="002D7023" w:rsidRPr="00476F09" w:rsidRDefault="002D7023" w:rsidP="002D7023">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760A095A" w14:textId="77777777" w:rsidR="002D7023" w:rsidRPr="00A13A11" w:rsidRDefault="002D7023" w:rsidP="002D7023">
      <w:pPr>
        <w:ind w:firstLine="720"/>
      </w:pPr>
      <w:r w:rsidRPr="002F1BC2">
        <w:rPr>
          <w:i/>
        </w:rPr>
        <w:t xml:space="preserve">Source: The </w:t>
      </w:r>
      <w:r w:rsidRPr="002F1BC2">
        <w:rPr>
          <w:i/>
          <w:iCs/>
        </w:rPr>
        <w:t>Australian Government the Treasury</w:t>
      </w:r>
      <w:r>
        <w:t>.</w:t>
      </w:r>
    </w:p>
    <w:p w14:paraId="7A15C591" w14:textId="77777777" w:rsidR="002D7023" w:rsidRPr="006627B4" w:rsidRDefault="002D7023" w:rsidP="002D7023">
      <w:pPr>
        <w:spacing w:before="240"/>
      </w:pPr>
      <w:r w:rsidRPr="00CC63CC">
        <w:rPr>
          <w:b/>
        </w:rPr>
        <w:t>Derivative</w:t>
      </w:r>
      <w:r w:rsidRPr="006627B4">
        <w:t xml:space="preserve"> </w:t>
      </w:r>
      <w:r w:rsidRPr="00CC63CC">
        <w:rPr>
          <w:b/>
        </w:rPr>
        <w:t>material</w:t>
      </w:r>
    </w:p>
    <w:p w14:paraId="30493FE4" w14:textId="77777777" w:rsidR="002D7023" w:rsidRPr="006627B4" w:rsidRDefault="002D7023" w:rsidP="002D7023">
      <w:r w:rsidRPr="006627B4">
        <w:t xml:space="preserve">If you have modified or transformed Treasury material, or derived new material from those of the Treasury in any way, then Treasury prefers the following attribution: </w:t>
      </w:r>
    </w:p>
    <w:p w14:paraId="0524DD2E" w14:textId="77777777" w:rsidR="002D7023" w:rsidRPr="006627B4" w:rsidRDefault="002D7023" w:rsidP="002D7023">
      <w:pPr>
        <w:ind w:firstLine="720"/>
      </w:pPr>
      <w:r w:rsidRPr="002F1BC2">
        <w:rPr>
          <w:i/>
        </w:rPr>
        <w:t>Based on The Australian Government the Treasury data</w:t>
      </w:r>
      <w:r>
        <w:t>.</w:t>
      </w:r>
    </w:p>
    <w:p w14:paraId="7245EEE5" w14:textId="77777777" w:rsidR="002D7023" w:rsidRPr="006627B4" w:rsidRDefault="002D7023" w:rsidP="002D7023">
      <w:pPr>
        <w:spacing w:before="240"/>
        <w:rPr>
          <w:b/>
        </w:rPr>
      </w:pPr>
      <w:r w:rsidRPr="006627B4">
        <w:rPr>
          <w:b/>
        </w:rPr>
        <w:t>Use of the Coat of Arms</w:t>
      </w:r>
    </w:p>
    <w:p w14:paraId="7FEAC870" w14:textId="77777777" w:rsidR="002D7023" w:rsidRPr="006627B4" w:rsidRDefault="002D7023" w:rsidP="002D7023">
      <w:r w:rsidRPr="004A7BC2">
        <w:t>The terms under which the Coat of Arms can be used are set out</w:t>
      </w:r>
      <w:r>
        <w:t xml:space="preserve"> on the Department of the Prime </w:t>
      </w:r>
      <w:r w:rsidRPr="004A7BC2">
        <w:t xml:space="preserve">Minister and Cabinet website (see </w:t>
      </w:r>
      <w:hyperlink r:id="rId13" w:history="1">
        <w:r w:rsidRPr="00F66B33">
          <w:rPr>
            <w:rStyle w:val="Hyperlink"/>
            <w:u w:val="single"/>
          </w:rPr>
          <w:t>www.pmc.gov.au/government/commonwealth-coat-arms</w:t>
        </w:r>
      </w:hyperlink>
      <w:r w:rsidRPr="004A7BC2">
        <w:t>).</w:t>
      </w:r>
    </w:p>
    <w:p w14:paraId="6D187DA0" w14:textId="77777777" w:rsidR="002D7023" w:rsidRPr="006627B4" w:rsidRDefault="002D7023" w:rsidP="002D7023">
      <w:pPr>
        <w:spacing w:before="240"/>
        <w:rPr>
          <w:b/>
        </w:rPr>
      </w:pPr>
      <w:r>
        <w:rPr>
          <w:b/>
        </w:rPr>
        <w:t>Other u</w:t>
      </w:r>
      <w:r w:rsidRPr="006627B4">
        <w:rPr>
          <w:b/>
        </w:rPr>
        <w:t>ses</w:t>
      </w:r>
    </w:p>
    <w:p w14:paraId="5F985697" w14:textId="77777777" w:rsidR="002D7023" w:rsidRPr="006627B4" w:rsidRDefault="002D7023" w:rsidP="002D7023">
      <w:r>
        <w:t>E</w:t>
      </w:r>
      <w:r w:rsidRPr="006627B4">
        <w:t>nquiries regarding this licence and any other use of this document are welcome at:</w:t>
      </w:r>
    </w:p>
    <w:p w14:paraId="723EB53F" w14:textId="77777777" w:rsidR="002D7023" w:rsidRPr="002F1BC2" w:rsidRDefault="002D7023" w:rsidP="002D7023">
      <w:pPr>
        <w:ind w:left="720"/>
        <w:rPr>
          <w:rStyle w:val="Hyperlink"/>
        </w:rPr>
      </w:pPr>
      <w:r w:rsidRPr="006627B4">
        <w:t>Manager</w:t>
      </w:r>
      <w:r>
        <w:br/>
        <w:t>Media and Speeches Unit</w:t>
      </w:r>
      <w:r>
        <w:br/>
      </w:r>
      <w:r w:rsidRPr="006627B4">
        <w:t>The Treasury</w:t>
      </w:r>
      <w:r>
        <w:br/>
      </w:r>
      <w:r w:rsidRPr="006627B4">
        <w:t xml:space="preserve">Langton Crescent </w:t>
      </w:r>
      <w:r>
        <w:br/>
      </w:r>
      <w:proofErr w:type="gramStart"/>
      <w:r w:rsidRPr="006627B4">
        <w:t xml:space="preserve">Parkes </w:t>
      </w:r>
      <w:r>
        <w:t xml:space="preserve"> </w:t>
      </w:r>
      <w:r w:rsidRPr="006627B4">
        <w:t>ACT</w:t>
      </w:r>
      <w:proofErr w:type="gramEnd"/>
      <w:r w:rsidRPr="006627B4">
        <w:t xml:space="preserve"> </w:t>
      </w:r>
      <w:r>
        <w:t xml:space="preserve"> </w:t>
      </w:r>
      <w:r w:rsidRPr="006627B4">
        <w:t>2600</w:t>
      </w:r>
      <w:r>
        <w:br/>
      </w:r>
      <w:r w:rsidRPr="006627B4">
        <w:t xml:space="preserve">Email: </w:t>
      </w:r>
      <w:hyperlink r:id="rId14" w:history="1">
        <w:r w:rsidRPr="00F66B33">
          <w:rPr>
            <w:rStyle w:val="Hyperlink"/>
            <w:u w:val="single"/>
          </w:rPr>
          <w:t>media@treasury.gov.au</w:t>
        </w:r>
      </w:hyperlink>
      <w:r>
        <w:t xml:space="preserve"> </w:t>
      </w:r>
    </w:p>
    <w:p w14:paraId="78113EEA" w14:textId="77777777" w:rsidR="000E0B74" w:rsidRDefault="000E0B74" w:rsidP="000E0B74">
      <w:pPr>
        <w:pStyle w:val="SingleParagraph"/>
        <w:sectPr w:rsidR="000E0B74" w:rsidSect="00475B7B">
          <w:headerReference w:type="even" r:id="rId15"/>
          <w:headerReference w:type="default" r:id="rId16"/>
          <w:footerReference w:type="even" r:id="rId17"/>
          <w:headerReference w:type="first" r:id="rId18"/>
          <w:pgSz w:w="11906" w:h="16838" w:code="9"/>
          <w:pgMar w:top="1418" w:right="1418" w:bottom="1418" w:left="1418" w:header="709" w:footer="709" w:gutter="0"/>
          <w:pgNumType w:fmt="lowerRoman"/>
          <w:cols w:space="708"/>
          <w:titlePg/>
          <w:docGrid w:linePitch="360"/>
        </w:sectPr>
      </w:pPr>
    </w:p>
    <w:p w14:paraId="48A790FE" w14:textId="77777777" w:rsidR="000E0B74" w:rsidRPr="00354FBB" w:rsidRDefault="000E0B74" w:rsidP="00354FBB">
      <w:pPr>
        <w:pStyle w:val="Heading1"/>
      </w:pPr>
      <w:bookmarkStart w:id="0" w:name="_Toc77586498"/>
      <w:r w:rsidRPr="00354FBB">
        <w:lastRenderedPageBreak/>
        <w:t>Contents</w:t>
      </w:r>
      <w:bookmarkEnd w:id="0"/>
    </w:p>
    <w:p w14:paraId="59667238" w14:textId="0C648C00" w:rsidR="008D535A" w:rsidRDefault="00257AEE">
      <w:pPr>
        <w:pStyle w:val="TOC1"/>
        <w:rPr>
          <w:rFonts w:asciiTheme="minorHAnsi" w:eastAsiaTheme="minorEastAsia" w:hAnsiTheme="minorHAnsi" w:cstheme="minorBidi"/>
          <w:b w:val="0"/>
          <w:color w:val="auto"/>
        </w:rPr>
      </w:pPr>
      <w:r>
        <w:fldChar w:fldCharType="begin"/>
      </w:r>
      <w:r>
        <w:instrText xml:space="preserve"> TOC \o "1-2" \h \z \t "Heading 3,3,Chart Main Heading,3,Table Main Heading,3,Heading 3 Numbered,3,Table Heading Continued,3" </w:instrText>
      </w:r>
      <w:r>
        <w:fldChar w:fldCharType="separate"/>
      </w:r>
      <w:hyperlink w:anchor="_Toc77586498" w:history="1">
        <w:r w:rsidR="008D535A" w:rsidRPr="00FF0506">
          <w:rPr>
            <w:rStyle w:val="Hyperlink"/>
          </w:rPr>
          <w:t>Contents</w:t>
        </w:r>
        <w:r w:rsidR="008D535A">
          <w:rPr>
            <w:webHidden/>
          </w:rPr>
          <w:tab/>
        </w:r>
        <w:r w:rsidR="008D535A">
          <w:rPr>
            <w:webHidden/>
          </w:rPr>
          <w:fldChar w:fldCharType="begin"/>
        </w:r>
        <w:r w:rsidR="008D535A">
          <w:rPr>
            <w:webHidden/>
          </w:rPr>
          <w:instrText xml:space="preserve"> PAGEREF _Toc77586498 \h </w:instrText>
        </w:r>
        <w:r w:rsidR="008D535A">
          <w:rPr>
            <w:webHidden/>
          </w:rPr>
        </w:r>
        <w:r w:rsidR="008D535A">
          <w:rPr>
            <w:webHidden/>
          </w:rPr>
          <w:fldChar w:fldCharType="separate"/>
        </w:r>
        <w:r w:rsidR="008D535A">
          <w:rPr>
            <w:webHidden/>
          </w:rPr>
          <w:t>iii</w:t>
        </w:r>
        <w:r w:rsidR="008D535A">
          <w:rPr>
            <w:webHidden/>
          </w:rPr>
          <w:fldChar w:fldCharType="end"/>
        </w:r>
      </w:hyperlink>
    </w:p>
    <w:p w14:paraId="4A38A230" w14:textId="71B0FD86" w:rsidR="008D535A" w:rsidRDefault="00222E59">
      <w:pPr>
        <w:pStyle w:val="TOC1"/>
        <w:rPr>
          <w:rFonts w:asciiTheme="minorHAnsi" w:eastAsiaTheme="minorEastAsia" w:hAnsiTheme="minorHAnsi" w:cstheme="minorBidi"/>
          <w:b w:val="0"/>
          <w:color w:val="auto"/>
        </w:rPr>
      </w:pPr>
      <w:hyperlink w:anchor="_Toc77586499" w:history="1">
        <w:r w:rsidR="008D535A" w:rsidRPr="00FF0506">
          <w:rPr>
            <w:rStyle w:val="Hyperlink"/>
          </w:rPr>
          <w:t>Consultation Process</w:t>
        </w:r>
        <w:r w:rsidR="008D535A">
          <w:rPr>
            <w:webHidden/>
          </w:rPr>
          <w:tab/>
        </w:r>
        <w:r w:rsidR="008D535A">
          <w:rPr>
            <w:webHidden/>
          </w:rPr>
          <w:fldChar w:fldCharType="begin"/>
        </w:r>
        <w:r w:rsidR="008D535A">
          <w:rPr>
            <w:webHidden/>
          </w:rPr>
          <w:instrText xml:space="preserve"> PAGEREF _Toc77586499 \h </w:instrText>
        </w:r>
        <w:r w:rsidR="008D535A">
          <w:rPr>
            <w:webHidden/>
          </w:rPr>
        </w:r>
        <w:r w:rsidR="008D535A">
          <w:rPr>
            <w:webHidden/>
          </w:rPr>
          <w:fldChar w:fldCharType="separate"/>
        </w:r>
        <w:r w:rsidR="008D535A">
          <w:rPr>
            <w:webHidden/>
          </w:rPr>
          <w:t>4</w:t>
        </w:r>
        <w:r w:rsidR="008D535A">
          <w:rPr>
            <w:webHidden/>
          </w:rPr>
          <w:fldChar w:fldCharType="end"/>
        </w:r>
      </w:hyperlink>
    </w:p>
    <w:p w14:paraId="79B2EF17" w14:textId="6F94D01D" w:rsidR="008D535A" w:rsidRDefault="00222E59">
      <w:pPr>
        <w:pStyle w:val="TOC2"/>
        <w:rPr>
          <w:rFonts w:asciiTheme="minorHAnsi" w:eastAsiaTheme="minorEastAsia" w:hAnsiTheme="minorHAnsi" w:cstheme="minorBidi"/>
          <w:color w:val="auto"/>
          <w:szCs w:val="22"/>
        </w:rPr>
      </w:pPr>
      <w:hyperlink w:anchor="_Toc77586500" w:history="1">
        <w:r w:rsidR="008D535A" w:rsidRPr="00FF0506">
          <w:rPr>
            <w:rStyle w:val="Hyperlink"/>
          </w:rPr>
          <w:t>Request for feedback and comments</w:t>
        </w:r>
        <w:r w:rsidR="008D535A">
          <w:rPr>
            <w:webHidden/>
          </w:rPr>
          <w:tab/>
        </w:r>
        <w:r w:rsidR="008D535A">
          <w:rPr>
            <w:webHidden/>
          </w:rPr>
          <w:fldChar w:fldCharType="begin"/>
        </w:r>
        <w:r w:rsidR="008D535A">
          <w:rPr>
            <w:webHidden/>
          </w:rPr>
          <w:instrText xml:space="preserve"> PAGEREF _Toc77586500 \h </w:instrText>
        </w:r>
        <w:r w:rsidR="008D535A">
          <w:rPr>
            <w:webHidden/>
          </w:rPr>
        </w:r>
        <w:r w:rsidR="008D535A">
          <w:rPr>
            <w:webHidden/>
          </w:rPr>
          <w:fldChar w:fldCharType="separate"/>
        </w:r>
        <w:r w:rsidR="008D535A">
          <w:rPr>
            <w:webHidden/>
          </w:rPr>
          <w:t>4</w:t>
        </w:r>
        <w:r w:rsidR="008D535A">
          <w:rPr>
            <w:webHidden/>
          </w:rPr>
          <w:fldChar w:fldCharType="end"/>
        </w:r>
      </w:hyperlink>
    </w:p>
    <w:p w14:paraId="608B3585" w14:textId="28E99706" w:rsidR="008D535A" w:rsidRDefault="00222E59">
      <w:pPr>
        <w:pStyle w:val="TOC1"/>
        <w:rPr>
          <w:rFonts w:asciiTheme="minorHAnsi" w:eastAsiaTheme="minorEastAsia" w:hAnsiTheme="minorHAnsi" w:cstheme="minorBidi"/>
          <w:b w:val="0"/>
          <w:color w:val="auto"/>
        </w:rPr>
      </w:pPr>
      <w:hyperlink w:anchor="_Toc77586501" w:history="1">
        <w:r w:rsidR="008D535A" w:rsidRPr="00FF0506">
          <w:rPr>
            <w:rStyle w:val="Hyperlink"/>
          </w:rPr>
          <w:t>Reform of the ACNC secrecy provisions</w:t>
        </w:r>
        <w:r w:rsidR="008D535A">
          <w:rPr>
            <w:webHidden/>
          </w:rPr>
          <w:tab/>
        </w:r>
        <w:r w:rsidR="008D535A">
          <w:rPr>
            <w:webHidden/>
          </w:rPr>
          <w:fldChar w:fldCharType="begin"/>
        </w:r>
        <w:r w:rsidR="008D535A">
          <w:rPr>
            <w:webHidden/>
          </w:rPr>
          <w:instrText xml:space="preserve"> PAGEREF _Toc77586501 \h </w:instrText>
        </w:r>
        <w:r w:rsidR="008D535A">
          <w:rPr>
            <w:webHidden/>
          </w:rPr>
        </w:r>
        <w:r w:rsidR="008D535A">
          <w:rPr>
            <w:webHidden/>
          </w:rPr>
          <w:fldChar w:fldCharType="separate"/>
        </w:r>
        <w:r w:rsidR="008D535A">
          <w:rPr>
            <w:webHidden/>
          </w:rPr>
          <w:t>5</w:t>
        </w:r>
        <w:r w:rsidR="008D535A">
          <w:rPr>
            <w:webHidden/>
          </w:rPr>
          <w:fldChar w:fldCharType="end"/>
        </w:r>
      </w:hyperlink>
    </w:p>
    <w:p w14:paraId="57912C5F" w14:textId="72185E2A" w:rsidR="008D535A" w:rsidRDefault="00222E59">
      <w:pPr>
        <w:pStyle w:val="TOC2"/>
        <w:rPr>
          <w:rFonts w:asciiTheme="minorHAnsi" w:eastAsiaTheme="minorEastAsia" w:hAnsiTheme="minorHAnsi" w:cstheme="minorBidi"/>
          <w:color w:val="auto"/>
          <w:szCs w:val="22"/>
        </w:rPr>
      </w:pPr>
      <w:hyperlink w:anchor="_Toc77586502" w:history="1">
        <w:r w:rsidR="008D535A" w:rsidRPr="00FF0506">
          <w:rPr>
            <w:rStyle w:val="Hyperlink"/>
          </w:rPr>
          <w:t>Purpose</w:t>
        </w:r>
        <w:r w:rsidR="008D535A">
          <w:rPr>
            <w:webHidden/>
          </w:rPr>
          <w:tab/>
        </w:r>
        <w:r w:rsidR="008D535A">
          <w:rPr>
            <w:webHidden/>
          </w:rPr>
          <w:fldChar w:fldCharType="begin"/>
        </w:r>
        <w:r w:rsidR="008D535A">
          <w:rPr>
            <w:webHidden/>
          </w:rPr>
          <w:instrText xml:space="preserve"> PAGEREF _Toc77586502 \h </w:instrText>
        </w:r>
        <w:r w:rsidR="008D535A">
          <w:rPr>
            <w:webHidden/>
          </w:rPr>
        </w:r>
        <w:r w:rsidR="008D535A">
          <w:rPr>
            <w:webHidden/>
          </w:rPr>
          <w:fldChar w:fldCharType="separate"/>
        </w:r>
        <w:r w:rsidR="008D535A">
          <w:rPr>
            <w:webHidden/>
          </w:rPr>
          <w:t>5</w:t>
        </w:r>
        <w:r w:rsidR="008D535A">
          <w:rPr>
            <w:webHidden/>
          </w:rPr>
          <w:fldChar w:fldCharType="end"/>
        </w:r>
      </w:hyperlink>
    </w:p>
    <w:p w14:paraId="7760186B" w14:textId="67CDEF67" w:rsidR="008D535A" w:rsidRDefault="00222E59">
      <w:pPr>
        <w:pStyle w:val="TOC2"/>
        <w:rPr>
          <w:rFonts w:asciiTheme="minorHAnsi" w:eastAsiaTheme="minorEastAsia" w:hAnsiTheme="minorHAnsi" w:cstheme="minorBidi"/>
          <w:color w:val="auto"/>
          <w:szCs w:val="22"/>
        </w:rPr>
      </w:pPr>
      <w:hyperlink w:anchor="_Toc77586503" w:history="1">
        <w:r w:rsidR="008D535A" w:rsidRPr="00FF0506">
          <w:rPr>
            <w:rStyle w:val="Hyperlink"/>
          </w:rPr>
          <w:t>Background</w:t>
        </w:r>
        <w:r w:rsidR="008D535A">
          <w:rPr>
            <w:webHidden/>
          </w:rPr>
          <w:tab/>
        </w:r>
        <w:r w:rsidR="008D535A">
          <w:rPr>
            <w:webHidden/>
          </w:rPr>
          <w:fldChar w:fldCharType="begin"/>
        </w:r>
        <w:r w:rsidR="008D535A">
          <w:rPr>
            <w:webHidden/>
          </w:rPr>
          <w:instrText xml:space="preserve"> PAGEREF _Toc77586503 \h </w:instrText>
        </w:r>
        <w:r w:rsidR="008D535A">
          <w:rPr>
            <w:webHidden/>
          </w:rPr>
        </w:r>
        <w:r w:rsidR="008D535A">
          <w:rPr>
            <w:webHidden/>
          </w:rPr>
          <w:fldChar w:fldCharType="separate"/>
        </w:r>
        <w:r w:rsidR="008D535A">
          <w:rPr>
            <w:webHidden/>
          </w:rPr>
          <w:t>5</w:t>
        </w:r>
        <w:r w:rsidR="008D535A">
          <w:rPr>
            <w:webHidden/>
          </w:rPr>
          <w:fldChar w:fldCharType="end"/>
        </w:r>
      </w:hyperlink>
    </w:p>
    <w:p w14:paraId="3C95ADE4" w14:textId="1C484454" w:rsidR="008D535A" w:rsidRDefault="00222E59">
      <w:pPr>
        <w:pStyle w:val="TOC3"/>
        <w:rPr>
          <w:rFonts w:asciiTheme="minorHAnsi" w:eastAsiaTheme="minorEastAsia" w:hAnsiTheme="minorHAnsi" w:cstheme="minorBidi"/>
          <w:color w:val="auto"/>
          <w:szCs w:val="22"/>
        </w:rPr>
      </w:pPr>
      <w:hyperlink w:anchor="_Toc77586504" w:history="1">
        <w:r w:rsidR="008D535A" w:rsidRPr="00FF0506">
          <w:rPr>
            <w:rStyle w:val="Hyperlink"/>
          </w:rPr>
          <w:t>What are the ACNC’s secrecy provisions?</w:t>
        </w:r>
        <w:r w:rsidR="008D535A">
          <w:rPr>
            <w:webHidden/>
          </w:rPr>
          <w:tab/>
        </w:r>
        <w:r w:rsidR="008D535A">
          <w:rPr>
            <w:webHidden/>
          </w:rPr>
          <w:fldChar w:fldCharType="begin"/>
        </w:r>
        <w:r w:rsidR="008D535A">
          <w:rPr>
            <w:webHidden/>
          </w:rPr>
          <w:instrText xml:space="preserve"> PAGEREF _Toc77586504 \h </w:instrText>
        </w:r>
        <w:r w:rsidR="008D535A">
          <w:rPr>
            <w:webHidden/>
          </w:rPr>
        </w:r>
        <w:r w:rsidR="008D535A">
          <w:rPr>
            <w:webHidden/>
          </w:rPr>
          <w:fldChar w:fldCharType="separate"/>
        </w:r>
        <w:r w:rsidR="008D535A">
          <w:rPr>
            <w:webHidden/>
          </w:rPr>
          <w:t>5</w:t>
        </w:r>
        <w:r w:rsidR="008D535A">
          <w:rPr>
            <w:webHidden/>
          </w:rPr>
          <w:fldChar w:fldCharType="end"/>
        </w:r>
      </w:hyperlink>
    </w:p>
    <w:p w14:paraId="553CE8C1" w14:textId="2A3E3A5C" w:rsidR="008D535A" w:rsidRDefault="00222E59">
      <w:pPr>
        <w:pStyle w:val="TOC3"/>
        <w:rPr>
          <w:rFonts w:asciiTheme="minorHAnsi" w:eastAsiaTheme="minorEastAsia" w:hAnsiTheme="minorHAnsi" w:cstheme="minorBidi"/>
          <w:color w:val="auto"/>
          <w:szCs w:val="22"/>
        </w:rPr>
      </w:pPr>
      <w:hyperlink w:anchor="_Toc77586505" w:history="1">
        <w:r w:rsidR="008D535A" w:rsidRPr="00FF0506">
          <w:rPr>
            <w:rStyle w:val="Hyperlink"/>
          </w:rPr>
          <w:t>What were the findings of the ACNC Review?</w:t>
        </w:r>
        <w:r w:rsidR="008D535A">
          <w:rPr>
            <w:webHidden/>
          </w:rPr>
          <w:tab/>
        </w:r>
        <w:r w:rsidR="008D535A">
          <w:rPr>
            <w:webHidden/>
          </w:rPr>
          <w:fldChar w:fldCharType="begin"/>
        </w:r>
        <w:r w:rsidR="008D535A">
          <w:rPr>
            <w:webHidden/>
          </w:rPr>
          <w:instrText xml:space="preserve"> PAGEREF _Toc77586505 \h </w:instrText>
        </w:r>
        <w:r w:rsidR="008D535A">
          <w:rPr>
            <w:webHidden/>
          </w:rPr>
        </w:r>
        <w:r w:rsidR="008D535A">
          <w:rPr>
            <w:webHidden/>
          </w:rPr>
          <w:fldChar w:fldCharType="separate"/>
        </w:r>
        <w:r w:rsidR="008D535A">
          <w:rPr>
            <w:webHidden/>
          </w:rPr>
          <w:t>5</w:t>
        </w:r>
        <w:r w:rsidR="008D535A">
          <w:rPr>
            <w:webHidden/>
          </w:rPr>
          <w:fldChar w:fldCharType="end"/>
        </w:r>
      </w:hyperlink>
    </w:p>
    <w:p w14:paraId="1CBA27A8" w14:textId="25FB743E" w:rsidR="008D535A" w:rsidRDefault="00222E59">
      <w:pPr>
        <w:pStyle w:val="TOC2"/>
        <w:rPr>
          <w:rFonts w:asciiTheme="minorHAnsi" w:eastAsiaTheme="minorEastAsia" w:hAnsiTheme="minorHAnsi" w:cstheme="minorBidi"/>
          <w:color w:val="auto"/>
          <w:szCs w:val="22"/>
        </w:rPr>
      </w:pPr>
      <w:hyperlink w:anchor="_Toc77586506" w:history="1">
        <w:r w:rsidR="008D535A" w:rsidRPr="00FF0506">
          <w:rPr>
            <w:rStyle w:val="Hyperlink"/>
          </w:rPr>
          <w:t>How does the ACNC compare with other regulators?</w:t>
        </w:r>
        <w:r w:rsidR="008D535A">
          <w:rPr>
            <w:webHidden/>
          </w:rPr>
          <w:tab/>
        </w:r>
        <w:r w:rsidR="008D535A">
          <w:rPr>
            <w:webHidden/>
          </w:rPr>
          <w:fldChar w:fldCharType="begin"/>
        </w:r>
        <w:r w:rsidR="008D535A">
          <w:rPr>
            <w:webHidden/>
          </w:rPr>
          <w:instrText xml:space="preserve"> PAGEREF _Toc77586506 \h </w:instrText>
        </w:r>
        <w:r w:rsidR="008D535A">
          <w:rPr>
            <w:webHidden/>
          </w:rPr>
        </w:r>
        <w:r w:rsidR="008D535A">
          <w:rPr>
            <w:webHidden/>
          </w:rPr>
          <w:fldChar w:fldCharType="separate"/>
        </w:r>
        <w:r w:rsidR="008D535A">
          <w:rPr>
            <w:webHidden/>
          </w:rPr>
          <w:t>6</w:t>
        </w:r>
        <w:r w:rsidR="008D535A">
          <w:rPr>
            <w:webHidden/>
          </w:rPr>
          <w:fldChar w:fldCharType="end"/>
        </w:r>
      </w:hyperlink>
    </w:p>
    <w:p w14:paraId="2C900EF5" w14:textId="240F9CC5" w:rsidR="008D535A" w:rsidRDefault="00222E59">
      <w:pPr>
        <w:pStyle w:val="TOC3"/>
        <w:rPr>
          <w:rFonts w:asciiTheme="minorHAnsi" w:eastAsiaTheme="minorEastAsia" w:hAnsiTheme="minorHAnsi" w:cstheme="minorBidi"/>
          <w:color w:val="auto"/>
          <w:szCs w:val="22"/>
        </w:rPr>
      </w:pPr>
      <w:hyperlink w:anchor="_Toc77586507" w:history="1">
        <w:r w:rsidR="008D535A" w:rsidRPr="00FF0506">
          <w:rPr>
            <w:rStyle w:val="Hyperlink"/>
          </w:rPr>
          <w:t>Overview</w:t>
        </w:r>
        <w:r w:rsidR="008D535A">
          <w:rPr>
            <w:webHidden/>
          </w:rPr>
          <w:tab/>
        </w:r>
        <w:r w:rsidR="008D535A">
          <w:rPr>
            <w:webHidden/>
          </w:rPr>
          <w:fldChar w:fldCharType="begin"/>
        </w:r>
        <w:r w:rsidR="008D535A">
          <w:rPr>
            <w:webHidden/>
          </w:rPr>
          <w:instrText xml:space="preserve"> PAGEREF _Toc77586507 \h </w:instrText>
        </w:r>
        <w:r w:rsidR="008D535A">
          <w:rPr>
            <w:webHidden/>
          </w:rPr>
        </w:r>
        <w:r w:rsidR="008D535A">
          <w:rPr>
            <w:webHidden/>
          </w:rPr>
          <w:fldChar w:fldCharType="separate"/>
        </w:r>
        <w:r w:rsidR="008D535A">
          <w:rPr>
            <w:webHidden/>
          </w:rPr>
          <w:t>6</w:t>
        </w:r>
        <w:r w:rsidR="008D535A">
          <w:rPr>
            <w:webHidden/>
          </w:rPr>
          <w:fldChar w:fldCharType="end"/>
        </w:r>
      </w:hyperlink>
    </w:p>
    <w:p w14:paraId="2D9A85F3" w14:textId="5EE7B6AD" w:rsidR="008D535A" w:rsidRDefault="00222E59">
      <w:pPr>
        <w:pStyle w:val="TOC3"/>
        <w:rPr>
          <w:rFonts w:asciiTheme="minorHAnsi" w:eastAsiaTheme="minorEastAsia" w:hAnsiTheme="minorHAnsi" w:cstheme="minorBidi"/>
          <w:color w:val="auto"/>
          <w:szCs w:val="22"/>
        </w:rPr>
      </w:pPr>
      <w:hyperlink w:anchor="_Toc77586508" w:history="1">
        <w:r w:rsidR="008D535A" w:rsidRPr="00FF0506">
          <w:rPr>
            <w:rStyle w:val="Hyperlink"/>
          </w:rPr>
          <w:t>Table 1</w:t>
        </w:r>
        <w:r w:rsidR="008D535A">
          <w:rPr>
            <w:webHidden/>
          </w:rPr>
          <w:tab/>
        </w:r>
        <w:r w:rsidR="008D535A">
          <w:rPr>
            <w:webHidden/>
          </w:rPr>
          <w:fldChar w:fldCharType="begin"/>
        </w:r>
        <w:r w:rsidR="008D535A">
          <w:rPr>
            <w:webHidden/>
          </w:rPr>
          <w:instrText xml:space="preserve"> PAGEREF _Toc77586508 \h </w:instrText>
        </w:r>
        <w:r w:rsidR="008D535A">
          <w:rPr>
            <w:webHidden/>
          </w:rPr>
        </w:r>
        <w:r w:rsidR="008D535A">
          <w:rPr>
            <w:webHidden/>
          </w:rPr>
          <w:fldChar w:fldCharType="separate"/>
        </w:r>
        <w:r w:rsidR="008D535A">
          <w:rPr>
            <w:webHidden/>
          </w:rPr>
          <w:t>7</w:t>
        </w:r>
        <w:r w:rsidR="008D535A">
          <w:rPr>
            <w:webHidden/>
          </w:rPr>
          <w:fldChar w:fldCharType="end"/>
        </w:r>
      </w:hyperlink>
    </w:p>
    <w:p w14:paraId="1C1196EB" w14:textId="637C2808" w:rsidR="008D535A" w:rsidRDefault="00222E59">
      <w:pPr>
        <w:pStyle w:val="TOC3"/>
        <w:rPr>
          <w:rFonts w:asciiTheme="minorHAnsi" w:eastAsiaTheme="minorEastAsia" w:hAnsiTheme="minorHAnsi" w:cstheme="minorBidi"/>
          <w:color w:val="auto"/>
          <w:szCs w:val="22"/>
        </w:rPr>
      </w:pPr>
      <w:hyperlink w:anchor="_Toc77586509" w:history="1">
        <w:r w:rsidR="008D535A" w:rsidRPr="00FF0506">
          <w:rPr>
            <w:rStyle w:val="Hyperlink"/>
          </w:rPr>
          <w:t>Australian regulators’ general approaches to publicly disclosing information</w:t>
        </w:r>
        <w:r w:rsidR="008D535A">
          <w:rPr>
            <w:webHidden/>
          </w:rPr>
          <w:tab/>
        </w:r>
        <w:r w:rsidR="008D535A">
          <w:rPr>
            <w:webHidden/>
          </w:rPr>
          <w:fldChar w:fldCharType="begin"/>
        </w:r>
        <w:r w:rsidR="008D535A">
          <w:rPr>
            <w:webHidden/>
          </w:rPr>
          <w:instrText xml:space="preserve"> PAGEREF _Toc77586509 \h </w:instrText>
        </w:r>
        <w:r w:rsidR="008D535A">
          <w:rPr>
            <w:webHidden/>
          </w:rPr>
        </w:r>
        <w:r w:rsidR="008D535A">
          <w:rPr>
            <w:webHidden/>
          </w:rPr>
          <w:fldChar w:fldCharType="separate"/>
        </w:r>
        <w:r w:rsidR="008D535A">
          <w:rPr>
            <w:webHidden/>
          </w:rPr>
          <w:t>7</w:t>
        </w:r>
        <w:r w:rsidR="008D535A">
          <w:rPr>
            <w:webHidden/>
          </w:rPr>
          <w:fldChar w:fldCharType="end"/>
        </w:r>
      </w:hyperlink>
    </w:p>
    <w:p w14:paraId="69D76E77" w14:textId="153D9065" w:rsidR="008D535A" w:rsidRDefault="00222E59">
      <w:pPr>
        <w:pStyle w:val="TOC3"/>
        <w:rPr>
          <w:rFonts w:asciiTheme="minorHAnsi" w:eastAsiaTheme="minorEastAsia" w:hAnsiTheme="minorHAnsi" w:cstheme="minorBidi"/>
          <w:color w:val="auto"/>
          <w:szCs w:val="22"/>
        </w:rPr>
      </w:pPr>
      <w:hyperlink w:anchor="_Toc77586510" w:history="1">
        <w:r w:rsidR="008D535A" w:rsidRPr="00FF0506">
          <w:rPr>
            <w:rStyle w:val="Hyperlink"/>
          </w:rPr>
          <w:t>Foreign charity regulators’ general approaches to publicly disclosing information</w:t>
        </w:r>
        <w:r w:rsidR="008D535A">
          <w:rPr>
            <w:webHidden/>
          </w:rPr>
          <w:tab/>
        </w:r>
        <w:r w:rsidR="008D535A">
          <w:rPr>
            <w:webHidden/>
          </w:rPr>
          <w:fldChar w:fldCharType="begin"/>
        </w:r>
        <w:r w:rsidR="008D535A">
          <w:rPr>
            <w:webHidden/>
          </w:rPr>
          <w:instrText xml:space="preserve"> PAGEREF _Toc77586510 \h </w:instrText>
        </w:r>
        <w:r w:rsidR="008D535A">
          <w:rPr>
            <w:webHidden/>
          </w:rPr>
        </w:r>
        <w:r w:rsidR="008D535A">
          <w:rPr>
            <w:webHidden/>
          </w:rPr>
          <w:fldChar w:fldCharType="separate"/>
        </w:r>
        <w:r w:rsidR="008D535A">
          <w:rPr>
            <w:webHidden/>
          </w:rPr>
          <w:t>9</w:t>
        </w:r>
        <w:r w:rsidR="008D535A">
          <w:rPr>
            <w:webHidden/>
          </w:rPr>
          <w:fldChar w:fldCharType="end"/>
        </w:r>
      </w:hyperlink>
    </w:p>
    <w:p w14:paraId="08B5B4CF" w14:textId="11CBADDC" w:rsidR="008D535A" w:rsidRDefault="00222E59">
      <w:pPr>
        <w:pStyle w:val="TOC2"/>
        <w:rPr>
          <w:rFonts w:asciiTheme="minorHAnsi" w:eastAsiaTheme="minorEastAsia" w:hAnsiTheme="minorHAnsi" w:cstheme="minorBidi"/>
          <w:color w:val="auto"/>
          <w:szCs w:val="22"/>
        </w:rPr>
      </w:pPr>
      <w:hyperlink w:anchor="_Toc77586511" w:history="1">
        <w:r w:rsidR="008D535A" w:rsidRPr="00FF0506">
          <w:rPr>
            <w:rStyle w:val="Hyperlink"/>
          </w:rPr>
          <w:t>Issue for consideration</w:t>
        </w:r>
        <w:r w:rsidR="008D535A">
          <w:rPr>
            <w:webHidden/>
          </w:rPr>
          <w:tab/>
        </w:r>
        <w:r w:rsidR="008D535A">
          <w:rPr>
            <w:webHidden/>
          </w:rPr>
          <w:fldChar w:fldCharType="begin"/>
        </w:r>
        <w:r w:rsidR="008D535A">
          <w:rPr>
            <w:webHidden/>
          </w:rPr>
          <w:instrText xml:space="preserve"> PAGEREF _Toc77586511 \h </w:instrText>
        </w:r>
        <w:r w:rsidR="008D535A">
          <w:rPr>
            <w:webHidden/>
          </w:rPr>
        </w:r>
        <w:r w:rsidR="008D535A">
          <w:rPr>
            <w:webHidden/>
          </w:rPr>
          <w:fldChar w:fldCharType="separate"/>
        </w:r>
        <w:r w:rsidR="008D535A">
          <w:rPr>
            <w:webHidden/>
          </w:rPr>
          <w:t>10</w:t>
        </w:r>
        <w:r w:rsidR="008D535A">
          <w:rPr>
            <w:webHidden/>
          </w:rPr>
          <w:fldChar w:fldCharType="end"/>
        </w:r>
      </w:hyperlink>
    </w:p>
    <w:p w14:paraId="3DE61A0E" w14:textId="49C7AD0A" w:rsidR="008D535A" w:rsidRDefault="00222E59">
      <w:pPr>
        <w:pStyle w:val="TOC3"/>
        <w:rPr>
          <w:rFonts w:asciiTheme="minorHAnsi" w:eastAsiaTheme="minorEastAsia" w:hAnsiTheme="minorHAnsi" w:cstheme="minorBidi"/>
          <w:color w:val="auto"/>
          <w:szCs w:val="22"/>
        </w:rPr>
      </w:pPr>
      <w:hyperlink w:anchor="_Toc77586512" w:history="1">
        <w:r w:rsidR="008D535A" w:rsidRPr="00FF0506">
          <w:rPr>
            <w:rStyle w:val="Hyperlink"/>
          </w:rPr>
          <w:t>Balancing privacy and transparency via a public interest test</w:t>
        </w:r>
        <w:r w:rsidR="008D535A">
          <w:rPr>
            <w:webHidden/>
          </w:rPr>
          <w:tab/>
        </w:r>
        <w:r w:rsidR="008D535A">
          <w:rPr>
            <w:webHidden/>
          </w:rPr>
          <w:fldChar w:fldCharType="begin"/>
        </w:r>
        <w:r w:rsidR="008D535A">
          <w:rPr>
            <w:webHidden/>
          </w:rPr>
          <w:instrText xml:space="preserve"> PAGEREF _Toc77586512 \h </w:instrText>
        </w:r>
        <w:r w:rsidR="008D535A">
          <w:rPr>
            <w:webHidden/>
          </w:rPr>
        </w:r>
        <w:r w:rsidR="008D535A">
          <w:rPr>
            <w:webHidden/>
          </w:rPr>
          <w:fldChar w:fldCharType="separate"/>
        </w:r>
        <w:r w:rsidR="008D535A">
          <w:rPr>
            <w:webHidden/>
          </w:rPr>
          <w:t>10</w:t>
        </w:r>
        <w:r w:rsidR="008D535A">
          <w:rPr>
            <w:webHidden/>
          </w:rPr>
          <w:fldChar w:fldCharType="end"/>
        </w:r>
      </w:hyperlink>
    </w:p>
    <w:p w14:paraId="3F824F0C" w14:textId="3E9A407C" w:rsidR="008D535A" w:rsidRDefault="00222E59">
      <w:pPr>
        <w:pStyle w:val="TOC3"/>
        <w:rPr>
          <w:rFonts w:asciiTheme="minorHAnsi" w:eastAsiaTheme="minorEastAsia" w:hAnsiTheme="minorHAnsi" w:cstheme="minorBidi"/>
          <w:color w:val="auto"/>
          <w:szCs w:val="22"/>
        </w:rPr>
      </w:pPr>
      <w:hyperlink w:anchor="_Toc77586513" w:history="1">
        <w:r w:rsidR="008D535A" w:rsidRPr="00FF0506">
          <w:rPr>
            <w:rStyle w:val="Hyperlink"/>
          </w:rPr>
          <w:t>Factors and circumstances that may trigger a discretion</w:t>
        </w:r>
        <w:r w:rsidR="008D535A">
          <w:rPr>
            <w:webHidden/>
          </w:rPr>
          <w:tab/>
        </w:r>
        <w:r w:rsidR="008D535A">
          <w:rPr>
            <w:webHidden/>
          </w:rPr>
          <w:fldChar w:fldCharType="begin"/>
        </w:r>
        <w:r w:rsidR="008D535A">
          <w:rPr>
            <w:webHidden/>
          </w:rPr>
          <w:instrText xml:space="preserve"> PAGEREF _Toc77586513 \h </w:instrText>
        </w:r>
        <w:r w:rsidR="008D535A">
          <w:rPr>
            <w:webHidden/>
          </w:rPr>
        </w:r>
        <w:r w:rsidR="008D535A">
          <w:rPr>
            <w:webHidden/>
          </w:rPr>
          <w:fldChar w:fldCharType="separate"/>
        </w:r>
        <w:r w:rsidR="008D535A">
          <w:rPr>
            <w:webHidden/>
          </w:rPr>
          <w:t>11</w:t>
        </w:r>
        <w:r w:rsidR="008D535A">
          <w:rPr>
            <w:webHidden/>
          </w:rPr>
          <w:fldChar w:fldCharType="end"/>
        </w:r>
      </w:hyperlink>
    </w:p>
    <w:p w14:paraId="051F4F89" w14:textId="756F2DF3" w:rsidR="008D535A" w:rsidRDefault="00222E59">
      <w:pPr>
        <w:pStyle w:val="TOC2"/>
        <w:rPr>
          <w:rFonts w:asciiTheme="minorHAnsi" w:eastAsiaTheme="minorEastAsia" w:hAnsiTheme="minorHAnsi" w:cstheme="minorBidi"/>
          <w:color w:val="auto"/>
          <w:szCs w:val="22"/>
        </w:rPr>
      </w:pPr>
      <w:hyperlink w:anchor="_Toc77586514" w:history="1">
        <w:r w:rsidR="008D535A" w:rsidRPr="00FF0506">
          <w:rPr>
            <w:rStyle w:val="Hyperlink"/>
          </w:rPr>
          <w:t>Potential areas for increased disclosure for consideration</w:t>
        </w:r>
        <w:r w:rsidR="008D535A">
          <w:rPr>
            <w:webHidden/>
          </w:rPr>
          <w:tab/>
        </w:r>
        <w:r w:rsidR="008D535A">
          <w:rPr>
            <w:webHidden/>
          </w:rPr>
          <w:fldChar w:fldCharType="begin"/>
        </w:r>
        <w:r w:rsidR="008D535A">
          <w:rPr>
            <w:webHidden/>
          </w:rPr>
          <w:instrText xml:space="preserve"> PAGEREF _Toc77586514 \h </w:instrText>
        </w:r>
        <w:r w:rsidR="008D535A">
          <w:rPr>
            <w:webHidden/>
          </w:rPr>
        </w:r>
        <w:r w:rsidR="008D535A">
          <w:rPr>
            <w:webHidden/>
          </w:rPr>
          <w:fldChar w:fldCharType="separate"/>
        </w:r>
        <w:r w:rsidR="008D535A">
          <w:rPr>
            <w:webHidden/>
          </w:rPr>
          <w:t>12</w:t>
        </w:r>
        <w:r w:rsidR="008D535A">
          <w:rPr>
            <w:webHidden/>
          </w:rPr>
          <w:fldChar w:fldCharType="end"/>
        </w:r>
      </w:hyperlink>
    </w:p>
    <w:p w14:paraId="1D3AFBE2" w14:textId="73918B40" w:rsidR="008D535A" w:rsidRDefault="00222E59">
      <w:pPr>
        <w:pStyle w:val="TOC3"/>
        <w:rPr>
          <w:rFonts w:asciiTheme="minorHAnsi" w:eastAsiaTheme="minorEastAsia" w:hAnsiTheme="minorHAnsi" w:cstheme="minorBidi"/>
          <w:color w:val="auto"/>
          <w:szCs w:val="22"/>
        </w:rPr>
      </w:pPr>
      <w:hyperlink w:anchor="_Toc77586515" w:history="1">
        <w:r w:rsidR="008D535A" w:rsidRPr="00FF0506">
          <w:rPr>
            <w:rStyle w:val="Hyperlink"/>
          </w:rPr>
          <w:t>Area 1: Reasons for registration decisions</w:t>
        </w:r>
        <w:r w:rsidR="008D535A">
          <w:rPr>
            <w:webHidden/>
          </w:rPr>
          <w:tab/>
        </w:r>
        <w:r w:rsidR="008D535A">
          <w:rPr>
            <w:webHidden/>
          </w:rPr>
          <w:fldChar w:fldCharType="begin"/>
        </w:r>
        <w:r w:rsidR="008D535A">
          <w:rPr>
            <w:webHidden/>
          </w:rPr>
          <w:instrText xml:space="preserve"> PAGEREF _Toc77586515 \h </w:instrText>
        </w:r>
        <w:r w:rsidR="008D535A">
          <w:rPr>
            <w:webHidden/>
          </w:rPr>
        </w:r>
        <w:r w:rsidR="008D535A">
          <w:rPr>
            <w:webHidden/>
          </w:rPr>
          <w:fldChar w:fldCharType="separate"/>
        </w:r>
        <w:r w:rsidR="008D535A">
          <w:rPr>
            <w:webHidden/>
          </w:rPr>
          <w:t>12</w:t>
        </w:r>
        <w:r w:rsidR="008D535A">
          <w:rPr>
            <w:webHidden/>
          </w:rPr>
          <w:fldChar w:fldCharType="end"/>
        </w:r>
      </w:hyperlink>
    </w:p>
    <w:p w14:paraId="7ADDE105" w14:textId="4293AF8F" w:rsidR="008D535A" w:rsidRDefault="00222E59">
      <w:pPr>
        <w:pStyle w:val="TOC3"/>
        <w:rPr>
          <w:rFonts w:asciiTheme="minorHAnsi" w:eastAsiaTheme="minorEastAsia" w:hAnsiTheme="minorHAnsi" w:cstheme="minorBidi"/>
          <w:color w:val="auto"/>
          <w:szCs w:val="22"/>
        </w:rPr>
      </w:pPr>
      <w:hyperlink w:anchor="_Toc77586516" w:history="1">
        <w:r w:rsidR="008D535A" w:rsidRPr="00FF0506">
          <w:rPr>
            <w:rStyle w:val="Hyperlink"/>
          </w:rPr>
          <w:t>Area 2: New and ongoing investigations</w:t>
        </w:r>
        <w:r w:rsidR="008D535A">
          <w:rPr>
            <w:webHidden/>
          </w:rPr>
          <w:tab/>
        </w:r>
        <w:r w:rsidR="008D535A">
          <w:rPr>
            <w:webHidden/>
          </w:rPr>
          <w:fldChar w:fldCharType="begin"/>
        </w:r>
        <w:r w:rsidR="008D535A">
          <w:rPr>
            <w:webHidden/>
          </w:rPr>
          <w:instrText xml:space="preserve"> PAGEREF _Toc77586516 \h </w:instrText>
        </w:r>
        <w:r w:rsidR="008D535A">
          <w:rPr>
            <w:webHidden/>
          </w:rPr>
        </w:r>
        <w:r w:rsidR="008D535A">
          <w:rPr>
            <w:webHidden/>
          </w:rPr>
          <w:fldChar w:fldCharType="separate"/>
        </w:r>
        <w:r w:rsidR="008D535A">
          <w:rPr>
            <w:webHidden/>
          </w:rPr>
          <w:t>13</w:t>
        </w:r>
        <w:r w:rsidR="008D535A">
          <w:rPr>
            <w:webHidden/>
          </w:rPr>
          <w:fldChar w:fldCharType="end"/>
        </w:r>
      </w:hyperlink>
    </w:p>
    <w:p w14:paraId="2D0E6771" w14:textId="47D13CDB" w:rsidR="008D535A" w:rsidRDefault="00222E59">
      <w:pPr>
        <w:pStyle w:val="TOC3"/>
        <w:rPr>
          <w:rFonts w:asciiTheme="minorHAnsi" w:eastAsiaTheme="minorEastAsia" w:hAnsiTheme="minorHAnsi" w:cstheme="minorBidi"/>
          <w:color w:val="auto"/>
          <w:szCs w:val="22"/>
        </w:rPr>
      </w:pPr>
      <w:hyperlink w:anchor="_Toc77586517" w:history="1">
        <w:r w:rsidR="008D535A" w:rsidRPr="00FF0506">
          <w:rPr>
            <w:rStyle w:val="Hyperlink"/>
          </w:rPr>
          <w:t>Area 3: Finalised investigations and resulting compliance action</w:t>
        </w:r>
        <w:r w:rsidR="008D535A">
          <w:rPr>
            <w:webHidden/>
          </w:rPr>
          <w:tab/>
        </w:r>
        <w:r w:rsidR="008D535A">
          <w:rPr>
            <w:webHidden/>
          </w:rPr>
          <w:fldChar w:fldCharType="begin"/>
        </w:r>
        <w:r w:rsidR="008D535A">
          <w:rPr>
            <w:webHidden/>
          </w:rPr>
          <w:instrText xml:space="preserve"> PAGEREF _Toc77586517 \h </w:instrText>
        </w:r>
        <w:r w:rsidR="008D535A">
          <w:rPr>
            <w:webHidden/>
          </w:rPr>
        </w:r>
        <w:r w:rsidR="008D535A">
          <w:rPr>
            <w:webHidden/>
          </w:rPr>
          <w:fldChar w:fldCharType="separate"/>
        </w:r>
        <w:r w:rsidR="008D535A">
          <w:rPr>
            <w:webHidden/>
          </w:rPr>
          <w:t>15</w:t>
        </w:r>
        <w:r w:rsidR="008D535A">
          <w:rPr>
            <w:webHidden/>
          </w:rPr>
          <w:fldChar w:fldCharType="end"/>
        </w:r>
      </w:hyperlink>
    </w:p>
    <w:p w14:paraId="1CA31FD0" w14:textId="65D802D7" w:rsidR="008D535A" w:rsidRDefault="00222E59">
      <w:pPr>
        <w:pStyle w:val="TOC2"/>
        <w:rPr>
          <w:rFonts w:asciiTheme="minorHAnsi" w:eastAsiaTheme="minorEastAsia" w:hAnsiTheme="minorHAnsi" w:cstheme="minorBidi"/>
          <w:color w:val="auto"/>
          <w:szCs w:val="22"/>
        </w:rPr>
      </w:pPr>
      <w:hyperlink w:anchor="_Toc77586518" w:history="1">
        <w:r w:rsidR="008D535A" w:rsidRPr="00FF0506">
          <w:rPr>
            <w:rStyle w:val="Hyperlink"/>
          </w:rPr>
          <w:t>Consolidated list of discussion questions for stakeholders</w:t>
        </w:r>
        <w:r w:rsidR="008D535A">
          <w:rPr>
            <w:webHidden/>
          </w:rPr>
          <w:tab/>
        </w:r>
        <w:r w:rsidR="008D535A">
          <w:rPr>
            <w:webHidden/>
          </w:rPr>
          <w:fldChar w:fldCharType="begin"/>
        </w:r>
        <w:r w:rsidR="008D535A">
          <w:rPr>
            <w:webHidden/>
          </w:rPr>
          <w:instrText xml:space="preserve"> PAGEREF _Toc77586518 \h </w:instrText>
        </w:r>
        <w:r w:rsidR="008D535A">
          <w:rPr>
            <w:webHidden/>
          </w:rPr>
        </w:r>
        <w:r w:rsidR="008D535A">
          <w:rPr>
            <w:webHidden/>
          </w:rPr>
          <w:fldChar w:fldCharType="separate"/>
        </w:r>
        <w:r w:rsidR="008D535A">
          <w:rPr>
            <w:webHidden/>
          </w:rPr>
          <w:t>19</w:t>
        </w:r>
        <w:r w:rsidR="008D535A">
          <w:rPr>
            <w:webHidden/>
          </w:rPr>
          <w:fldChar w:fldCharType="end"/>
        </w:r>
      </w:hyperlink>
    </w:p>
    <w:p w14:paraId="3CADEC2A" w14:textId="39082629" w:rsidR="000E0B74" w:rsidRDefault="00257AEE" w:rsidP="00656356">
      <w:pPr>
        <w:pStyle w:val="SingleParagraph"/>
        <w:tabs>
          <w:tab w:val="right" w:leader="dot" w:pos="9072"/>
        </w:tabs>
        <w:ind w:right="-2"/>
        <w:sectPr w:rsidR="000E0B74" w:rsidSect="00475B7B">
          <w:pgSz w:w="11906" w:h="16838" w:code="9"/>
          <w:pgMar w:top="1418" w:right="1418" w:bottom="1418" w:left="1418" w:header="709" w:footer="709" w:gutter="0"/>
          <w:pgNumType w:fmt="lowerRoman"/>
          <w:cols w:space="708"/>
          <w:titlePg/>
          <w:docGrid w:linePitch="360"/>
        </w:sectPr>
      </w:pPr>
      <w:r>
        <w:rPr>
          <w:noProof/>
          <w:color w:val="004A7F"/>
          <w:szCs w:val="22"/>
        </w:rPr>
        <w:fldChar w:fldCharType="end"/>
      </w:r>
    </w:p>
    <w:p w14:paraId="7749EE95" w14:textId="77777777" w:rsidR="000E0B74" w:rsidRDefault="000E0B74" w:rsidP="00354FBB">
      <w:pPr>
        <w:pStyle w:val="Heading1"/>
      </w:pPr>
      <w:bookmarkStart w:id="1" w:name="_Toc77586499"/>
      <w:bookmarkStart w:id="2" w:name="_Toc432067103"/>
      <w:r>
        <w:lastRenderedPageBreak/>
        <w:t>Consultation Process</w:t>
      </w:r>
      <w:bookmarkEnd w:id="1"/>
    </w:p>
    <w:p w14:paraId="6A52B679" w14:textId="77777777" w:rsidR="000E0B74" w:rsidRDefault="000E0B74" w:rsidP="000E0B74">
      <w:pPr>
        <w:pStyle w:val="Heading2"/>
      </w:pPr>
      <w:bookmarkStart w:id="3" w:name="_Toc77586500"/>
      <w:r>
        <w:t>Request for feedback and comments</w:t>
      </w:r>
      <w:bookmarkEnd w:id="3"/>
    </w:p>
    <w:bookmarkEnd w:id="2"/>
    <w:p w14:paraId="5639E3DE" w14:textId="77777777" w:rsidR="002D7023" w:rsidRDefault="002D7023" w:rsidP="002D7023">
      <w:r>
        <w:t>Interested parties are invited to submit their responses to the discussion questions.</w:t>
      </w:r>
    </w:p>
    <w:p w14:paraId="05E79138" w14:textId="77777777" w:rsidR="002D7023" w:rsidRDefault="002D7023" w:rsidP="002D7023">
      <w:r>
        <w:t>Electronic lodgement is preferred. For accessibility reasons, please submit responses sent via email in a Word or RTF format. An additional PDF version may also be submitted.</w:t>
      </w:r>
    </w:p>
    <w:p w14:paraId="1FBAD575" w14:textId="77777777" w:rsidR="002D7023" w:rsidRDefault="002D7023" w:rsidP="002D7023">
      <w:r>
        <w:t xml:space="preserve">If you would like part of your submission to remain in confidence, you should provide this information marked as such in a separate attachment. A request made under the </w:t>
      </w:r>
      <w:r w:rsidRPr="00B04593">
        <w:rPr>
          <w:i/>
        </w:rPr>
        <w:t>Freedom of Information Act 1982 (</w:t>
      </w:r>
      <w:proofErr w:type="spellStart"/>
      <w:r w:rsidRPr="00B04593">
        <w:rPr>
          <w:i/>
        </w:rPr>
        <w:t>Cth</w:t>
      </w:r>
      <w:proofErr w:type="spellEnd"/>
      <w:r w:rsidRPr="00B04593">
        <w:rPr>
          <w:i/>
        </w:rPr>
        <w:t>)</w:t>
      </w:r>
      <w:r>
        <w:t xml:space="preserve"> for a submission marked ‘confidential’ to be made available will be determined in accordance with that Act.</w:t>
      </w:r>
    </w:p>
    <w:p w14:paraId="5D9BA140" w14:textId="030B5BDD" w:rsidR="002D7023" w:rsidRDefault="002D7023" w:rsidP="002D7023">
      <w:pPr>
        <w:pStyle w:val="Heading3noTOC"/>
      </w:pPr>
      <w:r>
        <w:t xml:space="preserve">Closing date for submissions: </w:t>
      </w:r>
      <w:sdt>
        <w:sdtPr>
          <w:rPr>
            <w:rStyle w:val="Heading3Char"/>
          </w:rPr>
          <w:id w:val="1454836312"/>
          <w:placeholder>
            <w:docPart w:val="1A8CD9EF7C7241189D0D102530495FC1"/>
          </w:placeholder>
          <w:date w:fullDate="2021-08-22T00:00:00Z">
            <w:dateFormat w:val="dd MMMM yyyy"/>
            <w:lid w:val="en-AU"/>
            <w:storeMappedDataAs w:val="dateTime"/>
            <w:calendar w:val="gregorian"/>
          </w:date>
        </w:sdtPr>
        <w:sdtEndPr>
          <w:rPr>
            <w:rStyle w:val="DefaultParagraphFont"/>
            <w:rFonts w:cs="Calibri"/>
          </w:rPr>
        </w:sdtEndPr>
        <w:sdtContent>
          <w:r w:rsidR="00430A91">
            <w:rPr>
              <w:rStyle w:val="Heading3Char"/>
            </w:rPr>
            <w:t>22 August 2021</w:t>
          </w:r>
        </w:sdtContent>
      </w:sdt>
    </w:p>
    <w:tbl>
      <w:tblPr>
        <w:tblStyle w:val="TableGrid"/>
        <w:tblW w:w="0" w:type="auto"/>
        <w:tblLook w:val="04A0" w:firstRow="1" w:lastRow="0" w:firstColumn="1" w:lastColumn="0" w:noHBand="0" w:noVBand="1"/>
      </w:tblPr>
      <w:tblGrid>
        <w:gridCol w:w="1514"/>
        <w:gridCol w:w="7556"/>
      </w:tblGrid>
      <w:tr w:rsidR="002D7023" w:rsidRPr="00B85F47" w14:paraId="1FBA4010" w14:textId="77777777" w:rsidTr="00E960F3">
        <w:tc>
          <w:tcPr>
            <w:tcW w:w="1526" w:type="dxa"/>
            <w:shd w:val="clear" w:color="auto" w:fill="auto"/>
          </w:tcPr>
          <w:p w14:paraId="3685F37C" w14:textId="77777777" w:rsidR="002D7023" w:rsidRPr="0028759A" w:rsidRDefault="002D7023" w:rsidP="00E960F3">
            <w:pPr>
              <w:rPr>
                <w:sz w:val="22"/>
                <w:szCs w:val="22"/>
              </w:rPr>
            </w:pPr>
            <w:r w:rsidRPr="0028759A">
              <w:rPr>
                <w:sz w:val="22"/>
                <w:szCs w:val="22"/>
              </w:rPr>
              <w:t>Email</w:t>
            </w:r>
          </w:p>
        </w:tc>
        <w:tc>
          <w:tcPr>
            <w:tcW w:w="7654" w:type="dxa"/>
            <w:shd w:val="clear" w:color="auto" w:fill="auto"/>
          </w:tcPr>
          <w:p w14:paraId="4BDAB0B7" w14:textId="77777777" w:rsidR="002D7023" w:rsidRPr="00B4664B" w:rsidRDefault="00222E59" w:rsidP="00E960F3">
            <w:pPr>
              <w:rPr>
                <w:sz w:val="22"/>
                <w:szCs w:val="22"/>
                <w:u w:val="single"/>
              </w:rPr>
            </w:pPr>
            <w:hyperlink r:id="rId19" w:history="1">
              <w:r w:rsidR="002D7023" w:rsidRPr="00B4664B">
                <w:rPr>
                  <w:rStyle w:val="Hyperlink"/>
                  <w:sz w:val="22"/>
                  <w:szCs w:val="22"/>
                  <w:u w:val="single"/>
                </w:rPr>
                <w:t>charitiesconsultation@treasury.gov.au</w:t>
              </w:r>
            </w:hyperlink>
            <w:r w:rsidR="002D7023" w:rsidRPr="00B4664B">
              <w:rPr>
                <w:sz w:val="22"/>
                <w:szCs w:val="22"/>
                <w:u w:val="single"/>
              </w:rPr>
              <w:t xml:space="preserve"> </w:t>
            </w:r>
          </w:p>
        </w:tc>
      </w:tr>
      <w:tr w:rsidR="002D7023" w:rsidRPr="00B85F47" w14:paraId="3535CA69" w14:textId="77777777" w:rsidTr="00E960F3">
        <w:tc>
          <w:tcPr>
            <w:tcW w:w="1526" w:type="dxa"/>
            <w:shd w:val="clear" w:color="auto" w:fill="auto"/>
          </w:tcPr>
          <w:p w14:paraId="473868A6" w14:textId="77777777" w:rsidR="002D7023" w:rsidRPr="0028759A" w:rsidRDefault="002D7023" w:rsidP="00E960F3">
            <w:pPr>
              <w:rPr>
                <w:sz w:val="22"/>
                <w:szCs w:val="22"/>
              </w:rPr>
            </w:pPr>
            <w:r w:rsidRPr="0028759A">
              <w:rPr>
                <w:sz w:val="22"/>
                <w:szCs w:val="22"/>
              </w:rPr>
              <w:t>Mail</w:t>
            </w:r>
          </w:p>
          <w:p w14:paraId="5A13830B" w14:textId="77777777" w:rsidR="002D7023" w:rsidRPr="0028759A" w:rsidRDefault="002D7023" w:rsidP="00E960F3">
            <w:pPr>
              <w:rPr>
                <w:sz w:val="22"/>
                <w:szCs w:val="22"/>
              </w:rPr>
            </w:pPr>
          </w:p>
          <w:p w14:paraId="39971590" w14:textId="77777777" w:rsidR="002D7023" w:rsidRPr="0028759A" w:rsidRDefault="002D7023" w:rsidP="00E960F3">
            <w:pPr>
              <w:rPr>
                <w:sz w:val="22"/>
                <w:szCs w:val="22"/>
              </w:rPr>
            </w:pPr>
          </w:p>
        </w:tc>
        <w:tc>
          <w:tcPr>
            <w:tcW w:w="7654" w:type="dxa"/>
            <w:shd w:val="clear" w:color="auto" w:fill="auto"/>
          </w:tcPr>
          <w:p w14:paraId="7423039C" w14:textId="64A6813D" w:rsidR="002D7023" w:rsidRPr="0028759A" w:rsidRDefault="002C0440" w:rsidP="00E960F3">
            <w:pPr>
              <w:pStyle w:val="SingleParagraph"/>
              <w:rPr>
                <w:rFonts w:cs="Arial"/>
                <w:sz w:val="22"/>
                <w:szCs w:val="22"/>
              </w:rPr>
            </w:pPr>
            <w:r>
              <w:rPr>
                <w:rFonts w:cs="Arial"/>
                <w:sz w:val="22"/>
                <w:szCs w:val="22"/>
              </w:rPr>
              <w:t>Director</w:t>
            </w:r>
          </w:p>
          <w:p w14:paraId="22488A56" w14:textId="1515696E" w:rsidR="002D7023" w:rsidRPr="0028759A" w:rsidRDefault="00D333E0" w:rsidP="00134A1E">
            <w:pPr>
              <w:pStyle w:val="SingleParagraph"/>
              <w:jc w:val="left"/>
              <w:rPr>
                <w:rFonts w:cs="Arial"/>
                <w:sz w:val="22"/>
                <w:szCs w:val="22"/>
              </w:rPr>
            </w:pPr>
            <w:r w:rsidRPr="00D333E0">
              <w:rPr>
                <w:rFonts w:cs="Arial"/>
                <w:sz w:val="22"/>
                <w:szCs w:val="22"/>
              </w:rPr>
              <w:t>Not-For-Profit Unit, Not-for-profits and Tax Administration Branch</w:t>
            </w:r>
            <w:r>
              <w:rPr>
                <w:rFonts w:cs="Arial"/>
                <w:sz w:val="22"/>
                <w:szCs w:val="22"/>
              </w:rPr>
              <w:br/>
            </w:r>
            <w:r w:rsidR="002D7023" w:rsidRPr="0028759A">
              <w:rPr>
                <w:rFonts w:cs="Arial"/>
                <w:sz w:val="22"/>
                <w:szCs w:val="22"/>
              </w:rPr>
              <w:t>The Treasury</w:t>
            </w:r>
          </w:p>
          <w:p w14:paraId="53EFC036" w14:textId="717A6CA3" w:rsidR="002D7023" w:rsidRPr="0028759A" w:rsidRDefault="002D7023" w:rsidP="00E960F3">
            <w:pPr>
              <w:pStyle w:val="SingleParagraph"/>
              <w:rPr>
                <w:rFonts w:cs="Arial"/>
                <w:sz w:val="22"/>
                <w:szCs w:val="22"/>
              </w:rPr>
            </w:pPr>
            <w:r w:rsidRPr="0028759A">
              <w:rPr>
                <w:rFonts w:cs="Arial"/>
                <w:sz w:val="22"/>
                <w:szCs w:val="22"/>
              </w:rPr>
              <w:t xml:space="preserve">Level </w:t>
            </w:r>
            <w:r w:rsidR="00D333E0">
              <w:rPr>
                <w:rFonts w:cs="Arial"/>
                <w:sz w:val="22"/>
                <w:szCs w:val="22"/>
              </w:rPr>
              <w:t>7</w:t>
            </w:r>
            <w:r w:rsidRPr="0028759A">
              <w:rPr>
                <w:rFonts w:cs="Arial"/>
                <w:sz w:val="22"/>
                <w:szCs w:val="22"/>
              </w:rPr>
              <w:t>, 530 Collins Street</w:t>
            </w:r>
          </w:p>
          <w:p w14:paraId="2FADAF96" w14:textId="77777777" w:rsidR="002D7023" w:rsidRPr="0028759A" w:rsidRDefault="002D7023" w:rsidP="00E960F3">
            <w:pPr>
              <w:pStyle w:val="SingleParagraph"/>
              <w:rPr>
                <w:sz w:val="22"/>
                <w:szCs w:val="22"/>
              </w:rPr>
            </w:pPr>
            <w:proofErr w:type="gramStart"/>
            <w:r w:rsidRPr="0028759A">
              <w:rPr>
                <w:sz w:val="22"/>
                <w:szCs w:val="22"/>
              </w:rPr>
              <w:t>MELBOURNE  VIC</w:t>
            </w:r>
            <w:proofErr w:type="gramEnd"/>
            <w:r w:rsidRPr="0028759A">
              <w:rPr>
                <w:sz w:val="22"/>
                <w:szCs w:val="22"/>
              </w:rPr>
              <w:t xml:space="preserve">  3000</w:t>
            </w:r>
          </w:p>
        </w:tc>
      </w:tr>
      <w:tr w:rsidR="002D7023" w:rsidRPr="00B85F47" w14:paraId="2AF33A12" w14:textId="77777777" w:rsidTr="00E960F3">
        <w:tc>
          <w:tcPr>
            <w:tcW w:w="1526" w:type="dxa"/>
            <w:shd w:val="clear" w:color="auto" w:fill="auto"/>
          </w:tcPr>
          <w:p w14:paraId="6BA2EB78" w14:textId="77777777" w:rsidR="002D7023" w:rsidRPr="0028759A" w:rsidRDefault="002D7023" w:rsidP="00E960F3">
            <w:pPr>
              <w:rPr>
                <w:sz w:val="22"/>
                <w:szCs w:val="22"/>
              </w:rPr>
            </w:pPr>
            <w:r w:rsidRPr="0028759A">
              <w:rPr>
                <w:sz w:val="22"/>
                <w:szCs w:val="22"/>
              </w:rPr>
              <w:t>Enquiries</w:t>
            </w:r>
          </w:p>
        </w:tc>
        <w:tc>
          <w:tcPr>
            <w:tcW w:w="7654" w:type="dxa"/>
            <w:shd w:val="clear" w:color="auto" w:fill="auto"/>
          </w:tcPr>
          <w:p w14:paraId="643045D0" w14:textId="7F1C4733" w:rsidR="002D7023" w:rsidRPr="00904CC1" w:rsidRDefault="002D7023" w:rsidP="00E960F3">
            <w:pPr>
              <w:rPr>
                <w:sz w:val="22"/>
                <w:szCs w:val="22"/>
              </w:rPr>
            </w:pPr>
            <w:r w:rsidRPr="00904CC1">
              <w:rPr>
                <w:rFonts w:cs="Arial"/>
                <w:sz w:val="22"/>
                <w:szCs w:val="22"/>
              </w:rPr>
              <w:t xml:space="preserve">Enquiries can be initially directed to </w:t>
            </w:r>
            <w:hyperlink r:id="rId20" w:history="1">
              <w:r w:rsidR="00D333E0" w:rsidRPr="00904CC1">
                <w:rPr>
                  <w:rStyle w:val="Hyperlink"/>
                  <w:rFonts w:cs="Arial"/>
                  <w:sz w:val="22"/>
                  <w:szCs w:val="22"/>
                  <w:u w:val="single"/>
                </w:rPr>
                <w:t>charitiesconsultation@treasury.gov.au</w:t>
              </w:r>
            </w:hyperlink>
            <w:r w:rsidR="00D333E0" w:rsidRPr="00904CC1">
              <w:rPr>
                <w:rFonts w:cs="Arial"/>
                <w:sz w:val="22"/>
                <w:szCs w:val="22"/>
              </w:rPr>
              <w:t xml:space="preserve"> </w:t>
            </w:r>
          </w:p>
        </w:tc>
      </w:tr>
      <w:tr w:rsidR="002D7023" w:rsidRPr="00B85F47" w14:paraId="03374422" w14:textId="77777777" w:rsidTr="00E960F3">
        <w:tc>
          <w:tcPr>
            <w:tcW w:w="1526" w:type="dxa"/>
            <w:shd w:val="clear" w:color="auto" w:fill="auto"/>
          </w:tcPr>
          <w:p w14:paraId="50078188" w14:textId="77777777" w:rsidR="002D7023" w:rsidRPr="0028759A" w:rsidRDefault="002D7023" w:rsidP="00E960F3">
            <w:pPr>
              <w:rPr>
                <w:sz w:val="22"/>
                <w:szCs w:val="22"/>
              </w:rPr>
            </w:pPr>
            <w:r w:rsidRPr="0028759A">
              <w:rPr>
                <w:sz w:val="22"/>
                <w:szCs w:val="22"/>
              </w:rPr>
              <w:t>Phone</w:t>
            </w:r>
          </w:p>
        </w:tc>
        <w:tc>
          <w:tcPr>
            <w:tcW w:w="7654" w:type="dxa"/>
            <w:shd w:val="clear" w:color="auto" w:fill="auto"/>
          </w:tcPr>
          <w:p w14:paraId="4B0112B3" w14:textId="34D942F4" w:rsidR="002D7023" w:rsidRPr="00904CC1" w:rsidRDefault="002D7023" w:rsidP="00E960F3">
            <w:pPr>
              <w:rPr>
                <w:sz w:val="22"/>
                <w:szCs w:val="22"/>
              </w:rPr>
            </w:pPr>
            <w:r w:rsidRPr="00904CC1">
              <w:rPr>
                <w:rFonts w:cs="Arial"/>
                <w:sz w:val="22"/>
                <w:szCs w:val="22"/>
              </w:rPr>
              <w:t xml:space="preserve">02 6263 </w:t>
            </w:r>
            <w:r w:rsidR="0099074A" w:rsidRPr="00904CC1">
              <w:rPr>
                <w:rFonts w:cs="Arial"/>
                <w:sz w:val="22"/>
                <w:szCs w:val="22"/>
              </w:rPr>
              <w:t>3234</w:t>
            </w:r>
          </w:p>
        </w:tc>
      </w:tr>
    </w:tbl>
    <w:p w14:paraId="6029D42C" w14:textId="77777777" w:rsidR="008D7F38" w:rsidRPr="008D7F38" w:rsidRDefault="008D7F38" w:rsidP="008D7F38"/>
    <w:p w14:paraId="3FBD887B" w14:textId="77777777" w:rsidR="00E10D39" w:rsidRDefault="00E10D39">
      <w:pPr>
        <w:spacing w:before="0" w:after="160" w:line="259" w:lineRule="auto"/>
        <w:rPr>
          <w:rFonts w:cs="Arial"/>
          <w:color w:val="004A7F"/>
          <w:kern w:val="32"/>
          <w:sz w:val="48"/>
          <w:szCs w:val="36"/>
        </w:rPr>
      </w:pPr>
      <w:r>
        <w:br w:type="page"/>
      </w:r>
    </w:p>
    <w:p w14:paraId="057C4E46" w14:textId="77777777" w:rsidR="002D7023" w:rsidRDefault="002D7023" w:rsidP="002D7023">
      <w:pPr>
        <w:pStyle w:val="Heading1"/>
      </w:pPr>
      <w:bookmarkStart w:id="4" w:name="_Toc74650688"/>
      <w:bookmarkStart w:id="5" w:name="_Toc77586501"/>
      <w:bookmarkStart w:id="6" w:name="_Toc306887373"/>
      <w:bookmarkStart w:id="7" w:name="_Toc432064637"/>
      <w:r>
        <w:lastRenderedPageBreak/>
        <w:t>Reform of the ACNC secrecy provisions</w:t>
      </w:r>
      <w:bookmarkEnd w:id="4"/>
      <w:bookmarkEnd w:id="5"/>
    </w:p>
    <w:p w14:paraId="0CD37932" w14:textId="77777777" w:rsidR="002D7023" w:rsidRDefault="002D7023" w:rsidP="002D7023">
      <w:pPr>
        <w:pStyle w:val="Heading2"/>
      </w:pPr>
      <w:bookmarkStart w:id="8" w:name="_Toc74650689"/>
      <w:bookmarkStart w:id="9" w:name="_Toc77586502"/>
      <w:bookmarkStart w:id="10" w:name="_Toc306887371"/>
      <w:bookmarkStart w:id="11" w:name="_Toc432064635"/>
      <w:r>
        <w:t>Purpose</w:t>
      </w:r>
      <w:bookmarkEnd w:id="8"/>
      <w:bookmarkEnd w:id="9"/>
    </w:p>
    <w:p w14:paraId="27DD3B9F" w14:textId="21247328" w:rsidR="002D7023" w:rsidRDefault="002D7023" w:rsidP="00C3154A">
      <w:pPr>
        <w:pStyle w:val="Bullet"/>
        <w:numPr>
          <w:ilvl w:val="0"/>
          <w:numId w:val="0"/>
        </w:numPr>
      </w:pPr>
      <w:r>
        <w:t xml:space="preserve">The purpose of this </w:t>
      </w:r>
      <w:r w:rsidR="006652D7">
        <w:t xml:space="preserve">consultation </w:t>
      </w:r>
      <w:r>
        <w:t xml:space="preserve">paper is to seek stakeholder feedback and views on the issues identified in recommendation 17 of the </w:t>
      </w:r>
      <w:r w:rsidRPr="00B91732">
        <w:rPr>
          <w:i/>
          <w:iCs/>
        </w:rPr>
        <w:t>Strengthening for Purpose</w:t>
      </w:r>
      <w:r w:rsidR="004C1E8D">
        <w:rPr>
          <w:i/>
          <w:iCs/>
        </w:rPr>
        <w:t>: Australian Charities and Not</w:t>
      </w:r>
      <w:r w:rsidR="004C1E8D">
        <w:rPr>
          <w:i/>
          <w:iCs/>
        </w:rPr>
        <w:noBreakHyphen/>
        <w:t>for</w:t>
      </w:r>
      <w:r w:rsidR="004C1E8D">
        <w:rPr>
          <w:i/>
          <w:iCs/>
        </w:rPr>
        <w:noBreakHyphen/>
        <w:t>Profit Commission Legislation Review 2018</w:t>
      </w:r>
      <w:r w:rsidRPr="00B91732">
        <w:t xml:space="preserve"> (ACNC Review)</w:t>
      </w:r>
      <w:r>
        <w:t xml:space="preserve">. Specifically, the </w:t>
      </w:r>
      <w:r w:rsidR="006652D7">
        <w:t xml:space="preserve">consultation </w:t>
      </w:r>
      <w:r>
        <w:t>paper seeks to understand stakeholder views around the following:</w:t>
      </w:r>
    </w:p>
    <w:p w14:paraId="6D450F09" w14:textId="65D500B2" w:rsidR="002D7023" w:rsidRDefault="002D7023" w:rsidP="002D7023">
      <w:pPr>
        <w:pStyle w:val="Bullet"/>
        <w:ind w:left="283" w:hanging="283"/>
      </w:pPr>
      <w:r>
        <w:t xml:space="preserve">concerns and impacts of the </w:t>
      </w:r>
      <w:r w:rsidR="002D7089">
        <w:t xml:space="preserve">ACNC’s </w:t>
      </w:r>
      <w:r>
        <w:t xml:space="preserve">current secrecy </w:t>
      </w:r>
      <w:proofErr w:type="gramStart"/>
      <w:r>
        <w:t>provisions;</w:t>
      </w:r>
      <w:proofErr w:type="gramEnd"/>
    </w:p>
    <w:p w14:paraId="0D5EC907" w14:textId="653CC133" w:rsidR="002D7023" w:rsidRDefault="002D7023" w:rsidP="002D7023">
      <w:pPr>
        <w:pStyle w:val="Bullet"/>
        <w:ind w:left="283" w:hanging="283"/>
      </w:pPr>
      <w:r>
        <w:t xml:space="preserve">views about the benefits and sensitivities of </w:t>
      </w:r>
      <w:r w:rsidR="00024D76">
        <w:t xml:space="preserve">public disclosure of </w:t>
      </w:r>
      <w:r>
        <w:t>certain information</w:t>
      </w:r>
      <w:r w:rsidRPr="00750C17">
        <w:t xml:space="preserve"> </w:t>
      </w:r>
      <w:r>
        <w:t xml:space="preserve">about the ACNC’s regulatory </w:t>
      </w:r>
      <w:proofErr w:type="gramStart"/>
      <w:r>
        <w:t>activities;</w:t>
      </w:r>
      <w:proofErr w:type="gramEnd"/>
    </w:p>
    <w:p w14:paraId="0852D5A8" w14:textId="73CA57D2" w:rsidR="002D7023" w:rsidRDefault="002D7023" w:rsidP="002D7023">
      <w:pPr>
        <w:pStyle w:val="Bullet"/>
        <w:ind w:left="283" w:hanging="283"/>
      </w:pPr>
      <w:r>
        <w:t xml:space="preserve">circumstances </w:t>
      </w:r>
      <w:r w:rsidR="002D7089">
        <w:t>under which</w:t>
      </w:r>
      <w:r>
        <w:t xml:space="preserve"> the ACNC</w:t>
      </w:r>
      <w:r w:rsidR="002D7089">
        <w:t xml:space="preserve"> should</w:t>
      </w:r>
      <w:r>
        <w:t xml:space="preserve"> disclose information about its regulatory activities to the public; and</w:t>
      </w:r>
    </w:p>
    <w:p w14:paraId="6CDB45C7" w14:textId="34980EA9" w:rsidR="002D7023" w:rsidRDefault="002D7023" w:rsidP="002D7023">
      <w:pPr>
        <w:pStyle w:val="Bullet"/>
        <w:ind w:left="283" w:hanging="283"/>
      </w:pPr>
      <w:r>
        <w:t xml:space="preserve">factors and risks </w:t>
      </w:r>
      <w:r w:rsidR="002D7089">
        <w:t xml:space="preserve">that </w:t>
      </w:r>
      <w:r>
        <w:t xml:space="preserve">should form the basis of a discretion when considering </w:t>
      </w:r>
      <w:proofErr w:type="gramStart"/>
      <w:r>
        <w:t>whether or not</w:t>
      </w:r>
      <w:proofErr w:type="gramEnd"/>
      <w:r>
        <w:t xml:space="preserve"> to disclose information to the public.</w:t>
      </w:r>
    </w:p>
    <w:p w14:paraId="66B33054" w14:textId="2E1D6D04" w:rsidR="00C3154A" w:rsidRDefault="00C3154A" w:rsidP="004B351B">
      <w:pPr>
        <w:pStyle w:val="Bullet"/>
        <w:numPr>
          <w:ilvl w:val="0"/>
          <w:numId w:val="0"/>
        </w:numPr>
      </w:pPr>
      <w:r>
        <w:t>To assist stakeholders in understanding the issues identified in the ACNC Review, the paper provides a comparison of the ACNC’s current secrecy provisions with the disclosure rules of other regulators. The paper will</w:t>
      </w:r>
      <w:r w:rsidR="00B96ABB">
        <w:t xml:space="preserve"> also explore</w:t>
      </w:r>
      <w:r w:rsidR="00FF4C04">
        <w:t xml:space="preserve"> the issues surrounding </w:t>
      </w:r>
      <w:r>
        <w:t>three areas</w:t>
      </w:r>
      <w:r w:rsidR="00556157">
        <w:t xml:space="preserve"> </w:t>
      </w:r>
      <w:r w:rsidR="00FF4C04">
        <w:t xml:space="preserve">identified in the ACNC Review where the ACNC is limited in its ability to disclose information about </w:t>
      </w:r>
      <w:r w:rsidR="00B96ABB">
        <w:t>i</w:t>
      </w:r>
      <w:r w:rsidR="00FF4C04">
        <w:t>ts regulatory activities.</w:t>
      </w:r>
    </w:p>
    <w:p w14:paraId="3750EB6A" w14:textId="77777777" w:rsidR="002D7023" w:rsidRDefault="002D7023" w:rsidP="002D7023">
      <w:pPr>
        <w:pStyle w:val="Heading2"/>
      </w:pPr>
      <w:bookmarkStart w:id="12" w:name="_Toc74650690"/>
      <w:bookmarkStart w:id="13" w:name="_Toc77586503"/>
      <w:bookmarkEnd w:id="6"/>
      <w:bookmarkEnd w:id="7"/>
      <w:bookmarkEnd w:id="10"/>
      <w:bookmarkEnd w:id="11"/>
      <w:r>
        <w:t>Background</w:t>
      </w:r>
      <w:bookmarkEnd w:id="12"/>
      <w:bookmarkEnd w:id="13"/>
    </w:p>
    <w:p w14:paraId="36641534" w14:textId="4E99ECB5" w:rsidR="002D7023" w:rsidRDefault="002D7023" w:rsidP="002D7023">
      <w:pPr>
        <w:pStyle w:val="Heading3"/>
      </w:pPr>
      <w:bookmarkStart w:id="14" w:name="_Toc74650691"/>
      <w:bookmarkStart w:id="15" w:name="_Toc77586504"/>
      <w:r>
        <w:t xml:space="preserve">What are the </w:t>
      </w:r>
      <w:r w:rsidR="00485902">
        <w:t xml:space="preserve">ACNC’s </w:t>
      </w:r>
      <w:r>
        <w:t>secrecy provisions?</w:t>
      </w:r>
      <w:bookmarkEnd w:id="14"/>
      <w:bookmarkEnd w:id="15"/>
    </w:p>
    <w:p w14:paraId="27316898" w14:textId="670130BE" w:rsidR="00485902" w:rsidRDefault="00B73A53" w:rsidP="002D7023">
      <w:r>
        <w:t>Broadly, the secr</w:t>
      </w:r>
      <w:r w:rsidR="00394915">
        <w:t xml:space="preserve">ecy rules </w:t>
      </w:r>
      <w:r w:rsidR="00906E04">
        <w:t xml:space="preserve">provide a general prohibition </w:t>
      </w:r>
      <w:r w:rsidR="00757C41">
        <w:t>on</w:t>
      </w:r>
      <w:r w:rsidR="00394915">
        <w:t xml:space="preserve"> the </w:t>
      </w:r>
      <w:r w:rsidR="00757C41">
        <w:t>disclosure of</w:t>
      </w:r>
      <w:r>
        <w:t xml:space="preserve"> i</w:t>
      </w:r>
      <w:r w:rsidR="00485902">
        <w:t xml:space="preserve">nformation </w:t>
      </w:r>
      <w:r w:rsidR="00757C41">
        <w:t>provided by charities to the ACNC. However, disclosure of this information is allowed</w:t>
      </w:r>
      <w:r w:rsidR="0021029B">
        <w:t xml:space="preserve"> in the following situations:</w:t>
      </w:r>
    </w:p>
    <w:p w14:paraId="09305087" w14:textId="550DA610" w:rsidR="00B519D5" w:rsidRDefault="00B519D5" w:rsidP="00F00F7B">
      <w:pPr>
        <w:pStyle w:val="Bullet"/>
      </w:pPr>
      <w:r>
        <w:t xml:space="preserve">in the performance of the duties </w:t>
      </w:r>
      <w:r w:rsidR="00283E7C">
        <w:t xml:space="preserve">of </w:t>
      </w:r>
      <w:r>
        <w:t xml:space="preserve">an ACNC officer under the ACNC </w:t>
      </w:r>
      <w:proofErr w:type="gramStart"/>
      <w:r>
        <w:t>Act;</w:t>
      </w:r>
      <w:proofErr w:type="gramEnd"/>
    </w:p>
    <w:p w14:paraId="1DC69E7C" w14:textId="33A62D9B" w:rsidR="00F00F7B" w:rsidRDefault="00F00F7B" w:rsidP="00F00F7B">
      <w:pPr>
        <w:pStyle w:val="Bullet"/>
      </w:pPr>
      <w:r>
        <w:t>for the purposes of including information on the ACNC Charity Register</w:t>
      </w:r>
      <w:r>
        <w:rPr>
          <w:rStyle w:val="FootnoteReference"/>
        </w:rPr>
        <w:footnoteReference w:id="2"/>
      </w:r>
      <w:r w:rsidR="00E83600">
        <w:t>;</w:t>
      </w:r>
    </w:p>
    <w:p w14:paraId="4825635C" w14:textId="25708B86" w:rsidR="00394915" w:rsidRDefault="00B519D5" w:rsidP="00F00F7B">
      <w:pPr>
        <w:pStyle w:val="Bullet"/>
      </w:pPr>
      <w:r>
        <w:t>where the information is provided to an Australian government agency (subject to certain conditions being met</w:t>
      </w:r>
      <w:proofErr w:type="gramStart"/>
      <w:r>
        <w:t>);</w:t>
      </w:r>
      <w:proofErr w:type="gramEnd"/>
    </w:p>
    <w:p w14:paraId="10DBD82D" w14:textId="04D560A4" w:rsidR="00F00F7B" w:rsidRDefault="00F00F7B" w:rsidP="00F00F7B">
      <w:pPr>
        <w:pStyle w:val="Bullet"/>
      </w:pPr>
      <w:r w:rsidRPr="00E960F3">
        <w:t xml:space="preserve">if </w:t>
      </w:r>
      <w:r>
        <w:t>a charity</w:t>
      </w:r>
      <w:r w:rsidRPr="00E960F3">
        <w:t xml:space="preserve"> consent</w:t>
      </w:r>
      <w:r>
        <w:t xml:space="preserve">s </w:t>
      </w:r>
      <w:r w:rsidRPr="00E960F3">
        <w:t>and there is a specific purpose for the disclosure</w:t>
      </w:r>
      <w:r w:rsidR="00E83600">
        <w:t>; or</w:t>
      </w:r>
    </w:p>
    <w:p w14:paraId="4A34E07A" w14:textId="3E1E280F" w:rsidR="00F00F7B" w:rsidRPr="00E960F3" w:rsidRDefault="00F00F7B" w:rsidP="004B351B">
      <w:pPr>
        <w:pStyle w:val="Bullet"/>
      </w:pPr>
      <w:r w:rsidRPr="00F45584">
        <w:rPr>
          <w:szCs w:val="22"/>
        </w:rPr>
        <w:t>if the information has already been lawfully made available to the public (</w:t>
      </w:r>
      <w:proofErr w:type="gramStart"/>
      <w:r w:rsidRPr="00F00F7B">
        <w:rPr>
          <w:szCs w:val="22"/>
        </w:rPr>
        <w:t>e.g.</w:t>
      </w:r>
      <w:proofErr w:type="gramEnd"/>
      <w:r w:rsidRPr="00F00F7B">
        <w:rPr>
          <w:szCs w:val="22"/>
        </w:rPr>
        <w:t xml:space="preserve"> the relevant charity itself </w:t>
      </w:r>
      <w:r>
        <w:rPr>
          <w:szCs w:val="22"/>
        </w:rPr>
        <w:t xml:space="preserve">publicly </w:t>
      </w:r>
      <w:r w:rsidRPr="00F00F7B">
        <w:rPr>
          <w:szCs w:val="22"/>
        </w:rPr>
        <w:t>discloses information</w:t>
      </w:r>
      <w:r>
        <w:rPr>
          <w:szCs w:val="22"/>
        </w:rPr>
        <w:t>)</w:t>
      </w:r>
      <w:r w:rsidR="00E83600">
        <w:rPr>
          <w:szCs w:val="22"/>
        </w:rPr>
        <w:t>.</w:t>
      </w:r>
    </w:p>
    <w:p w14:paraId="2A10CB90" w14:textId="77777777" w:rsidR="00E960F3" w:rsidRPr="00E960F3" w:rsidRDefault="00E960F3" w:rsidP="0066057A">
      <w:pPr>
        <w:pStyle w:val="Heading3"/>
      </w:pPr>
      <w:bookmarkStart w:id="16" w:name="_Toc74650692"/>
      <w:bookmarkStart w:id="17" w:name="_Toc77586505"/>
      <w:r w:rsidRPr="00E960F3">
        <w:t>What were the findings of the ACNC Review?</w:t>
      </w:r>
      <w:bookmarkEnd w:id="16"/>
      <w:bookmarkEnd w:id="17"/>
    </w:p>
    <w:p w14:paraId="615E2E33" w14:textId="77777777" w:rsidR="00E960F3" w:rsidRPr="00E960F3" w:rsidRDefault="00E960F3" w:rsidP="000F4159">
      <w:pPr>
        <w:pStyle w:val="Heading4"/>
      </w:pPr>
      <w:bookmarkStart w:id="18" w:name="_Toc306887372"/>
      <w:bookmarkStart w:id="19" w:name="_Toc432064636"/>
      <w:r w:rsidRPr="00E960F3">
        <w:t>Tension in the secrecy provisions</w:t>
      </w:r>
    </w:p>
    <w:p w14:paraId="751F4107" w14:textId="7D594408" w:rsidR="00E960F3" w:rsidRPr="00E960F3" w:rsidRDefault="00E960F3" w:rsidP="00E960F3">
      <w:r w:rsidRPr="00E960F3">
        <w:t xml:space="preserve">The ACNC Review identified a tension between a registered charity’s right to privacy and the ACNC’s regulatory responsibilities to protect public trust and confidence in the sector as well as </w:t>
      </w:r>
      <w:r w:rsidRPr="00E960F3">
        <w:rPr>
          <w:color w:val="000000"/>
          <w:szCs w:val="22"/>
          <w:shd w:val="clear" w:color="auto" w:fill="FFFFFF"/>
        </w:rPr>
        <w:t xml:space="preserve">ensure the public has access to information about registered charities. The ACNC Review also stated that this tension is more prominent due to the nature of the charity sector, </w:t>
      </w:r>
      <w:r w:rsidRPr="00E960F3">
        <w:rPr>
          <w:szCs w:val="22"/>
        </w:rPr>
        <w:t xml:space="preserve">where the need for accountability </w:t>
      </w:r>
      <w:r w:rsidRPr="00E960F3">
        <w:rPr>
          <w:szCs w:val="22"/>
        </w:rPr>
        <w:lastRenderedPageBreak/>
        <w:t xml:space="preserve">and transparency about registered charities (and the regulatory activities of the ACNC) are of greater importance. This is because the public has an interest in the affairs of charities because they </w:t>
      </w:r>
      <w:r w:rsidRPr="00E960F3">
        <w:rPr>
          <w:color w:val="000000"/>
          <w:szCs w:val="22"/>
          <w:shd w:val="clear" w:color="auto" w:fill="FFFFFF"/>
        </w:rPr>
        <w:t>are supported through donations from the public</w:t>
      </w:r>
      <w:r w:rsidRPr="00E960F3">
        <w:t xml:space="preserve"> as well as government funding, exemptions, </w:t>
      </w:r>
      <w:proofErr w:type="gramStart"/>
      <w:r w:rsidRPr="00E960F3">
        <w:t>concessions</w:t>
      </w:r>
      <w:proofErr w:type="gramEnd"/>
      <w:r w:rsidRPr="00E960F3">
        <w:t xml:space="preserve"> and benefits.</w:t>
      </w:r>
    </w:p>
    <w:p w14:paraId="4B0E95F7" w14:textId="783EF5DE" w:rsidR="00E960F3" w:rsidRPr="00E960F3" w:rsidRDefault="004C1E8D" w:rsidP="00E960F3">
      <w:r>
        <w:rPr>
          <w:rFonts w:ascii="CIDFont+F1" w:eastAsiaTheme="minorHAnsi" w:hAnsi="CIDFont+F1" w:cs="CIDFont+F1"/>
          <w:szCs w:val="22"/>
          <w:lang w:eastAsia="en-US"/>
        </w:rPr>
        <w:t>T</w:t>
      </w:r>
      <w:r w:rsidRPr="00E703E4">
        <w:rPr>
          <w:rFonts w:ascii="CIDFont+F1" w:eastAsiaTheme="minorHAnsi" w:hAnsi="CIDFont+F1" w:cs="CIDFont+F1"/>
          <w:szCs w:val="22"/>
          <w:lang w:eastAsia="en-US"/>
        </w:rPr>
        <w:t xml:space="preserve">he ACNC’s secrecy provisions </w:t>
      </w:r>
      <w:r>
        <w:rPr>
          <w:rFonts w:ascii="CIDFont+F1" w:eastAsiaTheme="minorHAnsi" w:hAnsi="CIDFont+F1" w:cs="CIDFont+F1"/>
          <w:szCs w:val="22"/>
          <w:lang w:eastAsia="en-US"/>
        </w:rPr>
        <w:t xml:space="preserve">attempt to strike a balance between </w:t>
      </w:r>
      <w:r w:rsidRPr="00E703E4">
        <w:rPr>
          <w:rFonts w:ascii="CIDFont+F1" w:eastAsiaTheme="minorHAnsi" w:hAnsi="CIDFont+F1" w:cs="CIDFont+F1"/>
          <w:szCs w:val="22"/>
          <w:lang w:eastAsia="en-US"/>
        </w:rPr>
        <w:t>protecting personal and confidential information that registered charities provide to the ACNC but also allowing disclosures of that information in some circumstances where it is necessary for ensuring effective government administration in accordance with the ACNC Ac</w:t>
      </w:r>
      <w:r>
        <w:rPr>
          <w:rFonts w:ascii="CIDFont+F1" w:eastAsiaTheme="minorHAnsi" w:hAnsi="CIDFont+F1" w:cs="CIDFont+F1"/>
          <w:szCs w:val="22"/>
          <w:lang w:eastAsia="en-US"/>
        </w:rPr>
        <w:t xml:space="preserve">t. </w:t>
      </w:r>
    </w:p>
    <w:p w14:paraId="3F908393" w14:textId="77777777" w:rsidR="00E960F3" w:rsidRPr="00E960F3" w:rsidRDefault="00E960F3" w:rsidP="000F4159">
      <w:pPr>
        <w:pStyle w:val="Heading4"/>
      </w:pPr>
      <w:r w:rsidRPr="00E960F3">
        <w:t>Findings of the ACNC Review</w:t>
      </w:r>
    </w:p>
    <w:p w14:paraId="261478B1" w14:textId="77777777" w:rsidR="00E960F3" w:rsidRPr="00E960F3" w:rsidRDefault="00E960F3" w:rsidP="00E960F3">
      <w:r w:rsidRPr="00E960F3">
        <w:t>The ACNC Review concluded that </w:t>
      </w:r>
      <w:r w:rsidRPr="00E960F3">
        <w:rPr>
          <w:bCs/>
        </w:rPr>
        <w:t xml:space="preserve">the current secrecy provisions ‘are overly restrictive </w:t>
      </w:r>
      <w:r w:rsidRPr="00E960F3">
        <w:t xml:space="preserve">and should be amended to allow the Commissioner to disclose information in a wider range of </w:t>
      </w:r>
      <w:proofErr w:type="gramStart"/>
      <w:r w:rsidRPr="00E960F3">
        <w:t>circumstances’</w:t>
      </w:r>
      <w:proofErr w:type="gramEnd"/>
      <w:r w:rsidRPr="00E960F3">
        <w:t>. This is because the ACNC’s inability to make comments about some of its regulatory activities is </w:t>
      </w:r>
      <w:r w:rsidRPr="00E960F3">
        <w:rPr>
          <w:bCs/>
        </w:rPr>
        <w:t>harmful to the perception of the ACNC</w:t>
      </w:r>
      <w:r w:rsidRPr="00E960F3">
        <w:t> as an effective regulator.</w:t>
      </w:r>
      <w:r w:rsidRPr="00E960F3">
        <w:rPr>
          <w:sz w:val="20"/>
          <w:vertAlign w:val="superscript"/>
        </w:rPr>
        <w:footnoteReference w:id="3"/>
      </w:r>
      <w:r w:rsidRPr="00E960F3">
        <w:t xml:space="preserve"> </w:t>
      </w:r>
    </w:p>
    <w:p w14:paraId="7A66F36B" w14:textId="4EBF8F8E" w:rsidR="00E960F3" w:rsidRPr="00E960F3" w:rsidRDefault="00E960F3" w:rsidP="00E960F3">
      <w:r w:rsidRPr="00E960F3">
        <w:t>The ACNC Review broadly identified three areas where the current secrecy provisions overly restrict the extent to which the ACNC can publicly disclose information about its regulatory activities. These areas include:</w:t>
      </w:r>
    </w:p>
    <w:p w14:paraId="5A9536E5" w14:textId="77777777" w:rsidR="00E960F3" w:rsidRPr="00E960F3" w:rsidRDefault="00E960F3" w:rsidP="00E960F3">
      <w:pPr>
        <w:numPr>
          <w:ilvl w:val="0"/>
          <w:numId w:val="15"/>
        </w:numPr>
        <w:spacing w:before="0"/>
        <w:rPr>
          <w:szCs w:val="22"/>
        </w:rPr>
      </w:pPr>
      <w:r w:rsidRPr="00E960F3">
        <w:rPr>
          <w:szCs w:val="22"/>
        </w:rPr>
        <w:t xml:space="preserve">reasons for registration </w:t>
      </w:r>
      <w:proofErr w:type="gramStart"/>
      <w:r w:rsidRPr="00E960F3">
        <w:rPr>
          <w:szCs w:val="22"/>
        </w:rPr>
        <w:t>decisions;</w:t>
      </w:r>
      <w:proofErr w:type="gramEnd"/>
    </w:p>
    <w:p w14:paraId="3B7F9B44" w14:textId="25EE9591" w:rsidR="00F45584" w:rsidRDefault="00F45584" w:rsidP="00FF4C04">
      <w:pPr>
        <w:pStyle w:val="Bullet"/>
        <w:numPr>
          <w:ilvl w:val="0"/>
          <w:numId w:val="15"/>
        </w:numPr>
      </w:pPr>
      <w:r>
        <w:t>information about new or ongoing investigations;</w:t>
      </w:r>
      <w:r w:rsidR="006E0346">
        <w:t xml:space="preserve"> and</w:t>
      </w:r>
    </w:p>
    <w:p w14:paraId="60106671" w14:textId="786396C7" w:rsidR="00FF4C04" w:rsidRDefault="00FF4C04" w:rsidP="00FF4C04">
      <w:pPr>
        <w:pStyle w:val="Bullet"/>
        <w:numPr>
          <w:ilvl w:val="0"/>
          <w:numId w:val="15"/>
        </w:numPr>
      </w:pPr>
      <w:r>
        <w:t>information about finalised investigations and resulting compliance action</w:t>
      </w:r>
      <w:r w:rsidR="006E0346">
        <w:t>.</w:t>
      </w:r>
    </w:p>
    <w:bookmarkEnd w:id="18"/>
    <w:bookmarkEnd w:id="19"/>
    <w:p w14:paraId="3F6CC9BC" w14:textId="77777777" w:rsidR="00E960F3" w:rsidRPr="00E960F3" w:rsidRDefault="00E960F3" w:rsidP="000F4159">
      <w:pPr>
        <w:pStyle w:val="Heading4"/>
      </w:pPr>
      <w:r w:rsidRPr="00E960F3">
        <w:t>Recommendation 17 and Government response</w:t>
      </w:r>
    </w:p>
    <w:p w14:paraId="4B83F76E" w14:textId="77777777" w:rsidR="00E960F3" w:rsidRPr="00E960F3" w:rsidRDefault="00E960F3" w:rsidP="00E960F3">
      <w:r w:rsidRPr="00E960F3">
        <w:t xml:space="preserve">The </w:t>
      </w:r>
      <w:r w:rsidRPr="00E960F3">
        <w:rPr>
          <w:iCs/>
        </w:rPr>
        <w:t>ACNC Review</w:t>
      </w:r>
      <w:r w:rsidRPr="00E960F3">
        <w:t xml:space="preserve"> recommended that ‘the Commissioner should be given a discretion to disclose information about regulatory activities (including investigations) when it is necessary to protect public trust and confidence in the sector’.</w:t>
      </w:r>
      <w:r w:rsidRPr="00E960F3">
        <w:rPr>
          <w:sz w:val="20"/>
          <w:vertAlign w:val="superscript"/>
        </w:rPr>
        <w:footnoteReference w:id="4"/>
      </w:r>
    </w:p>
    <w:p w14:paraId="20B81167" w14:textId="77777777" w:rsidR="00E960F3" w:rsidRPr="00E960F3" w:rsidRDefault="00E960F3" w:rsidP="00E960F3">
      <w:r w:rsidRPr="00E960F3">
        <w:t>In its response, the Government supported the recommendation. The Government also committed to consult on the detail of the change, including the triggers for and bounds of the Commissioner’s discretion.</w:t>
      </w:r>
      <w:r w:rsidRPr="00E960F3">
        <w:rPr>
          <w:sz w:val="20"/>
          <w:vertAlign w:val="superscript"/>
        </w:rPr>
        <w:footnoteReference w:id="5"/>
      </w:r>
    </w:p>
    <w:tbl>
      <w:tblPr>
        <w:tblStyle w:val="TableGrid1"/>
        <w:tblW w:w="0" w:type="auto"/>
        <w:tblLook w:val="04A0" w:firstRow="1" w:lastRow="0" w:firstColumn="1" w:lastColumn="0" w:noHBand="0" w:noVBand="1"/>
      </w:tblPr>
      <w:tblGrid>
        <w:gridCol w:w="9070"/>
      </w:tblGrid>
      <w:tr w:rsidR="00E960F3" w:rsidRPr="00E960F3" w14:paraId="52833C03" w14:textId="77777777" w:rsidTr="00E960F3">
        <w:tc>
          <w:tcPr>
            <w:tcW w:w="9070" w:type="dxa"/>
          </w:tcPr>
          <w:p w14:paraId="5080591C" w14:textId="77777777" w:rsidR="00E960F3" w:rsidRPr="00E960F3" w:rsidRDefault="00E960F3" w:rsidP="00E960F3">
            <w:pPr>
              <w:keepNext/>
              <w:spacing w:before="0"/>
              <w:outlineLvl w:val="4"/>
              <w:rPr>
                <w:rFonts w:cs="Arial"/>
                <w:b/>
                <w:iCs/>
                <w:color w:val="002C47"/>
                <w:kern w:val="32"/>
                <w:sz w:val="22"/>
                <w:szCs w:val="40"/>
              </w:rPr>
            </w:pPr>
            <w:r w:rsidRPr="00E960F3">
              <w:rPr>
                <w:rFonts w:cs="Arial"/>
                <w:b/>
                <w:iCs/>
                <w:color w:val="002C47"/>
                <w:kern w:val="32"/>
                <w:sz w:val="22"/>
                <w:szCs w:val="40"/>
              </w:rPr>
              <w:t>Questions</w:t>
            </w:r>
          </w:p>
          <w:p w14:paraId="66E765F4" w14:textId="77777777" w:rsidR="00E960F3" w:rsidRPr="00E960F3" w:rsidRDefault="00E960F3" w:rsidP="00E960F3">
            <w:pPr>
              <w:numPr>
                <w:ilvl w:val="0"/>
                <w:numId w:val="16"/>
              </w:numPr>
              <w:spacing w:before="0"/>
              <w:jc w:val="left"/>
              <w:rPr>
                <w:sz w:val="22"/>
                <w:szCs w:val="22"/>
              </w:rPr>
            </w:pPr>
            <w:r w:rsidRPr="00E960F3">
              <w:rPr>
                <w:sz w:val="22"/>
                <w:szCs w:val="22"/>
              </w:rPr>
              <w:t>What is your experience of the ACNC’s current secrecy provisions in your capacity as an individual, charity or other organisation?</w:t>
            </w:r>
          </w:p>
          <w:p w14:paraId="563F393A" w14:textId="77777777" w:rsidR="00E960F3" w:rsidRPr="00E960F3" w:rsidRDefault="00E960F3" w:rsidP="00E960F3">
            <w:pPr>
              <w:numPr>
                <w:ilvl w:val="0"/>
                <w:numId w:val="16"/>
              </w:numPr>
              <w:spacing w:before="0"/>
              <w:jc w:val="left"/>
              <w:rPr>
                <w:sz w:val="22"/>
                <w:szCs w:val="22"/>
              </w:rPr>
            </w:pPr>
            <w:r w:rsidRPr="00E960F3">
              <w:rPr>
                <w:sz w:val="22"/>
                <w:szCs w:val="22"/>
              </w:rPr>
              <w:t>What concerns, if any, do you have about the ACNC’s current secrecy provisions?</w:t>
            </w:r>
          </w:p>
        </w:tc>
      </w:tr>
    </w:tbl>
    <w:p w14:paraId="15C64D83" w14:textId="77777777" w:rsidR="00E960F3" w:rsidRPr="00E960F3" w:rsidRDefault="00E960F3" w:rsidP="0066057A">
      <w:pPr>
        <w:pStyle w:val="Heading2"/>
      </w:pPr>
      <w:bookmarkStart w:id="20" w:name="_Toc74650693"/>
      <w:bookmarkStart w:id="21" w:name="_Toc77586506"/>
      <w:r w:rsidRPr="00E960F3">
        <w:t>How does the ACNC compare with other regulators?</w:t>
      </w:r>
      <w:bookmarkEnd w:id="20"/>
      <w:bookmarkEnd w:id="21"/>
    </w:p>
    <w:p w14:paraId="6334ABEE" w14:textId="77777777" w:rsidR="00932402" w:rsidRPr="00E960F3" w:rsidRDefault="00932402" w:rsidP="00932402">
      <w:pPr>
        <w:pStyle w:val="Heading3"/>
      </w:pPr>
      <w:bookmarkStart w:id="22" w:name="_Toc77586507"/>
      <w:r w:rsidRPr="00E960F3">
        <w:t>Overview</w:t>
      </w:r>
      <w:bookmarkEnd w:id="22"/>
    </w:p>
    <w:p w14:paraId="2AD2C1E2" w14:textId="2B1AD120" w:rsidR="00920ABF" w:rsidRPr="00E960F3" w:rsidRDefault="00E960F3" w:rsidP="00E960F3">
      <w:r w:rsidRPr="00E960F3">
        <w:t xml:space="preserve">This section of the paper provides readers with a contextual understanding of how the ACNC and </w:t>
      </w:r>
      <w:r w:rsidR="004C1E8D">
        <w:t>comparable</w:t>
      </w:r>
      <w:r w:rsidRPr="00E960F3">
        <w:t xml:space="preserve"> Australian regulators/foreign charity regulators generally approach disclosing information to the public about their regulatory activities. This is illustrated in Table 1 below.</w:t>
      </w:r>
    </w:p>
    <w:p w14:paraId="19ED9D3F" w14:textId="77777777" w:rsidR="00E960F3" w:rsidRPr="00E960F3" w:rsidRDefault="00E960F3" w:rsidP="00920ABF">
      <w:pPr>
        <w:pStyle w:val="TableMainHeading"/>
      </w:pPr>
      <w:bookmarkStart w:id="23" w:name="_Toc77586508"/>
      <w:r w:rsidRPr="00E960F3">
        <w:lastRenderedPageBreak/>
        <w:t>Table 1</w:t>
      </w:r>
      <w:bookmarkEnd w:id="23"/>
    </w:p>
    <w:tbl>
      <w:tblPr>
        <w:tblStyle w:val="TableGrid11"/>
        <w:tblW w:w="0" w:type="auto"/>
        <w:tblLayout w:type="fixed"/>
        <w:tblLook w:val="04A0" w:firstRow="1" w:lastRow="0" w:firstColumn="1" w:lastColumn="0" w:noHBand="0" w:noVBand="1"/>
      </w:tblPr>
      <w:tblGrid>
        <w:gridCol w:w="2356"/>
        <w:gridCol w:w="2034"/>
        <w:gridCol w:w="2181"/>
        <w:gridCol w:w="2489"/>
      </w:tblGrid>
      <w:tr w:rsidR="00E960F3" w:rsidRPr="00E960F3" w14:paraId="0B69B727" w14:textId="77777777" w:rsidTr="00920ABF">
        <w:trPr>
          <w:trHeight w:val="658"/>
        </w:trPr>
        <w:tc>
          <w:tcPr>
            <w:tcW w:w="2356" w:type="dxa"/>
            <w:shd w:val="clear" w:color="auto" w:fill="B3FFEE" w:themeFill="accent3" w:themeFillTint="33"/>
          </w:tcPr>
          <w:p w14:paraId="4BB63B13" w14:textId="77777777" w:rsidR="00E960F3" w:rsidRPr="00E960F3" w:rsidRDefault="00E960F3" w:rsidP="00E960F3">
            <w:pPr>
              <w:spacing w:before="0" w:after="0"/>
              <w:jc w:val="center"/>
              <w:rPr>
                <w:rFonts w:eastAsia="Calibri" w:cs="Calibri"/>
                <w:b/>
                <w:sz w:val="20"/>
                <w:lang w:eastAsia="en-US"/>
              </w:rPr>
            </w:pPr>
            <w:r w:rsidRPr="00E960F3">
              <w:rPr>
                <w:rFonts w:eastAsia="Calibri" w:cs="Calibri"/>
                <w:b/>
                <w:sz w:val="20"/>
                <w:lang w:eastAsia="en-US"/>
              </w:rPr>
              <w:t>Regulator</w:t>
            </w:r>
          </w:p>
        </w:tc>
        <w:tc>
          <w:tcPr>
            <w:tcW w:w="2034" w:type="dxa"/>
            <w:shd w:val="clear" w:color="auto" w:fill="B3FFEE" w:themeFill="accent3" w:themeFillTint="33"/>
          </w:tcPr>
          <w:p w14:paraId="290522CB" w14:textId="77777777" w:rsidR="00E960F3" w:rsidRPr="00E960F3" w:rsidRDefault="00E960F3" w:rsidP="00E960F3">
            <w:pPr>
              <w:spacing w:before="0" w:after="150"/>
              <w:jc w:val="center"/>
              <w:rPr>
                <w:rFonts w:cs="Calibri"/>
                <w:b/>
                <w:bCs/>
                <w:sz w:val="20"/>
              </w:rPr>
            </w:pPr>
            <w:r w:rsidRPr="00E960F3">
              <w:rPr>
                <w:rFonts w:cs="Calibri"/>
                <w:b/>
                <w:bCs/>
                <w:sz w:val="20"/>
              </w:rPr>
              <w:t>Can it disclose reasons for registration decisions?</w:t>
            </w:r>
          </w:p>
        </w:tc>
        <w:tc>
          <w:tcPr>
            <w:tcW w:w="2181" w:type="dxa"/>
            <w:shd w:val="clear" w:color="auto" w:fill="B3FFEE" w:themeFill="accent3" w:themeFillTint="33"/>
          </w:tcPr>
          <w:p w14:paraId="451485E2" w14:textId="6781CE8B" w:rsidR="00E960F3" w:rsidRPr="00E960F3" w:rsidRDefault="00E960F3" w:rsidP="00E960F3">
            <w:pPr>
              <w:spacing w:before="0" w:after="150"/>
              <w:jc w:val="center"/>
              <w:rPr>
                <w:rFonts w:cs="Calibri"/>
                <w:b/>
                <w:sz w:val="20"/>
              </w:rPr>
            </w:pPr>
            <w:r w:rsidRPr="00E960F3">
              <w:rPr>
                <w:rFonts w:cs="Calibri"/>
                <w:b/>
                <w:bCs/>
                <w:sz w:val="20"/>
              </w:rPr>
              <w:t xml:space="preserve">Can it disclose information about </w:t>
            </w:r>
            <w:r w:rsidR="0026165B">
              <w:rPr>
                <w:rFonts w:cs="Calibri"/>
                <w:b/>
                <w:bCs/>
                <w:sz w:val="20"/>
              </w:rPr>
              <w:t xml:space="preserve">new or </w:t>
            </w:r>
            <w:r w:rsidRPr="00E960F3">
              <w:rPr>
                <w:rFonts w:cs="Calibri"/>
                <w:b/>
                <w:bCs/>
                <w:sz w:val="20"/>
              </w:rPr>
              <w:t>ongoing investigations</w:t>
            </w:r>
            <w:r w:rsidR="00393587">
              <w:rPr>
                <w:rFonts w:cs="Calibri"/>
                <w:b/>
                <w:bCs/>
                <w:sz w:val="20"/>
              </w:rPr>
              <w:t xml:space="preserve"> into a particular entity</w:t>
            </w:r>
            <w:r w:rsidRPr="00E960F3">
              <w:rPr>
                <w:rFonts w:cs="Calibri"/>
                <w:b/>
                <w:bCs/>
                <w:sz w:val="20"/>
              </w:rPr>
              <w:t>?</w:t>
            </w:r>
          </w:p>
        </w:tc>
        <w:tc>
          <w:tcPr>
            <w:tcW w:w="2489" w:type="dxa"/>
            <w:shd w:val="clear" w:color="auto" w:fill="B3FFEE" w:themeFill="accent3" w:themeFillTint="33"/>
          </w:tcPr>
          <w:p w14:paraId="3F611B86" w14:textId="1EC7B039" w:rsidR="00E960F3" w:rsidRPr="00E960F3" w:rsidRDefault="00E960F3" w:rsidP="00E960F3">
            <w:pPr>
              <w:spacing w:before="0" w:after="150"/>
              <w:jc w:val="center"/>
              <w:rPr>
                <w:rFonts w:cs="Calibri"/>
                <w:b/>
                <w:sz w:val="20"/>
              </w:rPr>
            </w:pPr>
            <w:r w:rsidRPr="00E960F3">
              <w:rPr>
                <w:rFonts w:asciiTheme="minorHAnsi" w:hAnsiTheme="minorHAnsi" w:cstheme="minorHAnsi"/>
                <w:b/>
                <w:bCs/>
                <w:sz w:val="20"/>
              </w:rPr>
              <w:t>C</w:t>
            </w:r>
            <w:r w:rsidRPr="00E960F3">
              <w:rPr>
                <w:rFonts w:cstheme="minorHAnsi"/>
                <w:b/>
                <w:bCs/>
                <w:sz w:val="20"/>
              </w:rPr>
              <w:t xml:space="preserve">an it disclose </w:t>
            </w:r>
            <w:r w:rsidR="0026165B">
              <w:rPr>
                <w:rFonts w:cstheme="minorHAnsi"/>
                <w:b/>
                <w:bCs/>
                <w:sz w:val="20"/>
              </w:rPr>
              <w:t>information about finalised investigations and resulting</w:t>
            </w:r>
            <w:r w:rsidRPr="00E960F3">
              <w:rPr>
                <w:rFonts w:asciiTheme="minorHAnsi" w:hAnsiTheme="minorHAnsi" w:cstheme="minorHAnsi"/>
                <w:b/>
                <w:bCs/>
                <w:sz w:val="20"/>
              </w:rPr>
              <w:t xml:space="preserve"> compliance actions?</w:t>
            </w:r>
          </w:p>
        </w:tc>
      </w:tr>
      <w:tr w:rsidR="00E960F3" w:rsidRPr="00E960F3" w14:paraId="3E9F6298" w14:textId="77777777" w:rsidTr="00920ABF">
        <w:tc>
          <w:tcPr>
            <w:tcW w:w="9060" w:type="dxa"/>
            <w:gridSpan w:val="4"/>
            <w:shd w:val="clear" w:color="auto" w:fill="D3D3D3" w:themeFill="background2" w:themeFillShade="E6"/>
          </w:tcPr>
          <w:p w14:paraId="71A413FA" w14:textId="77777777" w:rsidR="00E960F3" w:rsidRPr="00E960F3" w:rsidRDefault="00E960F3" w:rsidP="00E960F3">
            <w:pPr>
              <w:spacing w:before="0" w:after="0"/>
              <w:ind w:firstLine="171"/>
              <w:rPr>
                <w:rFonts w:eastAsia="Calibri" w:cs="Calibri"/>
                <w:b/>
                <w:bCs/>
                <w:color w:val="000000"/>
                <w:sz w:val="20"/>
                <w:lang w:eastAsia="en-US"/>
              </w:rPr>
            </w:pPr>
            <w:r w:rsidRPr="00E960F3">
              <w:rPr>
                <w:rFonts w:eastAsia="Calibri" w:cs="Calibri"/>
                <w:b/>
                <w:bCs/>
                <w:color w:val="000000"/>
                <w:sz w:val="20"/>
                <w:lang w:eastAsia="en-US"/>
              </w:rPr>
              <w:t>Australian Regulators</w:t>
            </w:r>
          </w:p>
        </w:tc>
      </w:tr>
      <w:tr w:rsidR="00E960F3" w:rsidRPr="00E960F3" w14:paraId="0E6459DB" w14:textId="77777777" w:rsidTr="00920ABF">
        <w:tc>
          <w:tcPr>
            <w:tcW w:w="2356" w:type="dxa"/>
          </w:tcPr>
          <w:p w14:paraId="039635F7" w14:textId="77777777" w:rsidR="00E960F3" w:rsidRPr="00E960F3" w:rsidRDefault="00E960F3" w:rsidP="00E960F3">
            <w:pPr>
              <w:spacing w:before="0" w:after="0"/>
              <w:rPr>
                <w:rFonts w:eastAsia="Calibri"/>
                <w:i/>
                <w:sz w:val="20"/>
                <w:lang w:eastAsia="en-US"/>
              </w:rPr>
            </w:pPr>
            <w:r w:rsidRPr="00E960F3">
              <w:rPr>
                <w:rFonts w:eastAsia="Calibri"/>
                <w:i/>
                <w:sz w:val="20"/>
                <w:lang w:eastAsia="en-US"/>
              </w:rPr>
              <w:t>Australian Charities and Not</w:t>
            </w:r>
            <w:r w:rsidRPr="00E960F3">
              <w:rPr>
                <w:rFonts w:eastAsia="Calibri"/>
                <w:i/>
                <w:sz w:val="20"/>
                <w:lang w:eastAsia="en-US"/>
              </w:rPr>
              <w:noBreakHyphen/>
              <w:t>for</w:t>
            </w:r>
            <w:r w:rsidRPr="00E960F3">
              <w:rPr>
                <w:rFonts w:eastAsia="Calibri"/>
                <w:i/>
                <w:sz w:val="20"/>
                <w:lang w:eastAsia="en-US"/>
              </w:rPr>
              <w:noBreakHyphen/>
              <w:t>profits Commission</w:t>
            </w:r>
          </w:p>
        </w:tc>
        <w:tc>
          <w:tcPr>
            <w:tcW w:w="2034" w:type="dxa"/>
          </w:tcPr>
          <w:p w14:paraId="34A108EB" w14:textId="77777777" w:rsidR="00E960F3" w:rsidRPr="00E960F3" w:rsidRDefault="00E960F3" w:rsidP="00E960F3">
            <w:pPr>
              <w:spacing w:before="0" w:after="0"/>
              <w:rPr>
                <w:rFonts w:eastAsia="Calibri" w:cs="Calibri"/>
                <w:color w:val="000000"/>
                <w:sz w:val="20"/>
                <w:lang w:eastAsia="en-US"/>
              </w:rPr>
            </w:pPr>
            <w:r w:rsidRPr="00E960F3">
              <w:rPr>
                <w:rFonts w:eastAsia="Calibri" w:cs="Calibri"/>
                <w:color w:val="000000"/>
                <w:sz w:val="20"/>
                <w:lang w:eastAsia="en-US"/>
              </w:rPr>
              <w:t>No. Only the fact that an entity is registered is published</w:t>
            </w:r>
          </w:p>
        </w:tc>
        <w:tc>
          <w:tcPr>
            <w:tcW w:w="2181" w:type="dxa"/>
            <w:shd w:val="clear" w:color="auto" w:fill="auto"/>
          </w:tcPr>
          <w:p w14:paraId="20DFDE17" w14:textId="3ED579E3" w:rsidR="00E960F3" w:rsidRPr="00E960F3" w:rsidRDefault="00E960F3" w:rsidP="00E960F3">
            <w:pPr>
              <w:spacing w:before="0" w:after="0"/>
              <w:rPr>
                <w:rFonts w:eastAsia="Calibri" w:cs="Calibri"/>
                <w:color w:val="000000"/>
                <w:sz w:val="20"/>
                <w:lang w:eastAsia="en-US"/>
              </w:rPr>
            </w:pPr>
            <w:r w:rsidRPr="00E960F3">
              <w:rPr>
                <w:rFonts w:eastAsia="Calibri" w:cs="Calibri"/>
                <w:color w:val="000000"/>
                <w:sz w:val="20"/>
                <w:lang w:eastAsia="en-US"/>
              </w:rPr>
              <w:t>No</w:t>
            </w:r>
          </w:p>
        </w:tc>
        <w:tc>
          <w:tcPr>
            <w:tcW w:w="2489" w:type="dxa"/>
            <w:shd w:val="clear" w:color="auto" w:fill="auto"/>
          </w:tcPr>
          <w:p w14:paraId="4757CD1B" w14:textId="72CED3C1" w:rsidR="00E960F3" w:rsidRPr="00E960F3" w:rsidRDefault="004B28FA" w:rsidP="00E960F3">
            <w:pPr>
              <w:spacing w:before="0" w:after="0"/>
              <w:rPr>
                <w:rFonts w:eastAsia="Calibri" w:cs="Calibri"/>
                <w:color w:val="000000"/>
                <w:sz w:val="20"/>
                <w:lang w:eastAsia="en-US"/>
              </w:rPr>
            </w:pPr>
            <w:r>
              <w:rPr>
                <w:rFonts w:eastAsia="Calibri" w:cs="Calibri"/>
                <w:color w:val="000000"/>
                <w:sz w:val="20"/>
                <w:lang w:eastAsia="en-US"/>
              </w:rPr>
              <w:t>Where finalised investigations result in</w:t>
            </w:r>
            <w:r w:rsidR="00E960F3" w:rsidRPr="00E960F3">
              <w:rPr>
                <w:rFonts w:eastAsia="Calibri" w:cs="Calibri"/>
                <w:color w:val="000000"/>
                <w:sz w:val="20"/>
                <w:lang w:eastAsia="en-US"/>
              </w:rPr>
              <w:t xml:space="preserve"> certain compliance actions (e.g. warnings, directions</w:t>
            </w:r>
            <w:r w:rsidR="0000467E">
              <w:rPr>
                <w:rFonts w:eastAsia="Calibri" w:cs="Calibri"/>
                <w:color w:val="000000"/>
                <w:sz w:val="20"/>
                <w:lang w:eastAsia="en-US"/>
              </w:rPr>
              <w:t>,</w:t>
            </w:r>
            <w:r w:rsidR="00E960F3" w:rsidRPr="00E960F3">
              <w:rPr>
                <w:rFonts w:eastAsia="Calibri" w:cs="Calibri"/>
                <w:color w:val="000000"/>
                <w:sz w:val="20"/>
                <w:lang w:eastAsia="en-US"/>
              </w:rPr>
              <w:t xml:space="preserve"> undertakings</w:t>
            </w:r>
            <w:r w:rsidR="0000467E">
              <w:rPr>
                <w:rFonts w:eastAsia="Calibri" w:cs="Calibri"/>
                <w:color w:val="000000"/>
                <w:sz w:val="20"/>
                <w:lang w:eastAsia="en-US"/>
              </w:rPr>
              <w:t xml:space="preserve">, </w:t>
            </w:r>
            <w:proofErr w:type="gramStart"/>
            <w:r w:rsidR="0000467E">
              <w:rPr>
                <w:rFonts w:eastAsia="Calibri" w:cs="Calibri"/>
                <w:color w:val="000000"/>
                <w:sz w:val="20"/>
                <w:lang w:eastAsia="en-US"/>
              </w:rPr>
              <w:t>etc.</w:t>
            </w:r>
            <w:r w:rsidR="00E960F3" w:rsidRPr="00E960F3">
              <w:rPr>
                <w:rFonts w:eastAsia="Calibri" w:cs="Calibri"/>
                <w:color w:val="000000"/>
                <w:sz w:val="20"/>
                <w:lang w:eastAsia="en-US"/>
              </w:rPr>
              <w:t>)*</w:t>
            </w:r>
            <w:proofErr w:type="gramEnd"/>
          </w:p>
        </w:tc>
      </w:tr>
      <w:tr w:rsidR="00E960F3" w:rsidRPr="00E960F3" w14:paraId="470CC2BF" w14:textId="77777777" w:rsidTr="00920ABF">
        <w:tc>
          <w:tcPr>
            <w:tcW w:w="2356" w:type="dxa"/>
          </w:tcPr>
          <w:p w14:paraId="7B953BE2" w14:textId="77777777" w:rsidR="00A76CE0" w:rsidRDefault="00E960F3" w:rsidP="00E960F3">
            <w:pPr>
              <w:spacing w:before="0" w:after="0"/>
              <w:rPr>
                <w:rFonts w:eastAsia="Calibri"/>
                <w:i/>
                <w:sz w:val="20"/>
                <w:lang w:eastAsia="en-US"/>
              </w:rPr>
            </w:pPr>
            <w:r w:rsidRPr="00E960F3">
              <w:rPr>
                <w:rFonts w:eastAsia="Calibri"/>
                <w:i/>
                <w:sz w:val="20"/>
                <w:lang w:eastAsia="en-US"/>
              </w:rPr>
              <w:t xml:space="preserve">Australian Securities and </w:t>
            </w:r>
          </w:p>
          <w:p w14:paraId="3AD7E041" w14:textId="243AB743" w:rsidR="00E960F3" w:rsidRPr="00E960F3" w:rsidRDefault="00E960F3" w:rsidP="00E960F3">
            <w:pPr>
              <w:spacing w:before="0" w:after="0"/>
              <w:rPr>
                <w:rFonts w:eastAsia="Calibri"/>
                <w:iCs/>
                <w:sz w:val="20"/>
                <w:lang w:eastAsia="en-US"/>
              </w:rPr>
            </w:pPr>
            <w:r w:rsidRPr="00E960F3">
              <w:rPr>
                <w:rFonts w:eastAsia="Calibri"/>
                <w:i/>
                <w:sz w:val="20"/>
                <w:lang w:eastAsia="en-US"/>
              </w:rPr>
              <w:t>Investments Commission</w:t>
            </w:r>
          </w:p>
        </w:tc>
        <w:tc>
          <w:tcPr>
            <w:tcW w:w="2034" w:type="dxa"/>
          </w:tcPr>
          <w:p w14:paraId="06C2F236" w14:textId="7AFED757" w:rsidR="00E960F3" w:rsidRPr="00E960F3" w:rsidRDefault="009F381B" w:rsidP="00E960F3">
            <w:pPr>
              <w:spacing w:before="0" w:after="0"/>
              <w:rPr>
                <w:rFonts w:eastAsia="Calibri" w:cs="Calibri"/>
                <w:color w:val="000000"/>
                <w:sz w:val="20"/>
                <w:highlight w:val="yellow"/>
                <w:lang w:eastAsia="en-US"/>
              </w:rPr>
            </w:pPr>
            <w:r w:rsidRPr="009F381B">
              <w:rPr>
                <w:rFonts w:eastAsia="Calibri" w:cs="Calibri"/>
                <w:color w:val="000000"/>
                <w:sz w:val="20"/>
                <w:lang w:eastAsia="en-US"/>
              </w:rPr>
              <w:t>No. Only the fact that an entity is registered is published</w:t>
            </w:r>
          </w:p>
        </w:tc>
        <w:tc>
          <w:tcPr>
            <w:tcW w:w="2181" w:type="dxa"/>
            <w:shd w:val="clear" w:color="auto" w:fill="auto"/>
          </w:tcPr>
          <w:p w14:paraId="7FD2B7DD" w14:textId="77777777" w:rsidR="00E960F3" w:rsidRPr="00E960F3" w:rsidRDefault="00E960F3" w:rsidP="00E960F3">
            <w:pPr>
              <w:spacing w:before="0" w:after="0"/>
              <w:rPr>
                <w:rFonts w:eastAsia="Calibri" w:cs="Calibri"/>
                <w:color w:val="000000"/>
                <w:sz w:val="20"/>
                <w:lang w:eastAsia="en-US"/>
              </w:rPr>
            </w:pPr>
            <w:r w:rsidRPr="00E960F3">
              <w:rPr>
                <w:rFonts w:eastAsia="Calibri" w:cs="Calibri"/>
                <w:color w:val="000000"/>
                <w:sz w:val="20"/>
                <w:lang w:eastAsia="en-US"/>
              </w:rPr>
              <w:t>Yes, when in the public interest</w:t>
            </w:r>
          </w:p>
        </w:tc>
        <w:tc>
          <w:tcPr>
            <w:tcW w:w="2489" w:type="dxa"/>
            <w:shd w:val="clear" w:color="auto" w:fill="auto"/>
          </w:tcPr>
          <w:p w14:paraId="51E4869B" w14:textId="77777777" w:rsidR="00E960F3" w:rsidRPr="00E960F3" w:rsidRDefault="00E960F3" w:rsidP="00E960F3">
            <w:pPr>
              <w:spacing w:before="0" w:after="0"/>
              <w:rPr>
                <w:rFonts w:eastAsia="Calibri"/>
                <w:sz w:val="20"/>
                <w:lang w:eastAsia="en-US"/>
              </w:rPr>
            </w:pPr>
            <w:r w:rsidRPr="00E960F3">
              <w:rPr>
                <w:rFonts w:eastAsia="Calibri" w:cs="Calibri"/>
                <w:color w:val="000000"/>
                <w:sz w:val="20"/>
                <w:lang w:eastAsia="en-US"/>
              </w:rPr>
              <w:t>Yes</w:t>
            </w:r>
          </w:p>
        </w:tc>
      </w:tr>
      <w:tr w:rsidR="00E960F3" w:rsidRPr="00E960F3" w14:paraId="61C5B16F" w14:textId="77777777" w:rsidTr="00920ABF">
        <w:tc>
          <w:tcPr>
            <w:tcW w:w="2356" w:type="dxa"/>
          </w:tcPr>
          <w:p w14:paraId="4F97FC71" w14:textId="77777777" w:rsidR="00E960F3" w:rsidRPr="00E960F3" w:rsidRDefault="00E960F3" w:rsidP="00E960F3">
            <w:pPr>
              <w:spacing w:before="0" w:after="0"/>
              <w:rPr>
                <w:rFonts w:eastAsia="Calibri"/>
                <w:iCs/>
                <w:sz w:val="20"/>
                <w:lang w:eastAsia="en-US"/>
              </w:rPr>
            </w:pPr>
            <w:r w:rsidRPr="00E960F3">
              <w:rPr>
                <w:rFonts w:eastAsia="Calibri"/>
                <w:i/>
                <w:sz w:val="20"/>
                <w:lang w:eastAsia="en-US"/>
              </w:rPr>
              <w:t>Australian Competition and Consumer Commission</w:t>
            </w:r>
          </w:p>
        </w:tc>
        <w:tc>
          <w:tcPr>
            <w:tcW w:w="2034" w:type="dxa"/>
          </w:tcPr>
          <w:p w14:paraId="14BC59D7" w14:textId="77777777" w:rsidR="00E960F3" w:rsidRPr="00E960F3" w:rsidRDefault="00E960F3" w:rsidP="00E960F3">
            <w:pPr>
              <w:spacing w:before="0" w:after="0"/>
              <w:rPr>
                <w:rFonts w:eastAsia="Calibri" w:cs="Calibri"/>
                <w:color w:val="000000"/>
                <w:sz w:val="20"/>
                <w:lang w:eastAsia="en-US"/>
              </w:rPr>
            </w:pPr>
            <w:r w:rsidRPr="00E960F3">
              <w:rPr>
                <w:rFonts w:eastAsia="Calibri" w:cs="Calibri"/>
                <w:color w:val="000000"/>
                <w:sz w:val="20"/>
                <w:lang w:eastAsia="en-US"/>
              </w:rPr>
              <w:t>N/A</w:t>
            </w:r>
          </w:p>
        </w:tc>
        <w:tc>
          <w:tcPr>
            <w:tcW w:w="2181" w:type="dxa"/>
            <w:shd w:val="clear" w:color="auto" w:fill="auto"/>
          </w:tcPr>
          <w:p w14:paraId="18CF37F8" w14:textId="77777777" w:rsidR="00E960F3" w:rsidRPr="00E960F3" w:rsidRDefault="00E960F3" w:rsidP="00E960F3">
            <w:pPr>
              <w:spacing w:before="0" w:after="0"/>
              <w:rPr>
                <w:rFonts w:eastAsia="Calibri"/>
                <w:sz w:val="20"/>
                <w:lang w:eastAsia="en-US"/>
              </w:rPr>
            </w:pPr>
            <w:r w:rsidRPr="00E960F3">
              <w:rPr>
                <w:rFonts w:eastAsia="Calibri" w:cs="Calibri"/>
                <w:color w:val="000000"/>
                <w:sz w:val="20"/>
                <w:lang w:eastAsia="en-US"/>
              </w:rPr>
              <w:t>Yes, when in the public interest</w:t>
            </w:r>
          </w:p>
        </w:tc>
        <w:tc>
          <w:tcPr>
            <w:tcW w:w="2489" w:type="dxa"/>
            <w:shd w:val="clear" w:color="auto" w:fill="auto"/>
          </w:tcPr>
          <w:p w14:paraId="60A2D4AC" w14:textId="77777777" w:rsidR="00E960F3" w:rsidRPr="00E960F3" w:rsidRDefault="00E960F3" w:rsidP="00E960F3">
            <w:pPr>
              <w:spacing w:before="0" w:after="0"/>
              <w:rPr>
                <w:rFonts w:eastAsia="Calibri"/>
                <w:sz w:val="20"/>
                <w:lang w:eastAsia="en-US"/>
              </w:rPr>
            </w:pPr>
            <w:r w:rsidRPr="00E960F3">
              <w:rPr>
                <w:rFonts w:eastAsia="Calibri" w:cs="Calibri"/>
                <w:color w:val="000000"/>
                <w:sz w:val="20"/>
                <w:lang w:eastAsia="en-US"/>
              </w:rPr>
              <w:t>Yes</w:t>
            </w:r>
          </w:p>
        </w:tc>
      </w:tr>
      <w:tr w:rsidR="00E960F3" w:rsidRPr="00E960F3" w14:paraId="4753C679" w14:textId="77777777" w:rsidTr="00920ABF">
        <w:tc>
          <w:tcPr>
            <w:tcW w:w="2356" w:type="dxa"/>
          </w:tcPr>
          <w:p w14:paraId="7834DF30" w14:textId="77777777" w:rsidR="00E960F3" w:rsidRPr="00E960F3" w:rsidRDefault="00E960F3" w:rsidP="00E960F3">
            <w:pPr>
              <w:spacing w:before="0" w:after="0"/>
              <w:rPr>
                <w:rFonts w:eastAsia="Calibri"/>
                <w:iCs/>
                <w:sz w:val="20"/>
                <w:vertAlign w:val="superscript"/>
                <w:lang w:eastAsia="en-US"/>
              </w:rPr>
            </w:pPr>
            <w:r w:rsidRPr="00E960F3">
              <w:rPr>
                <w:rFonts w:eastAsia="Calibri"/>
                <w:i/>
                <w:sz w:val="20"/>
                <w:lang w:eastAsia="en-US"/>
              </w:rPr>
              <w:t>Australian Taxation Office</w:t>
            </w:r>
          </w:p>
        </w:tc>
        <w:tc>
          <w:tcPr>
            <w:tcW w:w="2034" w:type="dxa"/>
          </w:tcPr>
          <w:p w14:paraId="1F633BE9" w14:textId="77777777" w:rsidR="00E960F3" w:rsidRPr="00E960F3" w:rsidRDefault="00E960F3" w:rsidP="00E960F3">
            <w:pPr>
              <w:spacing w:before="0" w:after="0"/>
              <w:rPr>
                <w:rFonts w:eastAsia="Calibri" w:cs="Calibri"/>
                <w:color w:val="000000"/>
                <w:sz w:val="20"/>
                <w:lang w:eastAsia="en-US"/>
              </w:rPr>
            </w:pPr>
            <w:r w:rsidRPr="00E960F3">
              <w:rPr>
                <w:rFonts w:eastAsia="Calibri" w:cs="Calibri"/>
                <w:color w:val="000000"/>
                <w:sz w:val="20"/>
                <w:lang w:eastAsia="en-US"/>
              </w:rPr>
              <w:t>N/A</w:t>
            </w:r>
          </w:p>
        </w:tc>
        <w:tc>
          <w:tcPr>
            <w:tcW w:w="2181" w:type="dxa"/>
            <w:shd w:val="clear" w:color="auto" w:fill="auto"/>
          </w:tcPr>
          <w:p w14:paraId="3CFE1CB5" w14:textId="64790E6E" w:rsidR="00E960F3" w:rsidRPr="00E960F3" w:rsidRDefault="00393587" w:rsidP="00E960F3">
            <w:pPr>
              <w:spacing w:before="0" w:after="0"/>
              <w:rPr>
                <w:rFonts w:eastAsia="Calibri" w:cs="Calibri"/>
                <w:color w:val="000000"/>
                <w:sz w:val="20"/>
                <w:lang w:eastAsia="en-US"/>
              </w:rPr>
            </w:pPr>
            <w:r>
              <w:rPr>
                <w:rFonts w:eastAsia="Calibri" w:cs="Calibri"/>
                <w:color w:val="000000"/>
                <w:sz w:val="20"/>
                <w:lang w:eastAsia="en-US"/>
              </w:rPr>
              <w:t>No</w:t>
            </w:r>
          </w:p>
        </w:tc>
        <w:tc>
          <w:tcPr>
            <w:tcW w:w="2489" w:type="dxa"/>
            <w:shd w:val="clear" w:color="auto" w:fill="auto"/>
          </w:tcPr>
          <w:p w14:paraId="7BA01508" w14:textId="3C7E5816" w:rsidR="00E960F3" w:rsidRPr="00E960F3" w:rsidRDefault="00E960F3" w:rsidP="00E960F3">
            <w:pPr>
              <w:spacing w:before="0" w:after="0"/>
              <w:rPr>
                <w:rFonts w:eastAsia="Calibri" w:cs="Calibri"/>
                <w:color w:val="000000"/>
                <w:sz w:val="20"/>
                <w:lang w:eastAsia="en-US"/>
              </w:rPr>
            </w:pPr>
            <w:r w:rsidRPr="00E960F3">
              <w:rPr>
                <w:rFonts w:eastAsia="Calibri" w:cs="Calibri"/>
                <w:color w:val="000000"/>
                <w:sz w:val="20"/>
                <w:lang w:eastAsia="en-US"/>
              </w:rPr>
              <w:t>Limited to outcomes that are significant or criminal matters</w:t>
            </w:r>
          </w:p>
        </w:tc>
      </w:tr>
      <w:tr w:rsidR="00E960F3" w:rsidRPr="00E960F3" w14:paraId="21165AA1" w14:textId="77777777" w:rsidTr="00920ABF">
        <w:tc>
          <w:tcPr>
            <w:tcW w:w="9060" w:type="dxa"/>
            <w:gridSpan w:val="4"/>
            <w:shd w:val="clear" w:color="auto" w:fill="D3D3D3" w:themeFill="background2" w:themeFillShade="E6"/>
          </w:tcPr>
          <w:p w14:paraId="73F1DF74" w14:textId="77777777" w:rsidR="00E960F3" w:rsidRPr="00E960F3" w:rsidRDefault="00E960F3" w:rsidP="00E960F3">
            <w:pPr>
              <w:spacing w:before="0" w:after="0"/>
              <w:ind w:firstLine="171"/>
              <w:rPr>
                <w:rFonts w:eastAsia="Calibri" w:cs="Calibri"/>
                <w:b/>
                <w:bCs/>
                <w:color w:val="000000"/>
                <w:sz w:val="20"/>
                <w:lang w:eastAsia="en-US"/>
              </w:rPr>
            </w:pPr>
            <w:r w:rsidRPr="00E960F3">
              <w:rPr>
                <w:rFonts w:eastAsia="Calibri" w:cs="Calibri"/>
                <w:b/>
                <w:bCs/>
                <w:color w:val="000000"/>
                <w:sz w:val="20"/>
                <w:lang w:eastAsia="en-US"/>
              </w:rPr>
              <w:t>International Regulators</w:t>
            </w:r>
          </w:p>
        </w:tc>
      </w:tr>
      <w:tr w:rsidR="00E960F3" w:rsidRPr="00E960F3" w14:paraId="16C1DBA3" w14:textId="77777777" w:rsidTr="00920ABF">
        <w:tc>
          <w:tcPr>
            <w:tcW w:w="2356" w:type="dxa"/>
          </w:tcPr>
          <w:p w14:paraId="719FA522" w14:textId="77777777" w:rsidR="00E960F3" w:rsidRPr="00E960F3" w:rsidRDefault="00E960F3" w:rsidP="00E960F3">
            <w:pPr>
              <w:spacing w:before="0" w:after="0"/>
              <w:rPr>
                <w:rFonts w:eastAsia="Calibri"/>
                <w:i/>
                <w:sz w:val="20"/>
                <w:lang w:eastAsia="en-US"/>
              </w:rPr>
            </w:pPr>
            <w:r w:rsidRPr="00E960F3">
              <w:rPr>
                <w:rFonts w:eastAsia="Calibri"/>
                <w:i/>
                <w:sz w:val="20"/>
                <w:lang w:eastAsia="en-US"/>
              </w:rPr>
              <w:t>United Kingdom Charity Commission</w:t>
            </w:r>
          </w:p>
        </w:tc>
        <w:tc>
          <w:tcPr>
            <w:tcW w:w="2034" w:type="dxa"/>
          </w:tcPr>
          <w:p w14:paraId="148EF09B" w14:textId="77777777" w:rsidR="00E960F3" w:rsidRPr="00E960F3" w:rsidRDefault="00E960F3" w:rsidP="00E960F3">
            <w:pPr>
              <w:spacing w:before="0" w:after="0"/>
              <w:rPr>
                <w:rFonts w:eastAsia="Calibri" w:cs="Calibri"/>
                <w:color w:val="000000"/>
                <w:sz w:val="20"/>
                <w:lang w:eastAsia="en-US"/>
              </w:rPr>
            </w:pPr>
            <w:r w:rsidRPr="00E960F3">
              <w:rPr>
                <w:rFonts w:eastAsia="Calibri" w:cs="Calibri"/>
                <w:color w:val="000000"/>
                <w:sz w:val="20"/>
                <w:lang w:eastAsia="en-US"/>
              </w:rPr>
              <w:t>Yes, when a decision is of wider interest</w:t>
            </w:r>
          </w:p>
        </w:tc>
        <w:tc>
          <w:tcPr>
            <w:tcW w:w="2181" w:type="dxa"/>
            <w:shd w:val="clear" w:color="auto" w:fill="auto"/>
          </w:tcPr>
          <w:p w14:paraId="4AB12979" w14:textId="77777777" w:rsidR="00E960F3" w:rsidRPr="00E960F3" w:rsidRDefault="00E960F3" w:rsidP="00E960F3">
            <w:pPr>
              <w:spacing w:before="0" w:after="0"/>
              <w:rPr>
                <w:rFonts w:eastAsia="Calibri"/>
                <w:sz w:val="20"/>
                <w:lang w:eastAsia="en-US"/>
              </w:rPr>
            </w:pPr>
            <w:r w:rsidRPr="00E960F3">
              <w:rPr>
                <w:rFonts w:eastAsia="Calibri" w:cs="Calibri"/>
                <w:color w:val="000000"/>
                <w:sz w:val="20"/>
                <w:lang w:eastAsia="en-US"/>
              </w:rPr>
              <w:t>Yes, when in the public interest</w:t>
            </w:r>
          </w:p>
        </w:tc>
        <w:tc>
          <w:tcPr>
            <w:tcW w:w="2489" w:type="dxa"/>
            <w:shd w:val="clear" w:color="auto" w:fill="auto"/>
          </w:tcPr>
          <w:p w14:paraId="0990E585" w14:textId="789EF2E2" w:rsidR="00E960F3" w:rsidRPr="00E960F3" w:rsidRDefault="00E960F3" w:rsidP="00E960F3">
            <w:pPr>
              <w:spacing w:before="0" w:after="0"/>
              <w:rPr>
                <w:rFonts w:eastAsia="Calibri"/>
                <w:sz w:val="20"/>
                <w:lang w:eastAsia="en-US"/>
              </w:rPr>
            </w:pPr>
            <w:r w:rsidRPr="00E960F3">
              <w:rPr>
                <w:rFonts w:eastAsia="Calibri" w:cs="Calibri"/>
                <w:color w:val="000000"/>
                <w:sz w:val="20"/>
                <w:lang w:eastAsia="en-US"/>
              </w:rPr>
              <w:t>Yes</w:t>
            </w:r>
          </w:p>
        </w:tc>
      </w:tr>
      <w:tr w:rsidR="00E960F3" w:rsidRPr="00E960F3" w14:paraId="75B605F8" w14:textId="77777777" w:rsidTr="00920ABF">
        <w:tc>
          <w:tcPr>
            <w:tcW w:w="2356" w:type="dxa"/>
          </w:tcPr>
          <w:p w14:paraId="2613B829" w14:textId="77777777" w:rsidR="00E960F3" w:rsidRPr="00E960F3" w:rsidRDefault="00E960F3" w:rsidP="00E960F3">
            <w:pPr>
              <w:spacing w:before="0" w:after="0"/>
              <w:rPr>
                <w:rFonts w:eastAsia="Calibri"/>
                <w:iCs/>
                <w:sz w:val="20"/>
                <w:vertAlign w:val="superscript"/>
                <w:lang w:eastAsia="en-US"/>
              </w:rPr>
            </w:pPr>
            <w:r w:rsidRPr="00E960F3">
              <w:rPr>
                <w:rFonts w:eastAsia="Calibri"/>
                <w:i/>
                <w:sz w:val="20"/>
                <w:lang w:eastAsia="en-US"/>
              </w:rPr>
              <w:t>New Zealand Charities Services</w:t>
            </w:r>
          </w:p>
        </w:tc>
        <w:tc>
          <w:tcPr>
            <w:tcW w:w="2034" w:type="dxa"/>
          </w:tcPr>
          <w:p w14:paraId="5D8CBC5B" w14:textId="77777777" w:rsidR="00E960F3" w:rsidRPr="00E960F3" w:rsidRDefault="00E960F3" w:rsidP="00E960F3">
            <w:pPr>
              <w:spacing w:before="0" w:after="0"/>
              <w:rPr>
                <w:rFonts w:eastAsia="Calibri" w:cs="Calibri"/>
                <w:color w:val="000000"/>
                <w:sz w:val="20"/>
                <w:lang w:eastAsia="en-US"/>
              </w:rPr>
            </w:pPr>
            <w:r w:rsidRPr="00E960F3">
              <w:rPr>
                <w:rFonts w:eastAsia="Calibri" w:cs="Calibri"/>
                <w:color w:val="000000"/>
                <w:sz w:val="20"/>
                <w:lang w:eastAsia="en-US"/>
              </w:rPr>
              <w:t>Yes, when a decision is of wider interest</w:t>
            </w:r>
          </w:p>
        </w:tc>
        <w:tc>
          <w:tcPr>
            <w:tcW w:w="2181" w:type="dxa"/>
            <w:shd w:val="clear" w:color="auto" w:fill="auto"/>
          </w:tcPr>
          <w:p w14:paraId="7B22E97D" w14:textId="77777777" w:rsidR="00E960F3" w:rsidRPr="00E960F3" w:rsidRDefault="00E960F3" w:rsidP="00E960F3">
            <w:pPr>
              <w:spacing w:before="0" w:after="0"/>
              <w:rPr>
                <w:rFonts w:eastAsia="Calibri"/>
                <w:sz w:val="20"/>
                <w:lang w:eastAsia="en-US"/>
              </w:rPr>
            </w:pPr>
            <w:r w:rsidRPr="00E960F3">
              <w:rPr>
                <w:rFonts w:eastAsia="Calibri" w:cs="Calibri"/>
                <w:color w:val="000000"/>
                <w:sz w:val="20"/>
                <w:lang w:eastAsia="en-US"/>
              </w:rPr>
              <w:t>No</w:t>
            </w:r>
          </w:p>
        </w:tc>
        <w:tc>
          <w:tcPr>
            <w:tcW w:w="2489" w:type="dxa"/>
            <w:shd w:val="clear" w:color="auto" w:fill="auto"/>
          </w:tcPr>
          <w:p w14:paraId="056458F9" w14:textId="04D8CCA7" w:rsidR="00E960F3" w:rsidRPr="00E960F3" w:rsidRDefault="00E960F3" w:rsidP="00E960F3">
            <w:pPr>
              <w:spacing w:before="0" w:after="0"/>
              <w:rPr>
                <w:rFonts w:eastAsia="Calibri"/>
                <w:sz w:val="20"/>
                <w:lang w:eastAsia="en-US"/>
              </w:rPr>
            </w:pPr>
            <w:r w:rsidRPr="00E960F3">
              <w:rPr>
                <w:rFonts w:eastAsia="Calibri" w:cs="Calibri"/>
                <w:color w:val="000000"/>
                <w:sz w:val="20"/>
                <w:lang w:eastAsia="en-US"/>
              </w:rPr>
              <w:t>Yes</w:t>
            </w:r>
          </w:p>
        </w:tc>
      </w:tr>
      <w:tr w:rsidR="00E960F3" w:rsidRPr="00E960F3" w14:paraId="4CD87A78" w14:textId="77777777" w:rsidTr="00920ABF">
        <w:tc>
          <w:tcPr>
            <w:tcW w:w="2356" w:type="dxa"/>
            <w:tcBorders>
              <w:bottom w:val="single" w:sz="4" w:space="0" w:color="auto"/>
            </w:tcBorders>
          </w:tcPr>
          <w:p w14:paraId="6310002A" w14:textId="77777777" w:rsidR="00E960F3" w:rsidRPr="00E960F3" w:rsidRDefault="00E960F3" w:rsidP="00E960F3">
            <w:pPr>
              <w:spacing w:before="0" w:after="0"/>
              <w:rPr>
                <w:rFonts w:eastAsia="Calibri"/>
                <w:iCs/>
                <w:sz w:val="20"/>
                <w:szCs w:val="16"/>
                <w:vertAlign w:val="superscript"/>
                <w:lang w:eastAsia="en-US"/>
              </w:rPr>
            </w:pPr>
            <w:r w:rsidRPr="00E960F3">
              <w:rPr>
                <w:rFonts w:eastAsia="Calibri"/>
                <w:i/>
                <w:sz w:val="20"/>
                <w:szCs w:val="16"/>
                <w:lang w:eastAsia="en-US"/>
              </w:rPr>
              <w:t>Canada Revenue Agency</w:t>
            </w:r>
          </w:p>
        </w:tc>
        <w:tc>
          <w:tcPr>
            <w:tcW w:w="2034" w:type="dxa"/>
            <w:tcBorders>
              <w:bottom w:val="single" w:sz="4" w:space="0" w:color="auto"/>
            </w:tcBorders>
          </w:tcPr>
          <w:p w14:paraId="77E33BDF" w14:textId="77777777" w:rsidR="00E960F3" w:rsidRPr="00E960F3" w:rsidRDefault="00E960F3" w:rsidP="00E960F3">
            <w:pPr>
              <w:spacing w:before="0" w:after="0"/>
              <w:rPr>
                <w:rFonts w:eastAsia="Calibri" w:cs="Calibri"/>
                <w:color w:val="000000"/>
                <w:sz w:val="20"/>
                <w:highlight w:val="yellow"/>
                <w:lang w:eastAsia="en-US"/>
              </w:rPr>
            </w:pPr>
            <w:r w:rsidRPr="00E960F3">
              <w:rPr>
                <w:rFonts w:eastAsia="Calibri" w:cs="Calibri"/>
                <w:color w:val="000000"/>
                <w:sz w:val="20"/>
                <w:lang w:eastAsia="en-US"/>
              </w:rPr>
              <w:t>No. Only the fact that an entity is registered is published</w:t>
            </w:r>
          </w:p>
        </w:tc>
        <w:tc>
          <w:tcPr>
            <w:tcW w:w="2181" w:type="dxa"/>
            <w:tcBorders>
              <w:bottom w:val="single" w:sz="4" w:space="0" w:color="auto"/>
            </w:tcBorders>
            <w:shd w:val="clear" w:color="auto" w:fill="auto"/>
          </w:tcPr>
          <w:p w14:paraId="637CDA70" w14:textId="0C2FE296" w:rsidR="00E960F3" w:rsidRPr="00E960F3" w:rsidRDefault="00E960F3" w:rsidP="00E960F3">
            <w:pPr>
              <w:spacing w:before="0" w:after="0"/>
              <w:rPr>
                <w:rFonts w:eastAsia="Calibri" w:cs="Calibri"/>
                <w:color w:val="000000"/>
                <w:sz w:val="20"/>
                <w:szCs w:val="16"/>
                <w:lang w:eastAsia="en-US"/>
              </w:rPr>
            </w:pPr>
            <w:r w:rsidRPr="00E960F3">
              <w:rPr>
                <w:rFonts w:eastAsia="Calibri" w:cs="Calibri"/>
                <w:color w:val="000000"/>
                <w:sz w:val="20"/>
                <w:lang w:eastAsia="en-US"/>
              </w:rPr>
              <w:t>No</w:t>
            </w:r>
          </w:p>
        </w:tc>
        <w:tc>
          <w:tcPr>
            <w:tcW w:w="2489" w:type="dxa"/>
            <w:tcBorders>
              <w:bottom w:val="single" w:sz="4" w:space="0" w:color="auto"/>
            </w:tcBorders>
            <w:shd w:val="clear" w:color="auto" w:fill="auto"/>
          </w:tcPr>
          <w:p w14:paraId="47D4E16A" w14:textId="526453FB" w:rsidR="00E960F3" w:rsidRPr="00E960F3" w:rsidRDefault="004B28FA" w:rsidP="00E960F3">
            <w:pPr>
              <w:spacing w:before="0" w:after="0"/>
              <w:rPr>
                <w:rFonts w:eastAsia="Calibri" w:cs="Calibri"/>
                <w:color w:val="000000"/>
                <w:sz w:val="20"/>
                <w:szCs w:val="16"/>
                <w:lang w:eastAsia="en-US"/>
              </w:rPr>
            </w:pPr>
            <w:r>
              <w:rPr>
                <w:rFonts w:eastAsia="Calibri" w:cs="Calibri"/>
                <w:color w:val="000000"/>
                <w:sz w:val="20"/>
                <w:szCs w:val="16"/>
                <w:lang w:eastAsia="en-US"/>
              </w:rPr>
              <w:t>W</w:t>
            </w:r>
            <w:r w:rsidR="00E960F3" w:rsidRPr="00E960F3">
              <w:rPr>
                <w:rFonts w:eastAsia="Calibri" w:cs="Calibri"/>
                <w:color w:val="000000"/>
                <w:sz w:val="20"/>
                <w:szCs w:val="16"/>
                <w:lang w:eastAsia="en-US"/>
              </w:rPr>
              <w:t xml:space="preserve">here </w:t>
            </w:r>
            <w:r>
              <w:rPr>
                <w:rFonts w:eastAsia="Calibri" w:cs="Calibri"/>
                <w:color w:val="000000"/>
                <w:sz w:val="20"/>
                <w:szCs w:val="16"/>
                <w:lang w:eastAsia="en-US"/>
              </w:rPr>
              <w:t xml:space="preserve">finalised </w:t>
            </w:r>
            <w:r w:rsidRPr="00E960F3">
              <w:rPr>
                <w:rFonts w:eastAsia="Calibri" w:cs="Calibri"/>
                <w:color w:val="000000"/>
                <w:sz w:val="20"/>
                <w:szCs w:val="16"/>
                <w:lang w:eastAsia="en-US"/>
              </w:rPr>
              <w:t>audit</w:t>
            </w:r>
            <w:r>
              <w:rPr>
                <w:rFonts w:eastAsia="Calibri" w:cs="Calibri"/>
                <w:color w:val="000000"/>
                <w:sz w:val="20"/>
                <w:szCs w:val="16"/>
                <w:lang w:eastAsia="en-US"/>
              </w:rPr>
              <w:t>s</w:t>
            </w:r>
            <w:r w:rsidRPr="00E960F3">
              <w:rPr>
                <w:rFonts w:eastAsia="Calibri" w:cs="Calibri"/>
                <w:color w:val="000000"/>
                <w:sz w:val="20"/>
                <w:szCs w:val="16"/>
                <w:lang w:eastAsia="en-US"/>
              </w:rPr>
              <w:t xml:space="preserve"> </w:t>
            </w:r>
            <w:r>
              <w:rPr>
                <w:rFonts w:eastAsia="Calibri" w:cs="Calibri"/>
                <w:color w:val="000000"/>
                <w:sz w:val="20"/>
                <w:szCs w:val="16"/>
                <w:lang w:eastAsia="en-US"/>
              </w:rPr>
              <w:t xml:space="preserve">result in </w:t>
            </w:r>
            <w:r w:rsidR="00E960F3" w:rsidRPr="00E960F3">
              <w:rPr>
                <w:rFonts w:eastAsia="Calibri" w:cs="Calibri"/>
                <w:color w:val="000000"/>
                <w:sz w:val="20"/>
                <w:szCs w:val="16"/>
                <w:lang w:eastAsia="en-US"/>
              </w:rPr>
              <w:t>compliance action</w:t>
            </w:r>
            <w:r>
              <w:rPr>
                <w:rFonts w:eastAsia="Calibri" w:cs="Calibri"/>
                <w:color w:val="000000"/>
                <w:sz w:val="20"/>
                <w:szCs w:val="16"/>
                <w:lang w:eastAsia="en-US"/>
              </w:rPr>
              <w:t>s</w:t>
            </w:r>
            <w:r w:rsidR="00E960F3" w:rsidRPr="00E960F3">
              <w:rPr>
                <w:rFonts w:eastAsia="Calibri" w:cs="Calibri"/>
                <w:color w:val="000000"/>
                <w:sz w:val="20"/>
                <w:szCs w:val="16"/>
                <w:lang w:eastAsia="en-US"/>
              </w:rPr>
              <w:t xml:space="preserve"> </w:t>
            </w:r>
          </w:p>
        </w:tc>
      </w:tr>
      <w:tr w:rsidR="00E960F3" w:rsidRPr="00E960F3" w14:paraId="39E9BD1D" w14:textId="77777777" w:rsidTr="00920ABF">
        <w:tc>
          <w:tcPr>
            <w:tcW w:w="9060" w:type="dxa"/>
            <w:gridSpan w:val="4"/>
            <w:tcBorders>
              <w:left w:val="nil"/>
              <w:bottom w:val="nil"/>
              <w:right w:val="nil"/>
            </w:tcBorders>
          </w:tcPr>
          <w:p w14:paraId="27DF3B11" w14:textId="26E8C86A" w:rsidR="00E960F3" w:rsidRPr="00E960F3" w:rsidRDefault="00E960F3" w:rsidP="00E960F3">
            <w:pPr>
              <w:spacing w:before="0" w:after="0"/>
              <w:rPr>
                <w:rFonts w:eastAsia="Calibri"/>
                <w:sz w:val="18"/>
                <w:szCs w:val="18"/>
              </w:rPr>
            </w:pPr>
            <w:r w:rsidRPr="00E960F3">
              <w:rPr>
                <w:sz w:val="18"/>
                <w:szCs w:val="18"/>
              </w:rPr>
              <w:t xml:space="preserve">* </w:t>
            </w:r>
            <w:r w:rsidR="0000467E">
              <w:rPr>
                <w:sz w:val="18"/>
                <w:szCs w:val="18"/>
              </w:rPr>
              <w:t>This</w:t>
            </w:r>
            <w:r w:rsidR="009E7116">
              <w:rPr>
                <w:sz w:val="18"/>
                <w:szCs w:val="18"/>
              </w:rPr>
              <w:t xml:space="preserve"> do</w:t>
            </w:r>
            <w:r w:rsidR="0000467E">
              <w:rPr>
                <w:sz w:val="18"/>
                <w:szCs w:val="18"/>
              </w:rPr>
              <w:t>es</w:t>
            </w:r>
            <w:r w:rsidR="009E7116">
              <w:rPr>
                <w:sz w:val="18"/>
                <w:szCs w:val="18"/>
              </w:rPr>
              <w:t xml:space="preserve"> not include revocation of a charity’s registration or other regulatory approaches; only</w:t>
            </w:r>
            <w:r w:rsidR="00EC7750" w:rsidRPr="00EC7750">
              <w:rPr>
                <w:sz w:val="18"/>
                <w:szCs w:val="18"/>
              </w:rPr>
              <w:t xml:space="preserve"> </w:t>
            </w:r>
            <w:r w:rsidR="0000467E">
              <w:rPr>
                <w:sz w:val="18"/>
                <w:szCs w:val="18"/>
              </w:rPr>
              <w:t xml:space="preserve">compliance actions </w:t>
            </w:r>
            <w:r w:rsidR="009E7116">
              <w:rPr>
                <w:sz w:val="18"/>
                <w:szCs w:val="18"/>
              </w:rPr>
              <w:t xml:space="preserve">where </w:t>
            </w:r>
            <w:r w:rsidR="00EC7750" w:rsidRPr="00EC7750">
              <w:rPr>
                <w:sz w:val="18"/>
                <w:szCs w:val="18"/>
              </w:rPr>
              <w:t>the ACNC exercise</w:t>
            </w:r>
            <w:r w:rsidR="00EC7750">
              <w:rPr>
                <w:sz w:val="18"/>
                <w:szCs w:val="18"/>
              </w:rPr>
              <w:t>s</w:t>
            </w:r>
            <w:r w:rsidR="00EC7750" w:rsidRPr="00EC7750">
              <w:rPr>
                <w:sz w:val="18"/>
                <w:szCs w:val="18"/>
              </w:rPr>
              <w:t xml:space="preserve"> its enforcement powers under Part 4-2 of the ACNC Act, such as issuing a warning, giving a direction, enforcing undertakings, and suspending or removing a responsible person of a charity</w:t>
            </w:r>
            <w:r w:rsidR="00EC7750">
              <w:rPr>
                <w:sz w:val="18"/>
                <w:szCs w:val="18"/>
              </w:rPr>
              <w:t>.</w:t>
            </w:r>
            <w:r w:rsidR="009E7116">
              <w:rPr>
                <w:sz w:val="18"/>
                <w:szCs w:val="18"/>
              </w:rPr>
              <w:br/>
            </w:r>
            <w:r w:rsidRPr="00E960F3">
              <w:rPr>
                <w:sz w:val="18"/>
                <w:szCs w:val="18"/>
              </w:rPr>
              <w:t xml:space="preserve">Examples of disclosures to the public about these compliance activities can be accessed from the ACNC website at </w:t>
            </w:r>
            <w:hyperlink r:id="rId21" w:history="1">
              <w:r w:rsidRPr="00E960F3">
                <w:rPr>
                  <w:color w:val="3A6FAF" w:themeColor="accent2"/>
                  <w:sz w:val="18"/>
                  <w:szCs w:val="18"/>
                  <w:u w:val="single"/>
                </w:rPr>
                <w:t>www.acnc.gov.au/raise-concern/regulating-charities/action-taken-against-charities</w:t>
              </w:r>
            </w:hyperlink>
            <w:r w:rsidRPr="00E960F3">
              <w:rPr>
                <w:sz w:val="18"/>
                <w:szCs w:val="18"/>
              </w:rPr>
              <w:t>.</w:t>
            </w:r>
            <w:r w:rsidRPr="00E960F3">
              <w:rPr>
                <w:color w:val="000000"/>
                <w:sz w:val="18"/>
                <w:szCs w:val="18"/>
              </w:rPr>
              <w:t xml:space="preserve"> </w:t>
            </w:r>
          </w:p>
        </w:tc>
      </w:tr>
    </w:tbl>
    <w:p w14:paraId="5708D561" w14:textId="6DF6AD28" w:rsidR="00E960F3" w:rsidRDefault="002F672C" w:rsidP="0066057A">
      <w:pPr>
        <w:pStyle w:val="Heading3"/>
      </w:pPr>
      <w:bookmarkStart w:id="24" w:name="_Toc74650695"/>
      <w:bookmarkStart w:id="25" w:name="_Toc77586509"/>
      <w:r>
        <w:t xml:space="preserve">Australian </w:t>
      </w:r>
      <w:r w:rsidR="00E960F3" w:rsidRPr="00E960F3">
        <w:t>regulators’ general approaches to publicly disclosing information</w:t>
      </w:r>
      <w:bookmarkEnd w:id="24"/>
      <w:bookmarkEnd w:id="25"/>
    </w:p>
    <w:p w14:paraId="34C009DF" w14:textId="00D9BE00" w:rsidR="004E5A9B" w:rsidRDefault="002F672C" w:rsidP="002F672C">
      <w:r>
        <w:t>Australian</w:t>
      </w:r>
      <w:r w:rsidR="004917C7">
        <w:t xml:space="preserve"> </w:t>
      </w:r>
      <w:r>
        <w:t xml:space="preserve">regulators </w:t>
      </w:r>
      <w:r w:rsidR="00D0577A">
        <w:t xml:space="preserve">comparable to the ACNC </w:t>
      </w:r>
      <w:r>
        <w:t>generally</w:t>
      </w:r>
      <w:r w:rsidR="004917C7">
        <w:t xml:space="preserve"> </w:t>
      </w:r>
      <w:r w:rsidR="00D0577A">
        <w:t xml:space="preserve">have more flexibility to </w:t>
      </w:r>
      <w:r w:rsidR="009502C6">
        <w:t>disclos</w:t>
      </w:r>
      <w:r w:rsidR="00D0577A">
        <w:t>e</w:t>
      </w:r>
      <w:r w:rsidR="009502C6">
        <w:t xml:space="preserve"> certain information </w:t>
      </w:r>
      <w:r w:rsidR="004917C7">
        <w:t>about their regulatory acti</w:t>
      </w:r>
      <w:r w:rsidR="009502C6">
        <w:t>vities</w:t>
      </w:r>
      <w:r w:rsidR="004917C7">
        <w:t xml:space="preserve"> when it is in the</w:t>
      </w:r>
      <w:r>
        <w:t xml:space="preserve"> public interest</w:t>
      </w:r>
      <w:r w:rsidR="004917C7">
        <w:t>.</w:t>
      </w:r>
      <w:r w:rsidR="004E5A9B">
        <w:t xml:space="preserve"> </w:t>
      </w:r>
    </w:p>
    <w:p w14:paraId="68FE43F9" w14:textId="3324F3DD" w:rsidR="002F672C" w:rsidRPr="00F45584" w:rsidRDefault="00D0577A" w:rsidP="004B351B">
      <w:r>
        <w:t xml:space="preserve">While release of </w:t>
      </w:r>
      <w:r w:rsidR="004917C7">
        <w:t>information relat</w:t>
      </w:r>
      <w:r>
        <w:t>ing</w:t>
      </w:r>
      <w:r w:rsidR="004917C7">
        <w:t xml:space="preserve"> to new or ongoing investigations </w:t>
      </w:r>
      <w:r>
        <w:t xml:space="preserve">is more the exception than the norm, comparable Australian </w:t>
      </w:r>
      <w:r w:rsidR="004917C7">
        <w:t xml:space="preserve">regulators may make a public comment, </w:t>
      </w:r>
      <w:r w:rsidR="009502C6">
        <w:t xml:space="preserve">for instance where there is media coverage about an </w:t>
      </w:r>
      <w:proofErr w:type="gramStart"/>
      <w:r w:rsidR="009502C6">
        <w:t>issue</w:t>
      </w:r>
      <w:proofErr w:type="gramEnd"/>
      <w:r w:rsidR="009502C6">
        <w:t xml:space="preserve"> or the regulator is called on to confirm whether or not it is investigating an entity. In circumstances where the information relates to a finalised investigation, these regulators will generally publish</w:t>
      </w:r>
      <w:r w:rsidR="004E5A9B">
        <w:t xml:space="preserve"> this information and the reasons for any resulting compliance action if it is in the public interest (except for the Australian Taxation Office which limits these disclosures to significant matters).</w:t>
      </w:r>
    </w:p>
    <w:p w14:paraId="08EECDE6" w14:textId="77777777" w:rsidR="00E960F3" w:rsidRPr="00E960F3" w:rsidRDefault="00E960F3" w:rsidP="000F4159">
      <w:pPr>
        <w:pStyle w:val="Heading4"/>
      </w:pPr>
      <w:r w:rsidRPr="00E960F3">
        <w:t>Australian Securities and Investments Commission (ASIC)</w:t>
      </w:r>
      <w:r w:rsidRPr="00E960F3">
        <w:rPr>
          <w:vertAlign w:val="superscript"/>
        </w:rPr>
        <w:footnoteReference w:id="6"/>
      </w:r>
    </w:p>
    <w:p w14:paraId="4C5D93FF" w14:textId="77777777" w:rsidR="00E960F3" w:rsidRPr="00E960F3" w:rsidRDefault="00E960F3" w:rsidP="00E960F3">
      <w:r w:rsidRPr="00E960F3">
        <w:t>ASIC considers that informing the public of regulatory activities is important as it promotes:</w:t>
      </w:r>
    </w:p>
    <w:p w14:paraId="3D037441" w14:textId="77777777" w:rsidR="00E960F3" w:rsidRPr="00E960F3" w:rsidRDefault="00E960F3" w:rsidP="00E960F3">
      <w:pPr>
        <w:numPr>
          <w:ilvl w:val="0"/>
          <w:numId w:val="1"/>
        </w:numPr>
        <w:spacing w:before="0"/>
        <w:rPr>
          <w:lang w:val="en"/>
        </w:rPr>
      </w:pPr>
      <w:r w:rsidRPr="00E960F3">
        <w:rPr>
          <w:lang w:val="en"/>
        </w:rPr>
        <w:lastRenderedPageBreak/>
        <w:t>public confidence in ASIC’s administration of the law – that is, there is transparency around what ASIC is doing about people who break the law; and</w:t>
      </w:r>
    </w:p>
    <w:p w14:paraId="488FBA8E" w14:textId="77777777" w:rsidR="00E960F3" w:rsidRPr="00E960F3" w:rsidRDefault="00E960F3" w:rsidP="00E960F3">
      <w:pPr>
        <w:numPr>
          <w:ilvl w:val="0"/>
          <w:numId w:val="1"/>
        </w:numPr>
        <w:spacing w:before="0"/>
        <w:rPr>
          <w:lang w:val="en"/>
        </w:rPr>
      </w:pPr>
      <w:r w:rsidRPr="00E960F3">
        <w:rPr>
          <w:lang w:val="en"/>
        </w:rPr>
        <w:t>compliance with the law by informing the public about the standards ASIC expects and the consequences of failing to meet these standards.</w:t>
      </w:r>
    </w:p>
    <w:p w14:paraId="4CF4A45D" w14:textId="77777777" w:rsidR="00E960F3" w:rsidRPr="00E960F3" w:rsidRDefault="00E960F3" w:rsidP="00E960F3">
      <w:pPr>
        <w:rPr>
          <w:lang w:val="en"/>
        </w:rPr>
      </w:pPr>
      <w:r w:rsidRPr="00E960F3">
        <w:rPr>
          <w:lang w:val="en"/>
        </w:rPr>
        <w:t>ASIC may make a statement about an investigation when it is in the public interest to do so and will usually issue a media release when it secures a regulatory outcome such as a negotiated agreement.</w:t>
      </w:r>
    </w:p>
    <w:p w14:paraId="60526843" w14:textId="77777777" w:rsidR="00E960F3" w:rsidRPr="00E960F3" w:rsidRDefault="00E960F3" w:rsidP="00E960F3">
      <w:pPr>
        <w:rPr>
          <w:lang w:val="en"/>
        </w:rPr>
      </w:pPr>
      <w:r w:rsidRPr="00E960F3">
        <w:rPr>
          <w:lang w:val="en"/>
        </w:rPr>
        <w:t>ASIC may not release information to the public where, on balance, it may be against the public interest to do so (for example, to protect the legal rights of a person, to prevent a disorderly market, or where it may jeopardise a regulatory outcome).</w:t>
      </w:r>
    </w:p>
    <w:p w14:paraId="5476C26F" w14:textId="77777777" w:rsidR="00E960F3" w:rsidRPr="00E960F3" w:rsidRDefault="00E960F3" w:rsidP="00E960F3">
      <w:pPr>
        <w:rPr>
          <w:lang w:val="en"/>
        </w:rPr>
      </w:pPr>
      <w:r w:rsidRPr="00E960F3">
        <w:rPr>
          <w:lang w:val="en"/>
        </w:rPr>
        <w:t>In some circumstances third parties may suggest that ASIC is investigating a matter. ASIC will only verify these comments if it is in the public interest to do so.</w:t>
      </w:r>
    </w:p>
    <w:p w14:paraId="6B0DEBF8" w14:textId="77777777" w:rsidR="00E960F3" w:rsidRPr="00E960F3" w:rsidRDefault="00E960F3" w:rsidP="000F4159">
      <w:pPr>
        <w:pStyle w:val="Heading4"/>
      </w:pPr>
      <w:r w:rsidRPr="00E960F3">
        <w:t>Australian Competition and Consumer Commission (ACCC)</w:t>
      </w:r>
      <w:r w:rsidRPr="00E960F3">
        <w:rPr>
          <w:vertAlign w:val="superscript"/>
        </w:rPr>
        <w:footnoteReference w:id="7"/>
      </w:r>
    </w:p>
    <w:p w14:paraId="10228C85" w14:textId="77777777" w:rsidR="00E960F3" w:rsidRPr="00E960F3" w:rsidRDefault="00E960F3" w:rsidP="00E960F3">
      <w:r w:rsidRPr="00E960F3">
        <w:t>The ACCC considers that informing the public about its enforcement work is an important part of its role as a regulator, in that it:</w:t>
      </w:r>
    </w:p>
    <w:p w14:paraId="187594DF" w14:textId="77777777" w:rsidR="00E960F3" w:rsidRPr="00E960F3" w:rsidRDefault="00E960F3" w:rsidP="00E960F3">
      <w:pPr>
        <w:numPr>
          <w:ilvl w:val="0"/>
          <w:numId w:val="1"/>
        </w:numPr>
        <w:spacing w:before="0"/>
        <w:rPr>
          <w:lang w:val="en"/>
        </w:rPr>
      </w:pPr>
      <w:r w:rsidRPr="00E960F3">
        <w:t>promotes</w:t>
      </w:r>
      <w:r w:rsidRPr="00E960F3">
        <w:rPr>
          <w:lang w:val="en"/>
        </w:rPr>
        <w:t xml:space="preserve"> confidence in the market economy because consumers and businesses can see competition and consumer law working for them through the action ACCC takes against those who are breaking the </w:t>
      </w:r>
      <w:proofErr w:type="gramStart"/>
      <w:r w:rsidRPr="00E960F3">
        <w:rPr>
          <w:lang w:val="en"/>
        </w:rPr>
        <w:t>law;</w:t>
      </w:r>
      <w:proofErr w:type="gramEnd"/>
    </w:p>
    <w:p w14:paraId="71DCFE95" w14:textId="77777777" w:rsidR="00E960F3" w:rsidRPr="00E960F3" w:rsidRDefault="00E960F3" w:rsidP="00E960F3">
      <w:pPr>
        <w:numPr>
          <w:ilvl w:val="0"/>
          <w:numId w:val="1"/>
        </w:numPr>
        <w:spacing w:before="0"/>
      </w:pPr>
      <w:r w:rsidRPr="00E960F3">
        <w:t xml:space="preserve">deters companies, </w:t>
      </w:r>
      <w:proofErr w:type="gramStart"/>
      <w:r w:rsidRPr="00E960F3">
        <w:t>businesses</w:t>
      </w:r>
      <w:proofErr w:type="gramEnd"/>
      <w:r w:rsidRPr="00E960F3">
        <w:t xml:space="preserve"> and individuals from engaging in misconduct; and</w:t>
      </w:r>
    </w:p>
    <w:p w14:paraId="461F9696" w14:textId="77777777" w:rsidR="00E960F3" w:rsidRPr="00E960F3" w:rsidRDefault="00E960F3" w:rsidP="00E960F3">
      <w:pPr>
        <w:numPr>
          <w:ilvl w:val="0"/>
          <w:numId w:val="1"/>
        </w:numPr>
        <w:spacing w:before="0"/>
        <w:rPr>
          <w:lang w:val="en"/>
        </w:rPr>
      </w:pPr>
      <w:r w:rsidRPr="00E960F3">
        <w:rPr>
          <w:lang w:val="en"/>
        </w:rPr>
        <w:t>promotes compliance with the law by informing the public about the standards required under law and the consequences of failing to meet those standards.</w:t>
      </w:r>
    </w:p>
    <w:p w14:paraId="6D772A00" w14:textId="57600965" w:rsidR="00634DA4" w:rsidRPr="00E960F3" w:rsidRDefault="00634DA4" w:rsidP="00E960F3">
      <w:pPr>
        <w:rPr>
          <w:rFonts w:cstheme="minorHAnsi"/>
        </w:rPr>
      </w:pPr>
      <w:r>
        <w:rPr>
          <w:rFonts w:cstheme="minorHAnsi"/>
        </w:rPr>
        <w:t>T</w:t>
      </w:r>
      <w:r w:rsidRPr="00634DA4">
        <w:rPr>
          <w:rFonts w:cstheme="minorHAnsi"/>
        </w:rPr>
        <w:t xml:space="preserve">he ACCC </w:t>
      </w:r>
      <w:r>
        <w:rPr>
          <w:rFonts w:cstheme="minorHAnsi"/>
        </w:rPr>
        <w:t xml:space="preserve">may </w:t>
      </w:r>
      <w:r w:rsidR="0027432B">
        <w:rPr>
          <w:rFonts w:cstheme="minorHAnsi"/>
        </w:rPr>
        <w:t xml:space="preserve">publicly </w:t>
      </w:r>
      <w:r w:rsidRPr="00634DA4">
        <w:rPr>
          <w:rFonts w:cstheme="minorHAnsi"/>
        </w:rPr>
        <w:t>confirm the existence of an investigation</w:t>
      </w:r>
      <w:r>
        <w:rPr>
          <w:rFonts w:cstheme="minorHAnsi"/>
        </w:rPr>
        <w:t xml:space="preserve"> into an entity where it </w:t>
      </w:r>
      <w:r w:rsidRPr="00634DA4">
        <w:rPr>
          <w:rFonts w:cstheme="minorHAnsi"/>
        </w:rPr>
        <w:t xml:space="preserve">is in the public interest and </w:t>
      </w:r>
      <w:r w:rsidR="0027432B">
        <w:rPr>
          <w:rFonts w:cstheme="minorHAnsi"/>
        </w:rPr>
        <w:t>this</w:t>
      </w:r>
      <w:r>
        <w:rPr>
          <w:rFonts w:cstheme="minorHAnsi"/>
        </w:rPr>
        <w:t xml:space="preserve"> </w:t>
      </w:r>
      <w:r w:rsidRPr="00634DA4">
        <w:rPr>
          <w:rFonts w:cstheme="minorHAnsi"/>
        </w:rPr>
        <w:t>outweighs the possible detrimental effec</w:t>
      </w:r>
      <w:r>
        <w:rPr>
          <w:rFonts w:cstheme="minorHAnsi"/>
        </w:rPr>
        <w:t>t</w:t>
      </w:r>
      <w:r w:rsidR="0027432B">
        <w:rPr>
          <w:rFonts w:cstheme="minorHAnsi"/>
        </w:rPr>
        <w:t xml:space="preserve"> that public commentary may have on the entity under investigation</w:t>
      </w:r>
      <w:r>
        <w:rPr>
          <w:rFonts w:cstheme="minorHAnsi"/>
        </w:rPr>
        <w:t>.</w:t>
      </w:r>
      <w:r w:rsidRPr="00634DA4">
        <w:rPr>
          <w:rFonts w:cstheme="minorHAnsi"/>
        </w:rPr>
        <w:t xml:space="preserve"> </w:t>
      </w:r>
      <w:r>
        <w:rPr>
          <w:rFonts w:cstheme="minorHAnsi"/>
        </w:rPr>
        <w:t>The ACCC</w:t>
      </w:r>
      <w:r w:rsidRPr="00634DA4">
        <w:rPr>
          <w:rFonts w:cstheme="minorHAnsi"/>
        </w:rPr>
        <w:t xml:space="preserve"> may</w:t>
      </w:r>
      <w:r>
        <w:rPr>
          <w:rFonts w:cstheme="minorHAnsi"/>
        </w:rPr>
        <w:t xml:space="preserve"> also</w:t>
      </w:r>
      <w:r w:rsidRPr="00634DA4">
        <w:rPr>
          <w:rFonts w:cstheme="minorHAnsi"/>
        </w:rPr>
        <w:t xml:space="preserve"> provide updates on the progress of the investigation if it is in the public interest to do so, particularly where the conduct being investigated continues to be of considerable public comment and debate. Where an investigation is made public, the ACCC will usually make a statement at the conclusion of the investigation to report on the outcome.</w:t>
      </w:r>
    </w:p>
    <w:p w14:paraId="5ECB6703" w14:textId="77777777" w:rsidR="00E960F3" w:rsidRPr="00E960F3" w:rsidRDefault="00E960F3" w:rsidP="000F4159">
      <w:pPr>
        <w:pStyle w:val="Heading4"/>
      </w:pPr>
      <w:r w:rsidRPr="00E960F3">
        <w:t>Australian Taxation Office (ATO)</w:t>
      </w:r>
      <w:r w:rsidRPr="00E960F3">
        <w:rPr>
          <w:vertAlign w:val="superscript"/>
        </w:rPr>
        <w:footnoteReference w:id="8"/>
      </w:r>
    </w:p>
    <w:p w14:paraId="3C3BC0EC" w14:textId="77777777" w:rsidR="00E960F3" w:rsidRPr="00E960F3" w:rsidRDefault="00E960F3" w:rsidP="00E960F3">
      <w:pPr>
        <w:rPr>
          <w:b/>
        </w:rPr>
      </w:pPr>
      <w:r w:rsidRPr="00E960F3">
        <w:t>The ATO is prohibited under law from commenting on the tax affairs of any individual or entity. This includes not commenting on the status of audits and investigations, and legal proceedings currently before the courts.</w:t>
      </w:r>
    </w:p>
    <w:p w14:paraId="5B64E79D" w14:textId="77777777" w:rsidR="00E960F3" w:rsidRPr="00E960F3" w:rsidRDefault="00E960F3" w:rsidP="00E960F3">
      <w:r w:rsidRPr="00E960F3">
        <w:t>However, the ATO acknowledges that there may be times at which it is in the public interest to provide general commentary. In determining whether to make a statement about a particular investigation or provide updates on its progress, the ATO will consider a range of factors, including whether:</w:t>
      </w:r>
    </w:p>
    <w:p w14:paraId="49164F9F" w14:textId="77777777" w:rsidR="00E960F3" w:rsidRPr="00E960F3" w:rsidRDefault="00E960F3" w:rsidP="00E960F3">
      <w:pPr>
        <w:numPr>
          <w:ilvl w:val="0"/>
          <w:numId w:val="1"/>
        </w:numPr>
        <w:spacing w:before="0"/>
        <w:rPr>
          <w:lang w:val="en"/>
        </w:rPr>
      </w:pPr>
      <w:r w:rsidRPr="00E960F3">
        <w:rPr>
          <w:lang w:val="en"/>
        </w:rPr>
        <w:t xml:space="preserve">the ATO has been publicly called upon to respond to an issue or undertake an </w:t>
      </w:r>
      <w:proofErr w:type="gramStart"/>
      <w:r w:rsidRPr="00E960F3">
        <w:rPr>
          <w:lang w:val="en"/>
        </w:rPr>
        <w:t>investigation;</w:t>
      </w:r>
      <w:proofErr w:type="gramEnd"/>
    </w:p>
    <w:p w14:paraId="77F95B94" w14:textId="77777777" w:rsidR="00E960F3" w:rsidRPr="00E960F3" w:rsidRDefault="00E960F3" w:rsidP="00E960F3">
      <w:pPr>
        <w:numPr>
          <w:ilvl w:val="0"/>
          <w:numId w:val="1"/>
        </w:numPr>
        <w:spacing w:before="0"/>
        <w:rPr>
          <w:lang w:val="en"/>
        </w:rPr>
      </w:pPr>
      <w:r w:rsidRPr="00E960F3">
        <w:rPr>
          <w:lang w:val="en"/>
        </w:rPr>
        <w:t>making a statement is in the interests of maintaining public confidence in the ATO; or</w:t>
      </w:r>
    </w:p>
    <w:p w14:paraId="343B2E48" w14:textId="77777777" w:rsidR="00E960F3" w:rsidRPr="00E960F3" w:rsidRDefault="00E960F3" w:rsidP="00E960F3">
      <w:pPr>
        <w:numPr>
          <w:ilvl w:val="0"/>
          <w:numId w:val="1"/>
        </w:numPr>
        <w:spacing w:before="0"/>
      </w:pPr>
      <w:r w:rsidRPr="00E960F3">
        <w:rPr>
          <w:lang w:val="en"/>
        </w:rPr>
        <w:t>comment</w:t>
      </w:r>
      <w:r w:rsidRPr="00E960F3">
        <w:t xml:space="preserve"> will aid the investigation.</w:t>
      </w:r>
    </w:p>
    <w:p w14:paraId="5FF2C83E" w14:textId="65F3B1C3" w:rsidR="002F672C" w:rsidRDefault="002F672C" w:rsidP="002F672C">
      <w:pPr>
        <w:pStyle w:val="Heading3"/>
      </w:pPr>
      <w:bookmarkStart w:id="26" w:name="_Toc77586510"/>
      <w:r>
        <w:lastRenderedPageBreak/>
        <w:t xml:space="preserve">Foreign </w:t>
      </w:r>
      <w:r w:rsidR="00385D36">
        <w:t xml:space="preserve">charity </w:t>
      </w:r>
      <w:r w:rsidRPr="00E960F3">
        <w:t>regulators’ general approaches to publicly disclosing information</w:t>
      </w:r>
      <w:bookmarkEnd w:id="26"/>
    </w:p>
    <w:p w14:paraId="3A297698" w14:textId="1885185E" w:rsidR="00581E3A" w:rsidRDefault="00581E3A" w:rsidP="00581E3A">
      <w:r>
        <w:t xml:space="preserve">In contrast to the ACNC, </w:t>
      </w:r>
      <w:r w:rsidR="004C30A1">
        <w:t>comparable</w:t>
      </w:r>
      <w:r>
        <w:t xml:space="preserve"> foreign charity regulators adopt a more transparent approach </w:t>
      </w:r>
      <w:r w:rsidR="00CA5D09">
        <w:t xml:space="preserve">to </w:t>
      </w:r>
      <w:r>
        <w:t xml:space="preserve">disclosing information about their regulatory activities. Generally, these disclosures can be made when it is in the public interest or for a particular purpose, or </w:t>
      </w:r>
      <w:r w:rsidR="000D23D1">
        <w:t>in situations where</w:t>
      </w:r>
      <w:r>
        <w:t xml:space="preserve"> not disclosing the information would be against the public interest.</w:t>
      </w:r>
      <w:r w:rsidR="000D23D1">
        <w:t xml:space="preserve"> </w:t>
      </w:r>
    </w:p>
    <w:p w14:paraId="07E9A648" w14:textId="4945F587" w:rsidR="00581E3A" w:rsidRDefault="00CA5D09" w:rsidP="00581E3A">
      <w:r>
        <w:t>Where a registration decision may be of wider public interest, the UK Charity Commission and New Zealand Charities Services may publi</w:t>
      </w:r>
      <w:r w:rsidR="00B92F0F">
        <w:t>sh</w:t>
      </w:r>
      <w:r>
        <w:t xml:space="preserve"> th</w:t>
      </w:r>
      <w:r w:rsidR="00B92F0F">
        <w:t>e</w:t>
      </w:r>
      <w:r>
        <w:t xml:space="preserve"> decision </w:t>
      </w:r>
      <w:r w:rsidR="00B92F0F">
        <w:t xml:space="preserve">and </w:t>
      </w:r>
      <w:r>
        <w:t xml:space="preserve">its reasons. </w:t>
      </w:r>
      <w:r w:rsidR="003F4E3D">
        <w:t xml:space="preserve">The UK Charity Commission </w:t>
      </w:r>
      <w:r>
        <w:t xml:space="preserve">may also </w:t>
      </w:r>
      <w:r w:rsidR="00581E3A">
        <w:t>make a public comment</w:t>
      </w:r>
      <w:r w:rsidR="003F4E3D">
        <w:t xml:space="preserve"> about a new or ongoing investigation when it is in the public interest.</w:t>
      </w:r>
      <w:r w:rsidR="00581E3A">
        <w:t xml:space="preserve"> In circumstances </w:t>
      </w:r>
      <w:r w:rsidR="00385D36">
        <w:t>an</w:t>
      </w:r>
      <w:r w:rsidR="00581E3A">
        <w:t xml:space="preserve"> investigation</w:t>
      </w:r>
      <w:r w:rsidR="00385D36">
        <w:t xml:space="preserve"> is finalised</w:t>
      </w:r>
      <w:r w:rsidR="00F663D2">
        <w:t>,</w:t>
      </w:r>
      <w:r w:rsidR="00385D36">
        <w:t xml:space="preserve"> </w:t>
      </w:r>
      <w:r w:rsidR="00F663D2">
        <w:t>t</w:t>
      </w:r>
      <w:r w:rsidR="00385D36">
        <w:t xml:space="preserve">he UK, New Zealand and Canadian </w:t>
      </w:r>
      <w:r w:rsidR="00581E3A">
        <w:t xml:space="preserve">regulators </w:t>
      </w:r>
      <w:r w:rsidR="00B92F0F">
        <w:t xml:space="preserve">routinely </w:t>
      </w:r>
      <w:r w:rsidR="00581E3A">
        <w:t xml:space="preserve">publish information </w:t>
      </w:r>
      <w:r w:rsidR="00385D36">
        <w:t xml:space="preserve">on revocation of registrations </w:t>
      </w:r>
      <w:r w:rsidR="00581E3A">
        <w:t xml:space="preserve">and the reasons for </w:t>
      </w:r>
      <w:r w:rsidR="00385D36">
        <w:t>the</w:t>
      </w:r>
      <w:r w:rsidR="00581E3A">
        <w:t xml:space="preserve"> resulting compliance action</w:t>
      </w:r>
      <w:r w:rsidR="003F4E3D">
        <w:t>.</w:t>
      </w:r>
    </w:p>
    <w:p w14:paraId="5D6B6130" w14:textId="77777777" w:rsidR="00E960F3" w:rsidRPr="00E960F3" w:rsidRDefault="00E960F3" w:rsidP="000F4159">
      <w:pPr>
        <w:pStyle w:val="Heading4"/>
        <w:rPr>
          <w:rFonts w:eastAsia="Calibri"/>
        </w:rPr>
      </w:pPr>
      <w:r w:rsidRPr="00E960F3">
        <w:rPr>
          <w:rFonts w:eastAsia="Calibri"/>
        </w:rPr>
        <w:t>United Kingdom Charity Commission</w:t>
      </w:r>
      <w:r w:rsidRPr="00E960F3">
        <w:rPr>
          <w:rFonts w:eastAsia="Calibri"/>
          <w:vertAlign w:val="superscript"/>
        </w:rPr>
        <w:footnoteReference w:id="9"/>
      </w:r>
    </w:p>
    <w:p w14:paraId="2BA62FFC" w14:textId="6B7647A7" w:rsidR="004A62E0" w:rsidRDefault="002E3BE2" w:rsidP="00E960F3">
      <w:pPr>
        <w:rPr>
          <w:rFonts w:cstheme="minorHAnsi"/>
        </w:rPr>
      </w:pPr>
      <w:r>
        <w:rPr>
          <w:rFonts w:cstheme="minorHAnsi"/>
        </w:rPr>
        <w:t>Two</w:t>
      </w:r>
      <w:r w:rsidR="004A62E0">
        <w:rPr>
          <w:rFonts w:cstheme="minorHAnsi"/>
        </w:rPr>
        <w:t xml:space="preserve"> of the UK Charity Commission’s key strategic objectives </w:t>
      </w:r>
      <w:r>
        <w:rPr>
          <w:rFonts w:cstheme="minorHAnsi"/>
        </w:rPr>
        <w:t>are</w:t>
      </w:r>
      <w:r w:rsidR="004A62E0">
        <w:rPr>
          <w:rFonts w:cstheme="minorHAnsi"/>
        </w:rPr>
        <w:t xml:space="preserve"> to hold charities to account</w:t>
      </w:r>
      <w:r>
        <w:rPr>
          <w:rFonts w:cstheme="minorHAnsi"/>
        </w:rPr>
        <w:t xml:space="preserve"> and to deal with wrongdoing and harm</w:t>
      </w:r>
      <w:r w:rsidR="004A62E0">
        <w:rPr>
          <w:rFonts w:cstheme="minorHAnsi"/>
        </w:rPr>
        <w:t xml:space="preserve">. This is because charities are </w:t>
      </w:r>
      <w:r w:rsidR="004A62E0" w:rsidRPr="004A62E0">
        <w:rPr>
          <w:rFonts w:cstheme="minorHAnsi"/>
        </w:rPr>
        <w:t xml:space="preserve">accountable </w:t>
      </w:r>
      <w:r w:rsidR="004A62E0">
        <w:rPr>
          <w:rFonts w:cstheme="minorHAnsi"/>
        </w:rPr>
        <w:t xml:space="preserve">to the public </w:t>
      </w:r>
      <w:r w:rsidR="004A62E0" w:rsidRPr="004A62E0">
        <w:rPr>
          <w:rFonts w:cstheme="minorHAnsi"/>
        </w:rPr>
        <w:t>for the privilege of charitable status and the stewardship of charitable resources</w:t>
      </w:r>
      <w:r w:rsidR="004A62E0">
        <w:rPr>
          <w:rFonts w:cstheme="minorHAnsi"/>
        </w:rPr>
        <w:t xml:space="preserve">. The UK Charity Commission </w:t>
      </w:r>
      <w:r w:rsidR="004A62E0" w:rsidRPr="004A62E0">
        <w:rPr>
          <w:rFonts w:cstheme="minorHAnsi"/>
        </w:rPr>
        <w:t>use</w:t>
      </w:r>
      <w:r w:rsidR="004A62E0">
        <w:rPr>
          <w:rFonts w:cstheme="minorHAnsi"/>
        </w:rPr>
        <w:t>s its</w:t>
      </w:r>
      <w:r w:rsidR="004A62E0" w:rsidRPr="004A62E0">
        <w:rPr>
          <w:rFonts w:cstheme="minorHAnsi"/>
        </w:rPr>
        <w:t xml:space="preserve"> authority and influence as the regulator to draw attention to </w:t>
      </w:r>
      <w:r w:rsidR="004A62E0">
        <w:rPr>
          <w:rFonts w:cstheme="minorHAnsi"/>
        </w:rPr>
        <w:t xml:space="preserve">misconduct </w:t>
      </w:r>
      <w:r w:rsidR="004A62E0" w:rsidRPr="004A62E0">
        <w:rPr>
          <w:rFonts w:cstheme="minorHAnsi"/>
        </w:rPr>
        <w:t xml:space="preserve">that could jeopardise public confidence in the </w:t>
      </w:r>
      <w:proofErr w:type="gramStart"/>
      <w:r w:rsidR="004A62E0" w:rsidRPr="004A62E0">
        <w:rPr>
          <w:rFonts w:cstheme="minorHAnsi"/>
        </w:rPr>
        <w:t>sector as a whole</w:t>
      </w:r>
      <w:r w:rsidR="004A62E0">
        <w:rPr>
          <w:rFonts w:cstheme="minorHAnsi"/>
        </w:rPr>
        <w:t>, and</w:t>
      </w:r>
      <w:proofErr w:type="gramEnd"/>
      <w:r w:rsidR="004A62E0">
        <w:rPr>
          <w:rFonts w:cstheme="minorHAnsi"/>
        </w:rPr>
        <w:t xml:space="preserve"> to </w:t>
      </w:r>
      <w:r w:rsidR="004A62E0" w:rsidRPr="004A62E0">
        <w:rPr>
          <w:rFonts w:cstheme="minorHAnsi"/>
        </w:rPr>
        <w:t xml:space="preserve">strongly encourage </w:t>
      </w:r>
      <w:r w:rsidR="004A62E0">
        <w:rPr>
          <w:rFonts w:cstheme="minorHAnsi"/>
        </w:rPr>
        <w:t xml:space="preserve">the </w:t>
      </w:r>
      <w:r w:rsidR="004A62E0" w:rsidRPr="004A62E0">
        <w:rPr>
          <w:rFonts w:cstheme="minorHAnsi"/>
        </w:rPr>
        <w:t xml:space="preserve">behaviour that </w:t>
      </w:r>
      <w:r w:rsidR="002A2083">
        <w:rPr>
          <w:rFonts w:cstheme="minorHAnsi"/>
        </w:rPr>
        <w:t>the public</w:t>
      </w:r>
      <w:r w:rsidR="004A62E0" w:rsidRPr="004A62E0">
        <w:rPr>
          <w:rFonts w:cstheme="minorHAnsi"/>
        </w:rPr>
        <w:t xml:space="preserve"> expect</w:t>
      </w:r>
      <w:r w:rsidR="002A2083">
        <w:rPr>
          <w:rFonts w:cstheme="minorHAnsi"/>
        </w:rPr>
        <w:t>s</w:t>
      </w:r>
      <w:r w:rsidR="004A62E0" w:rsidRPr="004A62E0">
        <w:rPr>
          <w:rFonts w:cstheme="minorHAnsi"/>
        </w:rPr>
        <w:t xml:space="preserve"> of charities.</w:t>
      </w:r>
    </w:p>
    <w:p w14:paraId="7B7C50E4" w14:textId="495CA4B0" w:rsidR="00E960F3" w:rsidRPr="00E960F3" w:rsidRDefault="00E960F3" w:rsidP="00E960F3">
      <w:pPr>
        <w:rPr>
          <w:rFonts w:cstheme="minorHAnsi"/>
        </w:rPr>
      </w:pPr>
      <w:r w:rsidRPr="00E960F3">
        <w:rPr>
          <w:rFonts w:cstheme="minorHAnsi"/>
        </w:rPr>
        <w:t>The UK Charity Commission publishes a full summary of its registration decisions when they are novel, significant, involve new purposes or set a legal precedent, or of wider interest.</w:t>
      </w:r>
      <w:r w:rsidR="00C02D92">
        <w:rPr>
          <w:rStyle w:val="FootnoteReference"/>
          <w:rFonts w:cstheme="minorHAnsi"/>
        </w:rPr>
        <w:footnoteReference w:id="10"/>
      </w:r>
    </w:p>
    <w:p w14:paraId="6B382E97" w14:textId="77777777" w:rsidR="00E960F3" w:rsidRPr="00E960F3" w:rsidRDefault="00E960F3" w:rsidP="00E960F3">
      <w:pPr>
        <w:rPr>
          <w:rFonts w:cstheme="minorHAnsi"/>
        </w:rPr>
      </w:pPr>
      <w:r w:rsidRPr="00E960F3">
        <w:rPr>
          <w:rFonts w:cstheme="minorHAnsi"/>
        </w:rPr>
        <w:t>The UK Charity Commission does not routinely publish statements about all its regulatory cases. However, it may decide that releasing a statement would be in the public interest and/or increase public trust and confidence in charities. Examples of this condition being met include where:</w:t>
      </w:r>
    </w:p>
    <w:p w14:paraId="6560491F" w14:textId="10168B1A" w:rsidR="00E960F3" w:rsidRPr="00E960F3" w:rsidRDefault="00E960F3" w:rsidP="00E960F3">
      <w:pPr>
        <w:numPr>
          <w:ilvl w:val="0"/>
          <w:numId w:val="1"/>
        </w:numPr>
        <w:spacing w:before="0"/>
        <w:rPr>
          <w:lang w:val="en"/>
        </w:rPr>
      </w:pPr>
      <w:r w:rsidRPr="00E960F3">
        <w:rPr>
          <w:lang w:val="en"/>
        </w:rPr>
        <w:t xml:space="preserve">there is significant public interest and/or media coverage of a charity or the </w:t>
      </w:r>
      <w:r w:rsidR="00F663D2">
        <w:rPr>
          <w:lang w:val="en"/>
        </w:rPr>
        <w:t>C</w:t>
      </w:r>
      <w:r w:rsidRPr="00E960F3">
        <w:rPr>
          <w:lang w:val="en"/>
        </w:rPr>
        <w:t xml:space="preserve">ommission’s regulatory engagement with the charity on a particular </w:t>
      </w:r>
      <w:proofErr w:type="gramStart"/>
      <w:r w:rsidRPr="00E960F3">
        <w:rPr>
          <w:lang w:val="en"/>
        </w:rPr>
        <w:t>issue;</w:t>
      </w:r>
      <w:proofErr w:type="gramEnd"/>
    </w:p>
    <w:p w14:paraId="39E20440" w14:textId="6B40EAED" w:rsidR="00E960F3" w:rsidRPr="00E960F3" w:rsidRDefault="00E960F3" w:rsidP="00E960F3">
      <w:pPr>
        <w:numPr>
          <w:ilvl w:val="0"/>
          <w:numId w:val="1"/>
        </w:numPr>
        <w:spacing w:before="0"/>
        <w:rPr>
          <w:lang w:val="en"/>
        </w:rPr>
      </w:pPr>
      <w:r w:rsidRPr="00E960F3">
        <w:rPr>
          <w:lang w:val="en"/>
        </w:rPr>
        <w:t xml:space="preserve">the </w:t>
      </w:r>
      <w:r w:rsidR="00F663D2">
        <w:rPr>
          <w:lang w:val="en"/>
        </w:rPr>
        <w:t>C</w:t>
      </w:r>
      <w:r w:rsidRPr="00E960F3">
        <w:rPr>
          <w:lang w:val="en"/>
        </w:rPr>
        <w:t xml:space="preserve">ommission wants to correct the public record or to respond publicly to certain issues </w:t>
      </w:r>
      <w:proofErr w:type="gramStart"/>
      <w:r w:rsidRPr="00E960F3">
        <w:rPr>
          <w:lang w:val="en"/>
        </w:rPr>
        <w:t>raised;</w:t>
      </w:r>
      <w:proofErr w:type="gramEnd"/>
    </w:p>
    <w:p w14:paraId="2EC9EADC" w14:textId="3F66528C" w:rsidR="00E960F3" w:rsidRPr="00E960F3" w:rsidRDefault="00E960F3" w:rsidP="00E960F3">
      <w:pPr>
        <w:numPr>
          <w:ilvl w:val="0"/>
          <w:numId w:val="1"/>
        </w:numPr>
        <w:spacing w:before="0"/>
        <w:rPr>
          <w:lang w:val="en"/>
        </w:rPr>
      </w:pPr>
      <w:r w:rsidRPr="00E960F3">
        <w:rPr>
          <w:lang w:val="en"/>
        </w:rPr>
        <w:t xml:space="preserve">it is made public that an individual connected with a charity has been convicted of an offence relating to a </w:t>
      </w:r>
      <w:r w:rsidR="00F663D2">
        <w:rPr>
          <w:lang w:val="en"/>
        </w:rPr>
        <w:t>C</w:t>
      </w:r>
      <w:r w:rsidRPr="00E960F3">
        <w:rPr>
          <w:lang w:val="en"/>
        </w:rPr>
        <w:t>ommission case; or</w:t>
      </w:r>
    </w:p>
    <w:p w14:paraId="1343CB13" w14:textId="003CF4A3" w:rsidR="00E960F3" w:rsidRPr="00E960F3" w:rsidRDefault="00E960F3" w:rsidP="00E960F3">
      <w:pPr>
        <w:numPr>
          <w:ilvl w:val="0"/>
          <w:numId w:val="1"/>
        </w:numPr>
        <w:spacing w:before="0"/>
      </w:pPr>
      <w:r w:rsidRPr="00E960F3">
        <w:rPr>
          <w:lang w:val="en"/>
        </w:rPr>
        <w:t xml:space="preserve">where the </w:t>
      </w:r>
      <w:r w:rsidR="00F663D2">
        <w:rPr>
          <w:lang w:val="en"/>
        </w:rPr>
        <w:t>C</w:t>
      </w:r>
      <w:r w:rsidRPr="00E960F3">
        <w:rPr>
          <w:lang w:val="en"/>
        </w:rPr>
        <w:t>ommission considers that a case raises issues that may pose a risk to other charities or</w:t>
      </w:r>
      <w:r w:rsidRPr="00E960F3">
        <w:rPr>
          <w:rFonts w:cstheme="minorHAnsi"/>
        </w:rPr>
        <w:t xml:space="preserve"> the donating public (in some such instances, it may also publish a general alert).</w:t>
      </w:r>
    </w:p>
    <w:p w14:paraId="2AD24084" w14:textId="040509E3" w:rsidR="00E960F3" w:rsidRPr="00E960F3" w:rsidRDefault="00E960F3" w:rsidP="00E960F3">
      <w:pPr>
        <w:rPr>
          <w:rFonts w:cstheme="minorHAnsi"/>
        </w:rPr>
      </w:pPr>
      <w:r w:rsidRPr="00E960F3">
        <w:rPr>
          <w:rFonts w:cstheme="minorHAnsi"/>
        </w:rPr>
        <w:t xml:space="preserve">When it is in the public interest, the </w:t>
      </w:r>
      <w:r w:rsidR="00A405F9">
        <w:rPr>
          <w:rFonts w:cstheme="minorHAnsi"/>
        </w:rPr>
        <w:t>UK Charity C</w:t>
      </w:r>
      <w:r w:rsidRPr="00E960F3">
        <w:rPr>
          <w:rFonts w:cstheme="minorHAnsi"/>
        </w:rPr>
        <w:t xml:space="preserve">ommission usually releases a public statement whenever it opens a statutory inquiry into a charity. The statement can include details about the purpose and reasons for the inquiry and any previous regulatory action with the charity that is relevant. </w:t>
      </w:r>
    </w:p>
    <w:p w14:paraId="5F01CCA9" w14:textId="50590B53" w:rsidR="00E960F3" w:rsidRPr="00E960F3" w:rsidRDefault="00E960F3" w:rsidP="00E960F3">
      <w:pPr>
        <w:rPr>
          <w:rFonts w:cstheme="minorHAnsi"/>
        </w:rPr>
      </w:pPr>
      <w:r w:rsidRPr="00E960F3">
        <w:rPr>
          <w:rFonts w:cstheme="minorHAnsi"/>
        </w:rPr>
        <w:t xml:space="preserve">It is also the </w:t>
      </w:r>
      <w:r w:rsidR="00A405F9">
        <w:rPr>
          <w:rFonts w:cstheme="minorHAnsi"/>
        </w:rPr>
        <w:t>UK Charity C</w:t>
      </w:r>
      <w:r w:rsidRPr="00E960F3">
        <w:rPr>
          <w:rFonts w:cstheme="minorHAnsi"/>
        </w:rPr>
        <w:t xml:space="preserve">ommission’s policy after it has concluded an inquiry to publish a comprehensive report detailing what issues the inquiry looked at, what actions were undertaken as part of the inquiry and what the outcomes were. </w:t>
      </w:r>
    </w:p>
    <w:p w14:paraId="04A5E422" w14:textId="03146265" w:rsidR="00932402" w:rsidRDefault="00E960F3" w:rsidP="001C77BF">
      <w:pPr>
        <w:rPr>
          <w:rFonts w:eastAsia="Calibri"/>
          <w:lang w:eastAsia="en-US"/>
        </w:rPr>
      </w:pPr>
      <w:r w:rsidRPr="00E960F3">
        <w:lastRenderedPageBreak/>
        <w:t xml:space="preserve">The </w:t>
      </w:r>
      <w:r w:rsidR="00A405F9">
        <w:t>UK Charity C</w:t>
      </w:r>
      <w:r w:rsidRPr="00E960F3">
        <w:t>ommission will confirm, if asked by the media, whether it has a regulatory case into a named charity.</w:t>
      </w:r>
    </w:p>
    <w:p w14:paraId="45E60F18" w14:textId="637E7045" w:rsidR="00E960F3" w:rsidRPr="00E960F3" w:rsidRDefault="00E960F3" w:rsidP="000F4159">
      <w:pPr>
        <w:pStyle w:val="Heading4"/>
        <w:rPr>
          <w:rFonts w:eastAsia="Calibri"/>
          <w:lang w:eastAsia="en-US"/>
        </w:rPr>
      </w:pPr>
      <w:r w:rsidRPr="00E960F3">
        <w:rPr>
          <w:rFonts w:eastAsia="Calibri"/>
          <w:lang w:eastAsia="en-US"/>
        </w:rPr>
        <w:t>New Zealand Charities Services</w:t>
      </w:r>
      <w:r w:rsidRPr="00E960F3">
        <w:rPr>
          <w:rFonts w:eastAsia="Calibri"/>
          <w:vertAlign w:val="superscript"/>
          <w:lang w:eastAsia="en-US"/>
        </w:rPr>
        <w:footnoteReference w:id="11"/>
      </w:r>
    </w:p>
    <w:p w14:paraId="5886B380" w14:textId="2A70C3F2" w:rsidR="002928EB" w:rsidRPr="00E960F3" w:rsidRDefault="002928EB" w:rsidP="002928EB">
      <w:r w:rsidRPr="00E960F3">
        <w:t xml:space="preserve">New Zealand Charities Services publishes decisions to register entities, court decisions, </w:t>
      </w:r>
      <w:r>
        <w:t>investigation</w:t>
      </w:r>
      <w:r w:rsidRPr="00E960F3">
        <w:t xml:space="preserve"> outcomes and deregistrations (including reasons for those decisions) on the Charities Register.</w:t>
      </w:r>
    </w:p>
    <w:p w14:paraId="25DDE363" w14:textId="03AA6BB9" w:rsidR="00E960F3" w:rsidRPr="00E960F3" w:rsidRDefault="00E960F3" w:rsidP="00E960F3">
      <w:r w:rsidRPr="00E960F3">
        <w:t>New Zealand Charities Services publishes full statements about registration and non-registration decisions</w:t>
      </w:r>
      <w:r w:rsidR="00821B8D">
        <w:t xml:space="preserve"> when</w:t>
      </w:r>
      <w:r w:rsidRPr="00E960F3">
        <w:t xml:space="preserve"> </w:t>
      </w:r>
      <w:r w:rsidR="006536C3">
        <w:t>agreed</w:t>
      </w:r>
      <w:r w:rsidR="00821B8D" w:rsidRPr="00821B8D">
        <w:t xml:space="preserve"> by the Charities Registration Board</w:t>
      </w:r>
      <w:r w:rsidR="00821B8D">
        <w:t xml:space="preserve"> and </w:t>
      </w:r>
      <w:r w:rsidRPr="00E960F3">
        <w:t>where they provide helpful information for the charitable sector and for the wider public.</w:t>
      </w:r>
      <w:r w:rsidR="006C5C10">
        <w:rPr>
          <w:rStyle w:val="FootnoteReference"/>
        </w:rPr>
        <w:footnoteReference w:id="12"/>
      </w:r>
      <w:r w:rsidRPr="00E960F3">
        <w:t xml:space="preserve"> A decision may help develop greater public understanding of the meaning of a charitable purpose under law and why the regulator has registered or declined to register some applications.</w:t>
      </w:r>
    </w:p>
    <w:p w14:paraId="763F5E52" w14:textId="77777777" w:rsidR="00E960F3" w:rsidRPr="00E960F3" w:rsidRDefault="00E960F3" w:rsidP="00E960F3">
      <w:r w:rsidRPr="00E960F3">
        <w:t>In any manner it thinks fit, the New Zealand Charities Services may also publish a statement naming a charity or a person in connection with a charity that has engaged in misconduct or serious wrongdoing. The regulator may also publish a statement if a charity is no longer qualified to be registered and include a summary of the grounds for that opinion. When making a public statement the regulator is required under the law to provide a minimum of 20 days written notice to the entity the information relates to.</w:t>
      </w:r>
    </w:p>
    <w:p w14:paraId="7300DBD1" w14:textId="77777777" w:rsidR="00E960F3" w:rsidRPr="00E960F3" w:rsidRDefault="00E960F3" w:rsidP="000F4159">
      <w:pPr>
        <w:pStyle w:val="Heading4"/>
        <w:rPr>
          <w:lang w:eastAsia="en-US"/>
        </w:rPr>
      </w:pPr>
      <w:r w:rsidRPr="00E960F3">
        <w:rPr>
          <w:lang w:eastAsia="en-US"/>
        </w:rPr>
        <w:t>Canada Revenue Agency</w:t>
      </w:r>
      <w:r w:rsidRPr="00E960F3">
        <w:rPr>
          <w:vertAlign w:val="superscript"/>
          <w:lang w:eastAsia="en-US"/>
        </w:rPr>
        <w:footnoteReference w:id="13"/>
      </w:r>
    </w:p>
    <w:p w14:paraId="02FDCA0E" w14:textId="1743548A" w:rsidR="00E960F3" w:rsidRPr="00E960F3" w:rsidRDefault="002928EB" w:rsidP="00E960F3">
      <w:r>
        <w:t xml:space="preserve">Information disclosure rules for </w:t>
      </w:r>
      <w:r w:rsidR="00C50A14">
        <w:t>the</w:t>
      </w:r>
      <w:r>
        <w:t xml:space="preserve"> Canada Revenue Agency are </w:t>
      </w:r>
      <w:proofErr w:type="gramStart"/>
      <w:r>
        <w:t>similar to</w:t>
      </w:r>
      <w:proofErr w:type="gramEnd"/>
      <w:r>
        <w:t xml:space="preserve"> those of the ACNC with respect to registration decisions and information about ongoing investigations. However, </w:t>
      </w:r>
      <w:r w:rsidR="00DB451E">
        <w:t xml:space="preserve">the Canada Revenue Agency </w:t>
      </w:r>
      <w:r>
        <w:t xml:space="preserve">posts on its website </w:t>
      </w:r>
      <w:r w:rsidR="00E960F3" w:rsidRPr="00E960F3">
        <w:t xml:space="preserve">information about charities </w:t>
      </w:r>
      <w:r w:rsidR="00DB451E">
        <w:t>w</w:t>
      </w:r>
      <w:r w:rsidR="00E960F3" w:rsidRPr="00E960F3">
        <w:t>hen the agency revokes or annuls a charity’s registration or when it imposes a sanction</w:t>
      </w:r>
      <w:r w:rsidR="00DB451E">
        <w:t>.</w:t>
      </w:r>
      <w:r w:rsidR="00E960F3" w:rsidRPr="00E960F3">
        <w:t xml:space="preserve"> To ensure the agency’s reasons for its decision are transparent, it can release a copy of the letter(s) it has sent to a charity outlining the reasons for its compliance action.</w:t>
      </w:r>
    </w:p>
    <w:p w14:paraId="42E45F8D" w14:textId="5C1FA016" w:rsidR="006A3657" w:rsidRDefault="006A3657">
      <w:pPr>
        <w:pStyle w:val="Heading2"/>
      </w:pPr>
      <w:bookmarkStart w:id="27" w:name="_Toc77586511"/>
      <w:r>
        <w:t>Issue for consideration</w:t>
      </w:r>
      <w:bookmarkEnd w:id="27"/>
    </w:p>
    <w:p w14:paraId="5ABDE15A" w14:textId="0045DEBF" w:rsidR="00354BE6" w:rsidRPr="00E960F3" w:rsidRDefault="00354BE6">
      <w:pPr>
        <w:pStyle w:val="Heading3"/>
      </w:pPr>
      <w:bookmarkStart w:id="28" w:name="_Toc77586512"/>
      <w:r>
        <w:t>B</w:t>
      </w:r>
      <w:r w:rsidRPr="00E960F3">
        <w:t>alancing privacy and transparency via a public interest test</w:t>
      </w:r>
      <w:bookmarkEnd w:id="28"/>
    </w:p>
    <w:p w14:paraId="417B1BED" w14:textId="50C9BE93" w:rsidR="00354BE6" w:rsidRPr="00E960F3" w:rsidRDefault="00354BE6" w:rsidP="00354BE6">
      <w:r>
        <w:t>As shown in the previous section, most</w:t>
      </w:r>
      <w:r w:rsidRPr="00E960F3">
        <w:t xml:space="preserve"> other </w:t>
      </w:r>
      <w:r w:rsidR="00527CAB">
        <w:t xml:space="preserve">comparable </w:t>
      </w:r>
      <w:r w:rsidRPr="00E960F3">
        <w:t xml:space="preserve">regulators may disclose information about </w:t>
      </w:r>
      <w:r w:rsidR="00986ADE">
        <w:t>their regulatory activities when it</w:t>
      </w:r>
      <w:r w:rsidRPr="00E960F3">
        <w:t xml:space="preserve"> is in the public interest. A public interest test seeks to balance the tension between protecting privacy and fulfilling a regulator’s responsibilities to maintain public trust and confidence in the sector it is regulating.</w:t>
      </w:r>
    </w:p>
    <w:p w14:paraId="2AEB31F5" w14:textId="1BCFD640" w:rsidR="00354BE6" w:rsidRPr="00E960F3" w:rsidRDefault="00354BE6" w:rsidP="00354BE6">
      <w:r w:rsidRPr="00E960F3">
        <w:t xml:space="preserve">The framework of a public interest test usually requires for there to be a range of factors, benefits and risks that must be taken into consideration when weighing up </w:t>
      </w:r>
      <w:proofErr w:type="gramStart"/>
      <w:r w:rsidRPr="00E960F3">
        <w:t>whether or not</w:t>
      </w:r>
      <w:proofErr w:type="gramEnd"/>
      <w:r w:rsidRPr="00E960F3">
        <w:t xml:space="preserve"> a disclosure of information is in the public interest. This section of the paper considers what these might be if a public interest test were to form the basis of the ACNC Commissioner’s discretion to </w:t>
      </w:r>
      <w:r w:rsidR="00FC1D31">
        <w:t xml:space="preserve">publicly </w:t>
      </w:r>
      <w:r w:rsidRPr="00E960F3">
        <w:t xml:space="preserve">disclose information about </w:t>
      </w:r>
      <w:r w:rsidR="00FC1D31">
        <w:t xml:space="preserve">the </w:t>
      </w:r>
      <w:r w:rsidRPr="00E960F3">
        <w:t>ACNC</w:t>
      </w:r>
      <w:r w:rsidR="00FC1D31">
        <w:t>’s regulatory activities</w:t>
      </w:r>
      <w:r w:rsidRPr="00E960F3">
        <w:t>.</w:t>
      </w:r>
    </w:p>
    <w:p w14:paraId="1BE85C32" w14:textId="77777777" w:rsidR="00354BE6" w:rsidRPr="00E960F3" w:rsidRDefault="00354BE6" w:rsidP="004B351B">
      <w:pPr>
        <w:pStyle w:val="Heading3"/>
      </w:pPr>
      <w:bookmarkStart w:id="29" w:name="_Toc77586513"/>
      <w:r w:rsidRPr="00E960F3">
        <w:lastRenderedPageBreak/>
        <w:t>Factors and circumstances that may trigger a discretion</w:t>
      </w:r>
      <w:bookmarkEnd w:id="29"/>
    </w:p>
    <w:p w14:paraId="3A1251D7" w14:textId="5BF1C73F" w:rsidR="00CB1718" w:rsidRDefault="00CB1718" w:rsidP="000F4159">
      <w:pPr>
        <w:pStyle w:val="Heading4"/>
      </w:pPr>
      <w:r>
        <w:t>Public interest benefits</w:t>
      </w:r>
    </w:p>
    <w:p w14:paraId="3C25BBFC" w14:textId="30EAC848" w:rsidR="00354BE6" w:rsidRPr="00E960F3" w:rsidRDefault="00354BE6" w:rsidP="00354BE6">
      <w:r w:rsidRPr="00E960F3">
        <w:t>Drawing upon the examples of other regulators, circumstances where a disclosure of information could be necessary and in the public interest may include the following:</w:t>
      </w:r>
    </w:p>
    <w:p w14:paraId="0EA999E0" w14:textId="37CE0002" w:rsidR="00354BE6" w:rsidRDefault="00354BE6" w:rsidP="00354BE6">
      <w:pPr>
        <w:numPr>
          <w:ilvl w:val="0"/>
          <w:numId w:val="1"/>
        </w:numPr>
        <w:spacing w:before="0"/>
        <w:rPr>
          <w:lang w:val="en"/>
        </w:rPr>
      </w:pPr>
      <w:r w:rsidRPr="00E960F3">
        <w:rPr>
          <w:lang w:val="en"/>
        </w:rPr>
        <w:t xml:space="preserve">there is significant public </w:t>
      </w:r>
      <w:r w:rsidR="00045825">
        <w:rPr>
          <w:lang w:val="en"/>
        </w:rPr>
        <w:t>discourse</w:t>
      </w:r>
      <w:r w:rsidRPr="00E960F3">
        <w:rPr>
          <w:lang w:val="en"/>
        </w:rPr>
        <w:t xml:space="preserve"> about an </w:t>
      </w:r>
      <w:proofErr w:type="gramStart"/>
      <w:r w:rsidRPr="00E960F3">
        <w:rPr>
          <w:lang w:val="en"/>
        </w:rPr>
        <w:t>issue;</w:t>
      </w:r>
      <w:proofErr w:type="gramEnd"/>
    </w:p>
    <w:p w14:paraId="3D88EA8C" w14:textId="6DAF59DA" w:rsidR="00354BE6" w:rsidRPr="00E960F3" w:rsidRDefault="00354BE6" w:rsidP="00354BE6">
      <w:pPr>
        <w:numPr>
          <w:ilvl w:val="0"/>
          <w:numId w:val="1"/>
        </w:numPr>
        <w:spacing w:before="0"/>
        <w:rPr>
          <w:lang w:val="en"/>
        </w:rPr>
      </w:pPr>
      <w:r>
        <w:rPr>
          <w:lang w:val="en"/>
        </w:rPr>
        <w:t xml:space="preserve">the information may be of wider public interest or serve to educate the sector and the </w:t>
      </w:r>
      <w:proofErr w:type="gramStart"/>
      <w:r>
        <w:rPr>
          <w:lang w:val="en"/>
        </w:rPr>
        <w:t>public;</w:t>
      </w:r>
      <w:proofErr w:type="gramEnd"/>
    </w:p>
    <w:p w14:paraId="1B80EC5C" w14:textId="77777777" w:rsidR="00354BE6" w:rsidRPr="00E960F3" w:rsidRDefault="00354BE6" w:rsidP="00354BE6">
      <w:pPr>
        <w:numPr>
          <w:ilvl w:val="0"/>
          <w:numId w:val="1"/>
        </w:numPr>
        <w:spacing w:before="0"/>
        <w:rPr>
          <w:lang w:val="en"/>
        </w:rPr>
      </w:pPr>
      <w:r w:rsidRPr="00E960F3">
        <w:rPr>
          <w:lang w:val="en"/>
        </w:rPr>
        <w:t xml:space="preserve">the public record may require correction or </w:t>
      </w:r>
      <w:proofErr w:type="gramStart"/>
      <w:r w:rsidRPr="00E960F3">
        <w:rPr>
          <w:lang w:val="en"/>
        </w:rPr>
        <w:t>clarification;</w:t>
      </w:r>
      <w:proofErr w:type="gramEnd"/>
    </w:p>
    <w:p w14:paraId="3BF851ED" w14:textId="07FE2047" w:rsidR="00354BE6" w:rsidRPr="00E960F3" w:rsidRDefault="00354BE6" w:rsidP="00354BE6">
      <w:pPr>
        <w:numPr>
          <w:ilvl w:val="0"/>
          <w:numId w:val="1"/>
        </w:numPr>
        <w:spacing w:before="0"/>
        <w:rPr>
          <w:lang w:val="en"/>
        </w:rPr>
      </w:pPr>
      <w:r w:rsidRPr="00E960F3">
        <w:rPr>
          <w:lang w:val="en"/>
        </w:rPr>
        <w:t xml:space="preserve">the </w:t>
      </w:r>
      <w:r w:rsidR="005C79BE">
        <w:rPr>
          <w:lang w:val="en"/>
        </w:rPr>
        <w:t>regulator</w:t>
      </w:r>
      <w:r w:rsidRPr="00E960F3">
        <w:rPr>
          <w:lang w:val="en"/>
        </w:rPr>
        <w:t xml:space="preserve"> has made a decision or taken action that could be precedential or </w:t>
      </w:r>
      <w:proofErr w:type="gramStart"/>
      <w:r w:rsidRPr="00E960F3">
        <w:rPr>
          <w:lang w:val="en"/>
        </w:rPr>
        <w:t>significant;</w:t>
      </w:r>
      <w:proofErr w:type="gramEnd"/>
      <w:r w:rsidRPr="00E960F3">
        <w:rPr>
          <w:lang w:val="en"/>
        </w:rPr>
        <w:t xml:space="preserve">  </w:t>
      </w:r>
    </w:p>
    <w:p w14:paraId="406BB608" w14:textId="6B64DA06" w:rsidR="00354BE6" w:rsidRPr="00E960F3" w:rsidRDefault="00354BE6" w:rsidP="00354BE6">
      <w:pPr>
        <w:numPr>
          <w:ilvl w:val="0"/>
          <w:numId w:val="1"/>
        </w:numPr>
        <w:spacing w:before="0"/>
        <w:rPr>
          <w:lang w:val="en"/>
        </w:rPr>
      </w:pPr>
      <w:r w:rsidRPr="00E960F3">
        <w:rPr>
          <w:lang w:val="en"/>
        </w:rPr>
        <w:t xml:space="preserve">there is evidence of </w:t>
      </w:r>
      <w:bookmarkStart w:id="30" w:name="_Hlk75957981"/>
      <w:r w:rsidRPr="00E960F3">
        <w:rPr>
          <w:lang w:val="en"/>
        </w:rPr>
        <w:t>misconduct</w:t>
      </w:r>
      <w:bookmarkEnd w:id="30"/>
      <w:r w:rsidRPr="00E960F3">
        <w:rPr>
          <w:lang w:val="en"/>
        </w:rPr>
        <w:t>; and</w:t>
      </w:r>
    </w:p>
    <w:p w14:paraId="7F332EF0" w14:textId="77777777" w:rsidR="00354BE6" w:rsidRPr="00E960F3" w:rsidRDefault="00354BE6" w:rsidP="00354BE6">
      <w:pPr>
        <w:numPr>
          <w:ilvl w:val="0"/>
          <w:numId w:val="1"/>
        </w:numPr>
        <w:spacing w:before="0"/>
      </w:pPr>
      <w:r w:rsidRPr="00E960F3">
        <w:rPr>
          <w:lang w:val="en"/>
        </w:rPr>
        <w:t>a case</w:t>
      </w:r>
      <w:r w:rsidRPr="00E960F3">
        <w:t xml:space="preserve"> raises issues that may pose a risk to other registered charities or the public.</w:t>
      </w:r>
    </w:p>
    <w:p w14:paraId="699CABD0" w14:textId="43EFF0CB" w:rsidR="00354BE6" w:rsidRPr="00E960F3" w:rsidRDefault="00CB1718" w:rsidP="00354BE6">
      <w:pPr>
        <w:rPr>
          <w:rFonts w:cstheme="minorHAnsi"/>
        </w:rPr>
      </w:pPr>
      <w:r>
        <w:t>Therefore</w:t>
      </w:r>
      <w:r w:rsidR="00354BE6" w:rsidRPr="00E960F3">
        <w:t>, a disclosure of information could be assessed as being in the public interest if the disclosure of information has the potential to achieve one or more of the following benefits:</w:t>
      </w:r>
    </w:p>
    <w:p w14:paraId="3A7849DE" w14:textId="3B290069" w:rsidR="00354BE6" w:rsidRPr="00E960F3" w:rsidRDefault="00354BE6" w:rsidP="00354BE6">
      <w:pPr>
        <w:numPr>
          <w:ilvl w:val="0"/>
          <w:numId w:val="1"/>
        </w:numPr>
        <w:spacing w:before="0"/>
        <w:rPr>
          <w:lang w:val="en"/>
        </w:rPr>
      </w:pPr>
      <w:r w:rsidRPr="00E960F3">
        <w:rPr>
          <w:lang w:val="en"/>
        </w:rPr>
        <w:t xml:space="preserve">protect public trust and confidence in the charity sector and/or in the </w:t>
      </w:r>
      <w:proofErr w:type="gramStart"/>
      <w:r w:rsidR="005C79BE">
        <w:rPr>
          <w:lang w:val="en"/>
        </w:rPr>
        <w:t>regulator</w:t>
      </w:r>
      <w:r w:rsidRPr="00E960F3">
        <w:rPr>
          <w:lang w:val="en"/>
        </w:rPr>
        <w:t>;</w:t>
      </w:r>
      <w:proofErr w:type="gramEnd"/>
    </w:p>
    <w:p w14:paraId="33B6946E" w14:textId="2F0193F6" w:rsidR="00354BE6" w:rsidRPr="00E960F3" w:rsidRDefault="00354BE6" w:rsidP="00354BE6">
      <w:pPr>
        <w:numPr>
          <w:ilvl w:val="0"/>
          <w:numId w:val="1"/>
        </w:numPr>
        <w:spacing w:before="0"/>
        <w:rPr>
          <w:lang w:val="en"/>
        </w:rPr>
      </w:pPr>
      <w:r w:rsidRPr="00E960F3">
        <w:rPr>
          <w:lang w:val="en"/>
        </w:rPr>
        <w:t xml:space="preserve">promote the transparency and accountability of the charity sector and/or the </w:t>
      </w:r>
      <w:r w:rsidR="005C79BE">
        <w:rPr>
          <w:lang w:val="en"/>
        </w:rPr>
        <w:t xml:space="preserve">regulator </w:t>
      </w:r>
      <w:r w:rsidRPr="00E960F3">
        <w:rPr>
          <w:lang w:val="en"/>
        </w:rPr>
        <w:t xml:space="preserve">to the </w:t>
      </w:r>
      <w:proofErr w:type="gramStart"/>
      <w:r w:rsidRPr="00E960F3">
        <w:rPr>
          <w:lang w:val="en"/>
        </w:rPr>
        <w:t>public;</w:t>
      </w:r>
      <w:proofErr w:type="gramEnd"/>
    </w:p>
    <w:p w14:paraId="7E68FE13" w14:textId="77777777" w:rsidR="00354BE6" w:rsidRPr="00E960F3" w:rsidRDefault="00354BE6" w:rsidP="00354BE6">
      <w:pPr>
        <w:numPr>
          <w:ilvl w:val="0"/>
          <w:numId w:val="1"/>
        </w:numPr>
        <w:spacing w:before="0"/>
        <w:rPr>
          <w:lang w:val="en"/>
        </w:rPr>
      </w:pPr>
      <w:r w:rsidRPr="00E960F3">
        <w:rPr>
          <w:lang w:val="en"/>
        </w:rPr>
        <w:t xml:space="preserve">deter misconduct or allay public concern about conduct in the charity </w:t>
      </w:r>
      <w:proofErr w:type="gramStart"/>
      <w:r w:rsidRPr="00E960F3">
        <w:rPr>
          <w:lang w:val="en"/>
        </w:rPr>
        <w:t>sector;</w:t>
      </w:r>
      <w:proofErr w:type="gramEnd"/>
    </w:p>
    <w:p w14:paraId="1CE80EFF" w14:textId="77777777" w:rsidR="00354BE6" w:rsidRPr="00E960F3" w:rsidRDefault="00354BE6" w:rsidP="00354BE6">
      <w:pPr>
        <w:numPr>
          <w:ilvl w:val="0"/>
          <w:numId w:val="1"/>
        </w:numPr>
        <w:spacing w:before="0"/>
        <w:rPr>
          <w:lang w:val="en"/>
        </w:rPr>
      </w:pPr>
      <w:r w:rsidRPr="00E960F3">
        <w:rPr>
          <w:lang w:val="en"/>
        </w:rPr>
        <w:t>provide regulatory guidance about a particular regulatory or legal matter that the sector would benefit from; or</w:t>
      </w:r>
    </w:p>
    <w:p w14:paraId="0D941C4A" w14:textId="77777777" w:rsidR="00354BE6" w:rsidRPr="00E960F3" w:rsidRDefault="00354BE6" w:rsidP="00354BE6">
      <w:pPr>
        <w:numPr>
          <w:ilvl w:val="0"/>
          <w:numId w:val="1"/>
        </w:numPr>
        <w:spacing w:before="0"/>
        <w:rPr>
          <w:lang w:val="en"/>
        </w:rPr>
      </w:pPr>
      <w:r w:rsidRPr="00E960F3">
        <w:rPr>
          <w:lang w:val="en"/>
        </w:rPr>
        <w:t>correct the public record and clarify the facts around a particular case.</w:t>
      </w:r>
    </w:p>
    <w:tbl>
      <w:tblPr>
        <w:tblStyle w:val="TableGrid2"/>
        <w:tblW w:w="0" w:type="auto"/>
        <w:tblLook w:val="04A0" w:firstRow="1" w:lastRow="0" w:firstColumn="1" w:lastColumn="0" w:noHBand="0" w:noVBand="1"/>
      </w:tblPr>
      <w:tblGrid>
        <w:gridCol w:w="9070"/>
      </w:tblGrid>
      <w:tr w:rsidR="00354BE6" w:rsidRPr="00E960F3" w14:paraId="30E9D528" w14:textId="77777777" w:rsidTr="00354BE6">
        <w:tc>
          <w:tcPr>
            <w:tcW w:w="9070" w:type="dxa"/>
          </w:tcPr>
          <w:p w14:paraId="060DF996" w14:textId="66F56F24" w:rsidR="00354BE6" w:rsidRPr="00E960F3" w:rsidRDefault="00354BE6" w:rsidP="00354BE6">
            <w:pPr>
              <w:keepNext/>
              <w:spacing w:before="0"/>
              <w:outlineLvl w:val="4"/>
              <w:rPr>
                <w:rFonts w:cs="Arial"/>
                <w:b/>
                <w:iCs/>
                <w:color w:val="002C47"/>
                <w:kern w:val="32"/>
                <w:sz w:val="22"/>
                <w:szCs w:val="40"/>
              </w:rPr>
            </w:pPr>
            <w:r w:rsidRPr="00E960F3">
              <w:rPr>
                <w:rFonts w:cs="Arial"/>
                <w:b/>
                <w:iCs/>
                <w:color w:val="002C47"/>
                <w:kern w:val="32"/>
                <w:sz w:val="22"/>
                <w:szCs w:val="40"/>
              </w:rPr>
              <w:t>Question</w:t>
            </w:r>
          </w:p>
          <w:p w14:paraId="665DA0AC" w14:textId="49A3E90B" w:rsidR="00354BE6" w:rsidRPr="00DE094D" w:rsidRDefault="00CB1718" w:rsidP="00354BE6">
            <w:pPr>
              <w:numPr>
                <w:ilvl w:val="0"/>
                <w:numId w:val="16"/>
              </w:numPr>
              <w:spacing w:before="0"/>
              <w:jc w:val="left"/>
              <w:rPr>
                <w:sz w:val="22"/>
                <w:szCs w:val="22"/>
              </w:rPr>
            </w:pPr>
            <w:r w:rsidRPr="00E960F3">
              <w:rPr>
                <w:sz w:val="22"/>
                <w:szCs w:val="22"/>
              </w:rPr>
              <w:t>If a public interest test were to form the basis of the ACNC Commissioner’s discretion to disclose information about</w:t>
            </w:r>
            <w:r>
              <w:rPr>
                <w:sz w:val="22"/>
                <w:szCs w:val="22"/>
              </w:rPr>
              <w:t xml:space="preserve"> the ACNC’s regulatory activities</w:t>
            </w:r>
            <w:r w:rsidRPr="00E960F3">
              <w:rPr>
                <w:sz w:val="22"/>
                <w:szCs w:val="22"/>
              </w:rPr>
              <w:t xml:space="preserve">, </w:t>
            </w:r>
            <w:r>
              <w:rPr>
                <w:sz w:val="22"/>
                <w:szCs w:val="22"/>
              </w:rPr>
              <w:t>w</w:t>
            </w:r>
            <w:r w:rsidR="00354BE6" w:rsidRPr="00E960F3">
              <w:rPr>
                <w:sz w:val="22"/>
                <w:szCs w:val="22"/>
              </w:rPr>
              <w:t xml:space="preserve">hat public interest benefits should the ACNC Commissioner take into consideration when exercising the discretion and why? </w:t>
            </w:r>
          </w:p>
        </w:tc>
      </w:tr>
    </w:tbl>
    <w:p w14:paraId="15A31DE0" w14:textId="77777777" w:rsidR="00354BE6" w:rsidRPr="00E960F3" w:rsidRDefault="00354BE6" w:rsidP="000F4159">
      <w:pPr>
        <w:pStyle w:val="Heading4"/>
      </w:pPr>
      <w:r w:rsidRPr="00E960F3">
        <w:t>Public interest risks</w:t>
      </w:r>
    </w:p>
    <w:p w14:paraId="2DBDD2A6" w14:textId="77777777" w:rsidR="00354BE6" w:rsidRPr="00E960F3" w:rsidRDefault="00354BE6" w:rsidP="00354BE6">
      <w:pPr>
        <w:spacing w:before="0"/>
      </w:pPr>
      <w:r w:rsidRPr="00E960F3">
        <w:t>Conversely, regulators may determine that a disclosure of information would not be in the public interest. Examples of these factors include where a disclosure of information will:</w:t>
      </w:r>
    </w:p>
    <w:p w14:paraId="6646ED97" w14:textId="77777777" w:rsidR="00354BE6" w:rsidRPr="00E960F3" w:rsidRDefault="00354BE6" w:rsidP="00354BE6">
      <w:pPr>
        <w:numPr>
          <w:ilvl w:val="0"/>
          <w:numId w:val="1"/>
        </w:numPr>
        <w:spacing w:before="0"/>
        <w:rPr>
          <w:lang w:val="en"/>
        </w:rPr>
      </w:pPr>
      <w:r w:rsidRPr="00E960F3">
        <w:rPr>
          <w:lang w:val="en"/>
        </w:rPr>
        <w:t xml:space="preserve">interfere with or prejudice legal </w:t>
      </w:r>
      <w:proofErr w:type="gramStart"/>
      <w:r w:rsidRPr="00E960F3">
        <w:rPr>
          <w:lang w:val="en"/>
        </w:rPr>
        <w:t>proceedings;</w:t>
      </w:r>
      <w:proofErr w:type="gramEnd"/>
    </w:p>
    <w:p w14:paraId="4A15980A" w14:textId="77777777" w:rsidR="00354BE6" w:rsidRPr="00E960F3" w:rsidRDefault="00354BE6" w:rsidP="00354BE6">
      <w:pPr>
        <w:numPr>
          <w:ilvl w:val="0"/>
          <w:numId w:val="1"/>
        </w:numPr>
        <w:spacing w:before="0"/>
        <w:rPr>
          <w:lang w:val="en"/>
        </w:rPr>
      </w:pPr>
      <w:r w:rsidRPr="00E960F3">
        <w:rPr>
          <w:lang w:val="en"/>
        </w:rPr>
        <w:t xml:space="preserve">be acutely detrimental to a particular individual or group of individuals, for example a risk to someone’s personal </w:t>
      </w:r>
      <w:proofErr w:type="gramStart"/>
      <w:r w:rsidRPr="00E960F3">
        <w:rPr>
          <w:lang w:val="en"/>
        </w:rPr>
        <w:t>safety;</w:t>
      </w:r>
      <w:proofErr w:type="gramEnd"/>
    </w:p>
    <w:p w14:paraId="39769DD6" w14:textId="77777777" w:rsidR="00354BE6" w:rsidRPr="00E960F3" w:rsidRDefault="00354BE6" w:rsidP="00354BE6">
      <w:pPr>
        <w:numPr>
          <w:ilvl w:val="0"/>
          <w:numId w:val="1"/>
        </w:numPr>
        <w:spacing w:before="0"/>
        <w:rPr>
          <w:lang w:val="en"/>
        </w:rPr>
      </w:pPr>
      <w:r w:rsidRPr="00E960F3">
        <w:rPr>
          <w:lang w:val="en"/>
        </w:rPr>
        <w:t>unduly impact commercial sensitivities or give rise to national security issues; or</w:t>
      </w:r>
    </w:p>
    <w:p w14:paraId="1691EB4B" w14:textId="59676E43" w:rsidR="00354BE6" w:rsidRDefault="00354BE6" w:rsidP="00354BE6">
      <w:pPr>
        <w:numPr>
          <w:ilvl w:val="0"/>
          <w:numId w:val="1"/>
        </w:numPr>
        <w:spacing w:before="0"/>
      </w:pPr>
      <w:r w:rsidRPr="00E960F3">
        <w:rPr>
          <w:lang w:val="en"/>
        </w:rPr>
        <w:t>cause</w:t>
      </w:r>
      <w:r w:rsidRPr="00E960F3">
        <w:t xml:space="preserve"> severe or disproportionate prejudice to a person or entity</w:t>
      </w:r>
      <w:r w:rsidR="00F309CD">
        <w:t xml:space="preserve"> (including their reputation)</w:t>
      </w:r>
      <w:r w:rsidRPr="00E960F3">
        <w:t>.</w:t>
      </w:r>
    </w:p>
    <w:tbl>
      <w:tblPr>
        <w:tblStyle w:val="TableGrid"/>
        <w:tblW w:w="0" w:type="auto"/>
        <w:tblLook w:val="04A0" w:firstRow="1" w:lastRow="0" w:firstColumn="1" w:lastColumn="0" w:noHBand="0" w:noVBand="1"/>
      </w:tblPr>
      <w:tblGrid>
        <w:gridCol w:w="9070"/>
      </w:tblGrid>
      <w:tr w:rsidR="00817872" w14:paraId="57493B21" w14:textId="77777777" w:rsidTr="00817872">
        <w:tc>
          <w:tcPr>
            <w:tcW w:w="9070" w:type="dxa"/>
          </w:tcPr>
          <w:p w14:paraId="11686EEC" w14:textId="77777777" w:rsidR="00817872" w:rsidRPr="00817872" w:rsidRDefault="00817872" w:rsidP="00817872">
            <w:pPr>
              <w:keepNext/>
              <w:spacing w:before="0"/>
              <w:outlineLvl w:val="4"/>
              <w:rPr>
                <w:rFonts w:cs="Arial"/>
                <w:b/>
                <w:iCs/>
                <w:color w:val="002C47"/>
                <w:kern w:val="32"/>
                <w:sz w:val="22"/>
                <w:szCs w:val="40"/>
              </w:rPr>
            </w:pPr>
            <w:r w:rsidRPr="00817872">
              <w:rPr>
                <w:rFonts w:cs="Arial"/>
                <w:b/>
                <w:iCs/>
                <w:color w:val="002C47"/>
                <w:kern w:val="32"/>
                <w:sz w:val="22"/>
                <w:szCs w:val="40"/>
              </w:rPr>
              <w:t>Question</w:t>
            </w:r>
          </w:p>
          <w:p w14:paraId="6712CCD7" w14:textId="6E73FF44" w:rsidR="00817872" w:rsidRDefault="00817872" w:rsidP="00817872">
            <w:pPr>
              <w:numPr>
                <w:ilvl w:val="0"/>
                <w:numId w:val="16"/>
              </w:numPr>
              <w:spacing w:before="0"/>
            </w:pPr>
            <w:r w:rsidRPr="00817872">
              <w:rPr>
                <w:sz w:val="22"/>
                <w:szCs w:val="22"/>
              </w:rPr>
              <w:t>If a public interest test were to form the basis of the ACNC Commissioner’s discretion to disclose information about the ACNC’s regulatory activities, what risk factors should the ACNC Commissioner take into consideration when exercising the discretion and why?</w:t>
            </w:r>
          </w:p>
        </w:tc>
      </w:tr>
    </w:tbl>
    <w:p w14:paraId="6FFDD5C1" w14:textId="77777777" w:rsidR="00817872" w:rsidRPr="00E960F3" w:rsidRDefault="00817872" w:rsidP="00817872">
      <w:pPr>
        <w:spacing w:before="0"/>
      </w:pPr>
    </w:p>
    <w:p w14:paraId="6024B740" w14:textId="6E459B4A" w:rsidR="00E960F3" w:rsidRPr="00E960F3" w:rsidRDefault="00F523ED" w:rsidP="00A03C24">
      <w:pPr>
        <w:pStyle w:val="Heading2"/>
      </w:pPr>
      <w:bookmarkStart w:id="31" w:name="_Toc77586514"/>
      <w:r>
        <w:lastRenderedPageBreak/>
        <w:t xml:space="preserve">Potential areas for </w:t>
      </w:r>
      <w:bookmarkStart w:id="32" w:name="_Toc74650696"/>
      <w:r>
        <w:t xml:space="preserve">increased disclosure </w:t>
      </w:r>
      <w:r w:rsidR="00E960F3" w:rsidRPr="00E960F3">
        <w:t>for consideration</w:t>
      </w:r>
      <w:bookmarkEnd w:id="31"/>
      <w:bookmarkEnd w:id="32"/>
    </w:p>
    <w:p w14:paraId="7B9709E9" w14:textId="14A949ED" w:rsidR="00E960F3" w:rsidRPr="00E960F3" w:rsidRDefault="00E960F3" w:rsidP="00E960F3">
      <w:r w:rsidRPr="00E960F3">
        <w:t>The following section explores three areas in the current secrecy provisions that the ACNC Review identified as being overly restrictive. The section considers the issues surrounding these areas and the rationale for amending the secrecy provisions in these areas.</w:t>
      </w:r>
    </w:p>
    <w:p w14:paraId="6C64238E" w14:textId="0E3AACA4" w:rsidR="00E960F3" w:rsidRPr="00E960F3" w:rsidRDefault="00E960F3" w:rsidP="00A03C24">
      <w:pPr>
        <w:pStyle w:val="Heading3"/>
      </w:pPr>
      <w:bookmarkStart w:id="33" w:name="_Toc74650697"/>
      <w:bookmarkStart w:id="34" w:name="_Toc77586515"/>
      <w:r w:rsidRPr="00E960F3">
        <w:t>Area 1: Reasons for registration decisions</w:t>
      </w:r>
      <w:bookmarkEnd w:id="33"/>
      <w:bookmarkEnd w:id="34"/>
    </w:p>
    <w:tbl>
      <w:tblPr>
        <w:tblStyle w:val="TableGrid"/>
        <w:tblW w:w="0" w:type="auto"/>
        <w:shd w:val="clear" w:color="auto" w:fill="D2EDFF" w:themeFill="accent1" w:themeFillTint="1A"/>
        <w:tblLook w:val="04A0" w:firstRow="1" w:lastRow="0" w:firstColumn="1" w:lastColumn="0" w:noHBand="0" w:noVBand="1"/>
      </w:tblPr>
      <w:tblGrid>
        <w:gridCol w:w="9070"/>
      </w:tblGrid>
      <w:tr w:rsidR="005A4C03" w14:paraId="7BA774D4" w14:textId="77777777" w:rsidTr="004B351B">
        <w:tc>
          <w:tcPr>
            <w:tcW w:w="9070" w:type="dxa"/>
            <w:shd w:val="clear" w:color="auto" w:fill="D2EDFF" w:themeFill="accent1" w:themeFillTint="1A"/>
          </w:tcPr>
          <w:p w14:paraId="723D90C8" w14:textId="2E0E55B6" w:rsidR="00477125" w:rsidRPr="002042B9" w:rsidRDefault="00470C53" w:rsidP="00D42398">
            <w:pPr>
              <w:pStyle w:val="Heading5"/>
              <w:outlineLvl w:val="4"/>
              <w:rPr>
                <w:sz w:val="22"/>
              </w:rPr>
            </w:pPr>
            <w:r w:rsidRPr="002042B9">
              <w:rPr>
                <w:sz w:val="22"/>
              </w:rPr>
              <w:t>Quick Fact:</w:t>
            </w:r>
          </w:p>
          <w:p w14:paraId="41447E20" w14:textId="543AE3AF" w:rsidR="005A4C03" w:rsidRPr="00920ABF" w:rsidRDefault="005A4C03" w:rsidP="00920ABF">
            <w:pPr>
              <w:rPr>
                <w:sz w:val="22"/>
              </w:rPr>
            </w:pPr>
            <w:r w:rsidRPr="002042B9">
              <w:rPr>
                <w:sz w:val="22"/>
                <w:szCs w:val="22"/>
              </w:rPr>
              <w:t xml:space="preserve">The ACNC receives around </w:t>
            </w:r>
            <w:r w:rsidR="006D1FA7" w:rsidRPr="002042B9">
              <w:rPr>
                <w:sz w:val="22"/>
                <w:szCs w:val="22"/>
              </w:rPr>
              <w:t>4</w:t>
            </w:r>
            <w:r w:rsidRPr="002042B9">
              <w:rPr>
                <w:sz w:val="22"/>
                <w:szCs w:val="22"/>
              </w:rPr>
              <w:t>,000 applications for registration per year</w:t>
            </w:r>
            <w:r w:rsidR="00470C53" w:rsidRPr="002042B9">
              <w:rPr>
                <w:sz w:val="22"/>
                <w:szCs w:val="22"/>
              </w:rPr>
              <w:t>,</w:t>
            </w:r>
            <w:r w:rsidRPr="002042B9">
              <w:rPr>
                <w:sz w:val="22"/>
                <w:szCs w:val="22"/>
              </w:rPr>
              <w:t xml:space="preserve"> of which on average 35 </w:t>
            </w:r>
            <w:r w:rsidR="00470C53" w:rsidRPr="002042B9">
              <w:rPr>
                <w:sz w:val="22"/>
                <w:szCs w:val="22"/>
              </w:rPr>
              <w:t xml:space="preserve">applications </w:t>
            </w:r>
            <w:r w:rsidRPr="002042B9">
              <w:rPr>
                <w:sz w:val="22"/>
                <w:szCs w:val="22"/>
              </w:rPr>
              <w:t>are refused for reasons other than insufficient information</w:t>
            </w:r>
            <w:r w:rsidR="00470C53" w:rsidRPr="002042B9">
              <w:rPr>
                <w:sz w:val="22"/>
                <w:szCs w:val="22"/>
              </w:rPr>
              <w:t>.</w:t>
            </w:r>
          </w:p>
        </w:tc>
      </w:tr>
    </w:tbl>
    <w:p w14:paraId="58B4FEC9" w14:textId="6250E200" w:rsidR="00E960F3" w:rsidRPr="00E960F3" w:rsidRDefault="00E960F3" w:rsidP="00E960F3">
      <w:r w:rsidRPr="00E960F3">
        <w:t xml:space="preserve">When an entity applies to the ACNC for registration as a charity, the ACNC Commissioner will </w:t>
      </w:r>
      <w:proofErr w:type="gramStart"/>
      <w:r w:rsidRPr="00E960F3">
        <w:t>make a decision</w:t>
      </w:r>
      <w:proofErr w:type="gramEnd"/>
      <w:r w:rsidRPr="00E960F3">
        <w:t xml:space="preserve"> on its eligibility based on certain criteria. If the entity is successful, the ACNC will include information about the entity on the ACNC Charity Register. This includes the entity’s identifying details (name, contact, ABN, registration type, governing rules, responsible persons, etc.).</w:t>
      </w:r>
    </w:p>
    <w:p w14:paraId="329F5D21" w14:textId="25AD044E" w:rsidR="00E960F3" w:rsidRPr="00E960F3" w:rsidRDefault="00E960F3" w:rsidP="00E960F3">
      <w:r w:rsidRPr="00E960F3">
        <w:t xml:space="preserve">If the entity’s application is refused, the applicant is advised of the decision and entitled to a review. The ACNC is unable to publish information about the entity, that it has rejected an application from the entity, or the ACNC’s reason for its decision. </w:t>
      </w:r>
    </w:p>
    <w:p w14:paraId="798AF495" w14:textId="1DF286DD" w:rsidR="003810C8" w:rsidRPr="00E960F3" w:rsidRDefault="003810C8" w:rsidP="00E960F3">
      <w:r>
        <w:t xml:space="preserve">In contrast, the UK Charity Commission and </w:t>
      </w:r>
      <w:r w:rsidRPr="00E960F3">
        <w:t xml:space="preserve">New Zealand Charities Services publish full statements about </w:t>
      </w:r>
      <w:r>
        <w:t>their</w:t>
      </w:r>
      <w:r w:rsidRPr="00E960F3">
        <w:t xml:space="preserve"> registration and non-registration decisions</w:t>
      </w:r>
      <w:r>
        <w:t>, including identifying details about an entity and its application,</w:t>
      </w:r>
      <w:r w:rsidRPr="00E960F3">
        <w:t xml:space="preserve"> </w:t>
      </w:r>
      <w:r>
        <w:t>where the decision is of</w:t>
      </w:r>
      <w:r w:rsidRPr="00E960F3">
        <w:t xml:space="preserve"> wider</w:t>
      </w:r>
      <w:r>
        <w:t xml:space="preserve"> interest</w:t>
      </w:r>
      <w:r w:rsidRPr="00E960F3">
        <w:t xml:space="preserve"> </w:t>
      </w:r>
      <w:r>
        <w:t>and</w:t>
      </w:r>
      <w:r w:rsidRPr="00E960F3">
        <w:t xml:space="preserve"> </w:t>
      </w:r>
      <w:r>
        <w:t xml:space="preserve">it may educate </w:t>
      </w:r>
      <w:r w:rsidRPr="00E960F3">
        <w:t>the charitable sector</w:t>
      </w:r>
      <w:r w:rsidR="00A03734">
        <w:t xml:space="preserve"> </w:t>
      </w:r>
      <w:r w:rsidR="00A03734" w:rsidRPr="008429D3">
        <w:t xml:space="preserve">(refer </w:t>
      </w:r>
      <w:r w:rsidR="00A03734" w:rsidRPr="00726ACE">
        <w:t>B</w:t>
      </w:r>
      <w:r w:rsidR="00A03734" w:rsidRPr="008429D3">
        <w:t>ox 1)</w:t>
      </w:r>
      <w:r w:rsidRPr="008429D3">
        <w:t>.</w:t>
      </w:r>
    </w:p>
    <w:p w14:paraId="26C49B59" w14:textId="311BE6FE" w:rsidR="00E960F3" w:rsidRDefault="00E960F3" w:rsidP="00E960F3">
      <w:r w:rsidRPr="00E960F3">
        <w:t>The ACNC Review identified disclosure of decisions on an application for registration on a de</w:t>
      </w:r>
      <w:r w:rsidRPr="00E960F3">
        <w:noBreakHyphen/>
        <w:t>identified basis as a circumstance where the ACNC Commissioner should be allowed to disclose information.</w:t>
      </w:r>
    </w:p>
    <w:p w14:paraId="16795E44" w14:textId="72EAE35A" w:rsidR="001724D4" w:rsidRDefault="00A03734" w:rsidP="000F4159">
      <w:pPr>
        <w:pStyle w:val="Heading4"/>
      </w:pPr>
      <w:r>
        <w:t>Box 1: New Zealand disclosure of charity registration decision</w:t>
      </w:r>
    </w:p>
    <w:tbl>
      <w:tblPr>
        <w:tblStyle w:val="TableGrid"/>
        <w:tblW w:w="0" w:type="auto"/>
        <w:tblLook w:val="04A0" w:firstRow="1" w:lastRow="0" w:firstColumn="1" w:lastColumn="0" w:noHBand="0" w:noVBand="1"/>
      </w:tblPr>
      <w:tblGrid>
        <w:gridCol w:w="9070"/>
      </w:tblGrid>
      <w:tr w:rsidR="00F415C7" w14:paraId="4524058B" w14:textId="77777777" w:rsidTr="00046809">
        <w:tc>
          <w:tcPr>
            <w:tcW w:w="9070" w:type="dxa"/>
            <w:shd w:val="clear" w:color="auto" w:fill="B3FFEE" w:themeFill="accent3" w:themeFillTint="33"/>
          </w:tcPr>
          <w:p w14:paraId="6BA4EE26" w14:textId="4E371FC8" w:rsidR="00F415C7" w:rsidRPr="00866EDC" w:rsidRDefault="00F415C7" w:rsidP="00823767">
            <w:pPr>
              <w:jc w:val="left"/>
              <w:rPr>
                <w:rFonts w:ascii="Arial" w:hAnsi="Arial" w:cs="Arial"/>
              </w:rPr>
            </w:pPr>
            <w:r w:rsidRPr="00866EDC">
              <w:rPr>
                <w:rFonts w:ascii="Arial" w:hAnsi="Arial" w:cs="Arial"/>
                <w:b/>
                <w:bCs/>
              </w:rPr>
              <w:t>Date</w:t>
            </w:r>
            <w:r w:rsidR="00FB5CAC">
              <w:rPr>
                <w:rFonts w:ascii="Arial" w:hAnsi="Arial" w:cs="Arial"/>
                <w:b/>
                <w:bCs/>
              </w:rPr>
              <w:t xml:space="preserve"> </w:t>
            </w:r>
            <w:r w:rsidRPr="00866EDC">
              <w:rPr>
                <w:rFonts w:ascii="Arial" w:hAnsi="Arial" w:cs="Arial"/>
              </w:rPr>
              <w:t>13 September 2019</w:t>
            </w:r>
          </w:p>
          <w:p w14:paraId="31510F22" w14:textId="77777777" w:rsidR="00F415C7" w:rsidRPr="00866EDC" w:rsidRDefault="00F415C7" w:rsidP="00046809">
            <w:pPr>
              <w:rPr>
                <w:rFonts w:ascii="Arial" w:hAnsi="Arial" w:cs="Arial"/>
              </w:rPr>
            </w:pPr>
            <w:r w:rsidRPr="00866EDC">
              <w:rPr>
                <w:rFonts w:ascii="Arial" w:hAnsi="Arial" w:cs="Arial"/>
                <w:b/>
                <w:bCs/>
              </w:rPr>
              <w:t xml:space="preserve">In its decision dated 12 September 2019 </w:t>
            </w:r>
            <w:proofErr w:type="spellStart"/>
            <w:r w:rsidRPr="00866EDC">
              <w:rPr>
                <w:rFonts w:ascii="Arial" w:hAnsi="Arial" w:cs="Arial"/>
                <w:b/>
                <w:bCs/>
              </w:rPr>
              <w:t>Te</w:t>
            </w:r>
            <w:proofErr w:type="spellEnd"/>
            <w:r w:rsidRPr="00866EDC">
              <w:rPr>
                <w:rFonts w:ascii="Arial" w:hAnsi="Arial" w:cs="Arial"/>
                <w:b/>
                <w:bCs/>
              </w:rPr>
              <w:t xml:space="preserve"> </w:t>
            </w:r>
            <w:proofErr w:type="spellStart"/>
            <w:r w:rsidRPr="00866EDC">
              <w:rPr>
                <w:rFonts w:ascii="Arial" w:hAnsi="Arial" w:cs="Arial"/>
                <w:b/>
                <w:bCs/>
              </w:rPr>
              <w:t>Rātā</w:t>
            </w:r>
            <w:proofErr w:type="spellEnd"/>
            <w:r w:rsidRPr="00866EDC">
              <w:rPr>
                <w:rFonts w:ascii="Arial" w:hAnsi="Arial" w:cs="Arial"/>
                <w:b/>
                <w:bCs/>
              </w:rPr>
              <w:t xml:space="preserve"> </w:t>
            </w:r>
            <w:proofErr w:type="spellStart"/>
            <w:r w:rsidRPr="00866EDC">
              <w:rPr>
                <w:rFonts w:ascii="Arial" w:hAnsi="Arial" w:cs="Arial"/>
                <w:b/>
                <w:bCs/>
              </w:rPr>
              <w:t>Atawhai</w:t>
            </w:r>
            <w:proofErr w:type="spellEnd"/>
            <w:r w:rsidRPr="00866EDC">
              <w:rPr>
                <w:rFonts w:ascii="Arial" w:hAnsi="Arial" w:cs="Arial"/>
                <w:b/>
                <w:bCs/>
              </w:rPr>
              <w:t>, the independent Charities Registration Board, (the “Board”) has decided to decline the application of Football Otago Youth Development Academy Trust to be a registered charity because it does not advance exclusively charitable purposes.</w:t>
            </w:r>
          </w:p>
          <w:p w14:paraId="0DBE516A" w14:textId="77777777" w:rsidR="00F415C7" w:rsidRPr="00866EDC" w:rsidRDefault="00F415C7" w:rsidP="00046809">
            <w:pPr>
              <w:rPr>
                <w:rFonts w:ascii="Arial" w:hAnsi="Arial" w:cs="Arial"/>
              </w:rPr>
            </w:pPr>
            <w:r w:rsidRPr="00866EDC">
              <w:rPr>
                <w:rFonts w:ascii="Arial" w:hAnsi="Arial" w:cs="Arial"/>
              </w:rPr>
              <w:t>The role of the Board is to maintain the integrity of the Charities Register by ensuring that entities on the Charities Register qualify for registration.</w:t>
            </w:r>
          </w:p>
          <w:p w14:paraId="5945FC9D" w14:textId="77777777" w:rsidR="00F415C7" w:rsidRPr="00866EDC" w:rsidRDefault="00F415C7" w:rsidP="00046809">
            <w:pPr>
              <w:rPr>
                <w:rFonts w:ascii="Arial" w:hAnsi="Arial" w:cs="Arial"/>
              </w:rPr>
            </w:pPr>
            <w:r w:rsidRPr="00866EDC">
              <w:rPr>
                <w:rFonts w:ascii="Arial" w:hAnsi="Arial" w:cs="Arial"/>
              </w:rPr>
              <w:t>The Board makes its decisions by applying the law to the facts before it. The Board must decline to register applications from organisations when they do not advance exclusively charitable purposes for the public benefit.</w:t>
            </w:r>
          </w:p>
          <w:p w14:paraId="6CF8FA36" w14:textId="77777777" w:rsidR="00F415C7" w:rsidRPr="00866EDC" w:rsidRDefault="00F415C7" w:rsidP="00046809">
            <w:pPr>
              <w:rPr>
                <w:rFonts w:ascii="Arial" w:hAnsi="Arial" w:cs="Arial"/>
              </w:rPr>
            </w:pPr>
            <w:r w:rsidRPr="00866EDC">
              <w:rPr>
                <w:rFonts w:ascii="Arial" w:hAnsi="Arial" w:cs="Arial"/>
              </w:rPr>
              <w:t xml:space="preserve">The Board has declined the Trust’s application to be registered because the primary purpose of the Trust is to promote the development and success of young, high-performance football players selected </w:t>
            </w:r>
            <w:proofErr w:type="gramStart"/>
            <w:r w:rsidRPr="00866EDC">
              <w:rPr>
                <w:rFonts w:ascii="Arial" w:hAnsi="Arial" w:cs="Arial"/>
              </w:rPr>
              <w:t>on the basis of</w:t>
            </w:r>
            <w:proofErr w:type="gramEnd"/>
            <w:r w:rsidRPr="00866EDC">
              <w:rPr>
                <w:rFonts w:ascii="Arial" w:hAnsi="Arial" w:cs="Arial"/>
              </w:rPr>
              <w:t xml:space="preserve"> talent or skill, rather than to promote public participation in sport. The promotion of success in sport by players selected </w:t>
            </w:r>
            <w:proofErr w:type="gramStart"/>
            <w:r w:rsidRPr="00866EDC">
              <w:rPr>
                <w:rFonts w:ascii="Arial" w:hAnsi="Arial" w:cs="Arial"/>
              </w:rPr>
              <w:t>on the basis of</w:t>
            </w:r>
            <w:proofErr w:type="gramEnd"/>
            <w:r w:rsidRPr="00866EDC">
              <w:rPr>
                <w:rFonts w:ascii="Arial" w:hAnsi="Arial" w:cs="Arial"/>
              </w:rPr>
              <w:t xml:space="preserve"> talent or skill is not a charitable purpose and does not benefit a sufficient section of the public.</w:t>
            </w:r>
          </w:p>
          <w:p w14:paraId="26A3C807" w14:textId="77777777" w:rsidR="00F415C7" w:rsidRPr="00866EDC" w:rsidRDefault="00F415C7" w:rsidP="00046809">
            <w:pPr>
              <w:rPr>
                <w:rFonts w:ascii="Arial" w:hAnsi="Arial" w:cs="Arial"/>
              </w:rPr>
            </w:pPr>
            <w:r w:rsidRPr="00866EDC">
              <w:rPr>
                <w:rFonts w:ascii="Arial" w:hAnsi="Arial" w:cs="Arial"/>
              </w:rPr>
              <w:t>Although the Board considers some of the Trust’s activities may advance education and promote public health through participation in sport, these activities are not the primary focus of the Trust, and therefore are insufficient to qualify the Trust for registration.</w:t>
            </w:r>
          </w:p>
          <w:p w14:paraId="743D8949" w14:textId="77777777" w:rsidR="00F415C7" w:rsidRPr="00866EDC" w:rsidRDefault="00F415C7" w:rsidP="00046809">
            <w:pPr>
              <w:rPr>
                <w:rFonts w:ascii="Arial" w:hAnsi="Arial" w:cs="Arial"/>
              </w:rPr>
            </w:pPr>
            <w:r w:rsidRPr="00866EDC">
              <w:rPr>
                <w:rFonts w:ascii="Arial" w:hAnsi="Arial" w:cs="Arial"/>
              </w:rPr>
              <w:t>The Board also notes that the Trust was previously granted charitable status in 2010, before the insertion of section 5(2A) of the Charities Act 2005 in 2012. The Board considers that section 5(2A) makes a clear legislative statement on when sport can be considered to advance charitable purposes.</w:t>
            </w:r>
          </w:p>
          <w:p w14:paraId="77C8A011" w14:textId="77777777" w:rsidR="00F415C7" w:rsidRPr="00866EDC" w:rsidRDefault="00F415C7" w:rsidP="00046809">
            <w:pPr>
              <w:rPr>
                <w:rFonts w:ascii="Arial" w:hAnsi="Arial" w:cs="Arial"/>
              </w:rPr>
            </w:pPr>
            <w:r w:rsidRPr="00866EDC">
              <w:rPr>
                <w:rFonts w:ascii="Arial" w:hAnsi="Arial" w:cs="Arial"/>
              </w:rPr>
              <w:lastRenderedPageBreak/>
              <w:t>Roger Holmes Miller</w:t>
            </w:r>
          </w:p>
          <w:p w14:paraId="68429648" w14:textId="77777777" w:rsidR="00FB5CAC" w:rsidRDefault="00F415C7" w:rsidP="00046809">
            <w:pPr>
              <w:rPr>
                <w:rFonts w:ascii="Arial" w:hAnsi="Arial" w:cs="Arial"/>
              </w:rPr>
            </w:pPr>
            <w:r w:rsidRPr="00866EDC">
              <w:rPr>
                <w:rFonts w:ascii="Arial" w:hAnsi="Arial" w:cs="Arial"/>
              </w:rPr>
              <w:t>Charities Registration Board</w:t>
            </w:r>
          </w:p>
          <w:p w14:paraId="66B19167" w14:textId="72D2BCE7" w:rsidR="00FB5CAC" w:rsidRPr="00823767" w:rsidRDefault="00FB5CAC" w:rsidP="00046809">
            <w:pPr>
              <w:rPr>
                <w:rFonts w:ascii="Arial" w:hAnsi="Arial" w:cs="Arial"/>
              </w:rPr>
            </w:pPr>
            <w:r>
              <w:rPr>
                <w:rFonts w:ascii="Arial" w:hAnsi="Arial" w:cs="Arial"/>
                <w:b/>
                <w:bCs/>
              </w:rPr>
              <w:t>Full decision</w:t>
            </w:r>
            <w:r>
              <w:rPr>
                <w:rFonts w:ascii="Arial" w:hAnsi="Arial" w:cs="Arial"/>
              </w:rPr>
              <w:t xml:space="preserve">: </w:t>
            </w:r>
            <w:hyperlink r:id="rId22" w:history="1">
              <w:r w:rsidRPr="00823767">
                <w:rPr>
                  <w:rStyle w:val="Hyperlink"/>
                  <w:rFonts w:ascii="Arial" w:hAnsi="Arial" w:cs="Arial"/>
                  <w:u w:val="single"/>
                </w:rPr>
                <w:t>Football-Otago-Youth-Development-Academy-Trust.pdf</w:t>
              </w:r>
            </w:hyperlink>
            <w:r>
              <w:rPr>
                <w:rFonts w:ascii="Arial" w:hAnsi="Arial" w:cs="Arial"/>
                <w:u w:val="single"/>
              </w:rPr>
              <w:t xml:space="preserve"> </w:t>
            </w:r>
          </w:p>
        </w:tc>
      </w:tr>
      <w:tr w:rsidR="00F415C7" w14:paraId="113A0265" w14:textId="77777777" w:rsidTr="00046809">
        <w:tc>
          <w:tcPr>
            <w:tcW w:w="9070" w:type="dxa"/>
            <w:shd w:val="clear" w:color="auto" w:fill="F2F2F2" w:themeFill="background1" w:themeFillShade="F2"/>
          </w:tcPr>
          <w:p w14:paraId="11F57945" w14:textId="46FAE2E1" w:rsidR="00FB5CAC" w:rsidRPr="00823767" w:rsidRDefault="00F415C7" w:rsidP="00823767">
            <w:pPr>
              <w:spacing w:before="0" w:after="0"/>
              <w:jc w:val="left"/>
              <w:rPr>
                <w:rFonts w:ascii="Arial" w:hAnsi="Arial" w:cs="Arial"/>
                <w:b/>
                <w:sz w:val="16"/>
                <w:szCs w:val="16"/>
              </w:rPr>
            </w:pPr>
            <w:r w:rsidRPr="00823767">
              <w:rPr>
                <w:rFonts w:ascii="Arial" w:hAnsi="Arial" w:cs="Arial"/>
                <w:b/>
                <w:sz w:val="16"/>
                <w:szCs w:val="16"/>
              </w:rPr>
              <w:lastRenderedPageBreak/>
              <w:t xml:space="preserve">Source: </w:t>
            </w:r>
            <w:hyperlink r:id="rId23" w:history="1">
              <w:r w:rsidRPr="00823767">
                <w:rPr>
                  <w:rStyle w:val="Hyperlink"/>
                  <w:rFonts w:ascii="Arial" w:hAnsi="Arial" w:cs="Arial"/>
                  <w:sz w:val="16"/>
                  <w:szCs w:val="16"/>
                  <w:u w:val="single"/>
                </w:rPr>
                <w:t>https://www.charities.govt.nz/charities-in-new-zealand/legal-decisions/view-the-decisions/view/football-otago-youth-development-academy-trust</w:t>
              </w:r>
            </w:hyperlink>
          </w:p>
        </w:tc>
      </w:tr>
    </w:tbl>
    <w:p w14:paraId="2C40E10B" w14:textId="61DD2787" w:rsidR="007B4D75" w:rsidRPr="00E960F3" w:rsidRDefault="007B4D75" w:rsidP="000F4159">
      <w:pPr>
        <w:pStyle w:val="Heading4"/>
      </w:pPr>
      <w:r w:rsidRPr="00E960F3">
        <w:t>Potential adverse risks</w:t>
      </w:r>
    </w:p>
    <w:p w14:paraId="06F51D9B" w14:textId="2F8B3CEB" w:rsidR="007B4D75" w:rsidRPr="00E960F3" w:rsidRDefault="004501E9" w:rsidP="00E960F3">
      <w:r>
        <w:t>In the case of non-registrations, e</w:t>
      </w:r>
      <w:r w:rsidR="003810C8">
        <w:t xml:space="preserve">ntities may </w:t>
      </w:r>
      <w:r>
        <w:t xml:space="preserve">not want the reasons for an unsuccessful application for charity registration published. This could be because this information may reflect poorly on the entity and </w:t>
      </w:r>
      <w:r w:rsidR="00487575">
        <w:t>damage its reputation</w:t>
      </w:r>
      <w:r>
        <w:t xml:space="preserve">. </w:t>
      </w:r>
    </w:p>
    <w:p w14:paraId="6BA42B06" w14:textId="178FE545" w:rsidR="004501E9" w:rsidRPr="00E960F3" w:rsidRDefault="004501E9" w:rsidP="00E960F3">
      <w:r>
        <w:t xml:space="preserve">Prospective applicants may be deterred from applying for charity registration </w:t>
      </w:r>
      <w:r w:rsidR="00BC0181">
        <w:t>if a potential rejection decision may be published on the ACNC website.</w:t>
      </w:r>
      <w:r>
        <w:t xml:space="preserve"> </w:t>
      </w:r>
    </w:p>
    <w:p w14:paraId="5F886F6F" w14:textId="77777777" w:rsidR="00E960F3" w:rsidRPr="00E960F3" w:rsidRDefault="00E960F3" w:rsidP="000F4159">
      <w:pPr>
        <w:pStyle w:val="Heading4"/>
      </w:pPr>
      <w:r w:rsidRPr="00E960F3">
        <w:t>Rationale for change</w:t>
      </w:r>
    </w:p>
    <w:p w14:paraId="65F50561" w14:textId="004E7FA6" w:rsidR="00E960F3" w:rsidRPr="00E960F3" w:rsidRDefault="00E960F3" w:rsidP="00E960F3">
      <w:r w:rsidRPr="00E960F3">
        <w:t xml:space="preserve">Publishing registration decisions would provide the public with a broader understanding of </w:t>
      </w:r>
      <w:r w:rsidR="00747019">
        <w:t xml:space="preserve">the factors </w:t>
      </w:r>
      <w:r w:rsidRPr="00E960F3">
        <w:t xml:space="preserve">the Commissioner </w:t>
      </w:r>
      <w:proofErr w:type="gramStart"/>
      <w:r w:rsidRPr="00E960F3">
        <w:t>takes into account</w:t>
      </w:r>
      <w:proofErr w:type="gramEnd"/>
      <w:r w:rsidRPr="00E960F3">
        <w:t xml:space="preserve"> when assessing eligibility. The decision statements would provide guidance to other entities </w:t>
      </w:r>
      <w:r w:rsidR="00747019">
        <w:t>with similar circumstances</w:t>
      </w:r>
      <w:r w:rsidRPr="00E960F3">
        <w:t xml:space="preserve"> that are considering applying for charity registration.</w:t>
      </w:r>
    </w:p>
    <w:tbl>
      <w:tblPr>
        <w:tblStyle w:val="TableGrid2"/>
        <w:tblW w:w="0" w:type="auto"/>
        <w:tblLook w:val="04A0" w:firstRow="1" w:lastRow="0" w:firstColumn="1" w:lastColumn="0" w:noHBand="0" w:noVBand="1"/>
      </w:tblPr>
      <w:tblGrid>
        <w:gridCol w:w="9070"/>
      </w:tblGrid>
      <w:tr w:rsidR="00E960F3" w:rsidRPr="00E960F3" w14:paraId="357E2A22" w14:textId="77777777" w:rsidTr="00E960F3">
        <w:tc>
          <w:tcPr>
            <w:tcW w:w="9070" w:type="dxa"/>
          </w:tcPr>
          <w:p w14:paraId="03DC4CE2" w14:textId="1D1EB609" w:rsidR="00E960F3" w:rsidRPr="00E960F3" w:rsidRDefault="00E960F3" w:rsidP="00E960F3">
            <w:pPr>
              <w:keepNext/>
              <w:spacing w:before="0"/>
              <w:outlineLvl w:val="4"/>
              <w:rPr>
                <w:rFonts w:cs="Arial"/>
                <w:b/>
                <w:iCs/>
                <w:color w:val="002C47"/>
                <w:kern w:val="32"/>
                <w:sz w:val="22"/>
                <w:szCs w:val="22"/>
              </w:rPr>
            </w:pPr>
            <w:r w:rsidRPr="00E960F3">
              <w:rPr>
                <w:rFonts w:cs="Arial"/>
                <w:b/>
                <w:iCs/>
                <w:color w:val="002C47"/>
                <w:kern w:val="32"/>
                <w:sz w:val="22"/>
                <w:szCs w:val="22"/>
              </w:rPr>
              <w:t>Question</w:t>
            </w:r>
            <w:r w:rsidR="00477125">
              <w:rPr>
                <w:rFonts w:cs="Arial"/>
                <w:b/>
                <w:iCs/>
                <w:color w:val="002C47"/>
                <w:kern w:val="32"/>
                <w:sz w:val="22"/>
                <w:szCs w:val="22"/>
              </w:rPr>
              <w:t>s</w:t>
            </w:r>
          </w:p>
        </w:tc>
      </w:tr>
      <w:tr w:rsidR="00E960F3" w:rsidRPr="00E960F3" w14:paraId="1251931C" w14:textId="77777777" w:rsidTr="00E960F3">
        <w:tc>
          <w:tcPr>
            <w:tcW w:w="9070" w:type="dxa"/>
          </w:tcPr>
          <w:p w14:paraId="1DEA715A" w14:textId="4A048168" w:rsidR="00E960F3" w:rsidRDefault="00611C55" w:rsidP="005B589F">
            <w:pPr>
              <w:numPr>
                <w:ilvl w:val="0"/>
                <w:numId w:val="16"/>
              </w:numPr>
              <w:spacing w:before="0"/>
              <w:ind w:left="357" w:hanging="357"/>
              <w:rPr>
                <w:sz w:val="22"/>
                <w:szCs w:val="22"/>
              </w:rPr>
            </w:pPr>
            <w:r>
              <w:rPr>
                <w:sz w:val="22"/>
                <w:szCs w:val="22"/>
              </w:rPr>
              <w:t xml:space="preserve">Do you have any concerns </w:t>
            </w:r>
            <w:r w:rsidR="00E522FB">
              <w:rPr>
                <w:sz w:val="22"/>
                <w:szCs w:val="22"/>
              </w:rPr>
              <w:t xml:space="preserve">(other than privacy and confidentiality) </w:t>
            </w:r>
            <w:r>
              <w:rPr>
                <w:sz w:val="22"/>
                <w:szCs w:val="22"/>
              </w:rPr>
              <w:t xml:space="preserve">about </w:t>
            </w:r>
            <w:r w:rsidR="00024D76">
              <w:rPr>
                <w:sz w:val="22"/>
                <w:szCs w:val="22"/>
              </w:rPr>
              <w:t xml:space="preserve">the disclosure of </w:t>
            </w:r>
            <w:r w:rsidR="00E960F3" w:rsidRPr="00E960F3">
              <w:rPr>
                <w:sz w:val="22"/>
                <w:szCs w:val="22"/>
              </w:rPr>
              <w:t>registration decisions?</w:t>
            </w:r>
          </w:p>
          <w:p w14:paraId="6BA0ACDA" w14:textId="2CB6A03C" w:rsidR="00257066" w:rsidRDefault="00024D76" w:rsidP="005B589F">
            <w:pPr>
              <w:numPr>
                <w:ilvl w:val="0"/>
                <w:numId w:val="16"/>
              </w:numPr>
              <w:spacing w:before="0"/>
              <w:ind w:left="357" w:hanging="357"/>
              <w:rPr>
                <w:sz w:val="22"/>
                <w:szCs w:val="22"/>
              </w:rPr>
            </w:pPr>
            <w:r>
              <w:rPr>
                <w:sz w:val="22"/>
                <w:szCs w:val="22"/>
              </w:rPr>
              <w:t>Will your concerns be addressed if the information is de-identified?</w:t>
            </w:r>
          </w:p>
          <w:p w14:paraId="44231E63" w14:textId="0187A4B5" w:rsidR="00611C55" w:rsidRPr="00E960F3" w:rsidRDefault="00611C55" w:rsidP="005B589F">
            <w:pPr>
              <w:numPr>
                <w:ilvl w:val="0"/>
                <w:numId w:val="16"/>
              </w:numPr>
              <w:spacing w:before="0"/>
              <w:ind w:left="357" w:hanging="357"/>
              <w:rPr>
                <w:sz w:val="22"/>
                <w:szCs w:val="22"/>
              </w:rPr>
            </w:pPr>
            <w:r>
              <w:rPr>
                <w:sz w:val="22"/>
                <w:szCs w:val="22"/>
              </w:rPr>
              <w:t xml:space="preserve">Should a public interest test </w:t>
            </w:r>
            <w:r w:rsidR="00E30D2B">
              <w:rPr>
                <w:sz w:val="22"/>
                <w:szCs w:val="22"/>
              </w:rPr>
              <w:t xml:space="preserve">form the basis of </w:t>
            </w:r>
            <w:r>
              <w:rPr>
                <w:sz w:val="22"/>
                <w:szCs w:val="22"/>
              </w:rPr>
              <w:t>the discretion to disclose information about reasons for registration</w:t>
            </w:r>
            <w:r w:rsidR="00AB64ED">
              <w:rPr>
                <w:sz w:val="22"/>
                <w:szCs w:val="22"/>
              </w:rPr>
              <w:t xml:space="preserve"> and why</w:t>
            </w:r>
            <w:r>
              <w:rPr>
                <w:sz w:val="22"/>
                <w:szCs w:val="22"/>
              </w:rPr>
              <w:t>?</w:t>
            </w:r>
          </w:p>
        </w:tc>
      </w:tr>
    </w:tbl>
    <w:p w14:paraId="374D7CD9" w14:textId="7FB77A50" w:rsidR="006D1FA7" w:rsidRDefault="00E960F3" w:rsidP="00A03C24">
      <w:pPr>
        <w:pStyle w:val="Heading3"/>
      </w:pPr>
      <w:bookmarkStart w:id="35" w:name="_Toc77586516"/>
      <w:bookmarkStart w:id="36" w:name="_Toc74650698"/>
      <w:r w:rsidRPr="00E960F3">
        <w:t xml:space="preserve">Area 2: </w:t>
      </w:r>
      <w:r w:rsidR="006D1FA7">
        <w:t>New and ongoing investigations</w:t>
      </w:r>
      <w:bookmarkEnd w:id="35"/>
    </w:p>
    <w:tbl>
      <w:tblPr>
        <w:tblStyle w:val="TableGrid"/>
        <w:tblW w:w="0" w:type="auto"/>
        <w:shd w:val="clear" w:color="auto" w:fill="D2EDFF" w:themeFill="accent1" w:themeFillTint="1A"/>
        <w:tblLook w:val="04A0" w:firstRow="1" w:lastRow="0" w:firstColumn="1" w:lastColumn="0" w:noHBand="0" w:noVBand="1"/>
      </w:tblPr>
      <w:tblGrid>
        <w:gridCol w:w="9070"/>
      </w:tblGrid>
      <w:tr w:rsidR="002345F8" w14:paraId="0160868F" w14:textId="77777777" w:rsidTr="004B351B">
        <w:tc>
          <w:tcPr>
            <w:tcW w:w="9070" w:type="dxa"/>
            <w:shd w:val="clear" w:color="auto" w:fill="D2EDFF" w:themeFill="accent1" w:themeFillTint="1A"/>
          </w:tcPr>
          <w:p w14:paraId="1336725A" w14:textId="3C1D6A71" w:rsidR="002345F8" w:rsidRPr="00564C9D" w:rsidRDefault="002345F8" w:rsidP="004B351B">
            <w:pPr>
              <w:pStyle w:val="Heading5"/>
              <w:outlineLvl w:val="4"/>
              <w:rPr>
                <w:sz w:val="22"/>
              </w:rPr>
            </w:pPr>
            <w:r w:rsidRPr="00564C9D">
              <w:rPr>
                <w:sz w:val="22"/>
              </w:rPr>
              <w:t>Quick fact</w:t>
            </w:r>
            <w:r w:rsidR="009820BF" w:rsidRPr="00564C9D">
              <w:rPr>
                <w:sz w:val="22"/>
              </w:rPr>
              <w:t>s</w:t>
            </w:r>
            <w:r w:rsidRPr="00564C9D">
              <w:rPr>
                <w:sz w:val="22"/>
              </w:rPr>
              <w:t>:</w:t>
            </w:r>
          </w:p>
          <w:p w14:paraId="40B88203" w14:textId="3EAADA88" w:rsidR="002345F8" w:rsidRPr="00564C9D" w:rsidRDefault="00F32F3B" w:rsidP="002345F8">
            <w:pPr>
              <w:rPr>
                <w:sz w:val="22"/>
                <w:szCs w:val="22"/>
              </w:rPr>
            </w:pPr>
            <w:r w:rsidRPr="001C77BF">
              <w:rPr>
                <w:sz w:val="22"/>
                <w:szCs w:val="22"/>
              </w:rPr>
              <w:t>According to the 2019</w:t>
            </w:r>
            <w:r w:rsidRPr="001C77BF">
              <w:rPr>
                <w:sz w:val="22"/>
                <w:szCs w:val="22"/>
              </w:rPr>
              <w:noBreakHyphen/>
              <w:t xml:space="preserve">20 ACNC Annual Report </w:t>
            </w:r>
            <w:r w:rsidR="002345F8" w:rsidRPr="00564C9D">
              <w:rPr>
                <w:sz w:val="22"/>
                <w:szCs w:val="22"/>
              </w:rPr>
              <w:t xml:space="preserve">the ACNC received 2,102 concerns about charities (mostly about perceived mismanagement of funds or individuals receiving private benefits). </w:t>
            </w:r>
            <w:r w:rsidR="00AA74D5">
              <w:rPr>
                <w:sz w:val="22"/>
                <w:szCs w:val="22"/>
              </w:rPr>
              <w:t>As the first step in</w:t>
            </w:r>
            <w:r w:rsidR="00D60A20" w:rsidRPr="00564C9D">
              <w:rPr>
                <w:sz w:val="22"/>
                <w:szCs w:val="22"/>
              </w:rPr>
              <w:t xml:space="preserve"> an investigation</w:t>
            </w:r>
            <w:r w:rsidR="00A248E9" w:rsidRPr="00564C9D">
              <w:rPr>
                <w:sz w:val="22"/>
                <w:szCs w:val="22"/>
              </w:rPr>
              <w:t>,</w:t>
            </w:r>
            <w:r w:rsidR="00D60A20" w:rsidRPr="00564C9D">
              <w:rPr>
                <w:sz w:val="22"/>
                <w:szCs w:val="22"/>
              </w:rPr>
              <w:t xml:space="preserve"> the ACNC conducts a risk assessment to understand th</w:t>
            </w:r>
            <w:r w:rsidR="00A248E9" w:rsidRPr="00564C9D">
              <w:rPr>
                <w:sz w:val="22"/>
                <w:szCs w:val="22"/>
              </w:rPr>
              <w:t>e</w:t>
            </w:r>
            <w:r w:rsidR="00D60A20" w:rsidRPr="00564C9D">
              <w:rPr>
                <w:sz w:val="22"/>
                <w:szCs w:val="22"/>
              </w:rPr>
              <w:t xml:space="preserve"> significance, likelihood and consequences</w:t>
            </w:r>
            <w:r w:rsidR="00A248E9" w:rsidRPr="00564C9D">
              <w:rPr>
                <w:sz w:val="22"/>
                <w:szCs w:val="22"/>
              </w:rPr>
              <w:t xml:space="preserve"> of the issues raised. In 2019</w:t>
            </w:r>
            <w:r w:rsidR="00A248E9" w:rsidRPr="00564C9D">
              <w:rPr>
                <w:sz w:val="22"/>
                <w:szCs w:val="22"/>
              </w:rPr>
              <w:noBreakHyphen/>
              <w:t>20 the ACNC completed 58 risk assessments.</w:t>
            </w:r>
          </w:p>
        </w:tc>
      </w:tr>
    </w:tbl>
    <w:p w14:paraId="3CDC5D6D" w14:textId="6D467B7B" w:rsidR="005F3FDD" w:rsidRPr="005F3FDD" w:rsidRDefault="00E1533C" w:rsidP="005F3FDD">
      <w:r>
        <w:t>T</w:t>
      </w:r>
      <w:r w:rsidRPr="00E960F3">
        <w:t xml:space="preserve">he ACNC cannot publicly disclose </w:t>
      </w:r>
      <w:proofErr w:type="gramStart"/>
      <w:r w:rsidRPr="00E960F3">
        <w:t>whether or not</w:t>
      </w:r>
      <w:proofErr w:type="gramEnd"/>
      <w:r w:rsidRPr="00E960F3">
        <w:t xml:space="preserve"> it has commenced an investigation into a charity in response to concerns raised about that charity, or if an investigation is ongoing. </w:t>
      </w:r>
    </w:p>
    <w:p w14:paraId="69A64E9E" w14:textId="042505F1" w:rsidR="009A1F0F" w:rsidRPr="00E960F3" w:rsidRDefault="009A1F0F" w:rsidP="009A1F0F">
      <w:pPr>
        <w:rPr>
          <w:rFonts w:cstheme="minorHAnsi"/>
        </w:rPr>
      </w:pPr>
      <w:r>
        <w:t xml:space="preserve">In contrast, the approach of the UK Charity Commission is </w:t>
      </w:r>
      <w:r w:rsidR="00812FB4">
        <w:t xml:space="preserve">to be </w:t>
      </w:r>
      <w:r>
        <w:t xml:space="preserve">more transparent about its investigations. </w:t>
      </w:r>
      <w:r w:rsidRPr="00E960F3">
        <w:rPr>
          <w:rFonts w:cstheme="minorHAnsi"/>
        </w:rPr>
        <w:t xml:space="preserve">When it is in the public interest, the </w:t>
      </w:r>
      <w:r>
        <w:rPr>
          <w:rFonts w:cstheme="minorHAnsi"/>
        </w:rPr>
        <w:t>C</w:t>
      </w:r>
      <w:r w:rsidRPr="00E960F3">
        <w:rPr>
          <w:rFonts w:cstheme="minorHAnsi"/>
        </w:rPr>
        <w:t>ommission</w:t>
      </w:r>
      <w:r>
        <w:rPr>
          <w:rFonts w:cstheme="minorHAnsi"/>
        </w:rPr>
        <w:t xml:space="preserve">’s usual practice is to release </w:t>
      </w:r>
      <w:r w:rsidRPr="00E960F3">
        <w:rPr>
          <w:rFonts w:cstheme="minorHAnsi"/>
        </w:rPr>
        <w:t xml:space="preserve">a public statement </w:t>
      </w:r>
      <w:r>
        <w:rPr>
          <w:rFonts w:cstheme="minorHAnsi"/>
        </w:rPr>
        <w:t xml:space="preserve">on commencing </w:t>
      </w:r>
      <w:r w:rsidRPr="00E960F3">
        <w:rPr>
          <w:rFonts w:cstheme="minorHAnsi"/>
        </w:rPr>
        <w:t>a statutory inquiry into a charity</w:t>
      </w:r>
      <w:r w:rsidR="00DE7DF4">
        <w:rPr>
          <w:rFonts w:cstheme="minorHAnsi"/>
        </w:rPr>
        <w:t xml:space="preserve"> (refer Box 2)</w:t>
      </w:r>
      <w:r w:rsidRPr="00E960F3">
        <w:rPr>
          <w:rFonts w:cstheme="minorHAnsi"/>
        </w:rPr>
        <w:t xml:space="preserve">. The statement can include details about the purpose and reasons for the inquiry and any previous regulatory action with the charity that is relevant. </w:t>
      </w:r>
      <w:r w:rsidR="0032716E">
        <w:rPr>
          <w:rFonts w:cstheme="minorHAnsi"/>
        </w:rPr>
        <w:t>Additionally</w:t>
      </w:r>
      <w:r w:rsidR="00812FB4">
        <w:rPr>
          <w:rFonts w:cstheme="minorHAnsi"/>
        </w:rPr>
        <w:t>, t</w:t>
      </w:r>
      <w:r w:rsidR="00812FB4" w:rsidRPr="00812FB4">
        <w:rPr>
          <w:rFonts w:cstheme="minorHAnsi"/>
        </w:rPr>
        <w:t xml:space="preserve">he </w:t>
      </w:r>
      <w:r w:rsidR="00812FB4">
        <w:rPr>
          <w:rFonts w:cstheme="minorHAnsi"/>
        </w:rPr>
        <w:t>C</w:t>
      </w:r>
      <w:r w:rsidR="00812FB4" w:rsidRPr="00812FB4">
        <w:rPr>
          <w:rFonts w:cstheme="minorHAnsi"/>
        </w:rPr>
        <w:t>ommission will confirm, if asked by the media, whether it has a regulatory case into a named charity</w:t>
      </w:r>
      <w:r w:rsidR="000D5AD2">
        <w:rPr>
          <w:rFonts w:cstheme="minorHAnsi"/>
        </w:rPr>
        <w:t>.</w:t>
      </w:r>
    </w:p>
    <w:p w14:paraId="3F16A0DA" w14:textId="1FB71D79" w:rsidR="001B5580" w:rsidRDefault="009A1F0F" w:rsidP="00823767">
      <w:pPr>
        <w:rPr>
          <w:rFonts w:cs="Arial"/>
          <w:color w:val="3A6FAF" w:themeColor="accent2"/>
          <w:kern w:val="32"/>
          <w:sz w:val="26"/>
          <w:szCs w:val="26"/>
        </w:rPr>
      </w:pPr>
      <w:r w:rsidRPr="00E960F3">
        <w:rPr>
          <w:szCs w:val="22"/>
        </w:rPr>
        <w:t xml:space="preserve">The ACNC Review </w:t>
      </w:r>
      <w:r w:rsidR="00975AC7">
        <w:rPr>
          <w:szCs w:val="22"/>
        </w:rPr>
        <w:t>concluded that t</w:t>
      </w:r>
      <w:r w:rsidR="00975AC7" w:rsidRPr="00975AC7">
        <w:rPr>
          <w:szCs w:val="22"/>
        </w:rPr>
        <w:t>he ACNC</w:t>
      </w:r>
      <w:r w:rsidR="000D5AD2">
        <w:rPr>
          <w:szCs w:val="22"/>
        </w:rPr>
        <w:t>’</w:t>
      </w:r>
      <w:r w:rsidR="00975AC7" w:rsidRPr="00975AC7">
        <w:rPr>
          <w:szCs w:val="22"/>
        </w:rPr>
        <w:t xml:space="preserve">s inability to make any comment in respect of whether it is (or is not) undertaking an investigation regarding a complaint against a registered </w:t>
      </w:r>
      <w:r w:rsidR="00975AC7">
        <w:rPr>
          <w:szCs w:val="22"/>
        </w:rPr>
        <w:t>charity</w:t>
      </w:r>
      <w:r w:rsidR="00975AC7" w:rsidRPr="00975AC7">
        <w:rPr>
          <w:szCs w:val="22"/>
        </w:rPr>
        <w:t xml:space="preserve"> is harmful to the perception of the ACNC as an effective regulator</w:t>
      </w:r>
      <w:r w:rsidR="00975AC7">
        <w:rPr>
          <w:szCs w:val="22"/>
        </w:rPr>
        <w:t xml:space="preserve">. The </w:t>
      </w:r>
      <w:r w:rsidR="000D5AD2">
        <w:rPr>
          <w:szCs w:val="22"/>
        </w:rPr>
        <w:t xml:space="preserve">ACNC </w:t>
      </w:r>
      <w:r w:rsidR="00975AC7">
        <w:rPr>
          <w:szCs w:val="22"/>
        </w:rPr>
        <w:t xml:space="preserve">Review noted that </w:t>
      </w:r>
      <w:r w:rsidR="000D5AD2">
        <w:rPr>
          <w:szCs w:val="22"/>
        </w:rPr>
        <w:t>when</w:t>
      </w:r>
      <w:r w:rsidR="00975AC7">
        <w:rPr>
          <w:szCs w:val="22"/>
        </w:rPr>
        <w:t xml:space="preserve"> making a public disclosure,</w:t>
      </w:r>
      <w:r w:rsidR="00975AC7" w:rsidRPr="00975AC7">
        <w:t xml:space="preserve"> </w:t>
      </w:r>
      <w:r w:rsidR="00975AC7" w:rsidRPr="00975AC7">
        <w:rPr>
          <w:szCs w:val="22"/>
        </w:rPr>
        <w:t xml:space="preserve">the Commissioner should consider, among other matters, the benefit to </w:t>
      </w:r>
      <w:r w:rsidR="00975AC7" w:rsidRPr="00975AC7">
        <w:rPr>
          <w:szCs w:val="22"/>
        </w:rPr>
        <w:lastRenderedPageBreak/>
        <w:t>the public of disclosure, the potential prejudice to any registered entity, whether disclosure might jeopardise an ongoing investigation and the risk of defamation</w:t>
      </w:r>
      <w:r w:rsidR="00C40E33">
        <w:rPr>
          <w:szCs w:val="22"/>
        </w:rPr>
        <w:t>.</w:t>
      </w:r>
    </w:p>
    <w:p w14:paraId="32333E00" w14:textId="537D1263" w:rsidR="009A7897" w:rsidRDefault="00DE7DF4" w:rsidP="000F4159">
      <w:pPr>
        <w:pStyle w:val="Heading4"/>
      </w:pPr>
      <w:r>
        <w:t>Box 2: U</w:t>
      </w:r>
      <w:r w:rsidR="009A7897">
        <w:t>K Charity Commission</w:t>
      </w:r>
      <w:r>
        <w:t xml:space="preserve"> disclosure of new statutory inquiry</w:t>
      </w:r>
    </w:p>
    <w:tbl>
      <w:tblPr>
        <w:tblStyle w:val="TableGrid"/>
        <w:tblW w:w="0" w:type="auto"/>
        <w:shd w:val="clear" w:color="auto" w:fill="B3FFEE" w:themeFill="accent3" w:themeFillTint="33"/>
        <w:tblLook w:val="04A0" w:firstRow="1" w:lastRow="0" w:firstColumn="1" w:lastColumn="0" w:noHBand="0" w:noVBand="1"/>
      </w:tblPr>
      <w:tblGrid>
        <w:gridCol w:w="9070"/>
      </w:tblGrid>
      <w:tr w:rsidR="009A7897" w14:paraId="6D326356" w14:textId="77777777" w:rsidTr="00046809">
        <w:tc>
          <w:tcPr>
            <w:tcW w:w="9070" w:type="dxa"/>
            <w:shd w:val="clear" w:color="auto" w:fill="B3FFEE" w:themeFill="accent3" w:themeFillTint="33"/>
          </w:tcPr>
          <w:p w14:paraId="333A5503" w14:textId="77777777" w:rsidR="002A4406" w:rsidRPr="001C0425" w:rsidRDefault="002A4406" w:rsidP="00823767">
            <w:pPr>
              <w:spacing w:line="259" w:lineRule="auto"/>
              <w:rPr>
                <w:rFonts w:ascii="Arial" w:hAnsi="Arial" w:cs="Arial"/>
              </w:rPr>
            </w:pPr>
            <w:r w:rsidRPr="001C0425">
              <w:rPr>
                <w:rFonts w:ascii="Arial" w:hAnsi="Arial" w:cs="Arial"/>
              </w:rPr>
              <w:t>Press release</w:t>
            </w:r>
          </w:p>
          <w:p w14:paraId="42610A67" w14:textId="77777777" w:rsidR="009A7897" w:rsidRPr="00823767" w:rsidRDefault="009A7897" w:rsidP="00823767">
            <w:pPr>
              <w:spacing w:before="0" w:after="160" w:line="259" w:lineRule="auto"/>
              <w:rPr>
                <w:rFonts w:ascii="Arial" w:hAnsi="Arial" w:cs="Arial"/>
                <w:b/>
                <w:sz w:val="26"/>
                <w:szCs w:val="26"/>
              </w:rPr>
            </w:pPr>
            <w:r w:rsidRPr="00823767">
              <w:rPr>
                <w:rFonts w:ascii="Arial" w:hAnsi="Arial" w:cs="Arial"/>
                <w:b/>
                <w:sz w:val="26"/>
                <w:szCs w:val="26"/>
              </w:rPr>
              <w:t>Regulator opens statutory inquiry into Birmingham-based education charity, after continued non-compliance with governance requirements</w:t>
            </w:r>
          </w:p>
          <w:p w14:paraId="1FD8F0CE" w14:textId="77777777" w:rsidR="009A7897" w:rsidRPr="00823767" w:rsidRDefault="009A7897" w:rsidP="00046809">
            <w:pPr>
              <w:spacing w:after="160" w:line="259" w:lineRule="auto"/>
              <w:rPr>
                <w:rFonts w:ascii="Arial" w:hAnsi="Arial" w:cs="Arial"/>
                <w:sz w:val="22"/>
                <w:szCs w:val="22"/>
              </w:rPr>
            </w:pPr>
            <w:r w:rsidRPr="00823767">
              <w:rPr>
                <w:rFonts w:ascii="Arial" w:hAnsi="Arial" w:cs="Arial"/>
                <w:sz w:val="22"/>
                <w:szCs w:val="22"/>
              </w:rPr>
              <w:t>The Charity Commission has opened a statutory inquiry into the Birmingham Education Trust over concerns about the management of the charity by its trustees</w:t>
            </w:r>
          </w:p>
          <w:p w14:paraId="609ACB14" w14:textId="77777777" w:rsidR="009A7897" w:rsidRPr="00964188" w:rsidRDefault="009A7897" w:rsidP="00046809">
            <w:pPr>
              <w:spacing w:after="0" w:line="259" w:lineRule="auto"/>
              <w:rPr>
                <w:rFonts w:ascii="Arial" w:hAnsi="Arial" w:cs="Arial"/>
              </w:rPr>
            </w:pPr>
            <w:r w:rsidRPr="00964188">
              <w:rPr>
                <w:rFonts w:ascii="Arial" w:hAnsi="Arial" w:cs="Arial"/>
              </w:rPr>
              <w:t xml:space="preserve">From: </w:t>
            </w:r>
            <w:hyperlink r:id="rId24" w:history="1">
              <w:r w:rsidRPr="00964188">
                <w:rPr>
                  <w:rStyle w:val="Hyperlink"/>
                  <w:rFonts w:ascii="Arial" w:hAnsi="Arial" w:cs="Arial"/>
                  <w:b/>
                  <w:bCs/>
                </w:rPr>
                <w:t>The Charity Commission</w:t>
              </w:r>
            </w:hyperlink>
          </w:p>
          <w:p w14:paraId="2D6D999B" w14:textId="77777777" w:rsidR="009A7897" w:rsidRPr="00964188" w:rsidRDefault="009A7897" w:rsidP="00823767">
            <w:pPr>
              <w:spacing w:before="0" w:after="0"/>
              <w:rPr>
                <w:rFonts w:ascii="Arial" w:hAnsi="Arial" w:cs="Arial"/>
              </w:rPr>
            </w:pPr>
            <w:r w:rsidRPr="00964188">
              <w:rPr>
                <w:rFonts w:ascii="Arial" w:hAnsi="Arial" w:cs="Arial"/>
              </w:rPr>
              <w:t>Published 7 August 2020</w:t>
            </w:r>
          </w:p>
          <w:p w14:paraId="60AA92E4" w14:textId="77777777" w:rsidR="009A7897" w:rsidRPr="00964188" w:rsidRDefault="009A7897" w:rsidP="00046809">
            <w:pPr>
              <w:spacing w:before="360" w:after="160" w:line="259" w:lineRule="auto"/>
              <w:rPr>
                <w:rFonts w:ascii="Arial" w:hAnsi="Arial" w:cs="Arial"/>
              </w:rPr>
            </w:pPr>
            <w:r w:rsidRPr="00964188">
              <w:rPr>
                <w:rFonts w:ascii="Arial" w:hAnsi="Arial" w:cs="Arial"/>
              </w:rPr>
              <w:t>The Charity Commission has opened a statutory inquiry into the Birmingham Education Trust (</w:t>
            </w:r>
            <w:hyperlink r:id="rId25" w:history="1">
              <w:r w:rsidRPr="00964188">
                <w:rPr>
                  <w:rStyle w:val="Hyperlink"/>
                  <w:rFonts w:ascii="Arial" w:hAnsi="Arial" w:cs="Arial"/>
                </w:rPr>
                <w:t>1064365</w:t>
              </w:r>
            </w:hyperlink>
            <w:r w:rsidRPr="00964188">
              <w:rPr>
                <w:rFonts w:ascii="Arial" w:hAnsi="Arial" w:cs="Arial"/>
              </w:rPr>
              <w:t>), over concerns about the management of the charity by its trustees.</w:t>
            </w:r>
          </w:p>
          <w:p w14:paraId="0AD22EE4" w14:textId="77777777" w:rsidR="009A7897" w:rsidRPr="00964188" w:rsidRDefault="009A7897" w:rsidP="00046809">
            <w:pPr>
              <w:spacing w:before="0" w:after="160" w:line="259" w:lineRule="auto"/>
              <w:rPr>
                <w:rFonts w:ascii="Arial" w:hAnsi="Arial" w:cs="Arial"/>
              </w:rPr>
            </w:pPr>
            <w:r w:rsidRPr="00964188">
              <w:rPr>
                <w:rFonts w:ascii="Arial" w:hAnsi="Arial" w:cs="Arial"/>
              </w:rPr>
              <w:t>The charity funds and operates a school in Birmingham, which includes the promotion of the teaching of Islam to Muslim girls.</w:t>
            </w:r>
          </w:p>
          <w:p w14:paraId="3C5D902F" w14:textId="77777777" w:rsidR="009A7897" w:rsidRPr="00964188" w:rsidRDefault="009A7897" w:rsidP="00046809">
            <w:pPr>
              <w:spacing w:before="0" w:after="160" w:line="259" w:lineRule="auto"/>
              <w:rPr>
                <w:rFonts w:ascii="Arial" w:hAnsi="Arial" w:cs="Arial"/>
              </w:rPr>
            </w:pPr>
            <w:r w:rsidRPr="00964188">
              <w:rPr>
                <w:rFonts w:ascii="Arial" w:hAnsi="Arial" w:cs="Arial"/>
              </w:rPr>
              <w:t>The Commission opened a compliance case into the charity in March 2019, to examine its repeated failure to comply with its statutory duty to file its accounts and annual returns. The case then identified wider concerns, including that the charity was operating in breach of its governing document in having only two trustees who were husband and wife. This also raised concerns about potential unmanaged conflicts of interest.</w:t>
            </w:r>
          </w:p>
          <w:p w14:paraId="6C712D1E" w14:textId="77777777" w:rsidR="009A7897" w:rsidRPr="00964188" w:rsidRDefault="009A7897" w:rsidP="00046809">
            <w:pPr>
              <w:spacing w:before="0" w:line="259" w:lineRule="auto"/>
              <w:rPr>
                <w:rFonts w:ascii="Arial" w:hAnsi="Arial" w:cs="Arial"/>
              </w:rPr>
            </w:pPr>
            <w:r w:rsidRPr="00964188">
              <w:rPr>
                <w:rFonts w:ascii="Arial" w:hAnsi="Arial" w:cs="Arial"/>
              </w:rPr>
              <w:t>The Commission issued the trustees with an action plan to address and rectify the concerns, but the trustees have failed to demonstrate progress. The case has therefore been escalated to a statutory inquiry, which opened on 21 July 2020. The new inquiry will further examine the concerns identified at the charity, including whether:</w:t>
            </w:r>
          </w:p>
          <w:p w14:paraId="4CDCD421" w14:textId="77777777" w:rsidR="009A7897" w:rsidRPr="00964188" w:rsidRDefault="009A7897" w:rsidP="00046809">
            <w:pPr>
              <w:numPr>
                <w:ilvl w:val="0"/>
                <w:numId w:val="20"/>
              </w:numPr>
              <w:spacing w:before="0" w:line="259" w:lineRule="auto"/>
              <w:rPr>
                <w:rFonts w:ascii="Arial" w:hAnsi="Arial" w:cs="Arial"/>
              </w:rPr>
            </w:pPr>
            <w:r w:rsidRPr="00964188">
              <w:rPr>
                <w:rFonts w:ascii="Arial" w:hAnsi="Arial" w:cs="Arial"/>
              </w:rPr>
              <w:t>the charity has been operating for exclusively charitable purposes for the public benefit in furtherance of their charitable objects</w:t>
            </w:r>
          </w:p>
          <w:p w14:paraId="4EC2D61F" w14:textId="77777777" w:rsidR="009A7897" w:rsidRPr="00964188" w:rsidRDefault="009A7897" w:rsidP="00046809">
            <w:pPr>
              <w:numPr>
                <w:ilvl w:val="0"/>
                <w:numId w:val="20"/>
              </w:numPr>
              <w:spacing w:before="0" w:line="259" w:lineRule="auto"/>
              <w:rPr>
                <w:rFonts w:ascii="Arial" w:hAnsi="Arial" w:cs="Arial"/>
              </w:rPr>
            </w:pPr>
            <w:r w:rsidRPr="00964188">
              <w:rPr>
                <w:rFonts w:ascii="Arial" w:hAnsi="Arial" w:cs="Arial"/>
              </w:rPr>
              <w:t>the financial controls of the charity are adequate, and their funds have been properly expended and can be accounted for</w:t>
            </w:r>
          </w:p>
          <w:p w14:paraId="239D3ED3" w14:textId="77777777" w:rsidR="009A7897" w:rsidRPr="00964188" w:rsidRDefault="009A7897" w:rsidP="00046809">
            <w:pPr>
              <w:numPr>
                <w:ilvl w:val="0"/>
                <w:numId w:val="20"/>
              </w:numPr>
              <w:spacing w:before="0" w:line="259" w:lineRule="auto"/>
              <w:rPr>
                <w:rFonts w:ascii="Arial" w:hAnsi="Arial" w:cs="Arial"/>
              </w:rPr>
            </w:pPr>
            <w:r w:rsidRPr="00964188">
              <w:rPr>
                <w:rFonts w:ascii="Arial" w:hAnsi="Arial" w:cs="Arial"/>
              </w:rPr>
              <w:t xml:space="preserve">the trustees of the charity have complied with their legal duties in respect of their administration, </w:t>
            </w:r>
            <w:proofErr w:type="gramStart"/>
            <w:r w:rsidRPr="00964188">
              <w:rPr>
                <w:rFonts w:ascii="Arial" w:hAnsi="Arial" w:cs="Arial"/>
              </w:rPr>
              <w:t>governance</w:t>
            </w:r>
            <w:proofErr w:type="gramEnd"/>
            <w:r w:rsidRPr="00964188">
              <w:rPr>
                <w:rFonts w:ascii="Arial" w:hAnsi="Arial" w:cs="Arial"/>
              </w:rPr>
              <w:t xml:space="preserve"> and management of the charity</w:t>
            </w:r>
          </w:p>
          <w:p w14:paraId="627FFD24" w14:textId="77777777" w:rsidR="009A7897" w:rsidRPr="00964188" w:rsidRDefault="009A7897" w:rsidP="00046809">
            <w:pPr>
              <w:numPr>
                <w:ilvl w:val="0"/>
                <w:numId w:val="20"/>
              </w:numPr>
              <w:spacing w:before="0" w:line="259" w:lineRule="auto"/>
              <w:rPr>
                <w:rFonts w:ascii="Arial" w:hAnsi="Arial" w:cs="Arial"/>
              </w:rPr>
            </w:pPr>
            <w:r w:rsidRPr="00964188">
              <w:rPr>
                <w:rFonts w:ascii="Arial" w:hAnsi="Arial" w:cs="Arial"/>
              </w:rPr>
              <w:t>the trustees’ compliance with legal obligations for the content, preparation and submission of the charity’s accounts and other information or returns is in line with the statutory requirements</w:t>
            </w:r>
          </w:p>
          <w:p w14:paraId="631F3BC5" w14:textId="77777777" w:rsidR="009A7897" w:rsidRPr="00964188" w:rsidRDefault="009A7897" w:rsidP="00046809">
            <w:pPr>
              <w:numPr>
                <w:ilvl w:val="0"/>
                <w:numId w:val="20"/>
              </w:numPr>
              <w:spacing w:before="0" w:line="259" w:lineRule="auto"/>
              <w:rPr>
                <w:rFonts w:ascii="Arial" w:hAnsi="Arial" w:cs="Arial"/>
              </w:rPr>
            </w:pPr>
            <w:r w:rsidRPr="00964188">
              <w:rPr>
                <w:rFonts w:ascii="Arial" w:hAnsi="Arial" w:cs="Arial"/>
              </w:rPr>
              <w:t>potential conflicts of interest and connected party transactions have been properly managed</w:t>
            </w:r>
          </w:p>
          <w:p w14:paraId="4044F1C6" w14:textId="77777777" w:rsidR="009A7897" w:rsidRPr="00964188" w:rsidRDefault="009A7897" w:rsidP="00046809">
            <w:pPr>
              <w:numPr>
                <w:ilvl w:val="0"/>
                <w:numId w:val="20"/>
              </w:numPr>
              <w:spacing w:before="0" w:after="160" w:line="259" w:lineRule="auto"/>
              <w:rPr>
                <w:rFonts w:ascii="Arial" w:hAnsi="Arial" w:cs="Arial"/>
              </w:rPr>
            </w:pPr>
            <w:r w:rsidRPr="00964188">
              <w:rPr>
                <w:rFonts w:ascii="Arial" w:hAnsi="Arial" w:cs="Arial"/>
              </w:rPr>
              <w:t>the trustees have complied with previously issued regulatory guidance.</w:t>
            </w:r>
          </w:p>
          <w:p w14:paraId="2FFC006A" w14:textId="77777777" w:rsidR="009A7897" w:rsidRPr="00964188" w:rsidRDefault="009A7897" w:rsidP="00046809">
            <w:pPr>
              <w:spacing w:before="0" w:after="160" w:line="259" w:lineRule="auto"/>
              <w:rPr>
                <w:rFonts w:ascii="Arial" w:hAnsi="Arial" w:cs="Arial"/>
              </w:rPr>
            </w:pPr>
            <w:r w:rsidRPr="00964188">
              <w:rPr>
                <w:rFonts w:ascii="Arial" w:hAnsi="Arial" w:cs="Arial"/>
              </w:rPr>
              <w:t>The Commission may extend the scope of the inquiry if additional regulatory issues emerge.</w:t>
            </w:r>
          </w:p>
          <w:p w14:paraId="71A8A0EC" w14:textId="77777777" w:rsidR="009A7897" w:rsidRDefault="009A7897" w:rsidP="00046809">
            <w:r w:rsidRPr="00964188">
              <w:rPr>
                <w:rFonts w:ascii="Arial" w:hAnsi="Arial" w:cs="Arial"/>
              </w:rPr>
              <w:t>It is the Commission’s policy, after it has concluded an inquiry, to publish a report detailing what issues the inquiry looked at, what actions were undertaken as part of the inquiry and what the outcomes were. Reports of previous inquiries are available on </w:t>
            </w:r>
            <w:hyperlink r:id="rId26" w:history="1">
              <w:r w:rsidRPr="00964188">
                <w:rPr>
                  <w:rStyle w:val="Hyperlink"/>
                  <w:rFonts w:ascii="Arial" w:hAnsi="Arial" w:cs="Arial"/>
                </w:rPr>
                <w:t>GOV.UK</w:t>
              </w:r>
            </w:hyperlink>
            <w:r w:rsidRPr="00964188">
              <w:rPr>
                <w:rFonts w:ascii="Arial" w:hAnsi="Arial" w:cs="Arial"/>
              </w:rPr>
              <w:t>.</w:t>
            </w:r>
          </w:p>
        </w:tc>
      </w:tr>
      <w:tr w:rsidR="009A7897" w14:paraId="13DEC734" w14:textId="77777777" w:rsidTr="00046809">
        <w:tc>
          <w:tcPr>
            <w:tcW w:w="9070" w:type="dxa"/>
            <w:shd w:val="clear" w:color="auto" w:fill="F2F2F2" w:themeFill="background1" w:themeFillShade="F2"/>
          </w:tcPr>
          <w:p w14:paraId="4119BFC5" w14:textId="77777777" w:rsidR="009A7897" w:rsidRPr="009A7897" w:rsidRDefault="009A7897" w:rsidP="00823767">
            <w:pPr>
              <w:spacing w:before="0" w:after="0" w:line="259" w:lineRule="auto"/>
              <w:jc w:val="left"/>
              <w:rPr>
                <w:rFonts w:ascii="Arial" w:hAnsi="Arial" w:cs="Arial"/>
                <w:b/>
                <w:bCs/>
              </w:rPr>
            </w:pPr>
            <w:r w:rsidRPr="00823767">
              <w:rPr>
                <w:rFonts w:ascii="Arial" w:hAnsi="Arial" w:cs="Arial"/>
                <w:b/>
                <w:sz w:val="16"/>
                <w:szCs w:val="16"/>
              </w:rPr>
              <w:t xml:space="preserve">Source: </w:t>
            </w:r>
            <w:hyperlink r:id="rId27" w:history="1">
              <w:r w:rsidRPr="00823767">
                <w:rPr>
                  <w:rStyle w:val="Hyperlink"/>
                  <w:rFonts w:ascii="Arial" w:hAnsi="Arial" w:cs="Arial"/>
                  <w:sz w:val="16"/>
                  <w:szCs w:val="16"/>
                  <w:u w:val="single"/>
                </w:rPr>
                <w:t>https://www.gov.uk/government/news/regulator-opens-statutory-inquiry-into-birmingham-based-education-charity-after-continued-non-compliance-with-governance-requirements</w:t>
              </w:r>
            </w:hyperlink>
            <w:r w:rsidRPr="00823767">
              <w:rPr>
                <w:rFonts w:ascii="Arial" w:hAnsi="Arial" w:cs="Arial"/>
                <w:b/>
                <w:sz w:val="16"/>
                <w:szCs w:val="16"/>
              </w:rPr>
              <w:t xml:space="preserve"> </w:t>
            </w:r>
          </w:p>
        </w:tc>
      </w:tr>
    </w:tbl>
    <w:p w14:paraId="29D24F38" w14:textId="77777777" w:rsidR="00E2472C" w:rsidRPr="00E960F3" w:rsidRDefault="00E2472C" w:rsidP="000F4159">
      <w:pPr>
        <w:pStyle w:val="Heading4"/>
      </w:pPr>
      <w:r w:rsidRPr="00E960F3">
        <w:lastRenderedPageBreak/>
        <w:t>Potential adverse risks</w:t>
      </w:r>
    </w:p>
    <w:p w14:paraId="0435F289" w14:textId="3ED235F4" w:rsidR="00E2472C" w:rsidRPr="00E960F3" w:rsidRDefault="00933450" w:rsidP="00E2472C">
      <w:pPr>
        <w:spacing w:before="0"/>
        <w:rPr>
          <w:szCs w:val="22"/>
        </w:rPr>
      </w:pPr>
      <w:r>
        <w:rPr>
          <w:szCs w:val="22"/>
        </w:rPr>
        <w:t xml:space="preserve">The ACNC Review identified </w:t>
      </w:r>
      <w:r w:rsidR="00E2472C" w:rsidRPr="00E960F3">
        <w:rPr>
          <w:szCs w:val="22"/>
        </w:rPr>
        <w:t xml:space="preserve">potential risks associated with </w:t>
      </w:r>
      <w:r>
        <w:rPr>
          <w:szCs w:val="22"/>
        </w:rPr>
        <w:t xml:space="preserve">disclosing the existence of an investigation prior to finalisation. </w:t>
      </w:r>
      <w:r w:rsidR="00E2472C" w:rsidRPr="00E960F3">
        <w:rPr>
          <w:szCs w:val="22"/>
        </w:rPr>
        <w:t>Therefore, special consideration should be given to the following adverse risks to ensure they are properly balanced against the benefits of such a disclosure.</w:t>
      </w:r>
    </w:p>
    <w:p w14:paraId="24A6276C" w14:textId="77777777" w:rsidR="00E2472C" w:rsidRPr="00E960F3" w:rsidRDefault="00E2472C" w:rsidP="00E2472C">
      <w:pPr>
        <w:numPr>
          <w:ilvl w:val="0"/>
          <w:numId w:val="1"/>
        </w:numPr>
        <w:spacing w:before="0"/>
      </w:pPr>
      <w:r w:rsidRPr="00E960F3">
        <w:t>Prejudicing a charity’s access to natural justice whilst under investigation. This is particularly sensitive given that a registered charity’s reputation is critical to its ability to raise funds and carry on its purpose.</w:t>
      </w:r>
    </w:p>
    <w:p w14:paraId="15430FD0" w14:textId="77777777" w:rsidR="00E2472C" w:rsidRPr="00E960F3" w:rsidRDefault="00E2472C" w:rsidP="00E2472C">
      <w:pPr>
        <w:numPr>
          <w:ilvl w:val="0"/>
          <w:numId w:val="1"/>
        </w:numPr>
        <w:spacing w:before="0"/>
      </w:pPr>
      <w:r w:rsidRPr="00E960F3">
        <w:t>Damaging the reputation of a charity and individuals linked to the charity.</w:t>
      </w:r>
    </w:p>
    <w:p w14:paraId="48C24D2B" w14:textId="77777777" w:rsidR="00E2472C" w:rsidRPr="00E960F3" w:rsidRDefault="00E2472C" w:rsidP="00E2472C">
      <w:pPr>
        <w:numPr>
          <w:ilvl w:val="0"/>
          <w:numId w:val="1"/>
        </w:numPr>
        <w:spacing w:before="0"/>
      </w:pPr>
      <w:r w:rsidRPr="00E960F3">
        <w:rPr>
          <w:szCs w:val="22"/>
        </w:rPr>
        <w:t>Jeopardising an ongoing investigation</w:t>
      </w:r>
      <w:r w:rsidRPr="00E960F3">
        <w:rPr>
          <w:rFonts w:ascii="CIDFont+F1" w:eastAsiaTheme="minorHAnsi" w:hAnsi="CIDFont+F1" w:cs="CIDFont+F1"/>
          <w:szCs w:val="22"/>
          <w:lang w:eastAsia="en-US"/>
        </w:rPr>
        <w:t xml:space="preserve"> through the untimely release of information.</w:t>
      </w:r>
    </w:p>
    <w:p w14:paraId="664A6A25" w14:textId="611743B6" w:rsidR="00E2472C" w:rsidRPr="00E960F3" w:rsidRDefault="00E2472C" w:rsidP="004B351B">
      <w:pPr>
        <w:numPr>
          <w:ilvl w:val="0"/>
          <w:numId w:val="1"/>
        </w:numPr>
        <w:spacing w:before="0"/>
        <w:rPr>
          <w:szCs w:val="22"/>
        </w:rPr>
      </w:pPr>
      <w:r w:rsidRPr="00E960F3">
        <w:rPr>
          <w:szCs w:val="22"/>
        </w:rPr>
        <w:t>Harming public trust and confidence in the charity sector and/or the ACNC.</w:t>
      </w:r>
    </w:p>
    <w:p w14:paraId="0F16193C" w14:textId="77777777" w:rsidR="00C40E33" w:rsidRPr="00E960F3" w:rsidRDefault="00C40E33" w:rsidP="000F4159">
      <w:pPr>
        <w:pStyle w:val="Heading4"/>
      </w:pPr>
      <w:r w:rsidRPr="00E960F3">
        <w:t>Rationale for change</w:t>
      </w:r>
    </w:p>
    <w:p w14:paraId="5DD2BE7B" w14:textId="77777777" w:rsidR="00C40E33" w:rsidRPr="00E960F3" w:rsidRDefault="00C40E33" w:rsidP="00C40E33">
      <w:pPr>
        <w:rPr>
          <w:rFonts w:eastAsiaTheme="minorHAnsi"/>
          <w:szCs w:val="22"/>
        </w:rPr>
      </w:pPr>
      <w:r w:rsidRPr="00E960F3">
        <w:rPr>
          <w:szCs w:val="22"/>
        </w:rPr>
        <w:t>The ACNC’s inability to make any comment in respect of whether it is (or is not) undertaking an investigation regarding a complaint against a registered charity is harmful to the perception of the ACNC as an effective regulator.</w:t>
      </w:r>
      <w:r w:rsidRPr="00E960F3">
        <w:t xml:space="preserve"> This could be particularly damaging to the ACNC in situations of significant media coverage about a particular charity’s conduct.</w:t>
      </w:r>
    </w:p>
    <w:p w14:paraId="78E24A8C" w14:textId="76EC3C06" w:rsidR="00C40E33" w:rsidRDefault="00C40E33" w:rsidP="00C40E33">
      <w:pPr>
        <w:spacing w:before="0"/>
      </w:pPr>
      <w:r w:rsidRPr="00E960F3">
        <w:t xml:space="preserve">The public (including persons who have raised a concern about a particular charity) are currently prevented from being able to know whether the ACNC is or isn’t investigating the concern or if there have been any findings </w:t>
      </w:r>
      <w:proofErr w:type="gramStart"/>
      <w:r w:rsidRPr="00E960F3">
        <w:t>as a result of</w:t>
      </w:r>
      <w:proofErr w:type="gramEnd"/>
      <w:r w:rsidRPr="00E960F3">
        <w:t xml:space="preserve"> an investigation which has not resulted in certain kinds of compliance action. The blunt effect of the secrecy provisions may lead to a person believing that the ACNC is not taking their concern seriously.</w:t>
      </w:r>
      <w:r>
        <w:t xml:space="preserve"> </w:t>
      </w:r>
    </w:p>
    <w:p w14:paraId="5FC796E2" w14:textId="39046C26" w:rsidR="00C40E33" w:rsidRPr="00E960F3" w:rsidRDefault="00C40E33" w:rsidP="00C40E33">
      <w:pPr>
        <w:spacing w:before="0"/>
      </w:pPr>
      <w:r>
        <w:t xml:space="preserve">In contrast, other Australian regulators and most notably the UK Charity Commission </w:t>
      </w:r>
      <w:r w:rsidR="00E73606">
        <w:t>have the discretion to disclose information about new or on-going investigations</w:t>
      </w:r>
      <w:r w:rsidR="00190F8F">
        <w:t xml:space="preserve">, where disclosure </w:t>
      </w:r>
      <w:r w:rsidR="00E73606">
        <w:t>is in the public interest.</w:t>
      </w:r>
    </w:p>
    <w:p w14:paraId="2C7FC327" w14:textId="4CB1F120" w:rsidR="00E1533C" w:rsidRDefault="00C40E33" w:rsidP="00C40E33">
      <w:pPr>
        <w:rPr>
          <w:szCs w:val="22"/>
        </w:rPr>
      </w:pPr>
      <w:r w:rsidRPr="00E960F3">
        <w:t xml:space="preserve">Publicly disclosing that an investigation into a charity is underway may also assist the investigation by inviting the public (including </w:t>
      </w:r>
      <w:r w:rsidRPr="00E960F3">
        <w:rPr>
          <w:szCs w:val="22"/>
        </w:rPr>
        <w:t xml:space="preserve">past and present staff, volunteers, members, </w:t>
      </w:r>
      <w:proofErr w:type="gramStart"/>
      <w:r w:rsidRPr="00E960F3">
        <w:rPr>
          <w:szCs w:val="22"/>
        </w:rPr>
        <w:t>donors</w:t>
      </w:r>
      <w:proofErr w:type="gramEnd"/>
      <w:r w:rsidRPr="00E960F3">
        <w:rPr>
          <w:szCs w:val="22"/>
        </w:rPr>
        <w:t xml:space="preserve"> or beneficiaries of a registered charity) to provide valuable information they may have about the charity.</w:t>
      </w:r>
    </w:p>
    <w:tbl>
      <w:tblPr>
        <w:tblStyle w:val="TableGrid"/>
        <w:tblW w:w="0" w:type="auto"/>
        <w:tblLook w:val="04A0" w:firstRow="1" w:lastRow="0" w:firstColumn="1" w:lastColumn="0" w:noHBand="0" w:noVBand="1"/>
      </w:tblPr>
      <w:tblGrid>
        <w:gridCol w:w="9070"/>
      </w:tblGrid>
      <w:tr w:rsidR="00637419" w14:paraId="7524CF79" w14:textId="77777777" w:rsidTr="00637419">
        <w:tc>
          <w:tcPr>
            <w:tcW w:w="9070" w:type="dxa"/>
          </w:tcPr>
          <w:p w14:paraId="09E17B8E" w14:textId="77777777" w:rsidR="00637419" w:rsidRPr="00E67E83" w:rsidRDefault="00637419">
            <w:pPr>
              <w:pStyle w:val="Heading5"/>
              <w:outlineLvl w:val="4"/>
              <w:rPr>
                <w:sz w:val="22"/>
              </w:rPr>
            </w:pPr>
            <w:r w:rsidRPr="00E67E83">
              <w:rPr>
                <w:sz w:val="22"/>
              </w:rPr>
              <w:t>Questions:</w:t>
            </w:r>
          </w:p>
          <w:p w14:paraId="2A4DA3B2" w14:textId="29D4C14C" w:rsidR="00637419" w:rsidRPr="00E67E83" w:rsidRDefault="006707A0" w:rsidP="00637419">
            <w:pPr>
              <w:numPr>
                <w:ilvl w:val="0"/>
                <w:numId w:val="16"/>
              </w:numPr>
              <w:spacing w:before="0"/>
              <w:jc w:val="left"/>
              <w:rPr>
                <w:sz w:val="22"/>
                <w:szCs w:val="22"/>
              </w:rPr>
            </w:pPr>
            <w:r w:rsidRPr="00E67E83">
              <w:rPr>
                <w:sz w:val="22"/>
                <w:szCs w:val="22"/>
              </w:rPr>
              <w:t xml:space="preserve">Do you have any concerns </w:t>
            </w:r>
            <w:r w:rsidR="00637419" w:rsidRPr="00E67E83">
              <w:rPr>
                <w:sz w:val="22"/>
                <w:szCs w:val="22"/>
              </w:rPr>
              <w:t xml:space="preserve">(other than privacy and confidentiality) </w:t>
            </w:r>
            <w:r w:rsidRPr="00E67E83">
              <w:rPr>
                <w:sz w:val="22"/>
                <w:szCs w:val="22"/>
              </w:rPr>
              <w:t>about the disclosure</w:t>
            </w:r>
            <w:r w:rsidR="00E522FB" w:rsidRPr="00E67E83">
              <w:rPr>
                <w:sz w:val="22"/>
                <w:szCs w:val="22"/>
              </w:rPr>
              <w:t xml:space="preserve"> of</w:t>
            </w:r>
            <w:r w:rsidR="00637419" w:rsidRPr="00E67E83">
              <w:rPr>
                <w:sz w:val="22"/>
                <w:szCs w:val="22"/>
              </w:rPr>
              <w:t xml:space="preserve"> the fact that an investigation </w:t>
            </w:r>
            <w:r w:rsidR="00E522FB" w:rsidRPr="00E67E83">
              <w:rPr>
                <w:sz w:val="22"/>
                <w:szCs w:val="22"/>
              </w:rPr>
              <w:t xml:space="preserve">into a registered charity </w:t>
            </w:r>
            <w:r w:rsidR="00637419" w:rsidRPr="00E67E83">
              <w:rPr>
                <w:sz w:val="22"/>
                <w:szCs w:val="22"/>
              </w:rPr>
              <w:t>has commenced or is ongoing or that no investigation is being undertaken?</w:t>
            </w:r>
          </w:p>
          <w:p w14:paraId="59DA3821" w14:textId="25651037" w:rsidR="00637419" w:rsidRPr="00E67E83" w:rsidRDefault="00E30D2B" w:rsidP="00C40E33">
            <w:pPr>
              <w:numPr>
                <w:ilvl w:val="0"/>
                <w:numId w:val="16"/>
              </w:numPr>
              <w:spacing w:before="0"/>
              <w:rPr>
                <w:sz w:val="22"/>
                <w:szCs w:val="22"/>
              </w:rPr>
            </w:pPr>
            <w:r w:rsidRPr="00E67E83">
              <w:rPr>
                <w:sz w:val="22"/>
                <w:szCs w:val="22"/>
              </w:rPr>
              <w:t xml:space="preserve">Would your concerns be mitigated if the </w:t>
            </w:r>
            <w:r w:rsidR="00637419" w:rsidRPr="00E67E83">
              <w:rPr>
                <w:sz w:val="22"/>
                <w:szCs w:val="22"/>
              </w:rPr>
              <w:t xml:space="preserve">ACNC Commissioner </w:t>
            </w:r>
            <w:r w:rsidRPr="00E67E83">
              <w:rPr>
                <w:sz w:val="22"/>
                <w:szCs w:val="22"/>
              </w:rPr>
              <w:t xml:space="preserve">could only </w:t>
            </w:r>
            <w:r w:rsidR="00637419" w:rsidRPr="00E67E83">
              <w:rPr>
                <w:sz w:val="22"/>
                <w:szCs w:val="22"/>
              </w:rPr>
              <w:t>confirm</w:t>
            </w:r>
            <w:r w:rsidRPr="00E67E83">
              <w:rPr>
                <w:sz w:val="22"/>
                <w:szCs w:val="22"/>
              </w:rPr>
              <w:t xml:space="preserve"> </w:t>
            </w:r>
            <w:r w:rsidR="00561BD0">
              <w:rPr>
                <w:sz w:val="22"/>
                <w:szCs w:val="22"/>
              </w:rPr>
              <w:t xml:space="preserve">if </w:t>
            </w:r>
            <w:r w:rsidRPr="00E67E83">
              <w:rPr>
                <w:sz w:val="22"/>
                <w:szCs w:val="22"/>
              </w:rPr>
              <w:t xml:space="preserve">an investigation is </w:t>
            </w:r>
            <w:r w:rsidR="00561BD0">
              <w:rPr>
                <w:sz w:val="22"/>
                <w:szCs w:val="22"/>
              </w:rPr>
              <w:t xml:space="preserve">or is not </w:t>
            </w:r>
            <w:r w:rsidRPr="00E67E83">
              <w:rPr>
                <w:sz w:val="22"/>
                <w:szCs w:val="22"/>
              </w:rPr>
              <w:t>underway</w:t>
            </w:r>
            <w:r w:rsidR="00637419" w:rsidRPr="00E67E83">
              <w:rPr>
                <w:sz w:val="22"/>
                <w:szCs w:val="22"/>
              </w:rPr>
              <w:t>?</w:t>
            </w:r>
          </w:p>
          <w:p w14:paraId="49AC617D" w14:textId="47F7E129" w:rsidR="00E30D2B" w:rsidRPr="00760E7B" w:rsidRDefault="00E30D2B" w:rsidP="00C40E33">
            <w:pPr>
              <w:numPr>
                <w:ilvl w:val="0"/>
                <w:numId w:val="16"/>
              </w:numPr>
              <w:spacing w:before="0"/>
              <w:rPr>
                <w:sz w:val="22"/>
                <w:szCs w:val="22"/>
              </w:rPr>
            </w:pPr>
            <w:r w:rsidRPr="00E67E83">
              <w:rPr>
                <w:sz w:val="22"/>
                <w:szCs w:val="22"/>
              </w:rPr>
              <w:t>Should a public interest test form the basis of the discretion to disclose information about new and</w:t>
            </w:r>
            <w:r w:rsidR="00055965" w:rsidRPr="00E67E83">
              <w:rPr>
                <w:sz w:val="22"/>
                <w:szCs w:val="22"/>
              </w:rPr>
              <w:t>/or ongoing investigations</w:t>
            </w:r>
            <w:r w:rsidR="00AB64ED" w:rsidRPr="00E67E83">
              <w:rPr>
                <w:sz w:val="22"/>
                <w:szCs w:val="22"/>
              </w:rPr>
              <w:t xml:space="preserve"> and why</w:t>
            </w:r>
            <w:r w:rsidRPr="00E67E83">
              <w:rPr>
                <w:sz w:val="22"/>
                <w:szCs w:val="22"/>
              </w:rPr>
              <w:t>?</w:t>
            </w:r>
          </w:p>
        </w:tc>
      </w:tr>
    </w:tbl>
    <w:p w14:paraId="5E855629" w14:textId="60EE03C5" w:rsidR="00E960F3" w:rsidRPr="00E960F3" w:rsidRDefault="00681788" w:rsidP="00A03C24">
      <w:pPr>
        <w:pStyle w:val="Heading3"/>
      </w:pPr>
      <w:bookmarkStart w:id="37" w:name="_Toc77586517"/>
      <w:r>
        <w:t>Area 3: Finalised investigations and resulting compliance action</w:t>
      </w:r>
      <w:bookmarkEnd w:id="36"/>
      <w:bookmarkEnd w:id="37"/>
    </w:p>
    <w:tbl>
      <w:tblPr>
        <w:tblStyle w:val="TableGrid"/>
        <w:tblW w:w="0" w:type="auto"/>
        <w:shd w:val="clear" w:color="auto" w:fill="D2EDFF" w:themeFill="accent1" w:themeFillTint="1A"/>
        <w:tblLook w:val="04A0" w:firstRow="1" w:lastRow="0" w:firstColumn="1" w:lastColumn="0" w:noHBand="0" w:noVBand="1"/>
      </w:tblPr>
      <w:tblGrid>
        <w:gridCol w:w="9070"/>
      </w:tblGrid>
      <w:tr w:rsidR="00A248E9" w14:paraId="74826F96" w14:textId="77777777" w:rsidTr="004B351B">
        <w:tc>
          <w:tcPr>
            <w:tcW w:w="9070" w:type="dxa"/>
            <w:shd w:val="clear" w:color="auto" w:fill="D2EDFF" w:themeFill="accent1" w:themeFillTint="1A"/>
          </w:tcPr>
          <w:p w14:paraId="6075B3C9" w14:textId="77777777" w:rsidR="00A248E9" w:rsidRPr="001C77BF" w:rsidRDefault="00A248E9">
            <w:pPr>
              <w:pStyle w:val="Heading5"/>
              <w:outlineLvl w:val="4"/>
              <w:rPr>
                <w:sz w:val="22"/>
              </w:rPr>
            </w:pPr>
            <w:r w:rsidRPr="001C77BF">
              <w:rPr>
                <w:sz w:val="22"/>
              </w:rPr>
              <w:t>Quick facts:</w:t>
            </w:r>
          </w:p>
          <w:p w14:paraId="53325F9A" w14:textId="55B6D21B" w:rsidR="00A248E9" w:rsidRPr="001C77BF" w:rsidRDefault="00A248E9">
            <w:pPr>
              <w:rPr>
                <w:sz w:val="22"/>
                <w:szCs w:val="22"/>
              </w:rPr>
            </w:pPr>
            <w:r w:rsidRPr="001C77BF">
              <w:rPr>
                <w:sz w:val="22"/>
                <w:szCs w:val="22"/>
              </w:rPr>
              <w:t>According to the 2019</w:t>
            </w:r>
            <w:r w:rsidRPr="001C77BF">
              <w:rPr>
                <w:sz w:val="22"/>
                <w:szCs w:val="22"/>
              </w:rPr>
              <w:noBreakHyphen/>
              <w:t>20 ACNC Annual Report the ACNC finalised 79 investigations resulting in a range of outcomes including</w:t>
            </w:r>
            <w:r w:rsidR="00D40BD6" w:rsidRPr="001C77BF">
              <w:rPr>
                <w:sz w:val="22"/>
                <w:szCs w:val="22"/>
              </w:rPr>
              <w:t xml:space="preserve"> the revocation of charity registration for 18 charities due to serious and ongoing non</w:t>
            </w:r>
            <w:r w:rsidR="00D40BD6" w:rsidRPr="001C77BF">
              <w:rPr>
                <w:sz w:val="22"/>
                <w:szCs w:val="22"/>
              </w:rPr>
              <w:noBreakHyphen/>
              <w:t>compliance. Due to the bushfires and COVID-19, the ACNC deferred action in some cases which meant they were not finalised in the 2019–20 year.</w:t>
            </w:r>
          </w:p>
          <w:p w14:paraId="2F926AB5" w14:textId="77777777" w:rsidR="00D40BD6" w:rsidRPr="001C77BF" w:rsidRDefault="00D40BD6">
            <w:pPr>
              <w:rPr>
                <w:sz w:val="22"/>
                <w:szCs w:val="22"/>
              </w:rPr>
            </w:pPr>
            <w:r w:rsidRPr="001C77BF">
              <w:rPr>
                <w:sz w:val="22"/>
                <w:szCs w:val="22"/>
              </w:rPr>
              <w:t>In the two previous years the ACNC finalised the following number of investigations:</w:t>
            </w:r>
          </w:p>
          <w:p w14:paraId="694B5ED7" w14:textId="09834FCD" w:rsidR="00732BCE" w:rsidRPr="001C77BF" w:rsidRDefault="00D40BD6" w:rsidP="00D40BD6">
            <w:pPr>
              <w:pStyle w:val="Bullet"/>
              <w:rPr>
                <w:sz w:val="22"/>
                <w:szCs w:val="22"/>
              </w:rPr>
            </w:pPr>
            <w:r w:rsidRPr="001C77BF">
              <w:rPr>
                <w:sz w:val="22"/>
                <w:szCs w:val="22"/>
              </w:rPr>
              <w:lastRenderedPageBreak/>
              <w:t>For 2017</w:t>
            </w:r>
            <w:r w:rsidRPr="001C77BF">
              <w:rPr>
                <w:sz w:val="22"/>
                <w:szCs w:val="22"/>
              </w:rPr>
              <w:noBreakHyphen/>
              <w:t>18</w:t>
            </w:r>
            <w:r w:rsidR="00652FBF" w:rsidRPr="001C77BF">
              <w:rPr>
                <w:sz w:val="22"/>
                <w:szCs w:val="22"/>
              </w:rPr>
              <w:t>,</w:t>
            </w:r>
            <w:r w:rsidRPr="001C77BF">
              <w:rPr>
                <w:sz w:val="22"/>
                <w:szCs w:val="22"/>
              </w:rPr>
              <w:t xml:space="preserve"> </w:t>
            </w:r>
            <w:r w:rsidR="00652FBF" w:rsidRPr="001C77BF">
              <w:rPr>
                <w:sz w:val="22"/>
                <w:szCs w:val="22"/>
              </w:rPr>
              <w:t xml:space="preserve">the number of finalised investigations was </w:t>
            </w:r>
            <w:r w:rsidRPr="001C77BF">
              <w:rPr>
                <w:sz w:val="22"/>
                <w:szCs w:val="22"/>
              </w:rPr>
              <w:t>108</w:t>
            </w:r>
            <w:r w:rsidR="00652FBF" w:rsidRPr="001C77BF">
              <w:rPr>
                <w:sz w:val="22"/>
                <w:szCs w:val="22"/>
              </w:rPr>
              <w:t>, including the revocation</w:t>
            </w:r>
            <w:r w:rsidRPr="001C77BF">
              <w:rPr>
                <w:sz w:val="22"/>
                <w:szCs w:val="22"/>
              </w:rPr>
              <w:t xml:space="preserve"> </w:t>
            </w:r>
            <w:r w:rsidR="00652FBF" w:rsidRPr="001C77BF">
              <w:rPr>
                <w:sz w:val="22"/>
                <w:szCs w:val="22"/>
              </w:rPr>
              <w:t>of charity registration for 22 charities.</w:t>
            </w:r>
          </w:p>
          <w:p w14:paraId="47F3F172" w14:textId="144471DB" w:rsidR="00D40BD6" w:rsidRPr="001C77BF" w:rsidRDefault="00652FBF" w:rsidP="00637419">
            <w:pPr>
              <w:pStyle w:val="Bullet"/>
              <w:rPr>
                <w:sz w:val="22"/>
                <w:szCs w:val="22"/>
              </w:rPr>
            </w:pPr>
            <w:r w:rsidRPr="001C77BF">
              <w:rPr>
                <w:sz w:val="22"/>
                <w:szCs w:val="22"/>
              </w:rPr>
              <w:t>For 2018</w:t>
            </w:r>
            <w:r w:rsidRPr="001C77BF">
              <w:rPr>
                <w:sz w:val="22"/>
                <w:szCs w:val="22"/>
              </w:rPr>
              <w:noBreakHyphen/>
              <w:t>19, the number of finalised investigations was 100, including the revocation of charity registration for 12 charities.</w:t>
            </w:r>
          </w:p>
        </w:tc>
      </w:tr>
    </w:tbl>
    <w:p w14:paraId="11B7A8A1" w14:textId="6CAB3EC0" w:rsidR="00592285" w:rsidRDefault="00D9244A" w:rsidP="00D9244A">
      <w:r>
        <w:lastRenderedPageBreak/>
        <w:t xml:space="preserve">When the ACNC finalises an investigation into a charity, the ACNC cannot </w:t>
      </w:r>
      <w:r w:rsidR="002D7AD4">
        <w:t>publicly disclose this</w:t>
      </w:r>
      <w:r>
        <w:t xml:space="preserve"> information unless </w:t>
      </w:r>
      <w:r w:rsidR="002D7AD4">
        <w:t xml:space="preserve">the investigation </w:t>
      </w:r>
      <w:r>
        <w:t>it</w:t>
      </w:r>
      <w:r w:rsidR="002D7AD4">
        <w:t>self</w:t>
      </w:r>
      <w:r>
        <w:t xml:space="preserve"> result</w:t>
      </w:r>
      <w:r w:rsidR="00407D72">
        <w:t>s</w:t>
      </w:r>
      <w:r>
        <w:t xml:space="preserve"> in certain compliance action. These </w:t>
      </w:r>
      <w:r w:rsidR="002D7AD4">
        <w:t xml:space="preserve">compliance </w:t>
      </w:r>
      <w:r>
        <w:t>actions include if the ACNC exercised any of its enforcement powers under Part 4-2 of the ACNC Act</w:t>
      </w:r>
      <w:r w:rsidR="002D7AD4">
        <w:t>, such as issuing a warning, giving a direction, enforcing undertakings,</w:t>
      </w:r>
      <w:r w:rsidR="00592285">
        <w:t xml:space="preserve"> and</w:t>
      </w:r>
      <w:r w:rsidR="002D7AD4">
        <w:t xml:space="preserve"> suspending or removing a responsible person</w:t>
      </w:r>
      <w:r w:rsidR="00592285">
        <w:t xml:space="preserve"> of a charity</w:t>
      </w:r>
      <w:r w:rsidR="002D7AD4">
        <w:t>.</w:t>
      </w:r>
      <w:r w:rsidR="002D38F1">
        <w:rPr>
          <w:rStyle w:val="FootnoteReference"/>
        </w:rPr>
        <w:footnoteReference w:id="14"/>
      </w:r>
      <w:r w:rsidR="00592285">
        <w:t xml:space="preserve"> Information about the investigation, including its findings, is published as part of the compliance action summary on the ACNC Charity Register.</w:t>
      </w:r>
    </w:p>
    <w:p w14:paraId="3E6F51EF" w14:textId="77777777" w:rsidR="00F93C30" w:rsidRDefault="00592285" w:rsidP="00592285">
      <w:r>
        <w:t>However</w:t>
      </w:r>
      <w:r w:rsidRPr="00E960F3">
        <w:t xml:space="preserve">, </w:t>
      </w:r>
      <w:r w:rsidR="00F93C30">
        <w:t xml:space="preserve">when </w:t>
      </w:r>
      <w:r w:rsidRPr="00E960F3">
        <w:t>the ACNC finalise</w:t>
      </w:r>
      <w:r w:rsidR="00F93C30">
        <w:t>s an</w:t>
      </w:r>
      <w:r w:rsidRPr="00E960F3">
        <w:t xml:space="preserve"> investigation</w:t>
      </w:r>
      <w:r w:rsidR="00F93C30">
        <w:t xml:space="preserve"> into a charity and </w:t>
      </w:r>
      <w:r w:rsidRPr="00E960F3">
        <w:t>does not exercise its enforcement powers under Part 4-2 of the ACNC Act</w:t>
      </w:r>
      <w:r w:rsidR="00F93C30">
        <w:t>, no information about the finalised investigation can be published</w:t>
      </w:r>
      <w:r w:rsidRPr="00E960F3">
        <w:t xml:space="preserve">. </w:t>
      </w:r>
      <w:r w:rsidR="00F93C30">
        <w:t>This is the case in the following situations:</w:t>
      </w:r>
    </w:p>
    <w:p w14:paraId="0E1ED2A7" w14:textId="1460B258" w:rsidR="00F93C30" w:rsidRDefault="00F93C30" w:rsidP="00F93C30">
      <w:pPr>
        <w:pStyle w:val="Bullet"/>
      </w:pPr>
      <w:r>
        <w:t xml:space="preserve">The ACNC investigates a charity and revokes the charity’s </w:t>
      </w:r>
      <w:proofErr w:type="gramStart"/>
      <w:r>
        <w:t>registration;</w:t>
      </w:r>
      <w:proofErr w:type="gramEnd"/>
    </w:p>
    <w:p w14:paraId="19B9F0F8" w14:textId="77777777" w:rsidR="00C15388" w:rsidRPr="004B351B" w:rsidRDefault="00F93C30" w:rsidP="00F93C30">
      <w:pPr>
        <w:pStyle w:val="Bullet"/>
      </w:pPr>
      <w:r>
        <w:t>T</w:t>
      </w:r>
      <w:r w:rsidRPr="00E960F3">
        <w:t xml:space="preserve">he ACNC adopts an alternative regulatory approach such as providing a charity with </w:t>
      </w:r>
      <w:r w:rsidRPr="00E960F3">
        <w:rPr>
          <w:rFonts w:ascii="CIDFont+F1" w:eastAsiaTheme="minorHAnsi" w:hAnsi="CIDFont+F1" w:cs="CIDFont+F1"/>
          <w:szCs w:val="22"/>
          <w:lang w:eastAsia="en-US"/>
        </w:rPr>
        <w:t xml:space="preserve">regulatory guidance or negotiating a compliance </w:t>
      </w:r>
      <w:proofErr w:type="gramStart"/>
      <w:r w:rsidRPr="00E960F3">
        <w:rPr>
          <w:rFonts w:ascii="CIDFont+F1" w:eastAsiaTheme="minorHAnsi" w:hAnsi="CIDFont+F1" w:cs="CIDFont+F1"/>
          <w:szCs w:val="22"/>
          <w:lang w:eastAsia="en-US"/>
        </w:rPr>
        <w:t>agreement</w:t>
      </w:r>
      <w:r w:rsidR="00C15388">
        <w:rPr>
          <w:rFonts w:ascii="CIDFont+F1" w:eastAsiaTheme="minorHAnsi" w:hAnsi="CIDFont+F1" w:cs="CIDFont+F1"/>
          <w:szCs w:val="22"/>
          <w:lang w:eastAsia="en-US"/>
        </w:rPr>
        <w:t>;</w:t>
      </w:r>
      <w:proofErr w:type="gramEnd"/>
    </w:p>
    <w:p w14:paraId="0D7BDDC0" w14:textId="77777777" w:rsidR="00C15388" w:rsidRPr="004B351B" w:rsidRDefault="00C15388" w:rsidP="00F93C30">
      <w:pPr>
        <w:pStyle w:val="Bullet"/>
      </w:pPr>
      <w:r>
        <w:rPr>
          <w:rFonts w:ascii="CIDFont+F1" w:eastAsiaTheme="minorHAnsi" w:hAnsi="CIDFont+F1" w:cs="CIDFont+F1"/>
          <w:szCs w:val="22"/>
          <w:lang w:eastAsia="en-US"/>
        </w:rPr>
        <w:t>The ACNC investigates a charity and takes no action.</w:t>
      </w:r>
    </w:p>
    <w:p w14:paraId="259674A9" w14:textId="546A0016" w:rsidR="00592285" w:rsidRDefault="00592285" w:rsidP="00592285">
      <w:pPr>
        <w:rPr>
          <w:rFonts w:eastAsiaTheme="minorHAnsi"/>
        </w:rPr>
      </w:pPr>
      <w:r w:rsidRPr="00E960F3">
        <w:t>Th</w:t>
      </w:r>
      <w:r w:rsidR="00020D43">
        <w:t>ese above situations can</w:t>
      </w:r>
      <w:r w:rsidRPr="00E960F3">
        <w:t xml:space="preserve"> </w:t>
      </w:r>
      <w:r w:rsidR="00020D43">
        <w:t xml:space="preserve">arise in situations where a charity is not </w:t>
      </w:r>
      <w:r w:rsidRPr="00E960F3">
        <w:t xml:space="preserve">a Federally Regulated Entity (non-FRE), and therefore the ACNC </w:t>
      </w:r>
      <w:r w:rsidR="00020D43">
        <w:t>cannot exercise its enforcement powers</w:t>
      </w:r>
      <w:r w:rsidR="00655569">
        <w:t xml:space="preserve"> </w:t>
      </w:r>
      <w:r w:rsidR="00655569" w:rsidRPr="00E960F3">
        <w:t>under Part 4-2 of the ACNC Act</w:t>
      </w:r>
      <w:r w:rsidR="00020D43">
        <w:t xml:space="preserve">. </w:t>
      </w:r>
    </w:p>
    <w:p w14:paraId="7837C7E7" w14:textId="7B041467" w:rsidR="00655569" w:rsidRPr="00E960F3" w:rsidRDefault="00655569" w:rsidP="004B351B">
      <w:pPr>
        <w:spacing w:before="40" w:after="40"/>
      </w:pPr>
      <w:r>
        <w:t>Additionally, whilst the fact that a charity’s registration has been revoked is ordinarily</w:t>
      </w:r>
      <w:r w:rsidRPr="00E960F3">
        <w:t xml:space="preserve"> published </w:t>
      </w:r>
      <w:r>
        <w:t>on the ACNC Charity Register (this includes</w:t>
      </w:r>
      <w:r w:rsidRPr="00E960F3">
        <w:t xml:space="preserve"> the entity’s name</w:t>
      </w:r>
      <w:r>
        <w:t>,</w:t>
      </w:r>
      <w:r w:rsidRPr="00E960F3">
        <w:t xml:space="preserve"> the date of effect of revocation</w:t>
      </w:r>
      <w:r>
        <w:t xml:space="preserve"> and if revocation was voluntary), the ACNC cannot publish any</w:t>
      </w:r>
      <w:r w:rsidRPr="00E960F3">
        <w:t xml:space="preserve"> information about the circumstances surrounding the revocation or the reasons for the ACNC’s decision </w:t>
      </w:r>
      <w:r>
        <w:t>to revoke</w:t>
      </w:r>
      <w:r w:rsidRPr="00E960F3">
        <w:t>.</w:t>
      </w:r>
    </w:p>
    <w:p w14:paraId="04C6664E" w14:textId="33B4D55E" w:rsidR="00655569" w:rsidRDefault="00592285" w:rsidP="00655569">
      <w:pPr>
        <w:rPr>
          <w:szCs w:val="22"/>
        </w:rPr>
      </w:pPr>
      <w:r w:rsidRPr="00E960F3">
        <w:rPr>
          <w:szCs w:val="22"/>
        </w:rPr>
        <w:t xml:space="preserve">The ACNC Review </w:t>
      </w:r>
      <w:r w:rsidR="00655569">
        <w:rPr>
          <w:szCs w:val="22"/>
        </w:rPr>
        <w:t xml:space="preserve">stated that </w:t>
      </w:r>
      <w:r w:rsidR="00AE191C">
        <w:t xml:space="preserve">information regarding a completed investigation may be of broader educational value to the sector. </w:t>
      </w:r>
      <w:r w:rsidRPr="00E960F3">
        <w:rPr>
          <w:szCs w:val="22"/>
        </w:rPr>
        <w:t xml:space="preserve">The ACNC Review also noted that </w:t>
      </w:r>
      <w:r w:rsidRPr="00E960F3">
        <w:t xml:space="preserve">a perceived lack of action by the ACNC in relation to non-FREs </w:t>
      </w:r>
      <w:r w:rsidR="00AE191C">
        <w:t xml:space="preserve">and the ACNC’s </w:t>
      </w:r>
      <w:r w:rsidR="00536914">
        <w:t>in</w:t>
      </w:r>
      <w:r w:rsidR="00AE191C">
        <w:t xml:space="preserve">ability to disclose the reasons for revocation decisions </w:t>
      </w:r>
      <w:r w:rsidRPr="00E960F3">
        <w:rPr>
          <w:szCs w:val="22"/>
        </w:rPr>
        <w:t>may undermine confidence in the ACNC and the regulatory framework under the ACNC Act</w:t>
      </w:r>
      <w:r w:rsidR="00AE191C">
        <w:rPr>
          <w:szCs w:val="22"/>
        </w:rPr>
        <w:t>.</w:t>
      </w:r>
    </w:p>
    <w:p w14:paraId="2E898416" w14:textId="5F0FA90A" w:rsidR="00E960F3" w:rsidRPr="00E960F3" w:rsidRDefault="00E960F3" w:rsidP="000F4159">
      <w:pPr>
        <w:pStyle w:val="Heading4"/>
      </w:pPr>
      <w:r w:rsidRPr="00E960F3">
        <w:t>Rationale for change</w:t>
      </w:r>
    </w:p>
    <w:p w14:paraId="752D319A" w14:textId="40DA688E" w:rsidR="00AE191C" w:rsidRDefault="00AE191C" w:rsidP="00E960F3">
      <w:pPr>
        <w:spacing w:before="0"/>
      </w:pPr>
      <w:r>
        <w:t xml:space="preserve">Information about completed investigations may be of educational value to the sector, by illustrating the standards of compliance and expectations of the ACNC. Additionally, </w:t>
      </w:r>
      <w:proofErr w:type="gramStart"/>
      <w:r>
        <w:t>the majority of</w:t>
      </w:r>
      <w:proofErr w:type="gramEnd"/>
      <w:r>
        <w:t xml:space="preserve"> compliant charities in the sector </w:t>
      </w:r>
      <w:r w:rsidR="00E96553">
        <w:t xml:space="preserve">and the donating public </w:t>
      </w:r>
      <w:r w:rsidR="00F6600D">
        <w:t xml:space="preserve">may </w:t>
      </w:r>
      <w:r>
        <w:t xml:space="preserve">benefit from the ACNC disclosing information about </w:t>
      </w:r>
      <w:r w:rsidR="00E96553">
        <w:t>charities that are engaging in misconduct following a</w:t>
      </w:r>
      <w:r>
        <w:t xml:space="preserve"> finalised investigation.</w:t>
      </w:r>
      <w:r w:rsidR="00C03FEF">
        <w:t xml:space="preserve"> Equally, charities will benefit from public disclosures in this area if an investigation </w:t>
      </w:r>
      <w:r w:rsidR="00F6600D">
        <w:t>into a</w:t>
      </w:r>
      <w:r w:rsidR="00C03FEF">
        <w:t xml:space="preserve"> charity</w:t>
      </w:r>
      <w:r w:rsidR="00F6600D">
        <w:t xml:space="preserve"> has cleared it of any </w:t>
      </w:r>
      <w:r w:rsidR="00C03FEF">
        <w:t>alleged</w:t>
      </w:r>
      <w:r w:rsidR="00F6600D">
        <w:t xml:space="preserve"> wrongdoing or</w:t>
      </w:r>
      <w:r w:rsidR="00C03FEF">
        <w:t xml:space="preserve"> misconduct.</w:t>
      </w:r>
    </w:p>
    <w:p w14:paraId="634D7A41" w14:textId="6E254FDF" w:rsidR="00E960F3" w:rsidRPr="00E960F3" w:rsidRDefault="00E960F3" w:rsidP="00E960F3">
      <w:pPr>
        <w:spacing w:before="0"/>
      </w:pPr>
      <w:r w:rsidRPr="00E960F3">
        <w:t>Disclosing the reasons for revocation of a charity’s registration would provide the public with a greater degree of transparency about the ACNC’s revocation decisions. This could enhance public trust and confidence in the ACNC as an effective regulator.</w:t>
      </w:r>
      <w:r w:rsidR="00C061E0">
        <w:t xml:space="preserve"> </w:t>
      </w:r>
      <w:r w:rsidRPr="00E960F3">
        <w:t xml:space="preserve">The public (including donors, members, </w:t>
      </w:r>
      <w:proofErr w:type="gramStart"/>
      <w:r w:rsidRPr="00E960F3">
        <w:t>volunteers</w:t>
      </w:r>
      <w:proofErr w:type="gramEnd"/>
      <w:r w:rsidRPr="00E960F3">
        <w:t xml:space="preserve"> and beneficiaries) can be informed of any risks about a former charity, where a knowledge of the circumstances of revocation and any serious misconduct would affect a person's current or future interactions with the former charity.</w:t>
      </w:r>
    </w:p>
    <w:p w14:paraId="78AFD25A" w14:textId="3A239B85" w:rsidR="00E2472C" w:rsidRDefault="00E960F3" w:rsidP="00E960F3">
      <w:pPr>
        <w:spacing w:before="0"/>
      </w:pPr>
      <w:r w:rsidRPr="00E960F3">
        <w:lastRenderedPageBreak/>
        <w:t xml:space="preserve">The ACNC would also be able to correct the public record and prevent misinformation in situations where the public may infer or draw false conclusions about </w:t>
      </w:r>
      <w:r w:rsidR="00E96553">
        <w:t>an ACNC investigation into a charity, any actions taken as a result, and the reasons for those actions</w:t>
      </w:r>
      <w:r w:rsidRPr="00E960F3">
        <w:t>.</w:t>
      </w:r>
    </w:p>
    <w:p w14:paraId="03120CD2" w14:textId="24F91E43" w:rsidR="00FB68DD" w:rsidRDefault="00FB68DD" w:rsidP="00E960F3">
      <w:pPr>
        <w:spacing w:before="0"/>
      </w:pPr>
      <w:r>
        <w:t>In contrast, ASIC, the ACCC, the UK Charity Commission and New Zealand Charities Services can publish information about finalised investigations and resulting compliance action. In the UK and New Zealand, these charity regulators routinely publish the reasons for revocations</w:t>
      </w:r>
      <w:r w:rsidR="00DE7DF4">
        <w:t xml:space="preserve"> (refer Box 3)</w:t>
      </w:r>
      <w:r>
        <w:t>.</w:t>
      </w:r>
    </w:p>
    <w:p w14:paraId="056AAF5C" w14:textId="6D89CDE9" w:rsidR="008429D3" w:rsidRDefault="008429D3" w:rsidP="008429D3">
      <w:pPr>
        <w:pStyle w:val="Heading4"/>
      </w:pPr>
      <w:r>
        <w:t>Box 3: UK Charity Commission disclosure on finalised investigation</w:t>
      </w:r>
    </w:p>
    <w:tbl>
      <w:tblPr>
        <w:tblStyle w:val="TableGrid"/>
        <w:tblW w:w="0" w:type="auto"/>
        <w:shd w:val="clear" w:color="auto" w:fill="B3FFEE" w:themeFill="accent3" w:themeFillTint="33"/>
        <w:tblLook w:val="04A0" w:firstRow="1" w:lastRow="0" w:firstColumn="1" w:lastColumn="0" w:noHBand="0" w:noVBand="1"/>
      </w:tblPr>
      <w:tblGrid>
        <w:gridCol w:w="9070"/>
      </w:tblGrid>
      <w:tr w:rsidR="008429D3" w14:paraId="4AB28556" w14:textId="77777777" w:rsidTr="00685419">
        <w:tc>
          <w:tcPr>
            <w:tcW w:w="9070" w:type="dxa"/>
            <w:shd w:val="clear" w:color="auto" w:fill="B3FFEE" w:themeFill="accent3" w:themeFillTint="33"/>
          </w:tcPr>
          <w:p w14:paraId="68D61344" w14:textId="77777777" w:rsidR="008429D3" w:rsidRPr="001C0425" w:rsidRDefault="008429D3" w:rsidP="00685419">
            <w:pPr>
              <w:spacing w:after="0" w:line="259" w:lineRule="auto"/>
              <w:rPr>
                <w:rFonts w:ascii="Arial" w:hAnsi="Arial" w:cs="Arial"/>
              </w:rPr>
            </w:pPr>
            <w:r w:rsidRPr="001C0425">
              <w:rPr>
                <w:rFonts w:ascii="Arial" w:hAnsi="Arial" w:cs="Arial"/>
              </w:rPr>
              <w:t>Press release</w:t>
            </w:r>
          </w:p>
          <w:p w14:paraId="77AE1667" w14:textId="77777777" w:rsidR="008429D3" w:rsidRPr="00823767" w:rsidRDefault="008429D3" w:rsidP="00685419">
            <w:pPr>
              <w:spacing w:after="160" w:line="259" w:lineRule="auto"/>
              <w:rPr>
                <w:rFonts w:ascii="Arial" w:hAnsi="Arial" w:cs="Arial"/>
                <w:b/>
                <w:sz w:val="26"/>
                <w:szCs w:val="26"/>
              </w:rPr>
            </w:pPr>
            <w:r w:rsidRPr="00823767">
              <w:rPr>
                <w:rFonts w:ascii="Arial" w:hAnsi="Arial" w:cs="Arial"/>
                <w:b/>
                <w:sz w:val="26"/>
                <w:szCs w:val="26"/>
              </w:rPr>
              <w:t>Royal charities did not act outside charity law</w:t>
            </w:r>
          </w:p>
          <w:p w14:paraId="6C9E738A" w14:textId="77777777" w:rsidR="008429D3" w:rsidRPr="00823767" w:rsidRDefault="008429D3" w:rsidP="00685419">
            <w:pPr>
              <w:spacing w:after="160" w:line="259" w:lineRule="auto"/>
              <w:rPr>
                <w:rFonts w:ascii="Arial" w:hAnsi="Arial" w:cs="Arial"/>
                <w:sz w:val="22"/>
                <w:szCs w:val="22"/>
              </w:rPr>
            </w:pPr>
            <w:r w:rsidRPr="00823767">
              <w:rPr>
                <w:rFonts w:ascii="Arial" w:hAnsi="Arial" w:cs="Arial"/>
                <w:sz w:val="22"/>
                <w:szCs w:val="22"/>
              </w:rPr>
              <w:t xml:space="preserve">The Charity Commission has found that the charity MWX Foundation (formerly Sussex Royal: The Foundation) did not act outside charity law in transferring funds to </w:t>
            </w:r>
            <w:proofErr w:type="spellStart"/>
            <w:r w:rsidRPr="00823767">
              <w:rPr>
                <w:rFonts w:ascii="Arial" w:hAnsi="Arial" w:cs="Arial"/>
                <w:sz w:val="22"/>
                <w:szCs w:val="22"/>
              </w:rPr>
              <w:t>Travalyst</w:t>
            </w:r>
            <w:proofErr w:type="spellEnd"/>
            <w:r w:rsidRPr="00823767">
              <w:rPr>
                <w:rFonts w:ascii="Arial" w:hAnsi="Arial" w:cs="Arial"/>
                <w:sz w:val="22"/>
                <w:szCs w:val="22"/>
              </w:rPr>
              <w:t>.</w:t>
            </w:r>
          </w:p>
          <w:p w14:paraId="15C3545F" w14:textId="77777777" w:rsidR="008429D3" w:rsidRPr="001C0425" w:rsidRDefault="008429D3" w:rsidP="00685419">
            <w:pPr>
              <w:spacing w:after="0" w:line="259" w:lineRule="auto"/>
              <w:rPr>
                <w:rFonts w:ascii="Arial" w:hAnsi="Arial" w:cs="Arial"/>
              </w:rPr>
            </w:pPr>
            <w:r w:rsidRPr="001C0425">
              <w:rPr>
                <w:rFonts w:ascii="Arial" w:hAnsi="Arial" w:cs="Arial"/>
              </w:rPr>
              <w:t>From:</w:t>
            </w:r>
            <w:r>
              <w:rPr>
                <w:rFonts w:ascii="Arial" w:hAnsi="Arial" w:cs="Arial"/>
              </w:rPr>
              <w:t xml:space="preserve"> </w:t>
            </w:r>
            <w:hyperlink r:id="rId28" w:history="1">
              <w:r w:rsidRPr="001C0425">
                <w:rPr>
                  <w:rStyle w:val="Hyperlink"/>
                  <w:rFonts w:ascii="Arial" w:hAnsi="Arial" w:cs="Arial"/>
                  <w:b/>
                  <w:bCs/>
                </w:rPr>
                <w:t>The Charity Commission</w:t>
              </w:r>
            </w:hyperlink>
          </w:p>
          <w:p w14:paraId="01886EE5" w14:textId="77777777" w:rsidR="008429D3" w:rsidRPr="001C0425" w:rsidRDefault="008429D3" w:rsidP="00685419">
            <w:pPr>
              <w:spacing w:before="0" w:after="160" w:line="259" w:lineRule="auto"/>
              <w:rPr>
                <w:rFonts w:ascii="Arial" w:hAnsi="Arial" w:cs="Arial"/>
              </w:rPr>
            </w:pPr>
            <w:r w:rsidRPr="001C0425">
              <w:rPr>
                <w:rFonts w:ascii="Arial" w:hAnsi="Arial" w:cs="Arial"/>
              </w:rPr>
              <w:t>Published</w:t>
            </w:r>
            <w:r>
              <w:rPr>
                <w:rFonts w:ascii="Arial" w:hAnsi="Arial" w:cs="Arial"/>
              </w:rPr>
              <w:t xml:space="preserve"> </w:t>
            </w:r>
            <w:r w:rsidRPr="001C0425">
              <w:rPr>
                <w:rFonts w:ascii="Arial" w:hAnsi="Arial" w:cs="Arial"/>
              </w:rPr>
              <w:t>25 May 2021</w:t>
            </w:r>
          </w:p>
          <w:p w14:paraId="6A130B60" w14:textId="77777777" w:rsidR="008429D3" w:rsidRPr="001C0425" w:rsidRDefault="008429D3" w:rsidP="00685419">
            <w:pPr>
              <w:spacing w:after="160" w:line="259" w:lineRule="auto"/>
              <w:rPr>
                <w:rFonts w:ascii="Arial" w:hAnsi="Arial" w:cs="Arial"/>
              </w:rPr>
            </w:pPr>
            <w:r w:rsidRPr="001C0425">
              <w:rPr>
                <w:rFonts w:ascii="Arial" w:hAnsi="Arial" w:cs="Arial"/>
              </w:rPr>
              <w:t xml:space="preserve">The Commission opened a case into the MWX Foundation (charity number 1185074, established by the Duke and Duchess of Sussex) in July 2020. This followed concerns about the use of funds received by MWX Foundation from the charity ‘The Royal Foundation </w:t>
            </w:r>
            <w:proofErr w:type="gramStart"/>
            <w:r w:rsidRPr="001C0425">
              <w:rPr>
                <w:rFonts w:ascii="Arial" w:hAnsi="Arial" w:cs="Arial"/>
              </w:rPr>
              <w:t>Of</w:t>
            </w:r>
            <w:proofErr w:type="gramEnd"/>
            <w:r w:rsidRPr="001C0425">
              <w:rPr>
                <w:rFonts w:ascii="Arial" w:hAnsi="Arial" w:cs="Arial"/>
              </w:rPr>
              <w:t xml:space="preserve"> The Duke And Duchess Of Cambridge’, formerly ‘The Royal Foundation of the Duke and Duchess of Cambridge and the Duke and Duchess of Sussex (‘the Royal Foundation’)’.</w:t>
            </w:r>
          </w:p>
          <w:p w14:paraId="77A846F4" w14:textId="77777777" w:rsidR="008429D3" w:rsidRPr="001C0425" w:rsidRDefault="008429D3" w:rsidP="00685419">
            <w:pPr>
              <w:spacing w:before="0" w:after="160" w:line="259" w:lineRule="auto"/>
              <w:rPr>
                <w:rFonts w:ascii="Arial" w:hAnsi="Arial" w:cs="Arial"/>
              </w:rPr>
            </w:pPr>
            <w:r w:rsidRPr="001C0425">
              <w:rPr>
                <w:rFonts w:ascii="Arial" w:hAnsi="Arial" w:cs="Arial"/>
              </w:rPr>
              <w:t xml:space="preserve">MWX Foundation received an unrestricted grant of £145,000 from the Royal Foundation to start up the charity in 2019. A further £151,855 was received from the Royal Foundation to deliver </w:t>
            </w:r>
            <w:proofErr w:type="spellStart"/>
            <w:r w:rsidRPr="001C0425">
              <w:rPr>
                <w:rFonts w:ascii="Arial" w:hAnsi="Arial" w:cs="Arial"/>
              </w:rPr>
              <w:t>Travalyst’s</w:t>
            </w:r>
            <w:proofErr w:type="spellEnd"/>
            <w:r w:rsidRPr="001C0425">
              <w:rPr>
                <w:rFonts w:ascii="Arial" w:hAnsi="Arial" w:cs="Arial"/>
              </w:rPr>
              <w:t xml:space="preserve"> sustainable travel programme, which was transferred by MWX Foundation to </w:t>
            </w:r>
            <w:proofErr w:type="spellStart"/>
            <w:r w:rsidRPr="001C0425">
              <w:rPr>
                <w:rFonts w:ascii="Arial" w:hAnsi="Arial" w:cs="Arial"/>
              </w:rPr>
              <w:t>Travalyst</w:t>
            </w:r>
            <w:proofErr w:type="spellEnd"/>
            <w:r w:rsidRPr="001C0425">
              <w:rPr>
                <w:rFonts w:ascii="Arial" w:hAnsi="Arial" w:cs="Arial"/>
              </w:rPr>
              <w:t>. In July 2020, the trustees made the decision to wind up the MWX Foundation.</w:t>
            </w:r>
          </w:p>
          <w:p w14:paraId="0DB6E539" w14:textId="77777777" w:rsidR="008429D3" w:rsidRPr="001C0425" w:rsidRDefault="008429D3" w:rsidP="00685419">
            <w:pPr>
              <w:spacing w:before="0" w:after="0" w:line="259" w:lineRule="auto"/>
              <w:rPr>
                <w:rFonts w:ascii="Arial" w:hAnsi="Arial" w:cs="Arial"/>
              </w:rPr>
            </w:pPr>
            <w:r w:rsidRPr="001C0425">
              <w:rPr>
                <w:rFonts w:ascii="Arial" w:hAnsi="Arial" w:cs="Arial"/>
              </w:rPr>
              <w:t>The regulator found:</w:t>
            </w:r>
          </w:p>
          <w:p w14:paraId="3C846272" w14:textId="77777777" w:rsidR="008429D3" w:rsidRPr="001C0425" w:rsidRDefault="008429D3" w:rsidP="00685419">
            <w:pPr>
              <w:numPr>
                <w:ilvl w:val="0"/>
                <w:numId w:val="20"/>
              </w:numPr>
              <w:spacing w:before="0" w:after="0" w:line="259" w:lineRule="auto"/>
              <w:rPr>
                <w:rFonts w:ascii="Arial" w:hAnsi="Arial" w:cs="Arial"/>
              </w:rPr>
            </w:pPr>
            <w:r w:rsidRPr="001C0425">
              <w:rPr>
                <w:rFonts w:ascii="Arial" w:hAnsi="Arial" w:cs="Arial"/>
              </w:rPr>
              <w:t>the transfer of funds to MWX was in line with the governing document of the Royal Foundation and allowed under charity law.</w:t>
            </w:r>
          </w:p>
          <w:p w14:paraId="3DC185BB" w14:textId="77777777" w:rsidR="008429D3" w:rsidRPr="001C0425" w:rsidRDefault="008429D3" w:rsidP="00685419">
            <w:pPr>
              <w:numPr>
                <w:ilvl w:val="0"/>
                <w:numId w:val="20"/>
              </w:numPr>
              <w:spacing w:before="0" w:after="0" w:line="259" w:lineRule="auto"/>
              <w:rPr>
                <w:rFonts w:ascii="Arial" w:hAnsi="Arial" w:cs="Arial"/>
              </w:rPr>
            </w:pPr>
            <w:r w:rsidRPr="001C0425">
              <w:rPr>
                <w:rFonts w:ascii="Arial" w:hAnsi="Arial" w:cs="Arial"/>
              </w:rPr>
              <w:t xml:space="preserve">the transfer of funds by MWX to </w:t>
            </w:r>
            <w:proofErr w:type="spellStart"/>
            <w:r w:rsidRPr="001C0425">
              <w:rPr>
                <w:rFonts w:ascii="Arial" w:hAnsi="Arial" w:cs="Arial"/>
              </w:rPr>
              <w:t>Travalyst</w:t>
            </w:r>
            <w:proofErr w:type="spellEnd"/>
            <w:r w:rsidRPr="001C0425">
              <w:rPr>
                <w:rFonts w:ascii="Arial" w:hAnsi="Arial" w:cs="Arial"/>
              </w:rPr>
              <w:t xml:space="preserve"> was also lawful.</w:t>
            </w:r>
          </w:p>
          <w:p w14:paraId="44343A5D" w14:textId="77777777" w:rsidR="008429D3" w:rsidRPr="001C0425" w:rsidRDefault="008429D3" w:rsidP="00685419">
            <w:pPr>
              <w:numPr>
                <w:ilvl w:val="0"/>
                <w:numId w:val="20"/>
              </w:numPr>
              <w:spacing w:before="0" w:after="0" w:line="259" w:lineRule="auto"/>
              <w:rPr>
                <w:rFonts w:ascii="Arial" w:hAnsi="Arial" w:cs="Arial"/>
              </w:rPr>
            </w:pPr>
            <w:proofErr w:type="spellStart"/>
            <w:r w:rsidRPr="001C0425">
              <w:rPr>
                <w:rFonts w:ascii="Arial" w:hAnsi="Arial" w:cs="Arial"/>
              </w:rPr>
              <w:t>Travalyst</w:t>
            </w:r>
            <w:proofErr w:type="spellEnd"/>
            <w:r w:rsidRPr="001C0425">
              <w:rPr>
                <w:rFonts w:ascii="Arial" w:hAnsi="Arial" w:cs="Arial"/>
              </w:rPr>
              <w:t xml:space="preserve"> could receive charitable funds for the promotion of sustainable travel only, which is a charitable activity in law.</w:t>
            </w:r>
          </w:p>
          <w:p w14:paraId="22AFDD0D" w14:textId="77777777" w:rsidR="008429D3" w:rsidRPr="001C0425" w:rsidRDefault="008429D3" w:rsidP="00685419">
            <w:pPr>
              <w:numPr>
                <w:ilvl w:val="0"/>
                <w:numId w:val="20"/>
              </w:numPr>
              <w:spacing w:before="0" w:after="160" w:line="259" w:lineRule="auto"/>
              <w:rPr>
                <w:rFonts w:ascii="Arial" w:hAnsi="Arial" w:cs="Arial"/>
              </w:rPr>
            </w:pPr>
            <w:r w:rsidRPr="001C0425">
              <w:rPr>
                <w:rFonts w:ascii="Arial" w:hAnsi="Arial" w:cs="Arial"/>
              </w:rPr>
              <w:t xml:space="preserve">there was no evidence to suggest that any conflicts of interest between MWX and </w:t>
            </w:r>
            <w:proofErr w:type="spellStart"/>
            <w:r w:rsidRPr="001C0425">
              <w:rPr>
                <w:rFonts w:ascii="Arial" w:hAnsi="Arial" w:cs="Arial"/>
              </w:rPr>
              <w:t>Travalyst</w:t>
            </w:r>
            <w:proofErr w:type="spellEnd"/>
            <w:r w:rsidRPr="001C0425">
              <w:rPr>
                <w:rFonts w:ascii="Arial" w:hAnsi="Arial" w:cs="Arial"/>
              </w:rPr>
              <w:t xml:space="preserve"> were managed inappropriately.</w:t>
            </w:r>
          </w:p>
          <w:p w14:paraId="4FBFF857" w14:textId="77777777" w:rsidR="008429D3" w:rsidRPr="001C0425" w:rsidRDefault="008429D3" w:rsidP="00685419">
            <w:pPr>
              <w:spacing w:before="0" w:after="160" w:line="259" w:lineRule="auto"/>
              <w:rPr>
                <w:rFonts w:ascii="Arial" w:hAnsi="Arial" w:cs="Arial"/>
              </w:rPr>
            </w:pPr>
            <w:r w:rsidRPr="001C0425">
              <w:rPr>
                <w:rFonts w:ascii="Arial" w:hAnsi="Arial" w:cs="Arial"/>
              </w:rPr>
              <w:t xml:space="preserve">The Commission has provided the charity with regulatory advice to ensure that the funds transferred to </w:t>
            </w:r>
            <w:proofErr w:type="spellStart"/>
            <w:r w:rsidRPr="001C0425">
              <w:rPr>
                <w:rFonts w:ascii="Arial" w:hAnsi="Arial" w:cs="Arial"/>
              </w:rPr>
              <w:t>Travalyst</w:t>
            </w:r>
            <w:proofErr w:type="spellEnd"/>
            <w:r w:rsidRPr="001C0425">
              <w:rPr>
                <w:rFonts w:ascii="Arial" w:hAnsi="Arial" w:cs="Arial"/>
              </w:rPr>
              <w:t xml:space="preserve"> are applied for exclusively charitable purposes, and the Commission and the charity have agreed how the charity will comply with this guidance.</w:t>
            </w:r>
          </w:p>
          <w:p w14:paraId="12A6F96D" w14:textId="77777777" w:rsidR="008429D3" w:rsidRPr="001C0425" w:rsidRDefault="008429D3" w:rsidP="00685419">
            <w:pPr>
              <w:spacing w:before="0" w:after="160" w:line="259" w:lineRule="auto"/>
              <w:rPr>
                <w:rFonts w:ascii="Arial" w:hAnsi="Arial" w:cs="Arial"/>
              </w:rPr>
            </w:pPr>
            <w:r w:rsidRPr="001C0425">
              <w:rPr>
                <w:rFonts w:ascii="Arial" w:hAnsi="Arial" w:cs="Arial"/>
              </w:rPr>
              <w:t>The regulator also looked at MWX Foundation’s expenditure, finding almost half of its funds were spent on legal and administrative costs. Trustees can legitimately use charitable funds for legal advice and other professional and administrative costs to set up and close a charity and ensure it can operate effectively.</w:t>
            </w:r>
          </w:p>
          <w:p w14:paraId="2ABB7994" w14:textId="77777777" w:rsidR="008429D3" w:rsidRPr="001C0425" w:rsidRDefault="008429D3" w:rsidP="00685419">
            <w:pPr>
              <w:spacing w:before="0" w:after="160" w:line="259" w:lineRule="auto"/>
              <w:rPr>
                <w:rFonts w:ascii="Arial" w:hAnsi="Arial" w:cs="Arial"/>
              </w:rPr>
            </w:pPr>
            <w:r w:rsidRPr="001C0425">
              <w:rPr>
                <w:rFonts w:ascii="Arial" w:hAnsi="Arial" w:cs="Arial"/>
              </w:rPr>
              <w:t>The Commission noted that trustees took a decision to close this charity just 12 months after it was established, doing so during difficult and unexpected circumstances. It considers that the spending itself was not unreasonable given the unexpected events and unique circumstance which surrounded this charity and as such does not consider that further action is required.</w:t>
            </w:r>
          </w:p>
          <w:p w14:paraId="7533F855" w14:textId="77777777" w:rsidR="008429D3" w:rsidRPr="001C0425" w:rsidRDefault="008429D3" w:rsidP="00685419">
            <w:pPr>
              <w:spacing w:before="0" w:after="160" w:line="259" w:lineRule="auto"/>
              <w:rPr>
                <w:rFonts w:ascii="Arial" w:hAnsi="Arial" w:cs="Arial"/>
              </w:rPr>
            </w:pPr>
            <w:r w:rsidRPr="001C0425">
              <w:rPr>
                <w:rFonts w:ascii="Arial" w:hAnsi="Arial" w:cs="Arial"/>
              </w:rPr>
              <w:t>However, the Commission has found that decisions on spending were not adequately documented, limiting the ability of the trustees to demonstrate the reasons behind those decisions. The failure to properly record decisions does not represent best practice and is not in line with Charity Commission guidance.</w:t>
            </w:r>
          </w:p>
          <w:p w14:paraId="65CABF5A" w14:textId="77777777" w:rsidR="008429D3" w:rsidRPr="001C0425" w:rsidRDefault="008429D3" w:rsidP="00685419">
            <w:pPr>
              <w:spacing w:after="160" w:line="259" w:lineRule="auto"/>
              <w:rPr>
                <w:rFonts w:ascii="Arial" w:hAnsi="Arial" w:cs="Arial"/>
              </w:rPr>
            </w:pPr>
            <w:r w:rsidRPr="001C0425">
              <w:rPr>
                <w:rFonts w:ascii="Arial" w:hAnsi="Arial" w:cs="Arial"/>
              </w:rPr>
              <w:lastRenderedPageBreak/>
              <w:t>As in this case, the Commission accepts that trustees cannot predict future events when setting up charities. However, its </w:t>
            </w:r>
            <w:hyperlink r:id="rId29" w:history="1">
              <w:r w:rsidRPr="001C0425">
                <w:rPr>
                  <w:rStyle w:val="Hyperlink"/>
                  <w:rFonts w:ascii="Arial" w:hAnsi="Arial" w:cs="Arial"/>
                </w:rPr>
                <w:t>general guidance</w:t>
              </w:r>
            </w:hyperlink>
            <w:r w:rsidRPr="001C0425">
              <w:rPr>
                <w:rFonts w:ascii="Arial" w:hAnsi="Arial" w:cs="Arial"/>
              </w:rPr>
              <w:t> is that those establishing a new charity must carefully consider whether doing so is the best and most efficient way of achieving the intended charitable aims, ensuring as far as possible that initial costs are offset by the charity’s longer-term impact.</w:t>
            </w:r>
          </w:p>
          <w:p w14:paraId="2E1BBDE2" w14:textId="77777777" w:rsidR="008429D3" w:rsidRPr="001C0425" w:rsidRDefault="008429D3" w:rsidP="00685419">
            <w:pPr>
              <w:spacing w:before="0" w:after="160" w:line="259" w:lineRule="auto"/>
              <w:rPr>
                <w:rFonts w:ascii="Arial" w:hAnsi="Arial" w:cs="Arial"/>
              </w:rPr>
            </w:pPr>
            <w:r w:rsidRPr="001C0425">
              <w:rPr>
                <w:rFonts w:ascii="Arial" w:hAnsi="Arial" w:cs="Arial"/>
              </w:rPr>
              <w:t>Helen Earner, Director of Regulatory Services at the Charity Commission, said:</w:t>
            </w:r>
          </w:p>
          <w:p w14:paraId="795046F0" w14:textId="77777777" w:rsidR="008429D3" w:rsidRPr="001C0425" w:rsidRDefault="008429D3" w:rsidP="00685419">
            <w:pPr>
              <w:spacing w:after="160" w:line="259" w:lineRule="auto"/>
              <w:ind w:left="720"/>
              <w:rPr>
                <w:rFonts w:ascii="Arial" w:hAnsi="Arial" w:cs="Arial"/>
              </w:rPr>
            </w:pPr>
            <w:r>
              <w:rPr>
                <w:rFonts w:ascii="Arial" w:hAnsi="Arial" w:cs="Arial"/>
              </w:rPr>
              <w:t>“</w:t>
            </w:r>
            <w:r w:rsidRPr="001C0425">
              <w:rPr>
                <w:rFonts w:ascii="Arial" w:hAnsi="Arial" w:cs="Arial"/>
              </w:rPr>
              <w:t>The public expects charities to make a real positive difference for the people they help or the cause they pursue. Where concerns are raised with us, whatever the charity, it’s right that we examine them and consider the issues carefully.</w:t>
            </w:r>
          </w:p>
          <w:p w14:paraId="17BE5C1A" w14:textId="77777777" w:rsidR="008429D3" w:rsidRPr="001C0425" w:rsidRDefault="008429D3" w:rsidP="00685419">
            <w:pPr>
              <w:spacing w:before="0" w:after="160" w:line="259" w:lineRule="auto"/>
              <w:ind w:left="720"/>
              <w:rPr>
                <w:rFonts w:ascii="Arial" w:hAnsi="Arial" w:cs="Arial"/>
              </w:rPr>
            </w:pPr>
            <w:r>
              <w:rPr>
                <w:rFonts w:ascii="Arial" w:hAnsi="Arial" w:cs="Arial"/>
              </w:rPr>
              <w:t>“</w:t>
            </w:r>
            <w:r w:rsidRPr="001C0425">
              <w:rPr>
                <w:rFonts w:ascii="Arial" w:hAnsi="Arial" w:cs="Arial"/>
              </w:rPr>
              <w:t>In this case we have found that the trustees complied with their duties under charity law, and the transfers of funds between different organisations were in keeping with the charities’ governing documents, with conflicts of interest being appropriately managed.</w:t>
            </w:r>
          </w:p>
          <w:p w14:paraId="7CE00F1C" w14:textId="77777777" w:rsidR="008429D3" w:rsidRPr="001C0425" w:rsidRDefault="008429D3" w:rsidP="00685419">
            <w:pPr>
              <w:spacing w:before="0" w:after="160" w:line="259" w:lineRule="auto"/>
              <w:ind w:left="720"/>
              <w:rPr>
                <w:rFonts w:ascii="Arial" w:hAnsi="Arial" w:cs="Arial"/>
              </w:rPr>
            </w:pPr>
            <w:r>
              <w:rPr>
                <w:rFonts w:ascii="Arial" w:hAnsi="Arial" w:cs="Arial"/>
              </w:rPr>
              <w:t>“</w:t>
            </w:r>
            <w:r w:rsidRPr="001C0425">
              <w:rPr>
                <w:rFonts w:ascii="Arial" w:hAnsi="Arial" w:cs="Arial"/>
              </w:rPr>
              <w:t>The MWX Foundation should, though, have done more to document its decisions, especially regarding the charity’s expenditure on legal and administrative costs.</w:t>
            </w:r>
          </w:p>
          <w:p w14:paraId="3AB091D2" w14:textId="77777777" w:rsidR="008429D3" w:rsidRPr="001C0425" w:rsidRDefault="008429D3" w:rsidP="00685419">
            <w:pPr>
              <w:spacing w:before="0" w:after="160" w:line="259" w:lineRule="auto"/>
              <w:ind w:left="720"/>
              <w:rPr>
                <w:rFonts w:ascii="Arial" w:hAnsi="Arial" w:cs="Arial"/>
              </w:rPr>
            </w:pPr>
            <w:r>
              <w:rPr>
                <w:rFonts w:ascii="Arial" w:hAnsi="Arial" w:cs="Arial"/>
              </w:rPr>
              <w:t>“</w:t>
            </w:r>
            <w:r w:rsidRPr="001C0425">
              <w:rPr>
                <w:rFonts w:ascii="Arial" w:hAnsi="Arial" w:cs="Arial"/>
              </w:rPr>
              <w:t>We also note that a substantial proportion of funds went into setting up and then winding up a charity that was active for a relatively short period of time. Trustees cannot predict future events when establishing a new charity – circumstances can change after a charity has been set up. But all trustees, before setting up a charity, should think about the longer term, and consider carefully whether a new charity is the best way of achieving the intended aims. This helps ensure that set up costs are offset by longer-term impact.</w:t>
            </w:r>
          </w:p>
          <w:p w14:paraId="22D6E774" w14:textId="77777777" w:rsidR="008429D3" w:rsidRPr="001C0425" w:rsidRDefault="008429D3" w:rsidP="00685419">
            <w:pPr>
              <w:spacing w:before="0" w:after="160" w:line="259" w:lineRule="auto"/>
              <w:rPr>
                <w:rFonts w:ascii="Arial" w:hAnsi="Arial" w:cs="Arial"/>
              </w:rPr>
            </w:pPr>
            <w:r w:rsidRPr="001C0425">
              <w:rPr>
                <w:rFonts w:ascii="Arial" w:hAnsi="Arial" w:cs="Arial"/>
              </w:rPr>
              <w:t xml:space="preserve">As the charity is the process of winding up, and in addition to formal advice regarding the application of the funds to </w:t>
            </w:r>
            <w:proofErr w:type="spellStart"/>
            <w:r w:rsidRPr="001C0425">
              <w:rPr>
                <w:rFonts w:ascii="Arial" w:hAnsi="Arial" w:cs="Arial"/>
              </w:rPr>
              <w:t>Travalyst</w:t>
            </w:r>
            <w:proofErr w:type="spellEnd"/>
            <w:r w:rsidRPr="001C0425">
              <w:rPr>
                <w:rFonts w:ascii="Arial" w:hAnsi="Arial" w:cs="Arial"/>
              </w:rPr>
              <w:t>, the Commission has offered the charity general guidance regarding the dissolution process.</w:t>
            </w:r>
          </w:p>
          <w:p w14:paraId="297A0F87" w14:textId="77777777" w:rsidR="008429D3" w:rsidRDefault="008429D3" w:rsidP="00685419">
            <w:r w:rsidRPr="001C0425">
              <w:rPr>
                <w:rFonts w:ascii="Arial" w:hAnsi="Arial" w:cs="Arial"/>
              </w:rPr>
              <w:t>A separate case was opened into the Royal Foundation to investigate the decision to transfer funds to MWX Foundation. The Commission found the trustees of the Royal Foundation acted in accordance with the regulator’s guidance and found no issues of concern.</w:t>
            </w:r>
          </w:p>
        </w:tc>
      </w:tr>
      <w:tr w:rsidR="008429D3" w:rsidRPr="00921427" w14:paraId="70970709" w14:textId="77777777" w:rsidTr="00685419">
        <w:tc>
          <w:tcPr>
            <w:tcW w:w="9070" w:type="dxa"/>
            <w:shd w:val="clear" w:color="auto" w:fill="F2F2F2" w:themeFill="background1" w:themeFillShade="F2"/>
          </w:tcPr>
          <w:p w14:paraId="3DB1FF2C" w14:textId="77777777" w:rsidR="008429D3" w:rsidRPr="00823767" w:rsidRDefault="008429D3" w:rsidP="00685419">
            <w:pPr>
              <w:spacing w:before="0" w:after="0" w:line="259" w:lineRule="auto"/>
              <w:jc w:val="left"/>
              <w:rPr>
                <w:rFonts w:ascii="Arial" w:hAnsi="Arial" w:cs="Arial"/>
                <w:b/>
                <w:sz w:val="16"/>
                <w:szCs w:val="16"/>
              </w:rPr>
            </w:pPr>
            <w:r w:rsidRPr="00823767">
              <w:rPr>
                <w:rFonts w:ascii="Arial" w:hAnsi="Arial" w:cs="Arial"/>
                <w:b/>
                <w:sz w:val="16"/>
                <w:szCs w:val="16"/>
              </w:rPr>
              <w:lastRenderedPageBreak/>
              <w:t xml:space="preserve">Source: </w:t>
            </w:r>
            <w:hyperlink r:id="rId30" w:history="1">
              <w:r w:rsidRPr="00823767">
                <w:rPr>
                  <w:rStyle w:val="Hyperlink"/>
                  <w:rFonts w:ascii="Arial" w:hAnsi="Arial" w:cs="Arial"/>
                  <w:sz w:val="16"/>
                  <w:szCs w:val="16"/>
                  <w:u w:val="single"/>
                </w:rPr>
                <w:t>https://www.gov.uk/government/news/royal-charities-did-not-act-outside-charity-law</w:t>
              </w:r>
            </w:hyperlink>
            <w:r>
              <w:rPr>
                <w:rFonts w:ascii="Arial" w:hAnsi="Arial" w:cs="Arial"/>
                <w:sz w:val="16"/>
                <w:szCs w:val="16"/>
                <w:u w:val="single"/>
              </w:rPr>
              <w:t xml:space="preserve"> </w:t>
            </w:r>
          </w:p>
        </w:tc>
      </w:tr>
    </w:tbl>
    <w:p w14:paraId="040ABBB9" w14:textId="77777777" w:rsidR="008429D3" w:rsidRPr="00E960F3" w:rsidRDefault="008429D3" w:rsidP="00E960F3">
      <w:pPr>
        <w:spacing w:before="0"/>
      </w:pPr>
    </w:p>
    <w:tbl>
      <w:tblPr>
        <w:tblStyle w:val="TableGrid2"/>
        <w:tblpPr w:leftFromText="180" w:rightFromText="180" w:vertAnchor="text" w:tblpY="1"/>
        <w:tblOverlap w:val="never"/>
        <w:tblW w:w="5000" w:type="pct"/>
        <w:tblLook w:val="04A0" w:firstRow="1" w:lastRow="0" w:firstColumn="1" w:lastColumn="0" w:noHBand="0" w:noVBand="1"/>
      </w:tblPr>
      <w:tblGrid>
        <w:gridCol w:w="9070"/>
      </w:tblGrid>
      <w:tr w:rsidR="00E960F3" w:rsidRPr="00E960F3" w14:paraId="119C08A6" w14:textId="77777777" w:rsidTr="00E960F3">
        <w:tc>
          <w:tcPr>
            <w:tcW w:w="5000" w:type="pct"/>
          </w:tcPr>
          <w:p w14:paraId="39FBF0A4" w14:textId="77777777" w:rsidR="00E960F3" w:rsidRPr="001C77BF" w:rsidRDefault="00E960F3" w:rsidP="00E960F3">
            <w:pPr>
              <w:keepNext/>
              <w:spacing w:before="0"/>
              <w:outlineLvl w:val="4"/>
              <w:rPr>
                <w:rFonts w:cs="Arial"/>
                <w:b/>
                <w:iCs/>
                <w:color w:val="002C47"/>
                <w:kern w:val="32"/>
                <w:sz w:val="22"/>
                <w:szCs w:val="22"/>
              </w:rPr>
            </w:pPr>
            <w:r w:rsidRPr="001C77BF">
              <w:rPr>
                <w:rFonts w:cs="Arial"/>
                <w:b/>
                <w:iCs/>
                <w:color w:val="002C47"/>
                <w:kern w:val="32"/>
                <w:sz w:val="22"/>
                <w:szCs w:val="22"/>
              </w:rPr>
              <w:t>Questions</w:t>
            </w:r>
          </w:p>
          <w:p w14:paraId="53C754D7" w14:textId="4E3DAC37" w:rsidR="00034C86" w:rsidRPr="001C77BF" w:rsidRDefault="00E522FB" w:rsidP="00E960F3">
            <w:pPr>
              <w:numPr>
                <w:ilvl w:val="0"/>
                <w:numId w:val="16"/>
              </w:numPr>
              <w:spacing w:before="0"/>
              <w:jc w:val="left"/>
              <w:rPr>
                <w:sz w:val="22"/>
                <w:szCs w:val="22"/>
              </w:rPr>
            </w:pPr>
            <w:r w:rsidRPr="001C77BF">
              <w:rPr>
                <w:sz w:val="22"/>
                <w:szCs w:val="22"/>
              </w:rPr>
              <w:t xml:space="preserve">Do you </w:t>
            </w:r>
            <w:r w:rsidRPr="00B25D76">
              <w:rPr>
                <w:sz w:val="22"/>
                <w:szCs w:val="22"/>
              </w:rPr>
              <w:t xml:space="preserve">have any concerns (other than privacy and confidentiality) about the disclosure of information on finalised investigations </w:t>
            </w:r>
            <w:r w:rsidR="006B76EB" w:rsidRPr="00B25D76">
              <w:rPr>
                <w:sz w:val="22"/>
                <w:szCs w:val="22"/>
              </w:rPr>
              <w:t>and resulting compliance action</w:t>
            </w:r>
            <w:r w:rsidR="00034C86" w:rsidRPr="00B25D76">
              <w:rPr>
                <w:sz w:val="22"/>
                <w:szCs w:val="22"/>
              </w:rPr>
              <w:t>?</w:t>
            </w:r>
          </w:p>
          <w:p w14:paraId="114B867E" w14:textId="53753D8E" w:rsidR="00E960F3" w:rsidRPr="001C77BF" w:rsidRDefault="00E960F3" w:rsidP="00E960F3">
            <w:pPr>
              <w:numPr>
                <w:ilvl w:val="0"/>
                <w:numId w:val="16"/>
              </w:numPr>
              <w:spacing w:before="0"/>
              <w:jc w:val="left"/>
              <w:rPr>
                <w:sz w:val="22"/>
                <w:szCs w:val="22"/>
              </w:rPr>
            </w:pPr>
            <w:r w:rsidRPr="001C77BF">
              <w:rPr>
                <w:sz w:val="22"/>
                <w:szCs w:val="22"/>
              </w:rPr>
              <w:t xml:space="preserve">Under what circumstances do you think </w:t>
            </w:r>
            <w:r w:rsidR="00A06FA5" w:rsidRPr="001C77BF">
              <w:rPr>
                <w:sz w:val="22"/>
                <w:szCs w:val="22"/>
              </w:rPr>
              <w:t xml:space="preserve">information about finalised investigations and </w:t>
            </w:r>
            <w:r w:rsidRPr="001C77BF">
              <w:rPr>
                <w:sz w:val="22"/>
                <w:szCs w:val="22"/>
              </w:rPr>
              <w:t>the reasons for revoking a charity’s registration should be disclosed and why?</w:t>
            </w:r>
          </w:p>
          <w:p w14:paraId="77159257" w14:textId="21524B7A" w:rsidR="00E960F3" w:rsidRPr="001C77BF" w:rsidRDefault="00034C86" w:rsidP="00760E7B">
            <w:pPr>
              <w:numPr>
                <w:ilvl w:val="0"/>
                <w:numId w:val="16"/>
              </w:numPr>
              <w:spacing w:before="0"/>
              <w:ind w:left="357" w:hanging="357"/>
              <w:jc w:val="left"/>
              <w:rPr>
                <w:sz w:val="22"/>
                <w:szCs w:val="22"/>
              </w:rPr>
            </w:pPr>
            <w:r w:rsidRPr="001C77BF">
              <w:rPr>
                <w:sz w:val="22"/>
                <w:szCs w:val="22"/>
              </w:rPr>
              <w:t xml:space="preserve">Should a public interest test form the basis of the discretion to disclose information about </w:t>
            </w:r>
            <w:r w:rsidR="00185DE9">
              <w:rPr>
                <w:sz w:val="22"/>
                <w:szCs w:val="22"/>
              </w:rPr>
              <w:t>finalised</w:t>
            </w:r>
            <w:r w:rsidRPr="001C77BF">
              <w:rPr>
                <w:sz w:val="22"/>
                <w:szCs w:val="22"/>
              </w:rPr>
              <w:t xml:space="preserve"> investigations</w:t>
            </w:r>
            <w:r w:rsidR="00AB64ED" w:rsidRPr="001C77BF">
              <w:rPr>
                <w:sz w:val="22"/>
                <w:szCs w:val="22"/>
              </w:rPr>
              <w:t xml:space="preserve"> </w:t>
            </w:r>
            <w:r w:rsidR="00185DE9">
              <w:rPr>
                <w:sz w:val="22"/>
                <w:szCs w:val="22"/>
              </w:rPr>
              <w:t xml:space="preserve">and any resulting compliance action (including revocation, alternative regulatory </w:t>
            </w:r>
            <w:proofErr w:type="gramStart"/>
            <w:r w:rsidR="00185DE9">
              <w:rPr>
                <w:sz w:val="22"/>
                <w:szCs w:val="22"/>
              </w:rPr>
              <w:t>approaches</w:t>
            </w:r>
            <w:proofErr w:type="gramEnd"/>
            <w:r w:rsidR="00185DE9">
              <w:rPr>
                <w:sz w:val="22"/>
                <w:szCs w:val="22"/>
              </w:rPr>
              <w:t xml:space="preserve"> and no action) </w:t>
            </w:r>
            <w:r w:rsidR="00AB64ED" w:rsidRPr="001C77BF">
              <w:rPr>
                <w:sz w:val="22"/>
                <w:szCs w:val="22"/>
              </w:rPr>
              <w:t>and why</w:t>
            </w:r>
            <w:r w:rsidRPr="001C77BF">
              <w:rPr>
                <w:sz w:val="22"/>
                <w:szCs w:val="22"/>
              </w:rPr>
              <w:t>?</w:t>
            </w:r>
          </w:p>
        </w:tc>
      </w:tr>
    </w:tbl>
    <w:p w14:paraId="6A8C9DD7" w14:textId="1493D4A3" w:rsidR="00E960F3" w:rsidRDefault="00E960F3" w:rsidP="00E960F3">
      <w:pPr>
        <w:rPr>
          <w:rFonts w:ascii="CIDFont+F1" w:eastAsiaTheme="minorHAnsi" w:hAnsi="CIDFont+F1" w:cs="CIDFont+F1"/>
          <w:szCs w:val="22"/>
          <w:lang w:eastAsia="en-US"/>
        </w:rPr>
      </w:pPr>
    </w:p>
    <w:p w14:paraId="3137F2FC" w14:textId="77777777" w:rsidR="00E960F3" w:rsidRDefault="00E960F3" w:rsidP="00A03C24">
      <w:pPr>
        <w:pStyle w:val="Heading2"/>
      </w:pPr>
      <w:bookmarkStart w:id="38" w:name="_Toc74650701"/>
      <w:bookmarkStart w:id="39" w:name="_Toc77586518"/>
      <w:r w:rsidRPr="00E960F3">
        <w:lastRenderedPageBreak/>
        <w:t>Consolidated list of discussion questions for stakeholders</w:t>
      </w:r>
      <w:bookmarkEnd w:id="38"/>
      <w:bookmarkEnd w:id="39"/>
    </w:p>
    <w:tbl>
      <w:tblPr>
        <w:tblStyle w:val="TableGrid1"/>
        <w:tblW w:w="0" w:type="auto"/>
        <w:tblLook w:val="04A0" w:firstRow="1" w:lastRow="0" w:firstColumn="1" w:lastColumn="0" w:noHBand="0" w:noVBand="1"/>
      </w:tblPr>
      <w:tblGrid>
        <w:gridCol w:w="9070"/>
      </w:tblGrid>
      <w:tr w:rsidR="00185DE9" w:rsidRPr="00E960F3" w14:paraId="4187D3BD" w14:textId="77777777" w:rsidTr="00A03734">
        <w:tc>
          <w:tcPr>
            <w:tcW w:w="9070" w:type="dxa"/>
          </w:tcPr>
          <w:p w14:paraId="2EA8E45A" w14:textId="77777777" w:rsidR="00185DE9" w:rsidRPr="00E960F3" w:rsidRDefault="00185DE9" w:rsidP="00A03734">
            <w:pPr>
              <w:keepNext/>
              <w:spacing w:before="0"/>
              <w:outlineLvl w:val="4"/>
              <w:rPr>
                <w:rFonts w:cs="Arial"/>
                <w:b/>
                <w:iCs/>
                <w:color w:val="002C47"/>
                <w:kern w:val="32"/>
                <w:sz w:val="22"/>
                <w:szCs w:val="40"/>
              </w:rPr>
            </w:pPr>
            <w:r>
              <w:rPr>
                <w:rFonts w:cs="Arial"/>
                <w:b/>
                <w:iCs/>
                <w:color w:val="002C47"/>
                <w:kern w:val="32"/>
                <w:sz w:val="22"/>
                <w:szCs w:val="40"/>
              </w:rPr>
              <w:t>ACNC’s current secrecy provisions</w:t>
            </w:r>
          </w:p>
          <w:p w14:paraId="204D237E" w14:textId="77777777" w:rsidR="00185DE9" w:rsidRPr="00E960F3" w:rsidRDefault="00185DE9" w:rsidP="00A03734">
            <w:pPr>
              <w:numPr>
                <w:ilvl w:val="0"/>
                <w:numId w:val="21"/>
              </w:numPr>
              <w:spacing w:before="0"/>
              <w:jc w:val="left"/>
              <w:rPr>
                <w:sz w:val="22"/>
                <w:szCs w:val="22"/>
              </w:rPr>
            </w:pPr>
            <w:r w:rsidRPr="00E960F3">
              <w:rPr>
                <w:sz w:val="22"/>
                <w:szCs w:val="22"/>
              </w:rPr>
              <w:t>What is your experience of the ACNC’s current secrecy provisions in your capacity as an individual, charity or other organisation?</w:t>
            </w:r>
          </w:p>
          <w:p w14:paraId="4A576799" w14:textId="77777777" w:rsidR="00185DE9" w:rsidRDefault="00185DE9" w:rsidP="00A03734">
            <w:pPr>
              <w:numPr>
                <w:ilvl w:val="0"/>
                <w:numId w:val="21"/>
              </w:numPr>
              <w:spacing w:before="0"/>
              <w:jc w:val="left"/>
              <w:rPr>
                <w:sz w:val="22"/>
                <w:szCs w:val="22"/>
              </w:rPr>
            </w:pPr>
            <w:r w:rsidRPr="00E960F3">
              <w:rPr>
                <w:sz w:val="22"/>
                <w:szCs w:val="22"/>
              </w:rPr>
              <w:t>What concerns, if any, do you have about the ACNC’s current secrecy provisions?</w:t>
            </w:r>
          </w:p>
          <w:p w14:paraId="162E35B9" w14:textId="77777777" w:rsidR="00185DE9" w:rsidRPr="006654A9" w:rsidRDefault="00185DE9" w:rsidP="00A03734">
            <w:pPr>
              <w:keepNext/>
              <w:spacing w:before="0"/>
              <w:outlineLvl w:val="4"/>
              <w:rPr>
                <w:rFonts w:cs="Arial"/>
                <w:b/>
                <w:iCs/>
                <w:color w:val="002C47"/>
                <w:kern w:val="32"/>
                <w:sz w:val="22"/>
                <w:szCs w:val="40"/>
              </w:rPr>
            </w:pPr>
            <w:r>
              <w:rPr>
                <w:rFonts w:cs="Arial"/>
                <w:b/>
                <w:iCs/>
                <w:color w:val="002C47"/>
                <w:kern w:val="32"/>
                <w:sz w:val="22"/>
                <w:szCs w:val="40"/>
              </w:rPr>
              <w:t>Public interest benefits and risks</w:t>
            </w:r>
          </w:p>
          <w:p w14:paraId="05CFA538" w14:textId="77777777" w:rsidR="00185DE9" w:rsidRDefault="00185DE9" w:rsidP="00A03734">
            <w:pPr>
              <w:numPr>
                <w:ilvl w:val="0"/>
                <w:numId w:val="21"/>
              </w:numPr>
              <w:spacing w:before="0"/>
              <w:jc w:val="left"/>
              <w:rPr>
                <w:sz w:val="22"/>
                <w:szCs w:val="22"/>
              </w:rPr>
            </w:pPr>
            <w:r w:rsidRPr="00E960F3">
              <w:rPr>
                <w:sz w:val="22"/>
                <w:szCs w:val="22"/>
              </w:rPr>
              <w:t>If a public interest test were to form the basis of the ACNC Commissioner’s discretion to disclose information about</w:t>
            </w:r>
            <w:r>
              <w:rPr>
                <w:sz w:val="22"/>
                <w:szCs w:val="22"/>
              </w:rPr>
              <w:t xml:space="preserve"> the ACNC’s regulatory activities</w:t>
            </w:r>
            <w:r w:rsidRPr="00E960F3">
              <w:rPr>
                <w:sz w:val="22"/>
                <w:szCs w:val="22"/>
              </w:rPr>
              <w:t xml:space="preserve">, </w:t>
            </w:r>
            <w:r>
              <w:rPr>
                <w:sz w:val="22"/>
                <w:szCs w:val="22"/>
              </w:rPr>
              <w:t>w</w:t>
            </w:r>
            <w:r w:rsidRPr="00E960F3">
              <w:rPr>
                <w:sz w:val="22"/>
                <w:szCs w:val="22"/>
              </w:rPr>
              <w:t>hat public interest benefits should the ACNC Commissioner take into consideration when exercising the discretion and why?</w:t>
            </w:r>
          </w:p>
          <w:p w14:paraId="0A0212DD" w14:textId="77777777" w:rsidR="00185DE9" w:rsidRDefault="00185DE9" w:rsidP="00A03734">
            <w:pPr>
              <w:numPr>
                <w:ilvl w:val="0"/>
                <w:numId w:val="21"/>
              </w:numPr>
              <w:spacing w:before="0"/>
              <w:jc w:val="left"/>
              <w:rPr>
                <w:sz w:val="22"/>
                <w:szCs w:val="22"/>
              </w:rPr>
            </w:pPr>
            <w:r w:rsidRPr="00817872">
              <w:rPr>
                <w:sz w:val="22"/>
                <w:szCs w:val="22"/>
              </w:rPr>
              <w:t>If a public interest test were to form the basis of the ACNC Commissioner’s discretion to disclose information about the ACNC’s regulatory activities, what risk factors should the ACNC Commissioner take into consideration when exercising the discretion and why?</w:t>
            </w:r>
          </w:p>
          <w:p w14:paraId="0C9A60A2" w14:textId="77777777" w:rsidR="00185DE9" w:rsidRPr="006654A9" w:rsidRDefault="00185DE9" w:rsidP="00A03734">
            <w:pPr>
              <w:keepNext/>
              <w:spacing w:before="0"/>
              <w:outlineLvl w:val="4"/>
              <w:rPr>
                <w:rFonts w:cs="Arial"/>
                <w:b/>
                <w:iCs/>
                <w:color w:val="002C47"/>
                <w:kern w:val="32"/>
                <w:sz w:val="22"/>
                <w:szCs w:val="40"/>
              </w:rPr>
            </w:pPr>
            <w:r>
              <w:rPr>
                <w:rFonts w:cs="Arial"/>
                <w:b/>
                <w:iCs/>
                <w:color w:val="002C47"/>
                <w:kern w:val="32"/>
                <w:sz w:val="22"/>
                <w:szCs w:val="40"/>
              </w:rPr>
              <w:t>Area 1: Reasons for registration decisions</w:t>
            </w:r>
          </w:p>
          <w:p w14:paraId="1979F11C" w14:textId="77777777" w:rsidR="00185DE9" w:rsidRDefault="00185DE9" w:rsidP="00A03734">
            <w:pPr>
              <w:numPr>
                <w:ilvl w:val="0"/>
                <w:numId w:val="21"/>
              </w:numPr>
              <w:spacing w:before="0"/>
              <w:rPr>
                <w:sz w:val="22"/>
                <w:szCs w:val="22"/>
              </w:rPr>
            </w:pPr>
            <w:r>
              <w:rPr>
                <w:sz w:val="22"/>
                <w:szCs w:val="22"/>
              </w:rPr>
              <w:t xml:space="preserve">Do you have any concerns (other than privacy and confidentiality) about the disclosure of </w:t>
            </w:r>
            <w:r w:rsidRPr="00E960F3">
              <w:rPr>
                <w:sz w:val="22"/>
                <w:szCs w:val="22"/>
              </w:rPr>
              <w:t>registration decisions?</w:t>
            </w:r>
          </w:p>
          <w:p w14:paraId="762372DF" w14:textId="77777777" w:rsidR="00185DE9" w:rsidRDefault="00185DE9" w:rsidP="00A03734">
            <w:pPr>
              <w:numPr>
                <w:ilvl w:val="0"/>
                <w:numId w:val="21"/>
              </w:numPr>
              <w:spacing w:before="0"/>
              <w:rPr>
                <w:sz w:val="22"/>
                <w:szCs w:val="22"/>
              </w:rPr>
            </w:pPr>
            <w:r>
              <w:rPr>
                <w:sz w:val="22"/>
                <w:szCs w:val="22"/>
              </w:rPr>
              <w:t>Will your concerns be addressed if the information is de-identified?</w:t>
            </w:r>
          </w:p>
          <w:p w14:paraId="48FABB97" w14:textId="77777777" w:rsidR="00185DE9" w:rsidRDefault="00185DE9" w:rsidP="00A03734">
            <w:pPr>
              <w:numPr>
                <w:ilvl w:val="0"/>
                <w:numId w:val="21"/>
              </w:numPr>
              <w:spacing w:before="0"/>
              <w:jc w:val="left"/>
              <w:rPr>
                <w:sz w:val="22"/>
                <w:szCs w:val="22"/>
              </w:rPr>
            </w:pPr>
            <w:r>
              <w:rPr>
                <w:sz w:val="22"/>
                <w:szCs w:val="22"/>
              </w:rPr>
              <w:t>Should a public interest test form the basis of the discretion to disclose information about reasons for registration and why?</w:t>
            </w:r>
          </w:p>
          <w:p w14:paraId="55FB5CF5" w14:textId="77777777" w:rsidR="00185DE9" w:rsidRPr="00550F76" w:rsidRDefault="00185DE9" w:rsidP="00A03734">
            <w:pPr>
              <w:keepNext/>
              <w:spacing w:before="0"/>
              <w:outlineLvl w:val="4"/>
              <w:rPr>
                <w:rFonts w:cs="Arial"/>
                <w:b/>
                <w:iCs/>
                <w:color w:val="002C47"/>
                <w:kern w:val="32"/>
                <w:sz w:val="22"/>
                <w:szCs w:val="40"/>
              </w:rPr>
            </w:pPr>
            <w:r>
              <w:rPr>
                <w:rFonts w:cs="Arial"/>
                <w:b/>
                <w:iCs/>
                <w:color w:val="002C47"/>
                <w:kern w:val="32"/>
                <w:sz w:val="22"/>
                <w:szCs w:val="40"/>
              </w:rPr>
              <w:t>Area 2: New and ongoing investigations</w:t>
            </w:r>
          </w:p>
          <w:p w14:paraId="2729F953" w14:textId="77777777" w:rsidR="00185DE9" w:rsidRPr="00E67E83" w:rsidRDefault="00185DE9" w:rsidP="00A03734">
            <w:pPr>
              <w:numPr>
                <w:ilvl w:val="0"/>
                <w:numId w:val="21"/>
              </w:numPr>
              <w:spacing w:before="0"/>
              <w:jc w:val="left"/>
              <w:rPr>
                <w:sz w:val="22"/>
                <w:szCs w:val="22"/>
              </w:rPr>
            </w:pPr>
            <w:r w:rsidRPr="00E67E83">
              <w:rPr>
                <w:sz w:val="22"/>
                <w:szCs w:val="22"/>
              </w:rPr>
              <w:t>Do you have any concerns (other than privacy and confidentiality) about the disclosure of the fact that an investigation into a registered charity has commenced or is ongoing or that no investigation is being undertaken?</w:t>
            </w:r>
          </w:p>
          <w:p w14:paraId="104EA239" w14:textId="77777777" w:rsidR="00185DE9" w:rsidRPr="00E67E83" w:rsidRDefault="00185DE9" w:rsidP="00A03734">
            <w:pPr>
              <w:numPr>
                <w:ilvl w:val="0"/>
                <w:numId w:val="21"/>
              </w:numPr>
              <w:spacing w:before="0"/>
              <w:rPr>
                <w:sz w:val="22"/>
                <w:szCs w:val="22"/>
              </w:rPr>
            </w:pPr>
            <w:r w:rsidRPr="00E67E83">
              <w:rPr>
                <w:sz w:val="22"/>
                <w:szCs w:val="22"/>
              </w:rPr>
              <w:t xml:space="preserve">Would your concerns be mitigated if the ACNC Commissioner could only confirm </w:t>
            </w:r>
            <w:r>
              <w:rPr>
                <w:sz w:val="22"/>
                <w:szCs w:val="22"/>
              </w:rPr>
              <w:t xml:space="preserve">if </w:t>
            </w:r>
            <w:r w:rsidRPr="00E67E83">
              <w:rPr>
                <w:sz w:val="22"/>
                <w:szCs w:val="22"/>
              </w:rPr>
              <w:t xml:space="preserve">an investigation is </w:t>
            </w:r>
            <w:r>
              <w:rPr>
                <w:sz w:val="22"/>
                <w:szCs w:val="22"/>
              </w:rPr>
              <w:t xml:space="preserve">or is not </w:t>
            </w:r>
            <w:r w:rsidRPr="00E67E83">
              <w:rPr>
                <w:sz w:val="22"/>
                <w:szCs w:val="22"/>
              </w:rPr>
              <w:t>underway?</w:t>
            </w:r>
          </w:p>
          <w:p w14:paraId="33B2199C" w14:textId="77777777" w:rsidR="00185DE9" w:rsidRDefault="00185DE9" w:rsidP="00A03734">
            <w:pPr>
              <w:numPr>
                <w:ilvl w:val="0"/>
                <w:numId w:val="21"/>
              </w:numPr>
              <w:spacing w:before="0"/>
              <w:jc w:val="left"/>
              <w:rPr>
                <w:sz w:val="22"/>
                <w:szCs w:val="22"/>
              </w:rPr>
            </w:pPr>
            <w:r w:rsidRPr="00E67E83">
              <w:rPr>
                <w:sz w:val="22"/>
                <w:szCs w:val="22"/>
              </w:rPr>
              <w:t>Should a public interest test form the basis of the discretion to disclose information about new and/or ongoing investigations and why?</w:t>
            </w:r>
          </w:p>
          <w:p w14:paraId="528D324A" w14:textId="77777777" w:rsidR="00185DE9" w:rsidRPr="00550F76" w:rsidRDefault="00185DE9" w:rsidP="00A03734">
            <w:pPr>
              <w:keepNext/>
              <w:spacing w:before="0"/>
              <w:outlineLvl w:val="4"/>
              <w:rPr>
                <w:rFonts w:cs="Arial"/>
                <w:b/>
                <w:iCs/>
                <w:color w:val="002C47"/>
                <w:kern w:val="32"/>
                <w:sz w:val="22"/>
                <w:szCs w:val="40"/>
              </w:rPr>
            </w:pPr>
            <w:r>
              <w:rPr>
                <w:rFonts w:cs="Arial"/>
                <w:b/>
                <w:iCs/>
                <w:color w:val="002C47"/>
                <w:kern w:val="32"/>
                <w:sz w:val="22"/>
                <w:szCs w:val="40"/>
              </w:rPr>
              <w:t>Area 3: Finalised investigations and resulting compliance action</w:t>
            </w:r>
          </w:p>
          <w:p w14:paraId="0DCF18B4" w14:textId="77777777" w:rsidR="00185DE9" w:rsidRPr="001C77BF" w:rsidRDefault="00185DE9" w:rsidP="00A03734">
            <w:pPr>
              <w:numPr>
                <w:ilvl w:val="0"/>
                <w:numId w:val="21"/>
              </w:numPr>
              <w:spacing w:before="0"/>
              <w:jc w:val="left"/>
              <w:rPr>
                <w:sz w:val="22"/>
                <w:szCs w:val="22"/>
              </w:rPr>
            </w:pPr>
            <w:r w:rsidRPr="001C77BF">
              <w:rPr>
                <w:sz w:val="22"/>
                <w:szCs w:val="22"/>
              </w:rPr>
              <w:t xml:space="preserve">Do you </w:t>
            </w:r>
            <w:r w:rsidRPr="00B25D76">
              <w:rPr>
                <w:sz w:val="22"/>
                <w:szCs w:val="22"/>
              </w:rPr>
              <w:t>have any concerns (other than privacy and confidentiality) about the disclosure of information on finalised investigations and resulting compliance action?</w:t>
            </w:r>
          </w:p>
          <w:p w14:paraId="5CF3605F" w14:textId="77777777" w:rsidR="00185DE9" w:rsidRPr="001C77BF" w:rsidRDefault="00185DE9" w:rsidP="00A03734">
            <w:pPr>
              <w:numPr>
                <w:ilvl w:val="0"/>
                <w:numId w:val="21"/>
              </w:numPr>
              <w:spacing w:before="0"/>
              <w:jc w:val="left"/>
              <w:rPr>
                <w:sz w:val="22"/>
                <w:szCs w:val="22"/>
              </w:rPr>
            </w:pPr>
            <w:r w:rsidRPr="001C77BF">
              <w:rPr>
                <w:sz w:val="22"/>
                <w:szCs w:val="22"/>
              </w:rPr>
              <w:t>Under what circumstances do you think information about finalised investigations and the reasons for revoking a charity’s registration should be disclosed and why?</w:t>
            </w:r>
          </w:p>
          <w:p w14:paraId="7FC4F214" w14:textId="77777777" w:rsidR="00185DE9" w:rsidRPr="00E960F3" w:rsidRDefault="00185DE9" w:rsidP="00A03734">
            <w:pPr>
              <w:numPr>
                <w:ilvl w:val="0"/>
                <w:numId w:val="21"/>
              </w:numPr>
              <w:spacing w:before="0"/>
              <w:jc w:val="left"/>
              <w:rPr>
                <w:sz w:val="22"/>
                <w:szCs w:val="22"/>
              </w:rPr>
            </w:pPr>
            <w:r w:rsidRPr="001C77BF">
              <w:rPr>
                <w:sz w:val="22"/>
                <w:szCs w:val="22"/>
              </w:rPr>
              <w:t xml:space="preserve">Should a public interest test form the basis of the discretion to disclose information about </w:t>
            </w:r>
            <w:r>
              <w:rPr>
                <w:sz w:val="22"/>
                <w:szCs w:val="22"/>
              </w:rPr>
              <w:t>finalised</w:t>
            </w:r>
            <w:r w:rsidRPr="001C77BF">
              <w:rPr>
                <w:sz w:val="22"/>
                <w:szCs w:val="22"/>
              </w:rPr>
              <w:t xml:space="preserve"> investigations </w:t>
            </w:r>
            <w:r>
              <w:rPr>
                <w:sz w:val="22"/>
                <w:szCs w:val="22"/>
              </w:rPr>
              <w:t xml:space="preserve">and any resulting compliance action (including revocation, alternative regulatory </w:t>
            </w:r>
            <w:proofErr w:type="gramStart"/>
            <w:r>
              <w:rPr>
                <w:sz w:val="22"/>
                <w:szCs w:val="22"/>
              </w:rPr>
              <w:t>approaches</w:t>
            </w:r>
            <w:proofErr w:type="gramEnd"/>
            <w:r>
              <w:rPr>
                <w:sz w:val="22"/>
                <w:szCs w:val="22"/>
              </w:rPr>
              <w:t xml:space="preserve"> and no action) </w:t>
            </w:r>
            <w:r w:rsidRPr="001C77BF">
              <w:rPr>
                <w:sz w:val="22"/>
                <w:szCs w:val="22"/>
              </w:rPr>
              <w:t>and why?</w:t>
            </w:r>
          </w:p>
        </w:tc>
      </w:tr>
    </w:tbl>
    <w:p w14:paraId="6F49B281" w14:textId="7C7619DA" w:rsidR="0054562F" w:rsidRPr="0054562F" w:rsidRDefault="0054562F" w:rsidP="0054562F"/>
    <w:sectPr w:rsidR="0054562F" w:rsidRPr="0054562F" w:rsidSect="00E47F58">
      <w:headerReference w:type="even" r:id="rId31"/>
      <w:headerReference w:type="default" r:id="rId32"/>
      <w:footerReference w:type="even" r:id="rId33"/>
      <w:footerReference w:type="default" r:id="rId34"/>
      <w:headerReference w:type="first" r:id="rId35"/>
      <w:footerReference w:type="first" r:id="rId36"/>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0F439B" w14:textId="77777777" w:rsidR="00222E59" w:rsidRDefault="00222E59">
      <w:pPr>
        <w:spacing w:before="0" w:after="0"/>
      </w:pPr>
      <w:r>
        <w:separator/>
      </w:r>
    </w:p>
  </w:endnote>
  <w:endnote w:type="continuationSeparator" w:id="0">
    <w:p w14:paraId="28C2A6FD" w14:textId="77777777" w:rsidR="00222E59" w:rsidRDefault="00222E59">
      <w:pPr>
        <w:spacing w:before="0" w:after="0"/>
      </w:pPr>
      <w:r>
        <w:continuationSeparator/>
      </w:r>
    </w:p>
  </w:endnote>
  <w:endnote w:type="continuationNotice" w:id="1">
    <w:p w14:paraId="127C209E" w14:textId="77777777" w:rsidR="00222E59" w:rsidRDefault="00222E5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181AE" w14:textId="77777777" w:rsidR="00685419" w:rsidRPr="00E77C89" w:rsidRDefault="00685419" w:rsidP="0017089D">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28E1B" w14:textId="77777777" w:rsidR="00685419" w:rsidRPr="00E77C89" w:rsidRDefault="00685419" w:rsidP="0017089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08867" w14:textId="77777777" w:rsidR="00685419" w:rsidRPr="00E1136B" w:rsidRDefault="00685419" w:rsidP="00E1136B">
    <w:pPr>
      <w:pStyle w:val="Footer"/>
    </w:pPr>
    <w:r>
      <w:fldChar w:fldCharType="begin"/>
    </w:r>
    <w:r>
      <w:instrText xml:space="preserve"> PAGE   \* MERGEFORMAT </w:instrText>
    </w:r>
    <w:r>
      <w:fldChar w:fldCharType="separate"/>
    </w:r>
    <w:r>
      <w:rPr>
        <w:noProof/>
      </w:rPr>
      <w:t>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667CC" w14:textId="77777777" w:rsidR="00685419" w:rsidRDefault="006854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3691D2" w14:textId="77777777" w:rsidR="00222E59" w:rsidRDefault="00222E59">
      <w:pPr>
        <w:spacing w:before="0" w:after="0"/>
      </w:pPr>
      <w:r>
        <w:separator/>
      </w:r>
    </w:p>
  </w:footnote>
  <w:footnote w:type="continuationSeparator" w:id="0">
    <w:p w14:paraId="5C6832C2" w14:textId="77777777" w:rsidR="00222E59" w:rsidRDefault="00222E59">
      <w:pPr>
        <w:spacing w:before="0" w:after="0"/>
      </w:pPr>
      <w:r>
        <w:continuationSeparator/>
      </w:r>
    </w:p>
  </w:footnote>
  <w:footnote w:type="continuationNotice" w:id="1">
    <w:p w14:paraId="7EA42A19" w14:textId="77777777" w:rsidR="00222E59" w:rsidRDefault="00222E59">
      <w:pPr>
        <w:spacing w:before="0" w:after="0"/>
      </w:pPr>
    </w:p>
  </w:footnote>
  <w:footnote w:id="2">
    <w:p w14:paraId="6A78B612" w14:textId="63D1E7BC" w:rsidR="00685419" w:rsidRDefault="00685419">
      <w:pPr>
        <w:pStyle w:val="FootnoteText"/>
      </w:pPr>
      <w:r>
        <w:rPr>
          <w:rStyle w:val="FootnoteReference"/>
        </w:rPr>
        <w:footnoteRef/>
      </w:r>
      <w:r>
        <w:t xml:space="preserve"> </w:t>
      </w:r>
      <w:r>
        <w:rPr>
          <w:szCs w:val="22"/>
        </w:rPr>
        <w:t>S</w:t>
      </w:r>
      <w:r w:rsidRPr="00E960F3">
        <w:rPr>
          <w:szCs w:val="22"/>
        </w:rPr>
        <w:t>ection 40</w:t>
      </w:r>
      <w:r w:rsidRPr="00E960F3">
        <w:rPr>
          <w:szCs w:val="22"/>
        </w:rPr>
        <w:noBreakHyphen/>
        <w:t xml:space="preserve">5 </w:t>
      </w:r>
      <w:r>
        <w:rPr>
          <w:szCs w:val="22"/>
        </w:rPr>
        <w:t xml:space="preserve">of the ACNC Act </w:t>
      </w:r>
      <w:r w:rsidRPr="00E960F3">
        <w:rPr>
          <w:szCs w:val="22"/>
        </w:rPr>
        <w:t>specifies certain information to be included on the register</w:t>
      </w:r>
      <w:r>
        <w:rPr>
          <w:szCs w:val="22"/>
        </w:rPr>
        <w:t>. This</w:t>
      </w:r>
      <w:r w:rsidRPr="00F00F7B">
        <w:rPr>
          <w:szCs w:val="22"/>
        </w:rPr>
        <w:t xml:space="preserve"> includes information such as </w:t>
      </w:r>
      <w:r>
        <w:rPr>
          <w:szCs w:val="22"/>
        </w:rPr>
        <w:t xml:space="preserve">the </w:t>
      </w:r>
      <w:r w:rsidRPr="00F00F7B">
        <w:rPr>
          <w:szCs w:val="22"/>
        </w:rPr>
        <w:t xml:space="preserve">name, contact details and identifying details for each charity, </w:t>
      </w:r>
      <w:r>
        <w:rPr>
          <w:szCs w:val="22"/>
        </w:rPr>
        <w:t>the type of</w:t>
      </w:r>
      <w:r w:rsidRPr="00F00F7B">
        <w:rPr>
          <w:szCs w:val="22"/>
        </w:rPr>
        <w:t xml:space="preserve"> registration, governing rules, responsible persons, </w:t>
      </w:r>
      <w:r>
        <w:rPr>
          <w:szCs w:val="22"/>
        </w:rPr>
        <w:t>financial information, etc.</w:t>
      </w:r>
    </w:p>
  </w:footnote>
  <w:footnote w:id="3">
    <w:p w14:paraId="0FA2260B" w14:textId="77777777" w:rsidR="00685419" w:rsidRDefault="00685419" w:rsidP="00E960F3">
      <w:pPr>
        <w:pStyle w:val="FootnoteText"/>
      </w:pPr>
      <w:r>
        <w:rPr>
          <w:rStyle w:val="FootnoteReference"/>
        </w:rPr>
        <w:footnoteRef/>
      </w:r>
      <w:r>
        <w:t xml:space="preserve"> </w:t>
      </w:r>
      <w:hyperlink r:id="rId1" w:history="1">
        <w:r w:rsidRPr="00350495">
          <w:rPr>
            <w:rStyle w:val="Hyperlink"/>
          </w:rPr>
          <w:t>Final report to the ACNC Review 2018</w:t>
        </w:r>
      </w:hyperlink>
      <w:r>
        <w:t>, p. 76.</w:t>
      </w:r>
    </w:p>
  </w:footnote>
  <w:footnote w:id="4">
    <w:p w14:paraId="6A36389B" w14:textId="77777777" w:rsidR="00685419" w:rsidRDefault="00685419" w:rsidP="00E960F3">
      <w:pPr>
        <w:pStyle w:val="FootnoteText"/>
      </w:pPr>
      <w:r>
        <w:rPr>
          <w:rStyle w:val="FootnoteReference"/>
        </w:rPr>
        <w:footnoteRef/>
      </w:r>
      <w:r>
        <w:t xml:space="preserve"> </w:t>
      </w:r>
      <w:hyperlink r:id="rId2" w:history="1">
        <w:r w:rsidRPr="00350495">
          <w:rPr>
            <w:rStyle w:val="Hyperlink"/>
          </w:rPr>
          <w:t>Final report to the ACNC Review 2018</w:t>
        </w:r>
      </w:hyperlink>
      <w:r>
        <w:t>, p. 77.</w:t>
      </w:r>
    </w:p>
  </w:footnote>
  <w:footnote w:id="5">
    <w:p w14:paraId="3D267BBC" w14:textId="77777777" w:rsidR="00685419" w:rsidRDefault="00685419" w:rsidP="00E960F3">
      <w:pPr>
        <w:pStyle w:val="FootnoteText"/>
      </w:pPr>
      <w:r>
        <w:rPr>
          <w:rStyle w:val="FootnoteReference"/>
        </w:rPr>
        <w:footnoteRef/>
      </w:r>
      <w:r>
        <w:t xml:space="preserve"> </w:t>
      </w:r>
      <w:hyperlink r:id="rId3" w:history="1">
        <w:r w:rsidRPr="00350495">
          <w:rPr>
            <w:rStyle w:val="Hyperlink"/>
          </w:rPr>
          <w:t>Government Response to the ACNC Review 2018</w:t>
        </w:r>
      </w:hyperlink>
      <w:r>
        <w:t>, p. 15.</w:t>
      </w:r>
    </w:p>
  </w:footnote>
  <w:footnote w:id="6">
    <w:p w14:paraId="0E4A2656" w14:textId="77777777" w:rsidR="00685419" w:rsidRDefault="00685419" w:rsidP="00E960F3">
      <w:pPr>
        <w:pStyle w:val="FootnoteText"/>
      </w:pPr>
      <w:r>
        <w:rPr>
          <w:rStyle w:val="FootnoteReference"/>
        </w:rPr>
        <w:footnoteRef/>
      </w:r>
      <w:r>
        <w:t xml:space="preserve"> </w:t>
      </w:r>
      <w:hyperlink r:id="rId4" w:history="1">
        <w:r w:rsidRPr="00CC21AA">
          <w:rPr>
            <w:rStyle w:val="Hyperlink"/>
          </w:rPr>
          <w:t>https://asic.gov.au/about-asic/asic-investigations-and-enforcement/public-comment-on-asic-s-regulatory-activities/</w:t>
        </w:r>
      </w:hyperlink>
      <w:r>
        <w:t xml:space="preserve"> </w:t>
      </w:r>
    </w:p>
  </w:footnote>
  <w:footnote w:id="7">
    <w:p w14:paraId="4DAD6BB0" w14:textId="77777777" w:rsidR="00685419" w:rsidRDefault="00685419" w:rsidP="00E960F3">
      <w:pPr>
        <w:pStyle w:val="FootnoteText"/>
      </w:pPr>
      <w:r>
        <w:rPr>
          <w:rStyle w:val="FootnoteReference"/>
        </w:rPr>
        <w:footnoteRef/>
      </w:r>
      <w:r>
        <w:t xml:space="preserve"> </w:t>
      </w:r>
      <w:hyperlink r:id="rId5" w:history="1">
        <w:r w:rsidRPr="00CC21AA">
          <w:rPr>
            <w:rStyle w:val="Hyperlink"/>
          </w:rPr>
          <w:t>https://www.accc.gov.au/media/media-code-of-conduct</w:t>
        </w:r>
      </w:hyperlink>
      <w:r>
        <w:t xml:space="preserve"> </w:t>
      </w:r>
    </w:p>
  </w:footnote>
  <w:footnote w:id="8">
    <w:p w14:paraId="11090C7E" w14:textId="77777777" w:rsidR="00685419" w:rsidRDefault="00685419" w:rsidP="00E960F3">
      <w:pPr>
        <w:pStyle w:val="FootnoteText"/>
      </w:pPr>
      <w:r>
        <w:rPr>
          <w:rStyle w:val="FootnoteReference"/>
        </w:rPr>
        <w:footnoteRef/>
      </w:r>
      <w:r>
        <w:t xml:space="preserve"> </w:t>
      </w:r>
      <w:hyperlink r:id="rId6" w:history="1">
        <w:r w:rsidRPr="00CC21AA">
          <w:rPr>
            <w:rStyle w:val="Hyperlink"/>
          </w:rPr>
          <w:t>https://www.ato.gov.au/About-ATO/Contact-us/Media-enquiries/Media-expectations/</w:t>
        </w:r>
      </w:hyperlink>
      <w:r>
        <w:t xml:space="preserve">; </w:t>
      </w:r>
      <w:r w:rsidRPr="00B70DDF">
        <w:t>and</w:t>
      </w:r>
      <w:r>
        <w:t xml:space="preserve"> </w:t>
      </w:r>
      <w:hyperlink r:id="rId7" w:history="1">
        <w:r w:rsidRPr="00CC21AA">
          <w:rPr>
            <w:rStyle w:val="Hyperlink"/>
          </w:rPr>
          <w:t>https://www.ato.gov.au/Media-centre/</w:t>
        </w:r>
      </w:hyperlink>
      <w:r>
        <w:t xml:space="preserve"> </w:t>
      </w:r>
    </w:p>
  </w:footnote>
  <w:footnote w:id="9">
    <w:p w14:paraId="2330F12D" w14:textId="45562D51" w:rsidR="00685419" w:rsidRDefault="00685419" w:rsidP="00E960F3">
      <w:pPr>
        <w:pStyle w:val="FootnoteText"/>
      </w:pPr>
      <w:r>
        <w:rPr>
          <w:rStyle w:val="FootnoteReference"/>
        </w:rPr>
        <w:footnoteRef/>
      </w:r>
      <w:r>
        <w:t xml:space="preserve"> </w:t>
      </w:r>
      <w:hyperlink r:id="rId8" w:history="1">
        <w:r w:rsidRPr="00443E0D">
          <w:rPr>
            <w:rStyle w:val="Hyperlink"/>
          </w:rPr>
          <w:t>https://www.gov.uk/government/publications/charity-commission-strategy-2018-2023</w:t>
        </w:r>
      </w:hyperlink>
      <w:r>
        <w:t xml:space="preserve">; </w:t>
      </w:r>
      <w:hyperlink r:id="rId9" w:history="1">
        <w:r w:rsidRPr="00CC21AA">
          <w:rPr>
            <w:rStyle w:val="Hyperlink"/>
          </w:rPr>
          <w:t>https://www.gov.uk/government/collections/charity-commission-registration-decisions</w:t>
        </w:r>
      </w:hyperlink>
      <w:r>
        <w:t>; and</w:t>
      </w:r>
    </w:p>
    <w:p w14:paraId="27A1160E" w14:textId="77777777" w:rsidR="00685419" w:rsidRDefault="00222E59" w:rsidP="00E960F3">
      <w:pPr>
        <w:pStyle w:val="FootnoteText"/>
      </w:pPr>
      <w:hyperlink r:id="rId10" w:history="1">
        <w:r w:rsidR="00685419" w:rsidRPr="00CC21AA">
          <w:rPr>
            <w:rStyle w:val="Hyperlink"/>
          </w:rPr>
          <w:t>https://www.gov.uk/government/collections/charity-commission-reports-decisions-alerts-and-statements</w:t>
        </w:r>
      </w:hyperlink>
    </w:p>
  </w:footnote>
  <w:footnote w:id="10">
    <w:p w14:paraId="6EC099C8" w14:textId="0F56197A" w:rsidR="00685419" w:rsidRDefault="00685419">
      <w:pPr>
        <w:pStyle w:val="FootnoteText"/>
      </w:pPr>
      <w:r>
        <w:rPr>
          <w:rStyle w:val="FootnoteReference"/>
        </w:rPr>
        <w:footnoteRef/>
      </w:r>
      <w:r>
        <w:t xml:space="preserve"> For context, the UK Charity Commission has published a total of nine registration (including non-registration) decisions over the last ten years. The latest published decision is from March 2017.</w:t>
      </w:r>
    </w:p>
  </w:footnote>
  <w:footnote w:id="11">
    <w:p w14:paraId="69D7CE3B" w14:textId="00DC08B2" w:rsidR="00685419" w:rsidRDefault="00685419" w:rsidP="00E960F3">
      <w:pPr>
        <w:pStyle w:val="FootnoteText"/>
      </w:pPr>
      <w:r>
        <w:rPr>
          <w:rStyle w:val="FootnoteReference"/>
        </w:rPr>
        <w:footnoteRef/>
      </w:r>
      <w:r>
        <w:t xml:space="preserve"> </w:t>
      </w:r>
      <w:hyperlink r:id="rId11" w:history="1">
        <w:r w:rsidRPr="00CC21AA">
          <w:rPr>
            <w:rStyle w:val="Hyperlink"/>
          </w:rPr>
          <w:t>https://www.charities.govt.nz/charities-in-new-zealand/legal-decisions/view-the-decisions/</w:t>
        </w:r>
      </w:hyperlink>
      <w:r>
        <w:t xml:space="preserve">; and </w:t>
      </w:r>
      <w:hyperlink r:id="rId12" w:history="1">
        <w:r w:rsidRPr="00495A07">
          <w:rPr>
            <w:rStyle w:val="Hyperlink"/>
          </w:rPr>
          <w:t>https://www.charities.govt.nz/charities-in-new-zealand/legal-decisions/about-legal-decisions-made-under-the-charities-act-2005/</w:t>
        </w:r>
      </w:hyperlink>
      <w:r>
        <w:t xml:space="preserve">  </w:t>
      </w:r>
    </w:p>
  </w:footnote>
  <w:footnote w:id="12">
    <w:p w14:paraId="633499D2" w14:textId="6953F236" w:rsidR="00685419" w:rsidRDefault="00685419">
      <w:pPr>
        <w:pStyle w:val="FootnoteText"/>
      </w:pPr>
      <w:r>
        <w:rPr>
          <w:rStyle w:val="FootnoteReference"/>
        </w:rPr>
        <w:footnoteRef/>
      </w:r>
      <w:r>
        <w:t xml:space="preserve"> For context, most decisions published on the New Zealand Charities Services website are non-registration decisions.</w:t>
      </w:r>
    </w:p>
  </w:footnote>
  <w:footnote w:id="13">
    <w:p w14:paraId="170FA1A6" w14:textId="77777777" w:rsidR="00685419" w:rsidRDefault="00685419" w:rsidP="00E960F3">
      <w:pPr>
        <w:pStyle w:val="FootnoteText"/>
      </w:pPr>
      <w:r>
        <w:rPr>
          <w:rStyle w:val="FootnoteReference"/>
        </w:rPr>
        <w:footnoteRef/>
      </w:r>
      <w:r>
        <w:t xml:space="preserve"> </w:t>
      </w:r>
      <w:hyperlink r:id="rId13" w:history="1">
        <w:r w:rsidRPr="00CC21AA">
          <w:rPr>
            <w:rStyle w:val="Hyperlink"/>
          </w:rPr>
          <w:t>https://www.canada.ca/en/revenue-agency/services/charities-giving/charities/compliance-audits/audit-process-charities.html</w:t>
        </w:r>
      </w:hyperlink>
      <w:r>
        <w:t xml:space="preserve"> </w:t>
      </w:r>
    </w:p>
  </w:footnote>
  <w:footnote w:id="14">
    <w:p w14:paraId="00933242" w14:textId="115B02A7" w:rsidR="00685419" w:rsidRDefault="00685419">
      <w:pPr>
        <w:pStyle w:val="FootnoteText"/>
      </w:pPr>
      <w:r>
        <w:rPr>
          <w:rStyle w:val="FootnoteReference"/>
        </w:rPr>
        <w:footnoteRef/>
      </w:r>
      <w:r>
        <w:t xml:space="preserve"> Revocation of a charity’s registration is not an enforcement power under Part 4-2 of the ACNC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5B894" w14:textId="550B1AD2" w:rsidR="00685419" w:rsidRDefault="00685419">
    <w:pPr>
      <w:pStyle w:val="Header"/>
    </w:pPr>
    <w:r>
      <w:rPr>
        <w:noProof/>
        <w:lang w:eastAsia="zh-CN"/>
      </w:rPr>
      <w:drawing>
        <wp:anchor distT="0" distB="0" distL="114300" distR="114300" simplePos="0" relativeHeight="251658240" behindDoc="1" locked="0" layoutInCell="1" allowOverlap="1" wp14:anchorId="14ED6852" wp14:editId="72C7C736">
          <wp:simplePos x="0" y="0"/>
          <wp:positionH relativeFrom="page">
            <wp:posOffset>182880</wp:posOffset>
          </wp:positionH>
          <wp:positionV relativeFrom="page">
            <wp:posOffset>320040</wp:posOffset>
          </wp:positionV>
          <wp:extent cx="7198995" cy="100203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927B2" w14:textId="6B16051C" w:rsidR="00685419" w:rsidRPr="001F3912" w:rsidRDefault="00685419" w:rsidP="0017089D">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2C688" w14:textId="46CEE328" w:rsidR="00685419" w:rsidRPr="001F3912" w:rsidRDefault="00685419" w:rsidP="0017089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46F05" w14:textId="2610BC56" w:rsidR="00685419" w:rsidRDefault="0068541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FF8E0" w14:textId="6E391622" w:rsidR="00685419" w:rsidRPr="001F3912" w:rsidRDefault="00685419" w:rsidP="0017089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89D3B" w14:textId="24545297" w:rsidR="00685419" w:rsidRPr="001F3912" w:rsidRDefault="00430A91" w:rsidP="001606CF">
    <w:pPr>
      <w:pStyle w:val="Header"/>
    </w:pPr>
    <w:fldSimple w:instr=" STYLEREF  Title  \* MERGEFORMAT ">
      <w:r w:rsidR="00893D58">
        <w:rPr>
          <w:noProof/>
        </w:rPr>
        <w:t>Reform of the Australian Charities and Not-for-profits Commission secrecy provisions</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8DC72" w14:textId="09ED433C" w:rsidR="00685419" w:rsidRDefault="006854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A68562B"/>
    <w:multiLevelType w:val="multilevel"/>
    <w:tmpl w:val="0E0C2C9C"/>
    <w:lvl w:ilvl="0">
      <w:start w:val="1"/>
      <w:numFmt w:val="decimal"/>
      <w:lvlText w:val="%1)"/>
      <w:lvlJc w:val="left"/>
      <w:pPr>
        <w:ind w:left="360" w:hanging="360"/>
      </w:pPr>
      <w:rPr>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0832C6"/>
    <w:multiLevelType w:val="multilevel"/>
    <w:tmpl w:val="2848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CC4E5D"/>
    <w:multiLevelType w:val="multilevel"/>
    <w:tmpl w:val="D10E9CF6"/>
    <w:numStyleLink w:val="OneLevelList"/>
  </w:abstractNum>
  <w:abstractNum w:abstractNumId="6"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CED6509"/>
    <w:multiLevelType w:val="multilevel"/>
    <w:tmpl w:val="0E0C2C9C"/>
    <w:lvl w:ilvl="0">
      <w:start w:val="1"/>
      <w:numFmt w:val="decimal"/>
      <w:lvlText w:val="%1)"/>
      <w:lvlJc w:val="left"/>
      <w:pPr>
        <w:ind w:left="360" w:hanging="360"/>
      </w:pPr>
      <w:rPr>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44350D6"/>
    <w:multiLevelType w:val="multilevel"/>
    <w:tmpl w:val="0E0C2C9C"/>
    <w:lvl w:ilvl="0">
      <w:start w:val="1"/>
      <w:numFmt w:val="decimal"/>
      <w:lvlText w:val="%1)"/>
      <w:lvlJc w:val="left"/>
      <w:pPr>
        <w:ind w:left="360" w:hanging="360"/>
      </w:pPr>
      <w:rPr>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8B97604"/>
    <w:multiLevelType w:val="singleLevel"/>
    <w:tmpl w:val="0C09000F"/>
    <w:lvl w:ilvl="0">
      <w:start w:val="1"/>
      <w:numFmt w:val="decimal"/>
      <w:lvlText w:val="%1."/>
      <w:lvlJc w:val="left"/>
      <w:pPr>
        <w:ind w:left="720" w:hanging="360"/>
      </w:pPr>
      <w:rPr>
        <w:rFonts w:hint="default"/>
      </w:rPr>
    </w:lvl>
  </w:abstractNum>
  <w:abstractNum w:abstractNumId="11"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2"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4B1305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EDE0FDC"/>
    <w:multiLevelType w:val="multilevel"/>
    <w:tmpl w:val="DD76981C"/>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12"/>
        </w:tabs>
        <w:ind w:left="1512"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10D2021"/>
    <w:multiLevelType w:val="multilevel"/>
    <w:tmpl w:val="72F8140E"/>
    <w:numStyleLink w:val="OutlineList"/>
  </w:abstractNum>
  <w:abstractNum w:abstractNumId="17"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11"/>
  </w:num>
  <w:num w:numId="2">
    <w:abstractNumId w:val="0"/>
  </w:num>
  <w:num w:numId="3">
    <w:abstractNumId w:val="13"/>
  </w:num>
  <w:num w:numId="4">
    <w:abstractNumId w:val="4"/>
  </w:num>
  <w:num w:numId="5">
    <w:abstractNumId w:val="5"/>
  </w:num>
  <w:num w:numId="6">
    <w:abstractNumId w:val="16"/>
  </w:num>
  <w:num w:numId="7">
    <w:abstractNumId w:val="12"/>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6"/>
  </w:num>
  <w:num w:numId="9">
    <w:abstractNumId w:val="2"/>
  </w:num>
  <w:num w:numId="10">
    <w:abstractNumId w:val="9"/>
  </w:num>
  <w:num w:numId="11">
    <w:abstractNumId w:val="17"/>
  </w:num>
  <w:num w:numId="12">
    <w:abstractNumId w:val="16"/>
  </w:num>
  <w:num w:numId="13">
    <w:abstractNumId w:val="9"/>
  </w:num>
  <w:num w:numId="14">
    <w:abstractNumId w:val="12"/>
  </w:num>
  <w:num w:numId="15">
    <w:abstractNumId w:val="14"/>
  </w:num>
  <w:num w:numId="16">
    <w:abstractNumId w:val="7"/>
  </w:num>
  <w:num w:numId="17">
    <w:abstractNumId w:val="1"/>
  </w:num>
  <w:num w:numId="18">
    <w:abstractNumId w:val="10"/>
  </w:num>
  <w:num w:numId="19">
    <w:abstractNumId w:val="15"/>
  </w:num>
  <w:num w:numId="20">
    <w:abstractNumId w:val="3"/>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023"/>
    <w:rsid w:val="0000467E"/>
    <w:rsid w:val="00011725"/>
    <w:rsid w:val="00012C62"/>
    <w:rsid w:val="000175D3"/>
    <w:rsid w:val="00020D43"/>
    <w:rsid w:val="00021C2F"/>
    <w:rsid w:val="00024281"/>
    <w:rsid w:val="00024D76"/>
    <w:rsid w:val="0002544D"/>
    <w:rsid w:val="00034C86"/>
    <w:rsid w:val="00041A8B"/>
    <w:rsid w:val="0004274D"/>
    <w:rsid w:val="00044C0A"/>
    <w:rsid w:val="00045825"/>
    <w:rsid w:val="00046809"/>
    <w:rsid w:val="00055965"/>
    <w:rsid w:val="00056880"/>
    <w:rsid w:val="000675D1"/>
    <w:rsid w:val="0007102C"/>
    <w:rsid w:val="00072352"/>
    <w:rsid w:val="00073521"/>
    <w:rsid w:val="000775DE"/>
    <w:rsid w:val="000858F2"/>
    <w:rsid w:val="00087FAF"/>
    <w:rsid w:val="000C5F40"/>
    <w:rsid w:val="000D23D1"/>
    <w:rsid w:val="000D5AD2"/>
    <w:rsid w:val="000E0B74"/>
    <w:rsid w:val="000F0BF8"/>
    <w:rsid w:val="000F0EFA"/>
    <w:rsid w:val="000F39C3"/>
    <w:rsid w:val="000F4159"/>
    <w:rsid w:val="000F7517"/>
    <w:rsid w:val="001145BC"/>
    <w:rsid w:val="001240D6"/>
    <w:rsid w:val="00134A1E"/>
    <w:rsid w:val="0014091C"/>
    <w:rsid w:val="00154E85"/>
    <w:rsid w:val="001606CF"/>
    <w:rsid w:val="0016128D"/>
    <w:rsid w:val="0017089D"/>
    <w:rsid w:val="001724D4"/>
    <w:rsid w:val="0018195E"/>
    <w:rsid w:val="00185DE9"/>
    <w:rsid w:val="0018703C"/>
    <w:rsid w:val="00190C71"/>
    <w:rsid w:val="00190F8F"/>
    <w:rsid w:val="0019101A"/>
    <w:rsid w:val="00194058"/>
    <w:rsid w:val="001979D2"/>
    <w:rsid w:val="001B5580"/>
    <w:rsid w:val="001C358D"/>
    <w:rsid w:val="001C5785"/>
    <w:rsid w:val="001C77BF"/>
    <w:rsid w:val="001D0902"/>
    <w:rsid w:val="001D4EAA"/>
    <w:rsid w:val="001D6F27"/>
    <w:rsid w:val="001F2488"/>
    <w:rsid w:val="002042B9"/>
    <w:rsid w:val="0021029B"/>
    <w:rsid w:val="00215FC0"/>
    <w:rsid w:val="0022190E"/>
    <w:rsid w:val="00222E59"/>
    <w:rsid w:val="00231049"/>
    <w:rsid w:val="002314D2"/>
    <w:rsid w:val="002345F8"/>
    <w:rsid w:val="002372A6"/>
    <w:rsid w:val="00244998"/>
    <w:rsid w:val="00245B8D"/>
    <w:rsid w:val="00247BA3"/>
    <w:rsid w:val="00252E39"/>
    <w:rsid w:val="0025639C"/>
    <w:rsid w:val="00257066"/>
    <w:rsid w:val="00257AEE"/>
    <w:rsid w:val="002606CB"/>
    <w:rsid w:val="0026165B"/>
    <w:rsid w:val="00263B6C"/>
    <w:rsid w:val="002665E4"/>
    <w:rsid w:val="0027432B"/>
    <w:rsid w:val="0027590B"/>
    <w:rsid w:val="00283E7C"/>
    <w:rsid w:val="00284DD5"/>
    <w:rsid w:val="00285969"/>
    <w:rsid w:val="002928EB"/>
    <w:rsid w:val="002940EC"/>
    <w:rsid w:val="00295BFC"/>
    <w:rsid w:val="002A2083"/>
    <w:rsid w:val="002A4406"/>
    <w:rsid w:val="002B3829"/>
    <w:rsid w:val="002B4D4D"/>
    <w:rsid w:val="002B5C39"/>
    <w:rsid w:val="002C0440"/>
    <w:rsid w:val="002D38F1"/>
    <w:rsid w:val="002D488F"/>
    <w:rsid w:val="002D7023"/>
    <w:rsid w:val="002D7089"/>
    <w:rsid w:val="002D7AD4"/>
    <w:rsid w:val="002E3BE2"/>
    <w:rsid w:val="002E4E9C"/>
    <w:rsid w:val="002E71B5"/>
    <w:rsid w:val="002F1702"/>
    <w:rsid w:val="002F2074"/>
    <w:rsid w:val="002F617F"/>
    <w:rsid w:val="002F672C"/>
    <w:rsid w:val="003122F4"/>
    <w:rsid w:val="00316B93"/>
    <w:rsid w:val="003268D5"/>
    <w:rsid w:val="0032716E"/>
    <w:rsid w:val="0033519E"/>
    <w:rsid w:val="00344779"/>
    <w:rsid w:val="00346535"/>
    <w:rsid w:val="00354BE6"/>
    <w:rsid w:val="00354D27"/>
    <w:rsid w:val="00354FBB"/>
    <w:rsid w:val="00355C70"/>
    <w:rsid w:val="003678D3"/>
    <w:rsid w:val="00373631"/>
    <w:rsid w:val="00376872"/>
    <w:rsid w:val="003810C8"/>
    <w:rsid w:val="00382834"/>
    <w:rsid w:val="003839F0"/>
    <w:rsid w:val="003858A6"/>
    <w:rsid w:val="00385D36"/>
    <w:rsid w:val="00392DCC"/>
    <w:rsid w:val="00393587"/>
    <w:rsid w:val="00394915"/>
    <w:rsid w:val="003B5682"/>
    <w:rsid w:val="003B7674"/>
    <w:rsid w:val="003C09B3"/>
    <w:rsid w:val="003E1598"/>
    <w:rsid w:val="003E15C6"/>
    <w:rsid w:val="003E2CE1"/>
    <w:rsid w:val="003E38B0"/>
    <w:rsid w:val="003E4D87"/>
    <w:rsid w:val="003E538C"/>
    <w:rsid w:val="003E7401"/>
    <w:rsid w:val="003F395C"/>
    <w:rsid w:val="003F4E3D"/>
    <w:rsid w:val="003F71F2"/>
    <w:rsid w:val="00405B13"/>
    <w:rsid w:val="00407D72"/>
    <w:rsid w:val="00413D33"/>
    <w:rsid w:val="00416762"/>
    <w:rsid w:val="00421351"/>
    <w:rsid w:val="00430A91"/>
    <w:rsid w:val="00436DF2"/>
    <w:rsid w:val="00445265"/>
    <w:rsid w:val="004501E9"/>
    <w:rsid w:val="0045047E"/>
    <w:rsid w:val="00454D04"/>
    <w:rsid w:val="004559CE"/>
    <w:rsid w:val="0046264D"/>
    <w:rsid w:val="00470C53"/>
    <w:rsid w:val="00475B7B"/>
    <w:rsid w:val="00475F4D"/>
    <w:rsid w:val="00477125"/>
    <w:rsid w:val="0048281B"/>
    <w:rsid w:val="00482AD1"/>
    <w:rsid w:val="00483049"/>
    <w:rsid w:val="00485902"/>
    <w:rsid w:val="00485E1A"/>
    <w:rsid w:val="00487575"/>
    <w:rsid w:val="004917C7"/>
    <w:rsid w:val="00492FCB"/>
    <w:rsid w:val="004938D1"/>
    <w:rsid w:val="004951A8"/>
    <w:rsid w:val="004A077D"/>
    <w:rsid w:val="004A62E0"/>
    <w:rsid w:val="004A6FD8"/>
    <w:rsid w:val="004A713A"/>
    <w:rsid w:val="004A7BC2"/>
    <w:rsid w:val="004B04A4"/>
    <w:rsid w:val="004B0975"/>
    <w:rsid w:val="004B28FA"/>
    <w:rsid w:val="004B351B"/>
    <w:rsid w:val="004B3730"/>
    <w:rsid w:val="004C1E8D"/>
    <w:rsid w:val="004C30A1"/>
    <w:rsid w:val="004E5A9B"/>
    <w:rsid w:val="004F1164"/>
    <w:rsid w:val="00504BE2"/>
    <w:rsid w:val="005143D2"/>
    <w:rsid w:val="00516785"/>
    <w:rsid w:val="0052042A"/>
    <w:rsid w:val="00520B99"/>
    <w:rsid w:val="0052419D"/>
    <w:rsid w:val="00527CAB"/>
    <w:rsid w:val="005301F8"/>
    <w:rsid w:val="005312FC"/>
    <w:rsid w:val="0053603D"/>
    <w:rsid w:val="00536914"/>
    <w:rsid w:val="0054562F"/>
    <w:rsid w:val="00550F76"/>
    <w:rsid w:val="00556157"/>
    <w:rsid w:val="00560753"/>
    <w:rsid w:val="00561BD0"/>
    <w:rsid w:val="00564C9D"/>
    <w:rsid w:val="00574925"/>
    <w:rsid w:val="005816B6"/>
    <w:rsid w:val="00581E3A"/>
    <w:rsid w:val="00582CAE"/>
    <w:rsid w:val="00584E10"/>
    <w:rsid w:val="005868DE"/>
    <w:rsid w:val="00591C83"/>
    <w:rsid w:val="00592285"/>
    <w:rsid w:val="00594840"/>
    <w:rsid w:val="005948E9"/>
    <w:rsid w:val="005A0505"/>
    <w:rsid w:val="005A4961"/>
    <w:rsid w:val="005A4C03"/>
    <w:rsid w:val="005B4294"/>
    <w:rsid w:val="005B589F"/>
    <w:rsid w:val="005C722A"/>
    <w:rsid w:val="005C79BE"/>
    <w:rsid w:val="005D05AE"/>
    <w:rsid w:val="005D76E2"/>
    <w:rsid w:val="005E0D90"/>
    <w:rsid w:val="005E22ED"/>
    <w:rsid w:val="005E7860"/>
    <w:rsid w:val="005F20F0"/>
    <w:rsid w:val="005F3FDD"/>
    <w:rsid w:val="005F6463"/>
    <w:rsid w:val="00600CB4"/>
    <w:rsid w:val="006032BB"/>
    <w:rsid w:val="00605543"/>
    <w:rsid w:val="0060595B"/>
    <w:rsid w:val="00605AFD"/>
    <w:rsid w:val="00607C7C"/>
    <w:rsid w:val="00611C55"/>
    <w:rsid w:val="006123D4"/>
    <w:rsid w:val="00615F7A"/>
    <w:rsid w:val="00616CFC"/>
    <w:rsid w:val="00630176"/>
    <w:rsid w:val="00634DA4"/>
    <w:rsid w:val="00635066"/>
    <w:rsid w:val="00637419"/>
    <w:rsid w:val="00637C14"/>
    <w:rsid w:val="00650420"/>
    <w:rsid w:val="00652FBF"/>
    <w:rsid w:val="006536C3"/>
    <w:rsid w:val="00655569"/>
    <w:rsid w:val="00656356"/>
    <w:rsid w:val="0066057A"/>
    <w:rsid w:val="00664709"/>
    <w:rsid w:val="006652D7"/>
    <w:rsid w:val="006654A9"/>
    <w:rsid w:val="00670261"/>
    <w:rsid w:val="00670662"/>
    <w:rsid w:val="006707A0"/>
    <w:rsid w:val="0067513E"/>
    <w:rsid w:val="006755BF"/>
    <w:rsid w:val="006755CF"/>
    <w:rsid w:val="00681788"/>
    <w:rsid w:val="00685419"/>
    <w:rsid w:val="00685801"/>
    <w:rsid w:val="00686165"/>
    <w:rsid w:val="00691CB5"/>
    <w:rsid w:val="006A3657"/>
    <w:rsid w:val="006A6D24"/>
    <w:rsid w:val="006A6EE1"/>
    <w:rsid w:val="006B5E7C"/>
    <w:rsid w:val="006B76EB"/>
    <w:rsid w:val="006C0C36"/>
    <w:rsid w:val="006C0E56"/>
    <w:rsid w:val="006C3AFC"/>
    <w:rsid w:val="006C5596"/>
    <w:rsid w:val="006C5C10"/>
    <w:rsid w:val="006C6421"/>
    <w:rsid w:val="006C645D"/>
    <w:rsid w:val="006D1FA7"/>
    <w:rsid w:val="006D42C7"/>
    <w:rsid w:val="006E0346"/>
    <w:rsid w:val="006E176C"/>
    <w:rsid w:val="006E3CC3"/>
    <w:rsid w:val="006E4EAA"/>
    <w:rsid w:val="006E6B9B"/>
    <w:rsid w:val="006E7F6C"/>
    <w:rsid w:val="006F656C"/>
    <w:rsid w:val="00707014"/>
    <w:rsid w:val="00717EF1"/>
    <w:rsid w:val="00726ACE"/>
    <w:rsid w:val="00732BCE"/>
    <w:rsid w:val="00737BA3"/>
    <w:rsid w:val="007452DE"/>
    <w:rsid w:val="00745A87"/>
    <w:rsid w:val="00747019"/>
    <w:rsid w:val="00757816"/>
    <w:rsid w:val="00757C41"/>
    <w:rsid w:val="00760E7B"/>
    <w:rsid w:val="007625A9"/>
    <w:rsid w:val="00767674"/>
    <w:rsid w:val="007739DC"/>
    <w:rsid w:val="00773A25"/>
    <w:rsid w:val="0077627F"/>
    <w:rsid w:val="0078509F"/>
    <w:rsid w:val="0079437D"/>
    <w:rsid w:val="00794499"/>
    <w:rsid w:val="007A3398"/>
    <w:rsid w:val="007B4D75"/>
    <w:rsid w:val="007C144A"/>
    <w:rsid w:val="007C28C0"/>
    <w:rsid w:val="007D5AA6"/>
    <w:rsid w:val="007E2AB9"/>
    <w:rsid w:val="007E3F47"/>
    <w:rsid w:val="007E6456"/>
    <w:rsid w:val="007E7DF6"/>
    <w:rsid w:val="00811510"/>
    <w:rsid w:val="00812FB4"/>
    <w:rsid w:val="00816790"/>
    <w:rsid w:val="00817872"/>
    <w:rsid w:val="00821B8D"/>
    <w:rsid w:val="00823767"/>
    <w:rsid w:val="008266D3"/>
    <w:rsid w:val="00831F13"/>
    <w:rsid w:val="00834243"/>
    <w:rsid w:val="008361B4"/>
    <w:rsid w:val="008429D3"/>
    <w:rsid w:val="00854203"/>
    <w:rsid w:val="00855618"/>
    <w:rsid w:val="00857969"/>
    <w:rsid w:val="00866EDC"/>
    <w:rsid w:val="00871C5A"/>
    <w:rsid w:val="00874767"/>
    <w:rsid w:val="008760F8"/>
    <w:rsid w:val="00882678"/>
    <w:rsid w:val="008914B3"/>
    <w:rsid w:val="008923B9"/>
    <w:rsid w:val="00893D58"/>
    <w:rsid w:val="0089699D"/>
    <w:rsid w:val="008A1187"/>
    <w:rsid w:val="008B011E"/>
    <w:rsid w:val="008B1499"/>
    <w:rsid w:val="008B1953"/>
    <w:rsid w:val="008B410C"/>
    <w:rsid w:val="008B41E6"/>
    <w:rsid w:val="008D1705"/>
    <w:rsid w:val="008D2FA4"/>
    <w:rsid w:val="008D339F"/>
    <w:rsid w:val="008D535A"/>
    <w:rsid w:val="008D5CFA"/>
    <w:rsid w:val="008D7F38"/>
    <w:rsid w:val="008E6292"/>
    <w:rsid w:val="008F5F6F"/>
    <w:rsid w:val="008F5F84"/>
    <w:rsid w:val="008F6DAA"/>
    <w:rsid w:val="00900985"/>
    <w:rsid w:val="00904CC1"/>
    <w:rsid w:val="00906E04"/>
    <w:rsid w:val="00920ABF"/>
    <w:rsid w:val="00921427"/>
    <w:rsid w:val="00922ADC"/>
    <w:rsid w:val="00925AA5"/>
    <w:rsid w:val="00932402"/>
    <w:rsid w:val="00933450"/>
    <w:rsid w:val="0094019D"/>
    <w:rsid w:val="009403CE"/>
    <w:rsid w:val="00942C11"/>
    <w:rsid w:val="009502C6"/>
    <w:rsid w:val="00960732"/>
    <w:rsid w:val="009732EC"/>
    <w:rsid w:val="00975AC7"/>
    <w:rsid w:val="009820BF"/>
    <w:rsid w:val="009821CE"/>
    <w:rsid w:val="009852CF"/>
    <w:rsid w:val="00986ADE"/>
    <w:rsid w:val="0099074A"/>
    <w:rsid w:val="009953E8"/>
    <w:rsid w:val="009A1F0F"/>
    <w:rsid w:val="009A658F"/>
    <w:rsid w:val="009A668A"/>
    <w:rsid w:val="009A7897"/>
    <w:rsid w:val="009D23A1"/>
    <w:rsid w:val="009E7116"/>
    <w:rsid w:val="009F381B"/>
    <w:rsid w:val="009F6266"/>
    <w:rsid w:val="00A03734"/>
    <w:rsid w:val="00A03C24"/>
    <w:rsid w:val="00A06FA5"/>
    <w:rsid w:val="00A14633"/>
    <w:rsid w:val="00A14665"/>
    <w:rsid w:val="00A16E03"/>
    <w:rsid w:val="00A2098C"/>
    <w:rsid w:val="00A248E9"/>
    <w:rsid w:val="00A25619"/>
    <w:rsid w:val="00A260CD"/>
    <w:rsid w:val="00A3749B"/>
    <w:rsid w:val="00A4009A"/>
    <w:rsid w:val="00A405F9"/>
    <w:rsid w:val="00A62E42"/>
    <w:rsid w:val="00A64A71"/>
    <w:rsid w:val="00A76CE0"/>
    <w:rsid w:val="00A864D4"/>
    <w:rsid w:val="00AA35A5"/>
    <w:rsid w:val="00AA74D5"/>
    <w:rsid w:val="00AB64ED"/>
    <w:rsid w:val="00AC5ACF"/>
    <w:rsid w:val="00AC69A6"/>
    <w:rsid w:val="00AC7A7D"/>
    <w:rsid w:val="00AD26FE"/>
    <w:rsid w:val="00AE191C"/>
    <w:rsid w:val="00AE2F90"/>
    <w:rsid w:val="00AE53A8"/>
    <w:rsid w:val="00AF294F"/>
    <w:rsid w:val="00B00875"/>
    <w:rsid w:val="00B11177"/>
    <w:rsid w:val="00B150BA"/>
    <w:rsid w:val="00B22752"/>
    <w:rsid w:val="00B25D76"/>
    <w:rsid w:val="00B3149D"/>
    <w:rsid w:val="00B519D5"/>
    <w:rsid w:val="00B5451D"/>
    <w:rsid w:val="00B6164C"/>
    <w:rsid w:val="00B73917"/>
    <w:rsid w:val="00B73A53"/>
    <w:rsid w:val="00B7514B"/>
    <w:rsid w:val="00B770FF"/>
    <w:rsid w:val="00B826F3"/>
    <w:rsid w:val="00B82EF9"/>
    <w:rsid w:val="00B85F47"/>
    <w:rsid w:val="00B87927"/>
    <w:rsid w:val="00B92619"/>
    <w:rsid w:val="00B92F0F"/>
    <w:rsid w:val="00B96ABB"/>
    <w:rsid w:val="00B975DD"/>
    <w:rsid w:val="00BC0181"/>
    <w:rsid w:val="00BC1F66"/>
    <w:rsid w:val="00BD0EF5"/>
    <w:rsid w:val="00BD5650"/>
    <w:rsid w:val="00BD6CD4"/>
    <w:rsid w:val="00BF2566"/>
    <w:rsid w:val="00C02D92"/>
    <w:rsid w:val="00C03FEF"/>
    <w:rsid w:val="00C061E0"/>
    <w:rsid w:val="00C0708D"/>
    <w:rsid w:val="00C10146"/>
    <w:rsid w:val="00C15388"/>
    <w:rsid w:val="00C30297"/>
    <w:rsid w:val="00C31024"/>
    <w:rsid w:val="00C3154A"/>
    <w:rsid w:val="00C40E33"/>
    <w:rsid w:val="00C417D9"/>
    <w:rsid w:val="00C50A14"/>
    <w:rsid w:val="00C54E4E"/>
    <w:rsid w:val="00C663AB"/>
    <w:rsid w:val="00C8243D"/>
    <w:rsid w:val="00C85314"/>
    <w:rsid w:val="00C903F8"/>
    <w:rsid w:val="00CA1265"/>
    <w:rsid w:val="00CA46D6"/>
    <w:rsid w:val="00CA4BC0"/>
    <w:rsid w:val="00CA511C"/>
    <w:rsid w:val="00CA5D09"/>
    <w:rsid w:val="00CB1718"/>
    <w:rsid w:val="00CB2D2F"/>
    <w:rsid w:val="00CC0BA9"/>
    <w:rsid w:val="00CC559D"/>
    <w:rsid w:val="00CD654B"/>
    <w:rsid w:val="00CD66D5"/>
    <w:rsid w:val="00CD6BD4"/>
    <w:rsid w:val="00CE223E"/>
    <w:rsid w:val="00CE5B0C"/>
    <w:rsid w:val="00CF3F59"/>
    <w:rsid w:val="00D0577A"/>
    <w:rsid w:val="00D107AA"/>
    <w:rsid w:val="00D145F5"/>
    <w:rsid w:val="00D32EB4"/>
    <w:rsid w:val="00D333E0"/>
    <w:rsid w:val="00D33F12"/>
    <w:rsid w:val="00D355F0"/>
    <w:rsid w:val="00D40612"/>
    <w:rsid w:val="00D40BD6"/>
    <w:rsid w:val="00D42398"/>
    <w:rsid w:val="00D45AF8"/>
    <w:rsid w:val="00D51C05"/>
    <w:rsid w:val="00D60A20"/>
    <w:rsid w:val="00D6603D"/>
    <w:rsid w:val="00D83BD9"/>
    <w:rsid w:val="00D9244A"/>
    <w:rsid w:val="00D95FB9"/>
    <w:rsid w:val="00D96942"/>
    <w:rsid w:val="00DA3630"/>
    <w:rsid w:val="00DA686B"/>
    <w:rsid w:val="00DB451E"/>
    <w:rsid w:val="00DB71E4"/>
    <w:rsid w:val="00DB7F09"/>
    <w:rsid w:val="00DC00E8"/>
    <w:rsid w:val="00DC17E5"/>
    <w:rsid w:val="00DD18E9"/>
    <w:rsid w:val="00DE094D"/>
    <w:rsid w:val="00DE7DF4"/>
    <w:rsid w:val="00DF204C"/>
    <w:rsid w:val="00DF4A41"/>
    <w:rsid w:val="00E10D39"/>
    <w:rsid w:val="00E1136B"/>
    <w:rsid w:val="00E11B06"/>
    <w:rsid w:val="00E1533C"/>
    <w:rsid w:val="00E22D51"/>
    <w:rsid w:val="00E2472C"/>
    <w:rsid w:val="00E30D2B"/>
    <w:rsid w:val="00E35FA1"/>
    <w:rsid w:val="00E47F58"/>
    <w:rsid w:val="00E50E7C"/>
    <w:rsid w:val="00E51545"/>
    <w:rsid w:val="00E522FB"/>
    <w:rsid w:val="00E55326"/>
    <w:rsid w:val="00E56AD3"/>
    <w:rsid w:val="00E67E83"/>
    <w:rsid w:val="00E703E4"/>
    <w:rsid w:val="00E711D7"/>
    <w:rsid w:val="00E71B1D"/>
    <w:rsid w:val="00E71F1B"/>
    <w:rsid w:val="00E73606"/>
    <w:rsid w:val="00E75CB3"/>
    <w:rsid w:val="00E83600"/>
    <w:rsid w:val="00E902B0"/>
    <w:rsid w:val="00E902E8"/>
    <w:rsid w:val="00E960F3"/>
    <w:rsid w:val="00E96553"/>
    <w:rsid w:val="00E96A5E"/>
    <w:rsid w:val="00EA3C4F"/>
    <w:rsid w:val="00EB030F"/>
    <w:rsid w:val="00EC6368"/>
    <w:rsid w:val="00EC6B16"/>
    <w:rsid w:val="00EC6F42"/>
    <w:rsid w:val="00EC7750"/>
    <w:rsid w:val="00ED3B4C"/>
    <w:rsid w:val="00ED6140"/>
    <w:rsid w:val="00EE677F"/>
    <w:rsid w:val="00EF25A0"/>
    <w:rsid w:val="00EF2FBF"/>
    <w:rsid w:val="00F0082D"/>
    <w:rsid w:val="00F00F7B"/>
    <w:rsid w:val="00F02B52"/>
    <w:rsid w:val="00F07C90"/>
    <w:rsid w:val="00F11F0C"/>
    <w:rsid w:val="00F20469"/>
    <w:rsid w:val="00F26425"/>
    <w:rsid w:val="00F309CD"/>
    <w:rsid w:val="00F32F3B"/>
    <w:rsid w:val="00F33849"/>
    <w:rsid w:val="00F35547"/>
    <w:rsid w:val="00F415C7"/>
    <w:rsid w:val="00F445B4"/>
    <w:rsid w:val="00F454AA"/>
    <w:rsid w:val="00F45584"/>
    <w:rsid w:val="00F523ED"/>
    <w:rsid w:val="00F6600D"/>
    <w:rsid w:val="00F663D2"/>
    <w:rsid w:val="00F66B9F"/>
    <w:rsid w:val="00F67E66"/>
    <w:rsid w:val="00F71A0E"/>
    <w:rsid w:val="00F92279"/>
    <w:rsid w:val="00F93C30"/>
    <w:rsid w:val="00FA0D97"/>
    <w:rsid w:val="00FA26F8"/>
    <w:rsid w:val="00FB5CAC"/>
    <w:rsid w:val="00FB64AA"/>
    <w:rsid w:val="00FB68DD"/>
    <w:rsid w:val="00FC0E88"/>
    <w:rsid w:val="00FC1D31"/>
    <w:rsid w:val="00FC6ADA"/>
    <w:rsid w:val="00FF4C0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46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C14"/>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8361B4"/>
    <w:pPr>
      <w:spacing w:before="240"/>
      <w:outlineLvl w:val="2"/>
    </w:pPr>
    <w:rPr>
      <w:bCs w:val="0"/>
      <w:color w:val="00818F" w:themeColor="accent5"/>
      <w:sz w:val="28"/>
      <w:szCs w:val="26"/>
    </w:rPr>
  </w:style>
  <w:style w:type="paragraph" w:styleId="Heading4">
    <w:name w:val="heading 4"/>
    <w:basedOn w:val="HeadingBase"/>
    <w:next w:val="Normal"/>
    <w:link w:val="Heading4Char"/>
    <w:autoRedefine/>
    <w:qFormat/>
    <w:rsid w:val="000F4159"/>
    <w:pPr>
      <w:spacing w:before="120"/>
      <w:outlineLvl w:val="3"/>
    </w:pPr>
    <w:rPr>
      <w:bCs w:val="0"/>
      <w:color w:val="3A6FAF" w:themeColor="accent2"/>
      <w:sz w:val="26"/>
      <w:szCs w:val="26"/>
    </w:rPr>
  </w:style>
  <w:style w:type="paragraph" w:styleId="Heading5">
    <w:name w:val="heading 5"/>
    <w:basedOn w:val="HeadingBase"/>
    <w:next w:val="Normal"/>
    <w:link w:val="Heading5Char"/>
    <w:autoRedefine/>
    <w:qFormat/>
    <w:rsid w:val="001C77BF"/>
    <w:pPr>
      <w:keepNext w:val="0"/>
      <w:spacing w:before="120"/>
      <w:jc w:val="both"/>
      <w:outlineLvl w:val="4"/>
    </w:pPr>
    <w:rPr>
      <w:b/>
      <w:bCs w:val="0"/>
      <w:iCs/>
      <w:szCs w:val="22"/>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8361B4"/>
    <w:rPr>
      <w:rFonts w:ascii="Calibri" w:eastAsia="Times New Roman" w:hAnsi="Calibri" w:cs="Arial"/>
      <w:color w:val="00818F" w:themeColor="accent5"/>
      <w:kern w:val="32"/>
      <w:sz w:val="28"/>
      <w:szCs w:val="26"/>
      <w:lang w:eastAsia="en-AU"/>
    </w:rPr>
  </w:style>
  <w:style w:type="character" w:customStyle="1" w:styleId="Heading4Char">
    <w:name w:val="Heading 4 Char"/>
    <w:basedOn w:val="DefaultParagraphFont"/>
    <w:link w:val="Heading4"/>
    <w:rsid w:val="000F4159"/>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1C77BF"/>
    <w:rPr>
      <w:rFonts w:ascii="Calibri" w:eastAsia="Times New Roman" w:hAnsi="Calibri" w:cs="Arial"/>
      <w:b/>
      <w:iCs/>
      <w:color w:val="002C47"/>
      <w:kern w:val="32"/>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3"/>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8361B4"/>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basedOn w:val="Normal"/>
    <w:link w:val="BulletChar"/>
    <w:rsid w:val="000E0B74"/>
    <w:pPr>
      <w:numPr>
        <w:numId w:val="1"/>
      </w:numPr>
      <w:spacing w:before="0"/>
      <w:ind w:left="284" w:hanging="284"/>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361B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361B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EF2FBF"/>
    <w:rPr>
      <w:color w:val="3A6FAF" w:themeColor="accent2"/>
      <w:u w:val="none"/>
    </w:rPr>
  </w:style>
  <w:style w:type="paragraph" w:customStyle="1" w:styleId="OutlineNumbered1">
    <w:name w:val="Outline Numbered 1"/>
    <w:basedOn w:val="Normal"/>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E35FA1"/>
    <w:pPr>
      <w:numPr>
        <w:numId w:val="13"/>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8361B4"/>
    <w:pPr>
      <w:keepNext/>
      <w:spacing w:before="0" w:after="20"/>
    </w:pPr>
    <w:rPr>
      <w:b/>
      <w:color w:val="00818F" w:themeColor="accent5"/>
    </w:rPr>
  </w:style>
  <w:style w:type="paragraph" w:customStyle="1" w:styleId="TableColumnHeadingCentred">
    <w:name w:val="Table Column Heading Centred"/>
    <w:basedOn w:val="TableTextLeft"/>
    <w:rsid w:val="008361B4"/>
    <w:pPr>
      <w:jc w:val="center"/>
    </w:pPr>
    <w:rPr>
      <w:b/>
      <w:color w:val="002C47" w:themeColor="accent1"/>
      <w:sz w:val="20"/>
    </w:rPr>
  </w:style>
  <w:style w:type="paragraph" w:customStyle="1" w:styleId="TableColumnHeadingLeft">
    <w:name w:val="Table Column Heading Left"/>
    <w:basedOn w:val="TableTextLeft"/>
    <w:rsid w:val="008361B4"/>
    <w:rPr>
      <w:b/>
      <w:color w:val="002C47" w:themeColor="accent1"/>
      <w:sz w:val="20"/>
    </w:rPr>
  </w:style>
  <w:style w:type="paragraph" w:customStyle="1" w:styleId="TableColumnHeadingRight">
    <w:name w:val="Table Column Heading Right"/>
    <w:basedOn w:val="TableTextLeft"/>
    <w:rsid w:val="008361B4"/>
    <w:pPr>
      <w:jc w:val="right"/>
    </w:pPr>
    <w:rPr>
      <w:b/>
      <w:color w:val="002C47"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361B4"/>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8361B4"/>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8361B4"/>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before="0"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character" w:customStyle="1" w:styleId="BulletChar">
    <w:name w:val="Bullet Char"/>
    <w:basedOn w:val="DefaultParagraphFont"/>
    <w:link w:val="Bullet"/>
    <w:rsid w:val="002D7023"/>
    <w:rPr>
      <w:rFonts w:ascii="Calibri" w:eastAsia="Times New Roman" w:hAnsi="Calibri" w:cs="Times New Roman"/>
      <w:szCs w:val="20"/>
      <w:lang w:eastAsia="en-AU"/>
    </w:rPr>
  </w:style>
  <w:style w:type="table" w:customStyle="1" w:styleId="TableGrid1">
    <w:name w:val="Table Grid1"/>
    <w:basedOn w:val="TableNormal"/>
    <w:next w:val="TableGrid"/>
    <w:rsid w:val="00E960F3"/>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table" w:customStyle="1" w:styleId="TableGrid11">
    <w:name w:val="Table Grid11"/>
    <w:basedOn w:val="TableNormal"/>
    <w:next w:val="TableGrid"/>
    <w:uiPriority w:val="39"/>
    <w:rsid w:val="00E96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E960F3"/>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character" w:styleId="CommentReference">
    <w:name w:val="annotation reference"/>
    <w:basedOn w:val="DefaultParagraphFont"/>
    <w:uiPriority w:val="99"/>
    <w:semiHidden/>
    <w:unhideWhenUsed/>
    <w:rsid w:val="00E960F3"/>
    <w:rPr>
      <w:sz w:val="16"/>
      <w:szCs w:val="16"/>
    </w:rPr>
  </w:style>
  <w:style w:type="paragraph" w:styleId="CommentText">
    <w:name w:val="annotation text"/>
    <w:basedOn w:val="Normal"/>
    <w:link w:val="CommentTextChar"/>
    <w:uiPriority w:val="99"/>
    <w:semiHidden/>
    <w:unhideWhenUsed/>
    <w:rsid w:val="00E960F3"/>
    <w:rPr>
      <w:sz w:val="20"/>
    </w:rPr>
  </w:style>
  <w:style w:type="character" w:customStyle="1" w:styleId="CommentTextChar">
    <w:name w:val="Comment Text Char"/>
    <w:basedOn w:val="DefaultParagraphFont"/>
    <w:link w:val="CommentText"/>
    <w:uiPriority w:val="99"/>
    <w:semiHidden/>
    <w:rsid w:val="00E960F3"/>
    <w:rPr>
      <w:rFonts w:ascii="Calibri" w:eastAsia="Times New Roman" w:hAnsi="Calibri" w:cs="Times New Roman"/>
      <w:sz w:val="20"/>
      <w:szCs w:val="20"/>
      <w:lang w:eastAsia="en-AU"/>
    </w:rPr>
  </w:style>
  <w:style w:type="table" w:styleId="TableGridLight">
    <w:name w:val="Grid Table Light"/>
    <w:basedOn w:val="TableNormal"/>
    <w:uiPriority w:val="40"/>
    <w:rsid w:val="00E960F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Subject">
    <w:name w:val="annotation subject"/>
    <w:basedOn w:val="CommentText"/>
    <w:next w:val="CommentText"/>
    <w:link w:val="CommentSubjectChar"/>
    <w:uiPriority w:val="99"/>
    <w:semiHidden/>
    <w:unhideWhenUsed/>
    <w:rsid w:val="00882678"/>
    <w:rPr>
      <w:b/>
      <w:bCs/>
    </w:rPr>
  </w:style>
  <w:style w:type="character" w:customStyle="1" w:styleId="CommentSubjectChar">
    <w:name w:val="Comment Subject Char"/>
    <w:basedOn w:val="CommentTextChar"/>
    <w:link w:val="CommentSubject"/>
    <w:uiPriority w:val="99"/>
    <w:semiHidden/>
    <w:rsid w:val="00882678"/>
    <w:rPr>
      <w:rFonts w:ascii="Calibri" w:eastAsia="Times New Roman" w:hAnsi="Calibri" w:cs="Times New Roman"/>
      <w:b/>
      <w:bCs/>
      <w:sz w:val="20"/>
      <w:szCs w:val="20"/>
      <w:lang w:eastAsia="en-AU"/>
    </w:rPr>
  </w:style>
  <w:style w:type="character" w:styleId="FollowedHyperlink">
    <w:name w:val="FollowedHyperlink"/>
    <w:basedOn w:val="DefaultParagraphFont"/>
    <w:uiPriority w:val="99"/>
    <w:semiHidden/>
    <w:unhideWhenUsed/>
    <w:rsid w:val="00A4009A"/>
    <w:rPr>
      <w:color w:val="E61E26" w:themeColor="followedHyperlink"/>
      <w:u w:val="single"/>
    </w:rPr>
  </w:style>
  <w:style w:type="character" w:styleId="UnresolvedMention">
    <w:name w:val="Unresolved Mention"/>
    <w:basedOn w:val="DefaultParagraphFont"/>
    <w:uiPriority w:val="99"/>
    <w:semiHidden/>
    <w:unhideWhenUsed/>
    <w:rsid w:val="0018703C"/>
    <w:rPr>
      <w:color w:val="605E5C"/>
      <w:shd w:val="clear" w:color="auto" w:fill="E1DFDD"/>
    </w:rPr>
  </w:style>
  <w:style w:type="paragraph" w:styleId="Revision">
    <w:name w:val="Revision"/>
    <w:hidden/>
    <w:uiPriority w:val="99"/>
    <w:semiHidden/>
    <w:rsid w:val="00DB71E4"/>
    <w:pPr>
      <w:spacing w:after="0" w:line="240" w:lineRule="auto"/>
    </w:pPr>
    <w:rPr>
      <w:rFonts w:ascii="Calibri" w:eastAsia="Times New Roman" w:hAnsi="Calibri" w:cs="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8141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mc.gov.au/government/commonwealth-coat-arms" TargetMode="External"/><Relationship Id="rId18" Type="http://schemas.openxmlformats.org/officeDocument/2006/relationships/header" Target="header4.xml"/><Relationship Id="rId26" Type="http://schemas.openxmlformats.org/officeDocument/2006/relationships/hyperlink" Target="https://www.gov.uk/government/collections/inquiry-reports-charity-commission"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cnc.gov.au/raise-concern/regulating-charities/action-taken-against-charities"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creativecommons.org/licenses/by/3.0/au/deed.en" TargetMode="External"/><Relationship Id="rId17" Type="http://schemas.openxmlformats.org/officeDocument/2006/relationships/footer" Target="footer1.xml"/><Relationship Id="rId25" Type="http://schemas.openxmlformats.org/officeDocument/2006/relationships/hyperlink" Target="https://register-of-charities.charitycommission.gov.uk/charity-search?p_p_id=uk_gov_ccew_onereg_charitydetails_web_portlet_CharityDetailsPortlet&amp;p_p_lifecycle=0&amp;p_p_state=maximized&amp;p_p_mode=view&amp;_uk_gov_ccew_onereg_charitydetails_web_portlet_CharityDetailsPortlet_LIFERAY_SHARED_backToSearch=https%3A%2F%2Fregister-of-charities.charitycommission.gov.uk%2Fcharity-search%3Fp_p_id%3Duk_gov_ccew_portlet_CharitySearchPortlet%26p_p_lifecycle%3D1%26p_p_state%3Dnormal%26p_p_mode%3Dview%26_uk_gov_ccew_portlet_CharitySearchPortlet_cur%3D1%26_uk_gov_ccew_portlet_CharitySearchPortlet_delta%3D20%26_uk_gov_ccew_portlet_CharitySearchPortlet_keywords%3D1064365%26_uk_gov_ccew_portlet_CharitySearchPortlet_orderByCol%3D%26_uk_gov_ccew_portlet_CharitySearchPortlet_orderByType%3Dasc%26p_auth%3Ds557nEuu%26_uk_gov_ccew_portlet_CharitySearchPortlet_priv_r_p_prevCol%3D%26_uk_gov_ccew_portlet_CharitySearchPortlet_priv_r_p_useSession%3Dtrue%26_uk_gov_ccew_portlet_CharitySearchPortlet_priv_r_p_mvcRenderCommandName%3D%252Fsearch-results&amp;_uk_gov_ccew_onereg_charitydetails_web_portlet_CharityDetailsPortlet_organisationNumber=3104452" TargetMode="External"/><Relationship Id="rId33" Type="http://schemas.openxmlformats.org/officeDocument/2006/relationships/footer" Target="footer2.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charitiesconsultation@treasury.gov.au" TargetMode="External"/><Relationship Id="rId29" Type="http://schemas.openxmlformats.org/officeDocument/2006/relationships/hyperlink" Target="https://www.gov.uk/guidance/check-if-a-new-charity-is-the-best-option?step-by-step-nav=3dd66b86-ce29-4f31-bfa2-a5a18b877f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hyperlink" Target="https://www.gov.uk/government/organisations/charity-commission" TargetMode="External"/><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charities.govt.nz/charities-in-new-zealand/legal-decisions/view-the-decisions/view/football-otago-youth-development-academy-trust" TargetMode="External"/><Relationship Id="rId28" Type="http://schemas.openxmlformats.org/officeDocument/2006/relationships/hyperlink" Target="https://www.gov.uk/government/organisations/charity-commission" TargetMode="External"/><Relationship Id="rId36" Type="http://schemas.openxmlformats.org/officeDocument/2006/relationships/footer" Target="footer4.xml"/><Relationship Id="rId10" Type="http://schemas.openxmlformats.org/officeDocument/2006/relationships/hyperlink" Target="http://creativecommons.org/licenses/by/3.0/au/legalcode" TargetMode="External"/><Relationship Id="rId19" Type="http://schemas.openxmlformats.org/officeDocument/2006/relationships/hyperlink" Target="mailto:charitiesconsultation@treasury.gov.au"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creativecommons.org/licenses/by/3.0/au/deed.en" TargetMode="External"/><Relationship Id="rId14" Type="http://schemas.openxmlformats.org/officeDocument/2006/relationships/hyperlink" Target="mailto:media@treasury.gov.au" TargetMode="External"/><Relationship Id="rId22" Type="http://schemas.openxmlformats.org/officeDocument/2006/relationships/hyperlink" Target="https://www.charities.govt.nz/assets/Uploads/Football-Otago-Youth-Development-Academy-Trust.pdf" TargetMode="External"/><Relationship Id="rId27" Type="http://schemas.openxmlformats.org/officeDocument/2006/relationships/hyperlink" Target="https://www.gov.uk/government/news/regulator-opens-statutory-inquiry-into-birmingham-based-education-charity-after-continued-non-compliance-with-governance-requirements" TargetMode="External"/><Relationship Id="rId30" Type="http://schemas.openxmlformats.org/officeDocument/2006/relationships/hyperlink" Target="https://www.gov.uk/government/news/royal-charities-did-not-act-outside-charity-law" TargetMode="External"/><Relationship Id="rId35" Type="http://schemas.openxmlformats.org/officeDocument/2006/relationships/header" Target="header7.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charity-commission-strategy-2018-2023" TargetMode="External"/><Relationship Id="rId13" Type="http://schemas.openxmlformats.org/officeDocument/2006/relationships/hyperlink" Target="https://www.canada.ca/en/revenue-agency/services/charities-giving/charities/compliance-audits/audit-process-charities.html" TargetMode="External"/><Relationship Id="rId3" Type="http://schemas.openxmlformats.org/officeDocument/2006/relationships/hyperlink" Target="https://treasury.gov.au/publication/p2020-61958" TargetMode="External"/><Relationship Id="rId7" Type="http://schemas.openxmlformats.org/officeDocument/2006/relationships/hyperlink" Target="https://www.ato.gov.au/Media-centre/" TargetMode="External"/><Relationship Id="rId12" Type="http://schemas.openxmlformats.org/officeDocument/2006/relationships/hyperlink" Target="https://www.charities.govt.nz/charities-in-new-zealand/legal-decisions/about-legal-decisions-made-under-the-charities-act-2005/" TargetMode="External"/><Relationship Id="rId2" Type="http://schemas.openxmlformats.org/officeDocument/2006/relationships/hyperlink" Target="https://treasury.gov.au/publication/p2018-t318031" TargetMode="External"/><Relationship Id="rId1" Type="http://schemas.openxmlformats.org/officeDocument/2006/relationships/hyperlink" Target="https://treasury.gov.au/publication/p2018-t318031" TargetMode="External"/><Relationship Id="rId6" Type="http://schemas.openxmlformats.org/officeDocument/2006/relationships/hyperlink" Target="https://www.ato.gov.au/About-ATO/Contact-us/Media-enquiries/Media-expectations/" TargetMode="External"/><Relationship Id="rId11" Type="http://schemas.openxmlformats.org/officeDocument/2006/relationships/hyperlink" Target="https://www.charities.govt.nz/charities-in-new-zealand/legal-decisions/view-the-decisions/" TargetMode="External"/><Relationship Id="rId5" Type="http://schemas.openxmlformats.org/officeDocument/2006/relationships/hyperlink" Target="https://www.accc.gov.au/media/media-code-of-conduct" TargetMode="External"/><Relationship Id="rId10" Type="http://schemas.openxmlformats.org/officeDocument/2006/relationships/hyperlink" Target="https://www.gov.uk/government/collections/charity-commission-reports-decisions-alerts-and-statements" TargetMode="External"/><Relationship Id="rId4" Type="http://schemas.openxmlformats.org/officeDocument/2006/relationships/hyperlink" Target="https://asic.gov.au/about-asic/asic-investigations-and-enforcement/public-comment-on-asic-s-regulatory-activities/" TargetMode="External"/><Relationship Id="rId9" Type="http://schemas.openxmlformats.org/officeDocument/2006/relationships/hyperlink" Target="https://www.gov.uk/government/collections/charity-commission-registration-decis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A8CD9EF7C7241189D0D102530495FC1"/>
        <w:category>
          <w:name w:val="General"/>
          <w:gallery w:val="placeholder"/>
        </w:category>
        <w:types>
          <w:type w:val="bbPlcHdr"/>
        </w:types>
        <w:behaviors>
          <w:behavior w:val="content"/>
        </w:behaviors>
        <w:guid w:val="{F9AFF781-7D42-4918-B2F9-0036D466138C}"/>
      </w:docPartPr>
      <w:docPartBody>
        <w:p w:rsidR="004A03BF" w:rsidRDefault="004A03BF" w:rsidP="004A03BF">
          <w:pPr>
            <w:pStyle w:val="1A8CD9EF7C7241189D0D102530495FC1"/>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IDFont+F1">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3BF"/>
    <w:rsid w:val="000F76AB"/>
    <w:rsid w:val="00252371"/>
    <w:rsid w:val="002A5472"/>
    <w:rsid w:val="004A03BF"/>
    <w:rsid w:val="004C482B"/>
    <w:rsid w:val="007526E6"/>
    <w:rsid w:val="007C3D79"/>
    <w:rsid w:val="008753E1"/>
    <w:rsid w:val="009A167B"/>
    <w:rsid w:val="009B3EAA"/>
    <w:rsid w:val="009E0B71"/>
    <w:rsid w:val="00D26D6F"/>
    <w:rsid w:val="00D31F2B"/>
    <w:rsid w:val="00D531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03BF"/>
    <w:rPr>
      <w:color w:val="808080"/>
    </w:rPr>
  </w:style>
  <w:style w:type="paragraph" w:customStyle="1" w:styleId="1A8CD9EF7C7241189D0D102530495FC1">
    <w:name w:val="1A8CD9EF7C7241189D0D102530495FC1"/>
    <w:rsid w:val="004A03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BC14A-321F-4C8A-82B8-B4D997F73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7602</Words>
  <Characters>43334</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Reform of the Australian Charities and Not-for-profits Commission secrecy provisions</vt:lpstr>
    </vt:vector>
  </TitlesOfParts>
  <Company/>
  <LinksUpToDate>false</LinksUpToDate>
  <CharactersWithSpaces>50835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Reform of the Australian Charities and Not-for-profits Commission secrecy provisions</dc:title>
  <dc:subject/>
  <dc:creator/>
  <cp:keywords/>
  <dc:description/>
  <cp:lastModifiedBy/>
  <cp:revision>1</cp:revision>
  <dcterms:created xsi:type="dcterms:W3CDTF">2021-07-19T04:40:00Z</dcterms:created>
  <dcterms:modified xsi:type="dcterms:W3CDTF">2021-07-19T04:42:00Z</dcterms:modified>
  <cp:category/>
</cp:coreProperties>
</file>