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4F3" w:rsidRPr="00435B7B" w:rsidRDefault="00BF10F4" w:rsidP="0096483F">
      <w:pPr>
        <w:ind w:left="-1440"/>
      </w:pPr>
      <w:bookmarkStart w:id="0" w:name="_GoBack"/>
      <w:bookmarkEnd w:id="0"/>
      <w:r>
        <w:rPr>
          <w:noProof/>
          <w:lang w:eastAsia="en-AU"/>
        </w:rPr>
        <w:drawing>
          <wp:anchor distT="0" distB="0" distL="114300" distR="114300" simplePos="0" relativeHeight="251658240" behindDoc="1" locked="0" layoutInCell="1" allowOverlap="1" wp14:anchorId="027E499D" wp14:editId="027E499E">
            <wp:simplePos x="0" y="0"/>
            <wp:positionH relativeFrom="column">
              <wp:posOffset>-914400</wp:posOffset>
            </wp:positionH>
            <wp:positionV relativeFrom="paragraph">
              <wp:posOffset>-814387</wp:posOffset>
            </wp:positionV>
            <wp:extent cx="7581600" cy="10720800"/>
            <wp:effectExtent l="0" t="0" r="635" b="444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0800"/>
                    </a:xfrm>
                    <a:prstGeom prst="rect">
                      <a:avLst/>
                    </a:prstGeom>
                  </pic:spPr>
                </pic:pic>
              </a:graphicData>
            </a:graphic>
            <wp14:sizeRelH relativeFrom="margin">
              <wp14:pctWidth>0</wp14:pctWidth>
            </wp14:sizeRelH>
            <wp14:sizeRelV relativeFrom="margin">
              <wp14:pctHeight>0</wp14:pctHeight>
            </wp14:sizeRelV>
          </wp:anchor>
        </w:drawing>
      </w:r>
    </w:p>
    <w:p w:rsidR="00BF10F4" w:rsidRDefault="00BF10F4" w:rsidP="00BF10F4">
      <w:pPr>
        <w:spacing w:after="1560"/>
      </w:pPr>
      <w:r>
        <w:rPr>
          <w:noProof/>
          <w:lang w:eastAsia="en-AU"/>
        </w:rPr>
        <w:drawing>
          <wp:inline distT="0" distB="0" distL="0" distR="0" wp14:anchorId="027E499F" wp14:editId="4F50C006">
            <wp:extent cx="3616938" cy="647700"/>
            <wp:effectExtent l="0" t="0" r="3175" b="0"/>
            <wp:docPr id="3" name="Picture 3" descr="Australian Government Department of Jobs and Smal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mployment_Inline_Rev.png"/>
                    <pic:cNvPicPr/>
                  </pic:nvPicPr>
                  <pic:blipFill>
                    <a:blip r:embed="rId9">
                      <a:extLst>
                        <a:ext uri="{28A0092B-C50C-407E-A947-70E740481C1C}">
                          <a14:useLocalDpi xmlns:a14="http://schemas.microsoft.com/office/drawing/2010/main" val="0"/>
                        </a:ext>
                      </a:extLst>
                    </a:blip>
                    <a:stretch>
                      <a:fillRect/>
                    </a:stretch>
                  </pic:blipFill>
                  <pic:spPr>
                    <a:xfrm>
                      <a:off x="0" y="0"/>
                      <a:ext cx="3622752" cy="648741"/>
                    </a:xfrm>
                    <a:prstGeom prst="rect">
                      <a:avLst/>
                    </a:prstGeom>
                  </pic:spPr>
                </pic:pic>
              </a:graphicData>
            </a:graphic>
          </wp:inline>
        </w:drawing>
      </w:r>
    </w:p>
    <w:p w:rsidR="00BA282D" w:rsidRPr="00332490" w:rsidRDefault="00332490" w:rsidP="00BF10F4">
      <w:pPr>
        <w:pStyle w:val="Title"/>
        <w:ind w:left="1624"/>
        <w:rPr>
          <w:sz w:val="56"/>
        </w:rPr>
      </w:pPr>
      <w:r w:rsidRPr="00332490">
        <w:rPr>
          <w:sz w:val="56"/>
        </w:rPr>
        <w:t>Government Pay On-Time Survey Performance Report 2017-18</w:t>
      </w:r>
    </w:p>
    <w:p w:rsidR="00130923" w:rsidRPr="00F43AE3" w:rsidRDefault="00332490" w:rsidP="00332490">
      <w:pPr>
        <w:pStyle w:val="Subtitle"/>
        <w:spacing w:before="1320"/>
        <w:ind w:left="1624"/>
      </w:pPr>
      <w:r w:rsidRPr="00332490">
        <w:rPr>
          <w:sz w:val="44"/>
        </w:rPr>
        <w:t>1 July 2017 – 30 June 2018</w:t>
      </w:r>
      <w:r w:rsidR="00130923" w:rsidRPr="00BF10F4">
        <w:rPr>
          <w:color w:val="1E3D6B"/>
          <w:sz w:val="36"/>
          <w:szCs w:val="36"/>
        </w:rPr>
        <w:br w:type="page"/>
      </w:r>
    </w:p>
    <w:p w:rsidR="00130923" w:rsidRDefault="00130923" w:rsidP="00130923">
      <w:pPr>
        <w:pStyle w:val="BodyText"/>
        <w:sectPr w:rsidR="00130923" w:rsidSect="00BF10F4">
          <w:headerReference w:type="even" r:id="rId10"/>
          <w:headerReference w:type="default" r:id="rId11"/>
          <w:footerReference w:type="even" r:id="rId12"/>
          <w:footerReference w:type="default" r:id="rId13"/>
          <w:headerReference w:type="first" r:id="rId14"/>
          <w:footerReference w:type="first" r:id="rId15"/>
          <w:pgSz w:w="11906" w:h="16838"/>
          <w:pgMar w:top="1276" w:right="1274" w:bottom="1134" w:left="1440" w:header="708" w:footer="708" w:gutter="0"/>
          <w:cols w:space="708"/>
          <w:docGrid w:linePitch="360"/>
        </w:sectPr>
      </w:pPr>
    </w:p>
    <w:p w:rsidR="00130923" w:rsidRDefault="00130923" w:rsidP="007D58FB">
      <w:r w:rsidRPr="008E4DA0">
        <w:lastRenderedPageBreak/>
        <w:t>ISBN</w:t>
      </w:r>
    </w:p>
    <w:p w:rsidR="00332490" w:rsidRPr="007D58FB" w:rsidRDefault="00332490" w:rsidP="00332490">
      <w:pPr>
        <w:rPr>
          <w:szCs w:val="20"/>
        </w:rPr>
      </w:pPr>
      <w:r>
        <w:rPr>
          <w:szCs w:val="20"/>
        </w:rPr>
        <w:t>978-1-76051-636-9</w:t>
      </w:r>
      <w:r w:rsidRPr="008E4DA0">
        <w:rPr>
          <w:szCs w:val="20"/>
        </w:rPr>
        <w:t xml:space="preserve"> [PDF]</w:t>
      </w:r>
      <w:r w:rsidRPr="008E4DA0">
        <w:rPr>
          <w:szCs w:val="20"/>
        </w:rPr>
        <w:br/>
      </w:r>
      <w:r>
        <w:rPr>
          <w:szCs w:val="20"/>
        </w:rPr>
        <w:t>978-1-76051-637-6</w:t>
      </w:r>
      <w:r w:rsidRPr="008E4DA0">
        <w:rPr>
          <w:szCs w:val="20"/>
        </w:rPr>
        <w:t xml:space="preserve"> [DOCX]</w:t>
      </w:r>
    </w:p>
    <w:p w:rsidR="00130923" w:rsidRDefault="00130923" w:rsidP="003D2979">
      <w:pPr>
        <w:pStyle w:val="numberedpara"/>
        <w:numPr>
          <w:ilvl w:val="0"/>
          <w:numId w:val="0"/>
        </w:numPr>
        <w:tabs>
          <w:tab w:val="left" w:pos="720"/>
        </w:tabs>
        <w:spacing w:after="120"/>
        <w:rPr>
          <w:sz w:val="20"/>
          <w:szCs w:val="20"/>
        </w:rPr>
      </w:pPr>
      <w:r>
        <w:rPr>
          <w:noProof/>
          <w:sz w:val="20"/>
          <w:szCs w:val="20"/>
        </w:rPr>
        <w:drawing>
          <wp:inline distT="0" distB="0" distL="0" distR="0" wp14:anchorId="027E49A1" wp14:editId="027E49A2">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6" r:link="rId17"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130923" w:rsidRPr="000462F1" w:rsidRDefault="00130923" w:rsidP="007D58FB">
      <w:r w:rsidRPr="000462F1">
        <w:t xml:space="preserve">With the exception of the Commonwealth Coat of Arms, the Department’s logo, any material protected by a trade mark and where otherwise noted all material presented in this document is provided under a </w:t>
      </w:r>
      <w:hyperlink r:id="rId18" w:history="1">
        <w:r w:rsidRPr="00EC78E7">
          <w:rPr>
            <w:rStyle w:val="Hyperlink"/>
          </w:rPr>
          <w:t>Creative Co</w:t>
        </w:r>
        <w:r w:rsidR="007D58FB" w:rsidRPr="00EC78E7">
          <w:rPr>
            <w:rStyle w:val="Hyperlink"/>
          </w:rPr>
          <w:t>mmons Attribution 3.0 Australia</w:t>
        </w:r>
      </w:hyperlink>
      <w:r w:rsidR="007D58FB">
        <w:t xml:space="preserve"> </w:t>
      </w:r>
      <w:r w:rsidRPr="000462F1">
        <w:t>(</w:t>
      </w:r>
      <w:r w:rsidRPr="00EC78E7">
        <w:t>http://creativecommons.org/licenses/by/3.0/au/</w:t>
      </w:r>
      <w:r w:rsidRPr="000462F1">
        <w:t xml:space="preserve">) licence. </w:t>
      </w:r>
    </w:p>
    <w:p w:rsidR="00130923" w:rsidRPr="000462F1" w:rsidRDefault="00130923" w:rsidP="007D58FB">
      <w:r w:rsidRPr="000462F1">
        <w:t xml:space="preserve">The details of the relevant licence conditions are available on the Creative Commons website (accessible using the links provided) as is the full legal code for the </w:t>
      </w:r>
      <w:hyperlink r:id="rId19" w:history="1">
        <w:r w:rsidRPr="00EC78E7">
          <w:rPr>
            <w:rStyle w:val="Hyperlink"/>
          </w:rPr>
          <w:t>CC BY 3.0 AU licence</w:t>
        </w:r>
      </w:hyperlink>
      <w:r w:rsidRPr="000462F1">
        <w:t xml:space="preserve"> (</w:t>
      </w:r>
      <w:r w:rsidRPr="00EC78E7">
        <w:t>http://creativecommons.org/licenses/by/3.0/au/legalcode</w:t>
      </w:r>
      <w:r w:rsidRPr="000462F1">
        <w:t xml:space="preserve">). </w:t>
      </w:r>
    </w:p>
    <w:p w:rsidR="00130923" w:rsidRDefault="00130923" w:rsidP="007D58FB">
      <w:r w:rsidRPr="000462F1">
        <w:t>The document must be attributed as the</w:t>
      </w:r>
      <w:r>
        <w:t xml:space="preserve"> </w:t>
      </w:r>
      <w:r w:rsidR="00332490" w:rsidRPr="00332490">
        <w:t>Government Pay On-Time Survey Performance Report 2017-18.</w:t>
      </w:r>
    </w:p>
    <w:p w:rsidR="00130923" w:rsidRDefault="00130923" w:rsidP="00130923">
      <w:pPr>
        <w:pStyle w:val="numberedpara"/>
        <w:numPr>
          <w:ilvl w:val="0"/>
          <w:numId w:val="0"/>
        </w:numPr>
        <w:tabs>
          <w:tab w:val="left" w:pos="720"/>
        </w:tabs>
        <w:spacing w:before="120" w:after="120"/>
        <w:rPr>
          <w:sz w:val="20"/>
          <w:szCs w:val="20"/>
        </w:rPr>
        <w:sectPr w:rsidR="00130923" w:rsidSect="005E1673">
          <w:type w:val="continuous"/>
          <w:pgSz w:w="11906" w:h="16838"/>
          <w:pgMar w:top="10348" w:right="1440" w:bottom="1440" w:left="1440" w:header="708" w:footer="708" w:gutter="0"/>
          <w:cols w:space="708"/>
          <w:docGrid w:linePitch="360"/>
        </w:sectPr>
      </w:pPr>
    </w:p>
    <w:sdt>
      <w:sdtPr>
        <w:rPr>
          <w:rFonts w:asciiTheme="minorHAnsi" w:eastAsiaTheme="minorEastAsia" w:hAnsiTheme="minorHAnsi" w:cstheme="minorBidi"/>
          <w:b w:val="0"/>
          <w:bCs w:val="0"/>
          <w:color w:val="auto"/>
          <w:sz w:val="22"/>
          <w:szCs w:val="22"/>
          <w:lang w:bidi="ar-SA"/>
        </w:rPr>
        <w:id w:val="-139263470"/>
        <w:docPartObj>
          <w:docPartGallery w:val="Table of Contents"/>
          <w:docPartUnique/>
        </w:docPartObj>
      </w:sdtPr>
      <w:sdtEndPr>
        <w:rPr>
          <w:noProof/>
        </w:rPr>
      </w:sdtEndPr>
      <w:sdtContent>
        <w:p w:rsidR="00EF4A38" w:rsidRDefault="00EF4A38">
          <w:pPr>
            <w:pStyle w:val="TOCHeading"/>
          </w:pPr>
          <w:r>
            <w:t>Contents</w:t>
          </w:r>
        </w:p>
        <w:p w:rsidR="00332490" w:rsidRPr="00332490" w:rsidRDefault="00EF4A38" w:rsidP="00332490">
          <w:pPr>
            <w:pStyle w:val="TOC1"/>
            <w:tabs>
              <w:tab w:val="right" w:pos="9016"/>
            </w:tabs>
            <w:rPr>
              <w:noProof/>
              <w:lang w:eastAsia="en-AU"/>
            </w:rPr>
          </w:pPr>
          <w:r>
            <w:fldChar w:fldCharType="begin"/>
          </w:r>
          <w:r>
            <w:instrText xml:space="preserve"> TOC \o "1-3" \h \z \u </w:instrText>
          </w:r>
          <w:r>
            <w:fldChar w:fldCharType="separate"/>
          </w:r>
          <w:hyperlink w:anchor="_Toc1112795" w:history="1">
            <w:r w:rsidR="00332490" w:rsidRPr="00332490">
              <w:rPr>
                <w:rStyle w:val="Hyperlink"/>
                <w:noProof/>
              </w:rPr>
              <w:t>Overview</w:t>
            </w:r>
            <w:r w:rsidR="00332490" w:rsidRPr="00332490">
              <w:rPr>
                <w:noProof/>
                <w:webHidden/>
              </w:rPr>
              <w:tab/>
            </w:r>
            <w:r w:rsidR="00332490" w:rsidRPr="00332490">
              <w:rPr>
                <w:noProof/>
                <w:webHidden/>
              </w:rPr>
              <w:fldChar w:fldCharType="begin"/>
            </w:r>
            <w:r w:rsidR="00332490" w:rsidRPr="00332490">
              <w:rPr>
                <w:noProof/>
                <w:webHidden/>
              </w:rPr>
              <w:instrText xml:space="preserve"> PAGEREF _Toc1112795 \h </w:instrText>
            </w:r>
            <w:r w:rsidR="00332490" w:rsidRPr="00332490">
              <w:rPr>
                <w:noProof/>
                <w:webHidden/>
              </w:rPr>
            </w:r>
            <w:r w:rsidR="00332490" w:rsidRPr="00332490">
              <w:rPr>
                <w:noProof/>
                <w:webHidden/>
              </w:rPr>
              <w:fldChar w:fldCharType="separate"/>
            </w:r>
            <w:r w:rsidR="00332490" w:rsidRPr="00332490">
              <w:rPr>
                <w:noProof/>
                <w:webHidden/>
              </w:rPr>
              <w:t>4</w:t>
            </w:r>
            <w:r w:rsidR="00332490" w:rsidRPr="00332490">
              <w:rPr>
                <w:noProof/>
                <w:webHidden/>
              </w:rPr>
              <w:fldChar w:fldCharType="end"/>
            </w:r>
          </w:hyperlink>
        </w:p>
        <w:p w:rsidR="00332490" w:rsidRPr="00332490" w:rsidRDefault="00B33D43" w:rsidP="00332490">
          <w:pPr>
            <w:pStyle w:val="TOC1"/>
            <w:tabs>
              <w:tab w:val="right" w:pos="9016"/>
            </w:tabs>
            <w:rPr>
              <w:noProof/>
              <w:lang w:eastAsia="en-AU"/>
            </w:rPr>
          </w:pPr>
          <w:hyperlink w:anchor="_Toc1112796" w:history="1">
            <w:r w:rsidR="00332490" w:rsidRPr="00332490">
              <w:rPr>
                <w:rStyle w:val="Hyperlink"/>
                <w:rFonts w:ascii="Calibri" w:eastAsiaTheme="majorEastAsia" w:hAnsi="Calibri" w:cstheme="majorBidi"/>
                <w:bCs/>
                <w:noProof/>
              </w:rPr>
              <w:t>Survey of Australian Government agencies</w:t>
            </w:r>
            <w:r w:rsidR="00332490" w:rsidRPr="00332490">
              <w:rPr>
                <w:noProof/>
                <w:webHidden/>
              </w:rPr>
              <w:tab/>
            </w:r>
            <w:r w:rsidR="00332490" w:rsidRPr="00332490">
              <w:rPr>
                <w:noProof/>
                <w:webHidden/>
              </w:rPr>
              <w:fldChar w:fldCharType="begin"/>
            </w:r>
            <w:r w:rsidR="00332490" w:rsidRPr="00332490">
              <w:rPr>
                <w:noProof/>
                <w:webHidden/>
              </w:rPr>
              <w:instrText xml:space="preserve"> PAGEREF _Toc1112796 \h </w:instrText>
            </w:r>
            <w:r w:rsidR="00332490" w:rsidRPr="00332490">
              <w:rPr>
                <w:noProof/>
                <w:webHidden/>
              </w:rPr>
            </w:r>
            <w:r w:rsidR="00332490" w:rsidRPr="00332490">
              <w:rPr>
                <w:noProof/>
                <w:webHidden/>
              </w:rPr>
              <w:fldChar w:fldCharType="separate"/>
            </w:r>
            <w:r w:rsidR="00332490" w:rsidRPr="00332490">
              <w:rPr>
                <w:noProof/>
                <w:webHidden/>
              </w:rPr>
              <w:t>5</w:t>
            </w:r>
            <w:r w:rsidR="00332490" w:rsidRPr="00332490">
              <w:rPr>
                <w:noProof/>
                <w:webHidden/>
              </w:rPr>
              <w:fldChar w:fldCharType="end"/>
            </w:r>
          </w:hyperlink>
        </w:p>
        <w:p w:rsidR="00332490" w:rsidRPr="00332490" w:rsidRDefault="00B33D43" w:rsidP="00332490">
          <w:pPr>
            <w:pStyle w:val="TOC2"/>
            <w:tabs>
              <w:tab w:val="right" w:pos="9016"/>
            </w:tabs>
            <w:rPr>
              <w:noProof/>
              <w:lang w:eastAsia="en-AU"/>
            </w:rPr>
          </w:pPr>
          <w:hyperlink w:anchor="_Toc1112797" w:history="1">
            <w:r w:rsidR="00332490" w:rsidRPr="00332490">
              <w:rPr>
                <w:rStyle w:val="Hyperlink"/>
                <w:rFonts w:ascii="Calibri" w:eastAsiaTheme="majorEastAsia" w:hAnsi="Calibri" w:cstheme="majorBidi"/>
                <w:bCs/>
                <w:noProof/>
              </w:rPr>
              <w:t>Survey methodology</w:t>
            </w:r>
            <w:r w:rsidR="00332490" w:rsidRPr="00332490">
              <w:rPr>
                <w:noProof/>
                <w:webHidden/>
              </w:rPr>
              <w:tab/>
            </w:r>
            <w:r w:rsidR="00332490" w:rsidRPr="00332490">
              <w:rPr>
                <w:noProof/>
                <w:webHidden/>
              </w:rPr>
              <w:fldChar w:fldCharType="begin"/>
            </w:r>
            <w:r w:rsidR="00332490" w:rsidRPr="00332490">
              <w:rPr>
                <w:noProof/>
                <w:webHidden/>
              </w:rPr>
              <w:instrText xml:space="preserve"> PAGEREF _Toc1112797 \h </w:instrText>
            </w:r>
            <w:r w:rsidR="00332490" w:rsidRPr="00332490">
              <w:rPr>
                <w:noProof/>
                <w:webHidden/>
              </w:rPr>
            </w:r>
            <w:r w:rsidR="00332490" w:rsidRPr="00332490">
              <w:rPr>
                <w:noProof/>
                <w:webHidden/>
              </w:rPr>
              <w:fldChar w:fldCharType="separate"/>
            </w:r>
            <w:r w:rsidR="00332490" w:rsidRPr="00332490">
              <w:rPr>
                <w:noProof/>
                <w:webHidden/>
              </w:rPr>
              <w:t>5</w:t>
            </w:r>
            <w:r w:rsidR="00332490" w:rsidRPr="00332490">
              <w:rPr>
                <w:noProof/>
                <w:webHidden/>
              </w:rPr>
              <w:fldChar w:fldCharType="end"/>
            </w:r>
          </w:hyperlink>
        </w:p>
        <w:p w:rsidR="00332490" w:rsidRPr="00332490" w:rsidRDefault="00B33D43" w:rsidP="00332490">
          <w:pPr>
            <w:pStyle w:val="TOC1"/>
            <w:tabs>
              <w:tab w:val="right" w:pos="9016"/>
            </w:tabs>
            <w:rPr>
              <w:noProof/>
              <w:lang w:eastAsia="en-AU"/>
            </w:rPr>
          </w:pPr>
          <w:hyperlink w:anchor="_Toc1112798" w:history="1">
            <w:r w:rsidR="00332490" w:rsidRPr="00332490">
              <w:rPr>
                <w:rStyle w:val="Hyperlink"/>
                <w:rFonts w:ascii="Calibri" w:eastAsiaTheme="majorEastAsia" w:hAnsi="Calibri" w:cstheme="majorBidi"/>
                <w:bCs/>
                <w:noProof/>
              </w:rPr>
              <w:t>Results</w:t>
            </w:r>
            <w:r w:rsidR="00332490" w:rsidRPr="00332490">
              <w:rPr>
                <w:noProof/>
                <w:webHidden/>
              </w:rPr>
              <w:tab/>
            </w:r>
            <w:r w:rsidR="00332490" w:rsidRPr="00332490">
              <w:rPr>
                <w:noProof/>
                <w:webHidden/>
              </w:rPr>
              <w:fldChar w:fldCharType="begin"/>
            </w:r>
            <w:r w:rsidR="00332490" w:rsidRPr="00332490">
              <w:rPr>
                <w:noProof/>
                <w:webHidden/>
              </w:rPr>
              <w:instrText xml:space="preserve"> PAGEREF _Toc1112798 \h </w:instrText>
            </w:r>
            <w:r w:rsidR="00332490" w:rsidRPr="00332490">
              <w:rPr>
                <w:noProof/>
                <w:webHidden/>
              </w:rPr>
            </w:r>
            <w:r w:rsidR="00332490" w:rsidRPr="00332490">
              <w:rPr>
                <w:noProof/>
                <w:webHidden/>
              </w:rPr>
              <w:fldChar w:fldCharType="separate"/>
            </w:r>
            <w:r w:rsidR="00332490" w:rsidRPr="00332490">
              <w:rPr>
                <w:noProof/>
                <w:webHidden/>
              </w:rPr>
              <w:t>5</w:t>
            </w:r>
            <w:r w:rsidR="00332490" w:rsidRPr="00332490">
              <w:rPr>
                <w:noProof/>
                <w:webHidden/>
              </w:rPr>
              <w:fldChar w:fldCharType="end"/>
            </w:r>
          </w:hyperlink>
        </w:p>
        <w:p w:rsidR="00332490" w:rsidRPr="00332490" w:rsidRDefault="00B33D43" w:rsidP="00332490">
          <w:pPr>
            <w:pStyle w:val="TOC2"/>
            <w:tabs>
              <w:tab w:val="right" w:pos="9016"/>
            </w:tabs>
            <w:rPr>
              <w:noProof/>
              <w:lang w:eastAsia="en-AU"/>
            </w:rPr>
          </w:pPr>
          <w:hyperlink w:anchor="_Toc1112799" w:history="1">
            <w:r w:rsidR="00332490" w:rsidRPr="00332490">
              <w:rPr>
                <w:rStyle w:val="Hyperlink"/>
                <w:rFonts w:ascii="Calibri" w:eastAsiaTheme="majorEastAsia" w:hAnsi="Calibri" w:cstheme="majorBidi"/>
                <w:bCs/>
                <w:noProof/>
              </w:rPr>
              <w:t>Participants</w:t>
            </w:r>
            <w:r w:rsidR="00332490" w:rsidRPr="00332490">
              <w:rPr>
                <w:noProof/>
                <w:webHidden/>
              </w:rPr>
              <w:tab/>
            </w:r>
            <w:r w:rsidR="00332490" w:rsidRPr="00332490">
              <w:rPr>
                <w:noProof/>
                <w:webHidden/>
              </w:rPr>
              <w:fldChar w:fldCharType="begin"/>
            </w:r>
            <w:r w:rsidR="00332490" w:rsidRPr="00332490">
              <w:rPr>
                <w:noProof/>
                <w:webHidden/>
              </w:rPr>
              <w:instrText xml:space="preserve"> PAGEREF _Toc1112799 \h </w:instrText>
            </w:r>
            <w:r w:rsidR="00332490" w:rsidRPr="00332490">
              <w:rPr>
                <w:noProof/>
                <w:webHidden/>
              </w:rPr>
            </w:r>
            <w:r w:rsidR="00332490" w:rsidRPr="00332490">
              <w:rPr>
                <w:noProof/>
                <w:webHidden/>
              </w:rPr>
              <w:fldChar w:fldCharType="separate"/>
            </w:r>
            <w:r w:rsidR="00332490" w:rsidRPr="00332490">
              <w:rPr>
                <w:noProof/>
                <w:webHidden/>
              </w:rPr>
              <w:t>5</w:t>
            </w:r>
            <w:r w:rsidR="00332490" w:rsidRPr="00332490">
              <w:rPr>
                <w:noProof/>
                <w:webHidden/>
              </w:rPr>
              <w:fldChar w:fldCharType="end"/>
            </w:r>
          </w:hyperlink>
        </w:p>
        <w:p w:rsidR="00332490" w:rsidRPr="00332490" w:rsidRDefault="00B33D43" w:rsidP="00332490">
          <w:pPr>
            <w:pStyle w:val="TOC2"/>
            <w:tabs>
              <w:tab w:val="right" w:pos="9016"/>
            </w:tabs>
            <w:rPr>
              <w:noProof/>
              <w:lang w:eastAsia="en-AU"/>
            </w:rPr>
          </w:pPr>
          <w:hyperlink w:anchor="_Toc1112800" w:history="1">
            <w:r w:rsidR="00332490" w:rsidRPr="00332490">
              <w:rPr>
                <w:rStyle w:val="Hyperlink"/>
                <w:rFonts w:ascii="Calibri" w:eastAsiaTheme="majorEastAsia" w:hAnsi="Calibri" w:cstheme="majorBidi"/>
                <w:bCs/>
                <w:noProof/>
              </w:rPr>
              <w:t>Compliance with the Pay On-Time policy</w:t>
            </w:r>
            <w:r w:rsidR="00332490" w:rsidRPr="00332490">
              <w:rPr>
                <w:noProof/>
                <w:webHidden/>
              </w:rPr>
              <w:tab/>
            </w:r>
            <w:r w:rsidR="00332490" w:rsidRPr="00332490">
              <w:rPr>
                <w:noProof/>
                <w:webHidden/>
              </w:rPr>
              <w:fldChar w:fldCharType="begin"/>
            </w:r>
            <w:r w:rsidR="00332490" w:rsidRPr="00332490">
              <w:rPr>
                <w:noProof/>
                <w:webHidden/>
              </w:rPr>
              <w:instrText xml:space="preserve"> PAGEREF _Toc1112800 \h </w:instrText>
            </w:r>
            <w:r w:rsidR="00332490" w:rsidRPr="00332490">
              <w:rPr>
                <w:noProof/>
                <w:webHidden/>
              </w:rPr>
            </w:r>
            <w:r w:rsidR="00332490" w:rsidRPr="00332490">
              <w:rPr>
                <w:noProof/>
                <w:webHidden/>
              </w:rPr>
              <w:fldChar w:fldCharType="separate"/>
            </w:r>
            <w:r w:rsidR="00332490" w:rsidRPr="00332490">
              <w:rPr>
                <w:noProof/>
                <w:webHidden/>
              </w:rPr>
              <w:t>5</w:t>
            </w:r>
            <w:r w:rsidR="00332490" w:rsidRPr="00332490">
              <w:rPr>
                <w:noProof/>
                <w:webHidden/>
              </w:rPr>
              <w:fldChar w:fldCharType="end"/>
            </w:r>
          </w:hyperlink>
        </w:p>
        <w:p w:rsidR="00332490" w:rsidRPr="00332490" w:rsidRDefault="00B33D43" w:rsidP="00332490">
          <w:pPr>
            <w:pStyle w:val="TOC2"/>
            <w:tabs>
              <w:tab w:val="right" w:pos="9016"/>
            </w:tabs>
            <w:rPr>
              <w:noProof/>
              <w:lang w:eastAsia="en-AU"/>
            </w:rPr>
          </w:pPr>
          <w:hyperlink w:anchor="_Toc1112801" w:history="1">
            <w:r w:rsidR="00332490" w:rsidRPr="00332490">
              <w:rPr>
                <w:rStyle w:val="Hyperlink"/>
                <w:rFonts w:ascii="Calibri" w:eastAsiaTheme="majorEastAsia" w:hAnsi="Calibri" w:cstheme="majorBidi"/>
                <w:bCs/>
                <w:noProof/>
              </w:rPr>
              <w:t>Results for payment within 20 days</w:t>
            </w:r>
            <w:r w:rsidR="00332490" w:rsidRPr="00332490">
              <w:rPr>
                <w:noProof/>
                <w:webHidden/>
              </w:rPr>
              <w:tab/>
            </w:r>
            <w:r w:rsidR="00332490" w:rsidRPr="00332490">
              <w:rPr>
                <w:noProof/>
                <w:webHidden/>
              </w:rPr>
              <w:fldChar w:fldCharType="begin"/>
            </w:r>
            <w:r w:rsidR="00332490" w:rsidRPr="00332490">
              <w:rPr>
                <w:noProof/>
                <w:webHidden/>
              </w:rPr>
              <w:instrText xml:space="preserve"> PAGEREF _Toc1112801 \h </w:instrText>
            </w:r>
            <w:r w:rsidR="00332490" w:rsidRPr="00332490">
              <w:rPr>
                <w:noProof/>
                <w:webHidden/>
              </w:rPr>
            </w:r>
            <w:r w:rsidR="00332490" w:rsidRPr="00332490">
              <w:rPr>
                <w:noProof/>
                <w:webHidden/>
              </w:rPr>
              <w:fldChar w:fldCharType="separate"/>
            </w:r>
            <w:r w:rsidR="00332490" w:rsidRPr="00332490">
              <w:rPr>
                <w:noProof/>
                <w:webHidden/>
              </w:rPr>
              <w:t>6</w:t>
            </w:r>
            <w:r w:rsidR="00332490" w:rsidRPr="00332490">
              <w:rPr>
                <w:noProof/>
                <w:webHidden/>
              </w:rPr>
              <w:fldChar w:fldCharType="end"/>
            </w:r>
          </w:hyperlink>
        </w:p>
        <w:p w:rsidR="00332490" w:rsidRPr="00332490" w:rsidRDefault="00B33D43" w:rsidP="00332490">
          <w:pPr>
            <w:pStyle w:val="TOC3"/>
            <w:tabs>
              <w:tab w:val="right" w:pos="9016"/>
            </w:tabs>
            <w:rPr>
              <w:noProof/>
              <w:lang w:eastAsia="en-AU"/>
            </w:rPr>
          </w:pPr>
          <w:hyperlink w:anchor="_Toc1112802" w:history="1">
            <w:r w:rsidR="00332490" w:rsidRPr="00332490">
              <w:rPr>
                <w:rStyle w:val="Hyperlink"/>
                <w:rFonts w:ascii="Calibri" w:eastAsiaTheme="majorEastAsia" w:hAnsi="Calibri" w:cstheme="majorBidi"/>
                <w:bCs/>
                <w:noProof/>
              </w:rPr>
              <w:t>Table 1: Invoices on contracts valued under $1 million received in 2017-18:</w:t>
            </w:r>
            <w:r w:rsidR="00332490" w:rsidRPr="00332490">
              <w:rPr>
                <w:noProof/>
                <w:webHidden/>
              </w:rPr>
              <w:tab/>
            </w:r>
            <w:r w:rsidR="00332490" w:rsidRPr="00332490">
              <w:rPr>
                <w:noProof/>
                <w:webHidden/>
              </w:rPr>
              <w:fldChar w:fldCharType="begin"/>
            </w:r>
            <w:r w:rsidR="00332490" w:rsidRPr="00332490">
              <w:rPr>
                <w:noProof/>
                <w:webHidden/>
              </w:rPr>
              <w:instrText xml:space="preserve"> PAGEREF _Toc1112802 \h </w:instrText>
            </w:r>
            <w:r w:rsidR="00332490" w:rsidRPr="00332490">
              <w:rPr>
                <w:noProof/>
                <w:webHidden/>
              </w:rPr>
            </w:r>
            <w:r w:rsidR="00332490" w:rsidRPr="00332490">
              <w:rPr>
                <w:noProof/>
                <w:webHidden/>
              </w:rPr>
              <w:fldChar w:fldCharType="separate"/>
            </w:r>
            <w:r w:rsidR="00332490" w:rsidRPr="00332490">
              <w:rPr>
                <w:noProof/>
                <w:webHidden/>
              </w:rPr>
              <w:t>6</w:t>
            </w:r>
            <w:r w:rsidR="00332490" w:rsidRPr="00332490">
              <w:rPr>
                <w:noProof/>
                <w:webHidden/>
              </w:rPr>
              <w:fldChar w:fldCharType="end"/>
            </w:r>
          </w:hyperlink>
        </w:p>
        <w:p w:rsidR="00332490" w:rsidRPr="00332490" w:rsidRDefault="00B33D43" w:rsidP="00332490">
          <w:pPr>
            <w:pStyle w:val="TOC2"/>
            <w:tabs>
              <w:tab w:val="right" w:pos="9016"/>
            </w:tabs>
            <w:rPr>
              <w:noProof/>
              <w:lang w:eastAsia="en-AU"/>
            </w:rPr>
          </w:pPr>
          <w:hyperlink w:anchor="_Toc1112803" w:history="1">
            <w:r w:rsidR="00332490" w:rsidRPr="00332490">
              <w:rPr>
                <w:rStyle w:val="Hyperlink"/>
                <w:rFonts w:ascii="Calibri" w:eastAsiaTheme="majorEastAsia" w:hAnsi="Calibri" w:cstheme="majorBidi"/>
                <w:bCs/>
                <w:noProof/>
              </w:rPr>
              <w:t>Payment of interest in accordance with the Pay On-Time policy</w:t>
            </w:r>
            <w:r w:rsidR="00332490" w:rsidRPr="00332490">
              <w:rPr>
                <w:noProof/>
                <w:webHidden/>
              </w:rPr>
              <w:tab/>
            </w:r>
            <w:r w:rsidR="00332490" w:rsidRPr="00332490">
              <w:rPr>
                <w:noProof/>
                <w:webHidden/>
              </w:rPr>
              <w:fldChar w:fldCharType="begin"/>
            </w:r>
            <w:r w:rsidR="00332490" w:rsidRPr="00332490">
              <w:rPr>
                <w:noProof/>
                <w:webHidden/>
              </w:rPr>
              <w:instrText xml:space="preserve"> PAGEREF _Toc1112803 \h </w:instrText>
            </w:r>
            <w:r w:rsidR="00332490" w:rsidRPr="00332490">
              <w:rPr>
                <w:noProof/>
                <w:webHidden/>
              </w:rPr>
            </w:r>
            <w:r w:rsidR="00332490" w:rsidRPr="00332490">
              <w:rPr>
                <w:noProof/>
                <w:webHidden/>
              </w:rPr>
              <w:fldChar w:fldCharType="separate"/>
            </w:r>
            <w:r w:rsidR="00332490" w:rsidRPr="00332490">
              <w:rPr>
                <w:noProof/>
                <w:webHidden/>
              </w:rPr>
              <w:t>7</w:t>
            </w:r>
            <w:r w:rsidR="00332490" w:rsidRPr="00332490">
              <w:rPr>
                <w:noProof/>
                <w:webHidden/>
              </w:rPr>
              <w:fldChar w:fldCharType="end"/>
            </w:r>
          </w:hyperlink>
        </w:p>
        <w:p w:rsidR="00332490" w:rsidRPr="00332490" w:rsidRDefault="00B33D43" w:rsidP="00332490">
          <w:pPr>
            <w:pStyle w:val="TOC3"/>
            <w:tabs>
              <w:tab w:val="right" w:pos="9016"/>
            </w:tabs>
            <w:rPr>
              <w:noProof/>
              <w:lang w:eastAsia="en-AU"/>
            </w:rPr>
          </w:pPr>
          <w:hyperlink w:anchor="_Toc1112804" w:history="1">
            <w:r w:rsidR="00332490" w:rsidRPr="00332490">
              <w:rPr>
                <w:rStyle w:val="Hyperlink"/>
                <w:rFonts w:ascii="Calibri" w:eastAsiaTheme="majorEastAsia" w:hAnsi="Calibri" w:cstheme="majorBidi"/>
                <w:bCs/>
                <w:noProof/>
              </w:rPr>
              <w:t>Table 2: Percentage of invoices paid on time by number by each Government agency</w:t>
            </w:r>
            <w:r w:rsidR="00332490" w:rsidRPr="00332490">
              <w:rPr>
                <w:noProof/>
                <w:webHidden/>
              </w:rPr>
              <w:tab/>
            </w:r>
            <w:r w:rsidR="00332490" w:rsidRPr="00332490">
              <w:rPr>
                <w:noProof/>
                <w:webHidden/>
              </w:rPr>
              <w:fldChar w:fldCharType="begin"/>
            </w:r>
            <w:r w:rsidR="00332490" w:rsidRPr="00332490">
              <w:rPr>
                <w:noProof/>
                <w:webHidden/>
              </w:rPr>
              <w:instrText xml:space="preserve"> PAGEREF _Toc1112804 \h </w:instrText>
            </w:r>
            <w:r w:rsidR="00332490" w:rsidRPr="00332490">
              <w:rPr>
                <w:noProof/>
                <w:webHidden/>
              </w:rPr>
            </w:r>
            <w:r w:rsidR="00332490" w:rsidRPr="00332490">
              <w:rPr>
                <w:noProof/>
                <w:webHidden/>
              </w:rPr>
              <w:fldChar w:fldCharType="separate"/>
            </w:r>
            <w:r w:rsidR="00332490" w:rsidRPr="00332490">
              <w:rPr>
                <w:noProof/>
                <w:webHidden/>
              </w:rPr>
              <w:t>8</w:t>
            </w:r>
            <w:r w:rsidR="00332490" w:rsidRPr="00332490">
              <w:rPr>
                <w:noProof/>
                <w:webHidden/>
              </w:rPr>
              <w:fldChar w:fldCharType="end"/>
            </w:r>
          </w:hyperlink>
        </w:p>
        <w:p w:rsidR="00EF4A38" w:rsidRDefault="00EF4A38">
          <w:r>
            <w:rPr>
              <w:b/>
              <w:bCs/>
              <w:noProof/>
            </w:rPr>
            <w:fldChar w:fldCharType="end"/>
          </w:r>
        </w:p>
      </w:sdtContent>
    </w:sdt>
    <w:p w:rsidR="00EF4A38" w:rsidRDefault="00EF4A38" w:rsidP="00EF4A38">
      <w:pPr>
        <w:pStyle w:val="numberedpara"/>
        <w:numPr>
          <w:ilvl w:val="0"/>
          <w:numId w:val="0"/>
        </w:numPr>
        <w:tabs>
          <w:tab w:val="left" w:pos="720"/>
        </w:tabs>
        <w:spacing w:before="120" w:after="120"/>
        <w:rPr>
          <w:sz w:val="20"/>
          <w:szCs w:val="20"/>
        </w:rPr>
        <w:sectPr w:rsidR="00EF4A38" w:rsidSect="003D2979">
          <w:type w:val="continuous"/>
          <w:pgSz w:w="11906" w:h="16838"/>
          <w:pgMar w:top="1985" w:right="1440" w:bottom="1440" w:left="1440" w:header="708" w:footer="708" w:gutter="0"/>
          <w:cols w:space="708"/>
          <w:docGrid w:linePitch="360"/>
        </w:sectPr>
      </w:pPr>
    </w:p>
    <w:p w:rsidR="00332490" w:rsidRPr="00332490" w:rsidRDefault="00130923" w:rsidP="00332490">
      <w:pPr>
        <w:pStyle w:val="Heading1"/>
      </w:pPr>
      <w:r>
        <w:br w:type="page"/>
      </w:r>
      <w:bookmarkStart w:id="1" w:name="_Toc775385"/>
      <w:bookmarkStart w:id="2" w:name="_Toc946242"/>
      <w:bookmarkStart w:id="3" w:name="_Toc1112795"/>
      <w:r w:rsidR="00332490" w:rsidRPr="00332490">
        <w:lastRenderedPageBreak/>
        <w:t>Overview</w:t>
      </w:r>
      <w:bookmarkEnd w:id="1"/>
      <w:bookmarkEnd w:id="2"/>
      <w:bookmarkEnd w:id="3"/>
    </w:p>
    <w:p w:rsidR="00332490" w:rsidRPr="00332490" w:rsidRDefault="00332490" w:rsidP="00332490">
      <w:r w:rsidRPr="00332490">
        <w:t xml:space="preserve">This report contains the results of the Government Pay On-Time Survey for the 2017-18 financial year. The survey has been conducted since 2002 on a voluntary basis, and collects information from agencies about their performance against the </w:t>
      </w:r>
      <w:r w:rsidRPr="00332490">
        <w:rPr>
          <w:rStyle w:val="Strong"/>
        </w:rPr>
        <w:t>Supplier Pay On-Time or Pay Interest Policy</w:t>
      </w:r>
      <w:r w:rsidRPr="00332490">
        <w:rPr>
          <w:i/>
        </w:rPr>
        <w:t xml:space="preserve"> </w:t>
      </w:r>
      <w:r w:rsidRPr="00332490">
        <w:t>(the Pay On-Time policy)</w:t>
      </w:r>
      <w:r w:rsidRPr="00332490">
        <w:rPr>
          <w:vertAlign w:val="superscript"/>
        </w:rPr>
        <w:footnoteReference w:id="1"/>
      </w:r>
      <w:r w:rsidRPr="00332490">
        <w:t>.</w:t>
      </w:r>
    </w:p>
    <w:p w:rsidR="00332490" w:rsidRPr="00332490" w:rsidRDefault="00332490" w:rsidP="00332490">
      <w:r w:rsidRPr="00332490">
        <w:t xml:space="preserve">Since 1 July 2014, the Pay On-Time policy has applied to non-corporate Commonwealth entities (‘agencies’) under the </w:t>
      </w:r>
      <w:r w:rsidRPr="00332490">
        <w:rPr>
          <w:rStyle w:val="Emphasis"/>
        </w:rPr>
        <w:t>Public Governance, Performance and Accountability Act 2013</w:t>
      </w:r>
      <w:r w:rsidRPr="00332490">
        <w:t xml:space="preserve">. Previous surveys were conducted to monitor compliance with the </w:t>
      </w:r>
      <w:r w:rsidRPr="00332490">
        <w:rPr>
          <w:rStyle w:val="Strong"/>
        </w:rPr>
        <w:t>Procurement On-Time Payment Policy for Small Business</w:t>
      </w:r>
      <w:r w:rsidRPr="00332490">
        <w:rPr>
          <w:i/>
        </w:rPr>
        <w:t xml:space="preserve"> </w:t>
      </w:r>
      <w:r w:rsidRPr="00332490">
        <w:t xml:space="preserve">(2012 to 2014) and the </w:t>
      </w:r>
      <w:r w:rsidRPr="00332490">
        <w:rPr>
          <w:rStyle w:val="Strong"/>
        </w:rPr>
        <w:t>Procurement 30 Day Payment Policy for Small Business</w:t>
      </w:r>
      <w:r w:rsidRPr="00332490">
        <w:rPr>
          <w:i/>
        </w:rPr>
        <w:t xml:space="preserve"> </w:t>
      </w:r>
      <w:r w:rsidRPr="00332490">
        <w:t>(2001 to 2012).</w:t>
      </w:r>
    </w:p>
    <w:p w:rsidR="00332490" w:rsidRPr="00332490" w:rsidRDefault="00332490" w:rsidP="00332490">
      <w:r w:rsidRPr="00332490">
        <w:t>There has been significant improvement in the proportion of low value invoices paid within 30 days. In 2002, only 82 per cent of invoices for contracts valued at $1 million or less were paid on time; however, results from the 2017-18 survey indicate that Government agencies are paying almost 97 per cent of low value invoices on time.</w:t>
      </w:r>
    </w:p>
    <w:p w:rsidR="00332490" w:rsidRPr="00332490" w:rsidRDefault="00332490" w:rsidP="00332490">
      <w:r w:rsidRPr="00332490">
        <w:t xml:space="preserve">In November 2017, the Government released its response to the </w:t>
      </w:r>
      <w:r w:rsidRPr="00332490">
        <w:rPr>
          <w:rFonts w:cs="Helvetica"/>
          <w:color w:val="333333"/>
          <w:lang w:val="en-US"/>
        </w:rPr>
        <w:t xml:space="preserve">Australian Small Business and Family Enterprise Ombudsman’s (ASBFEOs) report into payment times and practices. </w:t>
      </w:r>
      <w:r w:rsidRPr="00332490">
        <w:t>The Government agreed to amend its Pay On-Time policy to reduce its payment times to business to demonstrate greater leadership and set an example of best practice.</w:t>
      </w:r>
    </w:p>
    <w:p w:rsidR="00332490" w:rsidRPr="00332490" w:rsidRDefault="00332490" w:rsidP="00332490">
      <w:r w:rsidRPr="00332490">
        <w:t>From 1 July 2019, agencies must make a payment to businesses for contracts valued at $1 million or less within 20 calendar days. Where payment is not made within 20 calendar days and the amount of interest accrued on outstanding payments exceeds $100, the agency must pay interest to the business on the outstanding amount.</w:t>
      </w:r>
    </w:p>
    <w:p w:rsidR="00332490" w:rsidRPr="00332490" w:rsidRDefault="00332490" w:rsidP="00332490">
      <w:r w:rsidRPr="00332490">
        <w:t>In addition, all agencies will be required to report payment performance against the Pay On-Time policy from 2019.</w:t>
      </w:r>
    </w:p>
    <w:p w:rsidR="00332490" w:rsidRPr="00332490" w:rsidRDefault="00332490" w:rsidP="00332490">
      <w:r w:rsidRPr="00332490">
        <w:t>The survey results also show that a significant number of invoices are being paid much faster than the current government policy and industry norm of 30 days, with 71.2 per cent of invoices for contracts which are valued at $1 million or less paid within 20 calendar days. This lays a solid platform as agencies transition to the reduced payment time of 20 calendar days from 1 July 2019.</w:t>
      </w:r>
    </w:p>
    <w:p w:rsidR="00332490" w:rsidRPr="00332490" w:rsidRDefault="00332490" w:rsidP="00332490">
      <w:r w:rsidRPr="00332490">
        <w:br w:type="page"/>
      </w:r>
    </w:p>
    <w:p w:rsidR="00332490" w:rsidRPr="00332490" w:rsidRDefault="00332490" w:rsidP="00332490">
      <w:pPr>
        <w:pStyle w:val="Heading1"/>
      </w:pPr>
      <w:bookmarkStart w:id="4" w:name="_Toc775386"/>
      <w:bookmarkStart w:id="5" w:name="_Toc946243"/>
      <w:bookmarkStart w:id="6" w:name="_Toc1112796"/>
      <w:r w:rsidRPr="00332490">
        <w:lastRenderedPageBreak/>
        <w:t>Survey of Australian Government agencies</w:t>
      </w:r>
      <w:bookmarkEnd w:id="4"/>
      <w:bookmarkEnd w:id="5"/>
      <w:bookmarkEnd w:id="6"/>
    </w:p>
    <w:p w:rsidR="00332490" w:rsidRPr="00332490" w:rsidRDefault="00332490" w:rsidP="00332490">
      <w:r w:rsidRPr="00332490">
        <w:t>This survey captured data on the performance of Australian Government agencies against the Pay On-Time policy.</w:t>
      </w:r>
    </w:p>
    <w:p w:rsidR="00332490" w:rsidRPr="00332490" w:rsidRDefault="00332490" w:rsidP="00332490">
      <w:pPr>
        <w:pStyle w:val="Heading2"/>
      </w:pPr>
      <w:bookmarkStart w:id="7" w:name="_Toc775387"/>
      <w:bookmarkStart w:id="8" w:name="_Toc946244"/>
      <w:bookmarkStart w:id="9" w:name="_Toc1112797"/>
      <w:r w:rsidRPr="00332490">
        <w:t>Survey methodology</w:t>
      </w:r>
      <w:bookmarkEnd w:id="7"/>
      <w:bookmarkEnd w:id="8"/>
      <w:bookmarkEnd w:id="9"/>
    </w:p>
    <w:p w:rsidR="00332490" w:rsidRPr="00332490" w:rsidRDefault="00332490" w:rsidP="00332490">
      <w:r w:rsidRPr="00332490">
        <w:t>The survey requested data relating to invoices paid in full during the 2017-18 financial year, including:</w:t>
      </w:r>
    </w:p>
    <w:p w:rsidR="00332490" w:rsidRPr="00332490" w:rsidRDefault="00332490" w:rsidP="00332490">
      <w:pPr>
        <w:pStyle w:val="ListBullet"/>
        <w:rPr>
          <w:rFonts w:eastAsiaTheme="minorHAnsi"/>
        </w:rPr>
      </w:pPr>
      <w:r w:rsidRPr="00332490">
        <w:rPr>
          <w:rFonts w:eastAsiaTheme="minorHAnsi"/>
        </w:rPr>
        <w:t>the total number and value of invoices for contracts under $1 million paid;</w:t>
      </w:r>
    </w:p>
    <w:p w:rsidR="00332490" w:rsidRPr="00332490" w:rsidRDefault="00332490" w:rsidP="00332490">
      <w:pPr>
        <w:pStyle w:val="ListBullet"/>
        <w:rPr>
          <w:rFonts w:eastAsiaTheme="minorHAnsi"/>
        </w:rPr>
      </w:pPr>
      <w:r w:rsidRPr="00332490">
        <w:rPr>
          <w:rFonts w:eastAsiaTheme="minorHAnsi"/>
        </w:rPr>
        <w:t>the total number and value of these invoices that were paid within 20 days;</w:t>
      </w:r>
    </w:p>
    <w:p w:rsidR="00332490" w:rsidRPr="00332490" w:rsidRDefault="00332490" w:rsidP="00332490">
      <w:pPr>
        <w:pStyle w:val="ListBullet"/>
        <w:rPr>
          <w:rFonts w:eastAsiaTheme="minorHAnsi"/>
        </w:rPr>
      </w:pPr>
      <w:r w:rsidRPr="00332490">
        <w:rPr>
          <w:rFonts w:eastAsiaTheme="minorHAnsi"/>
        </w:rPr>
        <w:t>the total number and value of these invoices that were paid within 30 days; and</w:t>
      </w:r>
    </w:p>
    <w:p w:rsidR="00332490" w:rsidRPr="00332490" w:rsidRDefault="00332490" w:rsidP="00332490">
      <w:pPr>
        <w:pStyle w:val="ListBullet"/>
        <w:rPr>
          <w:rFonts w:eastAsiaTheme="minorHAnsi"/>
        </w:rPr>
      </w:pPr>
      <w:r w:rsidRPr="00332490">
        <w:rPr>
          <w:rFonts w:eastAsiaTheme="minorHAnsi"/>
        </w:rPr>
        <w:t>the total value of interest paid on late invoices.</w:t>
      </w:r>
    </w:p>
    <w:p w:rsidR="00332490" w:rsidRPr="00332490" w:rsidRDefault="00332490" w:rsidP="006C7CA1">
      <w:pPr>
        <w:pStyle w:val="Heading1"/>
        <w:spacing w:before="360" w:after="0"/>
      </w:pPr>
      <w:bookmarkStart w:id="10" w:name="_Toc775388"/>
      <w:bookmarkStart w:id="11" w:name="_Toc946245"/>
      <w:bookmarkStart w:id="12" w:name="_Toc1112798"/>
      <w:r w:rsidRPr="00332490">
        <w:t>Results</w:t>
      </w:r>
      <w:bookmarkEnd w:id="10"/>
      <w:bookmarkEnd w:id="11"/>
      <w:bookmarkEnd w:id="12"/>
    </w:p>
    <w:p w:rsidR="00332490" w:rsidRPr="00332490" w:rsidRDefault="00332490" w:rsidP="00332490">
      <w:pPr>
        <w:pStyle w:val="Heading2"/>
      </w:pPr>
      <w:bookmarkStart w:id="13" w:name="_Toc775389"/>
      <w:bookmarkStart w:id="14" w:name="_Toc946246"/>
      <w:bookmarkStart w:id="15" w:name="_Toc1112799"/>
      <w:r w:rsidRPr="00332490">
        <w:t>Participants</w:t>
      </w:r>
      <w:bookmarkEnd w:id="13"/>
      <w:bookmarkEnd w:id="14"/>
      <w:bookmarkEnd w:id="15"/>
    </w:p>
    <w:p w:rsidR="00332490" w:rsidRPr="00332490" w:rsidRDefault="00332490" w:rsidP="00332490">
      <w:pPr>
        <w:rPr>
          <w:rFonts w:eastAsiaTheme="minorHAnsi"/>
        </w:rPr>
      </w:pPr>
      <w:r w:rsidRPr="00332490">
        <w:rPr>
          <w:rFonts w:eastAsiaTheme="minorHAnsi"/>
        </w:rPr>
        <w:t>94 agencies were invited to provide data on payment time performance. Of these, 68 agencies responded</w:t>
      </w:r>
      <w:r w:rsidRPr="00332490">
        <w:rPr>
          <w:rFonts w:eastAsiaTheme="minorHAnsi"/>
          <w:vertAlign w:val="superscript"/>
        </w:rPr>
        <w:footnoteReference w:id="2"/>
      </w:r>
      <w:r w:rsidRPr="00332490">
        <w:rPr>
          <w:rFonts w:eastAsiaTheme="minorHAnsi"/>
        </w:rPr>
        <w:t>. Whilst this was the same number of responses to the survey for the 2016-17 financial year, 59 agencies responded to both surveys.</w:t>
      </w:r>
    </w:p>
    <w:p w:rsidR="00332490" w:rsidRPr="00332490" w:rsidRDefault="00332490" w:rsidP="00332490">
      <w:pPr>
        <w:rPr>
          <w:rFonts w:eastAsiaTheme="minorHAnsi"/>
        </w:rPr>
      </w:pPr>
      <w:r w:rsidRPr="00332490">
        <w:rPr>
          <w:rFonts w:eastAsiaTheme="minorHAnsi"/>
        </w:rPr>
        <w:t>There was a large increase in the number and value of invoices reported, with an 80 per cent increase in the total number of invoices from the 2016-17 financial year survey (from slightly lower than 570,000 to more than 1 million) and a 77 per cent increase in the total value of invoices from the 2016-17 financial year survey (from $3.2 billion to $5.7 billion).</w:t>
      </w:r>
    </w:p>
    <w:p w:rsidR="00332490" w:rsidRPr="00332490" w:rsidRDefault="00332490" w:rsidP="00332490">
      <w:pPr>
        <w:rPr>
          <w:rFonts w:eastAsiaTheme="minorHAnsi"/>
        </w:rPr>
      </w:pPr>
      <w:r w:rsidRPr="00332490">
        <w:rPr>
          <w:rFonts w:eastAsiaTheme="minorHAnsi"/>
        </w:rPr>
        <w:t>The largest payers of contracts under $1 million (both by number and value of invoices) were the Department of Defence and the Department of Home Affairs. The Department of Defence did not respond to the 2016-17 financial year survey.</w:t>
      </w:r>
    </w:p>
    <w:p w:rsidR="00332490" w:rsidRPr="00332490" w:rsidRDefault="00332490" w:rsidP="00332490">
      <w:pPr>
        <w:pStyle w:val="Heading2"/>
      </w:pPr>
      <w:bookmarkStart w:id="16" w:name="_Toc775390"/>
      <w:bookmarkStart w:id="17" w:name="_Toc946247"/>
      <w:bookmarkStart w:id="18" w:name="_Toc1112800"/>
      <w:r w:rsidRPr="00332490">
        <w:t>Compliance with the Pay On-Time policy</w:t>
      </w:r>
      <w:bookmarkEnd w:id="16"/>
      <w:bookmarkEnd w:id="17"/>
      <w:bookmarkEnd w:id="18"/>
    </w:p>
    <w:p w:rsidR="00332490" w:rsidRPr="00332490" w:rsidRDefault="00332490" w:rsidP="00332490">
      <w:pPr>
        <w:rPr>
          <w:rFonts w:eastAsiaTheme="minorHAnsi"/>
        </w:rPr>
      </w:pPr>
      <w:r w:rsidRPr="00332490">
        <w:rPr>
          <w:rFonts w:eastAsiaTheme="minorHAnsi"/>
        </w:rPr>
        <w:t>Based on the aggregated data reported by surveyed Government agencies:</w:t>
      </w:r>
    </w:p>
    <w:p w:rsidR="00332490" w:rsidRPr="00332490" w:rsidRDefault="00332490" w:rsidP="00332490">
      <w:pPr>
        <w:pStyle w:val="ListBullet"/>
      </w:pPr>
      <w:r w:rsidRPr="00332490">
        <w:t xml:space="preserve">By number, 96.8 per cent of invoices on contracts valued under $1 million were paid within 30 days in 2017-18.  In 2016-17, 95.9 per cent of these invoices were paid within 30 days. </w:t>
      </w:r>
    </w:p>
    <w:p w:rsidR="00332490" w:rsidRPr="00332490" w:rsidRDefault="00332490" w:rsidP="00332490">
      <w:pPr>
        <w:pStyle w:val="ListBullet"/>
      </w:pPr>
      <w:r w:rsidRPr="00332490">
        <w:t>By value, 91.4 per cent of invoices on contracts valued under $1 million were paid within 30 days in 2017</w:t>
      </w:r>
      <w:r w:rsidRPr="00332490">
        <w:noBreakHyphen/>
        <w:t>18.  In 2016-17, 93.5 per cent of these invoices were paid within 30 days.</w:t>
      </w:r>
    </w:p>
    <w:p w:rsidR="00332490" w:rsidRPr="00332490" w:rsidRDefault="00332490" w:rsidP="00332490">
      <w:bookmarkStart w:id="19" w:name="_Toc775391"/>
      <w:bookmarkStart w:id="20" w:name="_Toc946248"/>
      <w:r w:rsidRPr="00332490">
        <w:br w:type="page"/>
      </w:r>
    </w:p>
    <w:p w:rsidR="00332490" w:rsidRPr="00332490" w:rsidRDefault="00332490" w:rsidP="00332490">
      <w:pPr>
        <w:pStyle w:val="Heading2"/>
      </w:pPr>
      <w:bookmarkStart w:id="21" w:name="_Toc1112801"/>
      <w:r w:rsidRPr="00332490">
        <w:lastRenderedPageBreak/>
        <w:t>Results for payment within 20 days</w:t>
      </w:r>
      <w:bookmarkEnd w:id="19"/>
      <w:bookmarkEnd w:id="20"/>
      <w:bookmarkEnd w:id="21"/>
    </w:p>
    <w:p w:rsidR="00332490" w:rsidRPr="00332490" w:rsidRDefault="00332490" w:rsidP="00332490">
      <w:pPr>
        <w:pStyle w:val="ListBullet"/>
      </w:pPr>
      <w:r w:rsidRPr="00332490">
        <w:t>By number, 71.2 per cent of invoices on contracts valued under $1 million were paid within 20 days in 2017-18. In 2016-17, 57.5 per cent of these invoices were paid within 20 days.</w:t>
      </w:r>
    </w:p>
    <w:p w:rsidR="00332490" w:rsidRPr="00332490" w:rsidRDefault="00332490" w:rsidP="00332490">
      <w:pPr>
        <w:pStyle w:val="ListBullet"/>
      </w:pPr>
      <w:r w:rsidRPr="00332490">
        <w:t>By value, 38.8 per cent of invoices on contracts valued under $1 million were paid within 20 days in 2017-18. In 2016-17, 54.7 per cent of these invoices were paid within 20 days.</w:t>
      </w:r>
    </w:p>
    <w:p w:rsidR="00332490" w:rsidRPr="00332490" w:rsidRDefault="00332490" w:rsidP="00332490">
      <w:r w:rsidRPr="00332490">
        <w:t>Table 1 below outlines the number and value of invoices paid within 20 days, within 30 days, and after 30 days.</w:t>
      </w:r>
    </w:p>
    <w:p w:rsidR="00332490" w:rsidRPr="00332490" w:rsidRDefault="00332490" w:rsidP="00332490">
      <w:pPr>
        <w:pStyle w:val="Caption"/>
      </w:pPr>
      <w:bookmarkStart w:id="22" w:name="_Toc1112802"/>
      <w:r w:rsidRPr="00332490">
        <w:t xml:space="preserve">Table </w:t>
      </w:r>
      <w:fldSimple w:instr=" SEQ Table \* ARABIC ">
        <w:r w:rsidRPr="00332490">
          <w:rPr>
            <w:noProof/>
          </w:rPr>
          <w:t>1</w:t>
        </w:r>
      </w:fldSimple>
      <w:r w:rsidRPr="00332490">
        <w:t>: Invoices on contracts valued under $1 million received in 2017-18:</w:t>
      </w:r>
      <w:bookmarkEnd w:id="22"/>
    </w:p>
    <w:tbl>
      <w:tblPr>
        <w:tblStyle w:val="DEEWRTable1"/>
        <w:tblW w:w="5000" w:type="pct"/>
        <w:tblLook w:val="04A0" w:firstRow="1" w:lastRow="0" w:firstColumn="1" w:lastColumn="0" w:noHBand="0" w:noVBand="1"/>
        <w:tblDescription w:val="Invoices on contracts valued under $1 million received in 2017-18"/>
      </w:tblPr>
      <w:tblGrid>
        <w:gridCol w:w="3235"/>
        <w:gridCol w:w="2849"/>
        <w:gridCol w:w="2942"/>
      </w:tblGrid>
      <w:tr w:rsidR="00332490" w:rsidRPr="00332490" w:rsidTr="00332490">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235" w:type="dxa"/>
            <w:shd w:val="clear" w:color="auto" w:fill="104165" w:themeFill="text2" w:themeFillShade="BF"/>
            <w:vAlign w:val="center"/>
          </w:tcPr>
          <w:p w:rsidR="00332490" w:rsidRPr="00332490" w:rsidRDefault="00332490" w:rsidP="00332490">
            <w:pPr>
              <w:rPr>
                <w:rFonts w:eastAsiaTheme="minorHAnsi"/>
              </w:rPr>
            </w:pPr>
            <w:r w:rsidRPr="00332490">
              <w:rPr>
                <w:rFonts w:eastAsiaTheme="minorHAnsi"/>
              </w:rPr>
              <w:t>Time</w:t>
            </w:r>
          </w:p>
        </w:tc>
        <w:tc>
          <w:tcPr>
            <w:tcW w:w="2849" w:type="dxa"/>
            <w:shd w:val="clear" w:color="auto" w:fill="104165" w:themeFill="text2" w:themeFillShade="BF"/>
            <w:vAlign w:val="center"/>
          </w:tcPr>
          <w:p w:rsidR="00332490" w:rsidRPr="00332490" w:rsidRDefault="00332490" w:rsidP="00332490">
            <w:pPr>
              <w:jc w:val="right"/>
              <w:cnfStyle w:val="100000000000" w:firstRow="1" w:lastRow="0" w:firstColumn="0" w:lastColumn="0" w:oddVBand="0" w:evenVBand="0" w:oddHBand="0" w:evenHBand="0" w:firstRowFirstColumn="0" w:firstRowLastColumn="0" w:lastRowFirstColumn="0" w:lastRowLastColumn="0"/>
              <w:rPr>
                <w:rFonts w:eastAsiaTheme="minorHAnsi"/>
                <w:b w:val="0"/>
              </w:rPr>
            </w:pPr>
            <w:r w:rsidRPr="00332490">
              <w:rPr>
                <w:rFonts w:eastAsiaTheme="minorHAnsi"/>
              </w:rPr>
              <w:t>Number of invoices</w:t>
            </w:r>
          </w:p>
        </w:tc>
        <w:tc>
          <w:tcPr>
            <w:tcW w:w="2942" w:type="dxa"/>
            <w:shd w:val="clear" w:color="auto" w:fill="104165" w:themeFill="text2" w:themeFillShade="BF"/>
            <w:vAlign w:val="center"/>
          </w:tcPr>
          <w:p w:rsidR="00332490" w:rsidRPr="00332490" w:rsidRDefault="00332490" w:rsidP="00332490">
            <w:pPr>
              <w:jc w:val="right"/>
              <w:cnfStyle w:val="100000000000" w:firstRow="1" w:lastRow="0" w:firstColumn="0" w:lastColumn="0" w:oddVBand="0" w:evenVBand="0" w:oddHBand="0" w:evenHBand="0" w:firstRowFirstColumn="0" w:firstRowLastColumn="0" w:lastRowFirstColumn="0" w:lastRowLastColumn="0"/>
              <w:rPr>
                <w:rFonts w:eastAsiaTheme="minorHAnsi"/>
                <w:b w:val="0"/>
              </w:rPr>
            </w:pPr>
            <w:r w:rsidRPr="00332490">
              <w:rPr>
                <w:rFonts w:eastAsiaTheme="minorHAnsi"/>
              </w:rPr>
              <w:t>Value of invoices</w:t>
            </w:r>
          </w:p>
        </w:tc>
      </w:tr>
      <w:tr w:rsidR="00332490" w:rsidRPr="00332490" w:rsidTr="00332490">
        <w:trPr>
          <w:trHeight w:hRule="exact" w:val="340"/>
        </w:trPr>
        <w:tc>
          <w:tcPr>
            <w:cnfStyle w:val="001000000000" w:firstRow="0" w:lastRow="0" w:firstColumn="1" w:lastColumn="0" w:oddVBand="0" w:evenVBand="0" w:oddHBand="0" w:evenHBand="0" w:firstRowFirstColumn="0" w:firstRowLastColumn="0" w:lastRowFirstColumn="0" w:lastRowLastColumn="0"/>
            <w:tcW w:w="3235" w:type="dxa"/>
            <w:vAlign w:val="center"/>
          </w:tcPr>
          <w:p w:rsidR="00332490" w:rsidRPr="00332490" w:rsidRDefault="00332490" w:rsidP="00332490">
            <w:pPr>
              <w:rPr>
                <w:rFonts w:eastAsiaTheme="minorHAnsi"/>
              </w:rPr>
            </w:pPr>
            <w:r w:rsidRPr="00332490">
              <w:rPr>
                <w:rFonts w:eastAsiaTheme="minorHAnsi"/>
              </w:rPr>
              <w:t>Paid within 20 days</w:t>
            </w:r>
          </w:p>
        </w:tc>
        <w:tc>
          <w:tcPr>
            <w:tcW w:w="2849" w:type="dxa"/>
            <w:vAlign w:val="center"/>
          </w:tcPr>
          <w:p w:rsidR="00332490" w:rsidRPr="00332490" w:rsidRDefault="00332490" w:rsidP="00332490">
            <w:pPr>
              <w:jc w:val="right"/>
              <w:cnfStyle w:val="000000000000" w:firstRow="0" w:lastRow="0" w:firstColumn="0" w:lastColumn="0" w:oddVBand="0" w:evenVBand="0" w:oddHBand="0" w:evenHBand="0" w:firstRowFirstColumn="0" w:firstRowLastColumn="0" w:lastRowFirstColumn="0" w:lastRowLastColumn="0"/>
              <w:rPr>
                <w:rFonts w:eastAsiaTheme="minorHAnsi"/>
              </w:rPr>
            </w:pPr>
            <w:r w:rsidRPr="00332490">
              <w:rPr>
                <w:rFonts w:eastAsiaTheme="minorHAnsi"/>
              </w:rPr>
              <w:t>726,864</w:t>
            </w:r>
          </w:p>
        </w:tc>
        <w:tc>
          <w:tcPr>
            <w:tcW w:w="2942" w:type="dxa"/>
            <w:vAlign w:val="center"/>
          </w:tcPr>
          <w:p w:rsidR="00332490" w:rsidRPr="00332490" w:rsidRDefault="00332490" w:rsidP="00332490">
            <w:pPr>
              <w:jc w:val="right"/>
              <w:cnfStyle w:val="000000000000" w:firstRow="0" w:lastRow="0" w:firstColumn="0" w:lastColumn="0" w:oddVBand="0" w:evenVBand="0" w:oddHBand="0" w:evenHBand="0" w:firstRowFirstColumn="0" w:firstRowLastColumn="0" w:lastRowFirstColumn="0" w:lastRowLastColumn="0"/>
              <w:rPr>
                <w:rFonts w:eastAsiaTheme="minorHAnsi"/>
              </w:rPr>
            </w:pPr>
            <w:r w:rsidRPr="00332490">
              <w:rPr>
                <w:rFonts w:eastAsiaTheme="minorHAnsi"/>
                <w:bCs/>
              </w:rPr>
              <w:t>$2,216,181,814.60</w:t>
            </w:r>
          </w:p>
        </w:tc>
      </w:tr>
      <w:tr w:rsidR="00332490" w:rsidRPr="00332490" w:rsidTr="00332490">
        <w:trPr>
          <w:trHeight w:hRule="exact" w:val="340"/>
        </w:trPr>
        <w:tc>
          <w:tcPr>
            <w:cnfStyle w:val="001000000000" w:firstRow="0" w:lastRow="0" w:firstColumn="1" w:lastColumn="0" w:oddVBand="0" w:evenVBand="0" w:oddHBand="0" w:evenHBand="0" w:firstRowFirstColumn="0" w:firstRowLastColumn="0" w:lastRowFirstColumn="0" w:lastRowLastColumn="0"/>
            <w:tcW w:w="3235" w:type="dxa"/>
            <w:vAlign w:val="center"/>
          </w:tcPr>
          <w:p w:rsidR="00332490" w:rsidRPr="00332490" w:rsidRDefault="00332490" w:rsidP="00332490">
            <w:pPr>
              <w:rPr>
                <w:rFonts w:eastAsiaTheme="minorHAnsi"/>
              </w:rPr>
            </w:pPr>
            <w:r w:rsidRPr="00332490">
              <w:rPr>
                <w:rFonts w:eastAsiaTheme="minorHAnsi"/>
              </w:rPr>
              <w:t>Paid within 30 days</w:t>
            </w:r>
          </w:p>
        </w:tc>
        <w:tc>
          <w:tcPr>
            <w:tcW w:w="2849" w:type="dxa"/>
            <w:vAlign w:val="center"/>
          </w:tcPr>
          <w:p w:rsidR="00332490" w:rsidRPr="00332490" w:rsidRDefault="00332490" w:rsidP="00332490">
            <w:pPr>
              <w:jc w:val="right"/>
              <w:cnfStyle w:val="000000000000" w:firstRow="0" w:lastRow="0" w:firstColumn="0" w:lastColumn="0" w:oddVBand="0" w:evenVBand="0" w:oddHBand="0" w:evenHBand="0" w:firstRowFirstColumn="0" w:firstRowLastColumn="0" w:lastRowFirstColumn="0" w:lastRowLastColumn="0"/>
              <w:rPr>
                <w:rFonts w:eastAsiaTheme="minorHAnsi"/>
              </w:rPr>
            </w:pPr>
            <w:r w:rsidRPr="00332490">
              <w:rPr>
                <w:rFonts w:eastAsiaTheme="minorHAnsi"/>
              </w:rPr>
              <w:t>989,033</w:t>
            </w:r>
          </w:p>
        </w:tc>
        <w:tc>
          <w:tcPr>
            <w:tcW w:w="2942" w:type="dxa"/>
            <w:vAlign w:val="center"/>
          </w:tcPr>
          <w:p w:rsidR="00332490" w:rsidRPr="00332490" w:rsidRDefault="00332490" w:rsidP="00332490">
            <w:pPr>
              <w:jc w:val="right"/>
              <w:cnfStyle w:val="000000000000" w:firstRow="0" w:lastRow="0" w:firstColumn="0" w:lastColumn="0" w:oddVBand="0" w:evenVBand="0" w:oddHBand="0" w:evenHBand="0" w:firstRowFirstColumn="0" w:firstRowLastColumn="0" w:lastRowFirstColumn="0" w:lastRowLastColumn="0"/>
              <w:rPr>
                <w:rFonts w:eastAsiaTheme="minorHAnsi"/>
              </w:rPr>
            </w:pPr>
            <w:r w:rsidRPr="00332490">
              <w:rPr>
                <w:rFonts w:eastAsiaTheme="minorHAnsi"/>
              </w:rPr>
              <w:t>$5,223,431,543.76</w:t>
            </w:r>
          </w:p>
        </w:tc>
      </w:tr>
      <w:tr w:rsidR="00332490" w:rsidRPr="00332490" w:rsidTr="00332490">
        <w:trPr>
          <w:trHeight w:hRule="exact" w:val="340"/>
        </w:trPr>
        <w:tc>
          <w:tcPr>
            <w:cnfStyle w:val="001000000000" w:firstRow="0" w:lastRow="0" w:firstColumn="1" w:lastColumn="0" w:oddVBand="0" w:evenVBand="0" w:oddHBand="0" w:evenHBand="0" w:firstRowFirstColumn="0" w:firstRowLastColumn="0" w:lastRowFirstColumn="0" w:lastRowLastColumn="0"/>
            <w:tcW w:w="3235" w:type="dxa"/>
            <w:vAlign w:val="center"/>
          </w:tcPr>
          <w:p w:rsidR="00332490" w:rsidRPr="00332490" w:rsidRDefault="00332490" w:rsidP="00332490">
            <w:pPr>
              <w:rPr>
                <w:rFonts w:eastAsiaTheme="minorHAnsi"/>
              </w:rPr>
            </w:pPr>
            <w:r w:rsidRPr="00332490">
              <w:rPr>
                <w:rFonts w:eastAsiaTheme="minorHAnsi"/>
              </w:rPr>
              <w:t>Paid late (after 30 days)</w:t>
            </w:r>
          </w:p>
        </w:tc>
        <w:tc>
          <w:tcPr>
            <w:tcW w:w="2849" w:type="dxa"/>
            <w:vAlign w:val="center"/>
          </w:tcPr>
          <w:p w:rsidR="00332490" w:rsidRPr="00332490" w:rsidRDefault="00332490" w:rsidP="00332490">
            <w:pPr>
              <w:jc w:val="right"/>
              <w:cnfStyle w:val="000000000000" w:firstRow="0" w:lastRow="0" w:firstColumn="0" w:lastColumn="0" w:oddVBand="0" w:evenVBand="0" w:oddHBand="0" w:evenHBand="0" w:firstRowFirstColumn="0" w:firstRowLastColumn="0" w:lastRowFirstColumn="0" w:lastRowLastColumn="0"/>
              <w:rPr>
                <w:rFonts w:eastAsiaTheme="minorHAnsi"/>
                <w:b/>
              </w:rPr>
            </w:pPr>
            <w:r w:rsidRPr="00332490">
              <w:rPr>
                <w:rFonts w:eastAsiaTheme="minorHAnsi"/>
              </w:rPr>
              <w:t>32,296</w:t>
            </w:r>
          </w:p>
        </w:tc>
        <w:tc>
          <w:tcPr>
            <w:tcW w:w="2942" w:type="dxa"/>
            <w:vAlign w:val="center"/>
          </w:tcPr>
          <w:p w:rsidR="00332490" w:rsidRPr="00332490" w:rsidRDefault="00332490" w:rsidP="00332490">
            <w:pPr>
              <w:jc w:val="right"/>
              <w:cnfStyle w:val="000000000000" w:firstRow="0" w:lastRow="0" w:firstColumn="0" w:lastColumn="0" w:oddVBand="0" w:evenVBand="0" w:oddHBand="0" w:evenHBand="0" w:firstRowFirstColumn="0" w:firstRowLastColumn="0" w:lastRowFirstColumn="0" w:lastRowLastColumn="0"/>
              <w:rPr>
                <w:rFonts w:eastAsiaTheme="minorHAnsi"/>
                <w:b/>
              </w:rPr>
            </w:pPr>
            <w:r w:rsidRPr="00332490">
              <w:rPr>
                <w:rFonts w:eastAsiaTheme="minorHAnsi"/>
              </w:rPr>
              <w:t>$490,998,066.29</w:t>
            </w:r>
          </w:p>
        </w:tc>
      </w:tr>
      <w:tr w:rsidR="00332490" w:rsidRPr="00332490" w:rsidTr="00332490">
        <w:trPr>
          <w:trHeight w:hRule="exact" w:val="340"/>
        </w:trPr>
        <w:tc>
          <w:tcPr>
            <w:cnfStyle w:val="001000000000" w:firstRow="0" w:lastRow="0" w:firstColumn="1" w:lastColumn="0" w:oddVBand="0" w:evenVBand="0" w:oddHBand="0" w:evenHBand="0" w:firstRowFirstColumn="0" w:firstRowLastColumn="0" w:lastRowFirstColumn="0" w:lastRowLastColumn="0"/>
            <w:tcW w:w="3235" w:type="dxa"/>
            <w:vAlign w:val="center"/>
          </w:tcPr>
          <w:p w:rsidR="00332490" w:rsidRPr="00332490" w:rsidRDefault="00332490" w:rsidP="00332490">
            <w:pPr>
              <w:rPr>
                <w:rFonts w:eastAsiaTheme="minorHAnsi"/>
              </w:rPr>
            </w:pPr>
            <w:r w:rsidRPr="00332490">
              <w:rPr>
                <w:rFonts w:eastAsiaTheme="minorHAnsi"/>
              </w:rPr>
              <w:t>Total invoices</w:t>
            </w:r>
          </w:p>
        </w:tc>
        <w:tc>
          <w:tcPr>
            <w:tcW w:w="2849" w:type="dxa"/>
            <w:vAlign w:val="center"/>
          </w:tcPr>
          <w:p w:rsidR="00332490" w:rsidRPr="00332490" w:rsidRDefault="00332490" w:rsidP="00332490">
            <w:pPr>
              <w:jc w:val="right"/>
              <w:cnfStyle w:val="000000000000" w:firstRow="0" w:lastRow="0" w:firstColumn="0" w:lastColumn="0" w:oddVBand="0" w:evenVBand="0" w:oddHBand="0" w:evenHBand="0" w:firstRowFirstColumn="0" w:firstRowLastColumn="0" w:lastRowFirstColumn="0" w:lastRowLastColumn="0"/>
              <w:rPr>
                <w:rFonts w:eastAsiaTheme="minorHAnsi"/>
                <w:b/>
              </w:rPr>
            </w:pPr>
            <w:r w:rsidRPr="00332490">
              <w:rPr>
                <w:rFonts w:eastAsiaTheme="minorHAnsi"/>
                <w:b/>
              </w:rPr>
              <w:t>1,021,329</w:t>
            </w:r>
            <w:r w:rsidRPr="00332490">
              <w:rPr>
                <w:rFonts w:eastAsiaTheme="minorHAnsi"/>
                <w:b/>
              </w:rPr>
              <w:fldChar w:fldCharType="begin"/>
            </w:r>
            <w:r w:rsidRPr="00332490">
              <w:rPr>
                <w:rFonts w:eastAsiaTheme="minorHAnsi"/>
                <w:b/>
              </w:rPr>
              <w:instrText xml:space="preserve"> =SUM(ABOVE) </w:instrText>
            </w:r>
            <w:r w:rsidRPr="00332490">
              <w:rPr>
                <w:rFonts w:eastAsiaTheme="minorHAnsi"/>
                <w:b/>
              </w:rPr>
              <w:fldChar w:fldCharType="end"/>
            </w:r>
          </w:p>
        </w:tc>
        <w:tc>
          <w:tcPr>
            <w:tcW w:w="2942" w:type="dxa"/>
            <w:vAlign w:val="center"/>
          </w:tcPr>
          <w:p w:rsidR="00332490" w:rsidRPr="00332490" w:rsidRDefault="00332490" w:rsidP="00332490">
            <w:pPr>
              <w:jc w:val="right"/>
              <w:cnfStyle w:val="000000000000" w:firstRow="0" w:lastRow="0" w:firstColumn="0" w:lastColumn="0" w:oddVBand="0" w:evenVBand="0" w:oddHBand="0" w:evenHBand="0" w:firstRowFirstColumn="0" w:firstRowLastColumn="0" w:lastRowFirstColumn="0" w:lastRowLastColumn="0"/>
              <w:rPr>
                <w:rFonts w:eastAsiaTheme="minorHAnsi"/>
                <w:b/>
              </w:rPr>
            </w:pPr>
            <w:r w:rsidRPr="00332490">
              <w:rPr>
                <w:rFonts w:eastAsiaTheme="minorHAnsi"/>
                <w:b/>
              </w:rPr>
              <w:fldChar w:fldCharType="begin"/>
            </w:r>
            <w:r w:rsidRPr="00332490">
              <w:rPr>
                <w:rFonts w:eastAsiaTheme="minorHAnsi"/>
                <w:b/>
              </w:rPr>
              <w:instrText xml:space="preserve"> =SUM(ABOVE) \# "$#,##0;($#,##0)" </w:instrText>
            </w:r>
            <w:r w:rsidRPr="00332490">
              <w:rPr>
                <w:rFonts w:eastAsiaTheme="minorHAnsi"/>
                <w:b/>
              </w:rPr>
              <w:fldChar w:fldCharType="separate"/>
            </w:r>
            <w:r w:rsidRPr="00332490">
              <w:rPr>
                <w:rFonts w:eastAsiaTheme="minorHAnsi"/>
                <w:b/>
                <w:noProof/>
              </w:rPr>
              <w:t>$</w:t>
            </w:r>
            <w:r w:rsidRPr="00332490">
              <w:rPr>
                <w:rFonts w:eastAsiaTheme="minorHAnsi"/>
                <w:b/>
              </w:rPr>
              <w:fldChar w:fldCharType="end"/>
            </w:r>
            <w:r w:rsidRPr="00332490">
              <w:rPr>
                <w:rFonts w:eastAsiaTheme="minorHAnsi"/>
                <w:b/>
              </w:rPr>
              <w:t>5,714,429,610.05</w:t>
            </w:r>
          </w:p>
        </w:tc>
      </w:tr>
    </w:tbl>
    <w:p w:rsidR="00332490" w:rsidRPr="00332490" w:rsidRDefault="00332490" w:rsidP="00332490">
      <w:pPr>
        <w:pStyle w:val="Note"/>
      </w:pPr>
      <w:r w:rsidRPr="00332490">
        <w:rPr>
          <w:b/>
        </w:rPr>
        <w:t>Note:</w:t>
      </w:r>
      <w:r w:rsidRPr="00332490">
        <w:t xml:space="preserve"> The total in Table 1, Total invoices is the sum of invoices Paid within 30 days and those Paid late (after 30 days). Invoices Paid within 20 days are captured in the Paid within 30 days figure.</w:t>
      </w:r>
    </w:p>
    <w:p w:rsidR="00332490" w:rsidRPr="00332490" w:rsidRDefault="00332490" w:rsidP="00332490">
      <w:pPr>
        <w:spacing w:before="240" w:after="240"/>
      </w:pPr>
      <w:r w:rsidRPr="00332490">
        <w:t>Table 2 below shows the percentage of invoices (by number) paid within 20 and 30 days by each Government agency which responded to the survey.</w:t>
      </w:r>
    </w:p>
    <w:p w:rsidR="00332490" w:rsidRPr="00332490" w:rsidRDefault="00332490" w:rsidP="00332490">
      <w:pPr>
        <w:spacing w:after="240"/>
      </w:pPr>
      <w:r w:rsidRPr="00332490">
        <w:t>In 2017-18, 62 of the 68 responding agencies paid more than 90 per cent of invoices within 30 days. In addition, 40 agencies paid more than 70 per cent of invoices within 20 days. Table 2 shows the percentage of invoices (by number) paid within 20 and 30 days by each Government agency which responded to the survey.</w:t>
      </w:r>
    </w:p>
    <w:p w:rsidR="00332490" w:rsidRPr="00332490" w:rsidRDefault="00332490" w:rsidP="00332490">
      <w:pPr>
        <w:spacing w:after="0"/>
      </w:pPr>
      <w:r w:rsidRPr="00332490">
        <w:t>Of the 59 agencies who responded to the survey for 2016-17 and 2017-18:</w:t>
      </w:r>
    </w:p>
    <w:p w:rsidR="00332490" w:rsidRPr="00332490" w:rsidRDefault="00332490" w:rsidP="00332490">
      <w:pPr>
        <w:pStyle w:val="ListBullet"/>
      </w:pPr>
      <w:r w:rsidRPr="00332490">
        <w:t>30 agencies had an increase in the number of invoices and 35 agencies had an increase in the value of invoices paid within 20 days.</w:t>
      </w:r>
    </w:p>
    <w:p w:rsidR="00332490" w:rsidRPr="00332490" w:rsidRDefault="00332490" w:rsidP="00332490">
      <w:pPr>
        <w:pStyle w:val="ListBullet"/>
      </w:pPr>
      <w:r w:rsidRPr="00332490">
        <w:t>29 agencies had an increase in the number of invoices and 20 agencies had an increase in the value of invoices paid within 30 days.</w:t>
      </w:r>
    </w:p>
    <w:p w:rsidR="00332490" w:rsidRPr="00332490" w:rsidRDefault="00332490" w:rsidP="00332490">
      <w:pPr>
        <w:spacing w:before="240" w:after="240"/>
      </w:pPr>
      <w:r w:rsidRPr="00332490">
        <w:t>There is a clear difference between the number of invoices paid within 20 days and the value of invoices paid within 20 days. There is no definitive reason for this result, however, anecdotal evidence suggests that low-valued invoices were paid more efficiently because regular, low-valued invoices from repeat suppliers require less resources to process.</w:t>
      </w:r>
    </w:p>
    <w:p w:rsidR="00332490" w:rsidRPr="00332490" w:rsidRDefault="00332490" w:rsidP="00332490">
      <w:pPr>
        <w:spacing w:after="0"/>
      </w:pPr>
      <w:r w:rsidRPr="00332490">
        <w:t>The reduction in the value of invoices paid within 20 days as compared to the 2016-17 financial year can be largely attributed to the different mix of agencies and procurement practices captured in the survey.</w:t>
      </w:r>
      <w:r w:rsidRPr="00332490">
        <w:br w:type="page"/>
      </w:r>
    </w:p>
    <w:p w:rsidR="00332490" w:rsidRPr="00332490" w:rsidRDefault="00332490" w:rsidP="00332490">
      <w:pPr>
        <w:pStyle w:val="Heading2"/>
      </w:pPr>
      <w:bookmarkStart w:id="23" w:name="_Toc775392"/>
      <w:bookmarkStart w:id="24" w:name="_Toc946249"/>
      <w:bookmarkStart w:id="25" w:name="_Toc1112803"/>
      <w:r w:rsidRPr="00332490">
        <w:lastRenderedPageBreak/>
        <w:t>Payment of interest in accordance with the Pay On-Time policy</w:t>
      </w:r>
      <w:bookmarkEnd w:id="23"/>
      <w:bookmarkEnd w:id="24"/>
      <w:bookmarkEnd w:id="25"/>
    </w:p>
    <w:p w:rsidR="00332490" w:rsidRPr="00332490" w:rsidRDefault="00332490" w:rsidP="00332490">
      <w:r w:rsidRPr="00332490">
        <w:t>Under the Pay On-Time policy, interest is payable by a Government agency on any late payment if the amount of interest accrued on outstanding payments is greater than $100.</w:t>
      </w:r>
    </w:p>
    <w:p w:rsidR="00332490" w:rsidRPr="00332490" w:rsidRDefault="00332490" w:rsidP="00332490">
      <w:pPr>
        <w:rPr>
          <w:b/>
          <w:bCs/>
        </w:rPr>
      </w:pPr>
      <w:r w:rsidRPr="00332490">
        <w:t>In 2017-18, the total amount of interest paid on late invoices by Government agencies that responded was $264,906.11</w:t>
      </w:r>
      <w:r w:rsidRPr="00332490">
        <w:rPr>
          <w:rFonts w:ascii="Calibri" w:eastAsia="Times New Roman" w:hAnsi="Calibri" w:cs="Times New Roman"/>
          <w:color w:val="000000"/>
          <w:lang w:eastAsia="en-AU"/>
        </w:rPr>
        <w:t>. This marks a decrease from the amount of interest reported as paid across the 2016-17 financial year of $317,702.50.</w:t>
      </w:r>
      <w:r w:rsidRPr="00332490">
        <w:rPr>
          <w:b/>
          <w:bCs/>
        </w:rPr>
        <w:br w:type="page"/>
      </w:r>
    </w:p>
    <w:p w:rsidR="00332490" w:rsidRPr="00332490" w:rsidRDefault="00332490" w:rsidP="00332490">
      <w:pPr>
        <w:pStyle w:val="Caption"/>
      </w:pPr>
      <w:bookmarkStart w:id="26" w:name="_Toc1112804"/>
      <w:r w:rsidRPr="00332490">
        <w:lastRenderedPageBreak/>
        <w:t xml:space="preserve">Table </w:t>
      </w:r>
      <w:fldSimple w:instr=" SEQ Table \* ARABIC ">
        <w:r w:rsidRPr="00332490">
          <w:rPr>
            <w:noProof/>
          </w:rPr>
          <w:t>2</w:t>
        </w:r>
      </w:fldSimple>
      <w:r w:rsidRPr="00332490">
        <w:t>: Percentage of invoices paid on time by number by each Government agency</w:t>
      </w:r>
      <w:bookmarkEnd w:id="26"/>
    </w:p>
    <w:tbl>
      <w:tblPr>
        <w:tblStyle w:val="DEEWRTable1"/>
        <w:tblW w:w="5131" w:type="pct"/>
        <w:tblLayout w:type="fixed"/>
        <w:tblLook w:val="04A0" w:firstRow="1" w:lastRow="0" w:firstColumn="1" w:lastColumn="0" w:noHBand="0" w:noVBand="1"/>
        <w:tblDescription w:val="Percentage of invoices paid on time by number by each Government agency"/>
      </w:tblPr>
      <w:tblGrid>
        <w:gridCol w:w="5874"/>
        <w:gridCol w:w="1694"/>
        <w:gridCol w:w="1694"/>
      </w:tblGrid>
      <w:tr w:rsidR="00332490" w:rsidRPr="00332490" w:rsidTr="00332490">
        <w:trPr>
          <w:cnfStyle w:val="100000000000" w:firstRow="1" w:lastRow="0" w:firstColumn="0" w:lastColumn="0" w:oddVBand="0" w:evenVBand="0" w:oddHBand="0" w:evenHBand="0" w:firstRowFirstColumn="0" w:firstRowLastColumn="0" w:lastRowFirstColumn="0" w:lastRowLastColumn="0"/>
          <w:trHeight w:val="1400"/>
        </w:trPr>
        <w:tc>
          <w:tcPr>
            <w:cnfStyle w:val="001000000000" w:firstRow="0" w:lastRow="0" w:firstColumn="1" w:lastColumn="0" w:oddVBand="0" w:evenVBand="0" w:oddHBand="0" w:evenHBand="0" w:firstRowFirstColumn="0" w:firstRowLastColumn="0" w:lastRowFirstColumn="0" w:lastRowLastColumn="0"/>
            <w:tcW w:w="5874" w:type="dxa"/>
            <w:shd w:val="clear" w:color="auto" w:fill="104165" w:themeFill="text2" w:themeFillShade="BF"/>
            <w:vAlign w:val="center"/>
            <w:hideMark/>
          </w:tcPr>
          <w:p w:rsidR="00332490" w:rsidRPr="00332490" w:rsidRDefault="00332490" w:rsidP="00332490">
            <w:pPr>
              <w:rPr>
                <w:rFonts w:eastAsiaTheme="minorHAnsi"/>
              </w:rPr>
            </w:pPr>
            <w:r w:rsidRPr="00332490">
              <w:rPr>
                <w:rFonts w:eastAsiaTheme="minorHAnsi"/>
              </w:rPr>
              <w:t>Agency</w:t>
            </w:r>
          </w:p>
        </w:tc>
        <w:tc>
          <w:tcPr>
            <w:tcW w:w="1694" w:type="dxa"/>
            <w:shd w:val="clear" w:color="auto" w:fill="104165" w:themeFill="text2" w:themeFillShade="BF"/>
            <w:vAlign w:val="center"/>
            <w:hideMark/>
          </w:tcPr>
          <w:p w:rsidR="00332490" w:rsidRPr="00332490" w:rsidRDefault="00332490" w:rsidP="00332490">
            <w:pPr>
              <w:jc w:val="right"/>
              <w:cnfStyle w:val="100000000000" w:firstRow="1" w:lastRow="0" w:firstColumn="0" w:lastColumn="0" w:oddVBand="0" w:evenVBand="0" w:oddHBand="0" w:evenHBand="0" w:firstRowFirstColumn="0" w:firstRowLastColumn="0" w:lastRowFirstColumn="0" w:lastRowLastColumn="0"/>
              <w:rPr>
                <w:rFonts w:eastAsiaTheme="minorHAnsi"/>
              </w:rPr>
            </w:pPr>
            <w:r w:rsidRPr="00332490">
              <w:rPr>
                <w:rFonts w:eastAsiaTheme="minorHAnsi"/>
              </w:rPr>
              <w:t>2017-18 Percentage of invoices paid within 20 days by number (%)</w:t>
            </w:r>
          </w:p>
        </w:tc>
        <w:tc>
          <w:tcPr>
            <w:tcW w:w="1694" w:type="dxa"/>
            <w:shd w:val="clear" w:color="auto" w:fill="104165" w:themeFill="text2" w:themeFillShade="BF"/>
            <w:vAlign w:val="center"/>
            <w:hideMark/>
          </w:tcPr>
          <w:p w:rsidR="00332490" w:rsidRPr="00332490" w:rsidRDefault="00332490" w:rsidP="00332490">
            <w:pPr>
              <w:jc w:val="right"/>
              <w:cnfStyle w:val="100000000000" w:firstRow="1" w:lastRow="0" w:firstColumn="0" w:lastColumn="0" w:oddVBand="0" w:evenVBand="0" w:oddHBand="0" w:evenHBand="0" w:firstRowFirstColumn="0" w:firstRowLastColumn="0" w:lastRowFirstColumn="0" w:lastRowLastColumn="0"/>
              <w:rPr>
                <w:rFonts w:eastAsiaTheme="minorHAnsi"/>
              </w:rPr>
            </w:pPr>
            <w:r w:rsidRPr="00332490">
              <w:rPr>
                <w:rFonts w:eastAsiaTheme="minorHAnsi"/>
              </w:rPr>
              <w:t>2017-18 Percentage of invoices paid within 30 days by number (%)</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Asbestos Safety and Eradication Agency</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93.1</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97.2</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Australian Aged Care Quality Agency</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69.6</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91.4</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rPr>
              <w:t>Australian Building and Construction Commission</w:t>
            </w:r>
            <w:r w:rsidRPr="00332490">
              <w:rPr>
                <w:color w:val="auto"/>
                <w:vertAlign w:val="superscript"/>
              </w:rPr>
              <w:footnoteReference w:id="3"/>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26.5</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65.1</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rPr>
              <w:t>Australian Bureau of Statistics</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94.5</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97.1</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rPr>
              <w:t>Australian Centre for International Agricultural Research</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100</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100</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Australian Communications and Media Authority*</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43.1</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98.3</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rPr>
              <w:t>Australian Commission for Law Enforcement Integrity</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71.4</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96.7</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rPr>
              <w:t>Australian Competition and Consumer Commission</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74.0</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94.7</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szCs w:val="20"/>
              </w:rPr>
            </w:pPr>
            <w:r w:rsidRPr="00332490">
              <w:rPr>
                <w:color w:val="auto"/>
              </w:rPr>
              <w:t>Australian Electoral Commission</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84.2</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91.7</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Australian Federal Police</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98.6</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99.6</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rPr>
              <w:t>Australian Financial Security Authority</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97.9</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98.9</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rPr>
              <w:t>Australian Institute of Family Studies</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93.6</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98.3</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szCs w:val="20"/>
              </w:rPr>
            </w:pPr>
            <w:r w:rsidRPr="00332490">
              <w:rPr>
                <w:color w:val="auto"/>
              </w:rPr>
              <w:t>Australian Office of Financial Management</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89.5</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97.5</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rPr>
              <w:t>Australian Prudential Regulation Authority</w:t>
            </w:r>
            <w:r w:rsidRPr="00332490">
              <w:rPr>
                <w:color w:val="auto"/>
                <w:vertAlign w:val="superscript"/>
              </w:rPr>
              <w:footnoteReference w:id="4"/>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60.9</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78.7</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rPr>
              <w:t>Australian Public Service Commission</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54.5</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98.3</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szCs w:val="20"/>
              </w:rPr>
            </w:pPr>
            <w:r w:rsidRPr="00332490">
              <w:rPr>
                <w:color w:val="auto"/>
              </w:rPr>
              <w:t>Australian Research Council</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91.3</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95.8</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Australian Securities and Investment Commission*</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96.4</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rPr>
              <w:t>Australian Skills Quality Authority (National Vocational Education and Training Regulator)</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39.5</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99.0</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tabs>
                <w:tab w:val="left" w:pos="3152"/>
              </w:tabs>
              <w:rPr>
                <w:color w:val="auto"/>
              </w:rPr>
            </w:pPr>
            <w:r w:rsidRPr="00332490">
              <w:rPr>
                <w:color w:val="auto"/>
              </w:rPr>
              <w:t>Australian Taxation Office*</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7.8</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98.4</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tabs>
                <w:tab w:val="left" w:pos="3152"/>
              </w:tabs>
              <w:rPr>
                <w:color w:val="auto"/>
                <w:szCs w:val="20"/>
              </w:rPr>
            </w:pPr>
            <w:r w:rsidRPr="00332490">
              <w:rPr>
                <w:color w:val="auto"/>
              </w:rPr>
              <w:t>Australian Trade and Investment Commission (Austrade)</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94.5</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rPr>
              <w:t>Australian Transaction Reports and Analysis Centre (AUSTRAC)</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92.3</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97.1</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szCs w:val="20"/>
              </w:rPr>
            </w:pPr>
            <w:r w:rsidRPr="00332490">
              <w:rPr>
                <w:color w:val="auto"/>
                <w:szCs w:val="20"/>
              </w:rPr>
              <w:t>Australian Transport Safety Bureau</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70.8</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89.8</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szCs w:val="20"/>
              </w:rPr>
              <w:t>Climate Change Authority</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80.0</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100.0</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szCs w:val="20"/>
              </w:rPr>
              <w:t>Commonwealth Grants Commission</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100.0</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100.0</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szCs w:val="20"/>
              </w:rPr>
              <w:t>Department of Agriculture and Water Resources</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96.4</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97.6</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szCs w:val="20"/>
              </w:rPr>
              <w:t>Department of Communications and the Arts</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81.9</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90.8</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szCs w:val="20"/>
              </w:rPr>
            </w:pPr>
            <w:r w:rsidRPr="00332490">
              <w:rPr>
                <w:color w:val="auto"/>
                <w:szCs w:val="20"/>
              </w:rPr>
              <w:t>Department of Defence*</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57.8</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95.3</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szCs w:val="20"/>
              </w:rPr>
              <w:t>Department of Education and Training</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36.5</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90.3</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szCs w:val="20"/>
              </w:rPr>
              <w:t>Department of Finance</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56.5</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96.1</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szCs w:val="20"/>
              </w:rPr>
              <w:t>Department of Foreign Affairs and Trade</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64.1</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95.8</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hideMark/>
          </w:tcPr>
          <w:p w:rsidR="00332490" w:rsidRPr="00332490" w:rsidRDefault="00332490" w:rsidP="00332490">
            <w:pPr>
              <w:rPr>
                <w:color w:val="auto"/>
                <w:szCs w:val="20"/>
              </w:rPr>
            </w:pPr>
            <w:r w:rsidRPr="00332490">
              <w:rPr>
                <w:color w:val="auto"/>
                <w:szCs w:val="20"/>
              </w:rPr>
              <w:t>Department of Health</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39.2</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89.6</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szCs w:val="20"/>
              </w:rPr>
            </w:pPr>
            <w:r w:rsidRPr="00332490">
              <w:rPr>
                <w:color w:val="auto"/>
                <w:szCs w:val="20"/>
              </w:rPr>
              <w:lastRenderedPageBreak/>
              <w:t>Department of Home Affairs</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83.8</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97.2</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szCs w:val="20"/>
              </w:rPr>
              <w:t>Department of Human Services</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44.6</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98.6</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Department of Industry, Innovation and Science</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96.3</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99.1</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Department of Infrastructure, Regional Development and Cities</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99.8</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99.9</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Department of Jobs and Small Business</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40.8</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93.2</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Department of Parliamentary Services</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83.9</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92.6</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Department of Social Services</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62.0</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Cs/>
                <w:color w:val="auto"/>
              </w:rPr>
            </w:pPr>
            <w:r w:rsidRPr="00332490">
              <w:rPr>
                <w:bCs/>
                <w:color w:val="auto"/>
              </w:rPr>
              <w:t>99.4</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Department of the Environment and Energy</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83.1</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96.5</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Department of the House of Representatives</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56.2</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93.1</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Department of the Prime Minister and Cabinet</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78.6</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94.2</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Department of the Senate</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64.9</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98.4</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Department of the Treasury</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87.5</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99.3</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Department of Veterans' Affairs</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75.1</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96.1</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Digital Transformation Agency</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57.6</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88.0</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Federal Court of Australia</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81.0</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97.4</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Future Fund Management Agency</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61.3</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81.6</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Geoscience Australia</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92.0</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95.7</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Infrastructure and Project Financing Agency*</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81.6</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92.9</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Inspector-General of Taxation</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72.2</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100.0</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IP Australia</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20.1</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94.0</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National Blood Authority</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81.9</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99.6</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National Capital Authority</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47.4</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95.0</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National Competition Council</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100.0</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100.0</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National Health and Medical Research Council</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31.9</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97.2</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Office of Parliamentary Counsel</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97.5</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Cs/>
                <w:color w:val="auto"/>
              </w:rPr>
            </w:pPr>
            <w:r w:rsidRPr="00332490">
              <w:rPr>
                <w:bCs/>
                <w:color w:val="auto"/>
              </w:rPr>
              <w:t>99.6</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Office of the Audit and Assurance Standards Board*</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100.0</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100.0</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Office of the Australian Accounting Standards Board*</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80.6</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93.9</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Office of the Australian Information Commissioner*</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44.2</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92.3</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Office of the Fair Work Ombudsman</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39.2</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100.0</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vertAlign w:val="superscript"/>
              </w:rPr>
            </w:pPr>
            <w:r w:rsidRPr="00332490">
              <w:rPr>
                <w:color w:val="auto"/>
              </w:rPr>
              <w:t>Office of the Inspector-General of Intelligence and Security</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77.4</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Cs/>
                <w:color w:val="auto"/>
              </w:rPr>
            </w:pPr>
            <w:r w:rsidRPr="00332490">
              <w:rPr>
                <w:bCs/>
                <w:color w:val="auto"/>
              </w:rPr>
              <w:t>99.2</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Office of the Official Secretary of the Governor-General</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100.0</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Productivity Commission</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96.3</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100.0</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Professional Services Review</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98.2</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99.8</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Royal Australian Mint</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100.0</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100.0</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Safe Work Australia</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color w:val="auto"/>
              </w:rPr>
            </w:pPr>
            <w:r w:rsidRPr="00332490">
              <w:rPr>
                <w:color w:val="auto"/>
              </w:rPr>
              <w:t>86.5</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
                <w:bCs/>
                <w:color w:val="auto"/>
              </w:rPr>
            </w:pPr>
            <w:r w:rsidRPr="00332490">
              <w:rPr>
                <w:color w:val="auto"/>
              </w:rPr>
              <w:t>94.5</w:t>
            </w:r>
          </w:p>
        </w:tc>
      </w:tr>
      <w:tr w:rsidR="00332490" w:rsidRPr="00332490" w:rsidTr="00332490">
        <w:trPr>
          <w:trHeight w:val="300"/>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Tertiary Education Quality and Standards Agency*</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54.5</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Cs/>
                <w:color w:val="auto"/>
              </w:rPr>
            </w:pPr>
            <w:r w:rsidRPr="00332490">
              <w:rPr>
                <w:bCs/>
                <w:color w:val="auto"/>
              </w:rPr>
              <w:t>99.3</w:t>
            </w:r>
          </w:p>
        </w:tc>
      </w:tr>
      <w:tr w:rsidR="00332490" w:rsidRPr="00332490" w:rsidTr="00332490">
        <w:trPr>
          <w:trHeight w:val="271"/>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rPr>
                <w:color w:val="auto"/>
              </w:rPr>
            </w:pPr>
            <w:r w:rsidRPr="00332490">
              <w:rPr>
                <w:color w:val="auto"/>
              </w:rPr>
              <w:t>Workplace Gender Equality Agency</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92.2</w:t>
            </w:r>
          </w:p>
        </w:tc>
        <w:tc>
          <w:tcPr>
            <w:tcW w:w="1694" w:type="dxa"/>
            <w:vAlign w:val="center"/>
          </w:tcPr>
          <w:p w:rsidR="00332490" w:rsidRPr="00332490" w:rsidRDefault="00332490" w:rsidP="00332490">
            <w:pPr>
              <w:jc w:val="center"/>
              <w:cnfStyle w:val="000000000000" w:firstRow="0" w:lastRow="0" w:firstColumn="0" w:lastColumn="0" w:oddVBand="0" w:evenVBand="0" w:oddHBand="0" w:evenHBand="0" w:firstRowFirstColumn="0" w:firstRowLastColumn="0" w:lastRowFirstColumn="0" w:lastRowLastColumn="0"/>
              <w:rPr>
                <w:bCs/>
                <w:color w:val="auto"/>
              </w:rPr>
            </w:pPr>
            <w:r w:rsidRPr="00332490">
              <w:rPr>
                <w:bCs/>
                <w:color w:val="auto"/>
              </w:rPr>
              <w:t>100.0</w:t>
            </w:r>
          </w:p>
        </w:tc>
      </w:tr>
      <w:tr w:rsidR="00332490" w:rsidRPr="00332490" w:rsidTr="00332490">
        <w:trPr>
          <w:trHeight w:val="559"/>
        </w:trPr>
        <w:tc>
          <w:tcPr>
            <w:cnfStyle w:val="001000000000" w:firstRow="0" w:lastRow="0" w:firstColumn="1" w:lastColumn="0" w:oddVBand="0" w:evenVBand="0" w:oddHBand="0" w:evenHBand="0" w:firstRowFirstColumn="0" w:firstRowLastColumn="0" w:lastRowFirstColumn="0" w:lastRowLastColumn="0"/>
            <w:tcW w:w="5874" w:type="dxa"/>
            <w:noWrap/>
            <w:vAlign w:val="center"/>
          </w:tcPr>
          <w:p w:rsidR="00332490" w:rsidRPr="00332490" w:rsidRDefault="00332490" w:rsidP="00332490">
            <w:pPr>
              <w:spacing w:before="240"/>
            </w:pPr>
            <w:r w:rsidRPr="00332490">
              <w:rPr>
                <w:color w:val="auto"/>
              </w:rPr>
              <w:t>Total</w:t>
            </w:r>
          </w:p>
        </w:tc>
        <w:tc>
          <w:tcPr>
            <w:tcW w:w="1694" w:type="dxa"/>
            <w:vAlign w:val="center"/>
          </w:tcPr>
          <w:p w:rsidR="00332490" w:rsidRPr="00332490" w:rsidRDefault="00332490" w:rsidP="00332490">
            <w:pPr>
              <w:spacing w:before="240"/>
              <w:jc w:val="center"/>
              <w:cnfStyle w:val="000000000000" w:firstRow="0" w:lastRow="0" w:firstColumn="0" w:lastColumn="0" w:oddVBand="0" w:evenVBand="0" w:oddHBand="0" w:evenHBand="0" w:firstRowFirstColumn="0" w:firstRowLastColumn="0" w:lastRowFirstColumn="0" w:lastRowLastColumn="0"/>
              <w:rPr>
                <w:color w:val="auto"/>
              </w:rPr>
            </w:pPr>
            <w:r w:rsidRPr="00332490">
              <w:rPr>
                <w:color w:val="auto"/>
              </w:rPr>
              <w:t>71.2</w:t>
            </w:r>
          </w:p>
        </w:tc>
        <w:tc>
          <w:tcPr>
            <w:tcW w:w="1694" w:type="dxa"/>
            <w:vAlign w:val="center"/>
          </w:tcPr>
          <w:p w:rsidR="00332490" w:rsidRPr="00332490" w:rsidRDefault="00332490" w:rsidP="00332490">
            <w:pPr>
              <w:spacing w:before="240"/>
              <w:jc w:val="center"/>
              <w:cnfStyle w:val="000000000000" w:firstRow="0" w:lastRow="0" w:firstColumn="0" w:lastColumn="0" w:oddVBand="0" w:evenVBand="0" w:oddHBand="0" w:evenHBand="0" w:firstRowFirstColumn="0" w:firstRowLastColumn="0" w:lastRowFirstColumn="0" w:lastRowLastColumn="0"/>
              <w:rPr>
                <w:bCs/>
                <w:color w:val="auto"/>
              </w:rPr>
            </w:pPr>
            <w:r w:rsidRPr="00332490">
              <w:rPr>
                <w:bCs/>
                <w:color w:val="auto"/>
              </w:rPr>
              <w:t>96.8</w:t>
            </w:r>
          </w:p>
        </w:tc>
      </w:tr>
    </w:tbl>
    <w:p w:rsidR="00332490" w:rsidRPr="00332490" w:rsidRDefault="00332490" w:rsidP="00332490"/>
    <w:sectPr w:rsidR="00332490" w:rsidRPr="00332490" w:rsidSect="005E1673">
      <w:headerReference w:type="default" r:id="rId20"/>
      <w:footerReference w:type="default" r:id="rId21"/>
      <w:type w:val="continuous"/>
      <w:pgSz w:w="11906" w:h="16838"/>
      <w:pgMar w:top="1985" w:right="1440" w:bottom="1440" w:left="1440"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490" w:rsidRDefault="00332490" w:rsidP="00130923">
      <w:pPr>
        <w:spacing w:after="0" w:line="240" w:lineRule="auto"/>
      </w:pPr>
      <w:r>
        <w:separator/>
      </w:r>
    </w:p>
  </w:endnote>
  <w:endnote w:type="continuationSeparator" w:id="0">
    <w:p w:rsidR="00332490" w:rsidRDefault="00332490"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F95" w:rsidRDefault="005D3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2B9" w:rsidRDefault="003242B9" w:rsidP="003242B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F95" w:rsidRDefault="005D3F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2B9" w:rsidRDefault="00B33D43"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B82F8D">
          <w:rPr>
            <w:noProof/>
          </w:rPr>
          <w:t>4</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490" w:rsidRDefault="00332490" w:rsidP="00130923">
      <w:pPr>
        <w:spacing w:after="0" w:line="240" w:lineRule="auto"/>
      </w:pPr>
      <w:r>
        <w:separator/>
      </w:r>
    </w:p>
  </w:footnote>
  <w:footnote w:type="continuationSeparator" w:id="0">
    <w:p w:rsidR="00332490" w:rsidRDefault="00332490" w:rsidP="00130923">
      <w:pPr>
        <w:spacing w:after="0" w:line="240" w:lineRule="auto"/>
      </w:pPr>
      <w:r>
        <w:continuationSeparator/>
      </w:r>
    </w:p>
  </w:footnote>
  <w:footnote w:id="1">
    <w:p w:rsidR="00332490" w:rsidRDefault="00332490" w:rsidP="00332490">
      <w:pPr>
        <w:pStyle w:val="FootnoteText"/>
      </w:pPr>
      <w:r>
        <w:rPr>
          <w:rStyle w:val="FootnoteReference"/>
        </w:rPr>
        <w:footnoteRef/>
      </w:r>
      <w:r>
        <w:t xml:space="preserve"> </w:t>
      </w:r>
      <w:hyperlink r:id="rId1" w:history="1">
        <w:r>
          <w:rPr>
            <w:rStyle w:val="Hyperlink"/>
          </w:rPr>
          <w:t>www.finance.gov.au/resource-management/spending/pay-on-time-policy/</w:t>
        </w:r>
      </w:hyperlink>
    </w:p>
  </w:footnote>
  <w:footnote w:id="2">
    <w:p w:rsidR="00332490" w:rsidRDefault="00332490" w:rsidP="00332490">
      <w:pPr>
        <w:pStyle w:val="FootnoteText"/>
      </w:pPr>
      <w:r>
        <w:rPr>
          <w:rStyle w:val="FootnoteReference"/>
        </w:rPr>
        <w:footnoteRef/>
      </w:r>
      <w:r>
        <w:t xml:space="preserve"> </w:t>
      </w:r>
      <w:r w:rsidRPr="005A52C3">
        <w:t>68 out of 95 invited agencies responded to the last voluntary survey for the 2016-17 financial year.</w:t>
      </w:r>
    </w:p>
  </w:footnote>
  <w:footnote w:id="3">
    <w:p w:rsidR="00332490" w:rsidRDefault="00332490" w:rsidP="00332490">
      <w:pPr>
        <w:pStyle w:val="FootnoteText"/>
      </w:pPr>
      <w:r>
        <w:t>*Agency did not participate in 2016-17 financial year survey.</w:t>
      </w:r>
    </w:p>
    <w:p w:rsidR="00332490" w:rsidRDefault="00332490" w:rsidP="00332490">
      <w:pPr>
        <w:pStyle w:val="FootnoteText"/>
      </w:pPr>
      <w:r>
        <w:rPr>
          <w:rStyle w:val="FootnoteReference"/>
        </w:rPr>
        <w:footnoteRef/>
      </w:r>
      <w:r>
        <w:t xml:space="preserve"> The Australian Building and Construction Commission noted that many of the payments made over 30 days relate to a group of invoices that are likely subject to review and dispute. The invoice date may be well before an agreed, correct invoice is received.</w:t>
      </w:r>
    </w:p>
  </w:footnote>
  <w:footnote w:id="4">
    <w:p w:rsidR="00332490" w:rsidRDefault="00332490" w:rsidP="00332490">
      <w:pPr>
        <w:pStyle w:val="FootnoteText"/>
      </w:pPr>
      <w:r>
        <w:rPr>
          <w:rStyle w:val="FootnoteReference"/>
        </w:rPr>
        <w:footnoteRef/>
      </w:r>
      <w:r>
        <w:t xml:space="preserve"> The Australian Prudential Regulation Authority noted that their reporting system is based on invoice date rather than receipt of invoice. There is a body of work underway to centralise recording of invoices and ensure that all payments to suppliers are made within the required timeframe.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F95" w:rsidRDefault="005D3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F95" w:rsidRDefault="005D3F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F95" w:rsidRDefault="005D3F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CA0" w:rsidRDefault="00560CA0" w:rsidP="00560CA0">
    <w:pPr>
      <w:pStyle w:val="Header"/>
      <w:jc w:val="right"/>
    </w:pPr>
    <w:r>
      <w:t>Title - Subtitle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E477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F295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EA288A6C"/>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51B73210"/>
    <w:multiLevelType w:val="multilevel"/>
    <w:tmpl w:val="298AE12E"/>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15D5568"/>
    <w:multiLevelType w:val="hybridMultilevel"/>
    <w:tmpl w:val="F2846194"/>
    <w:lvl w:ilvl="0" w:tplc="955A27D8">
      <w:start w:val="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8"/>
  </w:num>
  <w:num w:numId="15">
    <w:abstractNumId w:val="1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332490"/>
    <w:rsid w:val="00002721"/>
    <w:rsid w:val="00024E24"/>
    <w:rsid w:val="00034EAA"/>
    <w:rsid w:val="000861A6"/>
    <w:rsid w:val="000E7E7B"/>
    <w:rsid w:val="000F3BA2"/>
    <w:rsid w:val="001175BF"/>
    <w:rsid w:val="00130923"/>
    <w:rsid w:val="001414F3"/>
    <w:rsid w:val="00143FCD"/>
    <w:rsid w:val="001B6467"/>
    <w:rsid w:val="001F1C07"/>
    <w:rsid w:val="00223EB1"/>
    <w:rsid w:val="00236917"/>
    <w:rsid w:val="00243D6B"/>
    <w:rsid w:val="002B06E6"/>
    <w:rsid w:val="002D271F"/>
    <w:rsid w:val="002D6386"/>
    <w:rsid w:val="00305B35"/>
    <w:rsid w:val="003166C5"/>
    <w:rsid w:val="003242B9"/>
    <w:rsid w:val="00332490"/>
    <w:rsid w:val="003D2979"/>
    <w:rsid w:val="003D67FC"/>
    <w:rsid w:val="00406E5A"/>
    <w:rsid w:val="00435B7B"/>
    <w:rsid w:val="00455B34"/>
    <w:rsid w:val="0048762C"/>
    <w:rsid w:val="004B256F"/>
    <w:rsid w:val="005113B6"/>
    <w:rsid w:val="00531817"/>
    <w:rsid w:val="00560CA0"/>
    <w:rsid w:val="005624F3"/>
    <w:rsid w:val="005811EF"/>
    <w:rsid w:val="005B0878"/>
    <w:rsid w:val="005C15C0"/>
    <w:rsid w:val="005D3F95"/>
    <w:rsid w:val="005E1673"/>
    <w:rsid w:val="00610654"/>
    <w:rsid w:val="006172EB"/>
    <w:rsid w:val="006318B9"/>
    <w:rsid w:val="0067026C"/>
    <w:rsid w:val="00692776"/>
    <w:rsid w:val="006B0016"/>
    <w:rsid w:val="006C7CA1"/>
    <w:rsid w:val="006E2D49"/>
    <w:rsid w:val="007468FC"/>
    <w:rsid w:val="00756759"/>
    <w:rsid w:val="00792CA3"/>
    <w:rsid w:val="007B2FDD"/>
    <w:rsid w:val="007D58FB"/>
    <w:rsid w:val="0083468A"/>
    <w:rsid w:val="00842D43"/>
    <w:rsid w:val="00856D1C"/>
    <w:rsid w:val="00876AC0"/>
    <w:rsid w:val="009000D7"/>
    <w:rsid w:val="00903408"/>
    <w:rsid w:val="009116EA"/>
    <w:rsid w:val="00933671"/>
    <w:rsid w:val="0096483F"/>
    <w:rsid w:val="00972BF7"/>
    <w:rsid w:val="00972DD5"/>
    <w:rsid w:val="00984879"/>
    <w:rsid w:val="00985632"/>
    <w:rsid w:val="00991B63"/>
    <w:rsid w:val="009B2428"/>
    <w:rsid w:val="009B5CB7"/>
    <w:rsid w:val="009C5738"/>
    <w:rsid w:val="00A21FB0"/>
    <w:rsid w:val="00A31242"/>
    <w:rsid w:val="00A52530"/>
    <w:rsid w:val="00A551BF"/>
    <w:rsid w:val="00A70524"/>
    <w:rsid w:val="00A73406"/>
    <w:rsid w:val="00A9672C"/>
    <w:rsid w:val="00AC65DA"/>
    <w:rsid w:val="00B2722A"/>
    <w:rsid w:val="00B33D43"/>
    <w:rsid w:val="00B618BA"/>
    <w:rsid w:val="00B82F8D"/>
    <w:rsid w:val="00BA282D"/>
    <w:rsid w:val="00BB6260"/>
    <w:rsid w:val="00BF10F4"/>
    <w:rsid w:val="00C05E74"/>
    <w:rsid w:val="00C10C19"/>
    <w:rsid w:val="00C143B8"/>
    <w:rsid w:val="00C169F7"/>
    <w:rsid w:val="00C17D02"/>
    <w:rsid w:val="00C5649C"/>
    <w:rsid w:val="00C75486"/>
    <w:rsid w:val="00C8202C"/>
    <w:rsid w:val="00C92A5B"/>
    <w:rsid w:val="00CA46EC"/>
    <w:rsid w:val="00D05B29"/>
    <w:rsid w:val="00D1394D"/>
    <w:rsid w:val="00D47740"/>
    <w:rsid w:val="00D812B9"/>
    <w:rsid w:val="00D903FD"/>
    <w:rsid w:val="00D94BC5"/>
    <w:rsid w:val="00D96C08"/>
    <w:rsid w:val="00DC3052"/>
    <w:rsid w:val="00DF46C4"/>
    <w:rsid w:val="00E020A3"/>
    <w:rsid w:val="00EC78E7"/>
    <w:rsid w:val="00ED43D2"/>
    <w:rsid w:val="00EE3B8C"/>
    <w:rsid w:val="00EF4A38"/>
    <w:rsid w:val="00F11B8F"/>
    <w:rsid w:val="00F43AE3"/>
    <w:rsid w:val="00F74011"/>
    <w:rsid w:val="00F975AB"/>
    <w:rsid w:val="00FB10CB"/>
    <w:rsid w:val="00FC5365"/>
    <w:rsid w:val="00FF1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DA"/>
  </w:style>
  <w:style w:type="paragraph" w:styleId="Heading1">
    <w:name w:val="heading 1"/>
    <w:basedOn w:val="Normal"/>
    <w:next w:val="Normal"/>
    <w:link w:val="Heading1Char"/>
    <w:uiPriority w:val="9"/>
    <w:qFormat/>
    <w:rsid w:val="00F975AB"/>
    <w:pPr>
      <w:spacing w:after="240" w:line="240" w:lineRule="auto"/>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10F4"/>
    <w:pPr>
      <w:spacing w:after="120" w:line="240" w:lineRule="auto"/>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10"/>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11"/>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11"/>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1F1C07"/>
    <w:rPr>
      <w:b/>
      <w:bCs/>
      <w:i/>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6B0016"/>
    <w:pPr>
      <w:numPr>
        <w:numId w:val="21"/>
      </w:numPr>
      <w:spacing w:after="120"/>
      <w:contextualSpacing/>
    </w:pPr>
  </w:style>
  <w:style w:type="paragraph" w:styleId="ListNumber2">
    <w:name w:val="List Number 2"/>
    <w:basedOn w:val="Normal"/>
    <w:uiPriority w:val="99"/>
    <w:unhideWhenUsed/>
    <w:rsid w:val="006B0016"/>
    <w:pPr>
      <w:numPr>
        <w:ilvl w:val="1"/>
        <w:numId w:val="21"/>
      </w:numPr>
      <w:tabs>
        <w:tab w:val="left" w:pos="1134"/>
      </w:tabs>
      <w:spacing w:after="120"/>
      <w:contextualSpacing/>
    </w:pPr>
  </w:style>
  <w:style w:type="paragraph" w:styleId="ListNumber3">
    <w:name w:val="List Number 3"/>
    <w:basedOn w:val="Normal"/>
    <w:uiPriority w:val="99"/>
    <w:unhideWhenUsed/>
    <w:rsid w:val="006B0016"/>
    <w:pPr>
      <w:numPr>
        <w:ilvl w:val="2"/>
        <w:numId w:val="21"/>
      </w:numPr>
      <w:spacing w:after="120"/>
      <w:contextualSpacing/>
    </w:pPr>
  </w:style>
  <w:style w:type="paragraph" w:styleId="ListNumber4">
    <w:name w:val="List Number 4"/>
    <w:basedOn w:val="Normal"/>
    <w:uiPriority w:val="99"/>
    <w:unhideWhenUsed/>
    <w:rsid w:val="006B0016"/>
    <w:pPr>
      <w:numPr>
        <w:ilvl w:val="3"/>
        <w:numId w:val="21"/>
      </w:numPr>
      <w:spacing w:after="120"/>
      <w:contextualSpacing/>
    </w:pPr>
  </w:style>
  <w:style w:type="paragraph" w:styleId="ListBullet">
    <w:name w:val="List Bullet"/>
    <w:basedOn w:val="Normal"/>
    <w:uiPriority w:val="99"/>
    <w:unhideWhenUsed/>
    <w:qFormat/>
    <w:rsid w:val="00332490"/>
    <w:pPr>
      <w:numPr>
        <w:numId w:val="23"/>
      </w:numPr>
      <w:spacing w:before="60" w:after="60"/>
      <w:ind w:left="442" w:hanging="442"/>
    </w:pPr>
  </w:style>
  <w:style w:type="paragraph" w:styleId="ListBullet2">
    <w:name w:val="List Bullet 2"/>
    <w:basedOn w:val="Normal"/>
    <w:uiPriority w:val="99"/>
    <w:unhideWhenUsed/>
    <w:rsid w:val="006B0016"/>
    <w:pPr>
      <w:numPr>
        <w:ilvl w:val="1"/>
        <w:numId w:val="23"/>
      </w:numPr>
      <w:spacing w:after="120"/>
      <w:contextualSpacing/>
    </w:pPr>
  </w:style>
  <w:style w:type="paragraph" w:styleId="ListBullet3">
    <w:name w:val="List Bullet 3"/>
    <w:basedOn w:val="Normal"/>
    <w:uiPriority w:val="99"/>
    <w:unhideWhenUsed/>
    <w:rsid w:val="006B0016"/>
    <w:pPr>
      <w:numPr>
        <w:ilvl w:val="2"/>
        <w:numId w:val="23"/>
      </w:numPr>
      <w:spacing w:after="120"/>
      <w:contextualSpacing/>
    </w:pPr>
  </w:style>
  <w:style w:type="paragraph" w:styleId="ListBullet4">
    <w:name w:val="List Bullet 4"/>
    <w:basedOn w:val="Normal"/>
    <w:uiPriority w:val="99"/>
    <w:unhideWhenUsed/>
    <w:rsid w:val="006B0016"/>
    <w:pPr>
      <w:numPr>
        <w:ilvl w:val="3"/>
        <w:numId w:val="2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3"/>
    <w:next w:val="Normal"/>
    <w:uiPriority w:val="35"/>
    <w:unhideWhenUsed/>
    <w:qFormat/>
    <w:rsid w:val="006C7CA1"/>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975AB"/>
    <w:rPr>
      <w:color w:val="1E3D6B"/>
    </w:rPr>
  </w:style>
  <w:style w:type="numbering" w:customStyle="1" w:styleId="NumberedList">
    <w:name w:val="Numbered List"/>
    <w:uiPriority w:val="99"/>
    <w:rsid w:val="006B0016"/>
    <w:pPr>
      <w:numPr>
        <w:numId w:val="21"/>
      </w:numPr>
    </w:pPr>
  </w:style>
  <w:style w:type="numbering" w:customStyle="1" w:styleId="BulletList">
    <w:name w:val="Bullet List"/>
    <w:uiPriority w:val="99"/>
    <w:rsid w:val="006B0016"/>
    <w:pPr>
      <w:numPr>
        <w:numId w:val="23"/>
      </w:numPr>
    </w:pPr>
  </w:style>
  <w:style w:type="paragraph" w:styleId="ListNumber5">
    <w:name w:val="List Number 5"/>
    <w:basedOn w:val="Normal"/>
    <w:uiPriority w:val="99"/>
    <w:semiHidden/>
    <w:unhideWhenUsed/>
    <w:rsid w:val="006B0016"/>
    <w:pPr>
      <w:numPr>
        <w:ilvl w:val="4"/>
        <w:numId w:val="21"/>
      </w:numPr>
      <w:contextualSpacing/>
    </w:pPr>
  </w:style>
  <w:style w:type="paragraph" w:styleId="ListBullet5">
    <w:name w:val="List Bullet 5"/>
    <w:basedOn w:val="Normal"/>
    <w:uiPriority w:val="99"/>
    <w:semiHidden/>
    <w:unhideWhenUsed/>
    <w:rsid w:val="006B0016"/>
    <w:pPr>
      <w:numPr>
        <w:ilvl w:val="4"/>
        <w:numId w:val="23"/>
      </w:numPr>
      <w:contextualSpacing/>
    </w:pPr>
  </w:style>
  <w:style w:type="table" w:customStyle="1" w:styleId="DEEWRTable1">
    <w:name w:val="DEEWR Table1"/>
    <w:basedOn w:val="TableNormal"/>
    <w:uiPriority w:val="99"/>
    <w:rsid w:val="00332490"/>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styleId="FootnoteText">
    <w:name w:val="footnote text"/>
    <w:basedOn w:val="Normal"/>
    <w:link w:val="FootnoteTextChar"/>
    <w:uiPriority w:val="99"/>
    <w:qFormat/>
    <w:rsid w:val="0033249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332490"/>
    <w:rPr>
      <w:rFonts w:eastAsiaTheme="minorHAnsi"/>
      <w:sz w:val="20"/>
      <w:szCs w:val="20"/>
    </w:rPr>
  </w:style>
  <w:style w:type="character" w:styleId="FootnoteReference">
    <w:name w:val="footnote reference"/>
    <w:basedOn w:val="DefaultParagraphFont"/>
    <w:uiPriority w:val="99"/>
    <w:semiHidden/>
    <w:unhideWhenUsed/>
    <w:rsid w:val="00332490"/>
    <w:rPr>
      <w:vertAlign w:val="superscript"/>
    </w:rPr>
  </w:style>
  <w:style w:type="paragraph" w:customStyle="1" w:styleId="Note">
    <w:name w:val="Note"/>
    <w:basedOn w:val="Normal"/>
    <w:link w:val="NoteChar"/>
    <w:qFormat/>
    <w:rsid w:val="00332490"/>
    <w:pPr>
      <w:spacing w:after="0"/>
    </w:pPr>
    <w:rPr>
      <w:rFonts w:eastAsiaTheme="minorHAnsi"/>
      <w:sz w:val="18"/>
      <w:szCs w:val="18"/>
    </w:rPr>
  </w:style>
  <w:style w:type="character" w:customStyle="1" w:styleId="NoteChar">
    <w:name w:val="Note Char"/>
    <w:basedOn w:val="DefaultParagraphFont"/>
    <w:link w:val="Note"/>
    <w:rsid w:val="00332490"/>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creativecommons.org/licenses/by/3.0/a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cid:image001.png@01CC5B5E.C6C8499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creativecommons.org/licenses/by/3.0/au/legalco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resource-management/spending/pay-on-time-policy/" TargetMode="Externa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36748-1BF9-4050-BAB9-1FAFBEAD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1825</Words>
  <Characters>9805</Characters>
  <Application>Microsoft Office Word</Application>
  <DocSecurity>0</DocSecurity>
  <Lines>362</Lines>
  <Paragraphs>285</Paragraphs>
  <ScaleCrop>false</ScaleCrop>
  <HeadingPairs>
    <vt:vector size="2" baseType="variant">
      <vt:variant>
        <vt:lpstr>Title</vt:lpstr>
      </vt:variant>
      <vt:variant>
        <vt:i4>1</vt:i4>
      </vt:variant>
    </vt:vector>
  </HeadingPairs>
  <TitlesOfParts>
    <vt:vector size="1" baseType="lpstr">
      <vt:lpstr>Pay On-Time Survey - Performance Report 2018</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On-Time Survey - Performance Report 2018</dc:title>
  <dc:subject/>
  <dc:creator/>
  <cp:keywords/>
  <cp:lastModifiedBy/>
  <cp:revision>1</cp:revision>
  <dcterms:created xsi:type="dcterms:W3CDTF">2019-02-14T22:01:00Z</dcterms:created>
  <dcterms:modified xsi:type="dcterms:W3CDTF">2021-07-12T05:43:00Z</dcterms:modified>
</cp:coreProperties>
</file>